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53694F">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p>
    <w:p w14:paraId="7AE7F684">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p>
    <w:p w14:paraId="432D040D">
      <w:pPr>
        <w:tabs>
          <w:tab w:val="left" w:pos="315"/>
          <w:tab w:val="left" w:pos="8820"/>
        </w:tabs>
        <w:spacing w:before="240" w:beforeLines="100" w:after="120" w:afterLines="50" w:line="500" w:lineRule="exact"/>
        <w:ind w:right="267" w:rightChars="127"/>
        <w:jc w:val="center"/>
        <w:rPr>
          <w:rFonts w:hint="eastAsia" w:ascii="宋体" w:hAnsi="宋体" w:eastAsia="宋体"/>
          <w:b/>
          <w:bCs/>
          <w:color w:val="auto"/>
          <w:sz w:val="52"/>
          <w:szCs w:val="52"/>
          <w:highlight w:val="none"/>
          <w:lang w:eastAsia="zh-CN"/>
        </w:rPr>
      </w:pPr>
      <w:bookmarkStart w:id="0" w:name="_Hlk9544796"/>
      <w:r>
        <w:rPr>
          <w:rFonts w:hint="eastAsia" w:ascii="宋体" w:hAnsi="宋体" w:eastAsia="宋体"/>
          <w:b/>
          <w:bCs/>
          <w:color w:val="auto"/>
          <w:sz w:val="52"/>
          <w:szCs w:val="52"/>
          <w:highlight w:val="none"/>
          <w:lang w:val="en-US" w:eastAsia="zh-CN"/>
        </w:rPr>
        <w:t>安徽省</w:t>
      </w:r>
      <w:r>
        <w:rPr>
          <w:rFonts w:hint="eastAsia" w:ascii="宋体" w:hAnsi="宋体" w:eastAsia="宋体"/>
          <w:b/>
          <w:bCs/>
          <w:color w:val="auto"/>
          <w:sz w:val="52"/>
          <w:szCs w:val="52"/>
          <w:highlight w:val="none"/>
        </w:rPr>
        <w:t>政府采购</w:t>
      </w:r>
      <w:r>
        <w:rPr>
          <w:rFonts w:hint="eastAsia" w:ascii="宋体" w:hAnsi="宋体" w:eastAsia="宋体"/>
          <w:b/>
          <w:bCs/>
          <w:color w:val="auto"/>
          <w:sz w:val="52"/>
          <w:szCs w:val="52"/>
          <w:highlight w:val="none"/>
          <w:lang w:eastAsia="zh-CN"/>
        </w:rPr>
        <w:t>项目</w:t>
      </w:r>
    </w:p>
    <w:p w14:paraId="297AA04E">
      <w:pPr>
        <w:tabs>
          <w:tab w:val="left" w:pos="315"/>
          <w:tab w:val="left" w:pos="8820"/>
        </w:tabs>
        <w:spacing w:before="240" w:beforeLines="100" w:after="120" w:afterLines="50" w:line="500" w:lineRule="exact"/>
        <w:ind w:right="267" w:rightChars="127"/>
        <w:jc w:val="center"/>
        <w:rPr>
          <w:rFonts w:ascii="宋体" w:hAnsi="宋体" w:eastAsia="宋体"/>
          <w:b/>
          <w:bCs/>
          <w:color w:val="auto"/>
          <w:sz w:val="52"/>
          <w:szCs w:val="52"/>
          <w:highlight w:val="none"/>
        </w:rPr>
      </w:pPr>
      <w:r>
        <w:rPr>
          <w:rFonts w:hint="eastAsia" w:ascii="宋体" w:hAnsi="宋体" w:eastAsia="宋体"/>
          <w:b/>
          <w:bCs/>
          <w:color w:val="auto"/>
          <w:sz w:val="52"/>
          <w:szCs w:val="52"/>
          <w:highlight w:val="none"/>
        </w:rPr>
        <w:t>竞争性磋商文件示范文本（服务类）</w:t>
      </w:r>
    </w:p>
    <w:bookmarkEnd w:id="0"/>
    <w:p w14:paraId="1538CE0A">
      <w:pPr>
        <w:tabs>
          <w:tab w:val="left" w:pos="315"/>
          <w:tab w:val="left" w:pos="8820"/>
        </w:tabs>
        <w:spacing w:before="240" w:beforeLines="100" w:after="120" w:afterLines="50" w:line="500" w:lineRule="exact"/>
        <w:ind w:right="267" w:rightChars="127"/>
        <w:jc w:val="center"/>
        <w:rPr>
          <w:rFonts w:ascii="宋体" w:hAnsi="宋体" w:eastAsia="宋体"/>
          <w:bCs/>
          <w:color w:val="auto"/>
          <w:sz w:val="44"/>
          <w:szCs w:val="44"/>
          <w:highlight w:val="none"/>
        </w:rPr>
      </w:pPr>
      <w:r>
        <w:rPr>
          <w:rFonts w:hint="eastAsia" w:ascii="宋体" w:hAnsi="宋体" w:eastAsia="宋体"/>
          <w:b/>
          <w:bCs/>
          <w:color w:val="auto"/>
          <w:sz w:val="52"/>
          <w:szCs w:val="52"/>
          <w:highlight w:val="none"/>
          <w:lang w:eastAsia="zh-CN"/>
        </w:rPr>
        <w:t>（</w:t>
      </w:r>
      <w:r>
        <w:rPr>
          <w:rFonts w:hint="eastAsia" w:ascii="宋体" w:hAnsi="宋体" w:eastAsia="宋体"/>
          <w:b/>
          <w:bCs/>
          <w:color w:val="auto"/>
          <w:sz w:val="52"/>
          <w:szCs w:val="52"/>
          <w:highlight w:val="none"/>
          <w:lang w:val="en-US" w:eastAsia="zh-CN"/>
        </w:rPr>
        <w:t>2024版</w:t>
      </w:r>
      <w:r>
        <w:rPr>
          <w:rFonts w:hint="eastAsia" w:ascii="宋体" w:hAnsi="宋体" w:eastAsia="宋体"/>
          <w:b/>
          <w:bCs/>
          <w:color w:val="auto"/>
          <w:sz w:val="52"/>
          <w:szCs w:val="52"/>
          <w:highlight w:val="none"/>
          <w:lang w:eastAsia="zh-CN"/>
        </w:rPr>
        <w:t>）</w:t>
      </w:r>
    </w:p>
    <w:p w14:paraId="33905E4E">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676FA398">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0A837B59">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5F94592D">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274C2216">
      <w:pPr>
        <w:tabs>
          <w:tab w:val="left" w:pos="315"/>
          <w:tab w:val="left" w:pos="8820"/>
        </w:tabs>
        <w:spacing w:before="240" w:beforeLines="100" w:after="120" w:afterLines="50" w:line="500" w:lineRule="exact"/>
        <w:ind w:right="267" w:rightChars="127"/>
        <w:jc w:val="center"/>
        <w:rPr>
          <w:rFonts w:ascii="宋体" w:hAnsi="宋体" w:eastAsia="宋体"/>
          <w:b/>
          <w:bCs/>
          <w:color w:val="auto"/>
          <w:sz w:val="44"/>
          <w:szCs w:val="44"/>
          <w:highlight w:val="none"/>
        </w:rPr>
      </w:pPr>
    </w:p>
    <w:p w14:paraId="6F551E01">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b/>
          <w:color w:val="auto"/>
          <w:spacing w:val="0"/>
          <w:kern w:val="0"/>
          <w:sz w:val="32"/>
          <w:szCs w:val="32"/>
          <w:highlight w:val="none"/>
        </w:rPr>
      </w:pPr>
    </w:p>
    <w:p w14:paraId="518E24DB">
      <w:pPr>
        <w:tabs>
          <w:tab w:val="left" w:pos="2410"/>
        </w:tabs>
        <w:autoSpaceDE w:val="0"/>
        <w:autoSpaceDN w:val="0"/>
        <w:adjustRightInd w:val="0"/>
        <w:snapToGrid w:val="0"/>
        <w:spacing w:line="360" w:lineRule="auto"/>
        <w:ind w:left="2244" w:leftChars="304" w:hanging="1606" w:hangingChars="500"/>
        <w:rPr>
          <w:rFonts w:hint="eastAsia" w:ascii="宋体" w:hAnsi="宋体" w:eastAsia="宋体"/>
          <w:b/>
          <w:color w:val="auto"/>
          <w:spacing w:val="0"/>
          <w:kern w:val="0"/>
          <w:sz w:val="32"/>
          <w:szCs w:val="32"/>
          <w:highlight w:val="none"/>
        </w:rPr>
      </w:pPr>
    </w:p>
    <w:p w14:paraId="139D6A5C">
      <w:pPr>
        <w:tabs>
          <w:tab w:val="left" w:pos="2410"/>
        </w:tabs>
        <w:autoSpaceDE w:val="0"/>
        <w:autoSpaceDN w:val="0"/>
        <w:adjustRightInd w:val="0"/>
        <w:snapToGrid w:val="0"/>
        <w:spacing w:line="360" w:lineRule="auto"/>
        <w:ind w:left="2244" w:leftChars="304" w:hanging="1606" w:hangingChars="500"/>
        <w:rPr>
          <w:rFonts w:hint="default" w:ascii="宋体" w:hAnsi="宋体" w:eastAsia="宋体"/>
          <w:b/>
          <w:color w:val="auto"/>
          <w:spacing w:val="0"/>
          <w:kern w:val="0"/>
          <w:sz w:val="32"/>
          <w:szCs w:val="32"/>
          <w:highlight w:val="none"/>
          <w:lang w:val="en-US" w:eastAsia="zh-CN"/>
        </w:rPr>
      </w:pPr>
      <w:r>
        <w:rPr>
          <w:rFonts w:hint="eastAsia" w:ascii="宋体" w:hAnsi="宋体" w:eastAsia="宋体"/>
          <w:b/>
          <w:color w:val="auto"/>
          <w:spacing w:val="0"/>
          <w:kern w:val="0"/>
          <w:sz w:val="32"/>
          <w:szCs w:val="32"/>
          <w:highlight w:val="none"/>
        </w:rPr>
        <w:t>项目名称：</w:t>
      </w:r>
      <w:r>
        <w:rPr>
          <w:rFonts w:hint="eastAsia" w:ascii="宋体" w:hAnsi="宋体" w:eastAsia="宋体"/>
          <w:b/>
          <w:color w:val="auto"/>
          <w:spacing w:val="0"/>
          <w:kern w:val="0"/>
          <w:sz w:val="32"/>
          <w:szCs w:val="32"/>
          <w:highlight w:val="none"/>
          <w:u w:val="single"/>
          <w:lang w:val="en-US" w:eastAsia="zh-CN"/>
        </w:rPr>
        <w:t>2025年网络宣传项目（二）</w:t>
      </w:r>
    </w:p>
    <w:p w14:paraId="53C74886">
      <w:pPr>
        <w:tabs>
          <w:tab w:val="left" w:pos="2410"/>
        </w:tabs>
        <w:autoSpaceDE w:val="0"/>
        <w:autoSpaceDN w:val="0"/>
        <w:adjustRightInd w:val="0"/>
        <w:snapToGrid w:val="0"/>
        <w:spacing w:line="360" w:lineRule="auto"/>
        <w:ind w:firstLine="643" w:firstLineChars="200"/>
        <w:rPr>
          <w:rFonts w:hint="default" w:ascii="宋体" w:hAnsi="宋体" w:eastAsia="宋体"/>
          <w:b/>
          <w:color w:val="auto"/>
          <w:spacing w:val="0"/>
          <w:kern w:val="0"/>
          <w:sz w:val="32"/>
          <w:szCs w:val="32"/>
          <w:highlight w:val="none"/>
          <w:lang w:val="en-US"/>
        </w:rPr>
      </w:pPr>
      <w:r>
        <w:rPr>
          <w:rFonts w:hint="eastAsia" w:ascii="宋体" w:hAnsi="宋体" w:eastAsia="宋体"/>
          <w:b/>
          <w:color w:val="auto"/>
          <w:spacing w:val="0"/>
          <w:kern w:val="0"/>
          <w:sz w:val="32"/>
          <w:szCs w:val="32"/>
          <w:highlight w:val="none"/>
        </w:rPr>
        <w:t>项目编号：</w:t>
      </w:r>
      <w:r>
        <w:rPr>
          <w:rFonts w:hint="eastAsia" w:ascii="宋体" w:hAnsi="宋体" w:eastAsia="宋体"/>
          <w:b/>
          <w:color w:val="auto"/>
          <w:spacing w:val="0"/>
          <w:kern w:val="0"/>
          <w:sz w:val="32"/>
          <w:szCs w:val="32"/>
          <w:highlight w:val="none"/>
          <w:u w:val="single"/>
          <w:lang w:val="en-US" w:eastAsia="zh-CN"/>
        </w:rPr>
        <w:t>czsjcg202504-023</w:t>
      </w:r>
    </w:p>
    <w:p w14:paraId="2E4B1144">
      <w:pPr>
        <w:tabs>
          <w:tab w:val="left" w:pos="2410"/>
        </w:tabs>
        <w:autoSpaceDE w:val="0"/>
        <w:autoSpaceDN w:val="0"/>
        <w:adjustRightInd w:val="0"/>
        <w:snapToGrid w:val="0"/>
        <w:spacing w:line="360" w:lineRule="auto"/>
        <w:ind w:firstLine="643" w:firstLineChars="200"/>
        <w:rPr>
          <w:rFonts w:ascii="宋体" w:hAnsi="宋体" w:eastAsia="宋体"/>
          <w:b/>
          <w:color w:val="auto"/>
          <w:spacing w:val="0"/>
          <w:kern w:val="0"/>
          <w:sz w:val="32"/>
          <w:szCs w:val="32"/>
          <w:highlight w:val="none"/>
        </w:rPr>
      </w:pPr>
      <w:r>
        <w:rPr>
          <w:rFonts w:hint="eastAsia" w:ascii="宋体" w:hAnsi="宋体" w:eastAsia="宋体"/>
          <w:b/>
          <w:color w:val="auto"/>
          <w:spacing w:val="0"/>
          <w:kern w:val="0"/>
          <w:sz w:val="32"/>
          <w:szCs w:val="32"/>
          <w:highlight w:val="none"/>
        </w:rPr>
        <w:t>采 购 人：</w:t>
      </w:r>
      <w:r>
        <w:rPr>
          <w:rFonts w:hint="eastAsia" w:ascii="宋体" w:hAnsi="宋体" w:eastAsia="宋体"/>
          <w:b/>
          <w:color w:val="auto"/>
          <w:spacing w:val="-6"/>
          <w:kern w:val="0"/>
          <w:sz w:val="32"/>
          <w:szCs w:val="32"/>
          <w:highlight w:val="none"/>
          <w:u w:val="single"/>
          <w:lang w:val="en-US" w:eastAsia="zh-CN"/>
        </w:rPr>
        <w:t>中共滁州市委网络安全和信息化委员会办公室</w:t>
      </w:r>
    </w:p>
    <w:p w14:paraId="61773014">
      <w:pPr>
        <w:tabs>
          <w:tab w:val="left" w:pos="2410"/>
        </w:tabs>
        <w:autoSpaceDE w:val="0"/>
        <w:autoSpaceDN w:val="0"/>
        <w:adjustRightInd w:val="0"/>
        <w:snapToGrid w:val="0"/>
        <w:spacing w:line="360" w:lineRule="auto"/>
        <w:ind w:firstLine="643" w:firstLineChars="200"/>
        <w:rPr>
          <w:rFonts w:hint="default" w:ascii="宋体" w:hAnsi="宋体" w:eastAsia="宋体"/>
          <w:b/>
          <w:color w:val="auto"/>
          <w:spacing w:val="0"/>
          <w:kern w:val="0"/>
          <w:sz w:val="32"/>
          <w:szCs w:val="32"/>
          <w:highlight w:val="none"/>
          <w:lang w:val="en-US"/>
        </w:rPr>
      </w:pPr>
      <w:r>
        <w:rPr>
          <w:rFonts w:hint="eastAsia" w:ascii="宋体" w:hAnsi="宋体" w:eastAsia="宋体"/>
          <w:b/>
          <w:color w:val="auto"/>
          <w:spacing w:val="0"/>
          <w:kern w:val="0"/>
          <w:sz w:val="32"/>
          <w:szCs w:val="32"/>
          <w:highlight w:val="none"/>
        </w:rPr>
        <w:t>采购代理机构：</w:t>
      </w:r>
      <w:r>
        <w:rPr>
          <w:rFonts w:hint="eastAsia" w:ascii="宋体" w:hAnsi="宋体" w:eastAsia="宋体"/>
          <w:b/>
          <w:color w:val="auto"/>
          <w:spacing w:val="0"/>
          <w:kern w:val="0"/>
          <w:sz w:val="32"/>
          <w:szCs w:val="32"/>
          <w:highlight w:val="none"/>
          <w:u w:val="single"/>
          <w:lang w:val="en-US" w:eastAsia="zh-CN"/>
        </w:rPr>
        <w:t>滁州市城投工程咨询管理有限公司</w:t>
      </w:r>
      <w:bookmarkStart w:id="262" w:name="_GoBack"/>
      <w:bookmarkEnd w:id="262"/>
    </w:p>
    <w:p w14:paraId="2A6FC25B">
      <w:pPr>
        <w:tabs>
          <w:tab w:val="left" w:pos="2410"/>
        </w:tabs>
        <w:autoSpaceDE w:val="0"/>
        <w:autoSpaceDN w:val="0"/>
        <w:adjustRightInd w:val="0"/>
        <w:snapToGrid w:val="0"/>
        <w:spacing w:line="360" w:lineRule="auto"/>
        <w:ind w:firstLine="643" w:firstLineChars="200"/>
        <w:rPr>
          <w:rFonts w:hint="eastAsia" w:ascii="宋体" w:hAnsi="宋体" w:eastAsia="宋体"/>
          <w:b/>
          <w:color w:val="auto"/>
          <w:spacing w:val="0"/>
          <w:kern w:val="0"/>
          <w:sz w:val="32"/>
          <w:szCs w:val="32"/>
          <w:highlight w:val="none"/>
        </w:rPr>
      </w:pPr>
    </w:p>
    <w:p w14:paraId="4C9F0F6B">
      <w:pPr>
        <w:tabs>
          <w:tab w:val="left" w:pos="2410"/>
        </w:tabs>
        <w:autoSpaceDE w:val="0"/>
        <w:autoSpaceDN w:val="0"/>
        <w:adjustRightInd w:val="0"/>
        <w:snapToGrid w:val="0"/>
        <w:spacing w:line="360" w:lineRule="auto"/>
        <w:jc w:val="center"/>
        <w:rPr>
          <w:rFonts w:hint="eastAsia" w:ascii="宋体" w:hAnsi="宋体" w:eastAsia="宋体"/>
          <w:b/>
          <w:color w:val="auto"/>
          <w:sz w:val="36"/>
          <w:highlight w:val="none"/>
        </w:rPr>
      </w:pP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2025</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rPr>
        <w:t>年</w:t>
      </w:r>
      <w:r>
        <w:rPr>
          <w:rFonts w:hint="eastAsia" w:ascii="宋体" w:hAnsi="宋体" w:eastAsia="宋体"/>
          <w:b/>
          <w:color w:val="auto"/>
          <w:sz w:val="36"/>
          <w:highlight w:val="none"/>
          <w:u w:val="single"/>
        </w:rPr>
        <w:t xml:space="preserve"> </w:t>
      </w:r>
      <w:r>
        <w:rPr>
          <w:rFonts w:hint="eastAsia" w:ascii="宋体" w:hAnsi="宋体" w:eastAsia="宋体"/>
          <w:b/>
          <w:color w:val="auto"/>
          <w:sz w:val="36"/>
          <w:highlight w:val="none"/>
          <w:u w:val="single"/>
          <w:lang w:val="en-US" w:eastAsia="zh-CN"/>
        </w:rPr>
        <w:t xml:space="preserve">4 </w:t>
      </w:r>
      <w:r>
        <w:rPr>
          <w:rFonts w:hint="eastAsia" w:ascii="宋体" w:hAnsi="宋体" w:eastAsia="宋体"/>
          <w:b/>
          <w:color w:val="auto"/>
          <w:sz w:val="36"/>
          <w:highlight w:val="none"/>
        </w:rPr>
        <w:t>月</w:t>
      </w:r>
    </w:p>
    <w:p w14:paraId="16EACF86">
      <w:pPr>
        <w:tabs>
          <w:tab w:val="left" w:pos="2410"/>
        </w:tabs>
        <w:autoSpaceDE w:val="0"/>
        <w:autoSpaceDN w:val="0"/>
        <w:adjustRightInd w:val="0"/>
        <w:snapToGrid w:val="0"/>
        <w:spacing w:line="360" w:lineRule="auto"/>
        <w:jc w:val="center"/>
        <w:rPr>
          <w:rFonts w:ascii="宋体" w:hAnsi="宋体" w:eastAsia="宋体"/>
          <w:b/>
          <w:color w:val="auto"/>
          <w:sz w:val="36"/>
          <w:highlight w:val="none"/>
        </w:rPr>
      </w:pPr>
      <w:r>
        <w:rPr>
          <w:rFonts w:ascii="宋体" w:hAnsi="宋体" w:eastAsia="宋体"/>
          <w:b/>
          <w:color w:val="auto"/>
          <w:sz w:val="36"/>
          <w:highlight w:val="none"/>
        </w:rPr>
        <w:br w:type="page"/>
      </w:r>
    </w:p>
    <w:p w14:paraId="6B3E0448">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r>
        <w:rPr>
          <w:rFonts w:hint="eastAsia" w:ascii="宋体" w:hAnsi="宋体" w:eastAsia="宋体"/>
          <w:b/>
          <w:color w:val="auto"/>
          <w:sz w:val="28"/>
          <w:highlight w:val="none"/>
        </w:rPr>
        <w:t>目  录</w:t>
      </w:r>
    </w:p>
    <w:p w14:paraId="7E2CE302">
      <w:pPr>
        <w:tabs>
          <w:tab w:val="left" w:pos="2410"/>
        </w:tabs>
        <w:autoSpaceDE w:val="0"/>
        <w:autoSpaceDN w:val="0"/>
        <w:adjustRightInd w:val="0"/>
        <w:snapToGrid w:val="0"/>
        <w:spacing w:line="360" w:lineRule="auto"/>
        <w:jc w:val="center"/>
        <w:rPr>
          <w:rFonts w:ascii="宋体" w:hAnsi="宋体" w:eastAsia="宋体"/>
          <w:b/>
          <w:color w:val="auto"/>
          <w:sz w:val="28"/>
          <w:highlight w:val="none"/>
        </w:rPr>
      </w:pPr>
    </w:p>
    <w:p w14:paraId="48A0D08D">
      <w:pPr>
        <w:pStyle w:val="18"/>
        <w:tabs>
          <w:tab w:val="right" w:leader="dot" w:pos="8279"/>
        </w:tabs>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TOC \o "1-1" \h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_Toc19927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磋商邀请</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_Toc19927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2598D178">
      <w:pPr>
        <w:pStyle w:val="18"/>
        <w:tabs>
          <w:tab w:val="right" w:leader="dot" w:pos="8279"/>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_Toc3785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_Toc3785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C85D7C7">
      <w:pPr>
        <w:pStyle w:val="18"/>
        <w:tabs>
          <w:tab w:val="right" w:leader="dot" w:pos="8279"/>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_Toc28125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_Toc28125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F0967A8">
      <w:pPr>
        <w:pStyle w:val="18"/>
        <w:tabs>
          <w:tab w:val="right" w:leader="dot" w:pos="8279"/>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_Toc17554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第四章  评审方法和标准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_Toc17554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D58D2A">
      <w:pPr>
        <w:pStyle w:val="18"/>
        <w:tabs>
          <w:tab w:val="right" w:leader="dot" w:pos="8279"/>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_Toc6037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政府采购合同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_Toc6037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43</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4AE3240">
      <w:pPr>
        <w:pStyle w:val="18"/>
        <w:tabs>
          <w:tab w:val="right" w:leader="dot" w:pos="8279"/>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_Toc16475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_Toc16475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6359BAC6">
      <w:pPr>
        <w:pStyle w:val="18"/>
        <w:tabs>
          <w:tab w:val="right" w:leader="dot" w:pos="8279"/>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_Toc7345 </w:instrText>
      </w:r>
      <w:r>
        <w:rPr>
          <w:rFonts w:hint="eastAsia" w:ascii="宋体" w:hAnsi="宋体" w:eastAsia="宋体" w:cs="宋体"/>
          <w:color w:val="auto"/>
          <w:sz w:val="24"/>
          <w:szCs w:val="24"/>
          <w:highlight w:val="none"/>
        </w:rPr>
        <w:fldChar w:fldCharType="separate"/>
      </w:r>
      <w:r>
        <w:rPr>
          <w:rFonts w:hint="eastAsia" w:ascii="宋体" w:hAnsi="宋体" w:eastAsia="宋体" w:cs="宋体"/>
          <w:bCs/>
          <w:color w:val="auto"/>
          <w:sz w:val="24"/>
          <w:szCs w:val="24"/>
          <w:highlight w:val="none"/>
        </w:rPr>
        <w:t>第</w:t>
      </w:r>
      <w:r>
        <w:rPr>
          <w:rFonts w:hint="eastAsia" w:ascii="宋体" w:hAnsi="宋体" w:eastAsia="宋体" w:cs="宋体"/>
          <w:bCs/>
          <w:color w:val="auto"/>
          <w:sz w:val="24"/>
          <w:szCs w:val="24"/>
          <w:highlight w:val="none"/>
          <w:lang w:val="en-US" w:eastAsia="zh-CN"/>
        </w:rPr>
        <w:t>七</w:t>
      </w:r>
      <w:r>
        <w:rPr>
          <w:rFonts w:hint="eastAsia" w:ascii="宋体" w:hAnsi="宋体" w:eastAsia="宋体" w:cs="宋体"/>
          <w:bCs/>
          <w:color w:val="auto"/>
          <w:sz w:val="24"/>
          <w:szCs w:val="24"/>
          <w:highlight w:val="none"/>
        </w:rPr>
        <w:t>章  政府采购</w:t>
      </w:r>
      <w:r>
        <w:rPr>
          <w:rFonts w:hint="eastAsia" w:ascii="宋体" w:hAnsi="宋体" w:eastAsia="宋体" w:cs="宋体"/>
          <w:color w:val="auto"/>
          <w:sz w:val="24"/>
          <w:szCs w:val="24"/>
          <w:highlight w:val="none"/>
        </w:rPr>
        <w:t>供应</w:t>
      </w:r>
      <w:r>
        <w:rPr>
          <w:rFonts w:hint="eastAsia" w:ascii="宋体" w:hAnsi="宋体" w:eastAsia="宋体" w:cs="宋体"/>
          <w:bCs/>
          <w:color w:val="auto"/>
          <w:sz w:val="24"/>
          <w:szCs w:val="24"/>
          <w:highlight w:val="none"/>
        </w:rPr>
        <w:t>商询问函和质疑函范本</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_Toc7345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76</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009FE303">
      <w:pPr>
        <w:pStyle w:val="19"/>
        <w:tabs>
          <w:tab w:val="right" w:leader="dot" w:pos="8296"/>
        </w:tabs>
        <w:rPr>
          <w:rFonts w:asciiTheme="minorEastAsia" w:hAnsiTheme="minorEastAsia"/>
          <w:b/>
          <w:color w:val="auto"/>
          <w:sz w:val="32"/>
          <w:highlight w:val="none"/>
        </w:rPr>
      </w:pPr>
      <w:r>
        <w:rPr>
          <w:rFonts w:hint="eastAsia" w:ascii="宋体" w:hAnsi="宋体" w:eastAsia="宋体" w:cs="宋体"/>
          <w:color w:val="auto"/>
          <w:sz w:val="24"/>
          <w:szCs w:val="24"/>
          <w:highlight w:val="none"/>
        </w:rPr>
        <w:fldChar w:fldCharType="end"/>
      </w:r>
    </w:p>
    <w:p w14:paraId="7A9189AC">
      <w:pPr>
        <w:spacing w:line="360" w:lineRule="auto"/>
        <w:jc w:val="center"/>
        <w:outlineLvl w:val="1"/>
        <w:rPr>
          <w:rFonts w:asciiTheme="minorEastAsia" w:hAnsiTheme="minorEastAsia" w:eastAsiaTheme="minorEastAsia"/>
          <w:b/>
          <w:color w:val="auto"/>
          <w:sz w:val="28"/>
          <w:highlight w:val="none"/>
        </w:rPr>
        <w:sectPr>
          <w:headerReference r:id="rId3" w:type="default"/>
          <w:footerReference r:id="rId4" w:type="default"/>
          <w:pgSz w:w="11907" w:h="16840"/>
          <w:pgMar w:top="1474" w:right="1814" w:bottom="1474" w:left="1814" w:header="851" w:footer="992" w:gutter="0"/>
          <w:cols w:space="720" w:num="1"/>
          <w:docGrid w:linePitch="462" w:charSpace="0"/>
        </w:sectPr>
      </w:pPr>
    </w:p>
    <w:p w14:paraId="3B944D49">
      <w:pPr>
        <w:spacing w:line="360" w:lineRule="auto"/>
        <w:jc w:val="center"/>
        <w:outlineLvl w:val="0"/>
        <w:rPr>
          <w:rFonts w:asciiTheme="minorEastAsia" w:hAnsiTheme="minorEastAsia" w:eastAsiaTheme="minorEastAsia"/>
          <w:b/>
          <w:color w:val="auto"/>
          <w:sz w:val="28"/>
          <w:highlight w:val="none"/>
        </w:rPr>
      </w:pPr>
      <w:bookmarkStart w:id="1" w:name="_Toc19988"/>
      <w:bookmarkStart w:id="2" w:name="_Toc501"/>
      <w:bookmarkStart w:id="3" w:name="_Toc19927"/>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磋商邀请</w:t>
      </w:r>
      <w:bookmarkEnd w:id="1"/>
      <w:bookmarkEnd w:id="2"/>
      <w:bookmarkEnd w:id="3"/>
    </w:p>
    <w:p w14:paraId="2DCF0D7E">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项目概况</w:t>
      </w:r>
    </w:p>
    <w:p w14:paraId="52B09448">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u w:val="single"/>
          <w:lang w:val="en-US" w:eastAsia="zh-CN" w:bidi="ar"/>
        </w:rPr>
        <w:t>2025年网络宣传项目（二）</w:t>
      </w:r>
      <w:r>
        <w:rPr>
          <w:rFonts w:hint="eastAsia" w:ascii="宋体" w:hAnsi="宋体" w:eastAsia="宋体" w:cs="宋体"/>
          <w:color w:val="auto"/>
          <w:kern w:val="2"/>
          <w:sz w:val="24"/>
          <w:szCs w:val="24"/>
          <w:highlight w:val="none"/>
          <w:lang w:val="en-US" w:eastAsia="zh-CN" w:bidi="ar"/>
        </w:rPr>
        <w:t>的潜在供应商应在滁州市公共资源交易中心网（http://ggzy.chuzhou.gov.cn/）获取采购文件，并于2025年5月7日8点00分（北京时间）前递交响应文件。</w:t>
      </w:r>
    </w:p>
    <w:p w14:paraId="06AD6A2A">
      <w:pPr>
        <w:keepNext w:val="0"/>
        <w:keepLines w:val="0"/>
        <w:widowControl w:val="0"/>
        <w:suppressLineNumbers w:val="0"/>
        <w:spacing w:before="0" w:beforeAutospacing="0" w:after="0" w:afterAutospacing="0" w:line="480" w:lineRule="exact"/>
        <w:ind w:left="0" w:right="0" w:firstLine="435"/>
        <w:jc w:val="both"/>
        <w:outlineLvl w:val="1"/>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一、项目名称及内容</w:t>
      </w:r>
    </w:p>
    <w:p w14:paraId="207842AB">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 xml:space="preserve">项目编号：czsjcg202504-023 </w:t>
      </w:r>
    </w:p>
    <w:p w14:paraId="0E020772">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项目名称：2025年网络宣传项目（二）</w:t>
      </w:r>
    </w:p>
    <w:p w14:paraId="037BBCEC">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采购方式：竞争性磋商</w:t>
      </w:r>
    </w:p>
    <w:p w14:paraId="312E2672">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预算金额：400000元</w:t>
      </w:r>
    </w:p>
    <w:p w14:paraId="4A5BCB03">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最高限价：肆拾万元整（400000.00元），响应报价不得高于最高限价，否则按无效响应处理</w:t>
      </w:r>
    </w:p>
    <w:p w14:paraId="1D918781">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采购需求：网络宣传服务采购</w:t>
      </w:r>
    </w:p>
    <w:p w14:paraId="64F4AD0E">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合同履行期限：一年（12个月），具体以合同签订日期为准</w:t>
      </w:r>
    </w:p>
    <w:p w14:paraId="4903ADF6">
      <w:pPr>
        <w:keepNext w:val="0"/>
        <w:keepLines w:val="0"/>
        <w:widowControl w:val="0"/>
        <w:suppressLineNumbers w:val="0"/>
        <w:autoSpaceDE w:val="0"/>
        <w:autoSpaceDN w:val="0"/>
        <w:adjustRightInd w:val="0"/>
        <w:spacing w:before="0" w:beforeAutospacing="0" w:after="0" w:afterAutospacing="0" w:line="480" w:lineRule="exact"/>
        <w:ind w:left="0" w:right="0" w:firstLine="436" w:firstLineChars="182"/>
        <w:jc w:val="left"/>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本项目不接受联合体。</w:t>
      </w:r>
    </w:p>
    <w:p w14:paraId="79572665">
      <w:pPr>
        <w:keepNext w:val="0"/>
        <w:keepLines w:val="0"/>
        <w:widowControl w:val="0"/>
        <w:suppressLineNumbers w:val="0"/>
        <w:spacing w:before="0" w:beforeAutospacing="0" w:after="0" w:afterAutospacing="0" w:line="480" w:lineRule="exact"/>
        <w:ind w:left="0" w:right="0" w:firstLine="435"/>
        <w:jc w:val="both"/>
        <w:outlineLvl w:val="1"/>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二</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申请人的资格要求</w:t>
      </w:r>
    </w:p>
    <w:p w14:paraId="0C73CCCE">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1.满足《中华人民共和国政府采购法》第二十二条规定；</w:t>
      </w:r>
    </w:p>
    <w:p w14:paraId="60BAFF97">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落实政府采购政策需满足的资格要求：按照财政部、工业和信息化部制定的《政府采购促进中小企业发展管理办法》，本项目为专门面向中小企业采购项目。企业划型标准按照《关于印发中小企业划型标准规定的通知》（工信部联企业〔2011〕300号）规定执行。</w:t>
      </w:r>
    </w:p>
    <w:p w14:paraId="090DA5A8">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3.本项目的特定资格要求：无。</w:t>
      </w:r>
    </w:p>
    <w:p w14:paraId="0BA21E75">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4.信誉要求：供应商不得存在以下情形：</w:t>
      </w:r>
    </w:p>
    <w:p w14:paraId="0862CF1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①被列入“信用中国”网站“失信被执行人”的；</w:t>
      </w:r>
    </w:p>
    <w:p w14:paraId="2AEC5A9C">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②被列入“信用中国”网站“重大税收违法失信主体”的；</w:t>
      </w:r>
    </w:p>
    <w:p w14:paraId="2A2ACF8C">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③被列入“信用中国”网站 “严重失信主体名单”的；</w:t>
      </w:r>
    </w:p>
    <w:p w14:paraId="75DF9776">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④在</w:t>
      </w:r>
      <w:bookmarkStart w:id="4" w:name="OLE_LINK129"/>
      <w:bookmarkStart w:id="5" w:name="OLE_LINK127"/>
      <w:bookmarkStart w:id="6" w:name="OLE_LINK128"/>
      <w:r>
        <w:rPr>
          <w:rFonts w:hint="eastAsia" w:ascii="宋体" w:hAnsi="宋体" w:eastAsia="宋体" w:cs="宋体"/>
          <w:color w:val="auto"/>
          <w:kern w:val="2"/>
          <w:sz w:val="24"/>
          <w:szCs w:val="24"/>
          <w:highlight w:val="none"/>
          <w:lang w:val="en-US" w:eastAsia="zh-CN" w:bidi="ar"/>
        </w:rPr>
        <w:t>“信用中国”网站</w:t>
      </w:r>
      <w:bookmarkEnd w:id="4"/>
      <w:bookmarkEnd w:id="5"/>
      <w:bookmarkEnd w:id="6"/>
      <w:r>
        <w:rPr>
          <w:rFonts w:hint="eastAsia" w:ascii="宋体" w:hAnsi="宋体" w:eastAsia="宋体" w:cs="宋体"/>
          <w:color w:val="auto"/>
          <w:kern w:val="2"/>
          <w:sz w:val="24"/>
          <w:szCs w:val="24"/>
          <w:highlight w:val="none"/>
          <w:lang w:val="en-US" w:eastAsia="zh-CN" w:bidi="ar"/>
        </w:rPr>
        <w:t>上披露的仍在公示期的严重失信行为(具体行为类别及判定依据见“信用中国”查询的严重失信行为类别及判定依据)的。</w:t>
      </w:r>
    </w:p>
    <w:p w14:paraId="00B08AF1">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⑤被列入国家企业信用信息公示系统网站“经营异常名录”或者“严重违法失信名单”的。</w:t>
      </w:r>
    </w:p>
    <w:p w14:paraId="5EC981C0">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bookmarkStart w:id="7" w:name="OLE_LINK113"/>
      <w:bookmarkStart w:id="8" w:name="OLE_LINK114"/>
      <w:r>
        <w:rPr>
          <w:rFonts w:hint="eastAsia" w:ascii="宋体" w:hAnsi="宋体" w:eastAsia="宋体" w:cs="宋体"/>
          <w:color w:val="auto"/>
          <w:kern w:val="2"/>
          <w:sz w:val="24"/>
          <w:szCs w:val="24"/>
          <w:highlight w:val="none"/>
          <w:lang w:val="en-US" w:eastAsia="zh-CN" w:bidi="ar"/>
        </w:rPr>
        <w:t>⑥</w:t>
      </w:r>
      <w:bookmarkEnd w:id="7"/>
      <w:bookmarkEnd w:id="8"/>
      <w:r>
        <w:rPr>
          <w:rFonts w:hint="eastAsia" w:ascii="宋体" w:hAnsi="宋体" w:eastAsia="宋体" w:cs="宋体"/>
          <w:color w:val="auto"/>
          <w:kern w:val="2"/>
          <w:sz w:val="24"/>
          <w:szCs w:val="24"/>
          <w:highlight w:val="none"/>
          <w:lang w:val="en-US" w:eastAsia="zh-CN" w:bidi="ar"/>
        </w:rPr>
        <w:t>被列入中国政府采购网站“政府采购严重违法失信行为信息记录”的。</w:t>
      </w:r>
    </w:p>
    <w:p w14:paraId="28C2B178">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⑦前三年有行贿犯罪行为的单位和个人。</w:t>
      </w:r>
    </w:p>
    <w:p w14:paraId="3F7EB3E1">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5.供应商所属分公司、办事处等分支机构存在第4条信誉要求①-⑦项情形之一的，接受供应商参加本项目；</w:t>
      </w:r>
    </w:p>
    <w:p w14:paraId="13A40910">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备注：第4、5条按照“关于联合惩戒失信行为加强信用查询管理的通知”查询或承诺。</w:t>
      </w:r>
    </w:p>
    <w:p w14:paraId="5975697C">
      <w:pPr>
        <w:keepNext w:val="0"/>
        <w:keepLines w:val="0"/>
        <w:widowControl w:val="0"/>
        <w:suppressLineNumbers w:val="0"/>
        <w:spacing w:before="0" w:beforeAutospacing="0" w:after="0" w:afterAutospacing="0" w:line="480" w:lineRule="exact"/>
        <w:ind w:left="0" w:right="0" w:firstLine="435"/>
        <w:jc w:val="both"/>
        <w:outlineLvl w:val="1"/>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三</w:t>
      </w:r>
      <w:r>
        <w:rPr>
          <w:rFonts w:hint="eastAsia" w:ascii="宋体" w:hAnsi="宋体" w:eastAsia="宋体" w:cs="宋体"/>
          <w:b/>
          <w:bCs w:val="0"/>
          <w:color w:val="auto"/>
          <w:kern w:val="2"/>
          <w:sz w:val="24"/>
          <w:szCs w:val="24"/>
          <w:highlight w:val="none"/>
          <w:lang w:val="en-US" w:eastAsia="zh-CN" w:bidi="ar"/>
        </w:rPr>
        <w:t>、获取采购文件</w:t>
      </w:r>
    </w:p>
    <w:p w14:paraId="2E8308EF">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时间：</w:t>
      </w:r>
      <w:r>
        <w:rPr>
          <w:rFonts w:hint="eastAsia" w:ascii="宋体" w:hAnsi="宋体" w:eastAsia="宋体" w:cs="宋体"/>
          <w:color w:val="auto"/>
          <w:kern w:val="2"/>
          <w:sz w:val="24"/>
          <w:szCs w:val="24"/>
          <w:highlight w:val="none"/>
          <w:u w:val="single"/>
          <w:lang w:val="en-US" w:eastAsia="zh-CN" w:bidi="ar"/>
        </w:rPr>
        <w:t>2025</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4</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21 </w:t>
      </w:r>
      <w:r>
        <w:rPr>
          <w:rFonts w:hint="eastAsia" w:ascii="宋体" w:hAnsi="宋体" w:eastAsia="宋体" w:cs="宋体"/>
          <w:color w:val="auto"/>
          <w:kern w:val="2"/>
          <w:sz w:val="24"/>
          <w:szCs w:val="24"/>
          <w:highlight w:val="none"/>
          <w:lang w:val="en-US" w:eastAsia="zh-CN" w:bidi="ar"/>
        </w:rPr>
        <w:t>日至</w:t>
      </w:r>
      <w:r>
        <w:rPr>
          <w:rFonts w:hint="eastAsia" w:ascii="宋体" w:hAnsi="宋体" w:eastAsia="宋体" w:cs="宋体"/>
          <w:color w:val="auto"/>
          <w:kern w:val="2"/>
          <w:sz w:val="24"/>
          <w:szCs w:val="24"/>
          <w:highlight w:val="none"/>
          <w:u w:val="single"/>
          <w:lang w:val="en-US" w:eastAsia="zh-CN" w:bidi="ar"/>
        </w:rPr>
        <w:t>2025</w:t>
      </w:r>
      <w:r>
        <w:rPr>
          <w:rFonts w:hint="eastAsia" w:ascii="宋体" w:hAnsi="宋体" w:eastAsia="宋体" w:cs="宋体"/>
          <w:color w:val="auto"/>
          <w:kern w:val="2"/>
          <w:sz w:val="24"/>
          <w:szCs w:val="24"/>
          <w:highlight w:val="none"/>
          <w:lang w:val="en-US" w:eastAsia="zh-CN" w:bidi="ar"/>
        </w:rPr>
        <w:t>年</w:t>
      </w:r>
      <w:r>
        <w:rPr>
          <w:rFonts w:hint="eastAsia" w:ascii="宋体" w:hAnsi="宋体" w:eastAsia="宋体" w:cs="宋体"/>
          <w:color w:val="auto"/>
          <w:kern w:val="2"/>
          <w:sz w:val="24"/>
          <w:szCs w:val="24"/>
          <w:highlight w:val="none"/>
          <w:u w:val="single"/>
          <w:lang w:val="en-US" w:eastAsia="zh-CN" w:bidi="ar"/>
        </w:rPr>
        <w:t>5</w:t>
      </w:r>
      <w:r>
        <w:rPr>
          <w:rFonts w:hint="eastAsia" w:ascii="宋体" w:hAnsi="宋体" w:eastAsia="宋体" w:cs="宋体"/>
          <w:color w:val="auto"/>
          <w:kern w:val="2"/>
          <w:sz w:val="24"/>
          <w:szCs w:val="24"/>
          <w:highlight w:val="none"/>
          <w:lang w:val="en-US" w:eastAsia="zh-CN" w:bidi="ar"/>
        </w:rPr>
        <w:t>月</w:t>
      </w:r>
      <w:r>
        <w:rPr>
          <w:rFonts w:hint="eastAsia" w:ascii="宋体" w:hAnsi="宋体" w:eastAsia="宋体" w:cs="宋体"/>
          <w:color w:val="auto"/>
          <w:kern w:val="2"/>
          <w:sz w:val="24"/>
          <w:szCs w:val="24"/>
          <w:highlight w:val="none"/>
          <w:u w:val="single"/>
          <w:lang w:val="en-US" w:eastAsia="zh-CN" w:bidi="ar"/>
        </w:rPr>
        <w:t xml:space="preserve"> 7 </w:t>
      </w:r>
      <w:r>
        <w:rPr>
          <w:rFonts w:hint="eastAsia" w:ascii="宋体" w:hAnsi="宋体" w:eastAsia="宋体" w:cs="宋体"/>
          <w:color w:val="auto"/>
          <w:kern w:val="2"/>
          <w:sz w:val="24"/>
          <w:szCs w:val="24"/>
          <w:highlight w:val="none"/>
          <w:lang w:val="en-US" w:eastAsia="zh-CN" w:bidi="ar"/>
        </w:rPr>
        <w:t>日</w:t>
      </w:r>
    </w:p>
    <w:p w14:paraId="5B729517">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地点：</w:t>
      </w:r>
      <w:r>
        <w:rPr>
          <w:rFonts w:hint="eastAsia" w:ascii="宋体" w:hAnsi="宋体" w:eastAsia="宋体" w:cs="宋体"/>
          <w:color w:val="auto"/>
          <w:kern w:val="2"/>
          <w:sz w:val="24"/>
          <w:szCs w:val="24"/>
          <w:highlight w:val="none"/>
          <w:u w:val="single"/>
          <w:lang w:val="en-US" w:eastAsia="zh-CN" w:bidi="ar"/>
        </w:rPr>
        <w:t>滁州市公共资源交易中心网</w:t>
      </w:r>
    </w:p>
    <w:p w14:paraId="5BBC6769">
      <w:pPr>
        <w:keepNext w:val="0"/>
        <w:keepLines w:val="0"/>
        <w:widowControl w:val="0"/>
        <w:suppressLineNumbers w:val="0"/>
        <w:autoSpaceDE w:val="0"/>
        <w:autoSpaceDN/>
        <w:spacing w:before="0" w:beforeAutospacing="0" w:after="0" w:afterAutospacing="0" w:line="480" w:lineRule="exact"/>
        <w:ind w:left="0" w:right="0" w:firstLine="480" w:firstLineChars="200"/>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方式：</w:t>
      </w:r>
      <w:r>
        <w:rPr>
          <w:rFonts w:hint="eastAsia" w:ascii="宋体" w:hAnsi="宋体" w:eastAsia="宋体" w:cs="宋体"/>
          <w:color w:val="auto"/>
          <w:kern w:val="2"/>
          <w:sz w:val="24"/>
          <w:szCs w:val="24"/>
          <w:highlight w:val="none"/>
          <w:u w:val="single"/>
          <w:lang w:val="en-US" w:eastAsia="zh-CN" w:bidi="ar"/>
        </w:rPr>
        <w:t>网上下载</w:t>
      </w:r>
    </w:p>
    <w:p w14:paraId="2F8B0435">
      <w:pPr>
        <w:keepNext w:val="0"/>
        <w:keepLines w:val="0"/>
        <w:widowControl w:val="0"/>
        <w:suppressLineNumbers w:val="0"/>
        <w:autoSpaceDE w:val="0"/>
        <w:autoSpaceDN/>
        <w:spacing w:before="0" w:beforeAutospacing="0" w:after="0" w:afterAutospacing="0" w:line="480" w:lineRule="exact"/>
        <w:ind w:left="0" w:right="0" w:firstLine="480" w:firstLineChars="200"/>
        <w:jc w:val="both"/>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售价：</w:t>
      </w:r>
      <w:r>
        <w:rPr>
          <w:rFonts w:hint="eastAsia" w:ascii="宋体" w:hAnsi="宋体" w:eastAsia="宋体" w:cs="宋体"/>
          <w:color w:val="auto"/>
          <w:kern w:val="2"/>
          <w:sz w:val="24"/>
          <w:szCs w:val="24"/>
          <w:highlight w:val="none"/>
          <w:u w:val="single"/>
          <w:lang w:val="en-US" w:eastAsia="zh-CN" w:bidi="ar"/>
        </w:rPr>
        <w:t>0元</w:t>
      </w:r>
    </w:p>
    <w:p w14:paraId="28F555AC">
      <w:pPr>
        <w:keepNext w:val="0"/>
        <w:keepLines w:val="0"/>
        <w:widowControl w:val="0"/>
        <w:suppressLineNumbers w:val="0"/>
        <w:spacing w:before="0" w:beforeAutospacing="0" w:after="0" w:afterAutospacing="0" w:line="480" w:lineRule="exact"/>
        <w:ind w:left="0" w:right="0" w:firstLine="435"/>
        <w:jc w:val="both"/>
        <w:outlineLvl w:val="1"/>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四</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响应文件提交</w:t>
      </w:r>
    </w:p>
    <w:p w14:paraId="0CD54918">
      <w:pPr>
        <w:keepNext w:val="0"/>
        <w:keepLines w:val="0"/>
        <w:widowControl w:val="0"/>
        <w:suppressLineNumbers w:val="0"/>
        <w:spacing w:before="0" w:beforeAutospacing="0" w:after="0" w:afterAutospacing="0" w:line="480" w:lineRule="exact"/>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截止时间：</w:t>
      </w:r>
      <w:r>
        <w:rPr>
          <w:rFonts w:hint="eastAsia" w:ascii="宋体" w:hAnsi="宋体" w:eastAsia="宋体" w:cs="宋体"/>
          <w:bCs/>
          <w:color w:val="auto"/>
          <w:kern w:val="2"/>
          <w:sz w:val="24"/>
          <w:szCs w:val="24"/>
          <w:highlight w:val="none"/>
          <w:u w:val="single"/>
          <w:lang w:val="en-US" w:eastAsia="zh-CN" w:bidi="ar"/>
        </w:rPr>
        <w:t>2025</w:t>
      </w:r>
      <w:r>
        <w:rPr>
          <w:rFonts w:hint="eastAsia" w:ascii="宋体" w:hAnsi="宋体" w:eastAsia="宋体" w:cs="宋体"/>
          <w:bCs/>
          <w:color w:val="auto"/>
          <w:kern w:val="2"/>
          <w:sz w:val="24"/>
          <w:szCs w:val="24"/>
          <w:highlight w:val="none"/>
          <w:lang w:val="en-US" w:eastAsia="zh-CN" w:bidi="ar"/>
        </w:rPr>
        <w:t>年</w:t>
      </w:r>
      <w:r>
        <w:rPr>
          <w:rFonts w:hint="eastAsia" w:ascii="宋体" w:hAnsi="宋体" w:eastAsia="宋体" w:cs="宋体"/>
          <w:bCs/>
          <w:color w:val="auto"/>
          <w:kern w:val="2"/>
          <w:sz w:val="24"/>
          <w:szCs w:val="24"/>
          <w:highlight w:val="none"/>
          <w:u w:val="single"/>
          <w:lang w:val="en-US" w:eastAsia="zh-CN" w:bidi="ar"/>
        </w:rPr>
        <w:t>5</w:t>
      </w:r>
      <w:r>
        <w:rPr>
          <w:rFonts w:hint="eastAsia" w:ascii="宋体" w:hAnsi="宋体" w:eastAsia="宋体" w:cs="宋体"/>
          <w:bCs/>
          <w:color w:val="auto"/>
          <w:kern w:val="2"/>
          <w:sz w:val="24"/>
          <w:szCs w:val="24"/>
          <w:highlight w:val="none"/>
          <w:lang w:val="en-US" w:eastAsia="zh-CN" w:bidi="ar"/>
        </w:rPr>
        <w:t>月</w:t>
      </w:r>
      <w:r>
        <w:rPr>
          <w:rFonts w:hint="eastAsia" w:ascii="宋体" w:hAnsi="宋体" w:eastAsia="宋体" w:cs="宋体"/>
          <w:bCs/>
          <w:color w:val="auto"/>
          <w:kern w:val="2"/>
          <w:sz w:val="24"/>
          <w:szCs w:val="24"/>
          <w:highlight w:val="none"/>
          <w:u w:val="single"/>
          <w:lang w:val="en-US" w:eastAsia="zh-CN" w:bidi="ar"/>
        </w:rPr>
        <w:t xml:space="preserve"> 7 </w:t>
      </w:r>
      <w:r>
        <w:rPr>
          <w:rFonts w:hint="eastAsia" w:ascii="宋体" w:hAnsi="宋体" w:eastAsia="宋体" w:cs="宋体"/>
          <w:bCs/>
          <w:color w:val="auto"/>
          <w:kern w:val="2"/>
          <w:sz w:val="24"/>
          <w:szCs w:val="24"/>
          <w:highlight w:val="none"/>
          <w:lang w:val="en-US" w:eastAsia="zh-CN" w:bidi="ar"/>
        </w:rPr>
        <w:t>日</w:t>
      </w:r>
      <w:r>
        <w:rPr>
          <w:rFonts w:hint="eastAsia" w:ascii="宋体" w:hAnsi="宋体" w:eastAsia="宋体" w:cs="宋体"/>
          <w:bCs/>
          <w:color w:val="auto"/>
          <w:kern w:val="2"/>
          <w:sz w:val="24"/>
          <w:szCs w:val="24"/>
          <w:highlight w:val="none"/>
          <w:u w:val="single"/>
          <w:lang w:val="en-US" w:eastAsia="zh-CN" w:bidi="ar"/>
        </w:rPr>
        <w:t>8</w:t>
      </w:r>
      <w:r>
        <w:rPr>
          <w:rFonts w:hint="eastAsia" w:ascii="宋体" w:hAnsi="宋体" w:eastAsia="宋体" w:cs="宋体"/>
          <w:bCs/>
          <w:color w:val="auto"/>
          <w:kern w:val="2"/>
          <w:sz w:val="24"/>
          <w:szCs w:val="24"/>
          <w:highlight w:val="none"/>
          <w:lang w:val="en-US" w:eastAsia="zh-CN" w:bidi="ar"/>
        </w:rPr>
        <w:t>点</w:t>
      </w:r>
      <w:r>
        <w:rPr>
          <w:rFonts w:hint="eastAsia" w:ascii="宋体" w:hAnsi="宋体" w:eastAsia="宋体" w:cs="宋体"/>
          <w:bCs/>
          <w:color w:val="auto"/>
          <w:kern w:val="2"/>
          <w:sz w:val="24"/>
          <w:szCs w:val="24"/>
          <w:highlight w:val="none"/>
          <w:u w:val="single"/>
          <w:lang w:val="en-US" w:eastAsia="zh-CN" w:bidi="ar"/>
        </w:rPr>
        <w:t>00</w:t>
      </w:r>
      <w:r>
        <w:rPr>
          <w:rFonts w:hint="eastAsia" w:ascii="宋体" w:hAnsi="宋体" w:eastAsia="宋体" w:cs="宋体"/>
          <w:bCs/>
          <w:color w:val="auto"/>
          <w:kern w:val="2"/>
          <w:sz w:val="24"/>
          <w:szCs w:val="24"/>
          <w:highlight w:val="none"/>
          <w:lang w:val="en-US" w:eastAsia="zh-CN" w:bidi="ar"/>
        </w:rPr>
        <w:t>分（北京时间）</w:t>
      </w:r>
    </w:p>
    <w:p w14:paraId="3338ADFC">
      <w:pPr>
        <w:keepNext w:val="0"/>
        <w:keepLines w:val="0"/>
        <w:widowControl w:val="0"/>
        <w:suppressLineNumbers w:val="0"/>
        <w:spacing w:before="0" w:beforeAutospacing="0" w:after="0" w:afterAutospacing="0" w:line="480" w:lineRule="exact"/>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地点：滁州市公共资源交易平台电子交易系统</w:t>
      </w:r>
    </w:p>
    <w:p w14:paraId="48E86873">
      <w:pPr>
        <w:keepNext w:val="0"/>
        <w:keepLines w:val="0"/>
        <w:widowControl w:val="0"/>
        <w:suppressLineNumbers w:val="0"/>
        <w:spacing w:before="0" w:beforeAutospacing="0" w:after="0" w:afterAutospacing="0" w:line="480" w:lineRule="exact"/>
        <w:ind w:left="0" w:right="0" w:firstLine="435"/>
        <w:jc w:val="both"/>
        <w:outlineLvl w:val="1"/>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五</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开启</w:t>
      </w:r>
    </w:p>
    <w:p w14:paraId="7CB84E76">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时间：</w:t>
      </w:r>
      <w:r>
        <w:rPr>
          <w:rFonts w:hint="eastAsia" w:ascii="宋体" w:hAnsi="宋体" w:eastAsia="宋体" w:cs="宋体"/>
          <w:bCs/>
          <w:color w:val="auto"/>
          <w:kern w:val="2"/>
          <w:sz w:val="24"/>
          <w:szCs w:val="24"/>
          <w:highlight w:val="none"/>
          <w:u w:val="single"/>
          <w:lang w:val="en-US" w:eastAsia="zh-CN" w:bidi="ar"/>
        </w:rPr>
        <w:t>2025</w:t>
      </w:r>
      <w:r>
        <w:rPr>
          <w:rFonts w:hint="eastAsia" w:ascii="宋体" w:hAnsi="宋体" w:eastAsia="宋体" w:cs="宋体"/>
          <w:bCs/>
          <w:color w:val="auto"/>
          <w:kern w:val="2"/>
          <w:sz w:val="24"/>
          <w:szCs w:val="24"/>
          <w:highlight w:val="none"/>
          <w:lang w:val="en-US" w:eastAsia="zh-CN" w:bidi="ar"/>
        </w:rPr>
        <w:t>年</w:t>
      </w:r>
      <w:r>
        <w:rPr>
          <w:rFonts w:hint="eastAsia" w:ascii="宋体" w:hAnsi="宋体" w:eastAsia="宋体" w:cs="宋体"/>
          <w:bCs/>
          <w:color w:val="auto"/>
          <w:kern w:val="2"/>
          <w:sz w:val="24"/>
          <w:szCs w:val="24"/>
          <w:highlight w:val="none"/>
          <w:u w:val="single"/>
          <w:lang w:val="en-US" w:eastAsia="zh-CN" w:bidi="ar"/>
        </w:rPr>
        <w:t>5</w:t>
      </w:r>
      <w:r>
        <w:rPr>
          <w:rFonts w:hint="eastAsia" w:ascii="宋体" w:hAnsi="宋体" w:eastAsia="宋体" w:cs="宋体"/>
          <w:bCs/>
          <w:color w:val="auto"/>
          <w:kern w:val="2"/>
          <w:sz w:val="24"/>
          <w:szCs w:val="24"/>
          <w:highlight w:val="none"/>
          <w:lang w:val="en-US" w:eastAsia="zh-CN" w:bidi="ar"/>
        </w:rPr>
        <w:t>月</w:t>
      </w:r>
      <w:r>
        <w:rPr>
          <w:rFonts w:hint="eastAsia" w:ascii="宋体" w:hAnsi="宋体" w:eastAsia="宋体" w:cs="宋体"/>
          <w:bCs/>
          <w:color w:val="auto"/>
          <w:kern w:val="2"/>
          <w:sz w:val="24"/>
          <w:szCs w:val="24"/>
          <w:highlight w:val="none"/>
          <w:u w:val="single"/>
          <w:lang w:val="en-US" w:eastAsia="zh-CN" w:bidi="ar"/>
        </w:rPr>
        <w:t xml:space="preserve"> 7 </w:t>
      </w:r>
      <w:r>
        <w:rPr>
          <w:rFonts w:hint="eastAsia" w:ascii="宋体" w:hAnsi="宋体" w:eastAsia="宋体" w:cs="宋体"/>
          <w:bCs/>
          <w:color w:val="auto"/>
          <w:kern w:val="2"/>
          <w:sz w:val="24"/>
          <w:szCs w:val="24"/>
          <w:highlight w:val="none"/>
          <w:lang w:val="en-US" w:eastAsia="zh-CN" w:bidi="ar"/>
        </w:rPr>
        <w:t>日</w:t>
      </w:r>
      <w:r>
        <w:rPr>
          <w:rFonts w:hint="eastAsia" w:ascii="宋体" w:hAnsi="宋体" w:eastAsia="宋体" w:cs="宋体"/>
          <w:bCs/>
          <w:color w:val="auto"/>
          <w:kern w:val="2"/>
          <w:sz w:val="24"/>
          <w:szCs w:val="24"/>
          <w:highlight w:val="none"/>
          <w:u w:val="single"/>
          <w:lang w:val="en-US" w:eastAsia="zh-CN" w:bidi="ar"/>
        </w:rPr>
        <w:t>8</w:t>
      </w:r>
      <w:r>
        <w:rPr>
          <w:rFonts w:hint="eastAsia" w:ascii="宋体" w:hAnsi="宋体" w:eastAsia="宋体" w:cs="宋体"/>
          <w:bCs/>
          <w:color w:val="auto"/>
          <w:kern w:val="2"/>
          <w:sz w:val="24"/>
          <w:szCs w:val="24"/>
          <w:highlight w:val="none"/>
          <w:lang w:val="en-US" w:eastAsia="zh-CN" w:bidi="ar"/>
        </w:rPr>
        <w:t>点</w:t>
      </w:r>
      <w:r>
        <w:rPr>
          <w:rFonts w:hint="eastAsia" w:ascii="宋体" w:hAnsi="宋体" w:eastAsia="宋体" w:cs="宋体"/>
          <w:bCs/>
          <w:color w:val="auto"/>
          <w:kern w:val="2"/>
          <w:sz w:val="24"/>
          <w:szCs w:val="24"/>
          <w:highlight w:val="none"/>
          <w:u w:val="single"/>
          <w:lang w:val="en-US" w:eastAsia="zh-CN" w:bidi="ar"/>
        </w:rPr>
        <w:t>00</w:t>
      </w:r>
      <w:r>
        <w:rPr>
          <w:rFonts w:hint="eastAsia" w:ascii="宋体" w:hAnsi="宋体" w:eastAsia="宋体" w:cs="宋体"/>
          <w:bCs/>
          <w:color w:val="auto"/>
          <w:kern w:val="2"/>
          <w:sz w:val="24"/>
          <w:szCs w:val="24"/>
          <w:highlight w:val="none"/>
          <w:lang w:val="en-US" w:eastAsia="zh-CN" w:bidi="ar"/>
        </w:rPr>
        <w:t>分（北京时间）</w:t>
      </w:r>
    </w:p>
    <w:p w14:paraId="0650878F">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地点：滁州市公共资源交易平台电子交易系统</w:t>
      </w:r>
    </w:p>
    <w:p w14:paraId="1510FB2A">
      <w:pPr>
        <w:keepNext w:val="0"/>
        <w:keepLines w:val="0"/>
        <w:widowControl w:val="0"/>
        <w:suppressLineNumbers w:val="0"/>
        <w:spacing w:before="0" w:beforeAutospacing="0" w:after="0" w:afterAutospacing="0" w:line="480" w:lineRule="exact"/>
        <w:ind w:left="0" w:right="0" w:firstLine="435"/>
        <w:jc w:val="both"/>
        <w:outlineLvl w:val="1"/>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六、公告期限</w:t>
      </w:r>
    </w:p>
    <w:p w14:paraId="37434D3F">
      <w:pPr>
        <w:keepNext w:val="0"/>
        <w:keepLines w:val="0"/>
        <w:widowControl w:val="0"/>
        <w:suppressLineNumbers w:val="0"/>
        <w:adjustRightInd w:val="0"/>
        <w:snapToGrid w:val="0"/>
        <w:spacing w:before="0" w:beforeAutospacing="0" w:after="0" w:afterAutospacing="0" w:line="480" w:lineRule="exact"/>
        <w:ind w:left="0" w:right="0" w:firstLine="480" w:firstLineChars="200"/>
        <w:jc w:val="both"/>
        <w:rPr>
          <w:rFonts w:hint="eastAsia" w:ascii="宋体" w:hAnsi="宋体" w:eastAsia="宋体" w:cs="宋体"/>
          <w:bCs/>
          <w:color w:val="auto"/>
          <w:kern w:val="2"/>
          <w:sz w:val="24"/>
          <w:szCs w:val="24"/>
          <w:highlight w:val="none"/>
        </w:rPr>
      </w:pPr>
      <w:r>
        <w:rPr>
          <w:rFonts w:hint="eastAsia" w:ascii="宋体" w:hAnsi="宋体" w:eastAsia="宋体" w:cs="宋体"/>
          <w:bCs/>
          <w:color w:val="auto"/>
          <w:kern w:val="2"/>
          <w:sz w:val="24"/>
          <w:szCs w:val="24"/>
          <w:highlight w:val="none"/>
          <w:lang w:val="en-US" w:eastAsia="zh-CN" w:bidi="ar"/>
        </w:rPr>
        <w:t>自本公告发布之日起3个工作日。</w:t>
      </w:r>
    </w:p>
    <w:p w14:paraId="78FF6FEA">
      <w:pPr>
        <w:keepNext w:val="0"/>
        <w:keepLines w:val="0"/>
        <w:widowControl w:val="0"/>
        <w:suppressLineNumbers w:val="0"/>
        <w:spacing w:before="0" w:beforeAutospacing="0" w:after="0" w:afterAutospacing="0" w:line="480" w:lineRule="exact"/>
        <w:ind w:left="0" w:right="0" w:firstLine="435"/>
        <w:jc w:val="both"/>
        <w:outlineLvl w:val="1"/>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七、其他补充事宜</w:t>
      </w:r>
    </w:p>
    <w:p w14:paraId="7A5F495B">
      <w:pPr>
        <w:keepNext w:val="0"/>
        <w:keepLines w:val="0"/>
        <w:widowControl w:val="0"/>
        <w:suppressLineNumbers w:val="0"/>
        <w:wordWrap w:val="0"/>
        <w:autoSpaceDE w:val="0"/>
        <w:autoSpaceDN/>
        <w:spacing w:before="0" w:beforeAutospacing="0" w:after="0" w:afterAutospacing="0" w:line="48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本项目只接受在安徽省公共资源交易市场主体库（http://ggzy.ah.gov.cn/ahggfwpt-zhutiku/dengludenglu）登记并进行信息确认提交的供应商参与，未登记的供应商请及时办理CA数字证书并登录安徽省公共资源交易市场主体库进行信息填写及确认提交；已办理过CA数字证书视为已在省库登记，进行信息更新及确认提交即可。办理流程为登录滁州市公共资源交易中心网&gt;服务指南&gt;办事指南中的“CA数字证书和电子签章”及“市场主体登记”。相关服务电话：1.安徽省公共资源交易市场主体库使用相关问题（系统登录、信息登记、录入及提交、数字证书关联等）：010-86483801转5-2 ；2.CA数字证书有关问题：安徽CA客服400-880-4959、0550-3019013（工作日），CFCA客服025-66085508 、0550-3801669（工作日）；3.市场主体招标环节和投标环节系统使用问题：0512-58188516（8:00-21:00）、0550-3801701（工作日）。因未及时通过CA数字证书登录省主体库对相关信息进行补充完善并确认提交，导致无法参与本项目的，责任自负。为保证系统使用过程中产生的问题能够及时得到解决，请各主体进行主体信息登记、更新、响应文件制作等相关操作。</w:t>
      </w:r>
    </w:p>
    <w:p w14:paraId="34770181">
      <w:pPr>
        <w:keepNext w:val="0"/>
        <w:keepLines w:val="0"/>
        <w:widowControl w:val="0"/>
        <w:suppressLineNumbers w:val="0"/>
        <w:wordWrap w:val="0"/>
        <w:autoSpaceDE w:val="0"/>
        <w:autoSpaceDN/>
        <w:spacing w:before="0" w:beforeAutospacing="0" w:after="0" w:afterAutospacing="0" w:line="48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2.请供应商登录滁州市公共资源交易中心网站查看参加本项目的程序。（具体操作步骤和程序请参见服务指南&gt;交易须知&gt;投标人填写投标信息、下载文件及网上提问操作手册）。</w:t>
      </w:r>
    </w:p>
    <w:p w14:paraId="1A07E542">
      <w:pPr>
        <w:keepNext w:val="0"/>
        <w:keepLines w:val="0"/>
        <w:widowControl w:val="0"/>
        <w:suppressLineNumbers w:val="0"/>
        <w:wordWrap w:val="0"/>
        <w:autoSpaceDE w:val="0"/>
        <w:autoSpaceDN/>
        <w:spacing w:before="0" w:beforeAutospacing="0" w:after="0" w:afterAutospacing="0" w:line="480" w:lineRule="exact"/>
        <w:ind w:left="0" w:right="0" w:firstLine="480" w:firstLineChars="200"/>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3.本项目采用不见面（远程解密)方式，开启时供应商无须至现场进行解密，采取远程解密方式解密响应文件，解密方式为：供应商在开启时间前使用CA数字证书登录滁州市“不见面开标系统”，网址为https://ggzy.chuzhou.gov.cn/BidOpening,等待开启并按系统提示进行相应的供应商解密等事项，无需到现场。采用本方式可以观看开启现场音视频直播并进行互动交流。具体操作方法见中心网站&gt;服务指南&gt;交易须知中的《滁州市不见面开标系统操作手册》。</w:t>
      </w:r>
    </w:p>
    <w:p w14:paraId="76806A66">
      <w:pPr>
        <w:keepNext w:val="0"/>
        <w:keepLines w:val="0"/>
        <w:widowControl w:val="0"/>
        <w:suppressLineNumbers w:val="0"/>
        <w:wordWrap w:val="0"/>
        <w:autoSpaceDE w:val="0"/>
        <w:autoSpaceDN/>
        <w:spacing w:before="0" w:beforeAutospacing="0" w:after="0" w:afterAutospacing="0" w:line="480" w:lineRule="exact"/>
        <w:ind w:left="0" w:right="0" w:firstLine="480" w:firstLineChars="200"/>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4.供应商接到远程解密指令后，须在规定时间内解密。因供应商自身原因导致响应文件在规定时间内未能解密、解密失败或解密超时，响应文件无效；因采购代理机构原因或网上平台发生故障，导致无法按时完成响应文件解密的，经采购代理机构申请后可延迟解密时间。</w:t>
      </w:r>
    </w:p>
    <w:p w14:paraId="759609E0">
      <w:pPr>
        <w:keepNext w:val="0"/>
        <w:keepLines w:val="0"/>
        <w:widowControl w:val="0"/>
        <w:suppressLineNumbers w:val="0"/>
        <w:spacing w:before="0" w:beforeAutospacing="0" w:after="0" w:afterAutospacing="0" w:line="360" w:lineRule="auto"/>
        <w:ind w:left="0" w:right="0" w:firstLine="435"/>
        <w:jc w:val="both"/>
        <w:outlineLvl w:val="1"/>
        <w:rPr>
          <w:rFonts w:hint="eastAsia" w:ascii="宋体" w:hAnsi="宋体" w:eastAsia="宋体" w:cs="@仿宋_GB2312"/>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八</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b/>
          <w:bCs/>
          <w:color w:val="auto"/>
          <w:kern w:val="2"/>
          <w:sz w:val="24"/>
          <w:szCs w:val="24"/>
          <w:highlight w:val="none"/>
          <w:lang w:val="en-US" w:eastAsia="zh-CN" w:bidi="ar"/>
        </w:rPr>
        <w:t>凡对本次采购提出询问，请按以下方式联系</w:t>
      </w:r>
    </w:p>
    <w:p w14:paraId="5F931432">
      <w:pPr>
        <w:keepNext w:val="0"/>
        <w:keepLines w:val="0"/>
        <w:widowControl w:val="0"/>
        <w:suppressLineNumbers w:val="0"/>
        <w:spacing w:before="0" w:beforeAutospacing="0" w:after="0" w:afterAutospacing="0" w:line="360" w:lineRule="auto"/>
        <w:ind w:left="0" w:right="0" w:firstLine="437"/>
        <w:jc w:val="both"/>
        <w:outlineLvl w:val="2"/>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1.采购人信息</w:t>
      </w:r>
    </w:p>
    <w:p w14:paraId="4330BBD9">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名  称：</w:t>
      </w:r>
      <w:r>
        <w:rPr>
          <w:rFonts w:hint="eastAsia" w:ascii="宋体" w:hAnsi="宋体" w:eastAsia="宋体" w:cs="宋体"/>
          <w:color w:val="auto"/>
          <w:kern w:val="2"/>
          <w:sz w:val="24"/>
          <w:szCs w:val="24"/>
          <w:highlight w:val="none"/>
          <w:u w:val="single"/>
          <w:lang w:val="en-US" w:eastAsia="zh-CN" w:bidi="ar"/>
        </w:rPr>
        <w:t>中共滁州市委网络安全和信息化委员会办公室</w:t>
      </w:r>
    </w:p>
    <w:p w14:paraId="060E9F30">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地</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址：</w:t>
      </w:r>
      <w:r>
        <w:rPr>
          <w:rFonts w:hint="eastAsia" w:ascii="宋体" w:hAnsi="宋体" w:eastAsia="宋体" w:cs="宋体"/>
          <w:color w:val="auto"/>
          <w:kern w:val="2"/>
          <w:sz w:val="24"/>
          <w:szCs w:val="24"/>
          <w:highlight w:val="none"/>
          <w:u w:val="single"/>
          <w:lang w:val="en-US" w:eastAsia="zh-CN" w:bidi="ar"/>
        </w:rPr>
        <w:t>滁州市龙蟠大道99号政务中心</w:t>
      </w:r>
    </w:p>
    <w:p w14:paraId="017916A9">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联系人：</w:t>
      </w:r>
      <w:r>
        <w:rPr>
          <w:rFonts w:hint="eastAsia" w:ascii="宋体" w:hAnsi="宋体" w:eastAsia="宋体" w:cs="宋体"/>
          <w:color w:val="auto"/>
          <w:kern w:val="2"/>
          <w:sz w:val="24"/>
          <w:szCs w:val="24"/>
          <w:highlight w:val="none"/>
          <w:u w:val="single"/>
          <w:lang w:val="en-US" w:eastAsia="zh-CN" w:bidi="ar"/>
        </w:rPr>
        <w:t>谢秉祺</w:t>
      </w:r>
    </w:p>
    <w:p w14:paraId="2A8C0E5F">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联系方式：</w:t>
      </w:r>
      <w:r>
        <w:rPr>
          <w:rFonts w:hint="eastAsia" w:ascii="宋体" w:hAnsi="宋体" w:eastAsia="宋体" w:cs="宋体"/>
          <w:color w:val="auto"/>
          <w:kern w:val="2"/>
          <w:sz w:val="24"/>
          <w:szCs w:val="24"/>
          <w:highlight w:val="none"/>
          <w:u w:val="single"/>
          <w:lang w:val="en-US" w:eastAsia="zh-CN" w:bidi="ar"/>
        </w:rPr>
        <w:t>0550-3802028</w:t>
      </w:r>
    </w:p>
    <w:p w14:paraId="7E88303C">
      <w:pPr>
        <w:keepNext w:val="0"/>
        <w:keepLines w:val="0"/>
        <w:widowControl w:val="0"/>
        <w:suppressLineNumbers w:val="0"/>
        <w:spacing w:before="0" w:beforeAutospacing="0" w:after="0" w:afterAutospacing="0" w:line="360" w:lineRule="auto"/>
        <w:ind w:left="0" w:right="0" w:firstLine="437"/>
        <w:jc w:val="both"/>
        <w:outlineLvl w:val="2"/>
        <w:rPr>
          <w:rFonts w:hint="eastAsia" w:ascii="宋体" w:hAnsi="宋体" w:eastAsia="宋体" w:cs="@仿宋_GB2312"/>
          <w:color w:val="auto"/>
          <w:kern w:val="2"/>
          <w:sz w:val="24"/>
          <w:szCs w:val="24"/>
          <w:highlight w:val="none"/>
        </w:rPr>
      </w:pPr>
      <w:r>
        <w:rPr>
          <w:rFonts w:hint="eastAsia" w:ascii="宋体" w:hAnsi="宋体" w:eastAsia="宋体" w:cs="@仿宋_GB2312"/>
          <w:color w:val="auto"/>
          <w:kern w:val="2"/>
          <w:sz w:val="24"/>
          <w:szCs w:val="24"/>
          <w:highlight w:val="none"/>
          <w:lang w:val="en-US" w:eastAsia="zh-CN" w:bidi="ar"/>
        </w:rPr>
        <w:t>2.采购代理机构</w:t>
      </w:r>
      <w:r>
        <w:rPr>
          <w:rFonts w:hint="eastAsia" w:ascii="宋体" w:hAnsi="宋体" w:eastAsia="宋体" w:cs="宋体"/>
          <w:color w:val="auto"/>
          <w:kern w:val="2"/>
          <w:sz w:val="24"/>
          <w:szCs w:val="24"/>
          <w:highlight w:val="none"/>
          <w:lang w:val="en-US" w:eastAsia="zh-CN" w:bidi="ar"/>
        </w:rPr>
        <w:t>信息</w:t>
      </w:r>
    </w:p>
    <w:p w14:paraId="6D34AA02">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名  称：</w:t>
      </w:r>
      <w:r>
        <w:rPr>
          <w:rFonts w:hint="eastAsia" w:ascii="宋体" w:hAnsi="宋体" w:eastAsia="宋体" w:cs="宋体"/>
          <w:color w:val="auto"/>
          <w:kern w:val="2"/>
          <w:sz w:val="24"/>
          <w:szCs w:val="24"/>
          <w:highlight w:val="none"/>
          <w:u w:val="single"/>
          <w:lang w:val="en-US" w:eastAsia="zh-CN" w:bidi="ar"/>
        </w:rPr>
        <w:t>滁州市城投工程咨询管理有限公司</w:t>
      </w:r>
    </w:p>
    <w:p w14:paraId="4C53C5C3">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地</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址：</w:t>
      </w:r>
      <w:r>
        <w:rPr>
          <w:rFonts w:hint="eastAsia" w:ascii="宋体" w:hAnsi="宋体" w:eastAsia="宋体" w:cs="宋体"/>
          <w:color w:val="auto"/>
          <w:kern w:val="2"/>
          <w:sz w:val="24"/>
          <w:szCs w:val="24"/>
          <w:highlight w:val="none"/>
          <w:u w:val="single"/>
          <w:lang w:val="en-US" w:eastAsia="zh-CN" w:bidi="ar"/>
        </w:rPr>
        <w:t>滁州市龙蟠大道109号房产商务大厦6楼605室</w:t>
      </w:r>
    </w:p>
    <w:p w14:paraId="0C31CA6A">
      <w:pPr>
        <w:keepNext w:val="0"/>
        <w:keepLines w:val="0"/>
        <w:widowControl w:val="0"/>
        <w:suppressLineNumbers w:val="0"/>
        <w:spacing w:before="0" w:beforeAutospacing="0" w:after="0" w:afterAutospacing="0" w:line="360" w:lineRule="auto"/>
        <w:ind w:left="0" w:right="0" w:firstLine="435"/>
        <w:jc w:val="both"/>
        <w:rPr>
          <w:rFonts w:hint="eastAsia" w:ascii="@仿宋_GB2312" w:hAnsi="@仿宋_GB2312" w:eastAsia="宋体" w:cs="@仿宋_GB2312"/>
          <w:color w:val="auto"/>
          <w:kern w:val="2"/>
          <w:sz w:val="21"/>
          <w:szCs w:val="21"/>
          <w:highlight w:val="none"/>
        </w:rPr>
      </w:pPr>
      <w:r>
        <w:rPr>
          <w:rFonts w:hint="eastAsia" w:ascii="宋体" w:hAnsi="宋体" w:eastAsia="宋体" w:cs="宋体"/>
          <w:color w:val="auto"/>
          <w:kern w:val="2"/>
          <w:sz w:val="24"/>
          <w:szCs w:val="24"/>
          <w:highlight w:val="none"/>
          <w:lang w:val="en-US" w:eastAsia="zh-CN" w:bidi="ar"/>
        </w:rPr>
        <w:t>联系人：</w:t>
      </w:r>
      <w:r>
        <w:rPr>
          <w:rFonts w:hint="eastAsia" w:ascii="宋体" w:hAnsi="宋体" w:eastAsia="宋体" w:cs="宋体"/>
          <w:color w:val="auto"/>
          <w:kern w:val="2"/>
          <w:sz w:val="24"/>
          <w:szCs w:val="24"/>
          <w:highlight w:val="none"/>
          <w:u w:val="single"/>
          <w:lang w:val="en-US" w:eastAsia="zh-CN" w:bidi="ar"/>
        </w:rPr>
        <w:t>胡国庆</w:t>
      </w:r>
    </w:p>
    <w:p w14:paraId="496265B1">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联系方式：</w:t>
      </w:r>
      <w:r>
        <w:rPr>
          <w:rFonts w:hint="eastAsia" w:ascii="宋体" w:hAnsi="宋体" w:eastAsia="宋体" w:cs="宋体"/>
          <w:color w:val="auto"/>
          <w:kern w:val="2"/>
          <w:sz w:val="24"/>
          <w:szCs w:val="24"/>
          <w:highlight w:val="none"/>
          <w:u w:val="single"/>
          <w:lang w:val="en-US" w:eastAsia="zh-CN" w:bidi="ar"/>
        </w:rPr>
        <w:t>0550-3519517、18005500950</w:t>
      </w:r>
    </w:p>
    <w:p w14:paraId="2CB54CDE">
      <w:pPr>
        <w:keepNext w:val="0"/>
        <w:keepLines w:val="0"/>
        <w:widowControl w:val="0"/>
        <w:suppressLineNumbers w:val="0"/>
        <w:spacing w:before="0" w:beforeAutospacing="0" w:after="0" w:afterAutospacing="0" w:line="360" w:lineRule="auto"/>
        <w:ind w:left="0" w:right="0" w:firstLine="437"/>
        <w:jc w:val="both"/>
        <w:outlineLvl w:val="2"/>
        <w:rPr>
          <w:rFonts w:hint="eastAsia" w:ascii="宋体" w:hAnsi="宋体" w:eastAsia="宋体" w:cs="@仿宋_GB2312"/>
          <w:b/>
          <w:bCs w:val="0"/>
          <w:color w:val="auto"/>
          <w:kern w:val="2"/>
          <w:sz w:val="24"/>
          <w:szCs w:val="24"/>
          <w:highlight w:val="none"/>
        </w:rPr>
      </w:pPr>
      <w:r>
        <w:rPr>
          <w:rFonts w:hint="eastAsia" w:ascii="宋体" w:hAnsi="宋体" w:eastAsia="宋体" w:cs="宋体"/>
          <w:b w:val="0"/>
          <w:bCs/>
          <w:color w:val="auto"/>
          <w:kern w:val="2"/>
          <w:sz w:val="24"/>
          <w:szCs w:val="24"/>
          <w:highlight w:val="none"/>
          <w:lang w:val="en-US" w:eastAsia="zh-CN" w:bidi="ar"/>
        </w:rPr>
        <w:t>3</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政府采购监督管理部门信息</w:t>
      </w:r>
    </w:p>
    <w:p w14:paraId="2C4CC74A">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名  称：</w:t>
      </w:r>
      <w:r>
        <w:rPr>
          <w:rFonts w:hint="eastAsia" w:ascii="宋体" w:hAnsi="宋体" w:eastAsia="宋体" w:cs="宋体"/>
          <w:color w:val="auto"/>
          <w:kern w:val="2"/>
          <w:sz w:val="24"/>
          <w:szCs w:val="24"/>
          <w:highlight w:val="none"/>
          <w:u w:val="single"/>
          <w:lang w:val="en-US" w:eastAsia="zh-CN" w:bidi="ar"/>
        </w:rPr>
        <w:t>滁州市公共资源交易监督管理局</w:t>
      </w:r>
    </w:p>
    <w:p w14:paraId="566382C7">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仿宋_GB2312"/>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地</w:t>
      </w:r>
      <w:r>
        <w:rPr>
          <w:rFonts w:hint="eastAsia" w:ascii="宋体" w:hAnsi="宋体" w:eastAsia="宋体" w:cs="@仿宋_GB2312"/>
          <w:color w:val="auto"/>
          <w:kern w:val="2"/>
          <w:sz w:val="24"/>
          <w:szCs w:val="24"/>
          <w:highlight w:val="none"/>
          <w:lang w:val="en-US" w:eastAsia="zh-CN" w:bidi="ar"/>
        </w:rPr>
        <w:t xml:space="preserve">  </w:t>
      </w:r>
      <w:r>
        <w:rPr>
          <w:rFonts w:hint="eastAsia" w:ascii="宋体" w:hAnsi="宋体" w:eastAsia="宋体" w:cs="宋体"/>
          <w:color w:val="auto"/>
          <w:kern w:val="2"/>
          <w:sz w:val="24"/>
          <w:szCs w:val="24"/>
          <w:highlight w:val="none"/>
          <w:lang w:val="en-US" w:eastAsia="zh-CN" w:bidi="ar"/>
        </w:rPr>
        <w:t>址：</w:t>
      </w:r>
      <w:r>
        <w:rPr>
          <w:rFonts w:hint="eastAsia" w:ascii="宋体" w:hAnsi="宋体" w:eastAsia="宋体" w:cs="宋体"/>
          <w:color w:val="auto"/>
          <w:kern w:val="2"/>
          <w:sz w:val="24"/>
          <w:szCs w:val="24"/>
          <w:highlight w:val="none"/>
          <w:u w:val="single"/>
          <w:lang w:val="en-US" w:eastAsia="zh-CN" w:bidi="ar"/>
        </w:rPr>
        <w:t>滁州市龙蟠大道109号房产大厦三楼</w:t>
      </w:r>
    </w:p>
    <w:p w14:paraId="06A31DB5">
      <w:pPr>
        <w:keepNext w:val="0"/>
        <w:keepLines w:val="0"/>
        <w:widowControl w:val="0"/>
        <w:suppressLineNumbers w:val="0"/>
        <w:spacing w:before="0" w:beforeAutospacing="0" w:after="0" w:afterAutospacing="0" w:line="360" w:lineRule="auto"/>
        <w:ind w:left="0" w:right="0" w:firstLine="435"/>
        <w:jc w:val="both"/>
        <w:rPr>
          <w:color w:val="auto"/>
          <w:highlight w:val="none"/>
        </w:rPr>
      </w:pPr>
      <w:r>
        <w:rPr>
          <w:rFonts w:hint="eastAsia" w:ascii="宋体" w:hAnsi="宋体" w:eastAsia="宋体" w:cs="宋体"/>
          <w:color w:val="auto"/>
          <w:kern w:val="2"/>
          <w:sz w:val="24"/>
          <w:szCs w:val="24"/>
          <w:highlight w:val="none"/>
          <w:lang w:val="en-US" w:eastAsia="zh-CN" w:bidi="ar"/>
        </w:rPr>
        <w:t>联系方式：</w:t>
      </w:r>
      <w:r>
        <w:rPr>
          <w:rFonts w:hint="eastAsia" w:ascii="宋体" w:hAnsi="宋体" w:eastAsia="宋体" w:cs="宋体"/>
          <w:color w:val="auto"/>
          <w:kern w:val="2"/>
          <w:sz w:val="24"/>
          <w:szCs w:val="24"/>
          <w:highlight w:val="none"/>
          <w:u w:val="single"/>
          <w:lang w:val="en-US" w:eastAsia="zh-CN" w:bidi="ar"/>
        </w:rPr>
        <w:t>0550-3801601</w:t>
      </w:r>
    </w:p>
    <w:p w14:paraId="1827D2D0">
      <w:pPr>
        <w:spacing w:line="360" w:lineRule="auto"/>
        <w:ind w:firstLine="435"/>
        <w:rPr>
          <w:rFonts w:ascii="宋体" w:hAnsi="宋体" w:eastAsia="宋体"/>
          <w:color w:val="auto"/>
          <w:sz w:val="24"/>
          <w:szCs w:val="18"/>
          <w:highlight w:val="none"/>
          <w:u w:val="single"/>
        </w:rPr>
      </w:pPr>
    </w:p>
    <w:p w14:paraId="375DE35D">
      <w:pPr>
        <w:spacing w:line="360" w:lineRule="auto"/>
        <w:ind w:firstLine="435"/>
        <w:rPr>
          <w:rFonts w:ascii="宋体" w:hAnsi="宋体" w:eastAsia="宋体"/>
          <w:color w:val="auto"/>
          <w:sz w:val="24"/>
          <w:szCs w:val="18"/>
          <w:highlight w:val="none"/>
        </w:rPr>
      </w:pPr>
      <w:r>
        <w:rPr>
          <w:rFonts w:ascii="宋体" w:hAnsi="宋体" w:eastAsia="宋体"/>
          <w:color w:val="auto"/>
          <w:sz w:val="24"/>
          <w:szCs w:val="18"/>
          <w:highlight w:val="none"/>
        </w:rPr>
        <w:br w:type="page"/>
      </w:r>
    </w:p>
    <w:p w14:paraId="7C6CDEE6">
      <w:pPr>
        <w:spacing w:line="360" w:lineRule="auto"/>
        <w:jc w:val="center"/>
        <w:outlineLvl w:val="0"/>
        <w:rPr>
          <w:rFonts w:asciiTheme="minorEastAsia" w:hAnsiTheme="minorEastAsia" w:eastAsiaTheme="minorEastAsia"/>
          <w:b/>
          <w:color w:val="auto"/>
          <w:sz w:val="28"/>
          <w:highlight w:val="none"/>
        </w:rPr>
      </w:pPr>
      <w:bookmarkStart w:id="9" w:name="_Toc3785"/>
      <w:bookmarkStart w:id="10" w:name="_Toc7162"/>
      <w:r>
        <w:rPr>
          <w:rFonts w:hint="eastAsia" w:asciiTheme="minorEastAsia" w:hAnsiTheme="minorEastAsia" w:eastAsiaTheme="minorEastAsia"/>
          <w:b/>
          <w:color w:val="auto"/>
          <w:sz w:val="28"/>
          <w:highlight w:val="none"/>
        </w:rPr>
        <w:t>第二章</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rPr>
        <w:t xml:space="preserve"> 供应商</w:t>
      </w:r>
      <w:r>
        <w:rPr>
          <w:rFonts w:asciiTheme="minorEastAsia" w:hAnsiTheme="minorEastAsia" w:eastAsiaTheme="minorEastAsia"/>
          <w:b/>
          <w:color w:val="auto"/>
          <w:sz w:val="28"/>
          <w:highlight w:val="none"/>
        </w:rPr>
        <w:t>须知</w:t>
      </w:r>
      <w:bookmarkEnd w:id="9"/>
      <w:bookmarkEnd w:id="10"/>
    </w:p>
    <w:p w14:paraId="675ADB61">
      <w:pPr>
        <w:spacing w:line="360" w:lineRule="auto"/>
        <w:jc w:val="center"/>
        <w:outlineLvl w:val="1"/>
        <w:rPr>
          <w:rFonts w:asciiTheme="minorEastAsia" w:hAnsiTheme="minorEastAsia" w:eastAsiaTheme="minorEastAsia"/>
          <w:b/>
          <w:color w:val="auto"/>
          <w:sz w:val="24"/>
          <w:highlight w:val="none"/>
        </w:rPr>
      </w:pPr>
      <w:bookmarkStart w:id="11" w:name="_Toc11709"/>
      <w:bookmarkStart w:id="12" w:name="_Toc11383"/>
      <w:r>
        <w:rPr>
          <w:rFonts w:hint="eastAsia" w:asciiTheme="minorEastAsia" w:hAnsiTheme="minorEastAsia" w:eastAsiaTheme="minorEastAsia"/>
          <w:b/>
          <w:color w:val="auto"/>
          <w:sz w:val="24"/>
          <w:highlight w:val="none"/>
        </w:rPr>
        <w:t>一、供应商</w:t>
      </w:r>
      <w:r>
        <w:rPr>
          <w:rFonts w:asciiTheme="minorEastAsia" w:hAnsiTheme="minorEastAsia" w:eastAsiaTheme="minorEastAsia"/>
          <w:b/>
          <w:color w:val="auto"/>
          <w:sz w:val="24"/>
          <w:highlight w:val="none"/>
        </w:rPr>
        <w:t>须知前附表</w:t>
      </w:r>
      <w:bookmarkEnd w:id="11"/>
      <w:bookmarkEnd w:id="12"/>
    </w:p>
    <w:p w14:paraId="77FDAA85">
      <w:pPr>
        <w:spacing w:line="360" w:lineRule="auto"/>
        <w:ind w:firstLine="435"/>
        <w:rPr>
          <w:rFonts w:ascii="宋体" w:hAnsi="宋体" w:eastAsia="宋体"/>
          <w:color w:val="auto"/>
          <w:sz w:val="24"/>
          <w:szCs w:val="18"/>
          <w:highlight w:val="none"/>
        </w:rPr>
      </w:pPr>
      <w:r>
        <w:rPr>
          <w:rFonts w:hint="eastAsia" w:ascii="宋体" w:hAnsi="宋体" w:eastAsia="宋体"/>
          <w:b/>
          <w:bCs/>
          <w:color w:val="auto"/>
          <w:sz w:val="24"/>
          <w:szCs w:val="18"/>
          <w:highlight w:val="none"/>
        </w:rPr>
        <w:t>注：</w:t>
      </w:r>
      <w:r>
        <w:rPr>
          <w:rFonts w:hint="eastAsia" w:ascii="宋体" w:hAnsi="宋体" w:eastAsia="宋体"/>
          <w:color w:val="auto"/>
          <w:sz w:val="24"/>
          <w:szCs w:val="18"/>
          <w:highlight w:val="none"/>
        </w:rPr>
        <w:t>本表是本项目的具体要求，是对供应商须知的具体补充和修改，如有不一致，以本表为准。</w:t>
      </w:r>
    </w:p>
    <w:tbl>
      <w:tblPr>
        <w:tblStyle w:val="24"/>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2031"/>
        <w:gridCol w:w="5722"/>
      </w:tblGrid>
      <w:tr w14:paraId="7228B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1A76C736">
            <w:pPr>
              <w:pStyle w:val="42"/>
              <w:widowControl w:val="0"/>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条款号</w:t>
            </w:r>
          </w:p>
        </w:tc>
        <w:tc>
          <w:tcPr>
            <w:tcW w:w="1160" w:type="pct"/>
            <w:vAlign w:val="center"/>
          </w:tcPr>
          <w:p w14:paraId="593F81D8">
            <w:pPr>
              <w:pStyle w:val="42"/>
              <w:widowControl w:val="0"/>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条款名称</w:t>
            </w:r>
          </w:p>
        </w:tc>
        <w:tc>
          <w:tcPr>
            <w:tcW w:w="3267" w:type="pct"/>
            <w:vAlign w:val="center"/>
          </w:tcPr>
          <w:p w14:paraId="78180A84">
            <w:pPr>
              <w:pStyle w:val="42"/>
              <w:widowControl w:val="0"/>
              <w:spacing w:before="0" w:beforeAutospacing="0" w:after="0" w:afterAutospacing="0" w:line="360" w:lineRule="auto"/>
              <w:rPr>
                <w:rFonts w:ascii="宋体" w:hAnsi="宋体" w:eastAsia="宋体"/>
                <w:bCs w:val="0"/>
                <w:color w:val="auto"/>
                <w:kern w:val="2"/>
                <w:sz w:val="24"/>
                <w:szCs w:val="20"/>
                <w:highlight w:val="none"/>
              </w:rPr>
            </w:pPr>
            <w:r>
              <w:rPr>
                <w:rFonts w:hint="eastAsia" w:ascii="宋体" w:hAnsi="宋体" w:eastAsia="宋体"/>
                <w:bCs w:val="0"/>
                <w:color w:val="auto"/>
                <w:kern w:val="2"/>
                <w:sz w:val="24"/>
                <w:szCs w:val="20"/>
                <w:highlight w:val="none"/>
              </w:rPr>
              <w:t>内容、说明与要求</w:t>
            </w:r>
          </w:p>
        </w:tc>
      </w:tr>
      <w:tr w14:paraId="2B571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5146D1E7">
            <w:pPr>
              <w:pStyle w:val="43"/>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5</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2</w:t>
            </w:r>
          </w:p>
        </w:tc>
        <w:tc>
          <w:tcPr>
            <w:tcW w:w="1160" w:type="pct"/>
            <w:vAlign w:val="center"/>
          </w:tcPr>
          <w:p w14:paraId="34798187">
            <w:pPr>
              <w:pStyle w:val="42"/>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cs="@仿宋_GB2312"/>
                <w:b w:val="0"/>
                <w:bCs/>
                <w:color w:val="auto"/>
                <w:kern w:val="2"/>
                <w:sz w:val="24"/>
                <w:szCs w:val="22"/>
                <w:highlight w:val="none"/>
                <w:lang w:val="en-US" w:eastAsia="zh-CN" w:bidi="ar-SA"/>
              </w:rPr>
              <w:t>现场考察或标前答疑会</w:t>
            </w:r>
          </w:p>
        </w:tc>
        <w:tc>
          <w:tcPr>
            <w:tcW w:w="3267" w:type="pct"/>
            <w:vAlign w:val="center"/>
          </w:tcPr>
          <w:p w14:paraId="4D85C90D">
            <w:pPr>
              <w:spacing w:line="360" w:lineRule="auto"/>
              <w:rPr>
                <w:rFonts w:ascii="宋体" w:hAnsi="宋体" w:eastAsia="宋体"/>
                <w:bCs/>
                <w:color w:val="auto"/>
                <w:sz w:val="24"/>
                <w:highlight w:val="none"/>
              </w:rPr>
            </w:pPr>
            <w:r>
              <w:rPr>
                <w:rFonts w:hint="eastAsia" w:ascii="宋体" w:hAnsi="宋体" w:eastAsia="宋体"/>
                <w:bCs/>
                <w:color w:val="auto"/>
                <w:sz w:val="24"/>
                <w:szCs w:val="24"/>
                <w:highlight w:val="none"/>
                <w:lang w:eastAsia="zh-CN"/>
              </w:rPr>
              <w:t>☑</w:t>
            </w:r>
            <w:r>
              <w:rPr>
                <w:rFonts w:hint="eastAsia" w:ascii="宋体" w:hAnsi="宋体" w:eastAsia="宋体"/>
                <w:color w:val="auto"/>
                <w:sz w:val="24"/>
                <w:highlight w:val="none"/>
              </w:rPr>
              <w:t>不组织</w:t>
            </w:r>
            <w:r>
              <w:rPr>
                <w:rFonts w:hint="eastAsia" w:ascii="宋体" w:hAnsi="宋体" w:eastAsia="宋体"/>
                <w:color w:val="auto"/>
                <w:sz w:val="24"/>
                <w:highlight w:val="none"/>
                <w:lang w:val="en-US" w:eastAsia="zh-CN"/>
              </w:rPr>
              <w:t>或不召开</w:t>
            </w:r>
          </w:p>
          <w:p w14:paraId="7CDB00DD">
            <w:pPr>
              <w:spacing w:line="360" w:lineRule="auto"/>
              <w:rPr>
                <w:rFonts w:ascii="宋体" w:hAnsi="宋体" w:eastAsia="宋体"/>
                <w:bCs/>
                <w:color w:val="auto"/>
                <w:sz w:val="24"/>
                <w:highlight w:val="none"/>
              </w:rPr>
            </w:pPr>
            <w:r>
              <w:rPr>
                <w:rFonts w:hint="eastAsia" w:ascii="宋体" w:hAnsi="宋体" w:eastAsia="宋体"/>
                <w:color w:val="auto"/>
                <w:sz w:val="24"/>
                <w:highlight w:val="none"/>
              </w:rPr>
              <w:t>□</w:t>
            </w:r>
            <w:r>
              <w:rPr>
                <w:rFonts w:hint="eastAsia" w:ascii="宋体" w:hAnsi="宋体" w:eastAsia="宋体"/>
                <w:bCs/>
                <w:color w:val="auto"/>
                <w:sz w:val="24"/>
                <w:highlight w:val="none"/>
              </w:rPr>
              <w:t>统一组织</w:t>
            </w:r>
          </w:p>
          <w:p w14:paraId="500E5AB8">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23884B4E">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 xml:space="preserve">  </w:t>
            </w:r>
            <w:r>
              <w:rPr>
                <w:rFonts w:ascii="宋体" w:hAnsi="宋体" w:eastAsia="宋体"/>
                <w:bCs/>
                <w:color w:val="auto"/>
                <w:sz w:val="24"/>
                <w:highlight w:val="none"/>
                <w:u w:val="single"/>
              </w:rPr>
              <w:t xml:space="preserve">        </w:t>
            </w:r>
          </w:p>
          <w:p w14:paraId="5C9BC486">
            <w:pPr>
              <w:spacing w:line="360" w:lineRule="auto"/>
              <w:rPr>
                <w:rFonts w:ascii="宋体" w:hAnsi="宋体" w:eastAsia="宋体"/>
                <w:bCs/>
                <w:color w:val="auto"/>
                <w:sz w:val="24"/>
                <w:highlight w:val="none"/>
                <w:u w:val="single"/>
              </w:rPr>
            </w:pPr>
            <w:r>
              <w:rPr>
                <w:rFonts w:hint="eastAsia" w:ascii="宋体" w:hAnsi="宋体" w:eastAsia="宋体"/>
                <w:bCs/>
                <w:color w:val="auto"/>
                <w:sz w:val="24"/>
                <w:highlight w:val="none"/>
              </w:rPr>
              <w:t>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p>
          <w:p w14:paraId="40FBEE02">
            <w:pPr>
              <w:pStyle w:val="42"/>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Cs w:val="0"/>
                <w:color w:val="auto"/>
                <w:sz w:val="24"/>
                <w:highlight w:val="none"/>
                <w:lang w:eastAsia="zh-CN"/>
              </w:rPr>
              <w:t>注：</w:t>
            </w:r>
            <w:r>
              <w:rPr>
                <w:rFonts w:hint="eastAsia" w:ascii="宋体" w:hAnsi="宋体" w:eastAsia="宋体"/>
                <w:bCs w:val="0"/>
                <w:color w:val="auto"/>
                <w:sz w:val="24"/>
                <w:highlight w:val="none"/>
              </w:rPr>
              <w:t>如供应商未参加采购人统一组织的现场考察</w:t>
            </w:r>
            <w:r>
              <w:rPr>
                <w:rFonts w:hint="eastAsia" w:ascii="宋体" w:hAnsi="宋体" w:eastAsia="宋体"/>
                <w:bCs w:val="0"/>
                <w:color w:val="auto"/>
                <w:sz w:val="24"/>
                <w:highlight w:val="none"/>
                <w:lang w:val="en-US" w:eastAsia="zh-CN"/>
              </w:rPr>
              <w:t>或采购人统一召开的标前答疑会</w:t>
            </w:r>
            <w:r>
              <w:rPr>
                <w:rFonts w:hint="eastAsia" w:ascii="宋体" w:hAnsi="宋体" w:eastAsia="宋体"/>
                <w:bCs w:val="0"/>
                <w:color w:val="auto"/>
                <w:sz w:val="24"/>
                <w:highlight w:val="none"/>
              </w:rPr>
              <w:t>，视同放弃现场考察</w:t>
            </w:r>
            <w:r>
              <w:rPr>
                <w:rFonts w:hint="eastAsia" w:ascii="宋体" w:hAnsi="宋体" w:eastAsia="宋体"/>
                <w:bCs w:val="0"/>
                <w:color w:val="auto"/>
                <w:sz w:val="24"/>
                <w:highlight w:val="none"/>
                <w:lang w:val="en-US" w:eastAsia="zh-CN"/>
              </w:rPr>
              <w:t>或标前答疑会</w:t>
            </w:r>
            <w:r>
              <w:rPr>
                <w:rFonts w:hint="eastAsia" w:ascii="宋体" w:hAnsi="宋体" w:eastAsia="宋体"/>
                <w:bCs w:val="0"/>
                <w:color w:val="auto"/>
                <w:sz w:val="24"/>
                <w:highlight w:val="none"/>
              </w:rPr>
              <w:t>，由此引起的一切责任由供应商自行承担。</w:t>
            </w:r>
          </w:p>
        </w:tc>
      </w:tr>
      <w:tr w14:paraId="3AFB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894666F">
            <w:pPr>
              <w:pStyle w:val="43"/>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6</w:t>
            </w:r>
            <w:r>
              <w:rPr>
                <w:rFonts w:ascii="宋体" w:hAnsi="宋体" w:eastAsia="宋体"/>
                <w:bCs/>
                <w:color w:val="auto"/>
                <w:kern w:val="2"/>
                <w:highlight w:val="none"/>
              </w:rPr>
              <w:t>.1</w:t>
            </w:r>
          </w:p>
        </w:tc>
        <w:tc>
          <w:tcPr>
            <w:tcW w:w="1160" w:type="pct"/>
            <w:vAlign w:val="center"/>
          </w:tcPr>
          <w:p w14:paraId="2DB781CB">
            <w:pPr>
              <w:pStyle w:val="42"/>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网上询问截止时间</w:t>
            </w:r>
          </w:p>
        </w:tc>
        <w:tc>
          <w:tcPr>
            <w:tcW w:w="3267" w:type="pct"/>
            <w:vAlign w:val="center"/>
          </w:tcPr>
          <w:p w14:paraId="236F591A">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2025</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年</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4</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月</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24</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日</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17</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时</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30</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rPr>
              <w:t>分</w:t>
            </w:r>
          </w:p>
        </w:tc>
      </w:tr>
      <w:tr w14:paraId="21C8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02" w:type="dxa"/>
            <w:vAlign w:val="center"/>
          </w:tcPr>
          <w:p w14:paraId="25405E40">
            <w:pPr>
              <w:pStyle w:val="43"/>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7.1</w:t>
            </w:r>
          </w:p>
        </w:tc>
        <w:tc>
          <w:tcPr>
            <w:tcW w:w="1160" w:type="pct"/>
            <w:vAlign w:val="center"/>
          </w:tcPr>
          <w:p w14:paraId="31645533">
            <w:pPr>
              <w:pStyle w:val="42"/>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包别划分</w:t>
            </w:r>
          </w:p>
        </w:tc>
        <w:tc>
          <w:tcPr>
            <w:tcW w:w="3267" w:type="pct"/>
            <w:vAlign w:val="center"/>
          </w:tcPr>
          <w:p w14:paraId="4E2C2FD6">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lang w:eastAsia="zh-CN"/>
              </w:rPr>
              <w:t>☑</w:t>
            </w:r>
            <w:r>
              <w:rPr>
                <w:rFonts w:ascii="宋体" w:hAnsi="宋体" w:eastAsia="宋体"/>
                <w:b w:val="0"/>
                <w:color w:val="auto"/>
                <w:sz w:val="24"/>
                <w:highlight w:val="none"/>
              </w:rPr>
              <w:t>不分包     □分为</w:t>
            </w:r>
            <w:r>
              <w:rPr>
                <w:rFonts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w:t>
            </w:r>
            <w:r>
              <w:rPr>
                <w:rFonts w:ascii="宋体" w:hAnsi="宋体" w:eastAsia="宋体"/>
                <w:b w:val="0"/>
                <w:color w:val="auto"/>
                <w:sz w:val="24"/>
                <w:highlight w:val="none"/>
                <w:u w:val="single"/>
              </w:rPr>
              <w:t xml:space="preserve"> </w:t>
            </w:r>
            <w:r>
              <w:rPr>
                <w:rFonts w:ascii="宋体" w:hAnsi="宋体" w:eastAsia="宋体"/>
                <w:b w:val="0"/>
                <w:color w:val="auto"/>
                <w:sz w:val="24"/>
                <w:highlight w:val="none"/>
              </w:rPr>
              <w:t>个包</w:t>
            </w:r>
          </w:p>
          <w:p w14:paraId="2DA50C6A">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bCs w:val="0"/>
                <w:color w:val="auto"/>
                <w:sz w:val="24"/>
                <w:szCs w:val="24"/>
                <w:highlight w:val="none"/>
              </w:rPr>
              <w:t>供应商参加多个包磋商的成交</w:t>
            </w:r>
            <w:r>
              <w:rPr>
                <w:rFonts w:ascii="宋体" w:hAnsi="宋体" w:eastAsia="宋体"/>
                <w:b w:val="0"/>
                <w:bCs w:val="0"/>
                <w:color w:val="auto"/>
                <w:sz w:val="24"/>
                <w:szCs w:val="24"/>
                <w:highlight w:val="none"/>
              </w:rPr>
              <w:t>包</w:t>
            </w:r>
            <w:r>
              <w:rPr>
                <w:rFonts w:hint="eastAsia" w:ascii="宋体" w:hAnsi="宋体" w:eastAsia="宋体"/>
                <w:b w:val="0"/>
                <w:bCs w:val="0"/>
                <w:color w:val="auto"/>
                <w:sz w:val="24"/>
                <w:szCs w:val="24"/>
                <w:highlight w:val="none"/>
              </w:rPr>
              <w:t>数规定：</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r>
              <w:rPr>
                <w:rFonts w:hint="eastAsia" w:ascii="宋体" w:hAnsi="宋体" w:eastAsia="宋体"/>
                <w:b w:val="0"/>
                <w:bCs w:val="0"/>
                <w:color w:val="auto"/>
                <w:sz w:val="24"/>
                <w:szCs w:val="18"/>
                <w:highlight w:val="none"/>
                <w:u w:val="single"/>
              </w:rPr>
              <w:t xml:space="preserve">/ </w:t>
            </w:r>
            <w:r>
              <w:rPr>
                <w:rFonts w:ascii="宋体" w:hAnsi="宋体" w:eastAsia="宋体"/>
                <w:b w:val="0"/>
                <w:bCs w:val="0"/>
                <w:color w:val="auto"/>
                <w:sz w:val="24"/>
                <w:szCs w:val="18"/>
                <w:highlight w:val="none"/>
                <w:u w:val="single"/>
              </w:rPr>
              <w:t xml:space="preserve">  </w:t>
            </w:r>
          </w:p>
        </w:tc>
      </w:tr>
      <w:tr w14:paraId="0DA4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02" w:type="dxa"/>
            <w:vAlign w:val="center"/>
          </w:tcPr>
          <w:p w14:paraId="41D95278">
            <w:pPr>
              <w:pStyle w:val="43"/>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10.1</w:t>
            </w:r>
          </w:p>
        </w:tc>
        <w:tc>
          <w:tcPr>
            <w:tcW w:w="1160" w:type="pct"/>
            <w:vAlign w:val="center"/>
          </w:tcPr>
          <w:p w14:paraId="14674D83">
            <w:pPr>
              <w:pStyle w:val="42"/>
              <w:widowControl w:val="0"/>
              <w:spacing w:before="0" w:beforeAutospacing="0" w:after="0" w:afterAutospacing="0" w:line="360" w:lineRule="auto"/>
              <w:jc w:val="left"/>
              <w:rPr>
                <w:rFonts w:ascii="宋体" w:hAnsi="宋体" w:eastAsia="宋体"/>
                <w:b w:val="0"/>
                <w:color w:val="auto"/>
                <w:sz w:val="24"/>
                <w:highlight w:val="none"/>
              </w:rPr>
            </w:pPr>
            <w:r>
              <w:rPr>
                <w:rFonts w:hint="eastAsia" w:ascii="宋体" w:hAnsi="宋体" w:eastAsia="宋体"/>
                <w:b w:val="0"/>
                <w:color w:val="auto"/>
                <w:sz w:val="24"/>
                <w:highlight w:val="none"/>
              </w:rPr>
              <w:t>磋商保证金</w:t>
            </w:r>
          </w:p>
        </w:tc>
        <w:tc>
          <w:tcPr>
            <w:tcW w:w="3267" w:type="pct"/>
            <w:vAlign w:val="center"/>
          </w:tcPr>
          <w:p w14:paraId="6A40945C">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不收取</w:t>
            </w:r>
          </w:p>
        </w:tc>
      </w:tr>
      <w:tr w14:paraId="39AC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125DEB39">
            <w:pPr>
              <w:pStyle w:val="43"/>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11</w:t>
            </w:r>
            <w:r>
              <w:rPr>
                <w:rFonts w:ascii="宋体" w:hAnsi="宋体" w:eastAsia="宋体"/>
                <w:bCs/>
                <w:color w:val="auto"/>
                <w:kern w:val="2"/>
                <w:highlight w:val="none"/>
              </w:rPr>
              <w:t>.1</w:t>
            </w:r>
          </w:p>
        </w:tc>
        <w:tc>
          <w:tcPr>
            <w:tcW w:w="1160" w:type="pct"/>
            <w:vAlign w:val="center"/>
          </w:tcPr>
          <w:p w14:paraId="48C92C81">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磋商有效期</w:t>
            </w:r>
          </w:p>
        </w:tc>
        <w:tc>
          <w:tcPr>
            <w:tcW w:w="3267" w:type="pct"/>
            <w:vAlign w:val="center"/>
          </w:tcPr>
          <w:p w14:paraId="37383AB0">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u w:val="single"/>
                <w:lang w:val="en-US" w:eastAsia="zh-CN"/>
              </w:rPr>
              <w:t>90</w:t>
            </w:r>
            <w:r>
              <w:rPr>
                <w:rFonts w:hint="eastAsia" w:ascii="宋体" w:hAnsi="宋体" w:eastAsia="宋体"/>
                <w:b w:val="0"/>
                <w:color w:val="auto"/>
                <w:sz w:val="24"/>
                <w:highlight w:val="none"/>
                <w:u w:val="single"/>
              </w:rPr>
              <w:t xml:space="preserve"> </w:t>
            </w:r>
            <w:r>
              <w:rPr>
                <w:rFonts w:hint="eastAsia" w:ascii="宋体" w:hAnsi="宋体" w:eastAsia="宋体"/>
                <w:b w:val="0"/>
                <w:color w:val="auto"/>
                <w:sz w:val="24"/>
                <w:highlight w:val="none"/>
              </w:rPr>
              <w:t>日历日</w:t>
            </w:r>
          </w:p>
        </w:tc>
      </w:tr>
      <w:tr w14:paraId="10715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5E67CF3E">
            <w:pPr>
              <w:pStyle w:val="43"/>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12</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3</w:t>
            </w:r>
          </w:p>
        </w:tc>
        <w:tc>
          <w:tcPr>
            <w:tcW w:w="1160" w:type="pct"/>
            <w:vAlign w:val="center"/>
          </w:tcPr>
          <w:p w14:paraId="45D55D94">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响应文件解密时间</w:t>
            </w:r>
          </w:p>
        </w:tc>
        <w:tc>
          <w:tcPr>
            <w:tcW w:w="3267" w:type="pct"/>
            <w:vAlign w:val="center"/>
          </w:tcPr>
          <w:p w14:paraId="4BA80261">
            <w:pPr>
              <w:pStyle w:val="42"/>
              <w:widowControl w:val="0"/>
              <w:spacing w:before="0" w:beforeAutospacing="0" w:after="0" w:afterAutospacing="0" w:line="360" w:lineRule="auto"/>
              <w:jc w:val="both"/>
              <w:rPr>
                <w:rFonts w:hint="eastAsia" w:ascii="宋体" w:hAnsi="宋体" w:eastAsia="宋体"/>
                <w:b w:val="0"/>
                <w:color w:val="auto"/>
                <w:sz w:val="24"/>
                <w:highlight w:val="none"/>
                <w:u w:val="single"/>
                <w:lang w:eastAsia="zh-CN"/>
              </w:rPr>
            </w:pPr>
            <w:r>
              <w:rPr>
                <w:rFonts w:hint="eastAsia" w:ascii="宋体" w:hAnsi="宋体" w:eastAsia="宋体"/>
                <w:b w:val="0"/>
                <w:color w:val="auto"/>
                <w:sz w:val="24"/>
                <w:highlight w:val="none"/>
                <w:u w:val="none"/>
              </w:rPr>
              <w:t>响应文件提交截止时间后</w:t>
            </w:r>
            <w:r>
              <w:rPr>
                <w:rFonts w:hint="eastAsia" w:ascii="宋体" w:hAnsi="宋体" w:eastAsia="宋体"/>
                <w:b w:val="0"/>
                <w:color w:val="auto"/>
                <w:sz w:val="24"/>
                <w:highlight w:val="none"/>
                <w:u w:val="single"/>
                <w:lang w:val="en-US" w:eastAsia="zh-CN"/>
              </w:rPr>
              <w:t xml:space="preserve"> 60 </w:t>
            </w:r>
            <w:r>
              <w:rPr>
                <w:rFonts w:hint="eastAsia" w:ascii="宋体" w:hAnsi="宋体" w:eastAsia="宋体"/>
                <w:b w:val="0"/>
                <w:color w:val="auto"/>
                <w:sz w:val="24"/>
                <w:highlight w:val="none"/>
                <w:u w:val="none"/>
              </w:rPr>
              <w:t>分钟内（以本项目网上招投标系统解密倒计时为准）</w:t>
            </w:r>
            <w:r>
              <w:rPr>
                <w:rFonts w:hint="eastAsia" w:ascii="宋体" w:hAnsi="宋体" w:eastAsia="宋体"/>
                <w:b w:val="0"/>
                <w:color w:val="auto"/>
                <w:sz w:val="24"/>
                <w:highlight w:val="none"/>
                <w:u w:val="none"/>
                <w:lang w:eastAsia="zh-CN"/>
              </w:rPr>
              <w:t>。</w:t>
            </w:r>
          </w:p>
        </w:tc>
      </w:tr>
      <w:tr w14:paraId="5E65D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9AC6C35">
            <w:pPr>
              <w:pStyle w:val="43"/>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14.2</w:t>
            </w:r>
          </w:p>
        </w:tc>
        <w:tc>
          <w:tcPr>
            <w:tcW w:w="1160" w:type="pct"/>
            <w:vAlign w:val="center"/>
          </w:tcPr>
          <w:p w14:paraId="389A0B02">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评审方法</w:t>
            </w:r>
          </w:p>
        </w:tc>
        <w:tc>
          <w:tcPr>
            <w:tcW w:w="3267" w:type="pct"/>
            <w:vAlign w:val="center"/>
          </w:tcPr>
          <w:p w14:paraId="09420524">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none"/>
              </w:rPr>
              <w:t>综合评分法</w:t>
            </w:r>
          </w:p>
        </w:tc>
      </w:tr>
      <w:tr w14:paraId="51D66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BF7B848">
            <w:pPr>
              <w:pStyle w:val="43"/>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17.4</w:t>
            </w:r>
          </w:p>
        </w:tc>
        <w:tc>
          <w:tcPr>
            <w:tcW w:w="1160" w:type="pct"/>
            <w:vAlign w:val="center"/>
          </w:tcPr>
          <w:p w14:paraId="46F57968">
            <w:pPr>
              <w:pStyle w:val="42"/>
              <w:widowControl w:val="0"/>
              <w:spacing w:before="0" w:beforeAutospacing="0" w:after="0" w:afterAutospacing="0" w:line="360" w:lineRule="auto"/>
              <w:jc w:val="both"/>
              <w:rPr>
                <w:rFonts w:hint="eastAsia" w:ascii="宋体" w:hAnsi="宋体" w:eastAsia="宋体"/>
                <w:b w:val="0"/>
                <w:color w:val="auto"/>
                <w:sz w:val="24"/>
                <w:highlight w:val="none"/>
              </w:rPr>
            </w:pPr>
            <w:r>
              <w:rPr>
                <w:rFonts w:hint="eastAsia" w:ascii="宋体" w:hAnsi="宋体" w:eastAsia="宋体"/>
                <w:b w:val="0"/>
                <w:color w:val="auto"/>
                <w:sz w:val="24"/>
                <w:highlight w:val="none"/>
              </w:rPr>
              <w:t>最后报价扣除</w:t>
            </w:r>
          </w:p>
          <w:p w14:paraId="432952A2">
            <w:pPr>
              <w:pStyle w:val="42"/>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i/>
                <w:iCs/>
                <w:color w:val="auto"/>
                <w:sz w:val="24"/>
                <w:highlight w:val="none"/>
              </w:rPr>
              <w:t>（非专门面向中小企业采购项目适用）</w:t>
            </w:r>
          </w:p>
        </w:tc>
        <w:tc>
          <w:tcPr>
            <w:tcW w:w="3267" w:type="pct"/>
            <w:vAlign w:val="center"/>
          </w:tcPr>
          <w:p w14:paraId="7179F355">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（1）</w:t>
            </w:r>
            <w:r>
              <w:rPr>
                <w:rFonts w:ascii="宋体" w:hAnsi="宋体" w:eastAsia="宋体"/>
                <w:b w:val="0"/>
                <w:color w:val="auto"/>
                <w:sz w:val="24"/>
                <w:highlight w:val="none"/>
              </w:rPr>
              <w:t>小型和微型</w:t>
            </w:r>
            <w:r>
              <w:rPr>
                <w:rFonts w:hint="eastAsia" w:ascii="宋体" w:hAnsi="宋体" w:eastAsia="宋体"/>
                <w:b w:val="0"/>
                <w:color w:val="auto"/>
                <w:sz w:val="24"/>
                <w:highlight w:val="none"/>
              </w:rPr>
              <w:t>企业价格扣除：</w:t>
            </w:r>
            <w:r>
              <w:rPr>
                <w:rFonts w:hint="eastAsia" w:ascii="宋体" w:hAnsi="宋体" w:eastAsia="宋体"/>
                <w:b w:val="0"/>
                <w:color w:val="auto"/>
                <w:sz w:val="24"/>
                <w:highlight w:val="none"/>
                <w:u w:val="single"/>
                <w:lang w:val="en-US" w:eastAsia="zh-CN"/>
              </w:rPr>
              <w:t>对小型和微型企业的价格给予10%的扣除后参与评审；其评审价=最终响应报价*（90%）</w:t>
            </w:r>
            <w:r>
              <w:rPr>
                <w:rFonts w:hint="eastAsia" w:ascii="宋体" w:hAnsi="宋体" w:eastAsia="宋体"/>
                <w:b w:val="0"/>
                <w:color w:val="auto"/>
                <w:sz w:val="24"/>
                <w:highlight w:val="none"/>
              </w:rPr>
              <w:t>。</w:t>
            </w:r>
          </w:p>
          <w:p w14:paraId="195133E7">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（2）监狱企业价格扣除：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27D1E96B">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（3）残疾人福利性单位价格扣除：</w:t>
            </w:r>
            <w:r>
              <w:rPr>
                <w:rFonts w:hint="eastAsia" w:ascii="宋体" w:hAnsi="宋体" w:eastAsia="宋体"/>
                <w:b w:val="0"/>
                <w:color w:val="auto"/>
                <w:sz w:val="24"/>
                <w:highlight w:val="none"/>
                <w:u w:val="none"/>
              </w:rPr>
              <w:t>同</w:t>
            </w:r>
            <w:r>
              <w:rPr>
                <w:rFonts w:ascii="宋体" w:hAnsi="宋体" w:eastAsia="宋体"/>
                <w:b w:val="0"/>
                <w:color w:val="auto"/>
                <w:sz w:val="24"/>
                <w:highlight w:val="none"/>
                <w:u w:val="none"/>
              </w:rPr>
              <w:t>小型和微型企业</w:t>
            </w:r>
            <w:r>
              <w:rPr>
                <w:rFonts w:hint="eastAsia" w:ascii="宋体" w:hAnsi="宋体" w:eastAsia="宋体"/>
                <w:b w:val="0"/>
                <w:color w:val="auto"/>
                <w:sz w:val="24"/>
                <w:highlight w:val="none"/>
              </w:rPr>
              <w:t>。</w:t>
            </w:r>
          </w:p>
          <w:p w14:paraId="38523718">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（4）符合条件的联合体价格扣除：</w:t>
            </w:r>
            <w:r>
              <w:rPr>
                <w:rFonts w:hint="eastAsia" w:ascii="宋体" w:hAnsi="宋体" w:eastAsia="宋体"/>
                <w:b w:val="0"/>
                <w:color w:val="auto"/>
                <w:sz w:val="24"/>
                <w:highlight w:val="none"/>
                <w:u w:val="single"/>
                <w:lang w:val="en-US" w:eastAsia="zh-CN"/>
              </w:rPr>
              <w:t>联合体投标的，小型、微型企业的协议合同金额占联合体协议合同总金额30%以上的，价格给予联合体4%的扣除后参与评审；其评审价=投标报价*96%；联合体各方均为小型、微型企业的，联合体视同为小型、微型企业，其评审价按（1）款执行</w:t>
            </w:r>
            <w:r>
              <w:rPr>
                <w:rFonts w:hint="eastAsia" w:ascii="宋体" w:hAnsi="宋体" w:eastAsia="宋体"/>
                <w:b w:val="0"/>
                <w:color w:val="auto"/>
                <w:sz w:val="24"/>
                <w:highlight w:val="none"/>
              </w:rPr>
              <w:t>。</w:t>
            </w:r>
          </w:p>
          <w:p w14:paraId="4FC73DFD">
            <w:pPr>
              <w:pStyle w:val="42"/>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（5）符合条件的向小微企业分包的大中型企业价格扣除：</w:t>
            </w:r>
            <w:r>
              <w:rPr>
                <w:rFonts w:hint="eastAsia" w:ascii="宋体" w:hAnsi="宋体" w:eastAsia="宋体"/>
                <w:b w:val="0"/>
                <w:color w:val="auto"/>
                <w:sz w:val="24"/>
                <w:highlight w:val="none"/>
                <w:u w:val="single"/>
                <w:lang w:val="en-US" w:eastAsia="zh-CN"/>
              </w:rPr>
              <w:t xml:space="preserve">  / </w:t>
            </w:r>
            <w:r>
              <w:rPr>
                <w:rFonts w:hint="eastAsia" w:ascii="宋体" w:hAnsi="宋体" w:eastAsia="宋体"/>
                <w:b w:val="0"/>
                <w:color w:val="auto"/>
                <w:sz w:val="24"/>
                <w:highlight w:val="none"/>
              </w:rPr>
              <w:t>。</w:t>
            </w:r>
          </w:p>
        </w:tc>
      </w:tr>
      <w:tr w14:paraId="0709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Merge w:val="restart"/>
            <w:vAlign w:val="center"/>
          </w:tcPr>
          <w:p w14:paraId="74520B40">
            <w:pPr>
              <w:pStyle w:val="43"/>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19</w:t>
            </w:r>
            <w:r>
              <w:rPr>
                <w:rFonts w:ascii="宋体" w:hAnsi="宋体" w:eastAsia="宋体"/>
                <w:bCs/>
                <w:color w:val="auto"/>
                <w:kern w:val="2"/>
                <w:highlight w:val="none"/>
              </w:rPr>
              <w:t>.</w:t>
            </w:r>
            <w:r>
              <w:rPr>
                <w:rFonts w:hint="eastAsia" w:ascii="宋体" w:hAnsi="宋体" w:eastAsia="宋体"/>
                <w:bCs/>
                <w:color w:val="auto"/>
                <w:kern w:val="2"/>
                <w:highlight w:val="none"/>
                <w:lang w:val="en-US" w:eastAsia="zh-CN"/>
              </w:rPr>
              <w:t>1</w:t>
            </w:r>
          </w:p>
        </w:tc>
        <w:tc>
          <w:tcPr>
            <w:tcW w:w="1160" w:type="pct"/>
            <w:vMerge w:val="restart"/>
            <w:vAlign w:val="center"/>
          </w:tcPr>
          <w:p w14:paraId="0BA8F0CA">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Theme="minorEastAsia" w:hAnsiTheme="minorEastAsia" w:eastAsiaTheme="minorEastAsia"/>
                <w:b w:val="0"/>
                <w:color w:val="auto"/>
                <w:sz w:val="24"/>
                <w:highlight w:val="none"/>
              </w:rPr>
              <w:t>确定成交候选供应商和成交供应商</w:t>
            </w:r>
          </w:p>
        </w:tc>
        <w:tc>
          <w:tcPr>
            <w:tcW w:w="3267" w:type="pct"/>
            <w:vAlign w:val="center"/>
          </w:tcPr>
          <w:p w14:paraId="6149A878">
            <w:pPr>
              <w:pStyle w:val="42"/>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hint="eastAsia" w:ascii="宋体" w:hAnsi="宋体" w:eastAsia="宋体"/>
                <w:b w:val="0"/>
                <w:color w:val="auto"/>
                <w:sz w:val="24"/>
                <w:highlight w:val="none"/>
              </w:rPr>
              <w:t>磋商小组推荐成交</w:t>
            </w:r>
            <w:r>
              <w:rPr>
                <w:rFonts w:ascii="宋体" w:hAnsi="宋体" w:eastAsia="宋体"/>
                <w:b w:val="0"/>
                <w:color w:val="auto"/>
                <w:sz w:val="24"/>
                <w:highlight w:val="none"/>
              </w:rPr>
              <w:t>候选</w:t>
            </w:r>
            <w:r>
              <w:rPr>
                <w:rFonts w:hint="eastAsia" w:ascii="宋体" w:hAnsi="宋体" w:eastAsia="宋体"/>
                <w:b w:val="0"/>
                <w:color w:val="auto"/>
                <w:sz w:val="24"/>
                <w:highlight w:val="none"/>
              </w:rPr>
              <w:t>供应商的</w:t>
            </w:r>
            <w:r>
              <w:rPr>
                <w:rFonts w:ascii="宋体" w:hAnsi="宋体" w:eastAsia="宋体"/>
                <w:b w:val="0"/>
                <w:color w:val="auto"/>
                <w:sz w:val="24"/>
                <w:highlight w:val="none"/>
              </w:rPr>
              <w:t>数</w:t>
            </w:r>
            <w:r>
              <w:rPr>
                <w:rFonts w:hint="eastAsia" w:ascii="宋体" w:hAnsi="宋体" w:eastAsia="宋体"/>
                <w:b w:val="0"/>
                <w:color w:val="auto"/>
                <w:sz w:val="24"/>
                <w:highlight w:val="none"/>
              </w:rPr>
              <w:t>量：3家</w:t>
            </w:r>
          </w:p>
          <w:p w14:paraId="6D1C6F60">
            <w:pPr>
              <w:pStyle w:val="42"/>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u w:val="single"/>
                <w:lang w:val="en-US" w:eastAsia="zh-CN" w:bidi="ar-SA"/>
              </w:rPr>
            </w:pPr>
            <w:r>
              <w:rPr>
                <w:rFonts w:hint="eastAsia" w:ascii="宋体" w:hAnsi="宋体" w:eastAsia="宋体"/>
                <w:b w:val="0"/>
                <w:color w:val="auto"/>
                <w:sz w:val="24"/>
                <w:highlight w:val="none"/>
                <w:lang w:val="en-US" w:eastAsia="zh-CN"/>
              </w:rPr>
              <w:t>注：法律、法规另有规定的，从其规定。</w:t>
            </w:r>
          </w:p>
        </w:tc>
      </w:tr>
      <w:tr w14:paraId="61A8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32AD3D19">
            <w:pPr>
              <w:pStyle w:val="43"/>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p>
        </w:tc>
        <w:tc>
          <w:tcPr>
            <w:tcW w:w="1160" w:type="pct"/>
            <w:vMerge w:val="continue"/>
            <w:vAlign w:val="center"/>
          </w:tcPr>
          <w:p w14:paraId="0F1A82B4">
            <w:pPr>
              <w:pStyle w:val="42"/>
              <w:widowControl w:val="0"/>
              <w:spacing w:before="0" w:beforeAutospacing="0" w:after="0" w:afterAutospacing="0" w:line="360" w:lineRule="auto"/>
              <w:jc w:val="both"/>
              <w:rPr>
                <w:rFonts w:ascii="宋体" w:hAnsi="宋体" w:eastAsia="宋体"/>
                <w:b w:val="0"/>
                <w:color w:val="auto"/>
                <w:sz w:val="24"/>
                <w:highlight w:val="none"/>
              </w:rPr>
            </w:pPr>
          </w:p>
        </w:tc>
        <w:tc>
          <w:tcPr>
            <w:tcW w:w="3267" w:type="pct"/>
            <w:vAlign w:val="center"/>
          </w:tcPr>
          <w:p w14:paraId="06423F63">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确定成交供应商：</w:t>
            </w:r>
          </w:p>
          <w:p w14:paraId="1A339E50">
            <w:pPr>
              <w:pStyle w:val="42"/>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 xml:space="preserve">□采购人委托磋商小组确定     </w:t>
            </w:r>
            <w:r>
              <w:rPr>
                <w:rFonts w:hint="eastAsia" w:ascii="宋体" w:hAnsi="宋体" w:eastAsia="宋体"/>
                <w:b w:val="0"/>
                <w:color w:val="auto"/>
                <w:sz w:val="24"/>
                <w:highlight w:val="none"/>
              </w:rPr>
              <w:sym w:font="Wingdings" w:char="00FE"/>
            </w:r>
            <w:r>
              <w:rPr>
                <w:rFonts w:hint="eastAsia" w:ascii="宋体" w:hAnsi="宋体" w:eastAsia="宋体"/>
                <w:b w:val="0"/>
                <w:color w:val="auto"/>
                <w:sz w:val="24"/>
                <w:highlight w:val="none"/>
              </w:rPr>
              <w:t>采购人确定</w:t>
            </w:r>
          </w:p>
        </w:tc>
      </w:tr>
      <w:tr w14:paraId="3C66D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6E55BEC">
            <w:pPr>
              <w:pStyle w:val="43"/>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22</w:t>
            </w:r>
            <w:r>
              <w:rPr>
                <w:rFonts w:ascii="宋体" w:hAnsi="宋体" w:eastAsia="宋体"/>
                <w:bCs/>
                <w:color w:val="auto"/>
                <w:kern w:val="2"/>
                <w:highlight w:val="none"/>
              </w:rPr>
              <w:t>.</w:t>
            </w:r>
            <w:r>
              <w:rPr>
                <w:rFonts w:hint="eastAsia" w:ascii="宋体" w:hAnsi="宋体" w:eastAsia="宋体"/>
                <w:bCs/>
                <w:color w:val="auto"/>
                <w:kern w:val="2"/>
                <w:highlight w:val="none"/>
              </w:rPr>
              <w:t>2</w:t>
            </w:r>
          </w:p>
        </w:tc>
        <w:tc>
          <w:tcPr>
            <w:tcW w:w="1160" w:type="pct"/>
            <w:vAlign w:val="center"/>
          </w:tcPr>
          <w:p w14:paraId="0E717897">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随成交结果公告同时公告的内容</w:t>
            </w:r>
          </w:p>
        </w:tc>
        <w:tc>
          <w:tcPr>
            <w:tcW w:w="3267" w:type="pct"/>
            <w:vAlign w:val="center"/>
          </w:tcPr>
          <w:p w14:paraId="426DC988">
            <w:pPr>
              <w:pStyle w:val="42"/>
              <w:widowControl w:val="0"/>
              <w:spacing w:before="0" w:beforeAutospacing="0" w:after="0" w:afterAutospacing="0" w:line="360" w:lineRule="auto"/>
              <w:jc w:val="both"/>
              <w:rPr>
                <w:rFonts w:ascii="宋体" w:hAnsi="宋体" w:eastAsia="宋体"/>
                <w:b w:val="0"/>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1</w:t>
            </w:r>
            <w:r>
              <w:rPr>
                <w:rFonts w:hint="eastAsia" w:ascii="宋体" w:hAnsi="宋体" w:eastAsia="宋体"/>
                <w:b w:val="0"/>
                <w:color w:val="auto"/>
                <w:sz w:val="24"/>
                <w:highlight w:val="none"/>
                <w:u w:val="none"/>
              </w:rPr>
              <w:t>）中小企业声明函；</w:t>
            </w:r>
          </w:p>
          <w:p w14:paraId="0F1A0A46">
            <w:pPr>
              <w:pStyle w:val="42"/>
              <w:widowControl w:val="0"/>
              <w:spacing w:before="0" w:beforeAutospacing="0" w:after="0" w:afterAutospacing="0" w:line="360" w:lineRule="auto"/>
              <w:jc w:val="both"/>
              <w:rPr>
                <w:rFonts w:ascii="宋体" w:hAnsi="宋体" w:eastAsia="宋体"/>
                <w:b w:val="0"/>
                <w:i/>
                <w:color w:val="auto"/>
                <w:sz w:val="24"/>
                <w:highlight w:val="none"/>
                <w:u w:val="none"/>
              </w:rPr>
            </w:pPr>
            <w:r>
              <w:rPr>
                <w:rFonts w:hint="eastAsia" w:ascii="宋体" w:hAnsi="宋体" w:eastAsia="宋体"/>
                <w:b w:val="0"/>
                <w:color w:val="auto"/>
                <w:sz w:val="24"/>
                <w:highlight w:val="none"/>
                <w:u w:val="none"/>
              </w:rPr>
              <w:t>（</w:t>
            </w:r>
            <w:r>
              <w:rPr>
                <w:rFonts w:hint="eastAsia" w:ascii="宋体" w:hAnsi="宋体" w:eastAsia="宋体"/>
                <w:b w:val="0"/>
                <w:color w:val="auto"/>
                <w:sz w:val="24"/>
                <w:highlight w:val="none"/>
                <w:u w:val="none"/>
                <w:lang w:val="en-US" w:eastAsia="zh-CN"/>
              </w:rPr>
              <w:t>2）</w:t>
            </w:r>
            <w:r>
              <w:rPr>
                <w:rFonts w:hint="eastAsia" w:ascii="宋体" w:hAnsi="宋体" w:eastAsia="宋体"/>
                <w:b w:val="0"/>
                <w:color w:val="auto"/>
                <w:sz w:val="24"/>
                <w:highlight w:val="none"/>
                <w:u w:val="none"/>
              </w:rPr>
              <w:t>残疾人福利性单位声明函；</w:t>
            </w:r>
            <w:r>
              <w:rPr>
                <w:rFonts w:hint="eastAsia" w:ascii="宋体" w:hAnsi="宋体" w:eastAsia="宋体"/>
                <w:b w:val="0"/>
                <w:i/>
                <w:iCs/>
                <w:color w:val="auto"/>
                <w:sz w:val="24"/>
                <w:highlight w:val="none"/>
                <w:u w:val="none"/>
              </w:rPr>
              <w:t>（如有）</w:t>
            </w:r>
          </w:p>
          <w:p w14:paraId="5E9586BB">
            <w:pPr>
              <w:pStyle w:val="42"/>
              <w:widowControl w:val="0"/>
              <w:spacing w:before="0" w:beforeAutospacing="0" w:after="0" w:afterAutospacing="0" w:line="360" w:lineRule="auto"/>
              <w:jc w:val="both"/>
              <w:rPr>
                <w:rFonts w:hint="eastAsia" w:ascii="宋体" w:hAnsi="宋体" w:eastAsia="宋体" w:cs="@仿宋_GB2312"/>
                <w:b w:val="0"/>
                <w:bCs w:val="0"/>
                <w:color w:val="auto"/>
                <w:kern w:val="0"/>
                <w:sz w:val="24"/>
                <w:szCs w:val="24"/>
                <w:highlight w:val="none"/>
                <w:lang w:val="en-US" w:eastAsia="zh-CN" w:bidi="ar-SA"/>
              </w:rPr>
            </w:pP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lang w:val="en-US" w:eastAsia="zh-CN"/>
              </w:rPr>
              <w:t>3</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中标</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成交</w:t>
            </w:r>
            <w:r>
              <w:rPr>
                <w:rFonts w:hint="eastAsia" w:ascii="宋体" w:hAnsi="宋体" w:eastAsia="宋体"/>
                <w:b w:val="0"/>
                <w:color w:val="auto"/>
                <w:sz w:val="24"/>
                <w:highlight w:val="none"/>
                <w:u w:val="none"/>
                <w:lang w:eastAsia="zh-CN"/>
              </w:rPr>
              <w:t>）</w:t>
            </w:r>
            <w:r>
              <w:rPr>
                <w:rFonts w:hint="eastAsia" w:ascii="宋体" w:hAnsi="宋体" w:eastAsia="宋体"/>
                <w:b w:val="0"/>
                <w:color w:val="auto"/>
                <w:sz w:val="24"/>
                <w:highlight w:val="none"/>
                <w:u w:val="none"/>
              </w:rPr>
              <w:t>供应商的评审总得分</w:t>
            </w:r>
            <w:r>
              <w:rPr>
                <w:rFonts w:hint="eastAsia" w:ascii="宋体" w:hAnsi="宋体" w:eastAsia="宋体"/>
                <w:b w:val="0"/>
                <w:color w:val="auto"/>
                <w:sz w:val="24"/>
                <w:highlight w:val="none"/>
                <w:u w:val="none"/>
                <w:lang w:eastAsia="zh-CN"/>
              </w:rPr>
              <w:t>。</w:t>
            </w:r>
          </w:p>
        </w:tc>
      </w:tr>
      <w:tr w14:paraId="346A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C68936A">
            <w:pPr>
              <w:pStyle w:val="43"/>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r>
              <w:rPr>
                <w:rFonts w:hint="eastAsia" w:ascii="宋体" w:hAnsi="宋体" w:eastAsia="宋体"/>
                <w:bCs/>
                <w:color w:val="auto"/>
                <w:kern w:val="2"/>
                <w:highlight w:val="none"/>
                <w:lang w:val="en-US" w:eastAsia="zh-CN"/>
              </w:rPr>
              <w:t>3</w:t>
            </w:r>
            <w:r>
              <w:rPr>
                <w:rFonts w:ascii="宋体" w:hAnsi="宋体" w:eastAsia="宋体"/>
                <w:bCs/>
                <w:color w:val="auto"/>
                <w:kern w:val="2"/>
                <w:highlight w:val="none"/>
              </w:rPr>
              <w:t>.1</w:t>
            </w:r>
          </w:p>
        </w:tc>
        <w:tc>
          <w:tcPr>
            <w:tcW w:w="1160" w:type="pct"/>
            <w:vAlign w:val="center"/>
          </w:tcPr>
          <w:p w14:paraId="2756FD49">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成交通知书发出的形式</w:t>
            </w:r>
          </w:p>
        </w:tc>
        <w:tc>
          <w:tcPr>
            <w:tcW w:w="3267" w:type="pct"/>
            <w:vAlign w:val="center"/>
          </w:tcPr>
          <w:p w14:paraId="1DBE7650">
            <w:pPr>
              <w:pStyle w:val="42"/>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 xml:space="preserve">□书面 </w:t>
            </w:r>
            <w:r>
              <w:rPr>
                <w:rFonts w:ascii="宋体" w:hAnsi="宋体" w:eastAsia="宋体"/>
                <w:b w:val="0"/>
                <w:color w:val="auto"/>
                <w:sz w:val="24"/>
                <w:highlight w:val="none"/>
              </w:rPr>
              <w:t xml:space="preserve">    </w:t>
            </w:r>
            <w:r>
              <w:rPr>
                <w:rFonts w:hint="eastAsia" w:ascii="宋体" w:hAnsi="宋体" w:eastAsia="宋体"/>
                <w:b w:val="0"/>
                <w:bCs w:val="0"/>
                <w:color w:val="auto"/>
                <w:sz w:val="24"/>
                <w:szCs w:val="24"/>
                <w:highlight w:val="none"/>
              </w:rPr>
              <w:sym w:font="Wingdings" w:char="00FE"/>
            </w:r>
            <w:r>
              <w:rPr>
                <w:rFonts w:hint="eastAsia" w:ascii="宋体" w:hAnsi="宋体" w:eastAsia="宋体"/>
                <w:b w:val="0"/>
                <w:color w:val="auto"/>
                <w:sz w:val="24"/>
                <w:highlight w:val="none"/>
              </w:rPr>
              <w:t>数据电文</w:t>
            </w:r>
          </w:p>
        </w:tc>
      </w:tr>
      <w:tr w14:paraId="39D6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353DD30F">
            <w:pPr>
              <w:pStyle w:val="43"/>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24</w:t>
            </w:r>
            <w:r>
              <w:rPr>
                <w:rFonts w:ascii="宋体" w:hAnsi="宋体" w:eastAsia="宋体"/>
                <w:bCs/>
                <w:color w:val="auto"/>
                <w:kern w:val="2"/>
                <w:highlight w:val="none"/>
              </w:rPr>
              <w:t>.1</w:t>
            </w:r>
          </w:p>
        </w:tc>
        <w:tc>
          <w:tcPr>
            <w:tcW w:w="1160" w:type="pct"/>
            <w:vAlign w:val="center"/>
          </w:tcPr>
          <w:p w14:paraId="1E26AA9C">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告知磋商结果的形式</w:t>
            </w:r>
          </w:p>
        </w:tc>
        <w:tc>
          <w:tcPr>
            <w:tcW w:w="3267" w:type="pct"/>
            <w:vAlign w:val="center"/>
          </w:tcPr>
          <w:p w14:paraId="5A722817">
            <w:pPr>
              <w:pStyle w:val="42"/>
              <w:widowControl w:val="0"/>
              <w:spacing w:before="0" w:beforeAutospacing="0" w:after="0" w:afterAutospacing="0" w:line="360" w:lineRule="auto"/>
              <w:jc w:val="both"/>
              <w:rPr>
                <w:rFonts w:ascii="宋体" w:hAnsi="宋体" w:eastAsia="宋体"/>
                <w:b w:val="0"/>
                <w:bCs w:val="0"/>
                <w:color w:val="auto"/>
                <w:sz w:val="24"/>
                <w:szCs w:val="24"/>
                <w:highlight w:val="none"/>
              </w:rPr>
            </w:pPr>
            <w:r>
              <w:rPr>
                <w:rFonts w:hint="eastAsia" w:ascii="宋体" w:hAnsi="宋体" w:eastAsia="宋体"/>
                <w:b w:val="0"/>
                <w:bCs w:val="0"/>
                <w:color w:val="auto"/>
                <w:sz w:val="24"/>
                <w:szCs w:val="24"/>
                <w:highlight w:val="none"/>
              </w:rPr>
              <w:sym w:font="Wingdings" w:char="00FE"/>
            </w:r>
            <w:r>
              <w:rPr>
                <w:rFonts w:hint="eastAsia" w:ascii="宋体" w:hAnsi="宋体" w:eastAsia="宋体"/>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b w:val="0"/>
                <w:bCs w:val="0"/>
                <w:color w:val="auto"/>
                <w:sz w:val="24"/>
                <w:szCs w:val="24"/>
                <w:highlight w:val="none"/>
              </w:rPr>
              <w:t>系统查看</w:t>
            </w:r>
          </w:p>
          <w:p w14:paraId="7052FC6F">
            <w:pPr>
              <w:pStyle w:val="42"/>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□磋商现场告知</w:t>
            </w:r>
          </w:p>
        </w:tc>
      </w:tr>
      <w:tr w14:paraId="0C043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A43BE5C">
            <w:pPr>
              <w:pStyle w:val="43"/>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25</w:t>
            </w:r>
            <w:r>
              <w:rPr>
                <w:rFonts w:ascii="宋体" w:hAnsi="宋体" w:eastAsia="宋体"/>
                <w:bCs/>
                <w:color w:val="auto"/>
                <w:kern w:val="2"/>
                <w:highlight w:val="none"/>
              </w:rPr>
              <w:t>.1</w:t>
            </w:r>
          </w:p>
        </w:tc>
        <w:tc>
          <w:tcPr>
            <w:tcW w:w="1160" w:type="pct"/>
            <w:vAlign w:val="center"/>
          </w:tcPr>
          <w:p w14:paraId="7507067C">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履约保证金</w:t>
            </w:r>
          </w:p>
        </w:tc>
        <w:tc>
          <w:tcPr>
            <w:tcW w:w="3267" w:type="pct"/>
            <w:vAlign w:val="top"/>
          </w:tcPr>
          <w:p w14:paraId="1A415850">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（1）金额：</w:t>
            </w:r>
          </w:p>
          <w:p w14:paraId="1D91AB85">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免收</w:t>
            </w:r>
          </w:p>
          <w:p w14:paraId="58FEFFE5">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合同价的</w:t>
            </w:r>
            <w:r>
              <w:rPr>
                <w:rFonts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ascii="宋体" w:hAnsi="宋体" w:eastAsia="宋体"/>
                <w:bCs/>
                <w:color w:val="auto"/>
                <w:kern w:val="0"/>
                <w:sz w:val="24"/>
                <w:szCs w:val="28"/>
                <w:highlight w:val="none"/>
                <w:u w:val="single"/>
              </w:rPr>
              <w:t xml:space="preserve">  </w:t>
            </w:r>
            <w:r>
              <w:rPr>
                <w:rFonts w:ascii="宋体" w:hAnsi="宋体" w:eastAsia="宋体"/>
                <w:bCs/>
                <w:color w:val="auto"/>
                <w:kern w:val="0"/>
                <w:sz w:val="24"/>
                <w:szCs w:val="28"/>
                <w:highlight w:val="none"/>
              </w:rPr>
              <w:t>%</w:t>
            </w:r>
          </w:p>
          <w:p w14:paraId="16FFB14F">
            <w:pPr>
              <w:spacing w:line="360" w:lineRule="auto"/>
              <w:rPr>
                <w:rFonts w:ascii="宋体" w:hAnsi="宋体" w:eastAsia="宋体"/>
                <w:bCs/>
                <w:color w:val="auto"/>
                <w:kern w:val="0"/>
                <w:sz w:val="24"/>
                <w:szCs w:val="28"/>
                <w:highlight w:val="none"/>
              </w:rPr>
            </w:pPr>
            <w:r>
              <w:rPr>
                <w:rFonts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rPr>
              <w:t>定额收取：人民币</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元</w:t>
            </w:r>
          </w:p>
          <w:p w14:paraId="1376D452">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（2）支付方式：</w:t>
            </w:r>
          </w:p>
          <w:p w14:paraId="39CE5D3D">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00A8"/>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00A8"/>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7809DD62">
            <w:pPr>
              <w:numPr>
                <w:ilvl w:val="0"/>
                <w:numId w:val="0"/>
              </w:num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3</w:t>
            </w: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rPr>
              <w:t>收取单位：</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rPr>
              <w:t xml:space="preserve">              </w:t>
            </w:r>
          </w:p>
          <w:p w14:paraId="64A882A2">
            <w:pPr>
              <w:spacing w:line="360" w:lineRule="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lang w:val="en-US" w:eastAsia="zh-CN"/>
              </w:rPr>
              <w:t>（4）收取账号：</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p>
          <w:p w14:paraId="21C6A784">
            <w:pPr>
              <w:spacing w:line="360" w:lineRule="auto"/>
              <w:rPr>
                <w:rFonts w:ascii="宋体" w:hAnsi="宋体" w:eastAsia="宋体"/>
                <w:color w:val="auto"/>
                <w:sz w:val="24"/>
                <w:highlight w:val="none"/>
              </w:rPr>
            </w:pPr>
            <w:r>
              <w:rPr>
                <w:rFonts w:hint="eastAsia" w:ascii="宋体" w:hAnsi="宋体" w:eastAsia="宋体"/>
                <w:bCs/>
                <w:color w:val="auto"/>
                <w:kern w:val="0"/>
                <w:sz w:val="24"/>
                <w:szCs w:val="28"/>
                <w:highlight w:val="none"/>
              </w:rPr>
              <w:t>（</w:t>
            </w:r>
            <w:r>
              <w:rPr>
                <w:rFonts w:hint="eastAsia" w:ascii="宋体" w:hAnsi="宋体" w:eastAsia="宋体"/>
                <w:bCs/>
                <w:color w:val="auto"/>
                <w:kern w:val="0"/>
                <w:sz w:val="24"/>
                <w:szCs w:val="28"/>
                <w:highlight w:val="none"/>
                <w:lang w:val="en-US" w:eastAsia="zh-CN"/>
              </w:rPr>
              <w:t>5</w:t>
            </w:r>
            <w:r>
              <w:rPr>
                <w:rFonts w:hint="eastAsia" w:ascii="宋体" w:hAnsi="宋体" w:eastAsia="宋体"/>
                <w:bCs/>
                <w:color w:val="auto"/>
                <w:kern w:val="0"/>
                <w:sz w:val="24"/>
                <w:szCs w:val="28"/>
                <w:highlight w:val="none"/>
              </w:rPr>
              <w:t>）</w:t>
            </w:r>
            <w:r>
              <w:rPr>
                <w:rFonts w:hint="eastAsia" w:ascii="宋体" w:hAnsi="宋体" w:eastAsia="宋体"/>
                <w:color w:val="auto"/>
                <w:sz w:val="24"/>
                <w:highlight w:val="none"/>
              </w:rPr>
              <w:t>退还时间：</w:t>
            </w:r>
            <w:r>
              <w:rPr>
                <w:rFonts w:hint="eastAsia" w:ascii="宋体" w:hAnsi="宋体" w:eastAsia="宋体"/>
                <w:bCs/>
                <w:color w:val="auto"/>
                <w:kern w:val="0"/>
                <w:sz w:val="24"/>
                <w:szCs w:val="28"/>
                <w:highlight w:val="none"/>
                <w:u w:val="single"/>
              </w:rPr>
              <w:t xml:space="preserve">     </w:t>
            </w:r>
            <w:r>
              <w:rPr>
                <w:rFonts w:hint="eastAsia" w:ascii="宋体" w:hAnsi="宋体" w:eastAsia="宋体"/>
                <w:bCs/>
                <w:color w:val="auto"/>
                <w:kern w:val="0"/>
                <w:sz w:val="24"/>
                <w:szCs w:val="28"/>
                <w:highlight w:val="none"/>
                <w:u w:val="single"/>
                <w:lang w:val="en-US" w:eastAsia="zh-CN"/>
              </w:rPr>
              <w:t>/</w:t>
            </w:r>
            <w:r>
              <w:rPr>
                <w:rFonts w:hint="eastAsia" w:ascii="宋体" w:hAnsi="宋体" w:eastAsia="宋体"/>
                <w:bCs/>
                <w:color w:val="auto"/>
                <w:kern w:val="0"/>
                <w:sz w:val="24"/>
                <w:szCs w:val="28"/>
                <w:highlight w:val="none"/>
                <w:u w:val="single"/>
              </w:rPr>
              <w:t xml:space="preserve">         </w:t>
            </w:r>
          </w:p>
          <w:p w14:paraId="262FD87A">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注意事项：</w:t>
            </w:r>
          </w:p>
          <w:p w14:paraId="5CAF906B">
            <w:pPr>
              <w:spacing w:line="360" w:lineRule="auto"/>
              <w:rPr>
                <w:rFonts w:ascii="宋体" w:hAnsi="宋体" w:eastAsia="宋体"/>
                <w:b/>
                <w:bCs/>
                <w:color w:val="auto"/>
                <w:kern w:val="0"/>
                <w:sz w:val="24"/>
                <w:szCs w:val="24"/>
                <w:highlight w:val="none"/>
              </w:rPr>
            </w:pPr>
            <w:r>
              <w:rPr>
                <w:rFonts w:hint="eastAsia" w:ascii="宋体" w:hAnsi="宋体" w:eastAsia="宋体"/>
                <w:b/>
                <w:bCs/>
                <w:color w:val="auto"/>
                <w:kern w:val="0"/>
                <w:sz w:val="24"/>
                <w:szCs w:val="24"/>
                <w:highlight w:val="none"/>
              </w:rPr>
              <w:t>（1）以上各类机构出具的以担保函、保证保险承担责任的方式均须满足无条件见索即付条件。</w:t>
            </w:r>
          </w:p>
          <w:p w14:paraId="1A06909D">
            <w:pPr>
              <w:pStyle w:val="42"/>
              <w:widowControl w:val="0"/>
              <w:spacing w:before="0" w:beforeAutospacing="0" w:after="0" w:afterAutospacing="0" w:line="360" w:lineRule="auto"/>
              <w:jc w:val="both"/>
              <w:rPr>
                <w:rFonts w:ascii="宋体" w:hAnsi="宋体" w:eastAsia="宋体" w:cs="@仿宋_GB2312"/>
                <w:b/>
                <w:bCs/>
                <w:color w:val="auto"/>
                <w:kern w:val="0"/>
                <w:sz w:val="24"/>
                <w:szCs w:val="28"/>
                <w:highlight w:val="none"/>
                <w:lang w:val="en-US" w:eastAsia="zh-CN" w:bidi="ar-SA"/>
              </w:rPr>
            </w:pPr>
            <w:r>
              <w:rPr>
                <w:rFonts w:hint="eastAsia" w:ascii="宋体" w:hAnsi="宋体" w:eastAsia="宋体"/>
                <w:bCs w:val="0"/>
                <w:color w:val="auto"/>
                <w:sz w:val="24"/>
                <w:szCs w:val="24"/>
                <w:highlight w:val="none"/>
              </w:rPr>
              <w:t>（2）以担保函、保证保险形式缴纳履约保证金的，受益人和收取单位须为采购人。</w:t>
            </w:r>
          </w:p>
        </w:tc>
      </w:tr>
      <w:tr w14:paraId="1F0AF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D14537F">
            <w:pPr>
              <w:pStyle w:val="43"/>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26</w:t>
            </w:r>
            <w:r>
              <w:rPr>
                <w:rFonts w:ascii="宋体" w:hAnsi="宋体" w:eastAsia="宋体"/>
                <w:bCs/>
                <w:color w:val="auto"/>
                <w:kern w:val="2"/>
                <w:highlight w:val="none"/>
              </w:rPr>
              <w:t>.1</w:t>
            </w:r>
          </w:p>
        </w:tc>
        <w:tc>
          <w:tcPr>
            <w:tcW w:w="1160" w:type="pct"/>
            <w:vAlign w:val="center"/>
          </w:tcPr>
          <w:p w14:paraId="15803E50">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lang w:val="en-US" w:eastAsia="zh-CN"/>
              </w:rPr>
              <w:t>代理</w:t>
            </w:r>
            <w:r>
              <w:rPr>
                <w:rFonts w:hint="eastAsia" w:ascii="宋体" w:hAnsi="宋体" w:eastAsia="宋体"/>
                <w:b w:val="0"/>
                <w:color w:val="auto"/>
                <w:sz w:val="24"/>
                <w:highlight w:val="none"/>
              </w:rPr>
              <w:t>费</w:t>
            </w:r>
            <w:r>
              <w:rPr>
                <w:rFonts w:hint="eastAsia" w:ascii="宋体" w:hAnsi="宋体" w:eastAsia="宋体"/>
                <w:b w:val="0"/>
                <w:color w:val="auto"/>
                <w:sz w:val="24"/>
                <w:highlight w:val="none"/>
                <w:lang w:val="en-US" w:eastAsia="zh-CN"/>
              </w:rPr>
              <w:t>用</w:t>
            </w:r>
          </w:p>
        </w:tc>
        <w:tc>
          <w:tcPr>
            <w:tcW w:w="3267" w:type="pct"/>
            <w:vAlign w:val="center"/>
          </w:tcPr>
          <w:p w14:paraId="3C780672">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bCs/>
                <w:color w:val="auto"/>
                <w:kern w:val="0"/>
                <w:sz w:val="24"/>
                <w:szCs w:val="28"/>
                <w:highlight w:val="none"/>
                <w:lang w:eastAsia="zh-CN"/>
              </w:rPr>
              <w:t>（</w:t>
            </w:r>
            <w:r>
              <w:rPr>
                <w:rFonts w:hint="eastAsia" w:ascii="宋体" w:hAnsi="宋体" w:eastAsia="宋体"/>
                <w:bCs/>
                <w:color w:val="auto"/>
                <w:kern w:val="0"/>
                <w:sz w:val="24"/>
                <w:szCs w:val="28"/>
                <w:highlight w:val="none"/>
                <w:lang w:val="en-US" w:eastAsia="zh-CN"/>
              </w:rPr>
              <w:t>1</w:t>
            </w:r>
            <w:r>
              <w:rPr>
                <w:rFonts w:hint="eastAsia" w:ascii="宋体" w:hAnsi="宋体" w:eastAsia="宋体"/>
                <w:bCs/>
                <w:color w:val="auto"/>
                <w:kern w:val="0"/>
                <w:sz w:val="24"/>
                <w:szCs w:val="28"/>
                <w:highlight w:val="none"/>
                <w:lang w:eastAsia="zh-CN"/>
              </w:rPr>
              <w:t>）</w:t>
            </w:r>
            <w:r>
              <w:rPr>
                <w:rFonts w:hint="default" w:ascii="宋体" w:hAnsi="宋体" w:eastAsia="宋体"/>
                <w:bCs/>
                <w:color w:val="auto"/>
                <w:kern w:val="0"/>
                <w:sz w:val="24"/>
                <w:szCs w:val="28"/>
                <w:highlight w:val="none"/>
              </w:rPr>
              <w:t>收费对象</w:t>
            </w:r>
            <w:r>
              <w:rPr>
                <w:rFonts w:ascii="宋体" w:hAnsi="宋体" w:eastAsia="宋体" w:cs="宋体"/>
                <w:color w:val="auto"/>
                <w:spacing w:val="-12"/>
                <w:sz w:val="24"/>
                <w:szCs w:val="24"/>
                <w:highlight w:val="none"/>
              </w:rPr>
              <w:t>：</w:t>
            </w:r>
            <w:r>
              <w:rPr>
                <w:rFonts w:hint="eastAsia" w:ascii="宋体" w:hAnsi="宋体" w:eastAsia="宋体"/>
                <w:bCs/>
                <w:color w:val="auto"/>
                <w:kern w:val="0"/>
                <w:sz w:val="24"/>
                <w:szCs w:val="28"/>
                <w:highlight w:val="none"/>
              </w:rPr>
              <w:sym w:font="Wingdings" w:char="00A8"/>
            </w:r>
            <w:r>
              <w:rPr>
                <w:rFonts w:ascii="宋体" w:hAnsi="宋体" w:eastAsia="宋体" w:cs="宋体"/>
                <w:color w:val="auto"/>
                <w:spacing w:val="14"/>
                <w:sz w:val="24"/>
                <w:szCs w:val="24"/>
                <w:highlight w:val="none"/>
              </w:rPr>
              <w:t>采购人</w:t>
            </w:r>
            <w:r>
              <w:rPr>
                <w:rFonts w:hint="eastAsia" w:ascii="宋体" w:hAnsi="宋体" w:eastAsia="宋体" w:cs="宋体"/>
                <w:color w:val="auto"/>
                <w:spacing w:val="14"/>
                <w:sz w:val="24"/>
                <w:szCs w:val="24"/>
                <w:highlight w:val="none"/>
                <w:lang w:val="en-US" w:eastAsia="zh-CN"/>
              </w:rPr>
              <w:t xml:space="preserve">   </w:t>
            </w:r>
            <w:r>
              <w:rPr>
                <w:rFonts w:hint="eastAsia" w:ascii="宋体" w:hAnsi="宋体" w:eastAsia="宋体"/>
                <w:bCs/>
                <w:color w:val="auto"/>
                <w:kern w:val="0"/>
                <w:sz w:val="24"/>
                <w:szCs w:val="28"/>
                <w:highlight w:val="none"/>
              </w:rPr>
              <w:sym w:font="Wingdings" w:char="00FE"/>
            </w:r>
            <w:r>
              <w:rPr>
                <w:rFonts w:hint="eastAsia" w:ascii="宋体" w:hAnsi="宋体" w:eastAsia="宋体" w:cs="宋体"/>
                <w:color w:val="auto"/>
                <w:spacing w:val="14"/>
                <w:sz w:val="24"/>
                <w:szCs w:val="24"/>
                <w:highlight w:val="none"/>
                <w:lang w:val="en-US" w:eastAsia="zh-CN"/>
              </w:rPr>
              <w:t>成交供应商</w:t>
            </w:r>
          </w:p>
          <w:p w14:paraId="236F1B5B">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t>（2）</w:t>
            </w:r>
            <w:r>
              <w:rPr>
                <w:rFonts w:hint="default" w:ascii="宋体" w:hAnsi="宋体" w:eastAsia="宋体"/>
                <w:bCs/>
                <w:color w:val="auto"/>
                <w:kern w:val="0"/>
                <w:sz w:val="24"/>
                <w:szCs w:val="28"/>
                <w:highlight w:val="none"/>
              </w:rPr>
              <w:t>收取方式</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color="auto"/>
              </w:rPr>
              <w:t>领取成交通知书时一次性支付给代理机构。</w:t>
            </w:r>
          </w:p>
          <w:p w14:paraId="687E4988">
            <w:pPr>
              <w:pStyle w:val="42"/>
              <w:widowControl w:val="0"/>
              <w:spacing w:before="0" w:beforeAutospacing="0" w:after="0" w:afterAutospacing="0" w:line="360" w:lineRule="auto"/>
              <w:jc w:val="both"/>
              <w:rPr>
                <w:rFonts w:ascii="宋体" w:hAnsi="宋体" w:eastAsia="宋体" w:cs="@仿宋_GB2312"/>
                <w:b w:val="0"/>
                <w:bCs/>
                <w:color w:val="auto"/>
                <w:kern w:val="0"/>
                <w:sz w:val="24"/>
                <w:szCs w:val="28"/>
                <w:highlight w:val="none"/>
                <w:lang w:val="en-US" w:eastAsia="zh-CN" w:bidi="ar-SA"/>
              </w:rPr>
            </w:pPr>
            <w:r>
              <w:rPr>
                <w:rFonts w:hint="eastAsia" w:ascii="宋体" w:hAnsi="宋体" w:eastAsia="宋体"/>
                <w:b w:val="0"/>
                <w:bCs w:val="0"/>
                <w:color w:val="auto"/>
                <w:kern w:val="0"/>
                <w:sz w:val="24"/>
                <w:szCs w:val="28"/>
                <w:highlight w:val="none"/>
              </w:rPr>
              <w:t>（3）</w:t>
            </w:r>
            <w:r>
              <w:rPr>
                <w:rFonts w:hint="default" w:ascii="宋体" w:hAnsi="宋体" w:eastAsia="宋体" w:cs="@仿宋_GB2312"/>
                <w:b w:val="0"/>
                <w:bCs/>
                <w:color w:val="auto"/>
                <w:kern w:val="0"/>
                <w:sz w:val="24"/>
                <w:szCs w:val="28"/>
                <w:highlight w:val="none"/>
                <w:lang w:val="en-US" w:eastAsia="zh-CN" w:bidi="ar-SA"/>
              </w:rPr>
              <w:t>收费标准：</w:t>
            </w:r>
            <w:r>
              <w:rPr>
                <w:rFonts w:hint="eastAsia" w:ascii="宋体" w:hAnsi="宋体" w:eastAsia="宋体" w:cs="宋体"/>
                <w:b w:val="0"/>
                <w:bCs/>
                <w:color w:val="auto"/>
                <w:sz w:val="24"/>
                <w:szCs w:val="24"/>
                <w:highlight w:val="none"/>
                <w:u w:val="single" w:color="auto"/>
                <w:lang w:val="en-US" w:eastAsia="zh-CN"/>
              </w:rPr>
              <w:t>3000</w:t>
            </w:r>
            <w:r>
              <w:rPr>
                <w:rFonts w:hint="eastAsia" w:ascii="宋体" w:hAnsi="宋体" w:eastAsia="宋体" w:cs="宋体"/>
                <w:b w:val="0"/>
                <w:bCs/>
                <w:color w:val="auto"/>
                <w:sz w:val="24"/>
                <w:szCs w:val="24"/>
                <w:highlight w:val="none"/>
                <w:u w:val="single" w:color="auto"/>
              </w:rPr>
              <w:t>元，按照《滁州市公共资源交易代理机构及从业人员管理办法》(滁公管〔2025〕1 号)执行。</w:t>
            </w:r>
          </w:p>
        </w:tc>
      </w:tr>
      <w:tr w14:paraId="49BAC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5FFBFDC">
            <w:pPr>
              <w:pStyle w:val="43"/>
              <w:pBdr>
                <w:bottom w:val="none" w:color="auto" w:sz="0" w:space="0"/>
              </w:pBdr>
              <w:tabs>
                <w:tab w:val="clear" w:pos="4153"/>
                <w:tab w:val="clear" w:pos="8306"/>
              </w:tabs>
              <w:adjustRightInd/>
              <w:spacing w:line="360" w:lineRule="auto"/>
              <w:textAlignment w:val="auto"/>
              <w:rPr>
                <w:rFonts w:hint="eastAsia" w:ascii="宋体" w:hAnsi="宋体" w:eastAsia="宋体" w:cs="@仿宋_GB2312"/>
                <w:bCs/>
                <w:color w:val="auto"/>
                <w:kern w:val="2"/>
                <w:sz w:val="24"/>
                <w:szCs w:val="20"/>
                <w:highlight w:val="none"/>
                <w:lang w:val="en-US" w:eastAsia="zh-CN" w:bidi="ar-SA"/>
              </w:rPr>
            </w:pPr>
            <w:r>
              <w:rPr>
                <w:rFonts w:hint="eastAsia" w:ascii="宋体" w:hAnsi="宋体" w:eastAsia="宋体"/>
                <w:bCs/>
                <w:color w:val="auto"/>
                <w:kern w:val="2"/>
                <w:highlight w:val="none"/>
                <w:lang w:val="en-US" w:eastAsia="zh-CN"/>
              </w:rPr>
              <w:t>27.1</w:t>
            </w:r>
          </w:p>
        </w:tc>
        <w:tc>
          <w:tcPr>
            <w:tcW w:w="1160" w:type="pct"/>
            <w:vAlign w:val="center"/>
          </w:tcPr>
          <w:p w14:paraId="7395B1FE">
            <w:pPr>
              <w:pStyle w:val="42"/>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lang w:val="en-US" w:eastAsia="zh-CN"/>
              </w:rPr>
              <w:t>签订合同和合同公告时间</w:t>
            </w:r>
          </w:p>
        </w:tc>
        <w:tc>
          <w:tcPr>
            <w:tcW w:w="3267" w:type="pct"/>
            <w:vAlign w:val="center"/>
          </w:tcPr>
          <w:p w14:paraId="5FE2CFF9">
            <w:pPr>
              <w:pStyle w:val="42"/>
              <w:widowControl w:val="0"/>
              <w:spacing w:before="0" w:beforeAutospacing="0" w:after="0" w:afterAutospacing="0" w:line="360" w:lineRule="auto"/>
              <w:jc w:val="both"/>
              <w:rPr>
                <w:rFonts w:hint="eastAsia" w:ascii="宋体" w:hAnsi="宋体" w:eastAsia="宋体"/>
                <w:b/>
                <w:bCs w:val="0"/>
                <w:color w:val="auto"/>
                <w:sz w:val="24"/>
                <w:highlight w:val="none"/>
                <w:lang w:val="en-US" w:eastAsia="zh-CN"/>
              </w:rPr>
            </w:pPr>
            <w:r>
              <w:rPr>
                <w:rFonts w:hint="eastAsia" w:ascii="宋体" w:hAnsi="宋体" w:eastAsia="宋体"/>
                <w:b/>
                <w:bCs w:val="0"/>
                <w:color w:val="auto"/>
                <w:sz w:val="24"/>
                <w:highlight w:val="none"/>
                <w:lang w:val="en-US" w:eastAsia="zh-CN"/>
              </w:rPr>
              <w:t>（1）采购人与成交供应商应当自发出成交通知书之日起7个工作日内签订合同，采购合同签订之日起2个工作日内完成政府采购合同公开。</w:t>
            </w:r>
          </w:p>
          <w:p w14:paraId="42F9A423">
            <w:pPr>
              <w:pStyle w:val="42"/>
              <w:widowControl w:val="0"/>
              <w:spacing w:before="0" w:beforeAutospacing="0" w:after="0" w:afterAutospacing="0" w:line="360" w:lineRule="auto"/>
              <w:jc w:val="both"/>
              <w:rPr>
                <w:rFonts w:hint="eastAsia" w:ascii="宋体" w:hAnsi="宋体" w:eastAsia="宋体"/>
                <w:b w:val="0"/>
                <w:color w:val="auto"/>
                <w:sz w:val="24"/>
                <w:highlight w:val="none"/>
                <w:lang w:val="en-US" w:eastAsia="zh-CN"/>
              </w:rPr>
            </w:pPr>
            <w:r>
              <w:rPr>
                <w:rFonts w:ascii="宋体" w:hAnsi="宋体" w:eastAsia="宋体" w:cs="宋体"/>
                <w:b/>
                <w:bCs w:val="0"/>
                <w:color w:val="auto"/>
                <w:sz w:val="24"/>
                <w:szCs w:val="24"/>
                <w:highlight w:val="none"/>
              </w:rPr>
              <w:t>（2）采购人与</w:t>
            </w:r>
            <w:r>
              <w:rPr>
                <w:rFonts w:hint="eastAsia" w:ascii="宋体" w:hAnsi="宋体" w:eastAsia="宋体"/>
                <w:b/>
                <w:bCs w:val="0"/>
                <w:color w:val="auto"/>
                <w:sz w:val="24"/>
                <w:highlight w:val="none"/>
                <w:lang w:val="en-US" w:eastAsia="zh-CN"/>
              </w:rPr>
              <w:t>成交供应商</w:t>
            </w:r>
            <w:r>
              <w:rPr>
                <w:rFonts w:ascii="宋体" w:hAnsi="宋体" w:eastAsia="宋体" w:cs="宋体"/>
                <w:color w:val="auto"/>
                <w:sz w:val="24"/>
                <w:szCs w:val="24"/>
                <w:highlight w:val="none"/>
              </w:rPr>
              <w:t>不得擅自变更合同，依照政府采购法确需变更政府采购合同内容的，采购人应当自合同变更之日起2个工作日内在安徽省政府采购网</w:t>
            </w:r>
            <w:r>
              <w:rPr>
                <w:rFonts w:hint="eastAsia" w:ascii="宋体" w:hAnsi="宋体" w:eastAsia="宋体" w:cs="宋体"/>
                <w:color w:val="auto"/>
                <w:sz w:val="24"/>
                <w:szCs w:val="24"/>
                <w:highlight w:val="none"/>
                <w:lang w:val="en-US" w:eastAsia="zh-CN"/>
              </w:rPr>
              <w:t>和滁州市公共资源交易中心网</w:t>
            </w:r>
            <w:r>
              <w:rPr>
                <w:rFonts w:ascii="宋体" w:hAnsi="宋体" w:eastAsia="宋体" w:cs="宋体"/>
                <w:color w:val="auto"/>
                <w:sz w:val="24"/>
                <w:szCs w:val="24"/>
                <w:highlight w:val="none"/>
              </w:rPr>
              <w:t>发布政府采购合同变更公告，但涉及国家秘密、商业秘密的信息和其他依法不得公开的信息除外。</w:t>
            </w:r>
          </w:p>
        </w:tc>
      </w:tr>
      <w:tr w14:paraId="53301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54FEADA">
            <w:pPr>
              <w:pStyle w:val="43"/>
              <w:pBdr>
                <w:bottom w:val="none" w:color="auto" w:sz="0" w:space="0"/>
              </w:pBdr>
              <w:tabs>
                <w:tab w:val="clear" w:pos="4153"/>
                <w:tab w:val="clear" w:pos="8306"/>
              </w:tabs>
              <w:adjustRightInd/>
              <w:spacing w:line="36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29.3</w:t>
            </w:r>
          </w:p>
        </w:tc>
        <w:tc>
          <w:tcPr>
            <w:tcW w:w="1160" w:type="pct"/>
            <w:vAlign w:val="center"/>
          </w:tcPr>
          <w:p w14:paraId="357BFA54">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质疑函递交方式、接收部门、联系电话和通讯地址</w:t>
            </w:r>
          </w:p>
        </w:tc>
        <w:tc>
          <w:tcPr>
            <w:tcW w:w="3267" w:type="pct"/>
            <w:vAlign w:val="center"/>
          </w:tcPr>
          <w:p w14:paraId="5F1DC7E4">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递交方式：</w:t>
            </w:r>
            <w:r>
              <w:rPr>
                <w:rFonts w:hint="eastAsia" w:ascii="宋体" w:hAnsi="宋体" w:eastAsia="宋体"/>
                <w:bCs/>
                <w:color w:val="auto"/>
                <w:kern w:val="0"/>
                <w:sz w:val="24"/>
                <w:szCs w:val="28"/>
                <w:highlight w:val="none"/>
                <w:u w:val="single"/>
              </w:rPr>
              <w:t>供应商可以通过书面形式提出，也可以通过线上提出质疑【通过线上向滁州市公共资源交易中心网电子交易系统提出质疑（具体操作步骤和程序请参见服务指南&gt;交易须知&gt;在线异议、质疑和投诉操作手册）】。一份质疑函只能针对一个项目提出质疑，且针对同一采购程序环节的质疑应当一次性提出。</w:t>
            </w:r>
          </w:p>
          <w:p w14:paraId="26161663">
            <w:pPr>
              <w:pStyle w:val="42"/>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hint="eastAsia" w:ascii="宋体" w:hAnsi="宋体" w:eastAsia="宋体"/>
                <w:b w:val="0"/>
                <w:color w:val="auto"/>
                <w:sz w:val="24"/>
                <w:highlight w:val="none"/>
              </w:rPr>
              <w:t>接收部门：</w:t>
            </w:r>
            <w:r>
              <w:rPr>
                <w:rFonts w:hint="eastAsia" w:ascii="宋体" w:hAnsi="宋体" w:eastAsia="宋体"/>
                <w:bCs/>
                <w:color w:val="auto"/>
                <w:kern w:val="0"/>
                <w:sz w:val="24"/>
                <w:szCs w:val="28"/>
                <w:highlight w:val="none"/>
                <w:u w:val="single"/>
                <w:lang w:eastAsia="zh-CN"/>
              </w:rPr>
              <w:t>中共滁州市委网络安全和信息化委员会办公室</w:t>
            </w:r>
            <w:r>
              <w:rPr>
                <w:rFonts w:hint="eastAsia" w:ascii="宋体" w:hAnsi="宋体" w:eastAsia="宋体"/>
                <w:bCs/>
                <w:color w:val="auto"/>
                <w:kern w:val="0"/>
                <w:sz w:val="24"/>
                <w:szCs w:val="28"/>
                <w:highlight w:val="none"/>
                <w:u w:val="single"/>
              </w:rPr>
              <w:t>、滁州市城投工程咨询管理有限公司；</w:t>
            </w:r>
          </w:p>
          <w:p w14:paraId="4101A95B">
            <w:pPr>
              <w:pStyle w:val="42"/>
              <w:widowControl w:val="0"/>
              <w:spacing w:before="0" w:beforeAutospacing="0" w:after="0" w:afterAutospacing="0" w:line="360" w:lineRule="auto"/>
              <w:jc w:val="both"/>
              <w:rPr>
                <w:rFonts w:ascii="宋体" w:hAnsi="宋体" w:eastAsia="宋体"/>
                <w:b w:val="0"/>
                <w:bCs w:val="0"/>
                <w:color w:val="auto"/>
                <w:sz w:val="24"/>
                <w:szCs w:val="18"/>
                <w:highlight w:val="none"/>
              </w:rPr>
            </w:pPr>
            <w:r>
              <w:rPr>
                <w:rFonts w:ascii="宋体" w:hAnsi="宋体" w:eastAsia="宋体"/>
                <w:b w:val="0"/>
                <w:color w:val="auto"/>
                <w:sz w:val="24"/>
                <w:highlight w:val="none"/>
              </w:rPr>
              <w:t>联系电话：</w:t>
            </w:r>
            <w:r>
              <w:rPr>
                <w:rFonts w:hint="eastAsia" w:ascii="宋体" w:hAnsi="宋体" w:eastAsia="宋体"/>
                <w:bCs/>
                <w:color w:val="auto"/>
                <w:kern w:val="0"/>
                <w:sz w:val="24"/>
                <w:szCs w:val="28"/>
                <w:highlight w:val="none"/>
                <w:u w:val="single"/>
                <w:lang w:eastAsia="zh-CN"/>
              </w:rPr>
              <w:t>0550-3802028</w:t>
            </w:r>
            <w:r>
              <w:rPr>
                <w:rFonts w:hint="eastAsia" w:ascii="宋体" w:hAnsi="宋体" w:eastAsia="宋体"/>
                <w:bCs/>
                <w:color w:val="auto"/>
                <w:kern w:val="0"/>
                <w:sz w:val="24"/>
                <w:szCs w:val="28"/>
                <w:highlight w:val="none"/>
                <w:u w:val="single"/>
              </w:rPr>
              <w:t>、0550-3519517；</w:t>
            </w:r>
          </w:p>
          <w:p w14:paraId="5D6ABDCF">
            <w:pPr>
              <w:pStyle w:val="42"/>
              <w:widowControl w:val="0"/>
              <w:spacing w:before="0" w:beforeAutospacing="0" w:after="0" w:afterAutospacing="0" w:line="360" w:lineRule="auto"/>
              <w:jc w:val="both"/>
              <w:rPr>
                <w:rFonts w:hint="eastAsia" w:ascii="宋体" w:hAnsi="宋体" w:eastAsia="宋体" w:cs="@仿宋_GB2312"/>
                <w:b w:val="0"/>
                <w:bCs/>
                <w:color w:val="auto"/>
                <w:kern w:val="0"/>
                <w:sz w:val="24"/>
                <w:szCs w:val="28"/>
                <w:highlight w:val="none"/>
                <w:lang w:val="en-US" w:eastAsia="zh-CN" w:bidi="ar-SA"/>
              </w:rPr>
            </w:pPr>
            <w:r>
              <w:rPr>
                <w:rFonts w:hint="eastAsia" w:ascii="宋体" w:hAnsi="宋体" w:eastAsia="宋体"/>
                <w:b w:val="0"/>
                <w:color w:val="auto"/>
                <w:sz w:val="24"/>
                <w:highlight w:val="none"/>
              </w:rPr>
              <w:t>通讯地址：</w:t>
            </w:r>
            <w:r>
              <w:rPr>
                <w:rFonts w:hint="eastAsia" w:ascii="宋体" w:hAnsi="宋体" w:eastAsia="宋体"/>
                <w:bCs/>
                <w:color w:val="auto"/>
                <w:kern w:val="0"/>
                <w:sz w:val="24"/>
                <w:szCs w:val="28"/>
                <w:highlight w:val="none"/>
                <w:u w:val="single"/>
                <w:lang w:eastAsia="zh-CN"/>
              </w:rPr>
              <w:t>滁州市龙蟠大道99号政务中心</w:t>
            </w:r>
            <w:r>
              <w:rPr>
                <w:rFonts w:hint="eastAsia" w:ascii="宋体" w:hAnsi="宋体" w:eastAsia="宋体"/>
                <w:bCs/>
                <w:color w:val="auto"/>
                <w:kern w:val="0"/>
                <w:sz w:val="24"/>
                <w:szCs w:val="28"/>
                <w:highlight w:val="none"/>
                <w:u w:val="single"/>
              </w:rPr>
              <w:t>、滁州市龙蟠大道109号房产商务大厦6楼</w:t>
            </w:r>
            <w:r>
              <w:rPr>
                <w:rFonts w:hint="eastAsia" w:ascii="宋体" w:hAnsi="宋体" w:eastAsia="宋体"/>
                <w:bCs/>
                <w:color w:val="auto"/>
                <w:kern w:val="0"/>
                <w:sz w:val="24"/>
                <w:szCs w:val="28"/>
                <w:highlight w:val="none"/>
                <w:u w:val="single"/>
                <w:lang w:val="en-US" w:eastAsia="zh-CN"/>
              </w:rPr>
              <w:t>。</w:t>
            </w:r>
          </w:p>
        </w:tc>
      </w:tr>
      <w:tr w14:paraId="4C94C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360EB030">
            <w:pPr>
              <w:pStyle w:val="43"/>
              <w:pBdr>
                <w:bottom w:val="none" w:color="auto" w:sz="0" w:space="0"/>
              </w:pBdr>
              <w:tabs>
                <w:tab w:val="clear" w:pos="4153"/>
                <w:tab w:val="clear" w:pos="8306"/>
              </w:tabs>
              <w:adjustRightInd/>
              <w:spacing w:line="36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lang w:val="en-US" w:eastAsia="zh-CN"/>
              </w:rPr>
              <w:t>30</w:t>
            </w:r>
          </w:p>
        </w:tc>
        <w:tc>
          <w:tcPr>
            <w:tcW w:w="1160" w:type="pct"/>
            <w:vAlign w:val="center"/>
          </w:tcPr>
          <w:p w14:paraId="01DFA0F7">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rPr>
              <w:t>其他内容</w:t>
            </w:r>
          </w:p>
        </w:tc>
        <w:tc>
          <w:tcPr>
            <w:tcW w:w="6274" w:type="dxa"/>
            <w:vAlign w:val="center"/>
          </w:tcPr>
          <w:p w14:paraId="2A87A920">
            <w:pPr>
              <w:spacing w:line="360" w:lineRule="auto"/>
              <w:rPr>
                <w:rFonts w:hint="default" w:asciiTheme="minorEastAsia" w:hAnsiTheme="minorEastAsia" w:eastAsiaTheme="minorEastAsia"/>
                <w:bCs/>
                <w:color w:val="auto"/>
                <w:sz w:val="24"/>
                <w:szCs w:val="24"/>
                <w:highlight w:val="none"/>
                <w:lang w:val="en-US" w:eastAsia="zh-CN"/>
              </w:rPr>
            </w:pPr>
            <w:r>
              <w:rPr>
                <w:rFonts w:hint="eastAsia" w:asciiTheme="minorEastAsia" w:hAnsiTheme="minorEastAsia" w:eastAsiaTheme="minorEastAsia"/>
                <w:bCs/>
                <w:color w:val="auto"/>
                <w:sz w:val="24"/>
                <w:szCs w:val="24"/>
                <w:highlight w:val="none"/>
                <w:lang w:val="en-US" w:eastAsia="zh-CN"/>
              </w:rPr>
              <w:t>1.解释权</w:t>
            </w:r>
          </w:p>
          <w:p w14:paraId="0FDB2F4B">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（1）</w:t>
            </w:r>
            <w:r>
              <w:rPr>
                <w:rFonts w:asciiTheme="minorEastAsia" w:hAnsiTheme="minorEastAsia" w:eastAsiaTheme="minorEastAsia"/>
                <w:bCs/>
                <w:color w:val="auto"/>
                <w:sz w:val="24"/>
                <w:szCs w:val="24"/>
                <w:highlight w:val="none"/>
              </w:rPr>
              <w:t>构成本</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文件的各个组成文件应互为解释，互为说明；</w:t>
            </w:r>
          </w:p>
          <w:p w14:paraId="526DFEA0">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（2）</w:t>
            </w:r>
            <w:r>
              <w:rPr>
                <w:rFonts w:asciiTheme="minorEastAsia" w:hAnsiTheme="minorEastAsia" w:eastAsiaTheme="minorEastAsia"/>
                <w:bCs/>
                <w:color w:val="auto"/>
                <w:sz w:val="24"/>
                <w:szCs w:val="24"/>
                <w:highlight w:val="none"/>
              </w:rPr>
              <w:t>同一组成文件中就同一事项的规定或约定不一致的，以编排顺序在后者为准；</w:t>
            </w:r>
          </w:p>
          <w:p w14:paraId="1F2E83EF">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（3）</w:t>
            </w:r>
            <w:r>
              <w:rPr>
                <w:rFonts w:asciiTheme="minorEastAsia" w:hAnsiTheme="minorEastAsia" w:eastAsiaTheme="minorEastAsia"/>
                <w:bCs/>
                <w:color w:val="auto"/>
                <w:sz w:val="24"/>
                <w:szCs w:val="24"/>
                <w:highlight w:val="none"/>
              </w:rPr>
              <w:t>如有不明确或不一致，构成合同文件组成内容的，以合同文件约定内容为准，且以专用合同条款约定的合同文件优先顺序解释；</w:t>
            </w:r>
          </w:p>
          <w:p w14:paraId="0118320C">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（4）</w:t>
            </w:r>
            <w:r>
              <w:rPr>
                <w:rFonts w:asciiTheme="minorEastAsia" w:hAnsiTheme="minorEastAsia" w:eastAsiaTheme="minorEastAsia"/>
                <w:bCs/>
                <w:color w:val="auto"/>
                <w:sz w:val="24"/>
                <w:szCs w:val="24"/>
                <w:highlight w:val="none"/>
              </w:rPr>
              <w:t>除</w:t>
            </w:r>
            <w:r>
              <w:rPr>
                <w:rFonts w:hint="eastAsia" w:asciiTheme="minorEastAsia" w:hAnsiTheme="minorEastAsia" w:eastAsiaTheme="minorEastAsia"/>
                <w:bCs/>
                <w:color w:val="auto"/>
                <w:sz w:val="24"/>
                <w:szCs w:val="24"/>
                <w:highlight w:val="none"/>
              </w:rPr>
              <w:t>磋商</w:t>
            </w:r>
            <w:r>
              <w:rPr>
                <w:rFonts w:asciiTheme="minorEastAsia" w:hAnsiTheme="minorEastAsia" w:eastAsiaTheme="minorEastAsia"/>
                <w:bCs/>
                <w:color w:val="auto"/>
                <w:sz w:val="24"/>
                <w:szCs w:val="24"/>
                <w:highlight w:val="none"/>
              </w:rPr>
              <w:t>文件中有特别规定外，仅适用于</w:t>
            </w:r>
            <w:r>
              <w:rPr>
                <w:rFonts w:hint="eastAsia" w:asciiTheme="minorEastAsia" w:hAnsiTheme="minorEastAsia" w:eastAsiaTheme="minorEastAsia"/>
                <w:bCs/>
                <w:color w:val="auto"/>
                <w:sz w:val="24"/>
                <w:szCs w:val="24"/>
                <w:highlight w:val="none"/>
              </w:rPr>
              <w:t>磋商及响应文件提交</w:t>
            </w:r>
            <w:r>
              <w:rPr>
                <w:rFonts w:asciiTheme="minorEastAsia" w:hAnsiTheme="minorEastAsia" w:eastAsiaTheme="minorEastAsia"/>
                <w:bCs/>
                <w:color w:val="auto"/>
                <w:sz w:val="24"/>
                <w:szCs w:val="24"/>
                <w:highlight w:val="none"/>
              </w:rPr>
              <w:t>阶段的规定，按</w:t>
            </w:r>
            <w:r>
              <w:rPr>
                <w:rFonts w:hint="eastAsia" w:asciiTheme="minorEastAsia" w:hAnsiTheme="minorEastAsia" w:eastAsiaTheme="minorEastAsia"/>
                <w:bCs/>
                <w:color w:val="auto"/>
                <w:sz w:val="24"/>
                <w:szCs w:val="24"/>
                <w:highlight w:val="none"/>
              </w:rPr>
              <w:t>竞争性磋商</w:t>
            </w:r>
            <w:r>
              <w:rPr>
                <w:rFonts w:asciiTheme="minorEastAsia" w:hAnsiTheme="minorEastAsia" w:eastAsiaTheme="minorEastAsia"/>
                <w:bCs/>
                <w:color w:val="auto"/>
                <w:sz w:val="24"/>
                <w:szCs w:val="24"/>
                <w:highlight w:val="none"/>
              </w:rPr>
              <w:t>公告、</w:t>
            </w:r>
            <w:r>
              <w:rPr>
                <w:rFonts w:hint="eastAsia" w:asciiTheme="minorEastAsia" w:hAnsiTheme="minorEastAsia" w:eastAsiaTheme="minorEastAsia"/>
                <w:bCs/>
                <w:color w:val="auto"/>
                <w:sz w:val="24"/>
                <w:szCs w:val="24"/>
                <w:highlight w:val="none"/>
              </w:rPr>
              <w:t>磋商邀请、供应商</w:t>
            </w:r>
            <w:r>
              <w:rPr>
                <w:rFonts w:asciiTheme="minorEastAsia" w:hAnsiTheme="minorEastAsia" w:eastAsiaTheme="minorEastAsia"/>
                <w:bCs/>
                <w:color w:val="auto"/>
                <w:sz w:val="24"/>
                <w:szCs w:val="24"/>
                <w:highlight w:val="none"/>
              </w:rPr>
              <w:t>须知、评</w:t>
            </w:r>
            <w:r>
              <w:rPr>
                <w:rFonts w:hint="eastAsia" w:asciiTheme="minorEastAsia" w:hAnsiTheme="minorEastAsia" w:eastAsiaTheme="minorEastAsia"/>
                <w:bCs/>
                <w:color w:val="auto"/>
                <w:sz w:val="24"/>
                <w:szCs w:val="24"/>
                <w:highlight w:val="none"/>
              </w:rPr>
              <w:t>审方</w:t>
            </w:r>
            <w:r>
              <w:rPr>
                <w:rFonts w:asciiTheme="minorEastAsia" w:hAnsiTheme="minorEastAsia" w:eastAsiaTheme="minorEastAsia"/>
                <w:bCs/>
                <w:color w:val="auto"/>
                <w:sz w:val="24"/>
                <w:szCs w:val="24"/>
                <w:highlight w:val="none"/>
              </w:rPr>
              <w:t>法</w:t>
            </w:r>
            <w:r>
              <w:rPr>
                <w:rFonts w:hint="eastAsia" w:asciiTheme="minorEastAsia" w:hAnsiTheme="minorEastAsia" w:eastAsiaTheme="minorEastAsia"/>
                <w:bCs/>
                <w:color w:val="auto"/>
                <w:sz w:val="24"/>
                <w:szCs w:val="24"/>
                <w:highlight w:val="none"/>
              </w:rPr>
              <w:t>和标准</w:t>
            </w:r>
            <w:r>
              <w:rPr>
                <w:rFonts w:asciiTheme="minorEastAsia" w:hAnsiTheme="minorEastAsia" w:eastAsiaTheme="minorEastAsia"/>
                <w:bCs/>
                <w:color w:val="auto"/>
                <w:sz w:val="24"/>
                <w:szCs w:val="24"/>
                <w:highlight w:val="none"/>
              </w:rPr>
              <w:t>、</w:t>
            </w:r>
            <w:r>
              <w:rPr>
                <w:rFonts w:hint="eastAsia" w:asciiTheme="minorEastAsia" w:hAnsiTheme="minorEastAsia" w:eastAsiaTheme="minorEastAsia"/>
                <w:bCs/>
                <w:color w:val="auto"/>
                <w:sz w:val="24"/>
                <w:szCs w:val="24"/>
                <w:highlight w:val="none"/>
              </w:rPr>
              <w:t>响应</w:t>
            </w:r>
            <w:r>
              <w:rPr>
                <w:rFonts w:asciiTheme="minorEastAsia" w:hAnsiTheme="minorEastAsia" w:eastAsiaTheme="minorEastAsia"/>
                <w:bCs/>
                <w:color w:val="auto"/>
                <w:sz w:val="24"/>
                <w:szCs w:val="24"/>
                <w:highlight w:val="none"/>
              </w:rPr>
              <w:t>文件格式的先后顺序解释；</w:t>
            </w:r>
          </w:p>
          <w:p w14:paraId="4D62B5A3">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rPr>
              <w:t>（5）</w:t>
            </w:r>
            <w:r>
              <w:rPr>
                <w:rFonts w:asciiTheme="minorEastAsia" w:hAnsiTheme="minorEastAsia" w:eastAsiaTheme="minorEastAsia"/>
                <w:bCs/>
                <w:color w:val="auto"/>
                <w:sz w:val="24"/>
                <w:szCs w:val="24"/>
                <w:highlight w:val="none"/>
              </w:rPr>
              <w:t>按本款前述规定仍不能形成结论的，由</w:t>
            </w:r>
            <w:r>
              <w:rPr>
                <w:rFonts w:hint="eastAsia" w:asciiTheme="minorEastAsia" w:hAnsiTheme="minorEastAsia" w:eastAsiaTheme="minorEastAsia"/>
                <w:bCs/>
                <w:color w:val="auto"/>
                <w:sz w:val="24"/>
                <w:szCs w:val="24"/>
                <w:highlight w:val="none"/>
              </w:rPr>
              <w:t>采购</w:t>
            </w:r>
            <w:r>
              <w:rPr>
                <w:rFonts w:asciiTheme="minorEastAsia" w:hAnsiTheme="minorEastAsia" w:eastAsiaTheme="minorEastAsia"/>
                <w:bCs/>
                <w:color w:val="auto"/>
                <w:sz w:val="24"/>
                <w:szCs w:val="24"/>
                <w:highlight w:val="none"/>
              </w:rPr>
              <w:t>人负责解释。</w:t>
            </w:r>
          </w:p>
          <w:p w14:paraId="12A6CDA0">
            <w:pPr>
              <w:spacing w:line="360" w:lineRule="auto"/>
              <w:rPr>
                <w:rFonts w:asciiTheme="minorEastAsia" w:hAnsiTheme="minorEastAsia" w:eastAsiaTheme="minorEastAsia"/>
                <w:bCs/>
                <w:color w:val="auto"/>
                <w:sz w:val="24"/>
                <w:szCs w:val="24"/>
                <w:highlight w:val="none"/>
              </w:rPr>
            </w:pPr>
            <w:r>
              <w:rPr>
                <w:rFonts w:hint="eastAsia" w:asciiTheme="minorEastAsia" w:hAnsiTheme="minorEastAsia" w:eastAsiaTheme="minorEastAsia"/>
                <w:bCs/>
                <w:color w:val="auto"/>
                <w:sz w:val="24"/>
                <w:szCs w:val="24"/>
                <w:highlight w:val="none"/>
                <w:lang w:val="en-US" w:eastAsia="zh-CN"/>
              </w:rPr>
              <w:t>2.</w:t>
            </w:r>
            <w:r>
              <w:rPr>
                <w:rFonts w:hint="eastAsia" w:asciiTheme="minorEastAsia" w:hAnsiTheme="minorEastAsia" w:eastAsiaTheme="minorEastAsia"/>
                <w:bCs/>
                <w:color w:val="auto"/>
                <w:sz w:val="24"/>
                <w:szCs w:val="24"/>
                <w:highlight w:val="none"/>
              </w:rPr>
              <w:t>“政采贷”融资指引：有融资需求的</w:t>
            </w:r>
            <w:r>
              <w:rPr>
                <w:rFonts w:hint="eastAsia" w:ascii="宋体" w:hAnsi="宋体" w:eastAsia="宋体" w:cs="宋体"/>
                <w:color w:val="auto"/>
                <w:sz w:val="24"/>
                <w:szCs w:val="24"/>
                <w:highlight w:val="none"/>
              </w:rPr>
              <w:t>供应商</w:t>
            </w:r>
            <w:r>
              <w:rPr>
                <w:rFonts w:hint="eastAsia" w:asciiTheme="minorEastAsia" w:hAnsiTheme="minorEastAsia" w:eastAsiaTheme="minorEastAsia"/>
                <w:bCs/>
                <w:color w:val="auto"/>
                <w:sz w:val="24"/>
                <w:szCs w:val="24"/>
                <w:highlight w:val="none"/>
              </w:rPr>
              <w:t>在取得政府采购中标或成交通知书后，可访问安徽省政府采购网“政采贷”栏目，查看和联系第三方平台或者金融机构，商洽融资事项，确定融资意向。</w:t>
            </w:r>
            <w:r>
              <w:rPr>
                <w:rFonts w:hint="eastAsia" w:ascii="宋体" w:hAnsi="宋体" w:eastAsia="宋体" w:cs="宋体"/>
                <w:color w:val="auto"/>
                <w:sz w:val="24"/>
                <w:szCs w:val="24"/>
                <w:highlight w:val="none"/>
              </w:rPr>
              <w:t>供应商</w:t>
            </w:r>
            <w:r>
              <w:rPr>
                <w:rFonts w:hint="eastAsia" w:asciiTheme="minorEastAsia" w:hAnsiTheme="minorEastAsia" w:eastAsiaTheme="minorEastAsia"/>
                <w:bCs/>
                <w:color w:val="auto"/>
                <w:sz w:val="24"/>
                <w:szCs w:val="24"/>
                <w:highlight w:val="none"/>
              </w:rPr>
              <w:t>签署政府采购中标（成交）合同后，登录“徽采云”金融服务模块，选择意向产品进行申请，并填写相关信息，“徽采云”金融服务模块将</w:t>
            </w:r>
            <w:r>
              <w:rPr>
                <w:rFonts w:hint="eastAsia" w:ascii="宋体" w:hAnsi="宋体" w:eastAsia="宋体" w:cs="宋体"/>
                <w:color w:val="auto"/>
                <w:sz w:val="24"/>
                <w:szCs w:val="24"/>
                <w:highlight w:val="none"/>
              </w:rPr>
              <w:t>成交供应商</w:t>
            </w:r>
            <w:r>
              <w:rPr>
                <w:rFonts w:hint="eastAsia" w:asciiTheme="minorEastAsia" w:hAnsiTheme="minorEastAsia" w:eastAsiaTheme="minorEastAsia"/>
                <w:bCs/>
                <w:color w:val="auto"/>
                <w:sz w:val="24"/>
                <w:szCs w:val="24"/>
                <w:highlight w:val="none"/>
              </w:rPr>
              <w:t>融资申请信息推送第三方平台、意向金融机构。</w:t>
            </w:r>
          </w:p>
          <w:p w14:paraId="78680B5D">
            <w:pPr>
              <w:spacing w:line="360" w:lineRule="auto"/>
              <w:rPr>
                <w:rFonts w:hint="eastAsia" w:cs="@仿宋_GB2312" w:asciiTheme="minorEastAsia" w:hAnsiTheme="minorEastAsia" w:eastAsiaTheme="minorEastAsia"/>
                <w:b w:val="0"/>
                <w:bCs/>
                <w:color w:val="auto"/>
                <w:kern w:val="2"/>
                <w:sz w:val="24"/>
                <w:szCs w:val="24"/>
                <w:highlight w:val="none"/>
                <w:lang w:val="en-US" w:eastAsia="zh-CN" w:bidi="ar-SA"/>
              </w:rPr>
            </w:pPr>
            <w:r>
              <w:rPr>
                <w:rFonts w:hint="eastAsia" w:cs="@仿宋_GB2312" w:asciiTheme="minorEastAsia" w:hAnsiTheme="minorEastAsia" w:eastAsiaTheme="minorEastAsia"/>
                <w:b w:val="0"/>
                <w:bCs/>
                <w:color w:val="auto"/>
                <w:kern w:val="2"/>
                <w:sz w:val="24"/>
                <w:szCs w:val="24"/>
                <w:highlight w:val="none"/>
                <w:lang w:val="en-US" w:eastAsia="zh-CN" w:bidi="ar-SA"/>
              </w:rPr>
              <w:t>3.电子保函指引：成交供应商可访问安徽省政府采购网“融资/保函”栏目，申请办理电子保函（包括：履约保函、预付款保函）。</w:t>
            </w:r>
          </w:p>
          <w:p w14:paraId="2BAF5046">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cs="@仿宋_GB2312" w:asciiTheme="minorEastAsia" w:hAnsiTheme="minorEastAsia" w:eastAsiaTheme="minorEastAsia"/>
                <w:b w:val="0"/>
                <w:bCs/>
                <w:color w:val="auto"/>
                <w:kern w:val="2"/>
                <w:sz w:val="24"/>
                <w:szCs w:val="24"/>
                <w:highlight w:val="none"/>
                <w:lang w:val="en-US" w:eastAsia="zh-CN" w:bidi="ar-SA"/>
              </w:rPr>
              <w:t>4.</w:t>
            </w:r>
            <w:r>
              <w:rPr>
                <w:rFonts w:hint="eastAsia" w:asciiTheme="minorEastAsia" w:hAnsiTheme="minorEastAsia" w:eastAsiaTheme="minorEastAsia"/>
                <w:b w:val="0"/>
                <w:bCs w:val="0"/>
                <w:color w:val="auto"/>
                <w:kern w:val="2"/>
                <w:sz w:val="24"/>
                <w:szCs w:val="24"/>
                <w:highlight w:val="none"/>
                <w:u w:val="none"/>
                <w:lang w:val="en-US" w:eastAsia="zh-CN"/>
              </w:rPr>
              <w:t>部分可提供线下政采贷的金融机构：</w:t>
            </w:r>
          </w:p>
          <w:p w14:paraId="50B555A6">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市本级</w:t>
            </w:r>
          </w:p>
          <w:p w14:paraId="498F0F3E">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金融机构名称：兴业银行滁州分行</w:t>
            </w:r>
          </w:p>
          <w:p w14:paraId="37406F76">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安徽省滁州市琅琊区丰乐大道1090号</w:t>
            </w:r>
          </w:p>
          <w:p w14:paraId="4BAC6DEF">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伏庚：17755080811</w:t>
            </w:r>
          </w:p>
          <w:p w14:paraId="73B4C342">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5.特别提示：</w:t>
            </w:r>
          </w:p>
          <w:p w14:paraId="47AA294E">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（1）供应商应填写投标信息并下载采购文件，否则无法上传响应文件。</w:t>
            </w:r>
          </w:p>
          <w:p w14:paraId="077FC283">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2）本项目采用电子招标投标，请供应商在滁州市公共资源交易中心网&gt;服务指南&gt;软件下载栏目点击下载响应文件制作工具。供应商需采用最新版响应文件制作工具。软件运行需在国际互联网络通畅状态，供应商需注意更新，以免造成响应文件制作错误，如因此导致磋商小组否决其磋商资格，责任自负。如有技术问题请联系0550-3801701，0512-58188516。</w:t>
            </w:r>
          </w:p>
          <w:p w14:paraId="58148428">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（3）如果过程中出现采购文件更改，应以最后发布的招标答疑澄清文件中的模板制作本项目最新响应文件。</w:t>
            </w:r>
          </w:p>
          <w:p w14:paraId="16882B3F">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 xml:space="preserve">（4）供应商应当用本单位CA数字证书制作响应文件，制作成功后进行响应文件上传。 </w:t>
            </w:r>
          </w:p>
          <w:p w14:paraId="6E5A1A5C">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5）供应商须用CA数字证书盖章和加密响应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3E26489D">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（6）请供应商注意加密响应文件CA数字证书的有效期，不在有效期的CA数字证书无法解密响应文件。</w:t>
            </w:r>
          </w:p>
          <w:p w14:paraId="77FBE6F2">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（7）供应商投标MAC地址一致，由磋商小组否决其磋商资格。</w:t>
            </w:r>
          </w:p>
          <w:p w14:paraId="3F0073C2">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（8）供应商单方面出现其他供应商材料的，由磋商小组否决其磋商资格。</w:t>
            </w:r>
          </w:p>
          <w:p w14:paraId="72CEBB67">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9）评标时查询响应文件制作机器码、文件创建标识码及造价软件加密锁号。若存在响应文件制作机器码或创建标识码或造价软件加密锁号信息与其他供应商雷同的，由磋商小组否决其磋商资格，保证金不予退还，依法依规予以处理。</w:t>
            </w:r>
          </w:p>
          <w:p w14:paraId="57BF80A7">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（10）供应商联系人或联系电话相同的，由磋商小组否决其响应资格，并报告监管部门作不良行为处理和进一步调查。</w:t>
            </w:r>
          </w:p>
          <w:p w14:paraId="4EDAFB79">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11）电子加密响应文件上传到系统后，需要供应商和采购代理公司到截止时间后共同解锁，不存在商务报价等投标信息通过系统泄密的风险；截止时间前，已上传的响应文件也可以撤回修改。集中到开标截止时间前上传电子加密响应文件，可能出现由于投标企业制作电子响应文件不熟练、网络拥堵等不可预知的情况而且无法及时解决，丧失投标机会，请各投标企业提前制作、上传电子加密响应文件，否则由于无法及时上传电子加密响应文件而无效响应的情况，责任自负！</w:t>
            </w:r>
          </w:p>
          <w:p w14:paraId="6955329F">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6.评审过程中的澄清、说明或补正：</w:t>
            </w:r>
          </w:p>
          <w:p w14:paraId="29B514E3">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（1）磋商小组通过网上招投标系统将需要澄清、说明或补正的内容以询标函的形式发送给供应商，供应商应安排专人登录网上招投标系统并保持在线状态，以便及时接收磋商小组可能发出的询标函。</w:t>
            </w:r>
          </w:p>
          <w:p w14:paraId="7B179231">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2）因供应商未登录网上招投标系统导致无法及时接收询标函（远程网上询标）或未在规定时间内按磋商小组要求进行澄清、说明或补正内容的视同供应商放弃澄清、说明或补正内容的权利，磋商小组可按对供应商不利的解释进行判定。</w:t>
            </w:r>
          </w:p>
          <w:p w14:paraId="44F1F0C3">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7.同义词语：</w:t>
            </w:r>
          </w:p>
          <w:p w14:paraId="2351A126">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磋商文件第六章  响应文件格式、附件1“关于联合惩戒失信行为 加强信用查询管理的通知”等章节中 “招标人”、“投标人”，等同于“采购人”、“供应商”。</w:t>
            </w:r>
          </w:p>
          <w:p w14:paraId="7EEB172E">
            <w:pPr>
              <w:spacing w:line="360" w:lineRule="auto"/>
              <w:rPr>
                <w:rFonts w:hint="eastAsia" w:asciiTheme="minorEastAsia" w:hAnsiTheme="minorEastAsia" w:eastAsiaTheme="minorEastAsia"/>
                <w:b w:val="0"/>
                <w:bCs w:val="0"/>
                <w:color w:val="auto"/>
                <w:kern w:val="2"/>
                <w:sz w:val="24"/>
                <w:szCs w:val="24"/>
                <w:highlight w:val="none"/>
                <w:u w:val="none"/>
                <w:lang w:val="en-US" w:eastAsia="zh-CN"/>
              </w:rPr>
            </w:pPr>
            <w:r>
              <w:rPr>
                <w:rFonts w:hint="eastAsia" w:asciiTheme="minorEastAsia" w:hAnsiTheme="minorEastAsia" w:eastAsiaTheme="minorEastAsia"/>
                <w:b w:val="0"/>
                <w:bCs w:val="0"/>
                <w:color w:val="auto"/>
                <w:kern w:val="2"/>
                <w:sz w:val="24"/>
                <w:szCs w:val="24"/>
                <w:highlight w:val="none"/>
                <w:u w:val="none"/>
                <w:lang w:val="en-US" w:eastAsia="zh-CN"/>
              </w:rPr>
              <w:t>8.落实政府采购支持节能产品、环境标志产品政策。</w:t>
            </w:r>
          </w:p>
          <w:p w14:paraId="480771D7">
            <w:pPr>
              <w:spacing w:line="360" w:lineRule="auto"/>
              <w:rPr>
                <w:rFonts w:hint="default" w:cs="@仿宋_GB2312" w:asciiTheme="minorEastAsia" w:hAnsiTheme="minorEastAsia" w:eastAsiaTheme="minorEastAsia"/>
                <w:bCs/>
                <w:color w:val="auto"/>
                <w:kern w:val="2"/>
                <w:sz w:val="24"/>
                <w:szCs w:val="24"/>
                <w:highlight w:val="none"/>
                <w:lang w:val="en-US" w:eastAsia="zh-CN" w:bidi="ar-SA"/>
              </w:rPr>
            </w:pPr>
            <w:r>
              <w:rPr>
                <w:rFonts w:hint="eastAsia" w:asciiTheme="minorEastAsia" w:hAnsiTheme="minorEastAsia" w:eastAsiaTheme="minorEastAsia"/>
                <w:b w:val="0"/>
                <w:bCs w:val="0"/>
                <w:color w:val="auto"/>
                <w:kern w:val="2"/>
                <w:sz w:val="24"/>
                <w:szCs w:val="24"/>
                <w:highlight w:val="none"/>
                <w:u w:val="none"/>
                <w:lang w:val="en-US" w:eastAsia="zh-CN"/>
              </w:rPr>
              <w:t>9.系统中提供的表格与采购文件中不一致时，以采购文件中提供的表格格式为准。</w:t>
            </w:r>
          </w:p>
        </w:tc>
      </w:tr>
    </w:tbl>
    <w:p w14:paraId="0B23396A">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b/>
          <w:color w:val="auto"/>
          <w:sz w:val="28"/>
          <w:highlight w:val="none"/>
        </w:rPr>
        <w:br w:type="page"/>
      </w:r>
      <w:bookmarkStart w:id="13" w:name="_Toc27470"/>
      <w:bookmarkStart w:id="14" w:name="_Toc14293"/>
      <w:r>
        <w:rPr>
          <w:rFonts w:hint="eastAsia" w:asciiTheme="minorEastAsia" w:hAnsiTheme="minorEastAsia" w:eastAsiaTheme="minorEastAsia"/>
          <w:b/>
          <w:color w:val="auto"/>
          <w:sz w:val="24"/>
          <w:highlight w:val="none"/>
        </w:rPr>
        <w:t>二、供应商</w:t>
      </w:r>
      <w:r>
        <w:rPr>
          <w:rFonts w:asciiTheme="minorEastAsia" w:hAnsiTheme="minorEastAsia" w:eastAsiaTheme="minorEastAsia"/>
          <w:b/>
          <w:color w:val="auto"/>
          <w:sz w:val="24"/>
          <w:highlight w:val="none"/>
        </w:rPr>
        <w:t>须知</w:t>
      </w:r>
      <w:r>
        <w:rPr>
          <w:rFonts w:hint="eastAsia" w:asciiTheme="minorEastAsia" w:hAnsiTheme="minorEastAsia" w:eastAsiaTheme="minorEastAsia"/>
          <w:b/>
          <w:color w:val="auto"/>
          <w:sz w:val="24"/>
          <w:highlight w:val="none"/>
        </w:rPr>
        <w:t>正文</w:t>
      </w:r>
      <w:bookmarkEnd w:id="13"/>
      <w:bookmarkEnd w:id="14"/>
    </w:p>
    <w:p w14:paraId="008BC1C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采购人、采购代理机构及供应商</w:t>
      </w:r>
    </w:p>
    <w:p w14:paraId="63F10D9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.1采购人：是指依法开展政府采购活动的国家机关、事业单位、团体组织。</w:t>
      </w:r>
    </w:p>
    <w:p w14:paraId="5E73261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.2采购代理机构：是指集中采购机构或从事采购代理业务的社会中介机构。</w:t>
      </w:r>
    </w:p>
    <w:p w14:paraId="4174119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.3政府采购监督管理部门：</w:t>
      </w:r>
      <w:r>
        <w:rPr>
          <w:rFonts w:hint="eastAsia" w:ascii="宋体" w:hAnsi="宋体" w:eastAsia="宋体"/>
          <w:color w:val="auto"/>
          <w:sz w:val="24"/>
          <w:highlight w:val="none"/>
        </w:rPr>
        <w:t>各级人民政府指定的有关部门依法履行与政府采购活动有关的监督管理职责</w:t>
      </w:r>
      <w:r>
        <w:rPr>
          <w:rFonts w:ascii="宋体" w:hAnsi="宋体" w:eastAsia="宋体"/>
          <w:color w:val="auto"/>
          <w:sz w:val="24"/>
          <w:highlight w:val="none"/>
        </w:rPr>
        <w:t>。</w:t>
      </w:r>
    </w:p>
    <w:p w14:paraId="026383E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.4</w:t>
      </w:r>
      <w:r>
        <w:rPr>
          <w:rFonts w:hint="eastAsia" w:ascii="宋体" w:hAnsi="宋体" w:eastAsia="宋体"/>
          <w:color w:val="auto"/>
          <w:sz w:val="24"/>
          <w:highlight w:val="none"/>
        </w:rPr>
        <w:t>供应商</w:t>
      </w:r>
      <w:r>
        <w:rPr>
          <w:rFonts w:ascii="宋体" w:hAnsi="宋体" w:eastAsia="宋体"/>
          <w:color w:val="auto"/>
          <w:sz w:val="24"/>
          <w:highlight w:val="none"/>
        </w:rPr>
        <w:t>：是指向采购人提供货物、工程或者服务的法人、</w:t>
      </w:r>
      <w:r>
        <w:rPr>
          <w:rFonts w:hint="eastAsia" w:ascii="宋体" w:hAnsi="宋体" w:eastAsia="宋体"/>
          <w:color w:val="auto"/>
          <w:sz w:val="24"/>
          <w:highlight w:val="none"/>
          <w:lang w:val="en-US" w:eastAsia="zh-CN"/>
        </w:rPr>
        <w:t>其他</w:t>
      </w:r>
      <w:r>
        <w:rPr>
          <w:rFonts w:ascii="宋体" w:hAnsi="宋体" w:eastAsia="宋体"/>
          <w:color w:val="auto"/>
          <w:sz w:val="24"/>
          <w:highlight w:val="none"/>
        </w:rPr>
        <w:t>组织或者自然人。</w:t>
      </w:r>
      <w:r>
        <w:rPr>
          <w:rFonts w:hint="eastAsia" w:ascii="宋体" w:hAnsi="宋体" w:eastAsia="宋体"/>
          <w:color w:val="auto"/>
          <w:sz w:val="24"/>
          <w:highlight w:val="none"/>
        </w:rPr>
        <w:t>分支机构不得参加政府采购活动，但银行、保险、石油石化、电力、电信等特殊行业除外。</w:t>
      </w:r>
      <w:r>
        <w:rPr>
          <w:rFonts w:ascii="宋体" w:hAnsi="宋体" w:eastAsia="宋体"/>
          <w:color w:val="auto"/>
          <w:sz w:val="24"/>
          <w:highlight w:val="none"/>
        </w:rPr>
        <w:t>本项目的</w:t>
      </w:r>
      <w:r>
        <w:rPr>
          <w:rFonts w:hint="eastAsia" w:ascii="宋体" w:hAnsi="宋体" w:eastAsia="宋体"/>
          <w:color w:val="auto"/>
          <w:sz w:val="24"/>
          <w:highlight w:val="none"/>
        </w:rPr>
        <w:t>供应商</w:t>
      </w:r>
      <w:r>
        <w:rPr>
          <w:rFonts w:ascii="宋体" w:hAnsi="宋体" w:eastAsia="宋体"/>
          <w:color w:val="auto"/>
          <w:sz w:val="24"/>
          <w:highlight w:val="none"/>
        </w:rPr>
        <w:t>及其</w:t>
      </w:r>
      <w:r>
        <w:rPr>
          <w:rFonts w:hint="eastAsia" w:ascii="宋体" w:hAnsi="宋体" w:eastAsia="宋体"/>
          <w:color w:val="auto"/>
          <w:sz w:val="24"/>
          <w:highlight w:val="none"/>
        </w:rPr>
        <w:t>所</w:t>
      </w:r>
      <w:r>
        <w:rPr>
          <w:rFonts w:ascii="宋体" w:hAnsi="宋体" w:eastAsia="宋体"/>
          <w:color w:val="auto"/>
          <w:sz w:val="24"/>
          <w:highlight w:val="none"/>
        </w:rPr>
        <w:t>投货物须满足以下条件：</w:t>
      </w:r>
    </w:p>
    <w:p w14:paraId="44E695E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1</w:t>
      </w:r>
      <w:r>
        <w:rPr>
          <w:rFonts w:ascii="宋体" w:hAnsi="宋体" w:eastAsia="宋体"/>
          <w:color w:val="auto"/>
          <w:sz w:val="24"/>
          <w:highlight w:val="none"/>
        </w:rPr>
        <w:t>具备《中华人民共和国政府采购法》第二十二条关于供应商条件的规定，遵守本项目采购人本级和上级财政部门政府采购的有关规定。</w:t>
      </w:r>
    </w:p>
    <w:p w14:paraId="0500E3E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2</w:t>
      </w:r>
      <w:r>
        <w:rPr>
          <w:rFonts w:ascii="宋体" w:hAnsi="宋体" w:eastAsia="宋体"/>
          <w:color w:val="auto"/>
          <w:sz w:val="24"/>
          <w:highlight w:val="none"/>
        </w:rPr>
        <w:t>以采购代理机构认可的方式获得了本项目的</w:t>
      </w:r>
      <w:r>
        <w:rPr>
          <w:rFonts w:hint="eastAsia" w:ascii="宋体" w:hAnsi="宋体" w:eastAsia="宋体"/>
          <w:color w:val="auto"/>
          <w:sz w:val="24"/>
          <w:highlight w:val="none"/>
          <w:lang w:val="en-US" w:eastAsia="zh-CN"/>
        </w:rPr>
        <w:t>磋商</w:t>
      </w:r>
      <w:r>
        <w:rPr>
          <w:rFonts w:ascii="宋体" w:hAnsi="宋体" w:eastAsia="宋体"/>
          <w:color w:val="auto"/>
          <w:sz w:val="24"/>
          <w:highlight w:val="none"/>
        </w:rPr>
        <w:t>文件。</w:t>
      </w:r>
    </w:p>
    <w:p w14:paraId="13466C4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eastAsia="zh-CN"/>
        </w:rPr>
        <w:t>1.</w:t>
      </w:r>
      <w:r>
        <w:rPr>
          <w:rFonts w:ascii="宋体" w:hAnsi="宋体" w:eastAsia="宋体"/>
          <w:color w:val="auto"/>
          <w:sz w:val="24"/>
          <w:highlight w:val="none"/>
        </w:rPr>
        <w:t>4.</w:t>
      </w:r>
      <w:r>
        <w:rPr>
          <w:rFonts w:hint="eastAsia" w:ascii="宋体" w:hAnsi="宋体" w:eastAsia="宋体"/>
          <w:color w:val="auto"/>
          <w:sz w:val="24"/>
          <w:highlight w:val="none"/>
          <w:lang w:val="en-US" w:eastAsia="zh-CN"/>
        </w:rPr>
        <w:t>3</w:t>
      </w:r>
      <w:r>
        <w:rPr>
          <w:rFonts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ascii="宋体" w:hAnsi="宋体" w:eastAsia="宋体"/>
          <w:color w:val="auto"/>
          <w:sz w:val="24"/>
          <w:highlight w:val="none"/>
        </w:rPr>
        <w:t>中写明允许采购进口产品，</w:t>
      </w:r>
      <w:r>
        <w:rPr>
          <w:rFonts w:hint="eastAsia" w:ascii="宋体" w:hAnsi="宋体" w:eastAsia="宋体"/>
          <w:color w:val="auto"/>
          <w:sz w:val="24"/>
          <w:highlight w:val="none"/>
          <w:lang w:val="en-US" w:eastAsia="zh-CN"/>
        </w:rPr>
        <w:t>供应商</w:t>
      </w:r>
      <w:r>
        <w:rPr>
          <w:rFonts w:ascii="宋体" w:hAnsi="宋体" w:eastAsia="宋体"/>
          <w:color w:val="auto"/>
          <w:sz w:val="24"/>
          <w:highlight w:val="none"/>
        </w:rPr>
        <w:t>应保证所投产品可履行合法报通关手续进入中国关境内。</w:t>
      </w:r>
    </w:p>
    <w:p w14:paraId="58F6A7C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若</w:t>
      </w:r>
      <w:r>
        <w:rPr>
          <w:rFonts w:hint="eastAsia" w:ascii="宋体" w:hAnsi="宋体" w:eastAsia="宋体"/>
          <w:color w:val="auto"/>
          <w:sz w:val="24"/>
          <w:highlight w:val="none"/>
          <w:lang w:eastAsia="zh-CN"/>
        </w:rPr>
        <w:t>采购需求</w:t>
      </w:r>
      <w:r>
        <w:rPr>
          <w:rFonts w:hint="eastAsia" w:ascii="宋体" w:hAnsi="宋体" w:eastAsia="宋体"/>
          <w:color w:val="auto"/>
          <w:sz w:val="24"/>
          <w:highlight w:val="none"/>
        </w:rPr>
        <w:t>中未写明允许采购进口产品，如供应商所投产品为进口产品，其响应文件将被认定为</w:t>
      </w:r>
      <w:r>
        <w:rPr>
          <w:rFonts w:hint="eastAsia" w:ascii="宋体" w:hAnsi="宋体" w:eastAsia="宋体"/>
          <w:b/>
          <w:color w:val="auto"/>
          <w:sz w:val="24"/>
          <w:highlight w:val="none"/>
        </w:rPr>
        <w:t>响应无效</w:t>
      </w:r>
      <w:r>
        <w:rPr>
          <w:rFonts w:hint="eastAsia" w:ascii="宋体" w:hAnsi="宋体" w:eastAsia="宋体"/>
          <w:color w:val="auto"/>
          <w:sz w:val="24"/>
          <w:highlight w:val="none"/>
        </w:rPr>
        <w:t>。</w:t>
      </w:r>
    </w:p>
    <w:p w14:paraId="644D6F11">
      <w:pPr>
        <w:spacing w:line="360" w:lineRule="auto"/>
        <w:ind w:firstLine="435"/>
        <w:rPr>
          <w:rFonts w:ascii="宋体" w:hAnsi="宋体" w:eastAsia="宋体"/>
          <w:color w:val="auto"/>
          <w:sz w:val="24"/>
          <w:highlight w:val="none"/>
        </w:rPr>
      </w:pPr>
      <w:bookmarkStart w:id="15" w:name="_Hlk60607583"/>
      <w:r>
        <w:rPr>
          <w:rFonts w:hint="eastAsia" w:ascii="宋体" w:hAnsi="宋体" w:eastAsia="宋体"/>
          <w:bCs/>
          <w:color w:val="auto"/>
          <w:kern w:val="0"/>
          <w:sz w:val="24"/>
          <w:szCs w:val="28"/>
          <w:highlight w:val="none"/>
          <w:lang w:val="en-US" w:eastAsia="zh-CN"/>
        </w:rPr>
        <w:t>1</w:t>
      </w:r>
      <w:r>
        <w:rPr>
          <w:rFonts w:ascii="宋体" w:hAnsi="宋体" w:eastAsia="宋体"/>
          <w:bCs/>
          <w:color w:val="auto"/>
          <w:kern w:val="0"/>
          <w:sz w:val="24"/>
          <w:szCs w:val="28"/>
          <w:highlight w:val="none"/>
        </w:rPr>
        <w:t>.5</w:t>
      </w:r>
      <w:r>
        <w:rPr>
          <w:rFonts w:hint="eastAsia" w:ascii="宋体" w:hAnsi="宋体" w:eastAsia="宋体"/>
          <w:bCs/>
          <w:color w:val="auto"/>
          <w:kern w:val="0"/>
          <w:sz w:val="24"/>
          <w:szCs w:val="28"/>
          <w:highlight w:val="none"/>
        </w:rPr>
        <w:t>若竞争性磋商公告</w:t>
      </w:r>
      <w:r>
        <w:rPr>
          <w:rFonts w:ascii="宋体" w:hAnsi="宋体" w:eastAsia="宋体"/>
          <w:bCs/>
          <w:color w:val="auto"/>
          <w:kern w:val="0"/>
          <w:sz w:val="24"/>
          <w:szCs w:val="28"/>
          <w:highlight w:val="none"/>
        </w:rPr>
        <w:t>中允许联合体</w:t>
      </w:r>
      <w:r>
        <w:rPr>
          <w:rFonts w:hint="eastAsia" w:ascii="宋体" w:hAnsi="宋体" w:eastAsia="宋体"/>
          <w:bCs/>
          <w:color w:val="auto"/>
          <w:kern w:val="0"/>
          <w:sz w:val="24"/>
          <w:szCs w:val="28"/>
          <w:highlight w:val="none"/>
        </w:rPr>
        <w:t>参加磋商</w:t>
      </w:r>
      <w:r>
        <w:rPr>
          <w:rFonts w:ascii="宋体" w:hAnsi="宋体" w:eastAsia="宋体"/>
          <w:bCs/>
          <w:color w:val="auto"/>
          <w:kern w:val="0"/>
          <w:sz w:val="24"/>
          <w:szCs w:val="28"/>
          <w:highlight w:val="none"/>
        </w:rPr>
        <w:t>，对联合体规定如下：</w:t>
      </w:r>
    </w:p>
    <w:bookmarkEnd w:id="15"/>
    <w:p w14:paraId="667F6A41">
      <w:pPr>
        <w:spacing w:line="360" w:lineRule="auto"/>
        <w:ind w:firstLine="435"/>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.1</w:t>
      </w:r>
      <w:r>
        <w:rPr>
          <w:rFonts w:hint="eastAsia" w:ascii="宋体" w:hAnsi="宋体" w:eastAsia="宋体"/>
          <w:color w:val="auto"/>
          <w:sz w:val="24"/>
          <w:highlight w:val="none"/>
        </w:rPr>
        <w:t>两个以上供应商可以组成一个磋商联合体，以一个供应商的身份磋商</w:t>
      </w:r>
      <w:r>
        <w:rPr>
          <w:rFonts w:ascii="宋体" w:hAnsi="宋体" w:eastAsia="宋体"/>
          <w:color w:val="auto"/>
          <w:sz w:val="24"/>
          <w:highlight w:val="none"/>
        </w:rPr>
        <w:t>。</w:t>
      </w:r>
      <w:r>
        <w:rPr>
          <w:rFonts w:ascii="宋体" w:hAnsi="宋体" w:eastAsia="宋体"/>
          <w:b w:val="0"/>
          <w:color w:val="auto"/>
          <w:sz w:val="24"/>
          <w:highlight w:val="none"/>
        </w:rPr>
        <w:t>联合体参加磋商的，</w:t>
      </w:r>
      <w:r>
        <w:rPr>
          <w:rFonts w:hint="eastAsia" w:ascii="宋体" w:hAnsi="宋体" w:eastAsia="宋体"/>
          <w:b w:val="0"/>
          <w:color w:val="auto"/>
          <w:sz w:val="24"/>
          <w:highlight w:val="none"/>
        </w:rPr>
        <w:t>磋商文件获取</w:t>
      </w:r>
      <w:r>
        <w:rPr>
          <w:rFonts w:ascii="宋体" w:hAnsi="宋体" w:eastAsia="宋体"/>
          <w:b w:val="0"/>
          <w:color w:val="auto"/>
          <w:sz w:val="24"/>
          <w:highlight w:val="none"/>
        </w:rPr>
        <w:t>手续由联合体</w:t>
      </w:r>
      <w:r>
        <w:rPr>
          <w:rFonts w:hint="eastAsia" w:ascii="宋体" w:hAnsi="宋体" w:eastAsia="宋体"/>
          <w:b w:val="0"/>
          <w:color w:val="auto"/>
          <w:sz w:val="24"/>
          <w:highlight w:val="none"/>
        </w:rPr>
        <w:t>中</w:t>
      </w:r>
      <w:r>
        <w:rPr>
          <w:rFonts w:ascii="宋体" w:hAnsi="宋体" w:eastAsia="宋体"/>
          <w:b w:val="0"/>
          <w:color w:val="auto"/>
          <w:sz w:val="24"/>
          <w:highlight w:val="none"/>
        </w:rPr>
        <w:t>任一</w:t>
      </w:r>
      <w:r>
        <w:rPr>
          <w:rFonts w:hint="eastAsia" w:ascii="宋体" w:hAnsi="宋体" w:eastAsia="宋体"/>
          <w:b w:val="0"/>
          <w:color w:val="auto"/>
          <w:sz w:val="24"/>
          <w:highlight w:val="none"/>
        </w:rPr>
        <w:t>成员单位</w:t>
      </w:r>
      <w:r>
        <w:rPr>
          <w:rFonts w:ascii="宋体" w:hAnsi="宋体" w:eastAsia="宋体"/>
          <w:b w:val="0"/>
          <w:color w:val="auto"/>
          <w:sz w:val="24"/>
          <w:highlight w:val="none"/>
        </w:rPr>
        <w:t>办理均可。</w:t>
      </w:r>
    </w:p>
    <w:p w14:paraId="194A9A1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.2联合体各方均应符合《中华人民共和国政府采购法》第二十二条规定的条件。</w:t>
      </w:r>
    </w:p>
    <w:p w14:paraId="2002A4F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.3采购人根据采购项目对</w:t>
      </w:r>
      <w:r>
        <w:rPr>
          <w:rFonts w:hint="eastAsia" w:ascii="宋体" w:hAnsi="宋体" w:eastAsia="宋体"/>
          <w:color w:val="auto"/>
          <w:sz w:val="24"/>
          <w:highlight w:val="none"/>
        </w:rPr>
        <w:t>供应商</w:t>
      </w:r>
      <w:r>
        <w:rPr>
          <w:rFonts w:ascii="宋体" w:hAnsi="宋体" w:eastAsia="宋体"/>
          <w:color w:val="auto"/>
          <w:sz w:val="24"/>
          <w:highlight w:val="none"/>
        </w:rPr>
        <w:t>的特殊要求，联合体中至少应当有一方符合相关规定。</w:t>
      </w:r>
    </w:p>
    <w:p w14:paraId="3191197F">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.4联合体各方应签订</w:t>
      </w:r>
      <w:r>
        <w:rPr>
          <w:rFonts w:hint="eastAsia" w:ascii="宋体" w:hAnsi="宋体" w:eastAsia="宋体"/>
          <w:color w:val="auto"/>
          <w:sz w:val="24"/>
          <w:highlight w:val="none"/>
        </w:rPr>
        <w:t>联合协议</w:t>
      </w:r>
      <w:r>
        <w:rPr>
          <w:rFonts w:ascii="宋体" w:hAnsi="宋体" w:eastAsia="宋体"/>
          <w:color w:val="auto"/>
          <w:sz w:val="24"/>
          <w:highlight w:val="none"/>
        </w:rPr>
        <w:t>，明确约定联合体各方承担的工作和相应的责任，并将</w:t>
      </w:r>
      <w:r>
        <w:rPr>
          <w:rFonts w:hint="eastAsia" w:ascii="宋体" w:hAnsi="宋体" w:eastAsia="宋体"/>
          <w:color w:val="auto"/>
          <w:sz w:val="24"/>
          <w:highlight w:val="none"/>
        </w:rPr>
        <w:t>联合协议</w:t>
      </w:r>
      <w:r>
        <w:rPr>
          <w:rFonts w:ascii="宋体" w:hAnsi="宋体" w:eastAsia="宋体"/>
          <w:color w:val="auto"/>
          <w:sz w:val="24"/>
          <w:highlight w:val="none"/>
        </w:rPr>
        <w:t>作为</w:t>
      </w:r>
      <w:r>
        <w:rPr>
          <w:rFonts w:hint="eastAsia" w:ascii="宋体" w:hAnsi="宋体" w:eastAsia="宋体"/>
          <w:color w:val="auto"/>
          <w:sz w:val="24"/>
          <w:highlight w:val="none"/>
        </w:rPr>
        <w:t>响应</w:t>
      </w:r>
      <w:r>
        <w:rPr>
          <w:rFonts w:ascii="宋体" w:hAnsi="宋体" w:eastAsia="宋体"/>
          <w:color w:val="auto"/>
          <w:sz w:val="24"/>
          <w:highlight w:val="none"/>
        </w:rPr>
        <w:t>文件</w:t>
      </w:r>
      <w:r>
        <w:rPr>
          <w:rFonts w:hint="eastAsia" w:ascii="宋体" w:hAnsi="宋体" w:eastAsia="宋体"/>
          <w:color w:val="auto"/>
          <w:sz w:val="24"/>
          <w:highlight w:val="none"/>
        </w:rPr>
        <w:t>的</w:t>
      </w:r>
      <w:r>
        <w:rPr>
          <w:rFonts w:ascii="宋体" w:hAnsi="宋体" w:eastAsia="宋体"/>
          <w:color w:val="auto"/>
          <w:sz w:val="24"/>
          <w:highlight w:val="none"/>
        </w:rPr>
        <w:t>一部分提交。</w:t>
      </w:r>
    </w:p>
    <w:p w14:paraId="1667784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.5大中型企业、其他自然人、法人或者非法人组织与小型、微型企业组成联合体共同参加</w:t>
      </w:r>
      <w:r>
        <w:rPr>
          <w:rFonts w:hint="eastAsia" w:ascii="宋体" w:hAnsi="宋体" w:eastAsia="宋体"/>
          <w:color w:val="auto"/>
          <w:sz w:val="24"/>
          <w:highlight w:val="none"/>
        </w:rPr>
        <w:t>磋商</w:t>
      </w:r>
      <w:r>
        <w:rPr>
          <w:rFonts w:ascii="宋体" w:hAnsi="宋体" w:eastAsia="宋体"/>
          <w:color w:val="auto"/>
          <w:sz w:val="24"/>
          <w:highlight w:val="none"/>
        </w:rPr>
        <w:t>，</w:t>
      </w:r>
      <w:r>
        <w:rPr>
          <w:rFonts w:hint="eastAsia" w:ascii="宋体" w:hAnsi="宋体" w:eastAsia="宋体"/>
          <w:color w:val="auto"/>
          <w:sz w:val="24"/>
          <w:highlight w:val="none"/>
        </w:rPr>
        <w:t>联合协议中</w:t>
      </w:r>
      <w:r>
        <w:rPr>
          <w:rFonts w:ascii="宋体" w:hAnsi="宋体" w:eastAsia="宋体"/>
          <w:color w:val="auto"/>
          <w:sz w:val="24"/>
          <w:highlight w:val="none"/>
        </w:rPr>
        <w:t>应写明小型、微型企业的协议合同金额占到</w:t>
      </w:r>
      <w:r>
        <w:rPr>
          <w:rFonts w:hint="eastAsia" w:ascii="宋体" w:hAnsi="宋体" w:eastAsia="宋体"/>
          <w:color w:val="auto"/>
          <w:sz w:val="24"/>
          <w:highlight w:val="none"/>
        </w:rPr>
        <w:t>联合协议合同</w:t>
      </w:r>
      <w:r>
        <w:rPr>
          <w:rFonts w:ascii="宋体" w:hAnsi="宋体" w:eastAsia="宋体"/>
          <w:color w:val="auto"/>
          <w:sz w:val="24"/>
          <w:highlight w:val="none"/>
        </w:rPr>
        <w:t>总金额的比例。</w:t>
      </w:r>
    </w:p>
    <w:p w14:paraId="320BAF9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.5.6</w:t>
      </w:r>
      <w:r>
        <w:rPr>
          <w:rFonts w:hint="eastAsia" w:ascii="宋体" w:hAnsi="宋体" w:eastAsia="宋体"/>
          <w:color w:val="auto"/>
          <w:sz w:val="24"/>
          <w:highlight w:val="none"/>
        </w:rPr>
        <w:t>联合体中有同类资质的供应商按照联合体分工承担相同工作的，</w:t>
      </w:r>
      <w:r>
        <w:rPr>
          <w:rFonts w:ascii="宋体" w:hAnsi="宋体" w:eastAsia="宋体"/>
          <w:color w:val="auto"/>
          <w:sz w:val="24"/>
          <w:highlight w:val="none"/>
        </w:rPr>
        <w:t>应当按照</w:t>
      </w:r>
      <w:r>
        <w:rPr>
          <w:rFonts w:hint="eastAsia" w:ascii="宋体" w:hAnsi="宋体" w:eastAsia="宋体"/>
          <w:color w:val="auto"/>
          <w:sz w:val="24"/>
          <w:highlight w:val="none"/>
        </w:rPr>
        <w:t>资质等级较低的供应商确定资质等级。</w:t>
      </w:r>
    </w:p>
    <w:p w14:paraId="7A84B31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.7以联合体形式参加政府采购活动的，联合体各方不得再单独参加或者与其他供应商另外组成联合体参加本项目</w:t>
      </w:r>
      <w:r>
        <w:rPr>
          <w:rFonts w:hint="eastAsia" w:ascii="宋体" w:hAnsi="宋体" w:eastAsia="宋体"/>
          <w:color w:val="auto"/>
          <w:sz w:val="24"/>
          <w:highlight w:val="none"/>
        </w:rPr>
        <w:t>磋商</w:t>
      </w:r>
      <w:r>
        <w:rPr>
          <w:rFonts w:ascii="宋体" w:hAnsi="宋体" w:eastAsia="宋体"/>
          <w:color w:val="auto"/>
          <w:sz w:val="24"/>
          <w:highlight w:val="none"/>
        </w:rPr>
        <w:t>，否则相关</w:t>
      </w:r>
      <w:r>
        <w:rPr>
          <w:rFonts w:hint="eastAsia" w:ascii="宋体" w:hAnsi="宋体" w:eastAsia="宋体"/>
          <w:color w:val="auto"/>
          <w:sz w:val="24"/>
          <w:highlight w:val="none"/>
        </w:rPr>
        <w:t>响应文件将被认定为</w:t>
      </w:r>
      <w:r>
        <w:rPr>
          <w:rFonts w:hint="eastAsia" w:ascii="宋体" w:hAnsi="宋体" w:eastAsia="宋体"/>
          <w:b/>
          <w:color w:val="auto"/>
          <w:sz w:val="24"/>
          <w:highlight w:val="none"/>
        </w:rPr>
        <w:t>响应无效</w:t>
      </w:r>
      <w:r>
        <w:rPr>
          <w:rFonts w:ascii="宋体" w:hAnsi="宋体" w:eastAsia="宋体"/>
          <w:color w:val="auto"/>
          <w:sz w:val="24"/>
          <w:highlight w:val="none"/>
        </w:rPr>
        <w:t>。</w:t>
      </w:r>
    </w:p>
    <w:p w14:paraId="763EB24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1</w:t>
      </w:r>
      <w:r>
        <w:rPr>
          <w:rFonts w:ascii="宋体" w:hAnsi="宋体" w:eastAsia="宋体"/>
          <w:color w:val="auto"/>
          <w:sz w:val="24"/>
          <w:highlight w:val="none"/>
        </w:rPr>
        <w:t>.</w:t>
      </w:r>
      <w:r>
        <w:rPr>
          <w:rFonts w:hint="eastAsia" w:ascii="宋体" w:hAnsi="宋体" w:eastAsia="宋体"/>
          <w:color w:val="auto"/>
          <w:sz w:val="24"/>
          <w:highlight w:val="none"/>
        </w:rPr>
        <w:t>5</w:t>
      </w:r>
      <w:r>
        <w:rPr>
          <w:rFonts w:ascii="宋体" w:hAnsi="宋体" w:eastAsia="宋体"/>
          <w:color w:val="auto"/>
          <w:sz w:val="24"/>
          <w:highlight w:val="none"/>
        </w:rPr>
        <w:t>.8对联合体参加磋商的其他资格要求见</w:t>
      </w:r>
      <w:r>
        <w:rPr>
          <w:rFonts w:hint="eastAsia" w:ascii="宋体" w:hAnsi="宋体" w:eastAsia="宋体"/>
          <w:color w:val="auto"/>
          <w:sz w:val="24"/>
          <w:highlight w:val="none"/>
          <w:lang w:val="en-US" w:eastAsia="zh-CN"/>
        </w:rPr>
        <w:t>申请人的</w:t>
      </w:r>
      <w:r>
        <w:rPr>
          <w:rFonts w:hint="eastAsia" w:ascii="宋体" w:hAnsi="宋体" w:eastAsia="宋体"/>
          <w:color w:val="auto"/>
          <w:sz w:val="24"/>
          <w:highlight w:val="none"/>
        </w:rPr>
        <w:t>资格</w:t>
      </w:r>
      <w:r>
        <w:rPr>
          <w:rFonts w:hint="eastAsia" w:ascii="宋体" w:hAnsi="宋体" w:eastAsia="宋体"/>
          <w:color w:val="auto"/>
          <w:sz w:val="24"/>
          <w:highlight w:val="none"/>
          <w:lang w:val="en-US" w:eastAsia="zh-CN"/>
        </w:rPr>
        <w:t>要求</w:t>
      </w:r>
      <w:r>
        <w:rPr>
          <w:rFonts w:ascii="宋体" w:hAnsi="宋体" w:eastAsia="宋体"/>
          <w:color w:val="auto"/>
          <w:sz w:val="24"/>
          <w:highlight w:val="none"/>
        </w:rPr>
        <w:t>。</w:t>
      </w:r>
    </w:p>
    <w:p w14:paraId="0857359B">
      <w:pPr>
        <w:spacing w:line="360" w:lineRule="auto"/>
        <w:ind w:firstLine="437"/>
        <w:outlineLvl w:val="2"/>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资金</w:t>
      </w:r>
      <w:r>
        <w:rPr>
          <w:rFonts w:hint="eastAsia" w:asciiTheme="minorEastAsia" w:hAnsiTheme="minorEastAsia" w:eastAsiaTheme="minorEastAsia"/>
          <w:b/>
          <w:color w:val="auto"/>
          <w:sz w:val="24"/>
          <w:highlight w:val="none"/>
          <w:lang w:val="en-US" w:eastAsia="zh-CN"/>
        </w:rPr>
        <w:t>落实情况</w:t>
      </w:r>
    </w:p>
    <w:p w14:paraId="5D996E8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.1本项目的采购人已获得足以支付本次磋商后所签订的合同项下的资金。</w:t>
      </w:r>
    </w:p>
    <w:p w14:paraId="0F90283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磋商费用</w:t>
      </w:r>
    </w:p>
    <w:p w14:paraId="037EF3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olor w:val="auto"/>
          <w:sz w:val="24"/>
          <w:highlight w:val="none"/>
        </w:rPr>
      </w:pPr>
      <w:r>
        <w:rPr>
          <w:rFonts w:hint="eastAsia" w:ascii="宋体" w:hAnsi="宋体" w:eastAsia="宋体"/>
          <w:color w:val="auto"/>
          <w:sz w:val="24"/>
          <w:highlight w:val="none"/>
        </w:rPr>
        <w:t>不论磋商的结果如何，供应商应承担其所有与准备和参加磋商有关的费用</w:t>
      </w:r>
    </w:p>
    <w:p w14:paraId="2D83F73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4.适用法律</w:t>
      </w:r>
    </w:p>
    <w:p w14:paraId="291436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color w:val="auto"/>
          <w:sz w:val="24"/>
          <w:highlight w:val="none"/>
        </w:rPr>
      </w:pPr>
      <w:r>
        <w:rPr>
          <w:rFonts w:hint="eastAsia" w:ascii="宋体" w:hAnsi="宋体" w:eastAsia="宋体"/>
          <w:color w:val="auto"/>
          <w:sz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0BF0BB6E">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5</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磋商文件构成</w:t>
      </w:r>
    </w:p>
    <w:p w14:paraId="66D4F33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5</w:t>
      </w:r>
      <w:r>
        <w:rPr>
          <w:rFonts w:hint="eastAsia" w:ascii="宋体" w:hAnsi="宋体" w:eastAsia="宋体"/>
          <w:color w:val="auto"/>
          <w:sz w:val="24"/>
          <w:highlight w:val="none"/>
        </w:rPr>
        <w:t>.1磋商文件包括下列内容：</w:t>
      </w:r>
    </w:p>
    <w:p w14:paraId="3BDA60BD">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第一章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磋商邀请</w:t>
      </w:r>
    </w:p>
    <w:p w14:paraId="50899965">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第二章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须知</w:t>
      </w:r>
    </w:p>
    <w:p w14:paraId="18D31E79">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第三章</w:t>
      </w:r>
      <w:r>
        <w:rPr>
          <w:rFonts w:asciiTheme="minorEastAsia" w:hAnsiTheme="minorEastAsia" w:eastAsiaTheme="minorEastAsia"/>
          <w:color w:val="auto"/>
          <w:sz w:val="24"/>
          <w:highlight w:val="none"/>
        </w:rPr>
        <w:t xml:space="preserve">  采购需求</w:t>
      </w:r>
    </w:p>
    <w:p w14:paraId="1F6F11B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第四章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评审方法</w:t>
      </w:r>
      <w:r>
        <w:rPr>
          <w:rFonts w:asciiTheme="minorEastAsia" w:hAnsiTheme="minorEastAsia" w:eastAsiaTheme="minorEastAsia"/>
          <w:color w:val="auto"/>
          <w:sz w:val="24"/>
          <w:highlight w:val="none"/>
        </w:rPr>
        <w:t>和标准</w:t>
      </w:r>
    </w:p>
    <w:p w14:paraId="5D0D3842">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第五章</w:t>
      </w:r>
      <w:r>
        <w:rPr>
          <w:rFonts w:asciiTheme="minorEastAsia" w:hAnsiTheme="minorEastAsia" w:eastAsiaTheme="minorEastAsia"/>
          <w:color w:val="auto"/>
          <w:sz w:val="24"/>
          <w:highlight w:val="none"/>
        </w:rPr>
        <w:t xml:space="preserve">  政府采购合同</w:t>
      </w:r>
    </w:p>
    <w:p w14:paraId="0A5E7C9D">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第六章</w:t>
      </w:r>
      <w:r>
        <w:rPr>
          <w:rFonts w:asciiTheme="minorEastAsia" w:hAnsiTheme="minorEastAsia" w:eastAsiaTheme="minorEastAsia"/>
          <w:color w:val="auto"/>
          <w:sz w:val="24"/>
          <w:highlight w:val="none"/>
        </w:rPr>
        <w:t xml:space="preserve">  </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文件格式</w:t>
      </w:r>
    </w:p>
    <w:p w14:paraId="66B907D6">
      <w:pPr>
        <w:spacing w:line="360" w:lineRule="auto"/>
        <w:ind w:firstLine="840" w:firstLineChars="35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第</w:t>
      </w:r>
      <w:r>
        <w:rPr>
          <w:rFonts w:hint="eastAsia" w:asciiTheme="minorEastAsia" w:hAnsiTheme="minorEastAsia" w:eastAsiaTheme="minorEastAsia"/>
          <w:color w:val="auto"/>
          <w:sz w:val="24"/>
          <w:highlight w:val="none"/>
          <w:lang w:val="en-US" w:eastAsia="zh-CN"/>
        </w:rPr>
        <w:t>七</w:t>
      </w:r>
      <w:r>
        <w:rPr>
          <w:rFonts w:hint="eastAsia" w:asciiTheme="minorEastAsia" w:hAnsiTheme="minorEastAsia" w:eastAsiaTheme="minorEastAsia"/>
          <w:color w:val="auto"/>
          <w:sz w:val="24"/>
          <w:highlight w:val="none"/>
        </w:rPr>
        <w:t>章</w:t>
      </w:r>
      <w:r>
        <w:rPr>
          <w:rFonts w:asciiTheme="minorEastAsia" w:hAnsiTheme="minorEastAsia" w:eastAsiaTheme="minorEastAsia"/>
          <w:color w:val="auto"/>
          <w:sz w:val="24"/>
          <w:highlight w:val="none"/>
        </w:rPr>
        <w:t xml:space="preserve">  政府采购供应商</w:t>
      </w:r>
      <w:r>
        <w:rPr>
          <w:rFonts w:hint="eastAsia" w:asciiTheme="minorEastAsia" w:hAnsiTheme="minorEastAsia" w:eastAsiaTheme="minorEastAsia"/>
          <w:color w:val="auto"/>
          <w:sz w:val="24"/>
          <w:highlight w:val="none"/>
        </w:rPr>
        <w:t>询问函和</w:t>
      </w:r>
      <w:r>
        <w:rPr>
          <w:rFonts w:asciiTheme="minorEastAsia" w:hAnsiTheme="minorEastAsia" w:eastAsiaTheme="minorEastAsia"/>
          <w:color w:val="auto"/>
          <w:sz w:val="24"/>
          <w:highlight w:val="none"/>
        </w:rPr>
        <w:t>质疑函范本</w:t>
      </w:r>
    </w:p>
    <w:p w14:paraId="0DE6CEC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现场</w:t>
      </w:r>
      <w:r>
        <w:rPr>
          <w:rFonts w:hint="eastAsia" w:asciiTheme="minorEastAsia" w:hAnsiTheme="minorEastAsia" w:eastAsiaTheme="minorEastAsia"/>
          <w:color w:val="auto"/>
          <w:sz w:val="24"/>
          <w:highlight w:val="none"/>
        </w:rPr>
        <w:t>考察</w:t>
      </w:r>
      <w:r>
        <w:rPr>
          <w:rFonts w:asciiTheme="minorEastAsia" w:hAnsiTheme="minorEastAsia" w:eastAsiaTheme="minorEastAsia"/>
          <w:color w:val="auto"/>
          <w:sz w:val="24"/>
          <w:highlight w:val="none"/>
        </w:rPr>
        <w:t>及相关事项见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73643EC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应认真阅读</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文件所有的事项、格式、条款和技术规范等。</w:t>
      </w:r>
    </w:p>
    <w:p w14:paraId="7343A30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6</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磋商文件的澄清与修改</w:t>
      </w:r>
    </w:p>
    <w:p w14:paraId="795E5AB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1供应商</w:t>
      </w:r>
      <w:r>
        <w:rPr>
          <w:rFonts w:asciiTheme="minorEastAsia" w:hAnsiTheme="minorEastAsia" w:eastAsiaTheme="minorEastAsia"/>
          <w:color w:val="auto"/>
          <w:sz w:val="24"/>
          <w:highlight w:val="none"/>
        </w:rPr>
        <w:t>如对</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文件内容有疑问，</w:t>
      </w:r>
      <w:r>
        <w:rPr>
          <w:rFonts w:hint="eastAsia" w:asciiTheme="minorEastAsia" w:hAnsiTheme="minorEastAsia" w:eastAsiaTheme="minorEastAsia"/>
          <w:color w:val="auto"/>
          <w:sz w:val="24"/>
          <w:highlight w:val="none"/>
          <w:lang w:val="en-US" w:eastAsia="zh-CN"/>
        </w:rPr>
        <w:t>可</w:t>
      </w:r>
      <w:r>
        <w:rPr>
          <w:rFonts w:asciiTheme="minorEastAsia" w:hAnsiTheme="minorEastAsia" w:eastAsiaTheme="minorEastAsia"/>
          <w:color w:val="auto"/>
          <w:sz w:val="24"/>
          <w:highlight w:val="none"/>
        </w:rPr>
        <w:t>在</w:t>
      </w:r>
      <w:r>
        <w:rPr>
          <w:rFonts w:ascii="宋体" w:hAnsi="宋体" w:eastAsia="宋体"/>
          <w:color w:val="auto"/>
          <w:sz w:val="24"/>
          <w:highlight w:val="none"/>
          <w:u w:val="single"/>
        </w:rPr>
        <w:t>供应商须知前附表</w:t>
      </w:r>
      <w:r>
        <w:rPr>
          <w:rFonts w:asciiTheme="minorEastAsia" w:hAnsiTheme="minorEastAsia" w:eastAsiaTheme="minorEastAsia"/>
          <w:color w:val="auto"/>
          <w:sz w:val="24"/>
          <w:highlight w:val="none"/>
        </w:rPr>
        <w:t>规定的</w:t>
      </w:r>
      <w:r>
        <w:rPr>
          <w:rFonts w:hint="eastAsia" w:asciiTheme="minorEastAsia" w:hAnsiTheme="minorEastAsia" w:eastAsiaTheme="minorEastAsia"/>
          <w:color w:val="auto"/>
          <w:sz w:val="24"/>
          <w:highlight w:val="none"/>
        </w:rPr>
        <w:t>网上询问</w:t>
      </w:r>
      <w:r>
        <w:rPr>
          <w:rFonts w:asciiTheme="minorEastAsia" w:hAnsiTheme="minorEastAsia" w:eastAsiaTheme="minorEastAsia"/>
          <w:color w:val="auto"/>
          <w:sz w:val="24"/>
          <w:highlight w:val="none"/>
        </w:rPr>
        <w:t>截止时间前以网上提问形式</w:t>
      </w:r>
      <w:r>
        <w:rPr>
          <w:rFonts w:hint="eastAsia" w:asciiTheme="minorEastAsia" w:hAnsiTheme="minorEastAsia" w:eastAsiaTheme="minorEastAsia"/>
          <w:color w:val="auto"/>
          <w:sz w:val="24"/>
          <w:highlight w:val="none"/>
        </w:rPr>
        <w:t>（电子交易系统）</w:t>
      </w:r>
      <w:r>
        <w:rPr>
          <w:rFonts w:asciiTheme="minorEastAsia" w:hAnsiTheme="minorEastAsia" w:eastAsiaTheme="minorEastAsia"/>
          <w:color w:val="auto"/>
          <w:sz w:val="24"/>
          <w:highlight w:val="none"/>
        </w:rPr>
        <w:t>提交给采购代理机构。</w:t>
      </w:r>
    </w:p>
    <w:p w14:paraId="786A3C9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2采购人可主动地或在</w:t>
      </w:r>
      <w:r>
        <w:rPr>
          <w:rFonts w:hint="eastAsia" w:asciiTheme="minorEastAsia" w:hAnsiTheme="minorEastAsia" w:eastAsiaTheme="minorEastAsia"/>
          <w:color w:val="auto"/>
          <w:sz w:val="24"/>
          <w:highlight w:val="none"/>
          <w:lang w:val="en-US" w:eastAsia="zh-CN"/>
        </w:rPr>
        <w:t>答复供应商</w:t>
      </w:r>
      <w:r>
        <w:rPr>
          <w:rFonts w:hint="eastAsia" w:asciiTheme="minorEastAsia" w:hAnsiTheme="minorEastAsia" w:eastAsiaTheme="minorEastAsia"/>
          <w:color w:val="auto"/>
          <w:sz w:val="24"/>
          <w:highlight w:val="none"/>
        </w:rPr>
        <w:t>提出的</w:t>
      </w:r>
      <w:r>
        <w:rPr>
          <w:rFonts w:hint="eastAsia" w:asciiTheme="minorEastAsia" w:hAnsiTheme="minorEastAsia" w:eastAsiaTheme="minorEastAsia"/>
          <w:color w:val="auto"/>
          <w:sz w:val="24"/>
          <w:highlight w:val="none"/>
          <w:lang w:val="en-US" w:eastAsia="zh-CN"/>
        </w:rPr>
        <w:t>询问</w:t>
      </w:r>
      <w:r>
        <w:rPr>
          <w:rFonts w:hint="eastAsia" w:asciiTheme="minorEastAsia" w:hAnsiTheme="minorEastAsia" w:eastAsiaTheme="minorEastAsia"/>
          <w:color w:val="auto"/>
          <w:sz w:val="24"/>
          <w:highlight w:val="none"/>
        </w:rPr>
        <w:t>时对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文件进行澄清与修改。</w:t>
      </w:r>
      <w:r>
        <w:rPr>
          <w:rFonts w:asciiTheme="minorEastAsia" w:hAnsiTheme="minorEastAsia" w:eastAsiaTheme="minorEastAsia"/>
          <w:color w:val="auto"/>
          <w:sz w:val="24"/>
          <w:highlight w:val="none"/>
        </w:rPr>
        <w:t>采购代理机构将</w:t>
      </w:r>
      <w:r>
        <w:rPr>
          <w:rFonts w:hint="eastAsia" w:asciiTheme="minorEastAsia" w:hAnsiTheme="minorEastAsia" w:eastAsiaTheme="minorEastAsia"/>
          <w:color w:val="auto"/>
          <w:sz w:val="24"/>
          <w:highlight w:val="none"/>
        </w:rPr>
        <w:t>在</w:t>
      </w:r>
      <w:bookmarkStart w:id="16" w:name="_Hlk16458572"/>
      <w:r>
        <w:rPr>
          <w:rFonts w:hint="eastAsia" w:ascii="宋体" w:hAnsi="宋体" w:eastAsia="宋体"/>
          <w:color w:val="auto"/>
          <w:sz w:val="24"/>
          <w:szCs w:val="18"/>
          <w:highlight w:val="none"/>
        </w:rPr>
        <w:t>安徽省政府采购网</w:t>
      </w:r>
      <w:bookmarkEnd w:id="16"/>
      <w:r>
        <w:rPr>
          <w:rFonts w:hint="eastAsia" w:ascii="宋体" w:hAnsi="宋体" w:eastAsia="宋体"/>
          <w:color w:val="auto"/>
          <w:sz w:val="24"/>
          <w:szCs w:val="18"/>
          <w:highlight w:val="none"/>
        </w:rPr>
        <w:t>和滁州市公共资源交易中心网</w:t>
      </w:r>
      <w:r>
        <w:rPr>
          <w:rFonts w:hint="eastAsia" w:asciiTheme="minorEastAsia" w:hAnsiTheme="minorEastAsia" w:eastAsiaTheme="minorEastAsia"/>
          <w:color w:val="auto"/>
          <w:sz w:val="24"/>
          <w:highlight w:val="none"/>
        </w:rPr>
        <w:t>以发布更正公告的方式澄清或者修改磋商文件，更正公告的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rPr>
        <w:t>作</w:t>
      </w:r>
      <w:r>
        <w:rPr>
          <w:rFonts w:asciiTheme="minorEastAsia" w:hAnsiTheme="minorEastAsia" w:eastAsiaTheme="minorEastAsia"/>
          <w:color w:val="auto"/>
          <w:sz w:val="24"/>
          <w:highlight w:val="none"/>
        </w:rPr>
        <w:t>为</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的</w:t>
      </w:r>
      <w:r>
        <w:rPr>
          <w:rFonts w:asciiTheme="minorEastAsia" w:hAnsiTheme="minorEastAsia" w:eastAsiaTheme="minorEastAsia"/>
          <w:color w:val="auto"/>
          <w:sz w:val="24"/>
          <w:highlight w:val="none"/>
        </w:rPr>
        <w:t>组成部分，对</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起约束作用</w:t>
      </w:r>
      <w:r>
        <w:rPr>
          <w:rFonts w:hint="eastAsia" w:asciiTheme="minorEastAsia" w:hAnsiTheme="minorEastAsia" w:eastAsiaTheme="minorEastAsia"/>
          <w:color w:val="auto"/>
          <w:sz w:val="24"/>
          <w:highlight w:val="none"/>
        </w:rPr>
        <w:t>。供应商应主动上网查询。采购代理机构不承担供应商未及时关注相关信息引发的相关责任。</w:t>
      </w:r>
    </w:p>
    <w:p w14:paraId="179FEE78">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6</w:t>
      </w:r>
      <w:r>
        <w:rPr>
          <w:rFonts w:hint="eastAsia" w:ascii="宋体" w:hAnsi="宋体" w:eastAsia="宋体"/>
          <w:color w:val="auto"/>
          <w:sz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6AB82DD4">
      <w:pPr>
        <w:spacing w:line="360" w:lineRule="auto"/>
        <w:ind w:firstLine="435"/>
        <w:rPr>
          <w:rFonts w:hint="eastAsia" w:asciiTheme="minorEastAsia" w:hAnsiTheme="minorEastAsia" w:eastAsiaTheme="minorEastAsia"/>
          <w:iCs/>
          <w:color w:val="auto"/>
          <w:sz w:val="24"/>
          <w:highlight w:val="none"/>
          <w:lang w:eastAsia="zh-CN"/>
        </w:rPr>
      </w:pPr>
      <w:r>
        <w:rPr>
          <w:rFonts w:hint="eastAsia" w:asciiTheme="minorEastAsia" w:hAnsiTheme="minorEastAsia" w:eastAsiaTheme="minorEastAsia"/>
          <w:color w:val="auto"/>
          <w:sz w:val="24"/>
          <w:highlight w:val="none"/>
          <w:lang w:val="en-US" w:eastAsia="zh-CN"/>
        </w:rPr>
        <w:t>6</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对于</w:t>
      </w:r>
      <w:r>
        <w:rPr>
          <w:rFonts w:ascii="宋体" w:hAnsi="宋体" w:eastAsia="宋体"/>
          <w:color w:val="auto"/>
          <w:sz w:val="24"/>
          <w:highlight w:val="none"/>
        </w:rPr>
        <w:t>没有</w:t>
      </w:r>
      <w:r>
        <w:rPr>
          <w:rFonts w:asciiTheme="minorEastAsia" w:hAnsiTheme="minorEastAsia" w:eastAsiaTheme="minorEastAsia"/>
          <w:color w:val="auto"/>
          <w:sz w:val="24"/>
          <w:highlight w:val="none"/>
        </w:rPr>
        <w:t>提出</w:t>
      </w:r>
      <w:r>
        <w:rPr>
          <w:rFonts w:hint="eastAsia" w:asciiTheme="minorEastAsia" w:hAnsiTheme="minorEastAsia" w:eastAsiaTheme="minorEastAsia"/>
          <w:color w:val="auto"/>
          <w:sz w:val="24"/>
          <w:highlight w:val="none"/>
        </w:rPr>
        <w:t>询问</w:t>
      </w:r>
      <w:r>
        <w:rPr>
          <w:rFonts w:asciiTheme="minorEastAsia" w:hAnsiTheme="minorEastAsia" w:eastAsiaTheme="minorEastAsia"/>
          <w:color w:val="auto"/>
          <w:sz w:val="24"/>
          <w:highlight w:val="none"/>
        </w:rPr>
        <w:t>又参与了</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将被视为完全认同</w:t>
      </w:r>
      <w:r>
        <w:rPr>
          <w:rFonts w:hint="eastAsia" w:asciiTheme="minorEastAsia" w:hAnsiTheme="minorEastAsia" w:eastAsiaTheme="minorEastAsia"/>
          <w:color w:val="auto"/>
          <w:sz w:val="24"/>
          <w:highlight w:val="none"/>
        </w:rPr>
        <w:t>本磋商</w:t>
      </w:r>
      <w:r>
        <w:rPr>
          <w:rFonts w:asciiTheme="minorEastAsia" w:hAnsiTheme="minorEastAsia" w:eastAsiaTheme="minorEastAsia"/>
          <w:color w:val="auto"/>
          <w:sz w:val="24"/>
          <w:highlight w:val="none"/>
        </w:rPr>
        <w:t>文件（含</w:t>
      </w:r>
      <w:r>
        <w:rPr>
          <w:rFonts w:hint="eastAsia" w:asciiTheme="minorEastAsia" w:hAnsiTheme="minorEastAsia" w:eastAsiaTheme="minorEastAsia"/>
          <w:color w:val="auto"/>
          <w:sz w:val="24"/>
          <w:highlight w:val="none"/>
        </w:rPr>
        <w:t>更正公告的</w:t>
      </w:r>
      <w:r>
        <w:rPr>
          <w:rFonts w:asciiTheme="minorEastAsia" w:hAnsiTheme="minorEastAsia" w:eastAsiaTheme="minorEastAsia"/>
          <w:color w:val="auto"/>
          <w:sz w:val="24"/>
          <w:highlight w:val="none"/>
        </w:rPr>
        <w:t>内容）</w:t>
      </w:r>
      <w:r>
        <w:rPr>
          <w:rFonts w:hint="eastAsia" w:asciiTheme="minorEastAsia" w:hAnsiTheme="minorEastAsia" w:eastAsiaTheme="minorEastAsia"/>
          <w:color w:val="auto"/>
          <w:sz w:val="24"/>
          <w:highlight w:val="none"/>
          <w:lang w:eastAsia="zh-CN"/>
        </w:rPr>
        <w:t>。</w:t>
      </w:r>
    </w:p>
    <w:p w14:paraId="27C6413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磋商范围及响应文件中标准和计量单位的使用</w:t>
      </w:r>
    </w:p>
    <w:p w14:paraId="1EEEADA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.1项目有分包的，供应商可</w:t>
      </w:r>
      <w:r>
        <w:rPr>
          <w:rFonts w:hint="eastAsia" w:asciiTheme="minorEastAsia" w:hAnsiTheme="minorEastAsia" w:eastAsiaTheme="minorEastAsia"/>
          <w:color w:val="auto"/>
          <w:sz w:val="24"/>
          <w:highlight w:val="none"/>
        </w:rPr>
        <w:t>参与</w:t>
      </w:r>
      <w:r>
        <w:rPr>
          <w:rFonts w:asciiTheme="minorEastAsia" w:hAnsiTheme="minorEastAsia" w:eastAsiaTheme="minorEastAsia"/>
          <w:color w:val="auto"/>
          <w:sz w:val="24"/>
          <w:highlight w:val="none"/>
        </w:rPr>
        <w:t>其中某一个或</w:t>
      </w:r>
      <w:r>
        <w:rPr>
          <w:rFonts w:hint="eastAsia" w:asciiTheme="minorEastAsia" w:hAnsiTheme="minorEastAsia" w:eastAsiaTheme="minorEastAsia"/>
          <w:color w:val="auto"/>
          <w:sz w:val="24"/>
          <w:highlight w:val="none"/>
        </w:rPr>
        <w:t>多</w:t>
      </w:r>
      <w:r>
        <w:rPr>
          <w:rFonts w:asciiTheme="minorEastAsia" w:hAnsiTheme="minorEastAsia" w:eastAsiaTheme="minorEastAsia"/>
          <w:color w:val="auto"/>
          <w:sz w:val="24"/>
          <w:highlight w:val="none"/>
        </w:rPr>
        <w:t>个分包</w:t>
      </w:r>
      <w:r>
        <w:rPr>
          <w:rFonts w:hint="eastAsia" w:asciiTheme="minorEastAsia" w:hAnsiTheme="minorEastAsia" w:eastAsiaTheme="minorEastAsia"/>
          <w:color w:val="auto"/>
          <w:sz w:val="24"/>
          <w:highlight w:val="none"/>
        </w:rPr>
        <w:t>的磋商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成交包数详见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中规定。</w:t>
      </w:r>
    </w:p>
    <w:p w14:paraId="290F68B1">
      <w:pPr>
        <w:spacing w:line="360" w:lineRule="auto"/>
        <w:ind w:firstLine="435"/>
        <w:rPr>
          <w:rFonts w:hint="default" w:eastAsiaTheme="minorEastAsia"/>
          <w:color w:val="auto"/>
          <w:highlight w:val="none"/>
          <w:lang w:val="en-US" w:eastAsia="zh-CN"/>
        </w:rPr>
      </w:pPr>
      <w:r>
        <w:rPr>
          <w:rFonts w:hint="eastAsia" w:asciiTheme="minorEastAsia" w:hAnsiTheme="minorEastAsia" w:eastAsiaTheme="minorEastAsia"/>
          <w:color w:val="auto"/>
          <w:sz w:val="24"/>
          <w:highlight w:val="none"/>
          <w:lang w:val="en-US" w:eastAsia="zh-CN"/>
        </w:rPr>
        <w:t>7.2 供应商</w:t>
      </w:r>
      <w:r>
        <w:rPr>
          <w:rFonts w:asciiTheme="minorEastAsia" w:hAnsiTheme="minorEastAsia" w:eastAsiaTheme="minorEastAsia"/>
          <w:color w:val="auto"/>
          <w:sz w:val="24"/>
          <w:highlight w:val="none"/>
        </w:rPr>
        <w:t>应当对所投分包</w:t>
      </w:r>
      <w:r>
        <w:rPr>
          <w:rFonts w:hint="eastAsia" w:asciiTheme="minorEastAsia" w:hAnsiTheme="minorEastAsia" w:eastAsiaTheme="minorEastAsia"/>
          <w:color w:val="auto"/>
          <w:sz w:val="24"/>
          <w:highlight w:val="none"/>
          <w:lang w:val="en-US" w:eastAsia="zh-CN"/>
        </w:rPr>
        <w:t>磋商</w:t>
      </w:r>
      <w:r>
        <w:rPr>
          <w:rFonts w:asciiTheme="minorEastAsia" w:hAnsiTheme="minorEastAsia" w:eastAsiaTheme="minorEastAsia"/>
          <w:color w:val="auto"/>
          <w:sz w:val="24"/>
          <w:highlight w:val="none"/>
        </w:rPr>
        <w:t>文件中“</w:t>
      </w:r>
      <w:r>
        <w:rPr>
          <w:rFonts w:hint="eastAsia" w:asciiTheme="minorEastAsia" w:hAnsiTheme="minorEastAsia" w:eastAsiaTheme="minorEastAsia"/>
          <w:color w:val="auto"/>
          <w:sz w:val="24"/>
          <w:highlight w:val="none"/>
        </w:rPr>
        <w:t>采购</w:t>
      </w:r>
      <w:r>
        <w:rPr>
          <w:rFonts w:asciiTheme="minorEastAsia" w:hAnsiTheme="minorEastAsia" w:eastAsiaTheme="minorEastAsia"/>
          <w:color w:val="auto"/>
          <w:sz w:val="24"/>
          <w:highlight w:val="none"/>
        </w:rPr>
        <w:t>需求”所列的所有内容进行</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，如仅响应</w:t>
      </w:r>
      <w:r>
        <w:rPr>
          <w:rFonts w:hint="eastAsia" w:asciiTheme="minorEastAsia" w:hAnsiTheme="minorEastAsia" w:eastAsiaTheme="minorEastAsia"/>
          <w:color w:val="auto"/>
          <w:sz w:val="24"/>
          <w:highlight w:val="none"/>
        </w:rPr>
        <w:t>所投包别</w:t>
      </w:r>
      <w:r>
        <w:rPr>
          <w:rFonts w:asciiTheme="minorEastAsia" w:hAnsiTheme="minorEastAsia" w:eastAsiaTheme="minorEastAsia"/>
          <w:color w:val="auto"/>
          <w:sz w:val="24"/>
          <w:highlight w:val="none"/>
        </w:rPr>
        <w:t>中的部分内容，其</w:t>
      </w:r>
      <w:r>
        <w:rPr>
          <w:rFonts w:hint="eastAsia" w:asciiTheme="minorEastAsia" w:hAnsiTheme="minorEastAsia" w:eastAsiaTheme="minorEastAsia"/>
          <w:color w:val="auto"/>
          <w:sz w:val="24"/>
          <w:highlight w:val="none"/>
        </w:rPr>
        <w:t>所投包别的</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将被认定为</w:t>
      </w:r>
      <w:r>
        <w:rPr>
          <w:rFonts w:hint="eastAsia" w:asciiTheme="minorEastAsia" w:hAnsiTheme="minorEastAsia" w:eastAsiaTheme="minorEastAsia"/>
          <w:b/>
          <w:color w:val="auto"/>
          <w:sz w:val="24"/>
          <w:highlight w:val="none"/>
          <w:lang w:val="en-US" w:eastAsia="zh-CN"/>
        </w:rPr>
        <w:t>响应</w:t>
      </w:r>
      <w:r>
        <w:rPr>
          <w:rFonts w:asciiTheme="minorEastAsia" w:hAnsiTheme="minorEastAsia" w:eastAsiaTheme="minorEastAsia"/>
          <w:b/>
          <w:color w:val="auto"/>
          <w:sz w:val="24"/>
          <w:highlight w:val="none"/>
        </w:rPr>
        <w:t>无效</w:t>
      </w:r>
      <w:r>
        <w:rPr>
          <w:rFonts w:asciiTheme="minorEastAsia" w:hAnsiTheme="minorEastAsia" w:eastAsiaTheme="minorEastAsia"/>
          <w:color w:val="auto"/>
          <w:sz w:val="24"/>
          <w:highlight w:val="none"/>
        </w:rPr>
        <w:t>。</w:t>
      </w:r>
    </w:p>
    <w:p w14:paraId="3ADA4C9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asciiTheme="minorEastAsia" w:hAnsiTheme="minorEastAsia" w:eastAsiaTheme="minorEastAsia"/>
          <w:color w:val="auto"/>
          <w:sz w:val="24"/>
          <w:highlight w:val="none"/>
        </w:rPr>
        <w:t>无论磋商文件中是否要求，供应商所投货物及伴随的服务和工程均应符合国家强制性标准。</w:t>
      </w:r>
    </w:p>
    <w:p w14:paraId="628AD6A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w:t>
      </w:r>
    </w:p>
    <w:p w14:paraId="1BADA53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7</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除磋商文件中有特殊要求外，响应文件中所使用的计量单位，应采用中华人民共和国法定计量单位。</w:t>
      </w:r>
    </w:p>
    <w:p w14:paraId="091B353A">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响应文件构成</w:t>
      </w:r>
    </w:p>
    <w:p w14:paraId="38D8396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8</w:t>
      </w:r>
      <w:r>
        <w:rPr>
          <w:rFonts w:asciiTheme="minorEastAsia" w:hAnsiTheme="minorEastAsia" w:eastAsiaTheme="minorEastAsia"/>
          <w:color w:val="auto"/>
          <w:sz w:val="24"/>
          <w:highlight w:val="none"/>
        </w:rPr>
        <w:t>.1</w:t>
      </w:r>
      <w:r>
        <w:rPr>
          <w:rFonts w:hint="eastAsia" w:ascii="宋体" w:hAnsi="宋体" w:eastAsia="宋体"/>
          <w:color w:val="auto"/>
          <w:sz w:val="24"/>
          <w:highlight w:val="none"/>
          <w:lang w:val="en-US" w:eastAsia="zh-CN"/>
        </w:rPr>
        <w:t>供应商</w:t>
      </w:r>
      <w:r>
        <w:rPr>
          <w:rFonts w:asciiTheme="minorEastAsia" w:hAnsiTheme="minorEastAsia" w:eastAsiaTheme="minorEastAsia"/>
          <w:color w:val="auto"/>
          <w:sz w:val="24"/>
          <w:highlight w:val="none"/>
        </w:rPr>
        <w:t>应完整地按</w:t>
      </w:r>
      <w:r>
        <w:rPr>
          <w:rFonts w:hint="eastAsia" w:asciiTheme="minorEastAsia" w:hAnsiTheme="minorEastAsia" w:eastAsiaTheme="minorEastAsia"/>
          <w:color w:val="auto"/>
          <w:sz w:val="24"/>
          <w:highlight w:val="none"/>
          <w:lang w:val="en-US" w:eastAsia="zh-CN"/>
        </w:rPr>
        <w:t>磋商</w:t>
      </w:r>
      <w:r>
        <w:rPr>
          <w:rFonts w:asciiTheme="minorEastAsia" w:hAnsiTheme="minorEastAsia" w:eastAsiaTheme="minorEastAsia"/>
          <w:color w:val="auto"/>
          <w:sz w:val="24"/>
          <w:highlight w:val="none"/>
        </w:rPr>
        <w:t>文件提供的</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文件格式及要求</w:t>
      </w:r>
      <w:r>
        <w:rPr>
          <w:rFonts w:hint="eastAsia" w:asciiTheme="minorEastAsia" w:hAnsiTheme="minorEastAsia" w:eastAsiaTheme="minorEastAsia"/>
          <w:color w:val="auto"/>
          <w:sz w:val="24"/>
          <w:highlight w:val="none"/>
        </w:rPr>
        <w:t>编</w:t>
      </w:r>
      <w:r>
        <w:rPr>
          <w:rFonts w:asciiTheme="minorEastAsia" w:hAnsiTheme="minorEastAsia" w:eastAsiaTheme="minorEastAsia"/>
          <w:color w:val="auto"/>
          <w:sz w:val="24"/>
          <w:highlight w:val="none"/>
        </w:rPr>
        <w:t>写</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具体内容详见本项目</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文件格式的相关内容。</w:t>
      </w:r>
    </w:p>
    <w:p w14:paraId="5CD4DDCC">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w:t>
      </w:r>
      <w:r>
        <w:rPr>
          <w:rFonts w:hint="eastAsia" w:ascii="宋体" w:hAnsi="宋体" w:eastAsia="宋体"/>
          <w:color w:val="auto"/>
          <w:sz w:val="24"/>
          <w:highlight w:val="none"/>
          <w:lang w:val="en-US" w:eastAsia="zh-CN"/>
        </w:rPr>
        <w:t>供应商</w:t>
      </w:r>
      <w:r>
        <w:rPr>
          <w:rFonts w:asciiTheme="minorEastAsia" w:hAnsiTheme="minorEastAsia" w:eastAsiaTheme="minorEastAsia"/>
          <w:color w:val="auto"/>
          <w:sz w:val="24"/>
          <w:highlight w:val="none"/>
        </w:rPr>
        <w:t>应提交</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文件要求的</w:t>
      </w:r>
      <w:r>
        <w:rPr>
          <w:rFonts w:asciiTheme="minorEastAsia" w:hAnsiTheme="minorEastAsia" w:eastAsiaTheme="minorEastAsia"/>
          <w:color w:val="auto"/>
          <w:sz w:val="24"/>
          <w:highlight w:val="none"/>
        </w:rPr>
        <w:t>证明文件，证明其</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内容符合</w:t>
      </w:r>
      <w:r>
        <w:rPr>
          <w:rFonts w:hint="eastAsia" w:asciiTheme="minorEastAsia" w:hAnsiTheme="minorEastAsia" w:eastAsiaTheme="minorEastAsia"/>
          <w:color w:val="auto"/>
          <w:sz w:val="24"/>
          <w:highlight w:val="none"/>
          <w:lang w:val="en-US" w:eastAsia="zh-CN"/>
        </w:rPr>
        <w:t>磋商</w:t>
      </w:r>
      <w:r>
        <w:rPr>
          <w:rFonts w:asciiTheme="minorEastAsia" w:hAnsiTheme="minorEastAsia" w:eastAsiaTheme="minorEastAsia"/>
          <w:color w:val="auto"/>
          <w:sz w:val="24"/>
          <w:highlight w:val="none"/>
        </w:rPr>
        <w:t>文件规定</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该证明文件是</w:t>
      </w:r>
      <w:r>
        <w:rPr>
          <w:rFonts w:hint="eastAsia" w:asciiTheme="minorEastAsia" w:hAnsiTheme="minorEastAsia" w:eastAsiaTheme="minorEastAsia"/>
          <w:color w:val="auto"/>
          <w:sz w:val="24"/>
          <w:highlight w:val="none"/>
          <w:lang w:val="en-US" w:eastAsia="zh-CN"/>
        </w:rPr>
        <w:t>响应</w:t>
      </w:r>
      <w:r>
        <w:rPr>
          <w:rFonts w:asciiTheme="minorEastAsia" w:hAnsiTheme="minorEastAsia" w:eastAsiaTheme="minorEastAsia"/>
          <w:color w:val="auto"/>
          <w:sz w:val="24"/>
          <w:highlight w:val="none"/>
        </w:rPr>
        <w:t>文件的一部分</w:t>
      </w:r>
      <w:r>
        <w:rPr>
          <w:rFonts w:hint="eastAsia" w:asciiTheme="minorEastAsia" w:hAnsiTheme="minorEastAsia" w:eastAsiaTheme="minorEastAsia"/>
          <w:color w:val="auto"/>
          <w:sz w:val="24"/>
          <w:highlight w:val="none"/>
          <w:lang w:eastAsia="zh-CN"/>
        </w:rPr>
        <w:t>。</w:t>
      </w:r>
      <w:r>
        <w:rPr>
          <w:rFonts w:asciiTheme="minorEastAsia" w:hAnsiTheme="minorEastAsia" w:eastAsiaTheme="minorEastAsia"/>
          <w:color w:val="auto"/>
          <w:sz w:val="24"/>
          <w:highlight w:val="none"/>
        </w:rPr>
        <w:t>证明文件</w:t>
      </w:r>
      <w:r>
        <w:rPr>
          <w:rFonts w:hint="eastAsia" w:asciiTheme="minorEastAsia" w:hAnsiTheme="minorEastAsia" w:eastAsiaTheme="minorEastAsia"/>
          <w:color w:val="auto"/>
          <w:sz w:val="24"/>
          <w:highlight w:val="none"/>
          <w:lang w:val="en-US" w:eastAsia="zh-CN"/>
        </w:rPr>
        <w:t>形式</w:t>
      </w:r>
      <w:r>
        <w:rPr>
          <w:rFonts w:asciiTheme="minorEastAsia" w:hAnsiTheme="minorEastAsia" w:eastAsiaTheme="minorEastAsia"/>
          <w:color w:val="auto"/>
          <w:sz w:val="24"/>
          <w:highlight w:val="none"/>
        </w:rPr>
        <w:t>可以是文字资料、图纸和数据</w:t>
      </w:r>
      <w:r>
        <w:rPr>
          <w:rFonts w:hint="eastAsia" w:asciiTheme="minorEastAsia" w:hAnsiTheme="minorEastAsia" w:eastAsiaTheme="minorEastAsia"/>
          <w:color w:val="auto"/>
          <w:sz w:val="24"/>
          <w:highlight w:val="none"/>
          <w:lang w:val="en-US" w:eastAsia="zh-CN"/>
        </w:rPr>
        <w:t>等。</w:t>
      </w:r>
    </w:p>
    <w:p w14:paraId="5DE6A2F9">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8.3</w:t>
      </w:r>
      <w:r>
        <w:rPr>
          <w:rFonts w:asciiTheme="minorEastAsia" w:hAnsiTheme="minorEastAsia" w:eastAsiaTheme="minorEastAsia"/>
          <w:color w:val="auto"/>
          <w:sz w:val="24"/>
          <w:highlight w:val="none"/>
        </w:rPr>
        <w:t>为保证</w:t>
      </w:r>
      <w:r>
        <w:rPr>
          <w:rFonts w:ascii="宋体" w:hAnsi="宋体" w:eastAsia="宋体"/>
          <w:color w:val="auto"/>
          <w:sz w:val="24"/>
          <w:highlight w:val="none"/>
        </w:rPr>
        <w:t>公平</w:t>
      </w:r>
      <w:r>
        <w:rPr>
          <w:rFonts w:asciiTheme="minorEastAsia" w:hAnsiTheme="minorEastAsia" w:eastAsiaTheme="minorEastAsia"/>
          <w:color w:val="auto"/>
          <w:sz w:val="24"/>
          <w:highlight w:val="none"/>
        </w:rPr>
        <w:t>公正，除非另有规定或说明，</w:t>
      </w:r>
      <w:r>
        <w:rPr>
          <w:rFonts w:hint="eastAsia" w:asciiTheme="minorEastAsia" w:hAnsiTheme="minorEastAsia" w:eastAsiaTheme="minorEastAsia"/>
          <w:color w:val="auto"/>
          <w:sz w:val="24"/>
          <w:highlight w:val="none"/>
          <w:lang w:val="en-US" w:eastAsia="zh-CN"/>
        </w:rPr>
        <w:t>供应商</w:t>
      </w:r>
      <w:r>
        <w:rPr>
          <w:rFonts w:asciiTheme="minorEastAsia" w:hAnsiTheme="minorEastAsia" w:eastAsiaTheme="minorEastAsia"/>
          <w:color w:val="auto"/>
          <w:sz w:val="24"/>
          <w:highlight w:val="none"/>
        </w:rPr>
        <w:t>对同一项目</w:t>
      </w:r>
      <w:r>
        <w:rPr>
          <w:rFonts w:hint="eastAsia" w:asciiTheme="minorEastAsia" w:hAnsiTheme="minorEastAsia" w:eastAsiaTheme="minorEastAsia"/>
          <w:color w:val="auto"/>
          <w:sz w:val="24"/>
          <w:highlight w:val="none"/>
          <w:lang w:val="en-US" w:eastAsia="zh-CN"/>
        </w:rPr>
        <w:t>磋商</w:t>
      </w:r>
      <w:r>
        <w:rPr>
          <w:rFonts w:asciiTheme="minorEastAsia" w:hAnsiTheme="minorEastAsia" w:eastAsiaTheme="minorEastAsia"/>
          <w:color w:val="auto"/>
          <w:sz w:val="24"/>
          <w:highlight w:val="none"/>
        </w:rPr>
        <w:t>时，不得同时提供</w:t>
      </w:r>
      <w:r>
        <w:rPr>
          <w:rFonts w:hint="eastAsia" w:asciiTheme="minorEastAsia" w:hAnsiTheme="minorEastAsia" w:eastAsiaTheme="minorEastAsia"/>
          <w:color w:val="auto"/>
          <w:sz w:val="24"/>
          <w:highlight w:val="none"/>
        </w:rPr>
        <w:t>备选</w:t>
      </w:r>
      <w:r>
        <w:rPr>
          <w:rFonts w:hint="eastAsia" w:asciiTheme="minorEastAsia" w:hAnsiTheme="minorEastAsia" w:eastAsiaTheme="minorEastAsia"/>
          <w:color w:val="auto"/>
          <w:sz w:val="24"/>
          <w:highlight w:val="none"/>
          <w:lang w:val="en-US" w:eastAsia="zh-CN"/>
        </w:rPr>
        <w:t>磋商</w:t>
      </w:r>
      <w:r>
        <w:rPr>
          <w:rFonts w:asciiTheme="minorEastAsia" w:hAnsiTheme="minorEastAsia" w:eastAsiaTheme="minorEastAsia"/>
          <w:color w:val="auto"/>
          <w:sz w:val="24"/>
          <w:highlight w:val="none"/>
        </w:rPr>
        <w:t>方案。</w:t>
      </w:r>
    </w:p>
    <w:p w14:paraId="082102A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报价</w:t>
      </w:r>
    </w:p>
    <w:p w14:paraId="244A1E0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的报价应当包括满足本次</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全部采购需求所应提供的</w:t>
      </w:r>
      <w:r>
        <w:rPr>
          <w:rFonts w:hint="eastAsia" w:asciiTheme="minorEastAsia" w:hAnsiTheme="minorEastAsia" w:eastAsiaTheme="minorEastAsia"/>
          <w:color w:val="auto"/>
          <w:sz w:val="24"/>
          <w:highlight w:val="none"/>
        </w:rPr>
        <w:t>货物，</w:t>
      </w:r>
      <w:r>
        <w:rPr>
          <w:rFonts w:asciiTheme="minorEastAsia" w:hAnsiTheme="minorEastAsia" w:eastAsiaTheme="minorEastAsia"/>
          <w:color w:val="auto"/>
          <w:sz w:val="24"/>
          <w:highlight w:val="none"/>
        </w:rPr>
        <w:t>以及伴随的</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和工程</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除磋商文件另有规定外，</w:t>
      </w:r>
      <w:r>
        <w:rPr>
          <w:rFonts w:hint="eastAsia" w:asciiTheme="minorEastAsia" w:hAnsiTheme="minorEastAsia" w:eastAsiaTheme="minorEastAsia"/>
          <w:color w:val="auto"/>
          <w:sz w:val="24"/>
          <w:highlight w:val="none"/>
        </w:rPr>
        <w:t>所有内容均应以人民币报价，供应商的磋商报价应遵守《中华人民共和国价格法》。</w:t>
      </w:r>
    </w:p>
    <w:p w14:paraId="21F3A06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2</w:t>
      </w:r>
      <w:r>
        <w:rPr>
          <w:rFonts w:asciiTheme="minorEastAsia" w:hAnsiTheme="minorEastAsia" w:eastAsiaTheme="minorEastAsia"/>
          <w:color w:val="auto"/>
          <w:sz w:val="24"/>
          <w:highlight w:val="none"/>
        </w:rPr>
        <w:t>除非磋商文件另有规定或经采购人同意支付的，最后报价均不得高于磋商文件（公告）列明的项目预算，否则其响应文件将被认定为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1EED7A1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报价</w:t>
      </w:r>
      <w:r>
        <w:rPr>
          <w:rFonts w:asciiTheme="minorEastAsia" w:hAnsiTheme="minorEastAsia" w:eastAsiaTheme="minorEastAsia"/>
          <w:color w:val="auto"/>
          <w:sz w:val="24"/>
          <w:highlight w:val="none"/>
        </w:rPr>
        <w:t>在合同履行过程中是固定不变的，不得以任何理由予以变更。任何包含价格调整要求的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，其</w:t>
      </w:r>
      <w:r>
        <w:rPr>
          <w:rFonts w:hint="eastAsia" w:asciiTheme="minorEastAsia" w:hAnsiTheme="minorEastAsia" w:eastAsiaTheme="minorEastAsia"/>
          <w:color w:val="auto"/>
          <w:sz w:val="24"/>
          <w:highlight w:val="none"/>
        </w:rPr>
        <w:t>响应文件将被认定为</w:t>
      </w:r>
      <w:r>
        <w:rPr>
          <w:rFonts w:hint="eastAsia"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6D907CD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9</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采购人不接受具有附加条件的报价。</w:t>
      </w:r>
    </w:p>
    <w:p w14:paraId="343E1886">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10</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磋商保证金</w:t>
      </w:r>
    </w:p>
    <w:p w14:paraId="70DA746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10</w:t>
      </w:r>
      <w:r>
        <w:rPr>
          <w:rFonts w:hint="eastAsia" w:asciiTheme="minorEastAsia" w:hAnsiTheme="minorEastAsia" w:eastAsiaTheme="minorEastAsia"/>
          <w:color w:val="auto"/>
          <w:sz w:val="24"/>
          <w:highlight w:val="none"/>
        </w:rPr>
        <w:t>.1本项目不收取磋商保证金。</w:t>
      </w:r>
    </w:p>
    <w:p w14:paraId="19C05F2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磋商有效期</w:t>
      </w:r>
    </w:p>
    <w:p w14:paraId="26B3A5B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.1磋商有效期为从响应文件提交截止之日算起的日历天数，磋商有效期详见</w:t>
      </w:r>
      <w:r>
        <w:rPr>
          <w:rFonts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w:t>
      </w:r>
    </w:p>
    <w:p w14:paraId="4F32C6C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.2在磋商有效期内，供应商的磋商保持有效，供应商不得要求撤销或修改其响应文件。磋商有效期不满足要求的响应，其响应文件将被认定为</w:t>
      </w:r>
      <w:r>
        <w:rPr>
          <w:rFonts w:asciiTheme="minorEastAsia" w:hAnsiTheme="minorEastAsia" w:eastAsiaTheme="minorEastAsia"/>
          <w:b/>
          <w:color w:val="auto"/>
          <w:sz w:val="24"/>
          <w:highlight w:val="none"/>
        </w:rPr>
        <w:t>响应无效</w:t>
      </w:r>
      <w:r>
        <w:rPr>
          <w:rFonts w:asciiTheme="minorEastAsia" w:hAnsiTheme="minorEastAsia" w:eastAsiaTheme="minorEastAsia"/>
          <w:color w:val="auto"/>
          <w:sz w:val="24"/>
          <w:highlight w:val="none"/>
        </w:rPr>
        <w:t>。</w:t>
      </w:r>
    </w:p>
    <w:p w14:paraId="1C9D799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11</w:t>
      </w:r>
      <w:r>
        <w:rPr>
          <w:rFonts w:asciiTheme="minorEastAsia" w:hAnsiTheme="minorEastAsia" w:eastAsiaTheme="minorEastAsia"/>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246AD0F7">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12</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响应文件的提交、修改与撤回</w:t>
      </w:r>
    </w:p>
    <w:p w14:paraId="2B3BE03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.1供应商应当在第一章</w:t>
      </w:r>
      <w:r>
        <w:rPr>
          <w:rFonts w:hint="eastAsia" w:asciiTheme="minorEastAsia" w:hAnsiTheme="minorEastAsia" w:eastAsiaTheme="minorEastAsia"/>
          <w:color w:val="auto"/>
          <w:sz w:val="24"/>
          <w:highlight w:val="none"/>
          <w:u w:val="none"/>
          <w:lang w:val="en-US" w:eastAsia="zh-CN"/>
        </w:rPr>
        <w:t>竞争性磋商公告</w:t>
      </w:r>
      <w:r>
        <w:rPr>
          <w:rFonts w:hint="eastAsia" w:asciiTheme="minorEastAsia" w:hAnsiTheme="minorEastAsia" w:eastAsiaTheme="minorEastAsia"/>
          <w:color w:val="auto"/>
          <w:sz w:val="24"/>
          <w:highlight w:val="none"/>
        </w:rPr>
        <w:t>规定的响应文件提交截止时间前</w:t>
      </w:r>
      <w:r>
        <w:rPr>
          <w:rFonts w:asciiTheme="minorEastAsia" w:hAnsiTheme="minorEastAsia" w:eastAsiaTheme="minorEastAsia"/>
          <w:color w:val="auto"/>
          <w:sz w:val="24"/>
          <w:highlight w:val="none"/>
        </w:rPr>
        <w:t>，将加密的</w:t>
      </w:r>
      <w:r>
        <w:rPr>
          <w:rFonts w:hint="eastAsia" w:asciiTheme="minorEastAsia" w:hAnsiTheme="minorEastAsia" w:eastAsiaTheme="minorEastAsia"/>
          <w:color w:val="auto"/>
          <w:sz w:val="24"/>
          <w:highlight w:val="none"/>
        </w:rPr>
        <w:t>响应</w:t>
      </w:r>
      <w:r>
        <w:rPr>
          <w:rFonts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rPr>
        <w:t>在电子交易系统</w:t>
      </w:r>
      <w:r>
        <w:rPr>
          <w:rFonts w:asciiTheme="minorEastAsia" w:hAnsiTheme="minorEastAsia" w:eastAsiaTheme="minorEastAsia"/>
          <w:color w:val="auto"/>
          <w:sz w:val="24"/>
          <w:highlight w:val="none"/>
        </w:rPr>
        <w:t>上传。</w:t>
      </w:r>
    </w:p>
    <w:p w14:paraId="3E71150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5BA34533">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供应商应在</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规定的解密时间前对</w:t>
      </w:r>
      <w:r>
        <w:rPr>
          <w:rFonts w:hint="eastAsia" w:asciiTheme="minorEastAsia" w:hAnsiTheme="minorEastAsia" w:eastAsiaTheme="minorEastAsia"/>
          <w:color w:val="auto"/>
          <w:sz w:val="24"/>
          <w:highlight w:val="none"/>
          <w:lang w:val="en-US" w:eastAsia="zh-CN"/>
        </w:rPr>
        <w:t>其</w:t>
      </w:r>
      <w:r>
        <w:rPr>
          <w:rFonts w:hint="eastAsia" w:asciiTheme="minorEastAsia" w:hAnsiTheme="minorEastAsia" w:eastAsiaTheme="minorEastAsia"/>
          <w:color w:val="auto"/>
          <w:sz w:val="24"/>
          <w:highlight w:val="none"/>
        </w:rPr>
        <w:t>响应文件进行解密。</w:t>
      </w:r>
      <w:r>
        <w:rPr>
          <w:rFonts w:hint="eastAsia" w:asciiTheme="minorEastAsia" w:hAnsiTheme="minorEastAsia" w:eastAsiaTheme="minorEastAsia"/>
          <w:color w:val="auto"/>
          <w:sz w:val="24"/>
          <w:highlight w:val="none"/>
          <w:lang w:val="en-US" w:eastAsia="zh-CN"/>
        </w:rPr>
        <w:t>未在规定时间内进行解密的，</w:t>
      </w:r>
      <w:r>
        <w:rPr>
          <w:rFonts w:hint="eastAsia" w:asciiTheme="minorEastAsia" w:hAnsiTheme="minorEastAsia" w:eastAsiaTheme="minorEastAsia"/>
          <w:b/>
          <w:bCs/>
          <w:color w:val="auto"/>
          <w:sz w:val="24"/>
          <w:highlight w:val="none"/>
          <w:lang w:val="en-US" w:eastAsia="zh-CN"/>
        </w:rPr>
        <w:t>响应无效。</w:t>
      </w:r>
    </w:p>
    <w:p w14:paraId="5FB3F2B7">
      <w:pPr>
        <w:spacing w:line="360" w:lineRule="auto"/>
        <w:ind w:firstLine="435"/>
        <w:rPr>
          <w:rFonts w:ascii="宋体" w:hAnsi="宋体" w:eastAsia="宋体"/>
          <w:color w:val="auto"/>
          <w:sz w:val="24"/>
          <w:highlight w:val="none"/>
        </w:rPr>
      </w:pPr>
      <w:r>
        <w:rPr>
          <w:rFonts w:hint="eastAsia" w:asciiTheme="minorEastAsia" w:hAnsiTheme="minorEastAsia" w:eastAsiaTheme="minorEastAsia"/>
          <w:color w:val="auto"/>
          <w:sz w:val="24"/>
          <w:highlight w:val="none"/>
          <w:lang w:val="en-US" w:eastAsia="zh-CN"/>
        </w:rPr>
        <w:t>12</w:t>
      </w:r>
      <w:r>
        <w:rPr>
          <w:rFonts w:hint="eastAsia" w:asciiTheme="minorEastAsia" w:hAnsiTheme="minorEastAsia" w:eastAsiaTheme="minorEastAsia"/>
          <w:color w:val="auto"/>
          <w:sz w:val="24"/>
          <w:highlight w:val="none"/>
        </w:rPr>
        <w:t>.4在响应文件提交截止时间之后，供应商不得对其响应文件做任何修改。</w:t>
      </w:r>
      <w:r>
        <w:rPr>
          <w:rFonts w:hint="eastAsia" w:ascii="宋体" w:hAnsi="宋体" w:eastAsia="宋体"/>
          <w:color w:val="auto"/>
          <w:sz w:val="24"/>
          <w:highlight w:val="none"/>
        </w:rPr>
        <w:t>但属于磋商小组在评审中发现的计算错误并进行核实的修改、按照磋商文件的变动情况和磋商小组的要求重新提交响应文件的，不在此列。</w:t>
      </w:r>
    </w:p>
    <w:p w14:paraId="3C0774FD">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13</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磋商小组</w:t>
      </w:r>
    </w:p>
    <w:p w14:paraId="2BC63EB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13</w:t>
      </w:r>
      <w:r>
        <w:rPr>
          <w:rFonts w:asciiTheme="minorEastAsia" w:hAnsiTheme="minorEastAsia" w:eastAsiaTheme="minorEastAsia"/>
          <w:color w:val="auto"/>
          <w:sz w:val="24"/>
          <w:highlight w:val="none"/>
        </w:rPr>
        <w:t>.1本项目将依法组建磋商小组，磋商小组成员由3人以上</w:t>
      </w:r>
      <w:r>
        <w:rPr>
          <w:rFonts w:hint="eastAsia" w:asciiTheme="minorEastAsia" w:hAnsiTheme="minorEastAsia" w:eastAsiaTheme="minorEastAsia"/>
          <w:color w:val="auto"/>
          <w:sz w:val="24"/>
          <w:highlight w:val="none"/>
        </w:rPr>
        <w:t>（含）</w:t>
      </w:r>
      <w:r>
        <w:rPr>
          <w:rFonts w:asciiTheme="minorEastAsia" w:hAnsiTheme="minorEastAsia" w:eastAsiaTheme="minorEastAsia"/>
          <w:color w:val="auto"/>
          <w:sz w:val="24"/>
          <w:highlight w:val="none"/>
        </w:rPr>
        <w:t>单数组成，磋商小组及其成员应当依照政府采购的有关规定履行相关职责和义务。</w:t>
      </w:r>
    </w:p>
    <w:p w14:paraId="448997B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13</w:t>
      </w:r>
      <w:r>
        <w:rPr>
          <w:rFonts w:asciiTheme="minorEastAsia" w:hAnsiTheme="minorEastAsia" w:eastAsiaTheme="minorEastAsia"/>
          <w:color w:val="auto"/>
          <w:sz w:val="24"/>
          <w:highlight w:val="none"/>
        </w:rPr>
        <w:t>.2磋商小组依法对响应文件进行评审，并根据磋商文件规定的程序、评定成交的标准等事项与实质性响应磋商文件要求的供应商进行磋商。</w:t>
      </w:r>
    </w:p>
    <w:p w14:paraId="3F42C0C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13</w:t>
      </w:r>
      <w:r>
        <w:rPr>
          <w:rFonts w:asciiTheme="minorEastAsia" w:hAnsiTheme="minorEastAsia" w:eastAsiaTheme="minorEastAsia"/>
          <w:color w:val="auto"/>
          <w:sz w:val="24"/>
          <w:highlight w:val="none"/>
        </w:rPr>
        <w:t>.3磋商小组应当从质量和服务均能满足磋商文件实质性响应要求的供应商中，按照评审方法和标准</w:t>
      </w:r>
      <w:r>
        <w:rPr>
          <w:rFonts w:hint="eastAsia" w:asciiTheme="minorEastAsia" w:hAnsiTheme="minorEastAsia" w:eastAsiaTheme="minorEastAsia"/>
          <w:color w:val="auto"/>
          <w:sz w:val="24"/>
          <w:highlight w:val="none"/>
        </w:rPr>
        <w:t>推荐</w:t>
      </w:r>
      <w:r>
        <w:rPr>
          <w:rFonts w:asciiTheme="minorEastAsia" w:hAnsiTheme="minorEastAsia" w:eastAsiaTheme="minorEastAsia"/>
          <w:color w:val="auto"/>
          <w:sz w:val="24"/>
          <w:highlight w:val="none"/>
        </w:rPr>
        <w:t>成交候选供应商，并编写</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报告。</w:t>
      </w:r>
    </w:p>
    <w:p w14:paraId="5BE94E0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14</w:t>
      </w:r>
      <w:r>
        <w:rPr>
          <w:rFonts w:asciiTheme="minorEastAsia" w:hAnsiTheme="minorEastAsia" w:eastAsiaTheme="minorEastAsia"/>
          <w:b/>
          <w:color w:val="auto"/>
          <w:sz w:val="24"/>
          <w:highlight w:val="none"/>
        </w:rPr>
        <w:t>.响应文件的评审与磋商</w:t>
      </w:r>
    </w:p>
    <w:p w14:paraId="6D2B044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1采购人和采购代理机构将在</w:t>
      </w:r>
      <w:r>
        <w:rPr>
          <w:rFonts w:hint="eastAsia" w:asciiTheme="minorEastAsia" w:hAnsiTheme="minorEastAsia" w:eastAsiaTheme="minorEastAsia"/>
          <w:color w:val="auto"/>
          <w:sz w:val="24"/>
          <w:highlight w:val="none"/>
          <w:u w:val="none"/>
          <w:lang w:val="en-US" w:eastAsia="zh-CN"/>
        </w:rPr>
        <w:t>竞争性磋商公告</w:t>
      </w:r>
      <w:r>
        <w:rPr>
          <w:rFonts w:hint="eastAsia" w:asciiTheme="minorEastAsia" w:hAnsiTheme="minorEastAsia" w:eastAsiaTheme="minorEastAsia"/>
          <w:color w:val="auto"/>
          <w:sz w:val="24"/>
          <w:highlight w:val="none"/>
        </w:rPr>
        <w:t>规定的时间和地点组织磋商。</w:t>
      </w:r>
    </w:p>
    <w:p w14:paraId="56B611A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.2竞争性磋商活动采用综合评分法评审。</w:t>
      </w:r>
    </w:p>
    <w:p w14:paraId="2062B1A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综合评分法，是指响应文件满足磋商文件全部实质性要求且按评审因素的量化指标评审得分最高的供应商为成交候选供应商的评审方法。</w:t>
      </w:r>
    </w:p>
    <w:p w14:paraId="51AB02C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.3磋商小组将按照磋商文件规定的评审方法和标准对供应商独立进行评审。评审程序如下：</w:t>
      </w:r>
    </w:p>
    <w:p w14:paraId="692364C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.3.1</w:t>
      </w:r>
      <w:r>
        <w:rPr>
          <w:rFonts w:hint="eastAsia" w:asciiTheme="minorEastAsia" w:hAnsiTheme="minorEastAsia" w:eastAsiaTheme="minorEastAsia"/>
          <w:b/>
          <w:color w:val="auto"/>
          <w:sz w:val="24"/>
          <w:highlight w:val="none"/>
        </w:rPr>
        <w:t>初审</w:t>
      </w:r>
      <w:r>
        <w:rPr>
          <w:rFonts w:hint="eastAsia" w:asciiTheme="minorEastAsia" w:hAnsiTheme="minorEastAsia" w:eastAsiaTheme="minorEastAsia"/>
          <w:color w:val="auto"/>
          <w:sz w:val="24"/>
          <w:highlight w:val="none"/>
        </w:rPr>
        <w:t>。磋商小组对供应商必须满足和实质性响应的内容进行评审，供应商未实质性响应磋商文件要求导致响应无效的，磋商小组将以书面询标的方式告知有关供应商。</w:t>
      </w:r>
    </w:p>
    <w:p w14:paraId="5E59AED6">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3D1FBFE2">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311194BA">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11E81BF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.3.2</w:t>
      </w:r>
      <w:r>
        <w:rPr>
          <w:rFonts w:hint="eastAsia" w:asciiTheme="minorEastAsia" w:hAnsiTheme="minorEastAsia" w:eastAsiaTheme="minorEastAsia"/>
          <w:b/>
          <w:color w:val="auto"/>
          <w:sz w:val="24"/>
          <w:highlight w:val="none"/>
        </w:rPr>
        <w:t>磋商</w:t>
      </w:r>
      <w:r>
        <w:rPr>
          <w:rFonts w:hint="eastAsia" w:asciiTheme="minorEastAsia" w:hAnsiTheme="minorEastAsia" w:eastAsiaTheme="minorEastAsia"/>
          <w:color w:val="auto"/>
          <w:sz w:val="24"/>
          <w:highlight w:val="none"/>
        </w:rPr>
        <w:t>。初审合格后，磋商小组将按网上加密电子响应文件提交顺序集中与单一供应商分别进行磋商，并给予所有参加磋商的供应商平等的磋商机会。</w:t>
      </w:r>
    </w:p>
    <w:p w14:paraId="3AE52A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.3.3</w:t>
      </w:r>
      <w:r>
        <w:rPr>
          <w:rFonts w:asciiTheme="minorEastAsia" w:hAnsiTheme="minorEastAsia" w:eastAsiaTheme="minorEastAsia"/>
          <w:b/>
          <w:color w:val="auto"/>
          <w:sz w:val="24"/>
          <w:highlight w:val="none"/>
        </w:rPr>
        <w:t>报价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磋商结束后，磋商小组应当要求所有</w:t>
      </w:r>
      <w:r>
        <w:rPr>
          <w:rFonts w:hint="eastAsia" w:asciiTheme="minorEastAsia" w:hAnsiTheme="minorEastAsia" w:eastAsiaTheme="minorEastAsia"/>
          <w:color w:val="auto"/>
          <w:sz w:val="24"/>
          <w:highlight w:val="none"/>
        </w:rPr>
        <w:t>实质性响应</w:t>
      </w:r>
      <w:r>
        <w:rPr>
          <w:rFonts w:asciiTheme="minorEastAsia" w:hAnsiTheme="minorEastAsia" w:eastAsiaTheme="minorEastAsia"/>
          <w:color w:val="auto"/>
          <w:sz w:val="24"/>
          <w:highlight w:val="none"/>
        </w:rPr>
        <w:t>的供应商在规定时间内提交最后报价</w:t>
      </w:r>
      <w:r>
        <w:rPr>
          <w:rFonts w:hint="eastAsia" w:ascii="宋体" w:hAnsi="宋体" w:eastAsia="宋体"/>
          <w:color w:val="auto"/>
          <w:sz w:val="24"/>
          <w:highlight w:val="none"/>
        </w:rPr>
        <w:t>。</w:t>
      </w:r>
    </w:p>
    <w:p w14:paraId="41AE2BF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.3.4</w:t>
      </w:r>
      <w:r>
        <w:rPr>
          <w:rFonts w:hint="eastAsia" w:asciiTheme="minorEastAsia" w:hAnsiTheme="minorEastAsia" w:eastAsiaTheme="minorEastAsia"/>
          <w:b/>
          <w:color w:val="auto"/>
          <w:sz w:val="24"/>
          <w:highlight w:val="none"/>
        </w:rPr>
        <w:t>综合评分</w:t>
      </w:r>
      <w:r>
        <w:rPr>
          <w:rFonts w:hint="eastAsia" w:asciiTheme="minorEastAsia" w:hAnsiTheme="minorEastAsia" w:eastAsiaTheme="minorEastAsia"/>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5DDB2B9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.4相关说明。</w:t>
      </w:r>
    </w:p>
    <w:p w14:paraId="1BF7DBC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 xml:space="preserve">.4.1为保证磋商活动顺利进行，供应商可派相关技术人员进行网上答疑； </w:t>
      </w:r>
    </w:p>
    <w:p w14:paraId="1AFD2F2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.4.2磋</w:t>
      </w:r>
      <w:r>
        <w:rPr>
          <w:rFonts w:asciiTheme="minorEastAsia" w:hAnsiTheme="minorEastAsia" w:eastAsiaTheme="minorEastAsia"/>
          <w:color w:val="auto"/>
          <w:sz w:val="24"/>
          <w:highlight w:val="none"/>
        </w:rPr>
        <w:t>商小组根据与</w:t>
      </w:r>
      <w:r>
        <w:rPr>
          <w:rFonts w:hint="eastAsia" w:asciiTheme="minorEastAsia" w:hAnsiTheme="minorEastAsia" w:eastAsiaTheme="minorEastAsia"/>
          <w:color w:val="auto"/>
          <w:sz w:val="24"/>
          <w:highlight w:val="none"/>
        </w:rPr>
        <w:t>供应商</w:t>
      </w:r>
      <w:r>
        <w:rPr>
          <w:rFonts w:asciiTheme="minorEastAsia" w:hAnsiTheme="minorEastAsia" w:eastAsiaTheme="minorEastAsia"/>
          <w:color w:val="auto"/>
          <w:sz w:val="24"/>
          <w:highlight w:val="none"/>
        </w:rPr>
        <w:t>磋商情况可能实质性变动</w:t>
      </w:r>
      <w:r>
        <w:rPr>
          <w:rFonts w:hint="eastAsia" w:asciiTheme="minorEastAsia" w:hAnsiTheme="minorEastAsia" w:eastAsiaTheme="minorEastAsia"/>
          <w:color w:val="auto"/>
          <w:sz w:val="24"/>
          <w:highlight w:val="none"/>
        </w:rPr>
        <w:t>磋商文件</w:t>
      </w:r>
      <w:r>
        <w:rPr>
          <w:rFonts w:asciiTheme="minorEastAsia" w:hAnsiTheme="minorEastAsia" w:eastAsiaTheme="minorEastAsia"/>
          <w:color w:val="auto"/>
          <w:sz w:val="24"/>
          <w:highlight w:val="none"/>
        </w:rPr>
        <w:t>的内容，包括采购需求中的技术、服务要求以及合同草案条款。磋商文件有实质性变动的，</w:t>
      </w:r>
      <w:r>
        <w:rPr>
          <w:rFonts w:hint="eastAsia" w:asciiTheme="minorEastAsia" w:hAnsiTheme="minorEastAsia" w:eastAsiaTheme="minorEastAsia"/>
          <w:color w:val="auto"/>
          <w:sz w:val="24"/>
          <w:highlight w:val="none"/>
        </w:rPr>
        <w:t>经采购人代表确认作为磋商文件的有效组成部分，</w:t>
      </w:r>
      <w:r>
        <w:rPr>
          <w:rFonts w:asciiTheme="minorEastAsia" w:hAnsiTheme="minorEastAsia" w:eastAsiaTheme="minorEastAsia"/>
          <w:color w:val="auto"/>
          <w:sz w:val="24"/>
          <w:highlight w:val="none"/>
        </w:rPr>
        <w:t>磋商小组</w:t>
      </w:r>
      <w:r>
        <w:rPr>
          <w:rFonts w:hint="eastAsia" w:asciiTheme="minorEastAsia" w:hAnsiTheme="minorEastAsia" w:eastAsiaTheme="minorEastAsia"/>
          <w:color w:val="auto"/>
          <w:sz w:val="24"/>
          <w:highlight w:val="none"/>
        </w:rPr>
        <w:t>将</w:t>
      </w:r>
      <w:r>
        <w:rPr>
          <w:rFonts w:asciiTheme="minorEastAsia" w:hAnsiTheme="minorEastAsia" w:eastAsiaTheme="minorEastAsia"/>
          <w:color w:val="auto"/>
          <w:sz w:val="24"/>
          <w:highlight w:val="none"/>
        </w:rPr>
        <w:t>以书面形式通知所有参加磋商的供应商。</w:t>
      </w:r>
    </w:p>
    <w:p w14:paraId="22A1D84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color w:val="auto"/>
          <w:sz w:val="24"/>
          <w:highlight w:val="none"/>
        </w:rPr>
        <w:t>响应无效</w:t>
      </w:r>
      <w:r>
        <w:rPr>
          <w:rFonts w:hint="eastAsia" w:asciiTheme="minorEastAsia" w:hAnsiTheme="minorEastAsia" w:eastAsiaTheme="minorEastAsia"/>
          <w:color w:val="auto"/>
          <w:sz w:val="24"/>
          <w:highlight w:val="none"/>
        </w:rPr>
        <w:t>。</w:t>
      </w:r>
    </w:p>
    <w:p w14:paraId="69945D5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.4.4</w:t>
      </w:r>
      <w:r>
        <w:rPr>
          <w:rFonts w:asciiTheme="minorEastAsia" w:hAnsiTheme="minorEastAsia" w:eastAsiaTheme="minorEastAsia"/>
          <w:color w:val="auto"/>
          <w:sz w:val="24"/>
          <w:highlight w:val="none"/>
        </w:rPr>
        <w:t>无论何种原因，即使供应商</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时携带了证书材料的原件，但响应文件中未提供与之内容完全一致的</w:t>
      </w:r>
      <w:r>
        <w:rPr>
          <w:rFonts w:hint="eastAsia" w:asciiTheme="minorEastAsia" w:hAnsiTheme="minorEastAsia" w:eastAsiaTheme="minorEastAsia"/>
          <w:color w:val="auto"/>
          <w:sz w:val="24"/>
          <w:highlight w:val="none"/>
        </w:rPr>
        <w:t>扫描件</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小组可以视同其未提供。</w:t>
      </w:r>
    </w:p>
    <w:p w14:paraId="64C78BD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14</w:t>
      </w:r>
      <w:r>
        <w:rPr>
          <w:rFonts w:hint="eastAsia" w:asciiTheme="minorEastAsia" w:hAnsiTheme="minorEastAsia" w:eastAsiaTheme="minorEastAsia"/>
          <w:color w:val="auto"/>
          <w:sz w:val="24"/>
          <w:highlight w:val="none"/>
        </w:rPr>
        <w:t>.4.5磋商</w:t>
      </w:r>
      <w:r>
        <w:rPr>
          <w:rFonts w:asciiTheme="minorEastAsia" w:hAnsiTheme="minorEastAsia" w:eastAsiaTheme="minorEastAsia"/>
          <w:color w:val="auto"/>
          <w:sz w:val="24"/>
          <w:highlight w:val="none"/>
        </w:rPr>
        <w:t>小组决定响应文件的响应性及符合性只根据响应文件本身的内容，而不寻求其他外部证据。</w:t>
      </w:r>
    </w:p>
    <w:p w14:paraId="318E46E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4</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供应商</w:t>
      </w:r>
      <w:r>
        <w:rPr>
          <w:rFonts w:hint="eastAsia" w:asciiTheme="minorEastAsia" w:hAnsiTheme="minorEastAsia" w:eastAsiaTheme="minorEastAsia"/>
          <w:color w:val="auto"/>
          <w:sz w:val="24"/>
          <w:highlight w:val="none"/>
        </w:rPr>
        <w:t>授权</w:t>
      </w:r>
      <w:r>
        <w:rPr>
          <w:rFonts w:asciiTheme="minorEastAsia" w:hAnsiTheme="minorEastAsia" w:eastAsiaTheme="minorEastAsia"/>
          <w:color w:val="auto"/>
          <w:sz w:val="24"/>
          <w:highlight w:val="none"/>
        </w:rPr>
        <w:t>代表对</w:t>
      </w:r>
      <w:r>
        <w:rPr>
          <w:rFonts w:hint="eastAsia" w:asciiTheme="minorEastAsia" w:hAnsiTheme="minorEastAsia" w:eastAsiaTheme="minorEastAsia"/>
          <w:color w:val="auto"/>
          <w:sz w:val="24"/>
          <w:highlight w:val="none"/>
        </w:rPr>
        <w:t>磋商过程</w:t>
      </w:r>
      <w:r>
        <w:rPr>
          <w:rFonts w:asciiTheme="minorEastAsia" w:hAnsiTheme="minorEastAsia" w:eastAsiaTheme="minorEastAsia"/>
          <w:color w:val="auto"/>
          <w:sz w:val="24"/>
          <w:highlight w:val="none"/>
        </w:rPr>
        <w:t>有疑义，以及认为采购人、采购代理机构相关工作人员有需要回避的情形的，应当场提出询问或者回避申请</w:t>
      </w:r>
      <w:r>
        <w:rPr>
          <w:rFonts w:hint="eastAsia" w:asciiTheme="minorEastAsia" w:hAnsiTheme="minorEastAsia" w:eastAsiaTheme="minorEastAsia"/>
          <w:color w:val="auto"/>
          <w:sz w:val="24"/>
          <w:highlight w:val="none"/>
        </w:rPr>
        <w:t>，并说明理由。</w:t>
      </w:r>
      <w:r>
        <w:rPr>
          <w:rFonts w:asciiTheme="minorEastAsia" w:hAnsiTheme="minorEastAsia" w:eastAsiaTheme="minorEastAsia"/>
          <w:color w:val="auto"/>
          <w:sz w:val="24"/>
          <w:highlight w:val="none"/>
        </w:rPr>
        <w:t xml:space="preserve"> </w:t>
      </w:r>
    </w:p>
    <w:p w14:paraId="1D6F56A2">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15</w:t>
      </w:r>
      <w:r>
        <w:rPr>
          <w:rFonts w:asciiTheme="minorEastAsia" w:hAnsiTheme="minorEastAsia" w:eastAsiaTheme="minorEastAsia"/>
          <w:b/>
          <w:color w:val="auto"/>
          <w:sz w:val="24"/>
          <w:highlight w:val="none"/>
        </w:rPr>
        <w:t>.终止竞争性磋商</w:t>
      </w:r>
    </w:p>
    <w:p w14:paraId="3A24D557">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15</w:t>
      </w:r>
      <w:r>
        <w:rPr>
          <w:rFonts w:hint="eastAsia" w:asciiTheme="minorEastAsia" w:hAnsiTheme="minorEastAsia" w:eastAsiaTheme="minorEastAsia"/>
          <w:color w:val="auto"/>
          <w:sz w:val="24"/>
          <w:highlight w:val="none"/>
        </w:rPr>
        <w:t>.1出现下列情况之一时，采购人和采购代理机构有权宣布终止竞争性磋商采购，并将理由通知所有供应商：</w:t>
      </w:r>
    </w:p>
    <w:p w14:paraId="5608420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（1）有效供应商数量不足，导致本次磋商缺乏竞争的；</w:t>
      </w:r>
    </w:p>
    <w:p w14:paraId="0DB0E5F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（2）出现影响采购公正的违法、违规行为的；</w:t>
      </w:r>
    </w:p>
    <w:p w14:paraId="44B237B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（3）因重大变故，采购任务取消的；</w:t>
      </w:r>
    </w:p>
    <w:p w14:paraId="695F71EA">
      <w:pPr>
        <w:spacing w:line="360" w:lineRule="auto"/>
        <w:ind w:firstLine="437"/>
        <w:outlineLvl w:val="2"/>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（4）政府采购法律法规规定的其他情形。</w:t>
      </w:r>
    </w:p>
    <w:p w14:paraId="6CAD13B8">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16</w:t>
      </w:r>
      <w:r>
        <w:rPr>
          <w:rFonts w:asciiTheme="minorEastAsia" w:hAnsiTheme="minorEastAsia" w:eastAsiaTheme="minorEastAsia"/>
          <w:b/>
          <w:color w:val="auto"/>
          <w:sz w:val="24"/>
          <w:highlight w:val="none"/>
        </w:rPr>
        <w:t>.响应文件的澄清、说明或</w:t>
      </w:r>
      <w:r>
        <w:rPr>
          <w:rFonts w:hint="eastAsia" w:asciiTheme="minorEastAsia" w:hAnsiTheme="minorEastAsia" w:eastAsiaTheme="minorEastAsia"/>
          <w:b/>
          <w:color w:val="auto"/>
          <w:sz w:val="24"/>
          <w:highlight w:val="none"/>
        </w:rPr>
        <w:t>更正</w:t>
      </w:r>
    </w:p>
    <w:p w14:paraId="7848BEAB">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8E25A1B">
      <w:pPr>
        <w:spacing w:line="360" w:lineRule="auto"/>
        <w:ind w:firstLine="470" w:firstLineChars="196"/>
        <w:rPr>
          <w:rFonts w:ascii="宋体" w:hAnsi="宋体" w:eastAsia="宋体"/>
          <w:color w:val="auto"/>
          <w:sz w:val="24"/>
          <w:highlight w:val="none"/>
        </w:rPr>
      </w:pPr>
      <w:r>
        <w:rPr>
          <w:rFonts w:hint="eastAsia" w:ascii="宋体" w:hAnsi="宋体" w:eastAsia="宋体"/>
          <w:color w:val="auto"/>
          <w:sz w:val="24"/>
          <w:highlight w:val="none"/>
          <w:lang w:val="en-US" w:eastAsia="zh-CN"/>
        </w:rPr>
        <w:t>16</w:t>
      </w:r>
      <w:r>
        <w:rPr>
          <w:rFonts w:hint="eastAsia" w:ascii="宋体" w:hAnsi="宋体" w:eastAsia="宋体"/>
          <w:color w:val="auto"/>
          <w:sz w:val="24"/>
          <w:highlight w:val="none"/>
        </w:rPr>
        <w:t>.2磋商小组要求供应商澄清、说明或者更正响应文件应当以书面形式（询标）作出。供应商的澄清、说明或者更正应当由法定代表人或其授权代表签字或者加盖公章</w:t>
      </w:r>
      <w:r>
        <w:rPr>
          <w:rFonts w:hint="eastAsia" w:ascii="宋体" w:hAnsi="宋体" w:eastAsia="宋体"/>
          <w:color w:val="auto"/>
          <w:sz w:val="24"/>
          <w:highlight w:val="none"/>
          <w:lang w:eastAsia="zh-CN"/>
        </w:rPr>
        <w:t>（</w:t>
      </w:r>
      <w:r>
        <w:rPr>
          <w:rFonts w:hint="eastAsia" w:ascii="宋体" w:hAnsi="宋体" w:eastAsia="宋体"/>
          <w:color w:val="auto"/>
          <w:sz w:val="24"/>
          <w:highlight w:val="none"/>
          <w:lang w:val="en-US" w:eastAsia="zh-CN"/>
        </w:rPr>
        <w:t>电子签章</w:t>
      </w:r>
      <w:r>
        <w:rPr>
          <w:rFonts w:hint="eastAsia" w:ascii="宋体" w:hAnsi="宋体" w:eastAsia="宋体"/>
          <w:color w:val="auto"/>
          <w:sz w:val="24"/>
          <w:highlight w:val="none"/>
          <w:lang w:eastAsia="zh-CN"/>
        </w:rPr>
        <w:t>）</w:t>
      </w:r>
      <w:r>
        <w:rPr>
          <w:rFonts w:hint="eastAsia" w:ascii="宋体" w:hAnsi="宋体" w:eastAsia="宋体"/>
          <w:color w:val="auto"/>
          <w:sz w:val="24"/>
          <w:highlight w:val="none"/>
        </w:rPr>
        <w:t>。</w:t>
      </w:r>
    </w:p>
    <w:p w14:paraId="752CE918">
      <w:pPr>
        <w:spacing w:line="360" w:lineRule="auto"/>
        <w:ind w:firstLine="435"/>
        <w:rPr>
          <w:rFonts w:hint="eastAsia" w:ascii="宋体" w:hAnsi="宋体" w:eastAsia="宋体"/>
          <w:b/>
          <w:color w:val="auto"/>
          <w:sz w:val="24"/>
          <w:highlight w:val="none"/>
        </w:rPr>
      </w:pPr>
      <w:r>
        <w:rPr>
          <w:rFonts w:hint="eastAsia" w:ascii="宋体" w:hAnsi="宋体" w:eastAsia="宋体"/>
          <w:b/>
          <w:color w:val="auto"/>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b/>
          <w:bCs/>
          <w:color w:val="auto"/>
          <w:sz w:val="24"/>
          <w:highlight w:val="none"/>
        </w:rPr>
        <w:t>、没有及时登录系统等情形</w:t>
      </w:r>
      <w:r>
        <w:rPr>
          <w:rFonts w:hint="eastAsia" w:ascii="宋体" w:hAnsi="宋体" w:eastAsia="宋体"/>
          <w:b/>
          <w:color w:val="auto"/>
          <w:sz w:val="24"/>
          <w:highlight w:val="none"/>
        </w:rPr>
        <w:t>而无法接受磋商小组询标的，供应商自行承担相关风险。</w:t>
      </w:r>
    </w:p>
    <w:p w14:paraId="77E38277">
      <w:pPr>
        <w:spacing w:line="360" w:lineRule="auto"/>
        <w:ind w:firstLine="435"/>
        <w:rPr>
          <w:rFonts w:ascii="宋体" w:hAnsi="宋体" w:eastAsia="宋体"/>
          <w:color w:val="auto"/>
          <w:sz w:val="24"/>
          <w:highlight w:val="none"/>
        </w:rPr>
      </w:pPr>
      <w:r>
        <w:rPr>
          <w:rFonts w:hint="eastAsia" w:ascii="宋体" w:hAnsi="宋体" w:eastAsia="宋体"/>
          <w:b/>
          <w:color w:val="auto"/>
          <w:sz w:val="24"/>
          <w:highlight w:val="none"/>
        </w:rPr>
        <w:t>本项目采用远程开标，具体操作方法详见服务指南&gt;交易须知&gt;开标大厅远程解密、质疑(异议)及回复以及评标过程中询标流程操作手册。</w:t>
      </w:r>
    </w:p>
    <w:p w14:paraId="5054C32C">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17</w:t>
      </w:r>
      <w:r>
        <w:rPr>
          <w:rFonts w:asciiTheme="minorEastAsia" w:hAnsiTheme="minorEastAsia" w:eastAsiaTheme="minorEastAsia"/>
          <w:b/>
          <w:color w:val="auto"/>
          <w:sz w:val="24"/>
          <w:highlight w:val="none"/>
        </w:rPr>
        <w:t>.最后报价</w:t>
      </w:r>
    </w:p>
    <w:p w14:paraId="216F9C39">
      <w:pPr>
        <w:spacing w:line="520" w:lineRule="exact"/>
        <w:ind w:firstLine="435"/>
        <w:rPr>
          <w:rFonts w:hint="eastAsia" w:ascii="宋体" w:hAnsi="宋体" w:eastAsia="宋体" w:cs="宋体"/>
          <w:color w:val="auto"/>
          <w:kern w:val="0"/>
          <w:sz w:val="24"/>
          <w:szCs w:val="20"/>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w:t>
      </w:r>
      <w:r>
        <w:rPr>
          <w:rFonts w:asciiTheme="minorEastAsia" w:hAnsiTheme="minorEastAsia" w:eastAsiaTheme="minorEastAsia"/>
          <w:color w:val="auto"/>
          <w:sz w:val="24"/>
          <w:highlight w:val="none"/>
        </w:rPr>
        <w:t>磋商并不限定只进行二轮报价，如果磋商小组认为有必要，可以要求供应商进行多轮报价。</w:t>
      </w:r>
      <w:r>
        <w:rPr>
          <w:rFonts w:hint="eastAsia" w:ascii="宋体" w:hAnsi="宋体" w:eastAsia="宋体" w:cs="宋体"/>
          <w:color w:val="auto"/>
          <w:kern w:val="0"/>
          <w:sz w:val="24"/>
          <w:szCs w:val="20"/>
          <w:highlight w:val="none"/>
        </w:rPr>
        <w:t>（本项目约定为两次报价）</w:t>
      </w:r>
    </w:p>
    <w:p w14:paraId="5F3F32B0">
      <w:pPr>
        <w:spacing w:line="360" w:lineRule="auto"/>
        <w:ind w:firstLine="435"/>
        <w:rPr>
          <w:rFonts w:asciiTheme="minorEastAsia" w:hAnsiTheme="minorEastAsia" w:eastAsiaTheme="minorEastAsia"/>
          <w:color w:val="auto"/>
          <w:sz w:val="24"/>
          <w:highlight w:val="none"/>
        </w:rPr>
      </w:pPr>
      <w:r>
        <w:rPr>
          <w:rFonts w:hint="eastAsia" w:ascii="宋体" w:hAnsi="宋体" w:eastAsia="宋体" w:cs="宋体"/>
          <w:b/>
          <w:color w:val="auto"/>
          <w:kern w:val="0"/>
          <w:sz w:val="24"/>
          <w:szCs w:val="20"/>
          <w:highlight w:val="none"/>
        </w:rPr>
        <w:t>本次磋商实行两次报价。第一次报价为供应商在响应文件中填报的报价，第二次报价在响应文件通过评审后，由磋商小组通过评标系统以询标方式，向响应文件评审有效的各供应商进行询标，各供应商应在评标系统询标规定的时间内，通过“评标澄清回复”进行二次报价。各供应商应及时查看系统质询问题并及时进行二次报价（须签字盖章），第二次报价即为最后报价，若供应商未在系统询标规定的时间内进行二次报价（最后报价）或二次报价被磋商小组认为不符合要求的，磋商小组默认其响应文件中填报的价格为供应商的最后报价，磋商价格分以供应商的最后报价为准，即满足磋商文件要求且最后报价最低的供应商的价格为磋商基准价，其价格分为满分。二次报价（最后报价）不得高于最高限价，否则取消其磋商资格。望各供应商务必全程在线，及时进行回复，否则，因此给其造成相关后果，自行承担。</w:t>
      </w:r>
    </w:p>
    <w:p w14:paraId="4C693CE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在磋商内容不做实质性变更或重大调整的前提下，供应商下轮报价不得高于上一轮报价</w:t>
      </w:r>
      <w:r>
        <w:rPr>
          <w:rFonts w:hint="eastAsia" w:asciiTheme="minorEastAsia" w:hAnsiTheme="minorEastAsia" w:eastAsiaTheme="minorEastAsia"/>
          <w:color w:val="auto"/>
          <w:sz w:val="24"/>
          <w:highlight w:val="none"/>
        </w:rPr>
        <w:t>。</w:t>
      </w:r>
    </w:p>
    <w:p w14:paraId="3E54B4B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.3</w:t>
      </w:r>
      <w:r>
        <w:rPr>
          <w:rFonts w:asciiTheme="minorEastAsia" w:hAnsiTheme="minorEastAsia" w:eastAsiaTheme="minorEastAsia"/>
          <w:color w:val="auto"/>
          <w:sz w:val="24"/>
          <w:highlight w:val="none"/>
        </w:rPr>
        <w:t>最后报价是供应商响应文件的有效组成部分，最后报价也是签订合同的依据。</w:t>
      </w:r>
    </w:p>
    <w:p w14:paraId="12245E87">
      <w:pPr>
        <w:spacing w:line="360" w:lineRule="auto"/>
        <w:ind w:firstLine="435"/>
        <w:rPr>
          <w:rFonts w:asciiTheme="majorEastAsia" w:hAnsiTheme="majorEastAsia" w:eastAsiaTheme="majorEastAsia"/>
          <w:color w:val="auto"/>
          <w:sz w:val="24"/>
          <w:highlight w:val="none"/>
        </w:rPr>
      </w:pPr>
      <w:bookmarkStart w:id="17" w:name="_Hlk60607655"/>
      <w:bookmarkStart w:id="18" w:name="_Hlk60607673"/>
      <w:r>
        <w:rPr>
          <w:rFonts w:hint="eastAsia" w:asciiTheme="majorEastAsia" w:hAnsiTheme="majorEastAsia" w:eastAsiaTheme="majorEastAsia"/>
          <w:color w:val="auto"/>
          <w:sz w:val="24"/>
          <w:highlight w:val="none"/>
          <w:lang w:val="en-US" w:eastAsia="zh-CN"/>
        </w:rPr>
        <w:t>17</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4</w:t>
      </w:r>
      <w:r>
        <w:rPr>
          <w:rFonts w:hint="eastAsia" w:asciiTheme="majorEastAsia" w:hAnsiTheme="majorEastAsia" w:eastAsiaTheme="majorEastAsia"/>
          <w:color w:val="auto"/>
          <w:sz w:val="24"/>
          <w:highlight w:val="none"/>
        </w:rPr>
        <w:t>根据《政府采购促进中小企业发展管理办法》（财库〔</w:t>
      </w:r>
      <w:r>
        <w:rPr>
          <w:rFonts w:asciiTheme="majorEastAsia" w:hAnsiTheme="majorEastAsia" w:eastAsiaTheme="majorEastAsia"/>
          <w:color w:val="auto"/>
          <w:sz w:val="24"/>
          <w:highlight w:val="none"/>
        </w:rPr>
        <w:t>2020〕46号</w:t>
      </w:r>
      <w:r>
        <w:rPr>
          <w:rFonts w:hint="eastAsia" w:asciiTheme="majorEastAsia" w:hAnsiTheme="majorEastAsia" w:eastAsiaTheme="majorEastAsia"/>
          <w:color w:val="auto"/>
          <w:sz w:val="24"/>
          <w:highlight w:val="none"/>
        </w:rPr>
        <w:t>）、《三部门联合发布关于促进残疾人就业政府采购政策的通知》（财库〔2017〕141号）和《</w:t>
      </w:r>
      <w:r>
        <w:rPr>
          <w:rFonts w:asciiTheme="majorEastAsia" w:hAnsiTheme="majorEastAsia" w:eastAsiaTheme="majorEastAsia"/>
          <w:color w:val="auto"/>
          <w:sz w:val="24"/>
          <w:highlight w:val="none"/>
        </w:rPr>
        <w:t>财政部 司法部关于政府采购支持监狱企业发展有关问题的通知</w:t>
      </w:r>
      <w:r>
        <w:rPr>
          <w:rFonts w:hint="eastAsia" w:asciiTheme="majorEastAsia" w:hAnsiTheme="majorEastAsia" w:eastAsiaTheme="majorEastAsia"/>
          <w:color w:val="auto"/>
          <w:sz w:val="24"/>
          <w:highlight w:val="none"/>
        </w:rPr>
        <w:t>》（财库〔2014〕68号）的规定，对满足价格扣除条件且在响应文件中提交了</w:t>
      </w:r>
      <w:r>
        <w:rPr>
          <w:rFonts w:asciiTheme="majorEastAsia" w:hAnsiTheme="majorEastAsia" w:eastAsiaTheme="majorEastAsia"/>
          <w:color w:val="auto"/>
          <w:sz w:val="24"/>
          <w:highlight w:val="none"/>
        </w:rPr>
        <w:t>《中小企业声明函》</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《残疾人福利性单位声明函》</w:t>
      </w:r>
      <w:r>
        <w:rPr>
          <w:rFonts w:hint="eastAsia" w:asciiTheme="majorEastAsia" w:hAnsiTheme="majorEastAsia" w:eastAsiaTheme="majorEastAsia"/>
          <w:color w:val="auto"/>
          <w:sz w:val="24"/>
          <w:highlight w:val="none"/>
        </w:rPr>
        <w:t>或省级以上监狱管理局、戒毒管理局（含新疆生产建设兵团）出具的属于监狱企业的证明文件的供应商，其最后报价按照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中规定的标准扣除后的价格参与评审。对于同时属于小微企业、监狱企业或残疾人福利性单位的，不重复进行最后报价扣除。</w:t>
      </w:r>
    </w:p>
    <w:p w14:paraId="018E02C9">
      <w:pPr>
        <w:spacing w:line="360" w:lineRule="auto"/>
        <w:ind w:firstLine="435"/>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color w:val="auto"/>
          <w:sz w:val="24"/>
          <w:highlight w:val="none"/>
        </w:rPr>
        <w:t>30%以上的，可给予联合体或者大中型企业的</w:t>
      </w:r>
      <w:r>
        <w:rPr>
          <w:rFonts w:hint="eastAsia" w:asciiTheme="majorEastAsia" w:hAnsiTheme="majorEastAsia" w:eastAsiaTheme="majorEastAsia"/>
          <w:color w:val="auto"/>
          <w:sz w:val="24"/>
          <w:highlight w:val="none"/>
        </w:rPr>
        <w:t>最后报价按照</w:t>
      </w:r>
      <w:r>
        <w:rPr>
          <w:rFonts w:hint="eastAsia" w:asciiTheme="majorEastAsia" w:hAnsiTheme="majorEastAsia" w:eastAsiaTheme="majorEastAsia"/>
          <w:color w:val="auto"/>
          <w:sz w:val="24"/>
          <w:highlight w:val="none"/>
          <w:u w:val="single"/>
        </w:rPr>
        <w:t>供应商须知前附表</w:t>
      </w:r>
      <w:r>
        <w:rPr>
          <w:rFonts w:hint="eastAsia" w:asciiTheme="majorEastAsia" w:hAnsiTheme="majorEastAsia" w:eastAsiaTheme="majorEastAsia"/>
          <w:color w:val="auto"/>
          <w:sz w:val="24"/>
          <w:highlight w:val="none"/>
        </w:rPr>
        <w:t>中规定的标准扣除后的价格参与评审</w:t>
      </w:r>
      <w:r>
        <w:rPr>
          <w:rFonts w:asciiTheme="majorEastAsia" w:hAnsiTheme="majorEastAsia" w:eastAsiaTheme="majorEastAsia"/>
          <w:color w:val="auto"/>
          <w:sz w:val="24"/>
          <w:highlight w:val="none"/>
        </w:rPr>
        <w:t>。</w:t>
      </w:r>
      <w:r>
        <w:rPr>
          <w:rFonts w:hint="eastAsia" w:asciiTheme="majorEastAsia" w:hAnsiTheme="majorEastAsia" w:eastAsiaTheme="majorEastAsia"/>
          <w:color w:val="auto"/>
          <w:sz w:val="24"/>
          <w:highlight w:val="none"/>
        </w:rPr>
        <w:t>组成联合体或者接受分包的小微企业与联合体内其他企业、分包企业之间存在直接控股、管理关系的，不享受价格扣除优惠政策。</w:t>
      </w:r>
    </w:p>
    <w:p w14:paraId="5FCBA00C">
      <w:pPr>
        <w:spacing w:line="360" w:lineRule="auto"/>
        <w:ind w:firstLine="435"/>
        <w:rPr>
          <w:rFonts w:asciiTheme="minorEastAsia" w:hAnsiTheme="minorEastAsia" w:eastAsiaTheme="minorEastAsia"/>
          <w:color w:val="auto"/>
          <w:sz w:val="24"/>
          <w:highlight w:val="none"/>
        </w:rPr>
      </w:pPr>
      <w:r>
        <w:rPr>
          <w:rFonts w:hint="eastAsia" w:asciiTheme="majorEastAsia" w:hAnsiTheme="majorEastAsia" w:eastAsiaTheme="majorEastAsia"/>
          <w:color w:val="auto"/>
          <w:sz w:val="24"/>
          <w:highlight w:val="none"/>
        </w:rPr>
        <w:t>以联合体形式参加政府采购活动，联合体各方均为中小企业的，联合体视同中小企业。其中，联合体各方均为小微企业的，联合体视同小微企业。</w:t>
      </w:r>
      <w:bookmarkEnd w:id="17"/>
    </w:p>
    <w:bookmarkEnd w:id="18"/>
    <w:p w14:paraId="3A6A908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18</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成交候选供应商的推荐原则及标准</w:t>
      </w:r>
    </w:p>
    <w:p w14:paraId="75B9B48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18</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磋商小组</w:t>
      </w:r>
      <w:r>
        <w:rPr>
          <w:rFonts w:asciiTheme="minorEastAsia" w:hAnsiTheme="minorEastAsia" w:eastAsiaTheme="minorEastAsia"/>
          <w:color w:val="auto"/>
          <w:sz w:val="24"/>
          <w:highlight w:val="none"/>
        </w:rPr>
        <w:t>依据本项目</w:t>
      </w:r>
      <w:r>
        <w:rPr>
          <w:rFonts w:hint="eastAsia" w:asciiTheme="minorEastAsia" w:hAnsiTheme="minorEastAsia" w:eastAsiaTheme="minorEastAsia"/>
          <w:color w:val="auto"/>
          <w:sz w:val="24"/>
          <w:highlight w:val="none"/>
        </w:rPr>
        <w:t>磋商</w:t>
      </w:r>
      <w:r>
        <w:rPr>
          <w:rFonts w:asciiTheme="minorEastAsia" w:hAnsiTheme="minorEastAsia" w:eastAsiaTheme="minorEastAsia"/>
          <w:color w:val="auto"/>
          <w:sz w:val="24"/>
          <w:highlight w:val="none"/>
        </w:rPr>
        <w:t>文件所约定的</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方法</w:t>
      </w:r>
      <w:r>
        <w:rPr>
          <w:rFonts w:hint="eastAsia" w:asciiTheme="minorEastAsia" w:hAnsiTheme="minorEastAsia" w:eastAsiaTheme="minorEastAsia"/>
          <w:color w:val="auto"/>
          <w:sz w:val="24"/>
          <w:highlight w:val="none"/>
        </w:rPr>
        <w:t>和标准</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6F8183CF">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19</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确定成交候选供应商和成交供应商</w:t>
      </w:r>
    </w:p>
    <w:p w14:paraId="3FDE73B0">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highlight w:val="none"/>
          <w:lang w:val="en-US" w:eastAsia="zh-CN"/>
        </w:rPr>
        <w:t>19</w:t>
      </w:r>
      <w:r>
        <w:rPr>
          <w:rFonts w:hint="eastAsia" w:ascii="宋体" w:hAnsi="宋体" w:eastAsia="宋体"/>
          <w:color w:val="auto"/>
          <w:sz w:val="24"/>
          <w:highlight w:val="none"/>
        </w:rPr>
        <w:t>.1磋商小组根据综合评分的结果和</w:t>
      </w:r>
      <w:r>
        <w:rPr>
          <w:rFonts w:hint="eastAsia" w:asciiTheme="minorEastAsia" w:hAnsiTheme="minorEastAsia" w:eastAsiaTheme="minorEastAsia"/>
          <w:color w:val="auto"/>
          <w:sz w:val="24"/>
          <w:highlight w:val="none"/>
          <w:u w:val="single"/>
        </w:rPr>
        <w:t>供应商</w:t>
      </w:r>
      <w:r>
        <w:rPr>
          <w:rFonts w:asciiTheme="minorEastAsia" w:hAnsiTheme="minorEastAsia" w:eastAsiaTheme="minorEastAsia"/>
          <w:color w:val="auto"/>
          <w:sz w:val="24"/>
          <w:highlight w:val="none"/>
          <w:u w:val="single"/>
        </w:rPr>
        <w:t>须知前附表</w:t>
      </w:r>
      <w:r>
        <w:rPr>
          <w:rFonts w:asciiTheme="minorEastAsia" w:hAnsiTheme="minorEastAsia" w:eastAsiaTheme="minorEastAsia"/>
          <w:color w:val="auto"/>
          <w:sz w:val="24"/>
          <w:highlight w:val="none"/>
        </w:rPr>
        <w:t>中规定</w:t>
      </w:r>
      <w:r>
        <w:rPr>
          <w:rFonts w:hint="eastAsia" w:ascii="宋体" w:hAnsi="宋体" w:eastAsia="宋体"/>
          <w:color w:val="auto"/>
          <w:sz w:val="24"/>
          <w:highlight w:val="none"/>
        </w:rPr>
        <w:t>确定成交候选供应商，并标明排列顺序。</w:t>
      </w:r>
      <w:r>
        <w:rPr>
          <w:rFonts w:hint="eastAsia" w:asciiTheme="minorEastAsia" w:hAnsiTheme="minorEastAsia" w:eastAsiaTheme="minorEastAsia"/>
          <w:color w:val="auto"/>
          <w:sz w:val="24"/>
          <w:highlight w:val="none"/>
        </w:rPr>
        <w:t>按</w:t>
      </w:r>
      <w:r>
        <w:rPr>
          <w:rFonts w:hint="eastAsia" w:asciiTheme="minorEastAsia" w:hAnsiTheme="minorEastAsia" w:eastAsiaTheme="minorEastAsia"/>
          <w:color w:val="auto"/>
          <w:sz w:val="24"/>
          <w:highlight w:val="none"/>
          <w:u w:val="single"/>
          <w:lang w:val="en-US" w:eastAsia="zh-CN"/>
        </w:rPr>
        <w:t>供应商</w:t>
      </w:r>
      <w:r>
        <w:rPr>
          <w:rFonts w:asciiTheme="minorEastAsia" w:hAnsiTheme="minorEastAsia" w:eastAsiaTheme="minorEastAsia"/>
          <w:color w:val="auto"/>
          <w:sz w:val="24"/>
          <w:highlight w:val="none"/>
          <w:u w:val="single"/>
        </w:rPr>
        <w:t>须知前附表</w:t>
      </w:r>
      <w:r>
        <w:rPr>
          <w:rFonts w:hint="eastAsia" w:asciiTheme="minorEastAsia" w:hAnsiTheme="minorEastAsia" w:eastAsiaTheme="minorEastAsia"/>
          <w:color w:val="auto"/>
          <w:sz w:val="24"/>
          <w:highlight w:val="none"/>
        </w:rPr>
        <w:t>中规定，</w:t>
      </w:r>
      <w:r>
        <w:rPr>
          <w:rFonts w:asciiTheme="minorEastAsia" w:hAnsiTheme="minorEastAsia" w:eastAsiaTheme="minorEastAsia"/>
          <w:color w:val="auto"/>
          <w:sz w:val="24"/>
          <w:highlight w:val="none"/>
        </w:rPr>
        <w:t>由</w:t>
      </w:r>
      <w:r>
        <w:rPr>
          <w:rFonts w:hint="eastAsia" w:asciiTheme="minorEastAsia" w:hAnsiTheme="minorEastAsia" w:eastAsiaTheme="minorEastAsia"/>
          <w:color w:val="auto"/>
          <w:sz w:val="24"/>
          <w:highlight w:val="none"/>
          <w:lang w:val="en-US" w:eastAsia="zh-CN"/>
        </w:rPr>
        <w:t>磋商小组</w:t>
      </w:r>
      <w:r>
        <w:rPr>
          <w:rFonts w:asciiTheme="minorEastAsia" w:hAnsiTheme="minorEastAsia" w:eastAsiaTheme="minorEastAsia"/>
          <w:color w:val="auto"/>
          <w:sz w:val="24"/>
          <w:highlight w:val="none"/>
        </w:rPr>
        <w:t>或采购人确定</w:t>
      </w:r>
      <w:r>
        <w:rPr>
          <w:rFonts w:hint="eastAsia" w:asciiTheme="minorEastAsia" w:hAnsiTheme="minorEastAsia" w:eastAsiaTheme="minorEastAsia"/>
          <w:color w:val="auto"/>
          <w:sz w:val="24"/>
          <w:highlight w:val="none"/>
          <w:lang w:val="en-US" w:eastAsia="zh-CN"/>
        </w:rPr>
        <w:t>成交供应商</w:t>
      </w:r>
      <w:r>
        <w:rPr>
          <w:rFonts w:asciiTheme="minorEastAsia" w:hAnsiTheme="minorEastAsia" w:eastAsiaTheme="minorEastAsia"/>
          <w:color w:val="auto"/>
          <w:sz w:val="24"/>
          <w:highlight w:val="none"/>
        </w:rPr>
        <w:t>。</w:t>
      </w:r>
    </w:p>
    <w:p w14:paraId="128F0485">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20</w:t>
      </w:r>
      <w:r>
        <w:rPr>
          <w:rFonts w:asciiTheme="minorEastAsia" w:hAnsiTheme="minorEastAsia" w:eastAsiaTheme="minorEastAsia"/>
          <w:b/>
          <w:color w:val="auto"/>
          <w:sz w:val="24"/>
          <w:highlight w:val="none"/>
        </w:rPr>
        <w:t>.编写评审报告</w:t>
      </w:r>
    </w:p>
    <w:p w14:paraId="0D0DE69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20</w:t>
      </w:r>
      <w:r>
        <w:rPr>
          <w:rFonts w:hint="eastAsia" w:asciiTheme="minorEastAsia" w:hAnsiTheme="minorEastAsia" w:eastAsiaTheme="minorEastAsia"/>
          <w:color w:val="auto"/>
          <w:sz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38CA5653">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21</w:t>
      </w:r>
      <w:r>
        <w:rPr>
          <w:rFonts w:asciiTheme="minorEastAsia" w:hAnsiTheme="minorEastAsia" w:eastAsiaTheme="minorEastAsia"/>
          <w:b/>
          <w:color w:val="auto"/>
          <w:sz w:val="24"/>
          <w:highlight w:val="none"/>
        </w:rPr>
        <w:t>.</w:t>
      </w:r>
      <w:r>
        <w:rPr>
          <w:rFonts w:hint="eastAsia" w:asciiTheme="minorEastAsia" w:hAnsiTheme="minorEastAsia" w:eastAsiaTheme="minorEastAsia"/>
          <w:b/>
          <w:color w:val="auto"/>
          <w:sz w:val="24"/>
          <w:highlight w:val="none"/>
        </w:rPr>
        <w:t>保密要求</w:t>
      </w:r>
    </w:p>
    <w:p w14:paraId="73A1C96D">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21</w:t>
      </w:r>
      <w:r>
        <w:rPr>
          <w:rFonts w:hint="eastAsia" w:ascii="宋体" w:hAnsi="宋体" w:eastAsia="宋体"/>
          <w:color w:val="auto"/>
          <w:sz w:val="24"/>
          <w:highlight w:val="none"/>
        </w:rPr>
        <w:t>.1评审将在严格保密的情况下进行。</w:t>
      </w:r>
    </w:p>
    <w:p w14:paraId="55EB7309">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21</w:t>
      </w:r>
      <w:r>
        <w:rPr>
          <w:rFonts w:hint="eastAsia" w:ascii="宋体" w:hAnsi="宋体" w:eastAsia="宋体"/>
          <w:color w:val="auto"/>
          <w:sz w:val="24"/>
          <w:highlight w:val="none"/>
        </w:rPr>
        <w:t>.2有关人员</w:t>
      </w:r>
      <w:r>
        <w:rPr>
          <w:rFonts w:ascii="宋体" w:hAnsi="宋体" w:eastAsia="宋体"/>
          <w:color w:val="auto"/>
          <w:sz w:val="24"/>
          <w:highlight w:val="none"/>
        </w:rPr>
        <w:t>应当</w:t>
      </w:r>
      <w:r>
        <w:rPr>
          <w:rFonts w:hint="eastAsia" w:ascii="宋体" w:hAnsi="宋体" w:eastAsia="宋体"/>
          <w:color w:val="auto"/>
          <w:sz w:val="24"/>
          <w:highlight w:val="none"/>
        </w:rPr>
        <w:t>遵</w:t>
      </w:r>
      <w:r>
        <w:rPr>
          <w:rFonts w:ascii="宋体" w:hAnsi="宋体" w:eastAsia="宋体"/>
          <w:color w:val="auto"/>
          <w:sz w:val="24"/>
          <w:highlight w:val="none"/>
        </w:rPr>
        <w:t>守</w:t>
      </w:r>
      <w:r>
        <w:rPr>
          <w:rFonts w:hint="eastAsia" w:ascii="宋体" w:hAnsi="宋体" w:eastAsia="宋体"/>
          <w:color w:val="auto"/>
          <w:sz w:val="24"/>
          <w:highlight w:val="none"/>
        </w:rPr>
        <w:t>评审</w:t>
      </w:r>
      <w:r>
        <w:rPr>
          <w:rFonts w:ascii="宋体" w:hAnsi="宋体" w:eastAsia="宋体"/>
          <w:color w:val="auto"/>
          <w:sz w:val="24"/>
          <w:highlight w:val="none"/>
        </w:rPr>
        <w:t>工作纪律，不得</w:t>
      </w:r>
      <w:r>
        <w:rPr>
          <w:rFonts w:hint="eastAsia" w:ascii="宋体" w:hAnsi="宋体" w:eastAsia="宋体"/>
          <w:color w:val="auto"/>
          <w:sz w:val="24"/>
          <w:highlight w:val="none"/>
        </w:rPr>
        <w:t>泄露评审文件</w:t>
      </w:r>
      <w:r>
        <w:rPr>
          <w:rFonts w:ascii="宋体" w:hAnsi="宋体" w:eastAsia="宋体"/>
          <w:color w:val="auto"/>
          <w:sz w:val="24"/>
          <w:highlight w:val="none"/>
        </w:rPr>
        <w:t>、</w:t>
      </w:r>
      <w:r>
        <w:rPr>
          <w:rFonts w:hint="eastAsia" w:ascii="宋体" w:hAnsi="宋体" w:eastAsia="宋体"/>
          <w:color w:val="auto"/>
          <w:sz w:val="24"/>
          <w:highlight w:val="none"/>
        </w:rPr>
        <w:t>评审</w:t>
      </w:r>
      <w:r>
        <w:rPr>
          <w:rFonts w:ascii="宋体" w:hAnsi="宋体" w:eastAsia="宋体"/>
          <w:color w:val="auto"/>
          <w:sz w:val="24"/>
          <w:highlight w:val="none"/>
        </w:rPr>
        <w:t>情况和</w:t>
      </w:r>
      <w:r>
        <w:rPr>
          <w:rFonts w:hint="eastAsia" w:ascii="宋体" w:hAnsi="宋体" w:eastAsia="宋体"/>
          <w:color w:val="auto"/>
          <w:sz w:val="24"/>
          <w:highlight w:val="none"/>
        </w:rPr>
        <w:t>评审</w:t>
      </w:r>
      <w:r>
        <w:rPr>
          <w:rFonts w:ascii="宋体" w:hAnsi="宋体" w:eastAsia="宋体"/>
          <w:color w:val="auto"/>
          <w:sz w:val="24"/>
          <w:highlight w:val="none"/>
        </w:rPr>
        <w:t>中获悉的</w:t>
      </w:r>
      <w:r>
        <w:rPr>
          <w:rFonts w:hint="eastAsia" w:ascii="宋体" w:hAnsi="宋体" w:eastAsia="宋体"/>
          <w:color w:val="auto"/>
          <w:sz w:val="24"/>
          <w:highlight w:val="none"/>
        </w:rPr>
        <w:t>国家秘密、</w:t>
      </w:r>
      <w:r>
        <w:rPr>
          <w:rFonts w:ascii="宋体" w:hAnsi="宋体" w:eastAsia="宋体"/>
          <w:color w:val="auto"/>
          <w:sz w:val="24"/>
          <w:highlight w:val="none"/>
        </w:rPr>
        <w:t>商业秘密。</w:t>
      </w:r>
    </w:p>
    <w:p w14:paraId="495CA5E1">
      <w:pPr>
        <w:spacing w:line="360" w:lineRule="auto"/>
        <w:ind w:firstLine="437"/>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22</w:t>
      </w:r>
      <w:r>
        <w:rPr>
          <w:rFonts w:asciiTheme="minorEastAsia" w:hAnsiTheme="minorEastAsia" w:eastAsiaTheme="minorEastAsia"/>
          <w:b/>
          <w:color w:val="auto"/>
          <w:sz w:val="24"/>
          <w:highlight w:val="none"/>
        </w:rPr>
        <w:t>.成交结果公告</w:t>
      </w:r>
    </w:p>
    <w:p w14:paraId="3B437E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.1为体现“公开、公平、公正”的原则，磋商结束后，</w:t>
      </w:r>
      <w:r>
        <w:rPr>
          <w:rFonts w:hint="eastAsia" w:ascii="宋体" w:hAnsi="宋体" w:eastAsia="宋体"/>
          <w:color w:val="auto"/>
          <w:sz w:val="24"/>
          <w:szCs w:val="18"/>
          <w:highlight w:val="none"/>
        </w:rPr>
        <w:t>采购代理机构将在安徽省政府采购网（www.ccgp-anhui.gov.cn）和滁州市公共资源交易中心网</w:t>
      </w:r>
      <w:r>
        <w:rPr>
          <w:rFonts w:asciiTheme="minorEastAsia" w:hAnsiTheme="minorEastAsia" w:eastAsiaTheme="minorEastAsia"/>
          <w:color w:val="auto"/>
          <w:sz w:val="24"/>
          <w:highlight w:val="none"/>
        </w:rPr>
        <w:t>上发布成交结果公告。</w:t>
      </w:r>
    </w:p>
    <w:p w14:paraId="4A50FB1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22</w:t>
      </w:r>
      <w:r>
        <w:rPr>
          <w:rFonts w:asciiTheme="minorEastAsia" w:hAnsiTheme="minorEastAsia" w:eastAsiaTheme="minorEastAsia"/>
          <w:color w:val="auto"/>
          <w:sz w:val="24"/>
          <w:highlight w:val="none"/>
        </w:rPr>
        <w:t>.2成交结果公告内容应当包括采购人及其委托的采购代理机构的名称、地址、联系方式，项目名称和项目编号，成交供应商名称、地址和成交金额，主要成交标的的名称、</w:t>
      </w:r>
      <w:r>
        <w:rPr>
          <w:rFonts w:hint="eastAsia" w:asciiTheme="minorEastAsia" w:hAnsiTheme="minorEastAsia" w:eastAsiaTheme="minorEastAsia"/>
          <w:color w:val="auto"/>
          <w:sz w:val="24"/>
          <w:highlight w:val="none"/>
        </w:rPr>
        <w:t>服务范围、服务要求、服务时间、服务标准</w:t>
      </w:r>
      <w:r>
        <w:rPr>
          <w:rFonts w:asciiTheme="minorEastAsia" w:hAnsiTheme="minorEastAsia" w:eastAsiaTheme="minorEastAsia"/>
          <w:color w:val="auto"/>
          <w:sz w:val="24"/>
          <w:highlight w:val="none"/>
        </w:rPr>
        <w:t>，成交结果公告期限、评审专家名单以及</w:t>
      </w:r>
      <w:r>
        <w:rPr>
          <w:rFonts w:hint="eastAsia" w:asciiTheme="minorEastAsia" w:hAnsiTheme="minorEastAsia" w:eastAsiaTheme="minorEastAsia"/>
          <w:color w:val="auto"/>
          <w:sz w:val="24"/>
          <w:highlight w:val="none"/>
          <w:u w:val="single"/>
        </w:rPr>
        <w:t>供应商须知前附表</w:t>
      </w:r>
      <w:r>
        <w:rPr>
          <w:rFonts w:asciiTheme="minorEastAsia" w:hAnsiTheme="minorEastAsia" w:eastAsiaTheme="minorEastAsia"/>
          <w:color w:val="auto"/>
          <w:sz w:val="24"/>
          <w:highlight w:val="none"/>
        </w:rPr>
        <w:t>中约定进行公告的内容。</w:t>
      </w:r>
    </w:p>
    <w:p w14:paraId="410F1C1E">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23</w:t>
      </w:r>
      <w:r>
        <w:rPr>
          <w:rFonts w:ascii="宋体" w:hAnsi="宋体" w:eastAsia="宋体"/>
          <w:b/>
          <w:color w:val="auto"/>
          <w:sz w:val="24"/>
          <w:highlight w:val="none"/>
        </w:rPr>
        <w:t>.成交</w:t>
      </w:r>
      <w:r>
        <w:rPr>
          <w:rFonts w:asciiTheme="minorEastAsia" w:hAnsiTheme="minorEastAsia" w:eastAsiaTheme="minorEastAsia"/>
          <w:b/>
          <w:color w:val="auto"/>
          <w:sz w:val="24"/>
          <w:highlight w:val="none"/>
        </w:rPr>
        <w:t>通知书</w:t>
      </w:r>
    </w:p>
    <w:p w14:paraId="7452F45B">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23</w:t>
      </w:r>
      <w:r>
        <w:rPr>
          <w:rFonts w:ascii="宋体" w:hAnsi="宋体" w:eastAsia="宋体"/>
          <w:color w:val="auto"/>
          <w:sz w:val="24"/>
          <w:highlight w:val="none"/>
        </w:rPr>
        <w:t>.1采购代理机构发布成交结果公告的同时</w:t>
      </w:r>
      <w:r>
        <w:rPr>
          <w:rFonts w:asciiTheme="minorEastAsia" w:hAnsiTheme="minorEastAsia" w:eastAsiaTheme="minorEastAsia"/>
          <w:color w:val="auto"/>
          <w:sz w:val="24"/>
          <w:highlight w:val="none"/>
        </w:rPr>
        <w:t>以</w:t>
      </w:r>
      <w:r>
        <w:rPr>
          <w:rFonts w:hint="eastAsia" w:asciiTheme="minorEastAsia" w:hAnsiTheme="minorEastAsia" w:eastAsiaTheme="minorEastAsia"/>
          <w:color w:val="auto"/>
          <w:sz w:val="24"/>
          <w:highlight w:val="none"/>
          <w:u w:val="single"/>
        </w:rPr>
        <w:t>供应商须知前附表</w:t>
      </w:r>
      <w:r>
        <w:rPr>
          <w:rFonts w:hint="eastAsia" w:asciiTheme="minorEastAsia" w:hAnsiTheme="minorEastAsia" w:eastAsiaTheme="minorEastAsia"/>
          <w:color w:val="auto"/>
          <w:sz w:val="24"/>
          <w:highlight w:val="none"/>
        </w:rPr>
        <w:t>规定的</w:t>
      </w:r>
      <w:r>
        <w:rPr>
          <w:rFonts w:asciiTheme="minorEastAsia" w:hAnsiTheme="minorEastAsia" w:eastAsiaTheme="minorEastAsia"/>
          <w:color w:val="auto"/>
          <w:sz w:val="24"/>
          <w:highlight w:val="none"/>
        </w:rPr>
        <w:t>形式</w:t>
      </w:r>
      <w:r>
        <w:rPr>
          <w:rFonts w:ascii="宋体" w:hAnsi="宋体" w:eastAsia="宋体"/>
          <w:color w:val="auto"/>
          <w:sz w:val="24"/>
          <w:highlight w:val="none"/>
        </w:rPr>
        <w:t>向成交供应商发出成交通知书</w:t>
      </w:r>
      <w:r>
        <w:rPr>
          <w:rFonts w:hint="eastAsia" w:ascii="宋体" w:hAnsi="宋体" w:eastAsia="宋体"/>
          <w:color w:val="auto"/>
          <w:sz w:val="24"/>
          <w:highlight w:val="none"/>
        </w:rPr>
        <w:t>。成交通知书须加盖采购人、采购代理机构公章并经公共资源交易中心加盖见证章后，方可发出</w:t>
      </w:r>
      <w:r>
        <w:rPr>
          <w:rFonts w:ascii="宋体" w:hAnsi="宋体" w:eastAsia="宋体"/>
          <w:color w:val="auto"/>
          <w:sz w:val="24"/>
          <w:highlight w:val="none"/>
        </w:rPr>
        <w:t>。</w:t>
      </w:r>
    </w:p>
    <w:p w14:paraId="23F6F1B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23</w:t>
      </w:r>
      <w:r>
        <w:rPr>
          <w:rFonts w:ascii="宋体" w:hAnsi="宋体" w:eastAsia="宋体"/>
          <w:color w:val="auto"/>
          <w:sz w:val="24"/>
          <w:highlight w:val="none"/>
        </w:rPr>
        <w:t>.2成交通知书对采购人和成交供应商具有同等法律效力。成交通知书发出以后，采购人改变成交结果或者成交供应商放弃成交资格，应当承担相应的法律责任。</w:t>
      </w:r>
    </w:p>
    <w:p w14:paraId="5F01F750">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23</w:t>
      </w:r>
      <w:r>
        <w:rPr>
          <w:rFonts w:ascii="宋体" w:hAnsi="宋体" w:eastAsia="宋体"/>
          <w:color w:val="auto"/>
          <w:sz w:val="24"/>
          <w:highlight w:val="none"/>
        </w:rPr>
        <w:t>.3成交通知书是合同的组成部分。</w:t>
      </w:r>
    </w:p>
    <w:p w14:paraId="0D5F69F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24</w:t>
      </w:r>
      <w:r>
        <w:rPr>
          <w:rFonts w:ascii="宋体" w:hAnsi="宋体" w:eastAsia="宋体"/>
          <w:b/>
          <w:color w:val="auto"/>
          <w:sz w:val="24"/>
          <w:highlight w:val="none"/>
        </w:rPr>
        <w:t>.告知</w:t>
      </w:r>
      <w:r>
        <w:rPr>
          <w:rFonts w:hint="eastAsia" w:ascii="宋体" w:hAnsi="宋体" w:eastAsia="宋体"/>
          <w:b/>
          <w:color w:val="auto"/>
          <w:sz w:val="24"/>
          <w:highlight w:val="none"/>
        </w:rPr>
        <w:t>磋商</w:t>
      </w:r>
      <w:r>
        <w:rPr>
          <w:rFonts w:ascii="宋体" w:hAnsi="宋体" w:eastAsia="宋体"/>
          <w:b/>
          <w:color w:val="auto"/>
          <w:sz w:val="24"/>
          <w:highlight w:val="none"/>
        </w:rPr>
        <w:t>结果</w:t>
      </w:r>
    </w:p>
    <w:p w14:paraId="412AB1F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24</w:t>
      </w:r>
      <w:r>
        <w:rPr>
          <w:rFonts w:ascii="宋体" w:hAnsi="宋体" w:eastAsia="宋体"/>
          <w:color w:val="auto"/>
          <w:sz w:val="24"/>
          <w:highlight w:val="none"/>
        </w:rPr>
        <w:t>.1在公告</w:t>
      </w:r>
      <w:r>
        <w:rPr>
          <w:rFonts w:hint="eastAsia" w:ascii="宋体" w:hAnsi="宋体" w:eastAsia="宋体"/>
          <w:color w:val="auto"/>
          <w:sz w:val="24"/>
          <w:highlight w:val="none"/>
        </w:rPr>
        <w:t>成交</w:t>
      </w:r>
      <w:r>
        <w:rPr>
          <w:rFonts w:ascii="宋体" w:hAnsi="宋体" w:eastAsia="宋体"/>
          <w:color w:val="auto"/>
          <w:sz w:val="24"/>
          <w:highlight w:val="none"/>
        </w:rPr>
        <w:t>结果的同时，采购代理机构同时以</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规定的形式告知未</w:t>
      </w:r>
      <w:r>
        <w:rPr>
          <w:rFonts w:hint="eastAsia" w:ascii="宋体" w:hAnsi="宋体" w:eastAsia="宋体"/>
          <w:color w:val="auto"/>
          <w:sz w:val="24"/>
          <w:highlight w:val="none"/>
        </w:rPr>
        <w:t>成交供应商</w:t>
      </w:r>
      <w:r>
        <w:rPr>
          <w:rFonts w:ascii="宋体" w:hAnsi="宋体" w:eastAsia="宋体"/>
          <w:color w:val="auto"/>
          <w:sz w:val="24"/>
          <w:highlight w:val="none"/>
        </w:rPr>
        <w:t>本人的评审得分和排序。</w:t>
      </w:r>
    </w:p>
    <w:p w14:paraId="53E3F12C">
      <w:pPr>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lang w:val="en-US" w:eastAsia="zh-CN"/>
        </w:rPr>
        <w:t>24</w:t>
      </w:r>
      <w:r>
        <w:rPr>
          <w:rFonts w:ascii="宋体" w:hAnsi="宋体" w:eastAsia="宋体"/>
          <w:color w:val="auto"/>
          <w:sz w:val="24"/>
          <w:highlight w:val="none"/>
        </w:rPr>
        <w:t>.</w:t>
      </w:r>
      <w:r>
        <w:rPr>
          <w:rFonts w:hint="eastAsia" w:ascii="宋体" w:hAnsi="宋体" w:eastAsia="宋体"/>
          <w:color w:val="auto"/>
          <w:sz w:val="24"/>
          <w:highlight w:val="none"/>
        </w:rPr>
        <w:t>2</w:t>
      </w:r>
      <w:r>
        <w:rPr>
          <w:rFonts w:ascii="宋体" w:hAnsi="宋体" w:eastAsia="宋体"/>
          <w:color w:val="auto"/>
          <w:sz w:val="24"/>
          <w:highlight w:val="none"/>
        </w:rPr>
        <w:t>采购代理机构对未成交的供应商不做未成交原因的解释。</w:t>
      </w:r>
    </w:p>
    <w:p w14:paraId="02EF77B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25</w:t>
      </w:r>
      <w:r>
        <w:rPr>
          <w:rFonts w:ascii="宋体" w:hAnsi="宋体" w:eastAsia="宋体"/>
          <w:b/>
          <w:color w:val="auto"/>
          <w:sz w:val="24"/>
          <w:highlight w:val="none"/>
        </w:rPr>
        <w:t>.履约保证金</w:t>
      </w:r>
    </w:p>
    <w:p w14:paraId="787DC436">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.1成交供应商应按照</w:t>
      </w:r>
      <w:r>
        <w:rPr>
          <w:rFonts w:ascii="宋体" w:hAnsi="宋体" w:eastAsia="宋体"/>
          <w:color w:val="auto"/>
          <w:sz w:val="24"/>
          <w:highlight w:val="none"/>
          <w:u w:val="single"/>
        </w:rPr>
        <w:t>供应商须知前附表</w:t>
      </w:r>
      <w:r>
        <w:rPr>
          <w:rFonts w:ascii="宋体" w:hAnsi="宋体" w:eastAsia="宋体"/>
          <w:color w:val="auto"/>
          <w:sz w:val="24"/>
          <w:highlight w:val="none"/>
        </w:rPr>
        <w:t>规定</w:t>
      </w:r>
      <w:r>
        <w:rPr>
          <w:rFonts w:hint="eastAsia" w:ascii="宋体" w:hAnsi="宋体" w:eastAsia="宋体"/>
          <w:color w:val="auto"/>
          <w:sz w:val="24"/>
          <w:highlight w:val="none"/>
        </w:rPr>
        <w:t>缴纳</w:t>
      </w:r>
      <w:r>
        <w:rPr>
          <w:rFonts w:ascii="宋体" w:hAnsi="宋体" w:eastAsia="宋体"/>
          <w:color w:val="auto"/>
          <w:sz w:val="24"/>
          <w:highlight w:val="none"/>
        </w:rPr>
        <w:t>履约保证金。</w:t>
      </w:r>
    </w:p>
    <w:p w14:paraId="0FCFC92C">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25</w:t>
      </w:r>
      <w:r>
        <w:rPr>
          <w:rFonts w:ascii="宋体" w:hAnsi="宋体" w:eastAsia="宋体"/>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430534B7">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26</w:t>
      </w:r>
      <w:r>
        <w:rPr>
          <w:rFonts w:ascii="宋体" w:hAnsi="宋体" w:eastAsia="宋体"/>
          <w:b/>
          <w:color w:val="auto"/>
          <w:sz w:val="24"/>
          <w:highlight w:val="none"/>
        </w:rPr>
        <w:t>.</w:t>
      </w:r>
      <w:r>
        <w:rPr>
          <w:rFonts w:hint="eastAsia" w:ascii="宋体" w:hAnsi="宋体" w:eastAsia="宋体"/>
          <w:b/>
          <w:color w:val="auto"/>
          <w:sz w:val="24"/>
          <w:highlight w:val="none"/>
          <w:lang w:val="en-US" w:eastAsia="zh-CN"/>
        </w:rPr>
        <w:t>代理费用</w:t>
      </w:r>
    </w:p>
    <w:p w14:paraId="62DC184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26</w:t>
      </w:r>
      <w:r>
        <w:rPr>
          <w:rFonts w:ascii="宋体" w:hAnsi="宋体" w:eastAsia="宋体"/>
          <w:color w:val="auto"/>
          <w:sz w:val="24"/>
          <w:highlight w:val="none"/>
        </w:rPr>
        <w:t>.1本项目</w:t>
      </w:r>
      <w:r>
        <w:rPr>
          <w:rFonts w:hint="eastAsia" w:ascii="宋体" w:hAnsi="宋体" w:eastAsia="宋体"/>
          <w:color w:val="auto"/>
          <w:sz w:val="24"/>
          <w:highlight w:val="none"/>
          <w:lang w:val="en-US" w:eastAsia="zh-CN"/>
        </w:rPr>
        <w:t>代理费用</w:t>
      </w:r>
      <w:r>
        <w:rPr>
          <w:rFonts w:ascii="宋体" w:hAnsi="宋体" w:eastAsia="宋体"/>
          <w:color w:val="auto"/>
          <w:sz w:val="24"/>
          <w:highlight w:val="none"/>
        </w:rPr>
        <w:t>的收取按</w:t>
      </w:r>
      <w:r>
        <w:rPr>
          <w:rFonts w:hint="eastAsia" w:ascii="宋体" w:hAnsi="宋体" w:eastAsia="宋体"/>
          <w:color w:val="auto"/>
          <w:sz w:val="24"/>
          <w:highlight w:val="none"/>
          <w:u w:val="single"/>
        </w:rPr>
        <w:t>供应商</w:t>
      </w:r>
      <w:r>
        <w:rPr>
          <w:rFonts w:ascii="宋体" w:hAnsi="宋体" w:eastAsia="宋体"/>
          <w:color w:val="auto"/>
          <w:sz w:val="24"/>
          <w:highlight w:val="none"/>
          <w:u w:val="single"/>
        </w:rPr>
        <w:t>须知前附表</w:t>
      </w:r>
      <w:r>
        <w:rPr>
          <w:rFonts w:ascii="宋体" w:hAnsi="宋体" w:eastAsia="宋体"/>
          <w:color w:val="auto"/>
          <w:sz w:val="24"/>
          <w:highlight w:val="none"/>
        </w:rPr>
        <w:t>的规定执行。</w:t>
      </w:r>
    </w:p>
    <w:p w14:paraId="58BA3009">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27</w:t>
      </w:r>
      <w:r>
        <w:rPr>
          <w:rFonts w:ascii="宋体" w:hAnsi="宋体" w:eastAsia="宋体"/>
          <w:b/>
          <w:color w:val="auto"/>
          <w:sz w:val="24"/>
          <w:highlight w:val="none"/>
        </w:rPr>
        <w:t>.签订</w:t>
      </w:r>
      <w:r>
        <w:rPr>
          <w:rFonts w:asciiTheme="minorEastAsia" w:hAnsiTheme="minorEastAsia" w:eastAsiaTheme="minorEastAsia"/>
          <w:b/>
          <w:color w:val="auto"/>
          <w:sz w:val="24"/>
          <w:highlight w:val="none"/>
        </w:rPr>
        <w:t>合同</w:t>
      </w:r>
    </w:p>
    <w:p w14:paraId="15DAE74A">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ascii="宋体" w:hAnsi="宋体" w:eastAsia="宋体"/>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4B4C9A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ascii="宋体" w:hAnsi="宋体" w:eastAsia="宋体"/>
          <w:color w:val="auto"/>
          <w:sz w:val="24"/>
          <w:highlight w:val="none"/>
        </w:rPr>
        <w:t>.2磋商文件、成交供应商的响应文件及其澄清文件等，均为签订合同的依据。</w:t>
      </w:r>
    </w:p>
    <w:p w14:paraId="074BD6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eastAsia="宋体"/>
          <w:color w:val="auto"/>
          <w:sz w:val="24"/>
          <w:highlight w:val="none"/>
        </w:rPr>
      </w:pPr>
      <w:r>
        <w:rPr>
          <w:rFonts w:hint="eastAsia" w:ascii="宋体" w:hAnsi="宋体" w:eastAsia="宋体"/>
          <w:color w:val="auto"/>
          <w:sz w:val="24"/>
          <w:highlight w:val="none"/>
          <w:lang w:val="en-US" w:eastAsia="zh-CN"/>
        </w:rPr>
        <w:t>27</w:t>
      </w:r>
      <w:r>
        <w:rPr>
          <w:rFonts w:ascii="宋体" w:hAnsi="宋体" w:eastAsia="宋体"/>
          <w:color w:val="auto"/>
          <w:sz w:val="24"/>
          <w:highlight w:val="none"/>
        </w:rPr>
        <w:t>.3成交供应商拒绝与采购人签订合同的，采购人可以按照评审报告推荐的成交候选供应商名单排序，确定下一成交候选供应商为成交供应商，也可以重新开展采购活动。</w:t>
      </w:r>
      <w:r>
        <w:rPr>
          <w:rFonts w:hint="eastAsia" w:ascii="宋体" w:hAnsi="宋体" w:eastAsia="宋体"/>
          <w:color w:val="auto"/>
          <w:sz w:val="24"/>
          <w:highlight w:val="none"/>
        </w:rPr>
        <w:t>成交供应商拒绝签订政府采购合同的不得参加对该项目重新开展的采购活动。</w:t>
      </w:r>
    </w:p>
    <w:p w14:paraId="002312B1">
      <w:pPr>
        <w:spacing w:line="360" w:lineRule="auto"/>
        <w:ind w:firstLine="470" w:firstLineChars="196"/>
        <w:rPr>
          <w:rFonts w:ascii="宋体" w:hAnsi="宋体" w:eastAsia="宋体"/>
          <w:color w:val="auto"/>
          <w:sz w:val="24"/>
          <w:highlight w:val="none"/>
        </w:rPr>
      </w:pPr>
      <w:bookmarkStart w:id="19" w:name="_Hlk60264926"/>
      <w:r>
        <w:rPr>
          <w:rFonts w:hint="eastAsia" w:ascii="宋体" w:hAnsi="宋体" w:eastAsia="宋体"/>
          <w:color w:val="auto"/>
          <w:sz w:val="24"/>
          <w:highlight w:val="none"/>
          <w:lang w:val="en-US" w:eastAsia="zh-CN"/>
        </w:rPr>
        <w:t>27</w:t>
      </w:r>
      <w:r>
        <w:rPr>
          <w:rFonts w:hint="eastAsia" w:ascii="宋体" w:hAnsi="宋体" w:eastAsia="宋体"/>
          <w:color w:val="auto"/>
          <w:sz w:val="24"/>
          <w:highlight w:val="none"/>
        </w:rPr>
        <w:t>.</w:t>
      </w:r>
      <w:r>
        <w:rPr>
          <w:rFonts w:ascii="宋体" w:hAnsi="宋体" w:eastAsia="宋体"/>
          <w:color w:val="auto"/>
          <w:sz w:val="24"/>
          <w:highlight w:val="none"/>
        </w:rPr>
        <w:t>4</w:t>
      </w:r>
      <w:r>
        <w:rPr>
          <w:rFonts w:hint="eastAsia" w:ascii="宋体" w:hAnsi="宋体" w:eastAsia="宋体"/>
          <w:color w:val="auto"/>
          <w:sz w:val="24"/>
          <w:highlight w:val="none"/>
        </w:rPr>
        <w:t>依据《政府采购促进中小企业发展管理办法》（财库〔</w:t>
      </w:r>
      <w:r>
        <w:rPr>
          <w:rFonts w:ascii="宋体" w:hAnsi="宋体" w:eastAsia="宋体"/>
          <w:color w:val="auto"/>
          <w:sz w:val="24"/>
          <w:highlight w:val="none"/>
        </w:rPr>
        <w:t>2020〕46号</w:t>
      </w:r>
      <w:r>
        <w:rPr>
          <w:rFonts w:hint="eastAsia" w:ascii="宋体" w:hAnsi="宋体" w:eastAsia="宋体"/>
          <w:color w:val="auto"/>
          <w:sz w:val="24"/>
          <w:highlight w:val="none"/>
        </w:rPr>
        <w:t>）规定享受扶持政策获得政府采购合同的，小微企业不得将合同分包给大中型企业，中型企业不得将合同分包给大型企业。</w:t>
      </w:r>
      <w:bookmarkEnd w:id="19"/>
    </w:p>
    <w:p w14:paraId="58666522">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28</w:t>
      </w:r>
      <w:r>
        <w:rPr>
          <w:rFonts w:ascii="宋体" w:hAnsi="宋体" w:eastAsia="宋体"/>
          <w:b/>
          <w:color w:val="auto"/>
          <w:sz w:val="24"/>
          <w:highlight w:val="none"/>
        </w:rPr>
        <w:t>.廉洁</w:t>
      </w:r>
      <w:r>
        <w:rPr>
          <w:rFonts w:asciiTheme="minorEastAsia" w:hAnsiTheme="minorEastAsia" w:eastAsiaTheme="minorEastAsia"/>
          <w:b/>
          <w:color w:val="auto"/>
          <w:sz w:val="24"/>
          <w:highlight w:val="none"/>
        </w:rPr>
        <w:t>自律</w:t>
      </w:r>
      <w:r>
        <w:rPr>
          <w:rFonts w:ascii="宋体" w:hAnsi="宋体" w:eastAsia="宋体"/>
          <w:b/>
          <w:color w:val="auto"/>
          <w:sz w:val="24"/>
          <w:highlight w:val="none"/>
        </w:rPr>
        <w:t>规定</w:t>
      </w:r>
    </w:p>
    <w:p w14:paraId="6A2F3695">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.1采购代理机构工作人员不得以不正当手段获取政府采购代理业务，不得与采购人、供应商恶意串通。</w:t>
      </w:r>
    </w:p>
    <w:p w14:paraId="1022C983">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28</w:t>
      </w:r>
      <w:r>
        <w:rPr>
          <w:rFonts w:ascii="宋体" w:hAnsi="宋体" w:eastAsia="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6ADE0EA3">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lang w:val="en-US" w:eastAsia="zh-CN"/>
        </w:rPr>
        <w:t>29</w:t>
      </w:r>
      <w:r>
        <w:rPr>
          <w:rFonts w:ascii="宋体" w:hAnsi="宋体" w:eastAsia="宋体"/>
          <w:b/>
          <w:color w:val="auto"/>
          <w:sz w:val="24"/>
          <w:highlight w:val="none"/>
        </w:rPr>
        <w:t>.质疑的</w:t>
      </w:r>
      <w:r>
        <w:rPr>
          <w:rFonts w:asciiTheme="minorEastAsia" w:hAnsiTheme="minorEastAsia" w:eastAsiaTheme="minorEastAsia"/>
          <w:b/>
          <w:color w:val="auto"/>
          <w:sz w:val="24"/>
          <w:highlight w:val="none"/>
        </w:rPr>
        <w:t>提出</w:t>
      </w:r>
      <w:r>
        <w:rPr>
          <w:rFonts w:ascii="宋体" w:hAnsi="宋体" w:eastAsia="宋体"/>
          <w:b/>
          <w:color w:val="auto"/>
          <w:sz w:val="24"/>
          <w:highlight w:val="none"/>
        </w:rPr>
        <w:t>与接收</w:t>
      </w:r>
    </w:p>
    <w:p w14:paraId="24BB8DE2">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29</w:t>
      </w:r>
      <w:r>
        <w:rPr>
          <w:rFonts w:hint="eastAsia" w:ascii="宋体" w:hAnsi="宋体" w:eastAsia="宋体"/>
          <w:color w:val="auto"/>
          <w:sz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0EC77121">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lang w:val="en-US" w:eastAsia="zh-CN"/>
        </w:rPr>
        <w:t>29</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2</w:t>
      </w:r>
      <w:r>
        <w:rPr>
          <w:rFonts w:hint="eastAsia" w:ascii="宋体" w:hAnsi="宋体" w:eastAsia="宋体"/>
          <w:color w:val="auto"/>
          <w:sz w:val="24"/>
          <w:highlight w:val="none"/>
        </w:rPr>
        <w:t>质疑供应商应按照财政部制定的《政府采购质疑函范本》格式（详见磋商文件）和《政府采购质疑和投诉办法》的要求，在法定质疑期内以书面形式提出质疑，超出法定质疑期提交的质疑将被拒绝。针对同一采购程序环节的质疑应一次性提出。</w:t>
      </w:r>
    </w:p>
    <w:p w14:paraId="3B2CAC56">
      <w:pPr>
        <w:spacing w:line="360" w:lineRule="auto"/>
        <w:ind w:firstLine="435"/>
        <w:rPr>
          <w:rFonts w:hint="eastAsia" w:ascii="宋体" w:hAnsi="宋体" w:eastAsia="宋体"/>
          <w:color w:val="auto"/>
          <w:sz w:val="24"/>
          <w:highlight w:val="none"/>
          <w:u w:val="single"/>
        </w:rPr>
      </w:pPr>
      <w:r>
        <w:rPr>
          <w:rFonts w:hint="eastAsia" w:ascii="宋体" w:hAnsi="宋体" w:eastAsia="宋体"/>
          <w:color w:val="auto"/>
          <w:sz w:val="24"/>
          <w:highlight w:val="none"/>
          <w:lang w:val="en-US" w:eastAsia="zh-CN"/>
        </w:rPr>
        <w:t>29</w:t>
      </w:r>
      <w:r>
        <w:rPr>
          <w:rFonts w:hint="eastAsia" w:ascii="宋体" w:hAnsi="宋体" w:eastAsia="宋体"/>
          <w:color w:val="auto"/>
          <w:sz w:val="24"/>
          <w:highlight w:val="none"/>
        </w:rPr>
        <w:t>.</w:t>
      </w:r>
      <w:r>
        <w:rPr>
          <w:rFonts w:hint="eastAsia" w:ascii="宋体" w:hAnsi="宋体" w:eastAsia="宋体"/>
          <w:color w:val="auto"/>
          <w:sz w:val="24"/>
          <w:highlight w:val="none"/>
          <w:lang w:val="en-US" w:eastAsia="zh-CN"/>
        </w:rPr>
        <w:t>3</w:t>
      </w:r>
      <w:r>
        <w:rPr>
          <w:rFonts w:hint="eastAsia" w:ascii="宋体" w:hAnsi="宋体" w:eastAsia="宋体"/>
          <w:color w:val="auto"/>
          <w:sz w:val="24"/>
          <w:highlight w:val="none"/>
        </w:rPr>
        <w:t>采购代理机构质疑函接收部门、联系电话和通讯地址，见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u w:val="none"/>
        </w:rPr>
        <w:t>。</w:t>
      </w:r>
    </w:p>
    <w:p w14:paraId="13D43100">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u w:val="none"/>
        </w:rPr>
        <w:t>29.4采购人或采购代理机构在收到供应商的质疑函后，将审查质疑函的格式、内容以及所附的证明文件是否符合要求。如不符合，说明原因退回供应商；如符合要求，则接受该质疑函。供应商对评审过程、成交结果提出质疑的，采购人、采购代理机构可以组织原谈判小组协助答复质疑。处理质疑的时间，从实际接受供应商质疑函的时间开始计算</w:t>
      </w:r>
      <w:r>
        <w:rPr>
          <w:rFonts w:hint="eastAsia" w:ascii="宋体" w:hAnsi="宋体" w:eastAsia="宋体"/>
          <w:color w:val="auto"/>
          <w:sz w:val="24"/>
          <w:highlight w:val="none"/>
        </w:rPr>
        <w:t>。</w:t>
      </w:r>
    </w:p>
    <w:p w14:paraId="608642C7">
      <w:pPr>
        <w:spacing w:line="360" w:lineRule="auto"/>
        <w:ind w:firstLine="435"/>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注：上述条款中所要求的书面形式包含通过电子交易系统递交方式。</w:t>
      </w:r>
    </w:p>
    <w:p w14:paraId="43B1C9F4">
      <w:pPr>
        <w:spacing w:line="360" w:lineRule="auto"/>
        <w:ind w:firstLine="437"/>
        <w:outlineLvl w:val="2"/>
        <w:rPr>
          <w:rFonts w:hint="eastAsia" w:ascii="宋体" w:hAnsi="宋体" w:eastAsia="宋体"/>
          <w:b/>
          <w:color w:val="auto"/>
          <w:sz w:val="24"/>
          <w:highlight w:val="none"/>
        </w:rPr>
      </w:pPr>
      <w:r>
        <w:rPr>
          <w:rFonts w:hint="eastAsia" w:ascii="宋体" w:hAnsi="宋体" w:eastAsia="宋体"/>
          <w:b/>
          <w:color w:val="auto"/>
          <w:sz w:val="24"/>
          <w:highlight w:val="none"/>
          <w:lang w:val="en-US" w:eastAsia="zh-CN"/>
        </w:rPr>
        <w:t>30</w:t>
      </w:r>
      <w:r>
        <w:rPr>
          <w:rFonts w:ascii="宋体" w:hAnsi="宋体" w:eastAsia="宋体"/>
          <w:b/>
          <w:color w:val="auto"/>
          <w:sz w:val="24"/>
          <w:highlight w:val="none"/>
        </w:rPr>
        <w:t>.</w:t>
      </w:r>
      <w:r>
        <w:rPr>
          <w:rFonts w:hint="eastAsia" w:ascii="宋体" w:hAnsi="宋体" w:eastAsia="宋体"/>
          <w:b/>
          <w:color w:val="auto"/>
          <w:sz w:val="24"/>
          <w:highlight w:val="none"/>
        </w:rPr>
        <w:t>投诉</w:t>
      </w:r>
    </w:p>
    <w:p w14:paraId="60F50116">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30.1质疑供应商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0E62023D">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30.2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50E2723B">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30.3政府采购监督管理部门在处理投诉事项期间，可以视具体情况书面通知采购人暂停采购活动，但暂停时间最长不得超过30日。</w:t>
      </w:r>
    </w:p>
    <w:p w14:paraId="4A5A3CE8">
      <w:pPr>
        <w:spacing w:line="360" w:lineRule="auto"/>
        <w:ind w:firstLine="437"/>
        <w:outlineLvl w:val="2"/>
        <w:rPr>
          <w:rFonts w:ascii="宋体" w:hAnsi="宋体" w:eastAsia="宋体"/>
          <w:b/>
          <w:color w:val="auto"/>
          <w:sz w:val="24"/>
          <w:highlight w:val="none"/>
        </w:rPr>
      </w:pPr>
      <w:r>
        <w:rPr>
          <w:rFonts w:hint="eastAsia" w:ascii="宋体" w:hAnsi="宋体" w:eastAsia="宋体"/>
          <w:b/>
          <w:color w:val="auto"/>
          <w:sz w:val="24"/>
          <w:highlight w:val="none"/>
        </w:rPr>
        <w:t>31.</w:t>
      </w:r>
      <w:r>
        <w:rPr>
          <w:rFonts w:ascii="宋体" w:hAnsi="宋体" w:eastAsia="宋体"/>
          <w:b/>
          <w:color w:val="auto"/>
          <w:sz w:val="24"/>
          <w:highlight w:val="none"/>
        </w:rPr>
        <w:t>需要</w:t>
      </w:r>
      <w:r>
        <w:rPr>
          <w:rFonts w:asciiTheme="minorEastAsia" w:hAnsiTheme="minorEastAsia" w:eastAsiaTheme="minorEastAsia"/>
          <w:b/>
          <w:color w:val="auto"/>
          <w:sz w:val="24"/>
          <w:highlight w:val="none"/>
        </w:rPr>
        <w:t>补充</w:t>
      </w:r>
      <w:r>
        <w:rPr>
          <w:rFonts w:ascii="宋体" w:hAnsi="宋体" w:eastAsia="宋体"/>
          <w:b/>
          <w:color w:val="auto"/>
          <w:sz w:val="24"/>
          <w:highlight w:val="none"/>
        </w:rPr>
        <w:t>的其他内容</w:t>
      </w:r>
    </w:p>
    <w:p w14:paraId="27816682">
      <w:pPr>
        <w:spacing w:line="360" w:lineRule="auto"/>
        <w:ind w:firstLine="437"/>
        <w:outlineLvl w:val="2"/>
        <w:rPr>
          <w:rFonts w:asciiTheme="minorEastAsia" w:hAnsiTheme="minorEastAsia" w:eastAsiaTheme="minorEastAsia"/>
          <w:b/>
          <w:color w:val="auto"/>
          <w:sz w:val="28"/>
          <w:highlight w:val="none"/>
        </w:rPr>
      </w:pPr>
      <w:r>
        <w:rPr>
          <w:rFonts w:hint="eastAsia" w:ascii="宋体" w:hAnsi="宋体" w:eastAsia="宋体"/>
          <w:color w:val="auto"/>
          <w:sz w:val="24"/>
          <w:highlight w:val="none"/>
        </w:rPr>
        <w:t>需要补充的其他内容，见</w:t>
      </w:r>
      <w:r>
        <w:rPr>
          <w:rFonts w:hint="eastAsia" w:ascii="宋体" w:hAnsi="宋体" w:eastAsia="宋体"/>
          <w:color w:val="auto"/>
          <w:sz w:val="24"/>
          <w:highlight w:val="none"/>
          <w:u w:val="single"/>
        </w:rPr>
        <w:t>供应商须知前附表</w:t>
      </w:r>
      <w:r>
        <w:rPr>
          <w:rFonts w:hint="eastAsia" w:ascii="宋体" w:hAnsi="宋体" w:eastAsia="宋体"/>
          <w:color w:val="auto"/>
          <w:sz w:val="24"/>
          <w:highlight w:val="none"/>
        </w:rPr>
        <w:t>。</w:t>
      </w:r>
      <w:r>
        <w:rPr>
          <w:rFonts w:asciiTheme="minorEastAsia" w:hAnsiTheme="minorEastAsia" w:eastAsiaTheme="minorEastAsia"/>
          <w:color w:val="auto"/>
          <w:sz w:val="24"/>
          <w:highlight w:val="none"/>
        </w:rPr>
        <w:br w:type="page"/>
      </w:r>
    </w:p>
    <w:p w14:paraId="0031BB0E">
      <w:pPr>
        <w:spacing w:line="360" w:lineRule="auto"/>
        <w:jc w:val="center"/>
        <w:outlineLvl w:val="0"/>
        <w:rPr>
          <w:rFonts w:asciiTheme="minorEastAsia" w:hAnsiTheme="minorEastAsia" w:eastAsiaTheme="minorEastAsia"/>
          <w:b/>
          <w:color w:val="auto"/>
          <w:sz w:val="28"/>
          <w:highlight w:val="none"/>
        </w:rPr>
      </w:pPr>
      <w:bookmarkStart w:id="20" w:name="_Toc19440"/>
      <w:bookmarkStart w:id="21" w:name="_Toc28125"/>
      <w:r>
        <w:rPr>
          <w:rFonts w:hint="eastAsia" w:asciiTheme="minorEastAsia" w:hAnsiTheme="minorEastAsia" w:eastAsiaTheme="minorEastAsia"/>
          <w:b/>
          <w:color w:val="auto"/>
          <w:sz w:val="28"/>
          <w:highlight w:val="none"/>
        </w:rPr>
        <w:t>第三章  采购需求</w:t>
      </w:r>
      <w:bookmarkEnd w:id="20"/>
      <w:bookmarkEnd w:id="21"/>
    </w:p>
    <w:p w14:paraId="3A89F79D">
      <w:pPr>
        <w:spacing w:line="360" w:lineRule="auto"/>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前注：</w:t>
      </w:r>
    </w:p>
    <w:p w14:paraId="70DE19B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本采购需求中提出的服务方案仅为参考，如无明确限制，</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可以进行优化，提供满足采购人实际需要的更优（或者性能实质上不低于的）服务方案，且此方案须经</w:t>
      </w:r>
      <w:r>
        <w:rPr>
          <w:rFonts w:hint="eastAsia" w:ascii="宋体" w:hAnsi="宋体" w:eastAsia="宋体" w:cs="宋体"/>
          <w:color w:val="auto"/>
          <w:sz w:val="24"/>
          <w:szCs w:val="24"/>
          <w:highlight w:val="none"/>
          <w:lang w:eastAsia="zh-CN"/>
        </w:rPr>
        <w:t>磋商小组</w:t>
      </w:r>
      <w:r>
        <w:rPr>
          <w:rFonts w:hint="eastAsia" w:ascii="宋体" w:hAnsi="宋体" w:eastAsia="宋体" w:cs="宋体"/>
          <w:color w:val="auto"/>
          <w:sz w:val="24"/>
          <w:szCs w:val="24"/>
          <w:highlight w:val="none"/>
        </w:rPr>
        <w:t>评审认可。</w:t>
      </w:r>
    </w:p>
    <w:p w14:paraId="13E6F224">
      <w:pPr>
        <w:spacing w:line="360" w:lineRule="auto"/>
        <w:ind w:firstLine="435"/>
        <w:rPr>
          <w:rFonts w:hint="eastAsia" w:ascii="宋体" w:hAnsi="宋体" w:eastAsia="宋体"/>
          <w:color w:val="auto"/>
          <w:sz w:val="24"/>
          <w:szCs w:val="18"/>
          <w:highlight w:val="none"/>
        </w:rPr>
      </w:pPr>
      <w:r>
        <w:rPr>
          <w:rFonts w:hint="eastAsia" w:ascii="宋体" w:hAnsi="宋体" w:eastAsia="宋体"/>
          <w:color w:val="auto"/>
          <w:sz w:val="24"/>
          <w:szCs w:val="18"/>
          <w:highlight w:val="none"/>
        </w:rPr>
        <w:t>2.下列采购需求中</w:t>
      </w:r>
      <w:r>
        <w:rPr>
          <w:rFonts w:ascii="宋体" w:hAnsi="宋体" w:eastAsia="宋体" w:cs="宋体"/>
          <w:color w:val="auto"/>
          <w:sz w:val="24"/>
          <w:szCs w:val="24"/>
          <w:highlight w:val="none"/>
        </w:rPr>
        <w:t>（包括但不限于下列具体政策要求</w:t>
      </w:r>
      <w:r>
        <w:rPr>
          <w:rFonts w:hint="eastAsia" w:ascii="宋体" w:hAnsi="宋体" w:eastAsia="宋体" w:cs="宋体"/>
          <w:color w:val="auto"/>
          <w:sz w:val="24"/>
          <w:szCs w:val="24"/>
          <w:highlight w:val="none"/>
          <w:lang w:eastAsia="zh-CN"/>
        </w:rPr>
        <w:t>）</w:t>
      </w:r>
      <w:r>
        <w:rPr>
          <w:rFonts w:hint="eastAsia" w:ascii="宋体" w:hAnsi="宋体" w:eastAsia="宋体"/>
          <w:color w:val="auto"/>
          <w:sz w:val="24"/>
          <w:szCs w:val="18"/>
          <w:highlight w:val="none"/>
        </w:rPr>
        <w:t>：</w:t>
      </w:r>
    </w:p>
    <w:p w14:paraId="28A055A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（1）如属于《节能产品政府采购品目清单》中政府强制采购的节能产品，则</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lang w:val="en-US" w:eastAsia="zh-CN"/>
        </w:rPr>
        <w:t>在响应文件中提供</w:t>
      </w:r>
      <w:r>
        <w:rPr>
          <w:rFonts w:hint="eastAsia" w:ascii="宋体" w:hAnsi="宋体" w:eastAsia="宋体" w:cs="宋体"/>
          <w:color w:val="auto"/>
          <w:sz w:val="24"/>
          <w:szCs w:val="24"/>
          <w:highlight w:val="none"/>
        </w:rPr>
        <w:t>所投产品须具有市场监管总局公布的《参与实施政府采购节能产品认证机构目录》中的认证机构出具的、处于有效期内的节能产品认证证书。</w:t>
      </w:r>
    </w:p>
    <w:p w14:paraId="2796F1A3">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（2）如涉及商品包装和快递包装，</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p w14:paraId="2A8852EC">
      <w:pPr>
        <w:spacing w:line="360" w:lineRule="auto"/>
        <w:ind w:firstLine="435"/>
        <w:rPr>
          <w:rFonts w:asciiTheme="minorEastAsia" w:hAnsiTheme="minorEastAsia" w:eastAsiaTheme="minorEastAsia"/>
          <w:color w:val="auto"/>
          <w:sz w:val="24"/>
          <w:highlight w:val="none"/>
        </w:rPr>
      </w:pPr>
      <w:r>
        <w:rPr>
          <w:rFonts w:hint="eastAsia" w:ascii="宋体" w:hAnsi="宋体" w:eastAsia="宋体"/>
          <w:color w:val="auto"/>
          <w:sz w:val="24"/>
          <w:szCs w:val="18"/>
          <w:highlight w:val="none"/>
        </w:rPr>
        <w:t>3.如采购人允许采用分包方式履行合同的，应当明确可以分包履行的相关内容</w:t>
      </w:r>
      <w:r>
        <w:rPr>
          <w:rFonts w:hint="eastAsia" w:ascii="宋体" w:hAnsi="宋体" w:eastAsia="宋体"/>
          <w:color w:val="auto"/>
          <w:sz w:val="24"/>
          <w:szCs w:val="18"/>
          <w:highlight w:val="none"/>
          <w:lang w:eastAsia="zh-CN"/>
        </w:rPr>
        <w:t>：</w:t>
      </w:r>
      <w:r>
        <w:rPr>
          <w:rFonts w:hint="eastAsia" w:ascii="宋体" w:hAnsi="宋体" w:eastAsia="宋体"/>
          <w:color w:val="auto"/>
          <w:sz w:val="24"/>
          <w:szCs w:val="18"/>
          <w:highlight w:val="none"/>
          <w:u w:val="single"/>
          <w:lang w:eastAsia="zh-CN"/>
        </w:rPr>
        <w:t>本项目不允许分包</w:t>
      </w:r>
      <w:r>
        <w:rPr>
          <w:rFonts w:hint="eastAsia" w:ascii="宋体" w:hAnsi="宋体" w:eastAsia="宋体"/>
          <w:color w:val="auto"/>
          <w:sz w:val="24"/>
          <w:szCs w:val="18"/>
          <w:highlight w:val="none"/>
        </w:rPr>
        <w:t>。</w:t>
      </w:r>
    </w:p>
    <w:p w14:paraId="6D3A75CF">
      <w:pPr>
        <w:spacing w:line="360" w:lineRule="auto"/>
        <w:ind w:firstLine="437"/>
        <w:outlineLvl w:val="1"/>
        <w:rPr>
          <w:rFonts w:ascii="宋体" w:hAnsi="宋体" w:eastAsia="宋体"/>
          <w:b/>
          <w:color w:val="auto"/>
          <w:sz w:val="24"/>
          <w:szCs w:val="18"/>
          <w:highlight w:val="none"/>
        </w:rPr>
      </w:pPr>
      <w:bookmarkStart w:id="22" w:name="_Toc26349"/>
      <w:bookmarkStart w:id="23" w:name="_Toc7699"/>
      <w:r>
        <w:rPr>
          <w:rFonts w:hint="eastAsia" w:ascii="宋体" w:hAnsi="宋体" w:eastAsia="宋体"/>
          <w:b/>
          <w:color w:val="auto"/>
          <w:sz w:val="24"/>
          <w:szCs w:val="18"/>
          <w:highlight w:val="none"/>
        </w:rPr>
        <w:t>一、采购需求前附表</w:t>
      </w:r>
      <w:bookmarkEnd w:id="22"/>
      <w:bookmarkEnd w:id="23"/>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40BE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CB267A2">
            <w:pPr>
              <w:pStyle w:val="43"/>
              <w:pBdr>
                <w:bottom w:val="none" w:color="auto" w:sz="0" w:space="0"/>
              </w:pBdr>
              <w:tabs>
                <w:tab w:val="clear" w:pos="4153"/>
                <w:tab w:val="clear" w:pos="8306"/>
              </w:tabs>
              <w:adjustRightInd/>
              <w:spacing w:line="240" w:lineRule="auto"/>
              <w:textAlignment w:val="auto"/>
              <w:rPr>
                <w:rFonts w:ascii="宋体" w:hAnsi="宋体" w:eastAsia="宋体"/>
                <w:b/>
                <w:color w:val="auto"/>
                <w:kern w:val="2"/>
                <w:highlight w:val="none"/>
              </w:rPr>
            </w:pPr>
            <w:bookmarkStart w:id="24" w:name="_Hlk16461016"/>
            <w:r>
              <w:rPr>
                <w:rFonts w:hint="eastAsia" w:ascii="宋体" w:hAnsi="宋体" w:eastAsia="宋体"/>
                <w:b/>
                <w:color w:val="auto"/>
                <w:kern w:val="2"/>
                <w:highlight w:val="none"/>
              </w:rPr>
              <w:t>序号</w:t>
            </w:r>
          </w:p>
        </w:tc>
        <w:tc>
          <w:tcPr>
            <w:tcW w:w="1192" w:type="pct"/>
            <w:vAlign w:val="center"/>
          </w:tcPr>
          <w:p w14:paraId="6A3505F7">
            <w:pPr>
              <w:pStyle w:val="42"/>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条款名称</w:t>
            </w:r>
          </w:p>
        </w:tc>
        <w:tc>
          <w:tcPr>
            <w:tcW w:w="3217" w:type="pct"/>
            <w:vAlign w:val="center"/>
          </w:tcPr>
          <w:p w14:paraId="4D365F77">
            <w:pPr>
              <w:pStyle w:val="42"/>
              <w:widowControl w:val="0"/>
              <w:spacing w:before="0" w:beforeAutospacing="0" w:after="0" w:afterAutospacing="0" w:line="360" w:lineRule="auto"/>
              <w:rPr>
                <w:rFonts w:ascii="宋体" w:hAnsi="宋体" w:eastAsia="宋体"/>
                <w:bCs w:val="0"/>
                <w:color w:val="auto"/>
                <w:sz w:val="24"/>
                <w:highlight w:val="none"/>
              </w:rPr>
            </w:pPr>
            <w:r>
              <w:rPr>
                <w:rFonts w:hint="eastAsia" w:ascii="宋体" w:hAnsi="宋体" w:eastAsia="宋体"/>
                <w:bCs w:val="0"/>
                <w:color w:val="auto"/>
                <w:sz w:val="24"/>
                <w:highlight w:val="none"/>
              </w:rPr>
              <w:t>内容、说明与要求</w:t>
            </w:r>
          </w:p>
        </w:tc>
      </w:tr>
      <w:tr w14:paraId="36DFC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58A1A8D">
            <w:pPr>
              <w:pStyle w:val="43"/>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1</w:t>
            </w:r>
          </w:p>
        </w:tc>
        <w:tc>
          <w:tcPr>
            <w:tcW w:w="1192" w:type="pct"/>
            <w:vAlign w:val="center"/>
          </w:tcPr>
          <w:p w14:paraId="41019F99">
            <w:pPr>
              <w:pStyle w:val="42"/>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付款方式</w:t>
            </w:r>
          </w:p>
        </w:tc>
        <w:tc>
          <w:tcPr>
            <w:tcW w:w="3217" w:type="pct"/>
            <w:vAlign w:val="center"/>
          </w:tcPr>
          <w:p w14:paraId="009F757C">
            <w:pPr>
              <w:pStyle w:val="42"/>
              <w:widowControl w:val="0"/>
              <w:spacing w:before="0" w:beforeAutospacing="0" w:after="0" w:afterAutospacing="0" w:line="360" w:lineRule="auto"/>
              <w:jc w:val="both"/>
              <w:rPr>
                <w:rFonts w:ascii="宋体" w:hAnsi="宋体" w:eastAsia="宋体"/>
                <w:b w:val="0"/>
                <w:color w:val="auto"/>
                <w:sz w:val="24"/>
                <w:highlight w:val="none"/>
                <w:u w:val="single"/>
              </w:rPr>
            </w:pPr>
            <w:r>
              <w:rPr>
                <w:rFonts w:hint="eastAsia" w:ascii="宋体" w:hAnsi="宋体" w:eastAsia="宋体"/>
                <w:b w:val="0"/>
                <w:color w:val="auto"/>
                <w:sz w:val="24"/>
                <w:highlight w:val="none"/>
                <w:u w:val="single"/>
              </w:rPr>
              <w:t>合同签订后支付50%的费用，媒体行结束后付清尾款。</w:t>
            </w:r>
          </w:p>
        </w:tc>
      </w:tr>
      <w:tr w14:paraId="3458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6D2FD4F">
            <w:pPr>
              <w:pStyle w:val="43"/>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2</w:t>
            </w:r>
          </w:p>
        </w:tc>
        <w:tc>
          <w:tcPr>
            <w:tcW w:w="1192" w:type="pct"/>
            <w:vAlign w:val="center"/>
          </w:tcPr>
          <w:p w14:paraId="7EA04B91">
            <w:pPr>
              <w:pStyle w:val="42"/>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服务地点</w:t>
            </w:r>
          </w:p>
        </w:tc>
        <w:tc>
          <w:tcPr>
            <w:tcW w:w="3217" w:type="pct"/>
            <w:vAlign w:val="center"/>
          </w:tcPr>
          <w:p w14:paraId="497EC722">
            <w:pPr>
              <w:pStyle w:val="42"/>
              <w:widowControl w:val="0"/>
              <w:spacing w:before="0" w:beforeAutospacing="0" w:after="0" w:afterAutospacing="0" w:line="360" w:lineRule="auto"/>
              <w:jc w:val="both"/>
              <w:rPr>
                <w:rFonts w:ascii="宋体" w:hAnsi="宋体" w:eastAsia="宋体"/>
                <w:b w:val="0"/>
                <w:color w:val="auto"/>
                <w:sz w:val="24"/>
                <w:highlight w:val="none"/>
              </w:rPr>
            </w:pPr>
            <w:r>
              <w:rPr>
                <w:rFonts w:hint="eastAsia" w:ascii="宋体" w:hAnsi="宋体" w:eastAsia="宋体"/>
                <w:b w:val="0"/>
                <w:color w:val="auto"/>
                <w:sz w:val="24"/>
                <w:highlight w:val="none"/>
                <w:u w:val="single"/>
              </w:rPr>
              <w:t xml:space="preserve">滁州市内 </w:t>
            </w:r>
          </w:p>
        </w:tc>
      </w:tr>
      <w:tr w14:paraId="2759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DD354FD">
            <w:pPr>
              <w:pStyle w:val="43"/>
              <w:pBdr>
                <w:bottom w:val="none" w:color="auto" w:sz="0" w:space="0"/>
              </w:pBdr>
              <w:tabs>
                <w:tab w:val="clear" w:pos="4153"/>
                <w:tab w:val="clear" w:pos="8306"/>
              </w:tabs>
              <w:adjustRightInd/>
              <w:spacing w:line="240" w:lineRule="auto"/>
              <w:textAlignment w:val="auto"/>
              <w:rPr>
                <w:rFonts w:ascii="宋体" w:hAnsi="宋体" w:eastAsia="宋体"/>
                <w:bCs/>
                <w:color w:val="auto"/>
                <w:kern w:val="2"/>
                <w:highlight w:val="none"/>
              </w:rPr>
            </w:pPr>
            <w:r>
              <w:rPr>
                <w:rFonts w:hint="eastAsia" w:ascii="宋体" w:hAnsi="宋体" w:eastAsia="宋体"/>
                <w:bCs/>
                <w:color w:val="auto"/>
                <w:kern w:val="2"/>
                <w:highlight w:val="none"/>
              </w:rPr>
              <w:t>3</w:t>
            </w:r>
          </w:p>
        </w:tc>
        <w:tc>
          <w:tcPr>
            <w:tcW w:w="1192" w:type="pct"/>
            <w:vAlign w:val="center"/>
          </w:tcPr>
          <w:p w14:paraId="5CDCA40A">
            <w:pPr>
              <w:pStyle w:val="42"/>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服务期限</w:t>
            </w:r>
          </w:p>
        </w:tc>
        <w:tc>
          <w:tcPr>
            <w:tcW w:w="3217" w:type="pct"/>
            <w:vAlign w:val="center"/>
          </w:tcPr>
          <w:p w14:paraId="559C04F9">
            <w:pPr>
              <w:pStyle w:val="42"/>
              <w:widowControl w:val="0"/>
              <w:spacing w:before="0" w:beforeAutospacing="0" w:after="0" w:afterAutospacing="0" w:line="360" w:lineRule="auto"/>
              <w:jc w:val="both"/>
              <w:rPr>
                <w:rFonts w:hint="eastAsia" w:ascii="宋体" w:hAnsi="宋体" w:eastAsia="宋体"/>
                <w:b w:val="0"/>
                <w:color w:val="auto"/>
                <w:sz w:val="24"/>
                <w:highlight w:val="none"/>
                <w:lang w:eastAsia="zh-CN"/>
              </w:rPr>
            </w:pPr>
            <w:r>
              <w:rPr>
                <w:rFonts w:hint="eastAsia" w:ascii="宋体" w:hAnsi="宋体" w:eastAsia="宋体"/>
                <w:b w:val="0"/>
                <w:color w:val="auto"/>
                <w:sz w:val="24"/>
                <w:highlight w:val="none"/>
                <w:u w:val="single"/>
                <w:lang w:eastAsia="zh-CN"/>
              </w:rPr>
              <w:t>一年（12个月），具体以合同签订日期为准。</w:t>
            </w:r>
          </w:p>
        </w:tc>
      </w:tr>
      <w:tr w14:paraId="6A70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590" w:type="pct"/>
            <w:vAlign w:val="center"/>
          </w:tcPr>
          <w:p w14:paraId="1F59B19C">
            <w:pPr>
              <w:pStyle w:val="43"/>
              <w:pBdr>
                <w:bottom w:val="none" w:color="auto" w:sz="0" w:space="0"/>
              </w:pBdr>
              <w:tabs>
                <w:tab w:val="clear" w:pos="4153"/>
                <w:tab w:val="clear" w:pos="8306"/>
              </w:tabs>
              <w:adjustRightInd/>
              <w:spacing w:line="240" w:lineRule="auto"/>
              <w:textAlignment w:val="auto"/>
              <w:rPr>
                <w:rFonts w:hint="eastAsia" w:ascii="宋体" w:hAnsi="宋体" w:eastAsia="宋体"/>
                <w:bCs/>
                <w:color w:val="auto"/>
                <w:kern w:val="2"/>
                <w:highlight w:val="none"/>
                <w:lang w:eastAsia="zh-CN"/>
              </w:rPr>
            </w:pPr>
            <w:r>
              <w:rPr>
                <w:rFonts w:hint="eastAsia" w:ascii="宋体" w:hAnsi="宋体" w:eastAsia="宋体"/>
                <w:bCs/>
                <w:color w:val="auto"/>
                <w:kern w:val="2"/>
                <w:highlight w:val="none"/>
                <w:lang w:val="en-US" w:eastAsia="zh-CN"/>
              </w:rPr>
              <w:t>4</w:t>
            </w:r>
          </w:p>
        </w:tc>
        <w:tc>
          <w:tcPr>
            <w:tcW w:w="1192" w:type="pct"/>
            <w:vAlign w:val="center"/>
          </w:tcPr>
          <w:p w14:paraId="75074A5C">
            <w:pPr>
              <w:pStyle w:val="42"/>
              <w:widowControl w:val="0"/>
              <w:spacing w:before="0" w:beforeAutospacing="0" w:after="0" w:afterAutospacing="0" w:line="360" w:lineRule="auto"/>
              <w:rPr>
                <w:rFonts w:ascii="宋体" w:hAnsi="宋体" w:eastAsia="宋体"/>
                <w:b w:val="0"/>
                <w:color w:val="auto"/>
                <w:sz w:val="24"/>
                <w:highlight w:val="none"/>
              </w:rPr>
            </w:pPr>
            <w:r>
              <w:rPr>
                <w:rFonts w:hint="eastAsia" w:ascii="宋体" w:hAnsi="宋体" w:eastAsia="宋体"/>
                <w:b w:val="0"/>
                <w:color w:val="auto"/>
                <w:sz w:val="24"/>
                <w:highlight w:val="none"/>
              </w:rPr>
              <w:t>本项目采购标的名称及所属行业</w:t>
            </w:r>
          </w:p>
        </w:tc>
        <w:tc>
          <w:tcPr>
            <w:tcW w:w="3217" w:type="pct"/>
            <w:vAlign w:val="center"/>
          </w:tcPr>
          <w:p w14:paraId="3D1DF6E7">
            <w:pPr>
              <w:spacing w:line="360" w:lineRule="auto"/>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标的名称：</w:t>
            </w:r>
            <w:r>
              <w:rPr>
                <w:rFonts w:hint="eastAsia" w:asciiTheme="minorEastAsia" w:hAnsiTheme="minorEastAsia" w:eastAsiaTheme="minorEastAsia"/>
                <w:color w:val="auto"/>
                <w:sz w:val="24"/>
                <w:highlight w:val="none"/>
                <w:lang w:eastAsia="zh-CN"/>
              </w:rPr>
              <w:t>2025年网络宣传项目（二）</w:t>
            </w:r>
          </w:p>
          <w:p w14:paraId="479E0895">
            <w:pPr>
              <w:rPr>
                <w:rFonts w:ascii="宋体" w:hAnsi="宋体" w:eastAsia="宋体"/>
                <w:b w:val="0"/>
                <w:color w:val="auto"/>
                <w:sz w:val="24"/>
                <w:highlight w:val="none"/>
                <w:u w:val="single"/>
              </w:rPr>
            </w:pPr>
            <w:r>
              <w:rPr>
                <w:rFonts w:hint="eastAsia" w:asciiTheme="minorEastAsia" w:hAnsiTheme="minorEastAsia" w:eastAsiaTheme="minorEastAsia"/>
                <w:color w:val="auto"/>
                <w:sz w:val="24"/>
                <w:highlight w:val="none"/>
              </w:rPr>
              <w:t>所属行业：租赁和商务服务业</w:t>
            </w:r>
          </w:p>
        </w:tc>
      </w:tr>
    </w:tbl>
    <w:p w14:paraId="7D14C4A3">
      <w:pPr>
        <w:spacing w:line="360" w:lineRule="auto"/>
        <w:ind w:firstLine="437"/>
        <w:outlineLvl w:val="1"/>
        <w:rPr>
          <w:rFonts w:hint="eastAsia" w:ascii="宋体" w:hAnsi="宋体" w:eastAsia="宋体"/>
          <w:b/>
          <w:color w:val="auto"/>
          <w:sz w:val="24"/>
          <w:szCs w:val="18"/>
          <w:highlight w:val="none"/>
        </w:rPr>
      </w:pPr>
      <w:bookmarkStart w:id="25" w:name="_Toc23116"/>
      <w:bookmarkStart w:id="26" w:name="_Toc25144"/>
    </w:p>
    <w:p w14:paraId="58842C9A">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二、项目概况</w:t>
      </w:r>
      <w:bookmarkEnd w:id="25"/>
      <w:bookmarkEnd w:id="26"/>
    </w:p>
    <w:p w14:paraId="0A7FD9DB">
      <w:pPr>
        <w:spacing w:line="360" w:lineRule="auto"/>
        <w:ind w:firstLine="437"/>
        <w:rPr>
          <w:rFonts w:ascii="宋体" w:hAnsi="宋体" w:eastAsia="宋体"/>
          <w:b w:val="0"/>
          <w:bCs/>
          <w:color w:val="auto"/>
          <w:sz w:val="24"/>
          <w:szCs w:val="18"/>
          <w:highlight w:val="none"/>
        </w:rPr>
      </w:pPr>
      <w:r>
        <w:rPr>
          <w:rFonts w:hint="eastAsia" w:ascii="宋体" w:hAnsi="宋体" w:eastAsia="宋体"/>
          <w:b w:val="0"/>
          <w:bCs/>
          <w:color w:val="auto"/>
          <w:sz w:val="24"/>
          <w:szCs w:val="18"/>
          <w:highlight w:val="none"/>
          <w:lang w:val="en-US" w:eastAsia="zh-CN"/>
        </w:rPr>
        <w:t>为充分发挥全媒体网络矩阵优势，不断提升和拓展滁州宣传的美誉度和网络传播的覆盖面，为滁州市的经济社会发展创造良好的网络舆论环境，现开展2025年网络宣传项目（二）</w:t>
      </w:r>
      <w:r>
        <w:rPr>
          <w:rFonts w:hint="eastAsia" w:ascii="宋体" w:hAnsi="宋体" w:eastAsia="宋体"/>
          <w:b w:val="0"/>
          <w:bCs/>
          <w:color w:val="auto"/>
          <w:sz w:val="24"/>
          <w:szCs w:val="18"/>
          <w:highlight w:val="none"/>
        </w:rPr>
        <w:t>。</w:t>
      </w:r>
    </w:p>
    <w:p w14:paraId="752ADD3F">
      <w:pPr>
        <w:spacing w:line="360" w:lineRule="auto"/>
        <w:ind w:firstLine="437"/>
        <w:outlineLvl w:val="1"/>
        <w:rPr>
          <w:rFonts w:hint="eastAsia" w:ascii="宋体" w:hAnsi="宋体" w:eastAsia="宋体"/>
          <w:b/>
          <w:color w:val="auto"/>
          <w:sz w:val="24"/>
          <w:szCs w:val="18"/>
          <w:highlight w:val="none"/>
        </w:rPr>
      </w:pPr>
      <w:bookmarkStart w:id="27" w:name="_Toc21757"/>
      <w:bookmarkStart w:id="28" w:name="_Toc8586"/>
    </w:p>
    <w:p w14:paraId="751E79C8">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rPr>
        <w:t>三、服务需求</w:t>
      </w:r>
      <w:bookmarkEnd w:id="27"/>
      <w:bookmarkEnd w:id="28"/>
    </w:p>
    <w:p w14:paraId="62A63CE3">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b w:val="0"/>
          <w:bCs/>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1.媒体行。围绕“双招双引”，开展线下媒体采风行一场。</w:t>
      </w:r>
    </w:p>
    <w:p w14:paraId="1421AC01">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b w:val="0"/>
          <w:bCs/>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2.推介会。大湾区线下推介会一场。</w:t>
      </w:r>
    </w:p>
    <w:p w14:paraId="75B162B3">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b/>
          <w:bCs w:val="0"/>
          <w:color w:val="auto"/>
          <w:sz w:val="24"/>
          <w:szCs w:val="18"/>
          <w:highlight w:val="none"/>
          <w:lang w:val="en-US" w:eastAsia="zh-CN"/>
        </w:rPr>
      </w:pPr>
      <w:r>
        <w:rPr>
          <w:rFonts w:hint="eastAsia" w:ascii="宋体" w:hAnsi="宋体" w:eastAsia="宋体"/>
          <w:b w:val="0"/>
          <w:bCs/>
          <w:color w:val="auto"/>
          <w:sz w:val="24"/>
          <w:szCs w:val="18"/>
          <w:highlight w:val="none"/>
          <w:lang w:val="en-US" w:eastAsia="zh-CN"/>
        </w:rPr>
        <w:t>3.全年宣传。协调新媒体平台，及时宣传滁州重大活动、会议等，提升和拓展滁州宣传的美誉度和网络传播的覆盖面。</w:t>
      </w:r>
    </w:p>
    <w:p w14:paraId="4B5C50B9">
      <w:pPr>
        <w:spacing w:line="360" w:lineRule="auto"/>
        <w:ind w:firstLine="437"/>
        <w:outlineLvl w:val="1"/>
        <w:rPr>
          <w:rFonts w:hint="eastAsia" w:ascii="宋体" w:hAnsi="宋体" w:eastAsia="宋体"/>
          <w:b/>
          <w:color w:val="auto"/>
          <w:sz w:val="24"/>
          <w:szCs w:val="18"/>
          <w:highlight w:val="none"/>
          <w:lang w:val="en-US" w:eastAsia="zh-CN"/>
        </w:rPr>
      </w:pPr>
      <w:bookmarkStart w:id="29" w:name="_Toc12910"/>
      <w:bookmarkStart w:id="30" w:name="_Toc18052"/>
    </w:p>
    <w:p w14:paraId="726F0CB9">
      <w:pPr>
        <w:spacing w:line="360" w:lineRule="auto"/>
        <w:ind w:firstLine="437"/>
        <w:outlineLvl w:val="1"/>
        <w:rPr>
          <w:rFonts w:ascii="宋体" w:hAnsi="宋体" w:eastAsia="宋体"/>
          <w:b/>
          <w:color w:val="auto"/>
          <w:sz w:val="24"/>
          <w:szCs w:val="18"/>
          <w:highlight w:val="none"/>
        </w:rPr>
      </w:pPr>
      <w:r>
        <w:rPr>
          <w:rFonts w:hint="eastAsia" w:ascii="宋体" w:hAnsi="宋体" w:eastAsia="宋体"/>
          <w:b/>
          <w:color w:val="auto"/>
          <w:sz w:val="24"/>
          <w:szCs w:val="18"/>
          <w:highlight w:val="none"/>
          <w:lang w:val="en-US" w:eastAsia="zh-CN"/>
        </w:rPr>
        <w:t>四</w:t>
      </w:r>
      <w:r>
        <w:rPr>
          <w:rFonts w:hint="eastAsia" w:ascii="宋体" w:hAnsi="宋体" w:eastAsia="宋体"/>
          <w:b/>
          <w:color w:val="auto"/>
          <w:sz w:val="24"/>
          <w:szCs w:val="18"/>
          <w:highlight w:val="none"/>
        </w:rPr>
        <w:t>、报价要求</w:t>
      </w:r>
      <w:bookmarkEnd w:id="29"/>
      <w:bookmarkEnd w:id="30"/>
    </w:p>
    <w:p w14:paraId="5689971B">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2"/>
        <w:rPr>
          <w:rFonts w:hint="eastAsia" w:ascii="宋体" w:hAnsi="宋体" w:eastAsia="宋体"/>
          <w:b w:val="0"/>
          <w:bCs/>
          <w:color w:val="auto"/>
          <w:sz w:val="24"/>
          <w:szCs w:val="18"/>
          <w:highlight w:val="none"/>
          <w:lang w:val="en-US" w:eastAsia="zh-CN"/>
        </w:rPr>
      </w:pPr>
      <w:bookmarkStart w:id="31" w:name="_Toc23590"/>
      <w:bookmarkStart w:id="32" w:name="_Toc3530"/>
      <w:r>
        <w:rPr>
          <w:rFonts w:hint="eastAsia" w:ascii="宋体" w:hAnsi="宋体" w:eastAsia="宋体"/>
          <w:b w:val="0"/>
          <w:bCs/>
          <w:color w:val="auto"/>
          <w:sz w:val="24"/>
          <w:szCs w:val="18"/>
          <w:highlight w:val="none"/>
          <w:lang w:val="en-US" w:eastAsia="zh-CN"/>
        </w:rPr>
        <w:t>供应商的报价应含有服务、利润、税金、政策性文件规定及合同包含的所有风险、责任、义务等，即为完成磋商文件要求的服务内容所包含的一切应有费用，其组成包括国家对中标单位征收的各种税费等所有一切费用，成交价格今后将不作任何调整，采购人后期不再追加费用，供应商自行考虑报价风险。</w:t>
      </w:r>
    </w:p>
    <w:bookmarkEnd w:id="24"/>
    <w:bookmarkEnd w:id="31"/>
    <w:bookmarkEnd w:id="32"/>
    <w:p w14:paraId="15563D04">
      <w:pPr>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7686852F">
      <w:pPr>
        <w:spacing w:line="360" w:lineRule="auto"/>
        <w:jc w:val="center"/>
        <w:outlineLvl w:val="0"/>
        <w:rPr>
          <w:rFonts w:asciiTheme="minorEastAsia" w:hAnsiTheme="minorEastAsia" w:eastAsiaTheme="minorEastAsia"/>
          <w:b/>
          <w:color w:val="auto"/>
          <w:sz w:val="28"/>
          <w:highlight w:val="none"/>
        </w:rPr>
      </w:pPr>
      <w:bookmarkStart w:id="33" w:name="_Toc8668"/>
      <w:bookmarkStart w:id="34" w:name="_Toc17554"/>
      <w:r>
        <w:rPr>
          <w:rFonts w:hint="eastAsia" w:asciiTheme="minorEastAsia" w:hAnsiTheme="minorEastAsia" w:eastAsiaTheme="minorEastAsia"/>
          <w:b/>
          <w:color w:val="auto"/>
          <w:sz w:val="28"/>
          <w:highlight w:val="none"/>
        </w:rPr>
        <w:t>第四章  评审方法和标准</w:t>
      </w:r>
      <w:bookmarkEnd w:id="33"/>
      <w:bookmarkEnd w:id="34"/>
    </w:p>
    <w:p w14:paraId="0230286B">
      <w:pPr>
        <w:spacing w:line="360" w:lineRule="auto"/>
        <w:ind w:firstLine="437"/>
        <w:outlineLvl w:val="1"/>
        <w:rPr>
          <w:rFonts w:asciiTheme="minorEastAsia" w:hAnsiTheme="minorEastAsia" w:eastAsiaTheme="minorEastAsia"/>
          <w:b/>
          <w:color w:val="auto"/>
          <w:sz w:val="24"/>
          <w:highlight w:val="none"/>
        </w:rPr>
      </w:pPr>
      <w:bookmarkStart w:id="35" w:name="_Toc12199"/>
      <w:bookmarkStart w:id="36" w:name="_Toc21211"/>
      <w:r>
        <w:rPr>
          <w:rFonts w:hint="eastAsia" w:asciiTheme="minorEastAsia" w:hAnsiTheme="minorEastAsia" w:eastAsiaTheme="minorEastAsia"/>
          <w:b/>
          <w:color w:val="auto"/>
          <w:sz w:val="24"/>
          <w:highlight w:val="none"/>
        </w:rPr>
        <w:t>一、总则</w:t>
      </w:r>
      <w:bookmarkEnd w:id="35"/>
      <w:bookmarkEnd w:id="36"/>
    </w:p>
    <w:p w14:paraId="03A108A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本项目将按照磋商文件第二章 供应商须知的相关要求</w:t>
      </w:r>
      <w:r>
        <w:rPr>
          <w:rFonts w:asciiTheme="minorEastAsia" w:hAnsiTheme="minorEastAsia" w:eastAsiaTheme="minorEastAsia"/>
          <w:color w:val="auto"/>
          <w:sz w:val="24"/>
          <w:highlight w:val="none"/>
        </w:rPr>
        <w:t>及本章的规定</w:t>
      </w:r>
      <w:r>
        <w:rPr>
          <w:rFonts w:hint="eastAsia" w:asciiTheme="minorEastAsia" w:hAnsiTheme="minorEastAsia" w:eastAsiaTheme="minorEastAsia"/>
          <w:color w:val="auto"/>
          <w:sz w:val="24"/>
          <w:highlight w:val="none"/>
        </w:rPr>
        <w:t>评审</w:t>
      </w:r>
      <w:r>
        <w:rPr>
          <w:rFonts w:asciiTheme="minorEastAsia" w:hAnsiTheme="minorEastAsia" w:eastAsiaTheme="minorEastAsia"/>
          <w:color w:val="auto"/>
          <w:sz w:val="24"/>
          <w:highlight w:val="none"/>
        </w:rPr>
        <w:t>。</w:t>
      </w:r>
    </w:p>
    <w:p w14:paraId="21A8A375">
      <w:pPr>
        <w:spacing w:line="360" w:lineRule="auto"/>
        <w:ind w:firstLine="437"/>
        <w:outlineLvl w:val="1"/>
        <w:rPr>
          <w:rFonts w:asciiTheme="minorEastAsia" w:hAnsiTheme="minorEastAsia" w:eastAsiaTheme="minorEastAsia"/>
          <w:b/>
          <w:color w:val="auto"/>
          <w:sz w:val="24"/>
          <w:highlight w:val="none"/>
        </w:rPr>
      </w:pPr>
      <w:bookmarkStart w:id="37" w:name="_Toc13039"/>
      <w:bookmarkStart w:id="38" w:name="_Toc16885"/>
      <w:r>
        <w:rPr>
          <w:rFonts w:hint="eastAsia" w:asciiTheme="minorEastAsia" w:hAnsiTheme="minorEastAsia" w:eastAsiaTheme="minorEastAsia"/>
          <w:b/>
          <w:color w:val="auto"/>
          <w:sz w:val="24"/>
          <w:highlight w:val="none"/>
        </w:rPr>
        <w:t>二、评审方法</w:t>
      </w:r>
      <w:bookmarkEnd w:id="37"/>
      <w:bookmarkEnd w:id="38"/>
    </w:p>
    <w:p w14:paraId="5A7B5BFF">
      <w:pPr>
        <w:spacing w:line="360" w:lineRule="auto"/>
        <w:ind w:firstLine="435"/>
        <w:outlineLvl w:val="2"/>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2.1初审</w:t>
      </w:r>
    </w:p>
    <w:p w14:paraId="1BC9593A">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磋商小组对供应商的响应文件进行初审，以确定其是否满足磋商文件的实质性要求。初审表如下：</w:t>
      </w:r>
    </w:p>
    <w:tbl>
      <w:tblPr>
        <w:tblStyle w:val="24"/>
        <w:tblW w:w="51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651"/>
        <w:gridCol w:w="4557"/>
        <w:gridCol w:w="1905"/>
      </w:tblGrid>
      <w:tr w14:paraId="7D2EB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025ABD7">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b/>
                <w:color w:val="auto"/>
                <w:sz w:val="24"/>
                <w:szCs w:val="22"/>
                <w:highlight w:val="none"/>
                <w:lang w:val="en-US" w:eastAsia="zh-CN"/>
              </w:rPr>
              <w:t>初审</w:t>
            </w:r>
            <w:r>
              <w:rPr>
                <w:rFonts w:hint="eastAsia" w:ascii="宋体" w:hAnsi="宋体" w:eastAsia="宋体"/>
                <w:b/>
                <w:color w:val="auto"/>
                <w:sz w:val="24"/>
                <w:szCs w:val="22"/>
                <w:highlight w:val="none"/>
              </w:rPr>
              <w:t>表</w:t>
            </w:r>
          </w:p>
        </w:tc>
      </w:tr>
      <w:tr w14:paraId="2D55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bottom w:val="single" w:color="auto" w:sz="4" w:space="0"/>
            </w:tcBorders>
            <w:vAlign w:val="center"/>
          </w:tcPr>
          <w:p w14:paraId="32FDCDE2">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序号</w:t>
            </w:r>
          </w:p>
        </w:tc>
        <w:tc>
          <w:tcPr>
            <w:tcW w:w="942" w:type="pct"/>
            <w:tcBorders>
              <w:bottom w:val="single" w:color="auto" w:sz="4" w:space="0"/>
            </w:tcBorders>
            <w:vAlign w:val="center"/>
          </w:tcPr>
          <w:p w14:paraId="76BF8148">
            <w:pPr>
              <w:pStyle w:val="43"/>
              <w:pBdr>
                <w:bottom w:val="none" w:color="auto" w:sz="0" w:space="0"/>
              </w:pBdr>
              <w:tabs>
                <w:tab w:val="clear" w:pos="4153"/>
                <w:tab w:val="clear" w:pos="8306"/>
              </w:tabs>
              <w:snapToGrid w:val="0"/>
              <w:spacing w:line="360" w:lineRule="auto"/>
              <w:ind w:right="-10"/>
              <w:textAlignment w:val="auto"/>
              <w:rPr>
                <w:rFonts w:hint="default" w:ascii="宋体" w:hAnsi="宋体" w:eastAsia="宋体"/>
                <w:color w:val="auto"/>
                <w:kern w:val="2"/>
                <w:szCs w:val="24"/>
                <w:highlight w:val="none"/>
                <w:lang w:val="en-US"/>
              </w:rPr>
            </w:pPr>
            <w:r>
              <w:rPr>
                <w:rFonts w:hint="eastAsia" w:ascii="宋体" w:hAnsi="宋体" w:eastAsia="宋体"/>
                <w:color w:val="auto"/>
                <w:kern w:val="2"/>
                <w:szCs w:val="24"/>
                <w:highlight w:val="none"/>
                <w:lang w:val="en-US" w:eastAsia="zh-CN"/>
              </w:rPr>
              <w:t>审查指标</w:t>
            </w:r>
          </w:p>
        </w:tc>
        <w:tc>
          <w:tcPr>
            <w:tcW w:w="2601" w:type="pct"/>
            <w:tcBorders>
              <w:bottom w:val="single" w:color="auto" w:sz="4" w:space="0"/>
            </w:tcBorders>
            <w:vAlign w:val="center"/>
          </w:tcPr>
          <w:p w14:paraId="3967CB8D">
            <w:pPr>
              <w:adjustRightInd w:val="0"/>
              <w:snapToGrid w:val="0"/>
              <w:spacing w:line="360" w:lineRule="auto"/>
              <w:ind w:right="-1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审查标准</w:t>
            </w:r>
          </w:p>
        </w:tc>
        <w:tc>
          <w:tcPr>
            <w:tcW w:w="1086" w:type="pct"/>
            <w:tcBorders>
              <w:bottom w:val="single" w:color="auto" w:sz="4" w:space="0"/>
            </w:tcBorders>
            <w:vAlign w:val="center"/>
          </w:tcPr>
          <w:p w14:paraId="4D2DD44A">
            <w:pPr>
              <w:adjustRightInd w:val="0"/>
              <w:snapToGrid w:val="0"/>
              <w:spacing w:line="360" w:lineRule="auto"/>
              <w:ind w:right="-10"/>
              <w:jc w:val="center"/>
              <w:rPr>
                <w:rFonts w:ascii="宋体" w:hAnsi="宋体" w:eastAsia="宋体"/>
                <w:color w:val="auto"/>
                <w:sz w:val="24"/>
                <w:highlight w:val="none"/>
              </w:rPr>
            </w:pPr>
            <w:r>
              <w:rPr>
                <w:rFonts w:hint="eastAsia" w:ascii="宋体" w:hAnsi="宋体" w:eastAsia="宋体"/>
                <w:color w:val="auto"/>
                <w:sz w:val="24"/>
                <w:highlight w:val="none"/>
              </w:rPr>
              <w:t>格式要求</w:t>
            </w:r>
          </w:p>
        </w:tc>
      </w:tr>
      <w:tr w14:paraId="4F7F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0" w:type="pct"/>
            <w:tcBorders>
              <w:bottom w:val="single" w:color="auto" w:sz="4" w:space="0"/>
            </w:tcBorders>
            <w:vAlign w:val="center"/>
          </w:tcPr>
          <w:p w14:paraId="160D9948">
            <w:pPr>
              <w:adjustRightInd w:val="0"/>
              <w:snapToGrid w:val="0"/>
              <w:spacing w:line="360" w:lineRule="auto"/>
              <w:ind w:right="-10" w:rightChars="0"/>
              <w:jc w:val="center"/>
              <w:rPr>
                <w:rFonts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rPr>
              <w:t>1</w:t>
            </w:r>
          </w:p>
        </w:tc>
        <w:tc>
          <w:tcPr>
            <w:tcW w:w="942" w:type="pct"/>
            <w:tcBorders>
              <w:bottom w:val="single" w:color="auto" w:sz="4" w:space="0"/>
            </w:tcBorders>
            <w:vAlign w:val="center"/>
          </w:tcPr>
          <w:p w14:paraId="1D0AD893">
            <w:pPr>
              <w:spacing w:after="50" w:line="360" w:lineRule="auto"/>
              <w:ind w:right="-10" w:rightChars="0"/>
              <w:jc w:val="center"/>
              <w:rPr>
                <w:rFonts w:ascii="宋体" w:hAnsi="宋体" w:eastAsia="宋体" w:cs="@仿宋_GB2312"/>
                <w:color w:val="auto"/>
                <w:kern w:val="2"/>
                <w:sz w:val="24"/>
                <w:szCs w:val="28"/>
                <w:highlight w:val="none"/>
                <w:lang w:val="en-US" w:eastAsia="zh-CN" w:bidi="ar-SA"/>
              </w:rPr>
            </w:pPr>
            <w:r>
              <w:rPr>
                <w:rFonts w:ascii="宋体" w:hAnsi="宋体" w:eastAsia="宋体" w:cs="宋体"/>
                <w:color w:val="auto"/>
                <w:spacing w:val="9"/>
                <w:sz w:val="24"/>
                <w:szCs w:val="24"/>
                <w:highlight w:val="none"/>
              </w:rPr>
              <w:t>营业执照等证明</w:t>
            </w:r>
            <w:r>
              <w:rPr>
                <w:rFonts w:ascii="宋体" w:hAnsi="宋体" w:eastAsia="宋体" w:cs="宋体"/>
                <w:color w:val="auto"/>
                <w:spacing w:val="-3"/>
                <w:sz w:val="24"/>
                <w:szCs w:val="24"/>
                <w:highlight w:val="none"/>
              </w:rPr>
              <w:t>文件</w:t>
            </w:r>
          </w:p>
        </w:tc>
        <w:tc>
          <w:tcPr>
            <w:tcW w:w="2601" w:type="pct"/>
            <w:tcBorders>
              <w:bottom w:val="single" w:color="auto" w:sz="4" w:space="0"/>
            </w:tcBorders>
            <w:vAlign w:val="center"/>
          </w:tcPr>
          <w:p w14:paraId="74CF4C4F">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为企业（包括合伙企业）的，应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供有效的营业执照；</w:t>
            </w:r>
          </w:p>
          <w:p w14:paraId="3D70A796">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为事业单位的，应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供有效的事业单位法人证书；</w:t>
            </w:r>
          </w:p>
          <w:p w14:paraId="7EFC4843">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是非企业机构的，应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供有效的执业许可证</w:t>
            </w:r>
            <w:r>
              <w:rPr>
                <w:rFonts w:hint="eastAsia" w:ascii="宋体" w:hAnsi="宋体" w:eastAsia="宋体" w:cs="宋体"/>
                <w:color w:val="auto"/>
                <w:sz w:val="24"/>
                <w:szCs w:val="24"/>
                <w:highlight w:val="none"/>
                <w:lang w:val="en-US" w:eastAsia="zh-CN"/>
              </w:rPr>
              <w:t>或</w:t>
            </w:r>
            <w:r>
              <w:rPr>
                <w:rFonts w:ascii="宋体" w:hAnsi="宋体" w:eastAsia="宋体" w:cs="宋体"/>
                <w:color w:val="auto"/>
                <w:sz w:val="24"/>
                <w:szCs w:val="24"/>
                <w:highlight w:val="none"/>
              </w:rPr>
              <w:t>登记证书等证明文件；</w:t>
            </w:r>
          </w:p>
          <w:p w14:paraId="69166E77">
            <w:pPr>
              <w:spacing w:after="50" w:line="360" w:lineRule="auto"/>
              <w:ind w:right="-10" w:right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是个体工商户的，应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供有效的个体工商户营业执照；</w:t>
            </w:r>
          </w:p>
          <w:p w14:paraId="1273AD47">
            <w:pPr>
              <w:spacing w:after="50" w:line="360" w:lineRule="auto"/>
              <w:ind w:right="-10" w:rightChars="0"/>
              <w:jc w:val="left"/>
              <w:rPr>
                <w:rFonts w:ascii="宋体" w:hAnsi="宋体" w:eastAsia="宋体" w:cs="@仿宋_GB2312"/>
                <w:color w:val="auto"/>
                <w:kern w:val="2"/>
                <w:sz w:val="24"/>
                <w:szCs w:val="28"/>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是自然人的，应</w:t>
            </w: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供有效的自然人身份证明。</w:t>
            </w:r>
          </w:p>
        </w:tc>
        <w:tc>
          <w:tcPr>
            <w:tcW w:w="1086" w:type="pct"/>
            <w:vAlign w:val="center"/>
          </w:tcPr>
          <w:p w14:paraId="6EE6ED78">
            <w:pPr>
              <w:spacing w:line="360" w:lineRule="auto"/>
              <w:jc w:val="left"/>
              <w:rPr>
                <w:rFonts w:ascii="宋体" w:hAnsi="宋体" w:eastAsia="宋体" w:cs="@仿宋_GB2312"/>
                <w:color w:val="auto"/>
                <w:kern w:val="2"/>
                <w:sz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的联合体各方均须提供。</w:t>
            </w:r>
          </w:p>
        </w:tc>
      </w:tr>
      <w:tr w14:paraId="698F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370" w:type="pct"/>
            <w:tcBorders>
              <w:bottom w:val="single" w:color="auto" w:sz="4" w:space="0"/>
            </w:tcBorders>
            <w:vAlign w:val="center"/>
          </w:tcPr>
          <w:p w14:paraId="5894E8AC">
            <w:pPr>
              <w:adjustRightInd w:val="0"/>
              <w:snapToGrid w:val="0"/>
              <w:spacing w:line="360" w:lineRule="auto"/>
              <w:ind w:right="-10" w:rightChars="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2</w:t>
            </w:r>
          </w:p>
        </w:tc>
        <w:tc>
          <w:tcPr>
            <w:tcW w:w="942" w:type="pct"/>
            <w:tcBorders>
              <w:bottom w:val="single" w:color="auto" w:sz="4" w:space="0"/>
            </w:tcBorders>
            <w:vAlign w:val="center"/>
          </w:tcPr>
          <w:p w14:paraId="1003AF34">
            <w:pPr>
              <w:spacing w:after="50" w:line="360" w:lineRule="auto"/>
              <w:ind w:right="-10" w:rightChars="0"/>
              <w:jc w:val="center"/>
              <w:rPr>
                <w:rFonts w:hint="default" w:ascii="宋体" w:hAnsi="宋体" w:eastAsia="宋体"/>
                <w:color w:val="auto"/>
                <w:sz w:val="24"/>
                <w:szCs w:val="28"/>
                <w:highlight w:val="none"/>
                <w:lang w:val="en-US"/>
              </w:rPr>
            </w:pPr>
            <w:r>
              <w:rPr>
                <w:rFonts w:hint="eastAsia" w:ascii="宋体" w:hAnsi="宋体" w:eastAsia="宋体"/>
                <w:color w:val="auto"/>
                <w:sz w:val="24"/>
                <w:szCs w:val="18"/>
                <w:highlight w:val="none"/>
                <w:lang w:val="en-US" w:eastAsia="zh-CN"/>
              </w:rPr>
              <w:t>供应商资格声明书</w:t>
            </w:r>
          </w:p>
        </w:tc>
        <w:tc>
          <w:tcPr>
            <w:tcW w:w="2601" w:type="pct"/>
            <w:tcBorders>
              <w:bottom w:val="single" w:color="auto" w:sz="4" w:space="0"/>
            </w:tcBorders>
            <w:vAlign w:val="center"/>
          </w:tcPr>
          <w:p w14:paraId="1903538D">
            <w:pPr>
              <w:spacing w:after="50" w:line="360" w:lineRule="auto"/>
              <w:ind w:right="-10" w:rightChars="0"/>
              <w:jc w:val="left"/>
              <w:rPr>
                <w:rFonts w:hint="eastAsia" w:ascii="宋体" w:hAnsi="宋体" w:eastAsia="宋体"/>
                <w:color w:val="auto"/>
                <w:sz w:val="24"/>
                <w:szCs w:val="28"/>
                <w:highlight w:val="none"/>
              </w:rPr>
            </w:pPr>
            <w:r>
              <w:rPr>
                <w:rFonts w:hint="eastAsia" w:ascii="宋体" w:hAnsi="宋体" w:eastAsia="宋体" w:cs="宋体"/>
                <w:color w:val="auto"/>
                <w:sz w:val="24"/>
                <w:szCs w:val="24"/>
                <w:highlight w:val="none"/>
                <w:lang w:val="en-US" w:eastAsia="zh-CN"/>
              </w:rPr>
              <w:t>提</w:t>
            </w:r>
            <w:r>
              <w:rPr>
                <w:rFonts w:ascii="宋体" w:hAnsi="宋体" w:eastAsia="宋体" w:cs="宋体"/>
                <w:color w:val="auto"/>
                <w:sz w:val="24"/>
                <w:szCs w:val="24"/>
                <w:highlight w:val="none"/>
              </w:rPr>
              <w:t>供符合</w:t>
            </w:r>
            <w:r>
              <w:rPr>
                <w:rFonts w:hint="eastAsia" w:ascii="宋体" w:hAnsi="宋体" w:eastAsia="宋体" w:cs="宋体"/>
                <w:color w:val="auto"/>
                <w:sz w:val="24"/>
                <w:szCs w:val="24"/>
                <w:highlight w:val="none"/>
                <w:lang w:val="en-US" w:eastAsia="zh-CN"/>
              </w:rPr>
              <w:t>磋商</w:t>
            </w:r>
            <w:r>
              <w:rPr>
                <w:rFonts w:ascii="宋体" w:hAnsi="宋体" w:eastAsia="宋体" w:cs="宋体"/>
                <w:color w:val="auto"/>
                <w:sz w:val="24"/>
                <w:szCs w:val="24"/>
                <w:highlight w:val="none"/>
              </w:rPr>
              <w:t>文件要求的《</w:t>
            </w:r>
            <w:r>
              <w:rPr>
                <w:rFonts w:hint="eastAsia" w:ascii="宋体" w:hAnsi="宋体" w:eastAsia="宋体" w:cs="宋体"/>
                <w:color w:val="auto"/>
                <w:sz w:val="24"/>
                <w:szCs w:val="24"/>
                <w:highlight w:val="none"/>
                <w:lang w:val="en-US" w:eastAsia="zh-CN"/>
              </w:rPr>
              <w:t>供应商</w:t>
            </w:r>
            <w:r>
              <w:rPr>
                <w:rFonts w:ascii="宋体" w:hAnsi="宋体" w:eastAsia="宋体" w:cs="宋体"/>
                <w:color w:val="auto"/>
                <w:sz w:val="24"/>
                <w:szCs w:val="24"/>
                <w:highlight w:val="none"/>
              </w:rPr>
              <w:t>资格声明书》</w:t>
            </w:r>
            <w:r>
              <w:rPr>
                <w:rFonts w:hint="eastAsia" w:ascii="宋体" w:hAnsi="宋体" w:eastAsia="宋体" w:cs="宋体"/>
                <w:color w:val="auto"/>
                <w:sz w:val="24"/>
                <w:szCs w:val="24"/>
                <w:highlight w:val="none"/>
                <w:lang w:eastAsia="zh-CN"/>
              </w:rPr>
              <w:t>。</w:t>
            </w:r>
          </w:p>
        </w:tc>
        <w:tc>
          <w:tcPr>
            <w:tcW w:w="1086" w:type="pct"/>
            <w:vAlign w:val="center"/>
          </w:tcPr>
          <w:p w14:paraId="60D70372">
            <w:p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6D6AE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bottom w:val="single" w:color="auto" w:sz="4" w:space="0"/>
            </w:tcBorders>
            <w:vAlign w:val="center"/>
          </w:tcPr>
          <w:p w14:paraId="56AD5DA6">
            <w:pPr>
              <w:adjustRightInd w:val="0"/>
              <w:snapToGrid w:val="0"/>
              <w:spacing w:line="360" w:lineRule="auto"/>
              <w:ind w:right="-10"/>
              <w:jc w:val="center"/>
              <w:rPr>
                <w:rFonts w:hint="eastAsia"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3</w:t>
            </w:r>
          </w:p>
        </w:tc>
        <w:tc>
          <w:tcPr>
            <w:tcW w:w="942" w:type="pct"/>
            <w:tcBorders>
              <w:bottom w:val="single" w:color="auto" w:sz="4" w:space="0"/>
            </w:tcBorders>
            <w:vAlign w:val="center"/>
          </w:tcPr>
          <w:p w14:paraId="4F5B2378">
            <w:pPr>
              <w:spacing w:after="50" w:line="360" w:lineRule="auto"/>
              <w:ind w:right="-10"/>
              <w:jc w:val="center"/>
              <w:rPr>
                <w:rFonts w:ascii="宋体" w:hAnsi="宋体" w:eastAsia="宋体"/>
                <w:color w:val="auto"/>
                <w:sz w:val="24"/>
                <w:szCs w:val="28"/>
                <w:highlight w:val="none"/>
              </w:rPr>
            </w:pPr>
            <w:r>
              <w:rPr>
                <w:rFonts w:hint="eastAsia" w:ascii="宋体" w:hAnsi="宋体" w:eastAsia="宋体"/>
                <w:color w:val="auto"/>
                <w:sz w:val="24"/>
                <w:szCs w:val="18"/>
                <w:highlight w:val="none"/>
                <w:lang w:val="en-US" w:eastAsia="zh-CN"/>
              </w:rPr>
              <w:t>供应商</w:t>
            </w:r>
            <w:r>
              <w:rPr>
                <w:rFonts w:hint="eastAsia" w:ascii="宋体" w:hAnsi="宋体" w:eastAsia="宋体" w:cs="宋体"/>
                <w:color w:val="auto"/>
                <w:sz w:val="24"/>
                <w:szCs w:val="24"/>
                <w:highlight w:val="none"/>
              </w:rPr>
              <w:t>信用记录</w:t>
            </w:r>
          </w:p>
        </w:tc>
        <w:tc>
          <w:tcPr>
            <w:tcW w:w="2601" w:type="pct"/>
            <w:tcBorders>
              <w:bottom w:val="single" w:color="auto" w:sz="4" w:space="0"/>
            </w:tcBorders>
            <w:vAlign w:val="center"/>
          </w:tcPr>
          <w:p w14:paraId="7D491FA0">
            <w:pPr>
              <w:spacing w:after="50" w:line="360" w:lineRule="auto"/>
              <w:ind w:right="-10" w:rightChars="0"/>
              <w:jc w:val="left"/>
              <w:rPr>
                <w:color w:val="auto"/>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不得存在《</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lang w:val="zh-CN" w:eastAsia="zh-CN"/>
              </w:rPr>
              <w:t>邀请》第4条信誉要求和</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val="zh-CN" w:eastAsia="zh-CN"/>
              </w:rPr>
              <w:t>须知正文第1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3条中</w:t>
            </w:r>
            <w:r>
              <w:rPr>
                <w:rFonts w:hint="eastAsia" w:ascii="宋体" w:hAnsi="宋体" w:eastAsia="宋体"/>
                <w:color w:val="auto"/>
                <w:sz w:val="24"/>
                <w:szCs w:val="28"/>
                <w:highlight w:val="none"/>
              </w:rPr>
              <w:t>的</w:t>
            </w:r>
            <w:r>
              <w:rPr>
                <w:rFonts w:hint="eastAsia" w:ascii="宋体" w:hAnsi="宋体" w:eastAsia="宋体"/>
                <w:color w:val="auto"/>
                <w:sz w:val="24"/>
                <w:szCs w:val="18"/>
                <w:highlight w:val="none"/>
              </w:rPr>
              <w:t>不良信用记录情形</w:t>
            </w:r>
          </w:p>
        </w:tc>
        <w:tc>
          <w:tcPr>
            <w:tcW w:w="1086" w:type="pct"/>
            <w:tcBorders>
              <w:bottom w:val="single" w:color="auto" w:sz="4" w:space="0"/>
            </w:tcBorders>
            <w:vAlign w:val="center"/>
          </w:tcPr>
          <w:p w14:paraId="6538DB4E">
            <w:pPr>
              <w:spacing w:line="360" w:lineRule="auto"/>
              <w:jc w:val="left"/>
              <w:rPr>
                <w:rFonts w:ascii="@仿宋_GB2312" w:hAnsi="@仿宋_GB2312" w:eastAsia="@仿宋_GB2312" w:cs="@仿宋_GB2312"/>
                <w:color w:val="auto"/>
                <w:kern w:val="2"/>
                <w:sz w:val="21"/>
                <w:highlight w:val="none"/>
                <w:lang w:val="en-US" w:eastAsia="zh-CN" w:bidi="ar-SA"/>
              </w:rPr>
            </w:pPr>
            <w:r>
              <w:rPr>
                <w:rFonts w:hint="eastAsia" w:ascii="宋体" w:hAnsi="宋体" w:eastAsia="宋体" w:cs="宋体"/>
                <w:color w:val="auto"/>
                <w:sz w:val="24"/>
                <w:szCs w:val="24"/>
                <w:highlight w:val="none"/>
              </w:rPr>
              <w:t>无须</w:t>
            </w:r>
            <w:r>
              <w:rPr>
                <w:rFonts w:hint="eastAsia" w:ascii="宋体" w:hAnsi="宋体" w:eastAsia="宋体" w:cs="宋体"/>
                <w:color w:val="auto"/>
                <w:sz w:val="24"/>
                <w:szCs w:val="24"/>
                <w:highlight w:val="none"/>
                <w:lang w:val="en-US" w:eastAsia="zh-CN"/>
              </w:rPr>
              <w:t>供应商提</w:t>
            </w:r>
            <w:r>
              <w:rPr>
                <w:rFonts w:hint="eastAsia" w:ascii="宋体" w:hAnsi="宋体" w:eastAsia="宋体" w:cs="宋体"/>
                <w:color w:val="auto"/>
                <w:sz w:val="24"/>
                <w:szCs w:val="24"/>
                <w:highlight w:val="none"/>
              </w:rPr>
              <w:t>供，由采购人或采购代理机构查询。</w:t>
            </w:r>
          </w:p>
        </w:tc>
      </w:tr>
      <w:tr w14:paraId="7B96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bottom w:val="single" w:color="auto" w:sz="4" w:space="0"/>
            </w:tcBorders>
            <w:vAlign w:val="center"/>
          </w:tcPr>
          <w:p w14:paraId="167D1918">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4</w:t>
            </w:r>
          </w:p>
        </w:tc>
        <w:tc>
          <w:tcPr>
            <w:tcW w:w="942" w:type="pct"/>
            <w:tcBorders>
              <w:bottom w:val="single" w:color="auto" w:sz="4" w:space="0"/>
            </w:tcBorders>
            <w:vAlign w:val="center"/>
          </w:tcPr>
          <w:p w14:paraId="74BFA1AA">
            <w:pPr>
              <w:spacing w:after="50" w:line="360" w:lineRule="auto"/>
              <w:ind w:right="-1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中小企业证明文件</w:t>
            </w:r>
          </w:p>
        </w:tc>
        <w:tc>
          <w:tcPr>
            <w:tcW w:w="2601" w:type="pct"/>
            <w:tcBorders>
              <w:bottom w:val="single" w:color="auto" w:sz="4" w:space="0"/>
            </w:tcBorders>
            <w:vAlign w:val="top"/>
          </w:tcPr>
          <w:p w14:paraId="49E065FD">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olor w:val="auto"/>
                <w:sz w:val="24"/>
                <w:szCs w:val="28"/>
                <w:highlight w:val="none"/>
              </w:rPr>
              <w:t>符合</w:t>
            </w:r>
            <w:r>
              <w:rPr>
                <w:rFonts w:hint="eastAsia" w:ascii="宋体" w:hAnsi="宋体" w:eastAsia="宋体"/>
                <w:color w:val="auto"/>
                <w:sz w:val="24"/>
                <w:szCs w:val="28"/>
                <w:highlight w:val="none"/>
                <w:lang w:val="en-US" w:eastAsia="zh-CN"/>
              </w:rPr>
              <w:t>申请人的</w:t>
            </w:r>
            <w:r>
              <w:rPr>
                <w:rFonts w:hint="eastAsia" w:ascii="宋体" w:hAnsi="宋体" w:eastAsia="宋体"/>
                <w:color w:val="auto"/>
                <w:sz w:val="24"/>
                <w:szCs w:val="28"/>
                <w:highlight w:val="none"/>
              </w:rPr>
              <w:t>资格</w:t>
            </w:r>
            <w:r>
              <w:rPr>
                <w:rFonts w:hint="eastAsia" w:ascii="宋体" w:hAnsi="宋体" w:eastAsia="宋体"/>
                <w:color w:val="auto"/>
                <w:sz w:val="24"/>
                <w:szCs w:val="28"/>
                <w:highlight w:val="none"/>
                <w:lang w:val="en-US" w:eastAsia="zh-CN"/>
              </w:rPr>
              <w:t>要求</w:t>
            </w:r>
            <w:r>
              <w:rPr>
                <w:rFonts w:hint="eastAsia" w:ascii="宋体" w:hAnsi="宋体" w:eastAsia="宋体"/>
                <w:color w:val="auto"/>
                <w:sz w:val="24"/>
                <w:szCs w:val="28"/>
                <w:highlight w:val="none"/>
              </w:rPr>
              <w:t>中落实政府采购政策需满足的资格要求</w:t>
            </w:r>
            <w:r>
              <w:rPr>
                <w:rFonts w:hint="eastAsia" w:ascii="宋体" w:hAnsi="宋体" w:eastAsia="宋体"/>
                <w:color w:val="auto"/>
                <w:sz w:val="24"/>
                <w:szCs w:val="28"/>
                <w:highlight w:val="none"/>
                <w:lang w:eastAsia="zh-CN"/>
              </w:rPr>
              <w:t>：</w:t>
            </w:r>
          </w:p>
          <w:p w14:paraId="65722772">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 生产建设兵团）出具的属于监狱企业的证明文件。</w:t>
            </w:r>
          </w:p>
          <w:p w14:paraId="49E68B49">
            <w:pPr>
              <w:spacing w:after="50" w:line="360" w:lineRule="auto"/>
              <w:ind w:right="-10"/>
              <w:jc w:val="left"/>
              <w:rPr>
                <w:rFonts w:hint="eastAsia" w:ascii="宋体" w:hAnsi="宋体" w:eastAsia="宋体" w:cs="宋体"/>
                <w:color w:val="auto"/>
                <w:sz w:val="24"/>
                <w:szCs w:val="24"/>
                <w:highlight w:val="none"/>
                <w:lang w:val="en-US" w:eastAsia="en-US"/>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文件要求以联合体形式参加或者要求合同分包的，且</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文件关于预留份额的要求。</w:t>
            </w:r>
          </w:p>
        </w:tc>
        <w:tc>
          <w:tcPr>
            <w:tcW w:w="1086" w:type="pct"/>
            <w:tcBorders>
              <w:bottom w:val="single" w:color="auto" w:sz="4" w:space="0"/>
            </w:tcBorders>
            <w:vAlign w:val="center"/>
          </w:tcPr>
          <w:p w14:paraId="33F95176">
            <w:pPr>
              <w:spacing w:after="50" w:line="360" w:lineRule="auto"/>
              <w:ind w:right="-10"/>
              <w:jc w:val="center"/>
              <w:rPr>
                <w:rFonts w:hint="eastAsia" w:ascii="宋体" w:hAnsi="宋体" w:eastAsia="宋体" w:cs="宋体"/>
                <w:color w:val="auto"/>
                <w:sz w:val="24"/>
                <w:szCs w:val="24"/>
                <w:highlight w:val="none"/>
                <w:lang w:val="en-US" w:eastAsia="zh-CN"/>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3A35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bottom w:val="single" w:color="auto" w:sz="4" w:space="0"/>
            </w:tcBorders>
            <w:vAlign w:val="center"/>
          </w:tcPr>
          <w:p w14:paraId="5753DFEC">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5</w:t>
            </w:r>
          </w:p>
        </w:tc>
        <w:tc>
          <w:tcPr>
            <w:tcW w:w="942" w:type="pct"/>
            <w:tcBorders>
              <w:bottom w:val="single" w:color="auto" w:sz="4" w:space="0"/>
            </w:tcBorders>
            <w:vAlign w:val="center"/>
          </w:tcPr>
          <w:p w14:paraId="4019935B">
            <w:pPr>
              <w:spacing w:after="50" w:line="360" w:lineRule="auto"/>
              <w:ind w:right="-10" w:rightChars="0"/>
              <w:jc w:val="both"/>
              <w:rPr>
                <w:rFonts w:hint="eastAsia" w:ascii="宋体" w:hAnsi="宋体" w:eastAsia="宋体" w:cs="宋体"/>
                <w:color w:val="auto"/>
                <w:spacing w:val="10"/>
                <w:kern w:val="2"/>
                <w:sz w:val="24"/>
                <w:szCs w:val="24"/>
                <w:highlight w:val="none"/>
                <w:lang w:val="en-US" w:eastAsia="zh-CN" w:bidi="ar-SA"/>
              </w:rPr>
            </w:pPr>
            <w:r>
              <w:rPr>
                <w:rFonts w:hint="eastAsia" w:ascii="宋体" w:hAnsi="宋体" w:eastAsia="宋体" w:cs="宋体"/>
                <w:color w:val="auto"/>
                <w:spacing w:val="10"/>
                <w:kern w:val="2"/>
                <w:sz w:val="24"/>
                <w:szCs w:val="24"/>
                <w:highlight w:val="none"/>
                <w:lang w:val="en-US" w:eastAsia="zh-CN" w:bidi="ar-SA"/>
              </w:rPr>
              <w:t>诚信响应承诺书</w:t>
            </w:r>
          </w:p>
        </w:tc>
        <w:tc>
          <w:tcPr>
            <w:tcW w:w="2601" w:type="pct"/>
            <w:tcBorders>
              <w:bottom w:val="single" w:color="auto" w:sz="4" w:space="0"/>
            </w:tcBorders>
            <w:vAlign w:val="center"/>
          </w:tcPr>
          <w:p w14:paraId="27782F34">
            <w:pPr>
              <w:spacing w:after="50" w:line="360" w:lineRule="auto"/>
              <w:ind w:right="-10" w:rightChars="0"/>
              <w:jc w:val="center"/>
              <w:rPr>
                <w:rFonts w:hint="eastAsia" w:ascii="宋体" w:hAnsi="宋体" w:eastAsia="宋体" w:cs="宋体"/>
                <w:color w:val="auto"/>
                <w:spacing w:val="-2"/>
                <w:kern w:val="2"/>
                <w:sz w:val="24"/>
                <w:szCs w:val="24"/>
                <w:highlight w:val="none"/>
                <w:lang w:val="en-US" w:eastAsia="zh-CN" w:bidi="ar-SA"/>
              </w:rPr>
            </w:pPr>
            <w:r>
              <w:rPr>
                <w:rFonts w:hint="eastAsia" w:ascii="宋体" w:hAnsi="宋体" w:eastAsia="宋体" w:cs="宋体"/>
                <w:color w:val="auto"/>
                <w:spacing w:val="-2"/>
                <w:kern w:val="2"/>
                <w:sz w:val="24"/>
                <w:szCs w:val="24"/>
                <w:highlight w:val="none"/>
                <w:lang w:val="en-US" w:eastAsia="zh-CN" w:bidi="ar-SA"/>
              </w:rPr>
              <w:t>格式、填写要求符合磋商文件规定并加盖供应商电子签章</w:t>
            </w:r>
          </w:p>
        </w:tc>
        <w:tc>
          <w:tcPr>
            <w:tcW w:w="1086" w:type="pct"/>
            <w:tcBorders>
              <w:bottom w:val="single" w:color="auto" w:sz="4" w:space="0"/>
            </w:tcBorders>
            <w:vAlign w:val="center"/>
          </w:tcPr>
          <w:p w14:paraId="0D21E6C0">
            <w:pPr>
              <w:spacing w:after="50" w:line="360" w:lineRule="auto"/>
              <w:ind w:right="-10" w:rightChars="0"/>
              <w:jc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详见第六章响应文件格式。</w:t>
            </w:r>
          </w:p>
        </w:tc>
      </w:tr>
      <w:tr w14:paraId="265D4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bottom w:val="single" w:color="auto" w:sz="4" w:space="0"/>
            </w:tcBorders>
            <w:vAlign w:val="center"/>
          </w:tcPr>
          <w:p w14:paraId="29BF3BFB">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6</w:t>
            </w:r>
          </w:p>
        </w:tc>
        <w:tc>
          <w:tcPr>
            <w:tcW w:w="942" w:type="pct"/>
            <w:tcBorders>
              <w:bottom w:val="single" w:color="auto" w:sz="4" w:space="0"/>
            </w:tcBorders>
            <w:vAlign w:val="center"/>
          </w:tcPr>
          <w:p w14:paraId="3BE7C703">
            <w:pPr>
              <w:spacing w:after="50" w:line="360" w:lineRule="auto"/>
              <w:ind w:right="-10" w:rightChars="0"/>
              <w:jc w:val="both"/>
              <w:rPr>
                <w:rFonts w:ascii="宋体" w:hAnsi="宋体" w:eastAsia="宋体" w:cs="宋体"/>
                <w:color w:val="auto"/>
                <w:spacing w:val="10"/>
                <w:sz w:val="24"/>
                <w:szCs w:val="24"/>
                <w:highlight w:val="none"/>
              </w:rPr>
            </w:pPr>
            <w:r>
              <w:rPr>
                <w:rFonts w:ascii="宋体" w:hAnsi="宋体" w:eastAsia="宋体" w:cs="宋体"/>
                <w:color w:val="auto"/>
                <w:spacing w:val="10"/>
                <w:sz w:val="24"/>
                <w:szCs w:val="24"/>
                <w:highlight w:val="none"/>
              </w:rPr>
              <w:t>其他特定资格要求</w:t>
            </w:r>
          </w:p>
          <w:p w14:paraId="1EA89C3D">
            <w:pPr>
              <w:spacing w:after="50" w:line="360" w:lineRule="auto"/>
              <w:ind w:right="-10" w:rightChars="0"/>
              <w:jc w:val="both"/>
              <w:rPr>
                <w:rFonts w:hint="eastAsia" w:ascii="宋体" w:hAnsi="宋体" w:eastAsia="宋体" w:cs="宋体"/>
                <w:color w:val="auto"/>
                <w:spacing w:val="10"/>
                <w:kern w:val="2"/>
                <w:sz w:val="24"/>
                <w:szCs w:val="24"/>
                <w:highlight w:val="none"/>
                <w:lang w:val="en-US" w:eastAsia="zh-CN" w:bidi="ar-SA"/>
              </w:rPr>
            </w:pPr>
            <w:r>
              <w:rPr>
                <w:rFonts w:hint="eastAsia" w:ascii="宋体" w:hAnsi="宋体" w:eastAsia="宋体" w:cs="宋体"/>
                <w:color w:val="auto"/>
                <w:spacing w:val="10"/>
                <w:sz w:val="24"/>
                <w:szCs w:val="24"/>
                <w:highlight w:val="none"/>
              </w:rPr>
              <w:t>（本项目不适用）</w:t>
            </w:r>
          </w:p>
        </w:tc>
        <w:tc>
          <w:tcPr>
            <w:tcW w:w="2601" w:type="pct"/>
            <w:tcBorders>
              <w:bottom w:val="single" w:color="auto" w:sz="4" w:space="0"/>
            </w:tcBorders>
            <w:vAlign w:val="center"/>
          </w:tcPr>
          <w:p w14:paraId="13C660EB">
            <w:pPr>
              <w:spacing w:after="50" w:line="360" w:lineRule="auto"/>
              <w:ind w:right="-10" w:rightChars="0"/>
              <w:jc w:val="both"/>
              <w:rPr>
                <w:rFonts w:hint="eastAsia" w:ascii="宋体" w:hAnsi="宋体" w:eastAsia="宋体" w:cs="宋体"/>
                <w:color w:val="auto"/>
                <w:spacing w:val="10"/>
                <w:kern w:val="2"/>
                <w:sz w:val="24"/>
                <w:szCs w:val="24"/>
                <w:highlight w:val="none"/>
                <w:lang w:val="en-US" w:eastAsia="zh-CN" w:bidi="ar-SA"/>
              </w:rPr>
            </w:pPr>
            <w:r>
              <w:rPr>
                <w:rFonts w:hint="eastAsia" w:ascii="宋体" w:hAnsi="宋体" w:eastAsia="宋体" w:cs="宋体"/>
                <w:color w:val="auto"/>
                <w:spacing w:val="10"/>
                <w:sz w:val="24"/>
                <w:szCs w:val="24"/>
                <w:highlight w:val="none"/>
                <w:lang w:val="en-US" w:eastAsia="zh-CN"/>
              </w:rPr>
              <w:t>如有，</w:t>
            </w:r>
            <w:r>
              <w:rPr>
                <w:rFonts w:ascii="宋体" w:hAnsi="宋体" w:eastAsia="宋体" w:cs="宋体"/>
                <w:color w:val="auto"/>
                <w:spacing w:val="10"/>
                <w:sz w:val="24"/>
                <w:szCs w:val="24"/>
                <w:highlight w:val="none"/>
              </w:rPr>
              <w:t>见第一章《</w:t>
            </w:r>
            <w:r>
              <w:rPr>
                <w:rFonts w:hint="eastAsia" w:ascii="宋体" w:hAnsi="宋体" w:eastAsia="宋体" w:cs="宋体"/>
                <w:color w:val="auto"/>
                <w:spacing w:val="10"/>
                <w:sz w:val="24"/>
                <w:szCs w:val="24"/>
                <w:highlight w:val="none"/>
                <w:lang w:val="en-US" w:eastAsia="zh-CN"/>
              </w:rPr>
              <w:t>磋商</w:t>
            </w:r>
            <w:r>
              <w:rPr>
                <w:rFonts w:ascii="宋体" w:hAnsi="宋体" w:eastAsia="宋体" w:cs="宋体"/>
                <w:color w:val="auto"/>
                <w:spacing w:val="10"/>
                <w:sz w:val="24"/>
                <w:szCs w:val="24"/>
                <w:highlight w:val="none"/>
              </w:rPr>
              <w:t>邀请》</w:t>
            </w:r>
          </w:p>
        </w:tc>
        <w:tc>
          <w:tcPr>
            <w:tcW w:w="1086" w:type="pct"/>
            <w:tcBorders>
              <w:bottom w:val="single" w:color="auto" w:sz="4" w:space="0"/>
            </w:tcBorders>
            <w:vAlign w:val="center"/>
          </w:tcPr>
          <w:p w14:paraId="301DB32E">
            <w:pPr>
              <w:spacing w:after="50" w:line="360" w:lineRule="auto"/>
              <w:ind w:right="-10" w:rightChars="0"/>
              <w:jc w:val="both"/>
              <w:rPr>
                <w:rFonts w:hint="eastAsia" w:ascii="宋体" w:hAnsi="宋体" w:eastAsia="宋体" w:cs="宋体"/>
                <w:color w:val="auto"/>
                <w:spacing w:val="10"/>
                <w:kern w:val="2"/>
                <w:sz w:val="24"/>
                <w:szCs w:val="24"/>
                <w:highlight w:val="none"/>
                <w:lang w:val="en-US" w:eastAsia="zh-CN" w:bidi="ar-SA"/>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28DE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tcBorders>
              <w:bottom w:val="single" w:color="auto" w:sz="4" w:space="0"/>
            </w:tcBorders>
            <w:vAlign w:val="center"/>
          </w:tcPr>
          <w:p w14:paraId="5A41E252">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7</w:t>
            </w:r>
          </w:p>
        </w:tc>
        <w:tc>
          <w:tcPr>
            <w:tcW w:w="942" w:type="pct"/>
            <w:tcBorders>
              <w:bottom w:val="single" w:color="auto" w:sz="4" w:space="0"/>
            </w:tcBorders>
            <w:vAlign w:val="center"/>
          </w:tcPr>
          <w:p w14:paraId="022402AB">
            <w:pPr>
              <w:spacing w:after="50" w:line="360" w:lineRule="auto"/>
              <w:ind w:right="-10" w:rightChars="0"/>
              <w:jc w:val="center"/>
              <w:rPr>
                <w:rFonts w:hint="eastAsia"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lang w:val="en-US" w:eastAsia="zh-CN"/>
              </w:rPr>
              <w:t>磋商响应函</w:t>
            </w:r>
          </w:p>
        </w:tc>
        <w:tc>
          <w:tcPr>
            <w:tcW w:w="2601" w:type="pct"/>
            <w:tcBorders>
              <w:bottom w:val="single" w:color="auto" w:sz="4" w:space="0"/>
            </w:tcBorders>
            <w:vAlign w:val="center"/>
          </w:tcPr>
          <w:p w14:paraId="33BD4C68">
            <w:pPr>
              <w:spacing w:after="50" w:line="360" w:lineRule="auto"/>
              <w:ind w:right="-10" w:rightChars="0"/>
              <w:jc w:val="center"/>
              <w:rPr>
                <w:rFonts w:hint="eastAsia" w:cs="@仿宋_GB2312" w:asciiTheme="minorEastAsia" w:hAnsiTheme="minorEastAsia" w:eastAsiaTheme="minorEastAsia"/>
                <w:color w:val="auto"/>
                <w:kern w:val="2"/>
                <w:sz w:val="24"/>
                <w:szCs w:val="28"/>
                <w:highlight w:val="none"/>
                <w:lang w:val="en-US" w:eastAsia="zh-CN" w:bidi="ar-SA"/>
              </w:rPr>
            </w:pPr>
            <w:r>
              <w:rPr>
                <w:rFonts w:hint="eastAsia" w:asciiTheme="minorEastAsia" w:hAnsiTheme="minorEastAsia" w:eastAsiaTheme="minorEastAsia"/>
                <w:color w:val="auto"/>
                <w:sz w:val="24"/>
                <w:szCs w:val="28"/>
                <w:highlight w:val="none"/>
              </w:rPr>
              <w:t>格式、填写要求符合</w:t>
            </w: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szCs w:val="28"/>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086" w:type="pct"/>
            <w:tcBorders>
              <w:bottom w:val="single" w:color="auto" w:sz="4" w:space="0"/>
            </w:tcBorders>
            <w:vAlign w:val="center"/>
          </w:tcPr>
          <w:p w14:paraId="207C02F2">
            <w:pPr>
              <w:adjustRightInd w:val="0"/>
              <w:snapToGrid w:val="0"/>
              <w:spacing w:line="360" w:lineRule="auto"/>
              <w:ind w:right="-10" w:rightChars="0"/>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宋体" w:hAnsi="宋体" w:eastAsia="宋体"/>
                <w:color w:val="auto"/>
                <w:sz w:val="24"/>
                <w:highlight w:val="none"/>
              </w:rPr>
              <w:t>详见第六章</w:t>
            </w:r>
            <w:r>
              <w:rPr>
                <w:rFonts w:hint="eastAsia" w:ascii="宋体" w:hAnsi="宋体" w:eastAsia="宋体"/>
                <w:color w:val="auto"/>
                <w:sz w:val="24"/>
                <w:highlight w:val="none"/>
                <w:lang w:val="en-US" w:eastAsia="zh-CN"/>
              </w:rPr>
              <w:t>响应</w:t>
            </w:r>
            <w:r>
              <w:rPr>
                <w:rFonts w:hint="eastAsia" w:ascii="宋体" w:hAnsi="宋体" w:eastAsia="宋体"/>
                <w:color w:val="auto"/>
                <w:sz w:val="24"/>
                <w:highlight w:val="none"/>
              </w:rPr>
              <w:t>文件格式</w:t>
            </w:r>
            <w:r>
              <w:rPr>
                <w:rFonts w:hint="eastAsia" w:ascii="宋体" w:hAnsi="宋体" w:eastAsia="宋体"/>
                <w:color w:val="auto"/>
                <w:sz w:val="24"/>
                <w:highlight w:val="none"/>
                <w:lang w:eastAsia="zh-CN"/>
              </w:rPr>
              <w:t>。</w:t>
            </w:r>
          </w:p>
        </w:tc>
      </w:tr>
      <w:tr w14:paraId="3708D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14:paraId="0BFFA575">
            <w:pPr>
              <w:adjustRightInd w:val="0"/>
              <w:snapToGrid w:val="0"/>
              <w:spacing w:line="360" w:lineRule="auto"/>
              <w:ind w:right="-10" w:rightChars="0"/>
              <w:jc w:val="center"/>
              <w:rPr>
                <w:rFonts w:hint="eastAsia" w:ascii="宋体" w:hAnsi="宋体" w:eastAsia="宋体" w:cs="@仿宋_GB2312"/>
                <w:color w:val="auto"/>
                <w:kern w:val="2"/>
                <w:sz w:val="24"/>
                <w:highlight w:val="none"/>
                <w:lang w:val="en-US" w:eastAsia="zh-CN" w:bidi="ar-SA"/>
              </w:rPr>
            </w:pPr>
            <w:r>
              <w:rPr>
                <w:rFonts w:hint="eastAsia" w:ascii="宋体" w:hAnsi="宋体" w:eastAsia="宋体"/>
                <w:color w:val="auto"/>
                <w:sz w:val="24"/>
                <w:highlight w:val="none"/>
                <w:lang w:val="en-US" w:eastAsia="zh-CN"/>
              </w:rPr>
              <w:t>8</w:t>
            </w:r>
          </w:p>
        </w:tc>
        <w:tc>
          <w:tcPr>
            <w:tcW w:w="942" w:type="pct"/>
            <w:vAlign w:val="center"/>
          </w:tcPr>
          <w:p w14:paraId="7C5459E6">
            <w:pPr>
              <w:spacing w:after="50" w:line="360" w:lineRule="auto"/>
              <w:ind w:right="-10" w:rightChars="0"/>
              <w:jc w:val="center"/>
              <w:rPr>
                <w:rFonts w:ascii="宋体" w:hAnsi="宋体" w:eastAsia="宋体" w:cs="宋体"/>
                <w:color w:val="auto"/>
                <w:spacing w:val="10"/>
                <w:kern w:val="2"/>
                <w:sz w:val="24"/>
                <w:szCs w:val="24"/>
                <w:highlight w:val="none"/>
                <w:lang w:val="en-US" w:eastAsia="zh-CN" w:bidi="ar-SA"/>
              </w:rPr>
            </w:pPr>
            <w:r>
              <w:rPr>
                <w:rFonts w:hint="eastAsia" w:asciiTheme="minorEastAsia" w:hAnsiTheme="minorEastAsia" w:eastAsiaTheme="minorEastAsia"/>
                <w:color w:val="auto"/>
                <w:sz w:val="24"/>
                <w:szCs w:val="28"/>
                <w:highlight w:val="none"/>
              </w:rPr>
              <w:t>授权书</w:t>
            </w:r>
          </w:p>
        </w:tc>
        <w:tc>
          <w:tcPr>
            <w:tcW w:w="2601" w:type="pct"/>
            <w:vAlign w:val="center"/>
          </w:tcPr>
          <w:p w14:paraId="0031EBD4">
            <w:pPr>
              <w:spacing w:after="50" w:line="360" w:lineRule="auto"/>
              <w:ind w:right="-10" w:rightChars="0"/>
              <w:jc w:val="center"/>
              <w:rPr>
                <w:rFonts w:ascii="宋体" w:hAnsi="宋体" w:eastAsia="宋体" w:cs="宋体"/>
                <w:color w:val="auto"/>
                <w:spacing w:val="10"/>
                <w:kern w:val="2"/>
                <w:sz w:val="24"/>
                <w:szCs w:val="24"/>
                <w:highlight w:val="none"/>
                <w:lang w:val="en-US" w:eastAsia="zh-CN" w:bidi="ar-SA"/>
              </w:rPr>
            </w:pPr>
            <w:r>
              <w:rPr>
                <w:rFonts w:hint="eastAsia" w:asciiTheme="minorEastAsia" w:hAnsiTheme="minorEastAsia" w:eastAsiaTheme="minorEastAsia"/>
                <w:color w:val="auto"/>
                <w:sz w:val="24"/>
                <w:szCs w:val="28"/>
                <w:highlight w:val="none"/>
              </w:rPr>
              <w:t>格式、填写要求符合</w:t>
            </w:r>
            <w:r>
              <w:rPr>
                <w:rFonts w:hint="eastAsia" w:ascii="宋体" w:hAnsi="宋体" w:eastAsia="宋体" w:cs="宋体"/>
                <w:color w:val="auto"/>
                <w:spacing w:val="10"/>
                <w:sz w:val="24"/>
                <w:szCs w:val="24"/>
                <w:highlight w:val="none"/>
                <w:lang w:val="en-US" w:eastAsia="zh-CN"/>
              </w:rPr>
              <w:t>磋商</w:t>
            </w:r>
            <w:r>
              <w:rPr>
                <w:rFonts w:hint="eastAsia" w:asciiTheme="minorEastAsia" w:hAnsiTheme="minorEastAsia" w:eastAsiaTheme="minorEastAsia"/>
                <w:color w:val="auto"/>
                <w:sz w:val="24"/>
                <w:szCs w:val="28"/>
                <w:highlight w:val="none"/>
              </w:rPr>
              <w:t>文件规定并加盖</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szCs w:val="28"/>
                <w:highlight w:val="none"/>
              </w:rPr>
              <w:t>电子签章</w:t>
            </w:r>
          </w:p>
        </w:tc>
        <w:tc>
          <w:tcPr>
            <w:tcW w:w="1086" w:type="pct"/>
            <w:vAlign w:val="center"/>
          </w:tcPr>
          <w:p w14:paraId="0D2AE422">
            <w:pPr>
              <w:adjustRightInd w:val="0"/>
              <w:snapToGrid w:val="0"/>
              <w:spacing w:line="360" w:lineRule="auto"/>
              <w:ind w:right="-10" w:rightChars="0"/>
              <w:jc w:val="center"/>
              <w:rPr>
                <w:rFonts w:hint="eastAsia" w:ascii="宋体" w:hAnsi="宋体" w:eastAsia="宋体" w:cs="宋体"/>
                <w:b w:val="0"/>
                <w:bCs w:val="0"/>
                <w:color w:val="auto"/>
                <w:kern w:val="2"/>
                <w:sz w:val="24"/>
                <w:szCs w:val="24"/>
                <w:highlight w:val="none"/>
                <w:lang w:val="en-US" w:eastAsia="zh-CN" w:bidi="ar-SA"/>
              </w:rPr>
            </w:pPr>
            <w:r>
              <w:rPr>
                <w:rFonts w:hint="eastAsia" w:asciiTheme="minorEastAsia" w:hAnsiTheme="minorEastAsia" w:eastAsiaTheme="minorEastAsia"/>
                <w:color w:val="auto"/>
                <w:sz w:val="24"/>
                <w:highlight w:val="none"/>
              </w:rPr>
              <w:t>法定代表人参加</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的无需此件，提供身份证明即可。详见第六章</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文件格式</w:t>
            </w:r>
            <w:r>
              <w:rPr>
                <w:rFonts w:hint="eastAsia" w:asciiTheme="minorEastAsia" w:hAnsiTheme="minorEastAsia" w:eastAsiaTheme="minorEastAsia"/>
                <w:color w:val="auto"/>
                <w:sz w:val="24"/>
                <w:highlight w:val="none"/>
                <w:lang w:eastAsia="zh-CN"/>
              </w:rPr>
              <w:t>。</w:t>
            </w:r>
          </w:p>
        </w:tc>
      </w:tr>
      <w:tr w14:paraId="56CD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14:paraId="122F7642">
            <w:pPr>
              <w:adjustRightInd w:val="0"/>
              <w:snapToGrid w:val="0"/>
              <w:spacing w:line="360" w:lineRule="auto"/>
              <w:ind w:right="-10" w:rightChars="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9</w:t>
            </w:r>
          </w:p>
        </w:tc>
        <w:tc>
          <w:tcPr>
            <w:tcW w:w="942" w:type="pct"/>
            <w:vAlign w:val="center"/>
          </w:tcPr>
          <w:p w14:paraId="69E28C0D">
            <w:pPr>
              <w:spacing w:after="50" w:line="360" w:lineRule="auto"/>
              <w:ind w:right="-10" w:rightChars="0"/>
              <w:jc w:val="center"/>
              <w:rPr>
                <w:rFonts w:hint="eastAsia" w:ascii="宋体" w:hAnsi="宋体" w:eastAsia="宋体" w:cs="宋体"/>
                <w:color w:val="auto"/>
                <w:spacing w:val="10"/>
                <w:kern w:val="2"/>
                <w:sz w:val="24"/>
                <w:szCs w:val="24"/>
                <w:highlight w:val="none"/>
                <w:lang w:val="en-US" w:eastAsia="zh-CN" w:bidi="ar-SA"/>
              </w:rPr>
            </w:pP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报价</w:t>
            </w:r>
          </w:p>
        </w:tc>
        <w:tc>
          <w:tcPr>
            <w:tcW w:w="2601" w:type="pct"/>
            <w:vAlign w:val="center"/>
          </w:tcPr>
          <w:p w14:paraId="551E6396">
            <w:pPr>
              <w:spacing w:after="50" w:line="360" w:lineRule="auto"/>
              <w:ind w:right="-10" w:rightChars="0"/>
              <w:jc w:val="center"/>
              <w:rPr>
                <w:rFonts w:hint="eastAsia" w:ascii="宋体" w:hAnsi="宋体" w:eastAsia="宋体" w:cs="宋体"/>
                <w:color w:val="auto"/>
                <w:spacing w:val="10"/>
                <w:kern w:val="2"/>
                <w:sz w:val="24"/>
                <w:szCs w:val="24"/>
                <w:highlight w:val="none"/>
                <w:lang w:val="en-US" w:eastAsia="zh-CN" w:bidi="ar-SA"/>
              </w:rPr>
            </w:pPr>
            <w:r>
              <w:rPr>
                <w:rFonts w:hint="eastAsia" w:asciiTheme="minorEastAsia" w:hAnsiTheme="minorEastAsia" w:eastAsiaTheme="minorEastAsia"/>
                <w:color w:val="auto"/>
                <w:sz w:val="24"/>
                <w:szCs w:val="28"/>
                <w:highlight w:val="none"/>
              </w:rPr>
              <w:t>符合</w:t>
            </w:r>
            <w:r>
              <w:rPr>
                <w:rFonts w:hint="eastAsia" w:ascii="宋体" w:hAnsi="宋体" w:eastAsia="宋体" w:cs="宋体"/>
                <w:color w:val="auto"/>
                <w:spacing w:val="10"/>
                <w:sz w:val="24"/>
                <w:szCs w:val="24"/>
                <w:highlight w:val="none"/>
                <w:lang w:val="en-US" w:eastAsia="zh-CN"/>
              </w:rPr>
              <w:t>磋商</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供应商</w:t>
            </w:r>
            <w:r>
              <w:rPr>
                <w:rFonts w:hint="eastAsia" w:asciiTheme="minorEastAsia" w:hAnsiTheme="minorEastAsia" w:eastAsiaTheme="minorEastAsia"/>
                <w:color w:val="auto"/>
                <w:sz w:val="24"/>
                <w:highlight w:val="none"/>
              </w:rPr>
              <w:t>须知正文第</w:t>
            </w:r>
            <w:r>
              <w:rPr>
                <w:rFonts w:hint="eastAsia" w:asciiTheme="minorEastAsia" w:hAnsiTheme="minorEastAsia" w:eastAsiaTheme="minorEastAsia"/>
                <w:color w:val="auto"/>
                <w:sz w:val="24"/>
                <w:highlight w:val="none"/>
                <w:lang w:val="en-US" w:eastAsia="zh-CN"/>
              </w:rPr>
              <w:t>9</w:t>
            </w:r>
            <w:r>
              <w:rPr>
                <w:rFonts w:hint="eastAsia" w:asciiTheme="minorEastAsia" w:hAnsiTheme="minorEastAsia" w:eastAsiaTheme="minorEastAsia"/>
                <w:color w:val="auto"/>
                <w:sz w:val="24"/>
                <w:highlight w:val="none"/>
              </w:rPr>
              <w:t>条要求</w:t>
            </w:r>
          </w:p>
        </w:tc>
        <w:tc>
          <w:tcPr>
            <w:tcW w:w="1086" w:type="pct"/>
            <w:vAlign w:val="center"/>
          </w:tcPr>
          <w:p w14:paraId="0F372ABF">
            <w:pPr>
              <w:adjustRightInd w:val="0"/>
              <w:snapToGrid w:val="0"/>
              <w:spacing w:line="360" w:lineRule="auto"/>
              <w:ind w:right="-10" w:rightChars="0"/>
              <w:jc w:val="center"/>
              <w:rPr>
                <w:rFonts w:hint="eastAsia" w:ascii="宋体" w:hAnsi="宋体" w:eastAsia="宋体" w:cs="宋体"/>
                <w:b w:val="0"/>
                <w:bCs w:val="0"/>
                <w:color w:val="auto"/>
                <w:kern w:val="2"/>
                <w:sz w:val="24"/>
                <w:szCs w:val="24"/>
                <w:highlight w:val="none"/>
                <w:lang w:val="en-US" w:eastAsia="zh-CN" w:bidi="ar-SA"/>
              </w:rPr>
            </w:pPr>
            <w:r>
              <w:rPr>
                <w:rFonts w:hint="eastAsia" w:asciiTheme="minorEastAsia" w:hAnsiTheme="minorEastAsia" w:eastAsiaTheme="minorEastAsia"/>
                <w:color w:val="auto"/>
                <w:sz w:val="24"/>
                <w:highlight w:val="none"/>
              </w:rPr>
              <w:t>详见第六章</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文件格式</w:t>
            </w:r>
            <w:r>
              <w:rPr>
                <w:rFonts w:hint="eastAsia" w:asciiTheme="minorEastAsia" w:hAnsiTheme="minorEastAsia" w:eastAsiaTheme="minorEastAsia"/>
                <w:color w:val="auto"/>
                <w:sz w:val="24"/>
                <w:highlight w:val="none"/>
                <w:lang w:eastAsia="zh-CN"/>
              </w:rPr>
              <w:t>。</w:t>
            </w:r>
          </w:p>
        </w:tc>
      </w:tr>
      <w:tr w14:paraId="268F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14:paraId="651AD332">
            <w:pPr>
              <w:adjustRightInd w:val="0"/>
              <w:snapToGrid w:val="0"/>
              <w:spacing w:line="360" w:lineRule="auto"/>
              <w:ind w:right="-10" w:rightChars="0"/>
              <w:jc w:val="center"/>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10</w:t>
            </w:r>
          </w:p>
        </w:tc>
        <w:tc>
          <w:tcPr>
            <w:tcW w:w="942" w:type="pct"/>
            <w:vAlign w:val="center"/>
          </w:tcPr>
          <w:p w14:paraId="007DB32C">
            <w:pPr>
              <w:spacing w:after="50" w:line="360" w:lineRule="auto"/>
              <w:ind w:right="-10" w:rightChars="0"/>
              <w:jc w:val="center"/>
              <w:rPr>
                <w:rFonts w:hint="eastAsia" w:asciiTheme="minorEastAsia" w:hAnsiTheme="minorEastAsia" w:eastAsiaTheme="minorEastAsia"/>
                <w:color w:val="auto"/>
                <w:sz w:val="24"/>
                <w:szCs w:val="28"/>
                <w:highlight w:val="none"/>
                <w:lang w:val="en-US" w:eastAsia="zh-CN"/>
              </w:rPr>
            </w:pPr>
            <w:r>
              <w:rPr>
                <w:rFonts w:hint="eastAsia" w:asciiTheme="minorEastAsia" w:hAnsiTheme="minorEastAsia" w:eastAsiaTheme="minorEastAsia"/>
                <w:color w:val="auto"/>
                <w:sz w:val="24"/>
                <w:szCs w:val="28"/>
                <w:highlight w:val="none"/>
                <w:lang w:val="en-US" w:eastAsia="zh-CN"/>
              </w:rPr>
              <w:t>商务响应情况</w:t>
            </w:r>
          </w:p>
        </w:tc>
        <w:tc>
          <w:tcPr>
            <w:tcW w:w="2601" w:type="pct"/>
            <w:vAlign w:val="center"/>
          </w:tcPr>
          <w:p w14:paraId="0BBED11E">
            <w:pPr>
              <w:spacing w:after="50" w:line="360" w:lineRule="auto"/>
              <w:ind w:right="-10" w:rightChars="0"/>
              <w:jc w:val="center"/>
              <w:rPr>
                <w:rFonts w:hint="eastAsia" w:asciiTheme="minorEastAsia" w:hAnsiTheme="minorEastAsia" w:eastAsiaTheme="minorEastAsia"/>
                <w:color w:val="auto"/>
                <w:sz w:val="24"/>
                <w:szCs w:val="28"/>
                <w:highlight w:val="none"/>
              </w:rPr>
            </w:pPr>
            <w:r>
              <w:rPr>
                <w:rFonts w:hint="eastAsia" w:asciiTheme="minorEastAsia" w:hAnsiTheme="minorEastAsia" w:eastAsiaTheme="minorEastAsia"/>
                <w:color w:val="auto"/>
                <w:sz w:val="24"/>
                <w:szCs w:val="28"/>
                <w:highlight w:val="none"/>
              </w:rPr>
              <w:t>符合磋商文件采购需求中对付款方式、服务地点、服务期限等实质性要求</w:t>
            </w:r>
          </w:p>
        </w:tc>
        <w:tc>
          <w:tcPr>
            <w:tcW w:w="1086" w:type="pct"/>
            <w:vAlign w:val="center"/>
          </w:tcPr>
          <w:p w14:paraId="01017BCD">
            <w:pPr>
              <w:adjustRightInd w:val="0"/>
              <w:snapToGrid w:val="0"/>
              <w:spacing w:line="360" w:lineRule="auto"/>
              <w:ind w:right="-10" w:rightChars="0"/>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详见第六章响应文件格式。</w:t>
            </w:r>
          </w:p>
        </w:tc>
      </w:tr>
      <w:tr w14:paraId="5676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0" w:type="pct"/>
            <w:vAlign w:val="center"/>
          </w:tcPr>
          <w:p w14:paraId="69950248">
            <w:pPr>
              <w:adjustRightInd w:val="0"/>
              <w:snapToGrid w:val="0"/>
              <w:spacing w:line="360" w:lineRule="auto"/>
              <w:ind w:right="-10" w:rightChars="0"/>
              <w:jc w:val="center"/>
              <w:rPr>
                <w:rFonts w:hint="default" w:ascii="宋体" w:hAnsi="宋体" w:eastAsia="宋体"/>
                <w:color w:val="auto"/>
                <w:sz w:val="24"/>
                <w:highlight w:val="none"/>
                <w:lang w:val="en-US" w:eastAsia="zh-CN"/>
              </w:rPr>
            </w:pPr>
            <w:r>
              <w:rPr>
                <w:rFonts w:hint="eastAsia" w:asciiTheme="minorEastAsia" w:hAnsiTheme="minorEastAsia" w:eastAsiaTheme="minorEastAsia"/>
                <w:color w:val="auto"/>
                <w:sz w:val="24"/>
                <w:highlight w:val="none"/>
                <w:lang w:val="en-US" w:eastAsia="zh-CN"/>
              </w:rPr>
              <w:t>11</w:t>
            </w:r>
          </w:p>
        </w:tc>
        <w:tc>
          <w:tcPr>
            <w:tcW w:w="942" w:type="pct"/>
            <w:vAlign w:val="center"/>
          </w:tcPr>
          <w:p w14:paraId="4430A04B">
            <w:pPr>
              <w:spacing w:after="50" w:line="360" w:lineRule="auto"/>
              <w:ind w:right="-10" w:rightChars="0"/>
              <w:jc w:val="center"/>
              <w:rPr>
                <w:rFonts w:ascii="宋体" w:hAnsi="宋体" w:eastAsia="宋体" w:cs="宋体"/>
                <w:color w:val="auto"/>
                <w:spacing w:val="10"/>
                <w:kern w:val="2"/>
                <w:sz w:val="24"/>
                <w:szCs w:val="24"/>
                <w:highlight w:val="none"/>
                <w:lang w:val="en-US" w:eastAsia="zh-CN" w:bidi="ar-SA"/>
              </w:rPr>
            </w:pPr>
            <w:r>
              <w:rPr>
                <w:rFonts w:hint="eastAsia" w:asciiTheme="minorEastAsia" w:hAnsiTheme="minorEastAsia" w:eastAsiaTheme="minorEastAsia"/>
                <w:color w:val="auto"/>
                <w:sz w:val="24"/>
                <w:szCs w:val="28"/>
                <w:highlight w:val="none"/>
              </w:rPr>
              <w:t>其他要求</w:t>
            </w:r>
          </w:p>
        </w:tc>
        <w:tc>
          <w:tcPr>
            <w:tcW w:w="2601" w:type="pct"/>
            <w:vAlign w:val="center"/>
          </w:tcPr>
          <w:p w14:paraId="7916EC9B">
            <w:pPr>
              <w:spacing w:after="50" w:line="360" w:lineRule="auto"/>
              <w:ind w:right="-10" w:rightChars="0"/>
              <w:jc w:val="center"/>
              <w:rPr>
                <w:rFonts w:ascii="宋体" w:hAnsi="宋体" w:eastAsia="宋体" w:cs="宋体"/>
                <w:color w:val="auto"/>
                <w:spacing w:val="10"/>
                <w:kern w:val="2"/>
                <w:sz w:val="24"/>
                <w:szCs w:val="24"/>
                <w:highlight w:val="none"/>
                <w:lang w:val="en-US" w:eastAsia="zh-CN" w:bidi="ar-SA"/>
              </w:rPr>
            </w:pPr>
            <w:r>
              <w:rPr>
                <w:rFonts w:hint="eastAsia" w:asciiTheme="minorEastAsia" w:hAnsiTheme="minorEastAsia" w:eastAsiaTheme="minorEastAsia"/>
                <w:color w:val="auto"/>
                <w:sz w:val="24"/>
                <w:szCs w:val="28"/>
                <w:highlight w:val="none"/>
              </w:rPr>
              <w:t>符合法律、行政法规规定的其他条件或</w:t>
            </w:r>
            <w:r>
              <w:rPr>
                <w:rFonts w:hint="eastAsia" w:asciiTheme="minorEastAsia" w:hAnsiTheme="minorEastAsia" w:eastAsiaTheme="minorEastAsia"/>
                <w:color w:val="auto"/>
                <w:sz w:val="24"/>
                <w:szCs w:val="28"/>
                <w:highlight w:val="none"/>
                <w:lang w:val="en-US" w:eastAsia="zh-CN"/>
              </w:rPr>
              <w:t>磋商</w:t>
            </w:r>
            <w:r>
              <w:rPr>
                <w:rFonts w:hint="eastAsia" w:asciiTheme="minorEastAsia" w:hAnsiTheme="minorEastAsia" w:eastAsiaTheme="minorEastAsia"/>
                <w:color w:val="auto"/>
                <w:sz w:val="24"/>
                <w:szCs w:val="28"/>
                <w:highlight w:val="none"/>
              </w:rPr>
              <w:t>文件列明的其他</w:t>
            </w:r>
            <w:r>
              <w:rPr>
                <w:rFonts w:hint="eastAsia" w:asciiTheme="minorEastAsia" w:hAnsiTheme="minorEastAsia" w:eastAsiaTheme="minorEastAsia"/>
                <w:color w:val="auto"/>
                <w:sz w:val="24"/>
                <w:szCs w:val="28"/>
                <w:highlight w:val="none"/>
                <w:lang w:val="en-US" w:eastAsia="zh-CN"/>
              </w:rPr>
              <w:t>实质性</w:t>
            </w:r>
            <w:r>
              <w:rPr>
                <w:rFonts w:hint="eastAsia" w:asciiTheme="minorEastAsia" w:hAnsiTheme="minorEastAsia" w:eastAsiaTheme="minorEastAsia"/>
                <w:color w:val="auto"/>
                <w:sz w:val="24"/>
                <w:szCs w:val="28"/>
                <w:highlight w:val="none"/>
              </w:rPr>
              <w:t>要求</w:t>
            </w:r>
          </w:p>
        </w:tc>
        <w:tc>
          <w:tcPr>
            <w:tcW w:w="1086" w:type="pct"/>
            <w:vAlign w:val="center"/>
          </w:tcPr>
          <w:p w14:paraId="745315E2">
            <w:pPr>
              <w:adjustRightInd w:val="0"/>
              <w:snapToGrid w:val="0"/>
              <w:spacing w:line="360" w:lineRule="auto"/>
              <w:ind w:right="-10" w:rightChars="0"/>
              <w:jc w:val="center"/>
              <w:rPr>
                <w:rFonts w:hint="eastAsia" w:ascii="宋体" w:hAnsi="宋体" w:eastAsia="宋体" w:cs="宋体"/>
                <w:b w:val="0"/>
                <w:bCs w:val="0"/>
                <w:color w:val="auto"/>
                <w:sz w:val="24"/>
                <w:szCs w:val="24"/>
                <w:highlight w:val="none"/>
              </w:rPr>
            </w:pPr>
          </w:p>
        </w:tc>
      </w:tr>
    </w:tbl>
    <w:p w14:paraId="6D2AFF4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b/>
          <w:bCs/>
          <w:color w:val="auto"/>
          <w:sz w:val="24"/>
          <w:highlight w:val="none"/>
        </w:rPr>
        <w:t>初审指标通过标准：</w:t>
      </w:r>
      <w:r>
        <w:rPr>
          <w:rFonts w:hint="eastAsia" w:asciiTheme="minorEastAsia" w:hAnsiTheme="minorEastAsia" w:eastAsiaTheme="minorEastAsia"/>
          <w:color w:val="auto"/>
          <w:sz w:val="24"/>
          <w:highlight w:val="none"/>
        </w:rPr>
        <w:t>供应商必须通过初审表中的全部评审指标。</w:t>
      </w:r>
    </w:p>
    <w:p w14:paraId="4732968C">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2.2综合评分</w:t>
      </w:r>
    </w:p>
    <w:p w14:paraId="13B0257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rPr>
        <w:t>磋商小组按照下表对</w:t>
      </w:r>
      <w:r>
        <w:rPr>
          <w:rFonts w:hint="eastAsia" w:ascii="宋体" w:hAnsi="宋体" w:eastAsia="宋体"/>
          <w:color w:val="auto"/>
          <w:sz w:val="24"/>
          <w:highlight w:val="none"/>
        </w:rPr>
        <w:t>进入综合评分的所有供应商的</w:t>
      </w:r>
      <w:r>
        <w:rPr>
          <w:rFonts w:hint="eastAsia" w:asciiTheme="minorEastAsia" w:hAnsiTheme="minorEastAsia" w:eastAsiaTheme="minorEastAsia"/>
          <w:color w:val="auto"/>
          <w:sz w:val="24"/>
          <w:highlight w:val="none"/>
        </w:rPr>
        <w:t>响应文件进行综合评分。</w:t>
      </w:r>
    </w:p>
    <w:p w14:paraId="0529A605">
      <w:pPr>
        <w:spacing w:line="360" w:lineRule="auto"/>
        <w:ind w:firstLine="435"/>
        <w:rPr>
          <w:color w:val="auto"/>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rPr>
        <w:t>本项目综合评分满分为1</w:t>
      </w:r>
      <w:r>
        <w:rPr>
          <w:rFonts w:asciiTheme="minorEastAsia" w:hAnsiTheme="minorEastAsia" w:eastAsiaTheme="minorEastAsia"/>
          <w:color w:val="auto"/>
          <w:sz w:val="24"/>
          <w:highlight w:val="none"/>
        </w:rPr>
        <w:t>00</w:t>
      </w:r>
      <w:r>
        <w:rPr>
          <w:rFonts w:hint="eastAsia" w:asciiTheme="minorEastAsia" w:hAnsiTheme="minorEastAsia" w:eastAsiaTheme="minorEastAsia"/>
          <w:color w:val="auto"/>
          <w:sz w:val="24"/>
          <w:highlight w:val="none"/>
        </w:rPr>
        <w:t>分，其中：技术资信分值占总分值的权重为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89</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%，价格分值占总分值的权重为</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11</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%。具体评分细则如下：</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5"/>
        <w:gridCol w:w="1720"/>
        <w:gridCol w:w="3745"/>
        <w:gridCol w:w="1582"/>
      </w:tblGrid>
      <w:tr w14:paraId="40DD2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65" w:type="pct"/>
            <w:tcBorders>
              <w:top w:val="single" w:color="auto" w:sz="4" w:space="0"/>
              <w:left w:val="single" w:color="auto" w:sz="4" w:space="0"/>
              <w:bottom w:val="single" w:color="auto" w:sz="4" w:space="0"/>
              <w:right w:val="single" w:color="auto" w:sz="4" w:space="0"/>
            </w:tcBorders>
            <w:vAlign w:val="center"/>
          </w:tcPr>
          <w:p w14:paraId="5DE26EB4">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类别</w:t>
            </w:r>
          </w:p>
        </w:tc>
        <w:tc>
          <w:tcPr>
            <w:tcW w:w="1009" w:type="pct"/>
            <w:tcBorders>
              <w:top w:val="single" w:color="auto" w:sz="4" w:space="0"/>
              <w:left w:val="single" w:color="auto" w:sz="4" w:space="0"/>
              <w:bottom w:val="single" w:color="auto" w:sz="4" w:space="0"/>
              <w:right w:val="single" w:color="auto" w:sz="4" w:space="0"/>
            </w:tcBorders>
            <w:vAlign w:val="center"/>
          </w:tcPr>
          <w:p w14:paraId="707439E5">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评分内容</w:t>
            </w:r>
          </w:p>
        </w:tc>
        <w:tc>
          <w:tcPr>
            <w:tcW w:w="2197" w:type="pct"/>
            <w:tcBorders>
              <w:top w:val="single" w:color="auto" w:sz="4" w:space="0"/>
              <w:left w:val="single" w:color="auto" w:sz="4" w:space="0"/>
              <w:bottom w:val="single" w:color="auto" w:sz="4" w:space="0"/>
              <w:right w:val="single" w:color="auto" w:sz="4" w:space="0"/>
            </w:tcBorders>
            <w:vAlign w:val="center"/>
          </w:tcPr>
          <w:p w14:paraId="3793DE71">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评分标准</w:t>
            </w:r>
          </w:p>
        </w:tc>
        <w:tc>
          <w:tcPr>
            <w:tcW w:w="928" w:type="pct"/>
            <w:tcBorders>
              <w:top w:val="single" w:color="auto" w:sz="4" w:space="0"/>
              <w:left w:val="single" w:color="auto" w:sz="4" w:space="0"/>
              <w:bottom w:val="single" w:color="auto" w:sz="4" w:space="0"/>
              <w:right w:val="single" w:color="auto" w:sz="4" w:space="0"/>
            </w:tcBorders>
            <w:vAlign w:val="center"/>
          </w:tcPr>
          <w:p w14:paraId="1274877F">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分值范围</w:t>
            </w:r>
          </w:p>
        </w:tc>
      </w:tr>
      <w:tr w14:paraId="3A6C8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restart"/>
            <w:tcBorders>
              <w:top w:val="single" w:color="auto" w:sz="4" w:space="0"/>
              <w:left w:val="single" w:color="auto" w:sz="4" w:space="0"/>
              <w:right w:val="single" w:color="auto" w:sz="4" w:space="0"/>
            </w:tcBorders>
            <w:vAlign w:val="center"/>
          </w:tcPr>
          <w:p w14:paraId="0999CB4A">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技术资信分</w:t>
            </w:r>
          </w:p>
          <w:p w14:paraId="2A975561">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89</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tc>
        <w:tc>
          <w:tcPr>
            <w:tcW w:w="4134" w:type="pct"/>
            <w:gridSpan w:val="3"/>
            <w:tcBorders>
              <w:top w:val="single" w:color="auto" w:sz="4" w:space="0"/>
              <w:left w:val="single" w:color="auto" w:sz="4" w:space="0"/>
              <w:bottom w:val="single" w:color="auto" w:sz="4" w:space="0"/>
              <w:right w:val="single" w:color="auto" w:sz="4" w:space="0"/>
            </w:tcBorders>
            <w:vAlign w:val="center"/>
          </w:tcPr>
          <w:p w14:paraId="6D81ABD3">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val="0"/>
                <w:color w:val="auto"/>
                <w:sz w:val="24"/>
                <w:highlight w:val="none"/>
                <w:lang w:val="en-US" w:eastAsia="zh-CN"/>
              </w:rPr>
              <w:t>资信部分</w:t>
            </w:r>
          </w:p>
        </w:tc>
      </w:tr>
      <w:tr w14:paraId="4EDD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5EC551AC">
            <w:pPr>
              <w:spacing w:line="360" w:lineRule="auto"/>
              <w:jc w:val="center"/>
              <w:rPr>
                <w:rFonts w:hint="eastAsia" w:asciiTheme="minorEastAsia" w:hAnsiTheme="minorEastAsia" w:eastAsiaTheme="minorEastAsia"/>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A799ED5">
            <w:pPr>
              <w:spacing w:line="360" w:lineRule="auto"/>
              <w:jc w:val="center"/>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供应商业绩</w:t>
            </w:r>
          </w:p>
        </w:tc>
        <w:tc>
          <w:tcPr>
            <w:tcW w:w="2197" w:type="pct"/>
            <w:tcBorders>
              <w:top w:val="single" w:color="auto" w:sz="4" w:space="0"/>
              <w:left w:val="single" w:color="auto" w:sz="4" w:space="0"/>
              <w:bottom w:val="single" w:color="auto" w:sz="4" w:space="0"/>
              <w:right w:val="single" w:color="auto" w:sz="4" w:space="0"/>
            </w:tcBorders>
            <w:vAlign w:val="center"/>
          </w:tcPr>
          <w:p w14:paraId="0605E8DD">
            <w:pPr>
              <w:spacing w:line="360" w:lineRule="auto"/>
              <w:jc w:val="left"/>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（1）供应商自2020年1月1日（业绩时间以合同签订时间为准）以来，具有市级及以上网络公益、网络正能量等大事件主题宣传策划活动业绩，每提供1个得2分，最高得2分。</w:t>
            </w:r>
          </w:p>
          <w:p w14:paraId="48F7CADD">
            <w:pPr>
              <w:spacing w:line="360" w:lineRule="auto"/>
              <w:jc w:val="left"/>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（2）供应商自2020年1月1日（业绩时间以合同签订时间为准）以来，具有市级及以上策划的多平台整合宣传活动推广项目（包括但不限于微博、抖音、快手、哔哩哔哩等平台）业绩，每提供1个得2分，最高得2分。</w:t>
            </w:r>
          </w:p>
          <w:p w14:paraId="6D2B4BBF">
            <w:pPr>
              <w:spacing w:line="360" w:lineRule="auto"/>
              <w:jc w:val="left"/>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注：（1）响应文件中需提供合同扫描件（合同中需反映出上述业绩项目内容、合同签订时间、签字盖章页）。业绩时间以合同签订时间为准，若以上证明材料无法体现项目内容等关键评审因素的，须同时提供采购人（合同甲方）出具的证明材料。</w:t>
            </w:r>
          </w:p>
          <w:p w14:paraId="12F3B3D8">
            <w:pPr>
              <w:spacing w:line="360" w:lineRule="auto"/>
              <w:jc w:val="left"/>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2）供应商投标时只须提供2个评审业绩，若供应商提供业绩个数超过2个，则按照排列顺序从首个业绩开始评审至对应数量（2个），超出部分业绩不进行评审。对应数量（2个）内业绩不符合招标文件要求不得分的，不再补充评审超出部分业绩。</w:t>
            </w:r>
          </w:p>
        </w:tc>
        <w:tc>
          <w:tcPr>
            <w:tcW w:w="928" w:type="pct"/>
            <w:tcBorders>
              <w:top w:val="single" w:color="auto" w:sz="4" w:space="0"/>
              <w:left w:val="single" w:color="auto" w:sz="4" w:space="0"/>
              <w:bottom w:val="single" w:color="auto" w:sz="4" w:space="0"/>
              <w:right w:val="single" w:color="auto" w:sz="4" w:space="0"/>
            </w:tcBorders>
            <w:vAlign w:val="center"/>
          </w:tcPr>
          <w:p w14:paraId="15370AC7">
            <w:pPr>
              <w:spacing w:line="360" w:lineRule="auto"/>
              <w:jc w:val="cente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0-4分</w:t>
            </w:r>
          </w:p>
        </w:tc>
      </w:tr>
      <w:tr w14:paraId="60D1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13AC0412">
            <w:pPr>
              <w:spacing w:line="360" w:lineRule="auto"/>
              <w:jc w:val="center"/>
              <w:rPr>
                <w:rFonts w:hint="eastAsia" w:asciiTheme="minorEastAsia" w:hAnsiTheme="minorEastAsia" w:eastAsiaTheme="minorEastAsia"/>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2037ED0D">
            <w:pPr>
              <w:spacing w:line="360" w:lineRule="auto"/>
              <w:jc w:val="center"/>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供应商实力</w:t>
            </w:r>
          </w:p>
        </w:tc>
        <w:tc>
          <w:tcPr>
            <w:tcW w:w="2197" w:type="pct"/>
            <w:tcBorders>
              <w:top w:val="single" w:color="auto" w:sz="4" w:space="0"/>
              <w:left w:val="single" w:color="auto" w:sz="4" w:space="0"/>
              <w:bottom w:val="single" w:color="auto" w:sz="4" w:space="0"/>
              <w:right w:val="single" w:color="auto" w:sz="4" w:space="0"/>
            </w:tcBorders>
            <w:vAlign w:val="center"/>
          </w:tcPr>
          <w:p w14:paraId="6EDDDE0F">
            <w:pPr>
              <w:spacing w:line="360" w:lineRule="auto"/>
              <w:jc w:val="left"/>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（1）供应商在网信系统备案过，具有供项目长期推广支持的平台和推广资源，配备的媒体平台和推广资源，每提供一个得2分，本项满分2分。</w:t>
            </w:r>
          </w:p>
          <w:p w14:paraId="3B547C01">
            <w:pPr>
              <w:spacing w:line="360" w:lineRule="auto"/>
              <w:jc w:val="left"/>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注：需提供平台支持使用的证明文件，未提供不得分。</w:t>
            </w:r>
          </w:p>
          <w:p w14:paraId="53C4FB97">
            <w:pPr>
              <w:spacing w:line="360" w:lineRule="auto"/>
              <w:jc w:val="left"/>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（2）供应商具有“分布式媒体推广平台类、新媒体大数据服务平台类、数据可视化智能管理系统类”计算机软件著作权证书的，每提供1个得2分，最高得4分。</w:t>
            </w:r>
          </w:p>
          <w:p w14:paraId="3E3CC369">
            <w:pPr>
              <w:spacing w:line="360" w:lineRule="auto"/>
              <w:jc w:val="left"/>
              <w:rPr>
                <w:rFonts w:hint="eastAsia" w:asciiTheme="minorEastAsia" w:hAnsiTheme="minorEastAsia" w:eastAsiaTheme="minorEastAsia"/>
                <w:bCs/>
                <w:color w:val="auto"/>
                <w:sz w:val="24"/>
                <w:highlight w:val="none"/>
                <w:lang w:val="en-US" w:eastAsia="zh-CN"/>
              </w:rPr>
            </w:pPr>
            <w:r>
              <w:rPr>
                <w:rFonts w:hint="eastAsia" w:asciiTheme="minorEastAsia" w:hAnsiTheme="minorEastAsia" w:eastAsiaTheme="minorEastAsia"/>
                <w:bCs/>
                <w:color w:val="auto"/>
                <w:sz w:val="24"/>
                <w:highlight w:val="none"/>
                <w:lang w:val="en-US" w:eastAsia="zh-CN"/>
              </w:rPr>
              <w:t>注：响应文件中须提供上述证书扫描件，否则不得分。</w:t>
            </w:r>
          </w:p>
        </w:tc>
        <w:tc>
          <w:tcPr>
            <w:tcW w:w="928" w:type="pct"/>
            <w:tcBorders>
              <w:top w:val="single" w:color="auto" w:sz="4" w:space="0"/>
              <w:left w:val="single" w:color="auto" w:sz="4" w:space="0"/>
              <w:bottom w:val="single" w:color="auto" w:sz="4" w:space="0"/>
              <w:right w:val="single" w:color="auto" w:sz="4" w:space="0"/>
            </w:tcBorders>
            <w:vAlign w:val="center"/>
          </w:tcPr>
          <w:p w14:paraId="2AF0BF1B">
            <w:pPr>
              <w:spacing w:line="360" w:lineRule="auto"/>
              <w:jc w:val="cente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0-6分</w:t>
            </w:r>
          </w:p>
        </w:tc>
      </w:tr>
      <w:tr w14:paraId="47ED5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33E89289">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7D4A0DA3">
            <w:pPr>
              <w:spacing w:line="360" w:lineRule="auto"/>
              <w:jc w:val="center"/>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项目团队</w:t>
            </w:r>
          </w:p>
          <w:p w14:paraId="631B887D">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人员配备</w:t>
            </w:r>
          </w:p>
        </w:tc>
        <w:tc>
          <w:tcPr>
            <w:tcW w:w="2197" w:type="pct"/>
            <w:tcBorders>
              <w:top w:val="single" w:color="auto" w:sz="4" w:space="0"/>
              <w:left w:val="single" w:color="auto" w:sz="4" w:space="0"/>
              <w:bottom w:val="single" w:color="auto" w:sz="4" w:space="0"/>
              <w:right w:val="single" w:color="auto" w:sz="4" w:space="0"/>
            </w:tcBorders>
            <w:vAlign w:val="center"/>
          </w:tcPr>
          <w:p w14:paraId="283C40EA">
            <w:pPr>
              <w:spacing w:line="360" w:lineRule="auto"/>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供应商拟为本项目配备的人员中，具备“营销策划师”、“影视后期制作工程师”证书的，每提供1个，得2分；最高得4分，一人具有多个证书（或同一证书不同人员）的，不重复计分。</w:t>
            </w:r>
          </w:p>
          <w:p w14:paraId="69980449">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注：响应文件中提供证书扫描件及人员名单（格式自拟）</w:t>
            </w:r>
            <w:r>
              <w:rPr>
                <w:rFonts w:hint="eastAsia" w:asciiTheme="minorEastAsia" w:hAnsiTheme="minorEastAsia" w:eastAsiaTheme="minorEastAsia"/>
                <w:color w:val="auto"/>
                <w:sz w:val="24"/>
                <w:highlight w:val="none"/>
              </w:rPr>
              <w:t>。</w:t>
            </w:r>
          </w:p>
        </w:tc>
        <w:tc>
          <w:tcPr>
            <w:tcW w:w="928" w:type="pct"/>
            <w:tcBorders>
              <w:top w:val="single" w:color="auto" w:sz="4" w:space="0"/>
              <w:left w:val="single" w:color="auto" w:sz="4" w:space="0"/>
              <w:bottom w:val="single" w:color="auto" w:sz="4" w:space="0"/>
              <w:right w:val="single" w:color="auto" w:sz="4" w:space="0"/>
            </w:tcBorders>
            <w:vAlign w:val="center"/>
          </w:tcPr>
          <w:p w14:paraId="655BDDB9">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0-4分</w:t>
            </w:r>
          </w:p>
        </w:tc>
      </w:tr>
      <w:tr w14:paraId="71E8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12948ECD">
            <w:pPr>
              <w:spacing w:line="360" w:lineRule="auto"/>
              <w:ind w:firstLine="435"/>
              <w:jc w:val="center"/>
              <w:rPr>
                <w:rFonts w:asciiTheme="minorEastAsia" w:hAnsiTheme="minorEastAsia" w:eastAsiaTheme="minorEastAsia"/>
                <w:b/>
                <w:bCs/>
                <w:color w:val="auto"/>
                <w:sz w:val="24"/>
                <w:highlight w:val="none"/>
              </w:rPr>
            </w:pPr>
          </w:p>
        </w:tc>
        <w:tc>
          <w:tcPr>
            <w:tcW w:w="4134" w:type="pct"/>
            <w:gridSpan w:val="3"/>
            <w:tcBorders>
              <w:top w:val="single" w:color="auto" w:sz="4" w:space="0"/>
              <w:left w:val="single" w:color="auto" w:sz="4" w:space="0"/>
              <w:bottom w:val="single" w:color="auto" w:sz="4" w:space="0"/>
              <w:right w:val="single" w:color="auto" w:sz="4" w:space="0"/>
            </w:tcBorders>
            <w:vAlign w:val="center"/>
          </w:tcPr>
          <w:p w14:paraId="7015D09C">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技术部分</w:t>
            </w:r>
          </w:p>
        </w:tc>
      </w:tr>
      <w:tr w14:paraId="4F313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65E7788A">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48077A4">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整体服务方案</w:t>
            </w:r>
          </w:p>
        </w:tc>
        <w:tc>
          <w:tcPr>
            <w:tcW w:w="2197" w:type="pct"/>
            <w:tcBorders>
              <w:top w:val="single" w:color="auto" w:sz="4" w:space="0"/>
              <w:left w:val="single" w:color="auto" w:sz="4" w:space="0"/>
              <w:bottom w:val="single" w:color="auto" w:sz="4" w:space="0"/>
              <w:right w:val="single" w:color="auto" w:sz="4" w:space="0"/>
            </w:tcBorders>
            <w:vAlign w:val="center"/>
          </w:tcPr>
          <w:p w14:paraId="73290C4C">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根据整体方案完整性、细致性、严谨性进行评分。需包含全年几项主题策划的方案内容，并符合项目需求的完整程度，综合进行比较：</w:t>
            </w:r>
          </w:p>
          <w:p w14:paraId="54EC3567">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（1）整体服务方案思路明确清晰，方案具体详实，安排合理，优于项目需求，得5分；</w:t>
            </w:r>
          </w:p>
          <w:p w14:paraId="11C3523B">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（2）整体服务方案思路明确，内容完整，满足采购需求，得3分；</w:t>
            </w:r>
          </w:p>
          <w:p w14:paraId="2479F1B2">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（3）整体服务方案内容简单，需要进一步完善，得1分；</w:t>
            </w:r>
          </w:p>
          <w:p w14:paraId="653D9A6D">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（4）未提供的不得分。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3095E76A">
            <w:pPr>
              <w:spacing w:line="360" w:lineRule="auto"/>
              <w:jc w:val="center"/>
              <w:rPr>
                <w:rFonts w:hint="default"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0-5分</w:t>
            </w:r>
          </w:p>
        </w:tc>
      </w:tr>
      <w:tr w14:paraId="18725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29208B0A">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CB879D0">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主题活动线上宣传方案</w:t>
            </w:r>
          </w:p>
        </w:tc>
        <w:tc>
          <w:tcPr>
            <w:tcW w:w="2197" w:type="pct"/>
            <w:tcBorders>
              <w:top w:val="single" w:color="auto" w:sz="4" w:space="0"/>
              <w:left w:val="single" w:color="auto" w:sz="4" w:space="0"/>
              <w:bottom w:val="single" w:color="auto" w:sz="4" w:space="0"/>
              <w:right w:val="single" w:color="auto" w:sz="4" w:space="0"/>
            </w:tcBorders>
            <w:vAlign w:val="center"/>
          </w:tcPr>
          <w:p w14:paraId="65925527">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磋商小组根据供应商提供的主题活动线上宣传方案进行综合评审:</w:t>
            </w:r>
          </w:p>
          <w:p w14:paraId="2EE0E4CA">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(1)线上宣传方案安排规划合理，贴合时下热点，全面结合采购人全年营销工作重点，内容有创意，形式新颖且丰富，满足采购需求，得5分；</w:t>
            </w:r>
          </w:p>
          <w:p w14:paraId="29DDCA06">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(2)线上宣传方案内容简单，不够全面，符合采购人全年营销工作重点，贴合采购需求，得3分；</w:t>
            </w:r>
          </w:p>
          <w:p w14:paraId="0B7F5F0F">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(3)线上宣传方案内容粗糙，存在不足，得1分；</w:t>
            </w:r>
          </w:p>
          <w:p w14:paraId="76E966CD">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(4)未提供的不得分。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1533B1B0">
            <w:pPr>
              <w:spacing w:line="360" w:lineRule="auto"/>
              <w:jc w:val="cente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0-5分</w:t>
            </w:r>
          </w:p>
        </w:tc>
      </w:tr>
      <w:tr w14:paraId="04C07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65150349">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31A13634">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主题活动线下执行方案</w:t>
            </w:r>
          </w:p>
        </w:tc>
        <w:tc>
          <w:tcPr>
            <w:tcW w:w="2197" w:type="pct"/>
            <w:tcBorders>
              <w:top w:val="single" w:color="auto" w:sz="4" w:space="0"/>
              <w:left w:val="single" w:color="auto" w:sz="4" w:space="0"/>
              <w:bottom w:val="single" w:color="auto" w:sz="4" w:space="0"/>
              <w:right w:val="single" w:color="auto" w:sz="4" w:space="0"/>
            </w:tcBorders>
            <w:vAlign w:val="center"/>
          </w:tcPr>
          <w:p w14:paraId="63490919">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磋商小组根据供应商提供的主题活动线下执行方案（包含此次主题活动的具体实施方案与详细的时间线路安排、节点安排、操作步骤等内容）进行综合评审:</w:t>
            </w:r>
          </w:p>
          <w:p w14:paraId="7D7FD304">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(1)方案内容全面透彻，主题突出，逻辑性清晰明确，时间节点安排有效可行，得5分；</w:t>
            </w:r>
          </w:p>
          <w:p w14:paraId="276F0A0C">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(2)方案内容简单，主题清晰，具有逻辑性，时间节点安排合理，得3分；</w:t>
            </w:r>
          </w:p>
          <w:p w14:paraId="27F6E0E4">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(3)方案内容粗糙，主题有偏差，时间节点安排不足，需要进一步完善，得1分；</w:t>
            </w:r>
          </w:p>
          <w:p w14:paraId="26915FFA">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(4)未提供的不得分。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7571E05E">
            <w:pPr>
              <w:spacing w:line="360" w:lineRule="auto"/>
              <w:jc w:val="cente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0-5分</w:t>
            </w:r>
          </w:p>
        </w:tc>
      </w:tr>
      <w:tr w14:paraId="432B5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42A31F02">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36F19DA4">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工作进度规划</w:t>
            </w:r>
          </w:p>
        </w:tc>
        <w:tc>
          <w:tcPr>
            <w:tcW w:w="2197" w:type="pct"/>
            <w:tcBorders>
              <w:top w:val="single" w:color="auto" w:sz="4" w:space="0"/>
              <w:left w:val="single" w:color="auto" w:sz="4" w:space="0"/>
              <w:bottom w:val="single" w:color="auto" w:sz="4" w:space="0"/>
              <w:right w:val="single" w:color="auto" w:sz="4" w:space="0"/>
            </w:tcBorders>
            <w:vAlign w:val="center"/>
          </w:tcPr>
          <w:p w14:paraId="61631F96">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结合本项目采购需求，制定项目工作进度计划。根据采购需求对以下要点内容综合评审：</w:t>
            </w:r>
          </w:p>
          <w:p w14:paraId="54C946EB">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（1）对项目理解透彻，能合理安排工作进度，时间节点把握力度较好，总体进度计划方案内容详实，对采购需求把握到位且利于项目实施，得 5 分；</w:t>
            </w:r>
          </w:p>
          <w:p w14:paraId="1DF6E167">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（2）对项目理解清楚，能整体把握工作进度，总体进度计划方案内容完整，能满足项目采购需求，得3分；</w:t>
            </w:r>
          </w:p>
          <w:p w14:paraId="6D07E34D">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（3）对项目服务理解有偏差，总体进度计划方案内容简单，保证工作进度计划存在不足，影响项目实施，得1分；</w:t>
            </w:r>
          </w:p>
          <w:p w14:paraId="630BC9AF">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（4）未提供的不得分。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22ED1647">
            <w:pPr>
              <w:spacing w:line="360" w:lineRule="auto"/>
              <w:jc w:val="cente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0-5分</w:t>
            </w:r>
          </w:p>
        </w:tc>
      </w:tr>
      <w:tr w14:paraId="1FBF6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6C03A735">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6340BB42">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项目策划创意度、亮点等分析</w:t>
            </w:r>
          </w:p>
        </w:tc>
        <w:tc>
          <w:tcPr>
            <w:tcW w:w="2197" w:type="pct"/>
            <w:tcBorders>
              <w:top w:val="single" w:color="auto" w:sz="4" w:space="0"/>
              <w:left w:val="single" w:color="auto" w:sz="4" w:space="0"/>
              <w:bottom w:val="single" w:color="auto" w:sz="4" w:space="0"/>
              <w:right w:val="single" w:color="auto" w:sz="4" w:space="0"/>
            </w:tcBorders>
            <w:vAlign w:val="center"/>
          </w:tcPr>
          <w:p w14:paraId="47170F9B">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根据项目全年策划创意度，有核心亮点能够打造宣传样板的，综合进行比较：</w:t>
            </w:r>
          </w:p>
          <w:p w14:paraId="1FF88879">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（1）策划方案全面详尽，内容新颖创新，核心亮点突出，得5分；</w:t>
            </w:r>
          </w:p>
          <w:p w14:paraId="13097500">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（2）策划方案内容简单，有部分创新，有核心亮点的，得3分；</w:t>
            </w:r>
          </w:p>
          <w:p w14:paraId="3233A885">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（3）策划方案存在不足，创意不足，核心亮点不明确，有待完善的，得1分；</w:t>
            </w:r>
          </w:p>
          <w:p w14:paraId="4FF592B2">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（4）未提供的不得分。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4849FCAB">
            <w:pPr>
              <w:spacing w:line="360" w:lineRule="auto"/>
              <w:jc w:val="center"/>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0-5分</w:t>
            </w:r>
          </w:p>
        </w:tc>
      </w:tr>
      <w:tr w14:paraId="2CDCC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059292E3">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066047BC">
            <w:pPr>
              <w:spacing w:line="360" w:lineRule="auto"/>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lang w:val="en-US" w:eastAsia="zh-CN"/>
              </w:rPr>
              <w:t>质量保障及服务措施</w:t>
            </w:r>
          </w:p>
        </w:tc>
        <w:tc>
          <w:tcPr>
            <w:tcW w:w="2197" w:type="pct"/>
            <w:tcBorders>
              <w:top w:val="single" w:color="auto" w:sz="4" w:space="0"/>
              <w:left w:val="single" w:color="auto" w:sz="4" w:space="0"/>
              <w:bottom w:val="single" w:color="auto" w:sz="4" w:space="0"/>
              <w:right w:val="single" w:color="auto" w:sz="4" w:space="0"/>
            </w:tcBorders>
            <w:shd w:val="clear" w:color="auto" w:fill="auto"/>
            <w:vAlign w:val="center"/>
          </w:tcPr>
          <w:p w14:paraId="688D5A42">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根据供应商项目方案中质量目标及质量保证措施内容，进行综合评审：</w:t>
            </w:r>
          </w:p>
          <w:p w14:paraId="7AE69FAD">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（1）质量保证措施内容覆盖全面、有详细的服务措施和过程中的注意事项，针对本项目质量保证的要点突出，服务措施表述清晰且针对本项目的要求，与本项目实际需求适应度高，组织有序安排合理，得5分；</w:t>
            </w:r>
          </w:p>
          <w:p w14:paraId="4B905A75">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（2）质量保证措施内容覆盖完整、有相应的服务措施及一些重点的注意事项，有质量保障的要点、服务措施表述清晰，与本项目实际需求有部分的适应度，专业及经验满足项目需求，得3分；</w:t>
            </w:r>
          </w:p>
          <w:p w14:paraId="2751614C">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（3）质量保证措施内容方案表达出的项目要点简单，服务措施存在不足，需进一步完善，得1分；</w:t>
            </w:r>
          </w:p>
          <w:p w14:paraId="10687CA7">
            <w:pPr>
              <w:spacing w:line="360" w:lineRule="auto"/>
              <w:jc w:val="left"/>
              <w:rPr>
                <w:rFonts w:hint="eastAsia" w:cs="@仿宋_GB2312"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rPr>
              <w:t>（4）未提供的不得分。</w:t>
            </w:r>
          </w:p>
        </w:tc>
        <w:tc>
          <w:tcPr>
            <w:tcW w:w="928" w:type="pct"/>
            <w:tcBorders>
              <w:top w:val="single" w:color="auto" w:sz="4" w:space="0"/>
              <w:left w:val="single" w:color="auto" w:sz="4" w:space="0"/>
              <w:bottom w:val="single" w:color="auto" w:sz="4" w:space="0"/>
              <w:right w:val="single" w:color="auto" w:sz="4" w:space="0"/>
            </w:tcBorders>
            <w:shd w:val="clear" w:color="auto" w:fill="auto"/>
            <w:vAlign w:val="center"/>
          </w:tcPr>
          <w:p w14:paraId="13251EFB">
            <w:pPr>
              <w:spacing w:line="360" w:lineRule="auto"/>
              <w:jc w:val="center"/>
              <w:rPr>
                <w:rFonts w:hint="eastAsia" w:cs="@仿宋_GB2312" w:asciiTheme="minorEastAsia" w:hAnsiTheme="minorEastAsia" w:eastAsiaTheme="minorEastAsia"/>
                <w:b/>
                <w:bCs/>
                <w:color w:val="auto"/>
                <w:kern w:val="2"/>
                <w:sz w:val="24"/>
                <w:highlight w:val="none"/>
                <w:lang w:val="en-US" w:eastAsia="zh-CN" w:bidi="ar-SA"/>
              </w:rPr>
            </w:pPr>
            <w:r>
              <w:rPr>
                <w:rFonts w:hint="eastAsia" w:asciiTheme="minorEastAsia" w:hAnsiTheme="minorEastAsia" w:eastAsiaTheme="minorEastAsia"/>
                <w:b/>
                <w:bCs/>
                <w:color w:val="auto"/>
                <w:sz w:val="24"/>
                <w:highlight w:val="none"/>
              </w:rPr>
              <w:t>0-5分</w:t>
            </w:r>
          </w:p>
        </w:tc>
      </w:tr>
      <w:tr w14:paraId="3479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4DE7FC2B">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shd w:val="clear" w:color="auto" w:fill="auto"/>
            <w:vAlign w:val="center"/>
          </w:tcPr>
          <w:p w14:paraId="2E1C6EB0">
            <w:pPr>
              <w:spacing w:line="360" w:lineRule="auto"/>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rPr>
              <w:t>项目特点、难点、重点等技术分析和处理措施</w:t>
            </w:r>
          </w:p>
        </w:tc>
        <w:tc>
          <w:tcPr>
            <w:tcW w:w="2197" w:type="pct"/>
            <w:tcBorders>
              <w:top w:val="single" w:color="auto" w:sz="4" w:space="0"/>
              <w:left w:val="single" w:color="auto" w:sz="4" w:space="0"/>
              <w:bottom w:val="single" w:color="auto" w:sz="4" w:space="0"/>
              <w:right w:val="single" w:color="auto" w:sz="4" w:space="0"/>
            </w:tcBorders>
            <w:shd w:val="clear" w:color="auto" w:fill="auto"/>
            <w:vAlign w:val="center"/>
          </w:tcPr>
          <w:p w14:paraId="7376437F">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根据供应商的针对本项目的重难点及项目特点编制的技术分析方案及处理措施等进行评审，磋商小组进行综合评审：</w:t>
            </w:r>
          </w:p>
          <w:p w14:paraId="24F3A4A6">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（1）重点及难点分析及处理措施内容完整、有着详细分析和处理措施，方案内容全面，可行性、针对性强，完全满足采购需求得 5 分；</w:t>
            </w:r>
          </w:p>
          <w:p w14:paraId="1F3DB424">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（2）重点及难点分析及处理措施内容简单、有相应针对重点难点的分析和处理措施，方案内容全面，但出现了不适用本项目特性的内容的，得3分；</w:t>
            </w:r>
          </w:p>
          <w:p w14:paraId="2627DA10">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（3）重点及难点分析及处理措施内容、有简单的技术分析和处理措施，对各个环节的保障措施、安全措施等缺项或关键点缺失的，得1分；</w:t>
            </w:r>
          </w:p>
          <w:p w14:paraId="20781ED0">
            <w:pPr>
              <w:spacing w:line="360" w:lineRule="auto"/>
              <w:jc w:val="left"/>
              <w:rPr>
                <w:rFonts w:hint="eastAsia" w:cs="@仿宋_GB2312"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rPr>
              <w:t>（4）未提供的不得分。</w:t>
            </w:r>
          </w:p>
        </w:tc>
        <w:tc>
          <w:tcPr>
            <w:tcW w:w="928" w:type="pct"/>
            <w:tcBorders>
              <w:top w:val="single" w:color="auto" w:sz="4" w:space="0"/>
              <w:left w:val="single" w:color="auto" w:sz="4" w:space="0"/>
              <w:bottom w:val="single" w:color="auto" w:sz="4" w:space="0"/>
              <w:right w:val="single" w:color="auto" w:sz="4" w:space="0"/>
            </w:tcBorders>
            <w:shd w:val="clear" w:color="auto" w:fill="auto"/>
            <w:vAlign w:val="center"/>
          </w:tcPr>
          <w:p w14:paraId="59F0872F">
            <w:pPr>
              <w:spacing w:line="360" w:lineRule="auto"/>
              <w:jc w:val="center"/>
              <w:rPr>
                <w:rFonts w:hint="eastAsia" w:cs="@仿宋_GB2312" w:asciiTheme="minorEastAsia" w:hAnsiTheme="minorEastAsia" w:eastAsiaTheme="minorEastAsia"/>
                <w:b/>
                <w:bCs/>
                <w:color w:val="auto"/>
                <w:kern w:val="2"/>
                <w:sz w:val="24"/>
                <w:highlight w:val="none"/>
                <w:lang w:val="en-US" w:eastAsia="zh-CN" w:bidi="ar-SA"/>
              </w:rPr>
            </w:pPr>
            <w:r>
              <w:rPr>
                <w:rFonts w:hint="eastAsia" w:asciiTheme="minorEastAsia" w:hAnsiTheme="minorEastAsia" w:eastAsiaTheme="minorEastAsia"/>
                <w:b/>
                <w:bCs/>
                <w:color w:val="auto"/>
                <w:sz w:val="24"/>
                <w:highlight w:val="none"/>
              </w:rPr>
              <w:t>0-5分</w:t>
            </w:r>
          </w:p>
        </w:tc>
      </w:tr>
      <w:tr w14:paraId="6BB7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7E185481">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435B0F0F">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社交传播策略方案</w:t>
            </w:r>
          </w:p>
        </w:tc>
        <w:tc>
          <w:tcPr>
            <w:tcW w:w="2197" w:type="pct"/>
            <w:tcBorders>
              <w:top w:val="single" w:color="auto" w:sz="4" w:space="0"/>
              <w:left w:val="single" w:color="auto" w:sz="4" w:space="0"/>
              <w:bottom w:val="single" w:color="auto" w:sz="4" w:space="0"/>
              <w:right w:val="single" w:color="auto" w:sz="4" w:space="0"/>
            </w:tcBorders>
            <w:vAlign w:val="center"/>
          </w:tcPr>
          <w:p w14:paraId="0FFA3D08">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磋商小组根据</w:t>
            </w:r>
            <w:r>
              <w:rPr>
                <w:rFonts w:hint="eastAsia" w:asciiTheme="minorEastAsia" w:hAnsiTheme="minorEastAsia" w:eastAsiaTheme="minorEastAsia"/>
                <w:color w:val="auto"/>
                <w:sz w:val="24"/>
                <w:highlight w:val="none"/>
                <w:lang w:val="en-US" w:eastAsia="zh-CN"/>
              </w:rPr>
              <w:t>社交传播策略</w:t>
            </w:r>
            <w:r>
              <w:rPr>
                <w:rFonts w:hint="eastAsia" w:asciiTheme="minorEastAsia" w:hAnsiTheme="minorEastAsia" w:eastAsiaTheme="minorEastAsia"/>
                <w:color w:val="auto"/>
                <w:sz w:val="24"/>
                <w:highlight w:val="none"/>
              </w:rPr>
              <w:t>方案完整性、</w:t>
            </w:r>
            <w:r>
              <w:rPr>
                <w:rFonts w:hint="eastAsia" w:asciiTheme="minorEastAsia" w:hAnsiTheme="minorEastAsia" w:eastAsiaTheme="minorEastAsia"/>
                <w:color w:val="auto"/>
                <w:sz w:val="24"/>
                <w:highlight w:val="none"/>
                <w:lang w:val="en-US" w:eastAsia="zh-CN"/>
              </w:rPr>
              <w:t>创意性</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en-US" w:eastAsia="zh-CN"/>
              </w:rPr>
              <w:t>客观性</w:t>
            </w:r>
            <w:r>
              <w:rPr>
                <w:rFonts w:hint="eastAsia" w:asciiTheme="minorEastAsia" w:hAnsiTheme="minorEastAsia" w:eastAsiaTheme="minorEastAsia"/>
                <w:color w:val="auto"/>
                <w:sz w:val="24"/>
                <w:highlight w:val="none"/>
              </w:rPr>
              <w:t>进行评分:</w:t>
            </w:r>
          </w:p>
          <w:p w14:paraId="76F71BA9">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(1)方案设计新颖</w:t>
            </w:r>
            <w:r>
              <w:rPr>
                <w:rFonts w:hint="eastAsia" w:asciiTheme="minorEastAsia" w:hAnsiTheme="minorEastAsia" w:eastAsiaTheme="minorEastAsia"/>
                <w:color w:val="auto"/>
                <w:sz w:val="24"/>
                <w:highlight w:val="none"/>
                <w:lang w:val="en-US" w:eastAsia="zh-CN"/>
              </w:rPr>
              <w:t>且有</w:t>
            </w:r>
            <w:r>
              <w:rPr>
                <w:rFonts w:hint="eastAsia" w:asciiTheme="minorEastAsia" w:hAnsiTheme="minorEastAsia" w:eastAsiaTheme="minorEastAsia"/>
                <w:color w:val="auto"/>
                <w:sz w:val="24"/>
                <w:highlight w:val="none"/>
              </w:rPr>
              <w:t>创意，内容详实</w:t>
            </w:r>
            <w:r>
              <w:rPr>
                <w:rFonts w:hint="eastAsia" w:asciiTheme="minorEastAsia" w:hAnsiTheme="minorEastAsia" w:eastAsiaTheme="minorEastAsia"/>
                <w:color w:val="auto"/>
                <w:sz w:val="24"/>
                <w:highlight w:val="none"/>
                <w:lang w:val="en-US" w:eastAsia="zh-CN"/>
              </w:rPr>
              <w:t>完整</w:t>
            </w:r>
            <w:r>
              <w:rPr>
                <w:rFonts w:hint="eastAsia" w:asciiTheme="minorEastAsia" w:hAnsiTheme="minorEastAsia" w:eastAsiaTheme="minorEastAsia"/>
                <w:color w:val="auto"/>
                <w:sz w:val="24"/>
                <w:highlight w:val="none"/>
              </w:rPr>
              <w:t>，安排合理，优于项目需求，得5分；</w:t>
            </w:r>
          </w:p>
          <w:p w14:paraId="0A6B5A66">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（2）方案设计具有创意，</w:t>
            </w:r>
            <w:r>
              <w:rPr>
                <w:rFonts w:hint="eastAsia" w:asciiTheme="minorEastAsia" w:hAnsiTheme="minorEastAsia" w:eastAsiaTheme="minorEastAsia"/>
                <w:color w:val="auto"/>
                <w:sz w:val="24"/>
                <w:highlight w:val="none"/>
                <w:lang w:val="en-US" w:eastAsia="zh-CN"/>
              </w:rPr>
              <w:t>内容全面，</w:t>
            </w:r>
            <w:r>
              <w:rPr>
                <w:rFonts w:hint="eastAsia" w:asciiTheme="minorEastAsia" w:hAnsiTheme="minorEastAsia" w:eastAsiaTheme="minorEastAsia"/>
                <w:color w:val="auto"/>
                <w:sz w:val="24"/>
                <w:highlight w:val="none"/>
              </w:rPr>
              <w:t>安排</w:t>
            </w:r>
            <w:r>
              <w:rPr>
                <w:rFonts w:hint="eastAsia" w:asciiTheme="minorEastAsia" w:hAnsiTheme="minorEastAsia" w:eastAsiaTheme="minorEastAsia"/>
                <w:color w:val="auto"/>
                <w:sz w:val="24"/>
                <w:highlight w:val="none"/>
                <w:lang w:val="en-US" w:eastAsia="zh-CN"/>
              </w:rPr>
              <w:t>贴合项目</w:t>
            </w:r>
            <w:r>
              <w:rPr>
                <w:rFonts w:hint="eastAsia" w:asciiTheme="minorEastAsia" w:hAnsiTheme="minorEastAsia" w:eastAsiaTheme="minorEastAsia"/>
                <w:color w:val="auto"/>
                <w:sz w:val="24"/>
                <w:highlight w:val="none"/>
              </w:rPr>
              <w:t>需求，得3分；</w:t>
            </w:r>
          </w:p>
          <w:p w14:paraId="7C10D246">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（3）方案内容</w:t>
            </w:r>
            <w:r>
              <w:rPr>
                <w:rFonts w:hint="eastAsia" w:asciiTheme="minorEastAsia" w:hAnsiTheme="minorEastAsia" w:eastAsiaTheme="minorEastAsia"/>
                <w:color w:val="auto"/>
                <w:sz w:val="24"/>
                <w:highlight w:val="none"/>
                <w:lang w:val="en-US" w:eastAsia="zh-CN"/>
              </w:rPr>
              <w:t>粗糙</w:t>
            </w:r>
            <w:r>
              <w:rPr>
                <w:rFonts w:hint="eastAsia" w:asciiTheme="minorEastAsia" w:hAnsiTheme="minorEastAsia" w:eastAsiaTheme="minorEastAsia"/>
                <w:color w:val="auto"/>
                <w:sz w:val="24"/>
                <w:highlight w:val="none"/>
              </w:rPr>
              <w:t>，存在不足，得1分；</w:t>
            </w:r>
          </w:p>
          <w:p w14:paraId="0BE90BD7">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（4）未提供的不得分</w:t>
            </w:r>
            <w:r>
              <w:rPr>
                <w:rFonts w:hint="eastAsia" w:asciiTheme="minorEastAsia" w:hAnsiTheme="minorEastAsia" w:eastAsiaTheme="minorEastAsia"/>
                <w:color w:val="auto"/>
                <w:sz w:val="24"/>
                <w:highlight w:val="none"/>
                <w:lang w:eastAsia="zh-CN"/>
              </w:rPr>
              <w:t>。</w:t>
            </w:r>
          </w:p>
        </w:tc>
        <w:tc>
          <w:tcPr>
            <w:tcW w:w="928" w:type="pct"/>
            <w:tcBorders>
              <w:top w:val="single" w:color="auto" w:sz="4" w:space="0"/>
              <w:left w:val="single" w:color="auto" w:sz="4" w:space="0"/>
              <w:bottom w:val="single" w:color="auto" w:sz="4" w:space="0"/>
              <w:right w:val="single" w:color="auto" w:sz="4" w:space="0"/>
            </w:tcBorders>
            <w:vAlign w:val="center"/>
          </w:tcPr>
          <w:p w14:paraId="767BE6A5">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0-5分</w:t>
            </w:r>
          </w:p>
        </w:tc>
      </w:tr>
      <w:tr w14:paraId="74D17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0D91FF39">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0FC1D91C">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应急方案</w:t>
            </w:r>
          </w:p>
        </w:tc>
        <w:tc>
          <w:tcPr>
            <w:tcW w:w="2197" w:type="pct"/>
            <w:tcBorders>
              <w:top w:val="single" w:color="auto" w:sz="4" w:space="0"/>
              <w:left w:val="single" w:color="auto" w:sz="4" w:space="0"/>
              <w:bottom w:val="single" w:color="auto" w:sz="4" w:space="0"/>
              <w:right w:val="single" w:color="auto" w:sz="4" w:space="0"/>
            </w:tcBorders>
            <w:vAlign w:val="center"/>
          </w:tcPr>
          <w:p w14:paraId="32CF7CB2">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磋商小组根据竞争性磋商文件要求及供应商提供的应急预案，包括但不限于：活动突发事故应急预案</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应急处理措施等进行综合评分：</w:t>
            </w:r>
          </w:p>
          <w:p w14:paraId="6E61A17A">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（1）全面涵盖对本项目的应急要点，应急预案及应急处理措施完整，内容详实，有详细的保障措施，得5分；</w:t>
            </w:r>
          </w:p>
          <w:p w14:paraId="57D50B37">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（2）本项目的应急要点完整，有应急预案及应急处理措施，内容简单，有保障措施的重点和要点，得3分；</w:t>
            </w:r>
          </w:p>
          <w:p w14:paraId="05B2A347">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（3）本项目的应急要点存在部分缺失，应急预案及应急处理措施部分存在缺失，相应的保障措施有待提高，得1分；</w:t>
            </w:r>
          </w:p>
          <w:p w14:paraId="47B28186">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 xml:space="preserve">（4）未提供的不得分。 </w:t>
            </w:r>
          </w:p>
        </w:tc>
        <w:tc>
          <w:tcPr>
            <w:tcW w:w="928" w:type="pct"/>
            <w:tcBorders>
              <w:top w:val="single" w:color="auto" w:sz="4" w:space="0"/>
              <w:left w:val="single" w:color="auto" w:sz="4" w:space="0"/>
              <w:bottom w:val="single" w:color="auto" w:sz="4" w:space="0"/>
              <w:right w:val="single" w:color="auto" w:sz="4" w:space="0"/>
            </w:tcBorders>
            <w:vAlign w:val="center"/>
          </w:tcPr>
          <w:p w14:paraId="5EAD843D">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0-5分</w:t>
            </w:r>
          </w:p>
        </w:tc>
      </w:tr>
      <w:tr w14:paraId="0801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0624B219">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7F62856F">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会议实施方案</w:t>
            </w:r>
          </w:p>
        </w:tc>
        <w:tc>
          <w:tcPr>
            <w:tcW w:w="2197" w:type="pct"/>
            <w:tcBorders>
              <w:top w:val="single" w:color="auto" w:sz="4" w:space="0"/>
              <w:left w:val="single" w:color="auto" w:sz="4" w:space="0"/>
              <w:bottom w:val="single" w:color="auto" w:sz="4" w:space="0"/>
              <w:right w:val="single" w:color="auto" w:sz="4" w:space="0"/>
            </w:tcBorders>
            <w:vAlign w:val="center"/>
          </w:tcPr>
          <w:p w14:paraId="181A6642">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根据供应商提供的主题会议实施方案：</w:t>
            </w:r>
          </w:p>
          <w:p w14:paraId="4A48E081">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（1）对本项目主题活动需求理解全面详尽，方案完整详细，可行性、实用性、针对性突出，充分贴合本项目活动要求的，得5分；</w:t>
            </w:r>
          </w:p>
          <w:p w14:paraId="5FE9F0B5">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（2）对本项目主题活动需求理解准确，方案完整，具有可行性、实用性、针对性，满足本项目活动要求的，得3分；</w:t>
            </w:r>
          </w:p>
          <w:p w14:paraId="36F260AD">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（3）对本项主题活动需求理解有待提升，部分细节理解不够深入、方案内容不够完整，可行性、实用性、针对性需进一步完善，得1分；</w:t>
            </w:r>
          </w:p>
          <w:p w14:paraId="69802479">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（4）未提供的不得分。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48089739">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0-5分</w:t>
            </w:r>
          </w:p>
        </w:tc>
      </w:tr>
      <w:tr w14:paraId="2D925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15F01558">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296A4F7A">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全年宣传增值方案</w:t>
            </w:r>
          </w:p>
        </w:tc>
        <w:tc>
          <w:tcPr>
            <w:tcW w:w="2197" w:type="pct"/>
            <w:tcBorders>
              <w:top w:val="single" w:color="auto" w:sz="4" w:space="0"/>
              <w:left w:val="single" w:color="auto" w:sz="4" w:space="0"/>
              <w:bottom w:val="single" w:color="auto" w:sz="4" w:space="0"/>
              <w:right w:val="single" w:color="auto" w:sz="4" w:space="0"/>
            </w:tcBorders>
            <w:vAlign w:val="center"/>
          </w:tcPr>
          <w:p w14:paraId="18521D5B">
            <w:pPr>
              <w:spacing w:line="360" w:lineRule="auto"/>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供应商提供的全年宣传方案，进行综合评分，方案内容包括但不限于：直播导流、重大活动会议宣传等。</w:t>
            </w:r>
          </w:p>
          <w:p w14:paraId="62716697">
            <w:pPr>
              <w:spacing w:line="360" w:lineRule="auto"/>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（1）对本项目全年宣传需求理解全面准确，方案完整详细，措施具体明确，实用可行，优于本项目宣传要求的，得5分；</w:t>
            </w:r>
          </w:p>
          <w:p w14:paraId="7B8DB69A">
            <w:pPr>
              <w:spacing w:line="360" w:lineRule="auto"/>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（2）对本项目全年宣传理解准确，方案完整，措施具有可行性，满足本项目宣传要求的，得3分；</w:t>
            </w:r>
          </w:p>
          <w:p w14:paraId="1B0C05C3">
            <w:pPr>
              <w:spacing w:line="360" w:lineRule="auto"/>
              <w:jc w:val="left"/>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（3）对本项目全年宣传理解有待提升，部分细节理解不够深入、方案内容不够完整，可行性、实用性有待提高，得1分；</w:t>
            </w:r>
          </w:p>
          <w:p w14:paraId="5B44E2E3">
            <w:pPr>
              <w:spacing w:line="360" w:lineRule="auto"/>
              <w:jc w:val="lef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（4）未提供的不得分。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4C33B70F">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0-5分</w:t>
            </w:r>
          </w:p>
        </w:tc>
      </w:tr>
      <w:tr w14:paraId="1AC1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6FA1C6A4">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45AA8FF9">
            <w:pPr>
              <w:spacing w:line="360" w:lineRule="auto"/>
              <w:jc w:val="center"/>
              <w:rPr>
                <w:rFonts w:hint="eastAsia" w:cs="@仿宋_GB2312" w:asciiTheme="minorEastAsia" w:hAnsiTheme="minorEastAsia" w:eastAsiaTheme="minorEastAsia"/>
                <w:color w:val="auto"/>
                <w:kern w:val="2"/>
                <w:sz w:val="24"/>
                <w:highlight w:val="none"/>
                <w:lang w:val="en-US" w:eastAsia="zh-CN" w:bidi="ar-SA"/>
              </w:rPr>
            </w:pPr>
            <w:r>
              <w:rPr>
                <w:rFonts w:hint="eastAsia" w:cs="@仿宋_GB2312" w:asciiTheme="minorEastAsia" w:hAnsiTheme="minorEastAsia" w:eastAsiaTheme="minorEastAsia"/>
                <w:color w:val="auto"/>
                <w:kern w:val="2"/>
                <w:sz w:val="24"/>
                <w:highlight w:val="none"/>
                <w:lang w:val="en-US" w:eastAsia="zh-CN" w:bidi="ar-SA"/>
              </w:rPr>
              <w:t>整体推广实施方案</w:t>
            </w:r>
          </w:p>
        </w:tc>
        <w:tc>
          <w:tcPr>
            <w:tcW w:w="2197" w:type="pct"/>
            <w:tcBorders>
              <w:top w:val="single" w:color="auto" w:sz="4" w:space="0"/>
              <w:left w:val="single" w:color="auto" w:sz="4" w:space="0"/>
              <w:bottom w:val="single" w:color="auto" w:sz="4" w:space="0"/>
              <w:right w:val="single" w:color="auto" w:sz="4" w:space="0"/>
            </w:tcBorders>
            <w:vAlign w:val="center"/>
          </w:tcPr>
          <w:p w14:paraId="1BF1D877">
            <w:pPr>
              <w:spacing w:line="360" w:lineRule="auto"/>
              <w:jc w:val="left"/>
              <w:rPr>
                <w:rFonts w:hint="eastAsia" w:cs="@仿宋_GB2312" w:asciiTheme="minorEastAsia" w:hAnsiTheme="minorEastAsia" w:eastAsiaTheme="minorEastAsia"/>
                <w:color w:val="auto"/>
                <w:kern w:val="2"/>
                <w:sz w:val="24"/>
                <w:highlight w:val="none"/>
                <w:lang w:val="en-US" w:eastAsia="zh-CN" w:bidi="ar-SA"/>
              </w:rPr>
            </w:pPr>
            <w:r>
              <w:rPr>
                <w:rFonts w:hint="eastAsia" w:cs="@仿宋_GB2312" w:asciiTheme="minorEastAsia" w:hAnsiTheme="minorEastAsia" w:eastAsiaTheme="minorEastAsia"/>
                <w:color w:val="auto"/>
                <w:kern w:val="2"/>
                <w:sz w:val="24"/>
                <w:highlight w:val="none"/>
                <w:lang w:val="en-US" w:eastAsia="zh-CN" w:bidi="ar-SA"/>
              </w:rPr>
              <w:t>根据供应商提供的针对多种融媒体形式呈现的内容，以及最终整体推广形式等内容，进行综合评分：</w:t>
            </w:r>
          </w:p>
          <w:p w14:paraId="529D8148">
            <w:pPr>
              <w:spacing w:line="360" w:lineRule="auto"/>
              <w:jc w:val="left"/>
              <w:rPr>
                <w:rFonts w:hint="eastAsia" w:cs="@仿宋_GB2312" w:asciiTheme="minorEastAsia" w:hAnsiTheme="minorEastAsia" w:eastAsiaTheme="minorEastAsia"/>
                <w:color w:val="auto"/>
                <w:kern w:val="2"/>
                <w:sz w:val="24"/>
                <w:highlight w:val="none"/>
                <w:lang w:val="en-US" w:eastAsia="zh-CN" w:bidi="ar-SA"/>
              </w:rPr>
            </w:pPr>
            <w:r>
              <w:rPr>
                <w:rFonts w:hint="eastAsia" w:cs="@仿宋_GB2312" w:asciiTheme="minorEastAsia" w:hAnsiTheme="minorEastAsia" w:eastAsiaTheme="minorEastAsia"/>
                <w:color w:val="auto"/>
                <w:kern w:val="2"/>
                <w:sz w:val="24"/>
                <w:highlight w:val="none"/>
                <w:lang w:val="en-US" w:eastAsia="zh-CN" w:bidi="ar-SA"/>
              </w:rPr>
              <w:t>（1）针对多种融媒体形式呈现的内容，以及最终整体推广形式等内容，推广方案整体可行，推广安排整体规划步骤清晰，完全满足项目需求的得5分；</w:t>
            </w:r>
          </w:p>
          <w:p w14:paraId="06F9B21E">
            <w:pPr>
              <w:spacing w:line="360" w:lineRule="auto"/>
              <w:jc w:val="left"/>
              <w:rPr>
                <w:rFonts w:hint="eastAsia" w:cs="@仿宋_GB2312" w:asciiTheme="minorEastAsia" w:hAnsiTheme="minorEastAsia" w:eastAsiaTheme="minorEastAsia"/>
                <w:color w:val="auto"/>
                <w:kern w:val="2"/>
                <w:sz w:val="24"/>
                <w:highlight w:val="none"/>
                <w:lang w:val="en-US" w:eastAsia="zh-CN" w:bidi="ar-SA"/>
              </w:rPr>
            </w:pPr>
            <w:r>
              <w:rPr>
                <w:rFonts w:hint="eastAsia" w:cs="@仿宋_GB2312" w:asciiTheme="minorEastAsia" w:hAnsiTheme="minorEastAsia" w:eastAsiaTheme="minorEastAsia"/>
                <w:color w:val="auto"/>
                <w:kern w:val="2"/>
                <w:sz w:val="24"/>
                <w:highlight w:val="none"/>
                <w:lang w:val="en-US" w:eastAsia="zh-CN" w:bidi="ar-SA"/>
              </w:rPr>
              <w:t>（2）针对多种融媒体形式呈现的内容，以及最终整体推广形式等内容，方案内容完整，推广安排具有可行性，适合本项目需求，得3分；</w:t>
            </w:r>
          </w:p>
          <w:p w14:paraId="7B3437B0">
            <w:pPr>
              <w:spacing w:line="360" w:lineRule="auto"/>
              <w:jc w:val="left"/>
              <w:rPr>
                <w:rFonts w:hint="eastAsia" w:cs="@仿宋_GB2312" w:asciiTheme="minorEastAsia" w:hAnsiTheme="minorEastAsia" w:eastAsiaTheme="minorEastAsia"/>
                <w:color w:val="auto"/>
                <w:kern w:val="2"/>
                <w:sz w:val="24"/>
                <w:highlight w:val="none"/>
                <w:lang w:val="en-US" w:eastAsia="zh-CN" w:bidi="ar-SA"/>
              </w:rPr>
            </w:pPr>
            <w:r>
              <w:rPr>
                <w:rFonts w:hint="eastAsia" w:cs="@仿宋_GB2312" w:asciiTheme="minorEastAsia" w:hAnsiTheme="minorEastAsia" w:eastAsiaTheme="minorEastAsia"/>
                <w:color w:val="auto"/>
                <w:kern w:val="2"/>
                <w:sz w:val="24"/>
                <w:highlight w:val="none"/>
                <w:lang w:val="en-US" w:eastAsia="zh-CN" w:bidi="ar-SA"/>
              </w:rPr>
              <w:t>（3）针对多种融媒体形式呈现的内容，以及最终整体推广平台的选择等内容，方案整体内容简单，推广安排整体规划步骤混乱欠缺，且出现非专门针对本项目特性内容的得1分；</w:t>
            </w:r>
          </w:p>
          <w:p w14:paraId="3037BBC1">
            <w:pPr>
              <w:spacing w:line="360" w:lineRule="auto"/>
              <w:jc w:val="left"/>
              <w:rPr>
                <w:rFonts w:hint="eastAsia" w:cs="@仿宋_GB2312" w:asciiTheme="minorEastAsia" w:hAnsiTheme="minorEastAsia" w:eastAsiaTheme="minorEastAsia"/>
                <w:color w:val="auto"/>
                <w:kern w:val="2"/>
                <w:sz w:val="24"/>
                <w:highlight w:val="none"/>
                <w:lang w:val="en-US" w:eastAsia="zh-CN" w:bidi="ar-SA"/>
              </w:rPr>
            </w:pPr>
            <w:r>
              <w:rPr>
                <w:rFonts w:hint="eastAsia" w:cs="@仿宋_GB2312" w:asciiTheme="minorEastAsia" w:hAnsiTheme="minorEastAsia" w:eastAsiaTheme="minorEastAsia"/>
                <w:color w:val="auto"/>
                <w:kern w:val="2"/>
                <w:sz w:val="24"/>
                <w:highlight w:val="none"/>
                <w:lang w:val="en-US" w:eastAsia="zh-CN" w:bidi="ar-SA"/>
              </w:rPr>
              <w:t>（4）未提供的不得分。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69E8C5D2">
            <w:pPr>
              <w:spacing w:line="360" w:lineRule="auto"/>
              <w:jc w:val="center"/>
              <w:rPr>
                <w:rFonts w:hint="eastAsia" w:cs="@仿宋_GB2312" w:asciiTheme="minorEastAsia" w:hAnsiTheme="minorEastAsia" w:eastAsiaTheme="minorEastAsia"/>
                <w:b/>
                <w:bCs/>
                <w:color w:val="auto"/>
                <w:kern w:val="2"/>
                <w:sz w:val="24"/>
                <w:highlight w:val="none"/>
                <w:lang w:val="en-US" w:eastAsia="zh-CN" w:bidi="ar-SA"/>
              </w:rPr>
            </w:pPr>
            <w:r>
              <w:rPr>
                <w:rFonts w:hint="eastAsia" w:cs="@仿宋_GB2312" w:asciiTheme="minorEastAsia" w:hAnsiTheme="minorEastAsia" w:eastAsiaTheme="minorEastAsia"/>
                <w:b/>
                <w:bCs/>
                <w:color w:val="auto"/>
                <w:kern w:val="2"/>
                <w:sz w:val="24"/>
                <w:highlight w:val="none"/>
                <w:lang w:val="en-US" w:eastAsia="zh-CN" w:bidi="ar-SA"/>
              </w:rPr>
              <w:t>0-5分</w:t>
            </w:r>
          </w:p>
        </w:tc>
      </w:tr>
      <w:tr w14:paraId="5F7FC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2A221759">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0335AF37">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嘉宾邀请方案</w:t>
            </w:r>
          </w:p>
        </w:tc>
        <w:tc>
          <w:tcPr>
            <w:tcW w:w="2197" w:type="pct"/>
            <w:tcBorders>
              <w:top w:val="single" w:color="auto" w:sz="4" w:space="0"/>
              <w:left w:val="single" w:color="auto" w:sz="4" w:space="0"/>
              <w:bottom w:val="single" w:color="auto" w:sz="4" w:space="0"/>
              <w:right w:val="single" w:color="auto" w:sz="4" w:space="0"/>
            </w:tcBorders>
            <w:vAlign w:val="center"/>
          </w:tcPr>
          <w:p w14:paraId="50CFC53C">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根据供应商提供的嘉宾邀请方案，进行综合评分：</w:t>
            </w:r>
          </w:p>
          <w:p w14:paraId="7E551993">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（1）对本项目嘉宾邀请需求理解全面准确，方案完整详细，工作方法明确、可行，充分贴合本项目工作要求的，得</w:t>
            </w:r>
            <w:r>
              <w:rPr>
                <w:rFonts w:hint="eastAsia" w:asciiTheme="minorEastAsia" w:hAnsiTheme="minorEastAsia" w:eastAsiaTheme="minorEastAsia"/>
                <w:color w:val="auto"/>
                <w:sz w:val="24"/>
                <w:highlight w:val="none"/>
                <w:lang w:val="en-US" w:eastAsia="zh-CN"/>
              </w:rPr>
              <w:t>5</w:t>
            </w:r>
            <w:r>
              <w:rPr>
                <w:rFonts w:hint="eastAsia" w:asciiTheme="minorEastAsia" w:hAnsiTheme="minorEastAsia" w:eastAsiaTheme="minorEastAsia"/>
                <w:color w:val="auto"/>
                <w:sz w:val="24"/>
                <w:highlight w:val="none"/>
              </w:rPr>
              <w:t>分；</w:t>
            </w:r>
          </w:p>
          <w:p w14:paraId="7C988784">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（2）对本项目嘉宾邀请需求理解准确，方案完整，具有可行性，满足本项目工作要求的，得</w:t>
            </w: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分；</w:t>
            </w:r>
          </w:p>
          <w:p w14:paraId="72B4EB47">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（3）对本项目嘉宾邀请需求理解有待提升，部分细节理解不够深入、方案内容不够完整，可行性有待提高，得1分；</w:t>
            </w:r>
          </w:p>
          <w:p w14:paraId="2B2B8021">
            <w:pPr>
              <w:spacing w:line="360" w:lineRule="auto"/>
              <w:jc w:val="left"/>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（4）未提供的不得分。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0E591A54">
            <w:pPr>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0-5分</w:t>
            </w:r>
          </w:p>
        </w:tc>
      </w:tr>
      <w:tr w14:paraId="7AEAF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16DEF625">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09C43E97">
            <w:pPr>
              <w:spacing w:line="360" w:lineRule="auto"/>
              <w:jc w:val="center"/>
              <w:rPr>
                <w:rFonts w:hint="eastAsia" w:cs="@仿宋_GB2312" w:asciiTheme="minorEastAsia" w:hAnsiTheme="minorEastAsia" w:eastAsiaTheme="minorEastAsia"/>
                <w:color w:val="auto"/>
                <w:kern w:val="2"/>
                <w:sz w:val="24"/>
                <w:highlight w:val="none"/>
                <w:lang w:val="en-US" w:eastAsia="zh-CN" w:bidi="ar-SA"/>
              </w:rPr>
            </w:pPr>
            <w:r>
              <w:rPr>
                <w:rFonts w:hint="eastAsia" w:asciiTheme="minorEastAsia" w:hAnsiTheme="minorEastAsia" w:eastAsiaTheme="minorEastAsia"/>
                <w:color w:val="auto"/>
                <w:sz w:val="24"/>
                <w:highlight w:val="none"/>
              </w:rPr>
              <w:t>售后服务方案</w:t>
            </w:r>
          </w:p>
        </w:tc>
        <w:tc>
          <w:tcPr>
            <w:tcW w:w="2197" w:type="pct"/>
            <w:tcBorders>
              <w:top w:val="single" w:color="auto" w:sz="4" w:space="0"/>
              <w:left w:val="single" w:color="auto" w:sz="4" w:space="0"/>
              <w:bottom w:val="single" w:color="auto" w:sz="4" w:space="0"/>
              <w:right w:val="single" w:color="auto" w:sz="4" w:space="0"/>
            </w:tcBorders>
            <w:vAlign w:val="center"/>
          </w:tcPr>
          <w:p w14:paraId="3EAAA250">
            <w:pPr>
              <w:spacing w:line="360" w:lineRule="auto"/>
              <w:jc w:val="left"/>
              <w:rPr>
                <w:rFonts w:hint="eastAsia" w:cs="@仿宋_GB2312" w:asciiTheme="minorEastAsia" w:hAnsiTheme="minorEastAsia" w:eastAsiaTheme="minorEastAsia"/>
                <w:color w:val="auto"/>
                <w:kern w:val="2"/>
                <w:sz w:val="24"/>
                <w:highlight w:val="none"/>
                <w:lang w:val="en-US" w:eastAsia="zh-CN" w:bidi="ar-SA"/>
              </w:rPr>
            </w:pPr>
            <w:r>
              <w:rPr>
                <w:rFonts w:hint="eastAsia" w:cs="@仿宋_GB2312" w:asciiTheme="minorEastAsia" w:hAnsiTheme="minorEastAsia" w:eastAsiaTheme="minorEastAsia"/>
                <w:color w:val="auto"/>
                <w:kern w:val="2"/>
                <w:sz w:val="24"/>
                <w:highlight w:val="none"/>
                <w:lang w:val="en-US" w:eastAsia="zh-CN" w:bidi="ar-SA"/>
              </w:rPr>
              <w:t>项目实施完成后，有具体的售后服务计划和服务承诺书，能够满足项目需求：</w:t>
            </w:r>
          </w:p>
          <w:p w14:paraId="2E32E37E">
            <w:pPr>
              <w:spacing w:line="360" w:lineRule="auto"/>
              <w:jc w:val="left"/>
              <w:rPr>
                <w:rFonts w:hint="eastAsia" w:cs="@仿宋_GB2312" w:asciiTheme="minorEastAsia" w:hAnsiTheme="minorEastAsia" w:eastAsiaTheme="minorEastAsia"/>
                <w:color w:val="auto"/>
                <w:kern w:val="2"/>
                <w:sz w:val="24"/>
                <w:highlight w:val="none"/>
                <w:lang w:val="en-US" w:eastAsia="zh-CN" w:bidi="ar-SA"/>
              </w:rPr>
            </w:pPr>
            <w:r>
              <w:rPr>
                <w:rFonts w:hint="eastAsia" w:cs="@仿宋_GB2312" w:asciiTheme="minorEastAsia" w:hAnsiTheme="minorEastAsia" w:eastAsiaTheme="minorEastAsia"/>
                <w:color w:val="auto"/>
                <w:kern w:val="2"/>
                <w:sz w:val="24"/>
                <w:highlight w:val="none"/>
                <w:lang w:val="en-US" w:eastAsia="zh-CN" w:bidi="ar-SA"/>
              </w:rPr>
              <w:t>（1）售后服务方案内容完整详见、涵盖涉及本项目的内容全面，完全满足或优于采购需求，可行性、针对性强，得5分；</w:t>
            </w:r>
          </w:p>
          <w:p w14:paraId="54CC97D0">
            <w:pPr>
              <w:spacing w:line="360" w:lineRule="auto"/>
              <w:jc w:val="left"/>
              <w:rPr>
                <w:rFonts w:hint="eastAsia" w:cs="@仿宋_GB2312" w:asciiTheme="minorEastAsia" w:hAnsiTheme="minorEastAsia" w:eastAsiaTheme="minorEastAsia"/>
                <w:color w:val="auto"/>
                <w:kern w:val="2"/>
                <w:sz w:val="24"/>
                <w:highlight w:val="none"/>
                <w:lang w:val="en-US" w:eastAsia="zh-CN" w:bidi="ar-SA"/>
              </w:rPr>
            </w:pPr>
            <w:r>
              <w:rPr>
                <w:rFonts w:hint="eastAsia" w:cs="@仿宋_GB2312" w:asciiTheme="minorEastAsia" w:hAnsiTheme="minorEastAsia" w:eastAsiaTheme="minorEastAsia"/>
                <w:color w:val="auto"/>
                <w:kern w:val="2"/>
                <w:sz w:val="24"/>
                <w:highlight w:val="none"/>
                <w:lang w:val="en-US" w:eastAsia="zh-CN" w:bidi="ar-SA"/>
              </w:rPr>
              <w:t>（2）有售后服务承诺书，售后服务方案内容简单，具有可行性、针对性，得3分；</w:t>
            </w:r>
          </w:p>
          <w:p w14:paraId="5F2C88D1">
            <w:pPr>
              <w:spacing w:line="360" w:lineRule="auto"/>
              <w:jc w:val="left"/>
              <w:rPr>
                <w:rFonts w:hint="eastAsia" w:cs="@仿宋_GB2312" w:asciiTheme="minorEastAsia" w:hAnsiTheme="minorEastAsia" w:eastAsiaTheme="minorEastAsia"/>
                <w:color w:val="auto"/>
                <w:kern w:val="2"/>
                <w:sz w:val="24"/>
                <w:highlight w:val="none"/>
                <w:lang w:val="en-US" w:eastAsia="zh-CN" w:bidi="ar-SA"/>
              </w:rPr>
            </w:pPr>
            <w:r>
              <w:rPr>
                <w:rFonts w:hint="eastAsia" w:cs="@仿宋_GB2312" w:asciiTheme="minorEastAsia" w:hAnsiTheme="minorEastAsia" w:eastAsiaTheme="minorEastAsia"/>
                <w:color w:val="auto"/>
                <w:kern w:val="2"/>
                <w:sz w:val="24"/>
                <w:highlight w:val="none"/>
                <w:lang w:val="en-US" w:eastAsia="zh-CN" w:bidi="ar-SA"/>
              </w:rPr>
              <w:t>（3）售后服务方案内容陈述、对各个环节的保障措施、安全措施等缺项或关键点缺失，需进一步完善的，得1分；</w:t>
            </w:r>
          </w:p>
          <w:p w14:paraId="372B505A">
            <w:pPr>
              <w:spacing w:line="360" w:lineRule="auto"/>
              <w:jc w:val="left"/>
              <w:rPr>
                <w:rFonts w:hint="eastAsia" w:cs="@仿宋_GB2312" w:asciiTheme="minorEastAsia" w:hAnsiTheme="minorEastAsia" w:eastAsiaTheme="minorEastAsia"/>
                <w:color w:val="auto"/>
                <w:kern w:val="2"/>
                <w:sz w:val="24"/>
                <w:highlight w:val="none"/>
                <w:lang w:val="en-US" w:eastAsia="zh-CN" w:bidi="ar-SA"/>
              </w:rPr>
            </w:pPr>
            <w:r>
              <w:rPr>
                <w:rFonts w:hint="eastAsia" w:cs="@仿宋_GB2312" w:asciiTheme="minorEastAsia" w:hAnsiTheme="minorEastAsia" w:eastAsiaTheme="minorEastAsia"/>
                <w:color w:val="auto"/>
                <w:kern w:val="2"/>
                <w:sz w:val="24"/>
                <w:highlight w:val="none"/>
                <w:lang w:val="en-US" w:eastAsia="zh-CN" w:bidi="ar-SA"/>
              </w:rPr>
              <w:t>（4）未提供的不得分。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7DA099C9">
            <w:pPr>
              <w:spacing w:line="360" w:lineRule="auto"/>
              <w:jc w:val="center"/>
              <w:rPr>
                <w:rFonts w:hint="eastAsia" w:cs="@仿宋_GB2312" w:asciiTheme="minorEastAsia" w:hAnsiTheme="minorEastAsia" w:eastAsiaTheme="minorEastAsia"/>
                <w:b/>
                <w:bCs/>
                <w:color w:val="auto"/>
                <w:kern w:val="2"/>
                <w:sz w:val="24"/>
                <w:highlight w:val="none"/>
                <w:lang w:val="en-US" w:eastAsia="zh-CN" w:bidi="ar-SA"/>
              </w:rPr>
            </w:pPr>
            <w:r>
              <w:rPr>
                <w:rFonts w:hint="eastAsia" w:asciiTheme="minorEastAsia" w:hAnsiTheme="minorEastAsia" w:eastAsiaTheme="minorEastAsia"/>
                <w:b/>
                <w:bCs/>
                <w:color w:val="auto"/>
                <w:sz w:val="24"/>
                <w:highlight w:val="none"/>
              </w:rPr>
              <w:t>0-5分</w:t>
            </w:r>
          </w:p>
        </w:tc>
      </w:tr>
      <w:tr w14:paraId="7C0FF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vMerge w:val="continue"/>
            <w:tcBorders>
              <w:left w:val="single" w:color="auto" w:sz="4" w:space="0"/>
              <w:right w:val="single" w:color="auto" w:sz="4" w:space="0"/>
            </w:tcBorders>
            <w:vAlign w:val="center"/>
          </w:tcPr>
          <w:p w14:paraId="60CE4649">
            <w:pPr>
              <w:spacing w:line="360" w:lineRule="auto"/>
              <w:ind w:firstLine="435"/>
              <w:jc w:val="center"/>
              <w:rPr>
                <w:rFonts w:asciiTheme="minorEastAsia" w:hAnsiTheme="minorEastAsia" w:eastAsiaTheme="minorEastAsia"/>
                <w:b/>
                <w:bCs/>
                <w:color w:val="auto"/>
                <w:sz w:val="24"/>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79B6ABA6">
            <w:pPr>
              <w:spacing w:line="360" w:lineRule="auto"/>
              <w:jc w:val="center"/>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后续服务方案</w:t>
            </w:r>
          </w:p>
        </w:tc>
        <w:tc>
          <w:tcPr>
            <w:tcW w:w="2197" w:type="pct"/>
            <w:tcBorders>
              <w:top w:val="single" w:color="auto" w:sz="4" w:space="0"/>
              <w:left w:val="single" w:color="auto" w:sz="4" w:space="0"/>
              <w:bottom w:val="single" w:color="auto" w:sz="4" w:space="0"/>
              <w:right w:val="single" w:color="auto" w:sz="4" w:space="0"/>
            </w:tcBorders>
            <w:vAlign w:val="center"/>
          </w:tcPr>
          <w:p w14:paraId="1CF86A3C">
            <w:pPr>
              <w:spacing w:line="360" w:lineRule="auto"/>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后续服务方案要明确、合理、完备，可实施性，须对后续服务开展情况进行分析并提供报告。后续服务方案中服务形式要多样化，可包含但不限于提供活动后的分析总结等。对其全面性、突出性、针对性等方面进行综合评比：</w:t>
            </w:r>
          </w:p>
          <w:p w14:paraId="57F477E2">
            <w:pPr>
              <w:spacing w:line="360" w:lineRule="auto"/>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（1）方案覆盖全面、要点突出、内容完整详实，表述清晰，与采购人实际需求适应度高，利于项目实施的得5分；</w:t>
            </w:r>
          </w:p>
          <w:p w14:paraId="765E352D">
            <w:pPr>
              <w:spacing w:line="360" w:lineRule="auto"/>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（2）方案内容完整，要点表述简单，具有针对性、可行性，能满足项目实施要求的，得3分；</w:t>
            </w:r>
          </w:p>
          <w:p w14:paraId="30B464AA">
            <w:pPr>
              <w:spacing w:line="360" w:lineRule="auto"/>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（3）方案覆盖不全面，要点突出不够明显，具体细节有待完善的得1分；</w:t>
            </w:r>
          </w:p>
          <w:p w14:paraId="3C8E11DC">
            <w:pPr>
              <w:spacing w:line="360" w:lineRule="auto"/>
              <w:jc w:val="left"/>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eastAsia="zh-CN"/>
              </w:rPr>
              <w:t>（4）未提供的不得分。</w:t>
            </w:r>
          </w:p>
        </w:tc>
        <w:tc>
          <w:tcPr>
            <w:tcW w:w="928" w:type="pct"/>
            <w:tcBorders>
              <w:top w:val="single" w:color="auto" w:sz="4" w:space="0"/>
              <w:left w:val="single" w:color="auto" w:sz="4" w:space="0"/>
              <w:bottom w:val="single" w:color="auto" w:sz="4" w:space="0"/>
              <w:right w:val="single" w:color="auto" w:sz="4" w:space="0"/>
            </w:tcBorders>
            <w:vAlign w:val="center"/>
          </w:tcPr>
          <w:p w14:paraId="3F53A8C8">
            <w:pPr>
              <w:spacing w:line="360" w:lineRule="auto"/>
              <w:jc w:val="center"/>
              <w:rPr>
                <w:rFonts w:hint="eastAsia" w:asciiTheme="minorEastAsia" w:hAnsiTheme="minorEastAsia" w:eastAsiaTheme="minorEastAsia"/>
                <w:b/>
                <w:bCs/>
                <w:color w:val="auto"/>
                <w:sz w:val="24"/>
                <w:highlight w:val="none"/>
              </w:rPr>
            </w:pPr>
            <w:r>
              <w:rPr>
                <w:rFonts w:hint="eastAsia" w:asciiTheme="minorEastAsia" w:hAnsiTheme="minorEastAsia" w:eastAsiaTheme="minorEastAsia"/>
                <w:b/>
                <w:bCs/>
                <w:color w:val="auto"/>
                <w:sz w:val="24"/>
                <w:highlight w:val="none"/>
              </w:rPr>
              <w:t>0-5分</w:t>
            </w:r>
          </w:p>
        </w:tc>
      </w:tr>
      <w:tr w14:paraId="34BE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5" w:type="pct"/>
            <w:tcBorders>
              <w:left w:val="single" w:color="auto" w:sz="4" w:space="0"/>
              <w:right w:val="single" w:color="auto" w:sz="4" w:space="0"/>
            </w:tcBorders>
            <w:vAlign w:val="center"/>
          </w:tcPr>
          <w:p w14:paraId="387F18A2">
            <w:pPr>
              <w:spacing w:line="360" w:lineRule="auto"/>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w:t>
            </w:r>
          </w:p>
          <w:p w14:paraId="5A980084">
            <w:pPr>
              <w:spacing w:line="360" w:lineRule="auto"/>
              <w:jc w:val="center"/>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11</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w:t>
            </w:r>
          </w:p>
        </w:tc>
        <w:tc>
          <w:tcPr>
            <w:tcW w:w="4134" w:type="pct"/>
            <w:gridSpan w:val="3"/>
            <w:tcBorders>
              <w:top w:val="single" w:color="auto" w:sz="4" w:space="0"/>
              <w:left w:val="single" w:color="auto" w:sz="4" w:space="0"/>
              <w:bottom w:val="single" w:color="auto" w:sz="4" w:space="0"/>
              <w:right w:val="single" w:color="auto" w:sz="4" w:space="0"/>
            </w:tcBorders>
            <w:vAlign w:val="center"/>
          </w:tcPr>
          <w:p w14:paraId="6C8B3D72">
            <w:pPr>
              <w:spacing w:line="360" w:lineRule="auto"/>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价格分统一采用低价优先法，即满足磋商文件要求且最后报价最低的供应商的价格为磋商基准价，其价格分为满分</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11</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分。其他供应商的价格分统一按照下列公式计算：</w:t>
            </w:r>
          </w:p>
          <w:p w14:paraId="73611942">
            <w:pPr>
              <w:spacing w:line="360" w:lineRule="auto"/>
              <w:rPr>
                <w:rFonts w:asciiTheme="minorEastAsia" w:hAnsiTheme="minorEastAsia" w:eastAsiaTheme="minorEastAsia"/>
                <w:b/>
                <w:bCs/>
                <w:color w:val="auto"/>
                <w:sz w:val="24"/>
                <w:highlight w:val="none"/>
              </w:rPr>
            </w:pPr>
            <w:r>
              <w:rPr>
                <w:rFonts w:hint="eastAsia" w:asciiTheme="minorEastAsia" w:hAnsiTheme="minorEastAsia" w:eastAsiaTheme="minorEastAsia"/>
                <w:color w:val="auto"/>
                <w:sz w:val="24"/>
                <w:highlight w:val="none"/>
              </w:rPr>
              <w:t>磋商报价得分＝（磋商基准价/</w:t>
            </w:r>
            <w:r>
              <w:rPr>
                <w:rFonts w:hint="eastAsia" w:ascii="宋体" w:hAnsi="宋体" w:eastAsia="宋体"/>
                <w:color w:val="auto"/>
                <w:sz w:val="24"/>
                <w:highlight w:val="none"/>
              </w:rPr>
              <w:t>最后磋商</w:t>
            </w:r>
            <w:r>
              <w:rPr>
                <w:rFonts w:hint="eastAsia" w:asciiTheme="minorEastAsia" w:hAnsiTheme="minorEastAsia" w:eastAsiaTheme="minorEastAsia"/>
                <w:color w:val="auto"/>
                <w:sz w:val="24"/>
                <w:highlight w:val="none"/>
              </w:rPr>
              <w:t>报价）×</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11 </w:t>
            </w:r>
            <w:r>
              <w:rPr>
                <w:rFonts w:hint="eastAsia" w:asciiTheme="minorEastAsia" w:hAnsiTheme="minorEastAsia" w:eastAsiaTheme="minorEastAsia"/>
                <w:color w:val="auto"/>
                <w:sz w:val="24"/>
                <w:highlight w:val="none"/>
              </w:rPr>
              <w:t>％×100</w:t>
            </w:r>
          </w:p>
        </w:tc>
      </w:tr>
    </w:tbl>
    <w:p w14:paraId="066FCEAC">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.3</w:t>
      </w:r>
      <w:r>
        <w:rPr>
          <w:rFonts w:hint="eastAsia" w:asciiTheme="minorEastAsia" w:hAnsiTheme="minorEastAsia" w:eastAsiaTheme="minorEastAsia"/>
          <w:color w:val="auto"/>
          <w:sz w:val="24"/>
          <w:highlight w:val="none"/>
        </w:rPr>
        <w:t>分值汇总</w:t>
      </w:r>
    </w:p>
    <w:p w14:paraId="4CB7E9A3">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763A3A70">
      <w:pPr>
        <w:spacing w:line="360" w:lineRule="auto"/>
        <w:ind w:firstLine="435"/>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2）将每个供应商的技术资信分加上根据上述标准计算出的价格分，即为该供应商的综合总得分</w:t>
      </w:r>
      <w:r>
        <w:rPr>
          <w:rFonts w:hint="eastAsia" w:asciiTheme="minorEastAsia" w:hAnsiTheme="minorEastAsia" w:eastAsiaTheme="minorEastAsia"/>
          <w:color w:val="auto"/>
          <w:sz w:val="24"/>
          <w:highlight w:val="none"/>
          <w:lang w:eastAsia="zh-CN"/>
        </w:rPr>
        <w:t>。</w:t>
      </w:r>
    </w:p>
    <w:p w14:paraId="371A9EDF">
      <w:pPr>
        <w:spacing w:line="360" w:lineRule="auto"/>
        <w:ind w:firstLine="435"/>
        <w:rPr>
          <w:rFonts w:hint="eastAsia" w:asciiTheme="minorEastAsia" w:hAnsiTheme="minorEastAsia" w:eastAsiaTheme="minorEastAsia"/>
          <w:b/>
          <w:bCs/>
          <w:color w:val="auto"/>
          <w:sz w:val="24"/>
          <w:highlight w:val="none"/>
          <w:lang w:val="en-US" w:eastAsia="zh-CN"/>
        </w:rPr>
      </w:pPr>
      <w:r>
        <w:rPr>
          <w:rFonts w:hint="eastAsia" w:asciiTheme="minorEastAsia" w:hAnsiTheme="minorEastAsia" w:eastAsiaTheme="minorEastAsia"/>
          <w:b/>
          <w:bCs/>
          <w:color w:val="auto"/>
          <w:sz w:val="24"/>
          <w:highlight w:val="none"/>
          <w:lang w:val="en-US" w:eastAsia="zh-CN"/>
        </w:rPr>
        <w:t>三、无效条款</w:t>
      </w:r>
    </w:p>
    <w:p w14:paraId="61C92D65">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3.1响应文件有下列情形之一的,其响应文件拒收:</w:t>
      </w:r>
    </w:p>
    <w:p w14:paraId="0AC107FB">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（1）未在提交首次响应文件截止时间前通过网上招标投标系统递交有效电子响应文件的，网上开标系统不予接收。出现上述情况的，响应将被拒绝。</w:t>
      </w:r>
    </w:p>
    <w:p w14:paraId="49336D61">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供应商接到远程解密指令后，须在规定时间内解密。因供应商自身原因导致响应文件在规定时间内未能解密、解密失败或解密超时，响应文件无效；解密时间：从本项目响应文件提交截止时间开始计时，至完成响应文件解密时间，不得超过60分钟，否则响应文件将被拒绝。</w:t>
      </w:r>
    </w:p>
    <w:p w14:paraId="30FA8425">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8.2供应商有下列情形之一的,资格审查后其投标作无效响应处理：</w:t>
      </w:r>
    </w:p>
    <w:p w14:paraId="106FFDE1">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（1）为本项目提供采购代理服务的；</w:t>
      </w:r>
    </w:p>
    <w:p w14:paraId="491B1775">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（2）供应商与在本项目代理机构存在相互任职或工作的；</w:t>
      </w:r>
    </w:p>
    <w:p w14:paraId="26909929">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（3）磋商公告写明专门面向中小企业采购，供应商提供的服务非中小企业承接的；</w:t>
      </w:r>
    </w:p>
    <w:p w14:paraId="3C812479">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（4）要求供应商以联合体形式参加采购活动，供应商非联合体或者联合协议中中小企业合同金额未达到应当达到的比例；</w:t>
      </w:r>
    </w:p>
    <w:p w14:paraId="0EAB6360">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(5)要求获得采购合同的供应商向中小企业分包，供应商未提供分包意向协议或者分包意向协议中中小企业合同金额未达到应当达到的比例；</w:t>
      </w:r>
    </w:p>
    <w:p w14:paraId="2B14ED14">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(6)评标专家无法查看并检验电子响应文件中相关资料的；</w:t>
      </w:r>
    </w:p>
    <w:p w14:paraId="3B08CFA9">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(7)联合体投标未提交联合体协议的；</w:t>
      </w:r>
    </w:p>
    <w:p w14:paraId="31D48C01">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(8)被责令停产停业的；</w:t>
      </w:r>
    </w:p>
    <w:p w14:paraId="058C5682">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(9)被暂停或取消参与政府采购项目资格的；</w:t>
      </w:r>
    </w:p>
    <w:p w14:paraId="7E834236">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(10)供应商单位负责人为同一人或者存在直接控股、管理关系的不同单位的；</w:t>
      </w:r>
    </w:p>
    <w:p w14:paraId="40EB4BE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(11)供应商基本资格条件和特定资格条件中有一项及以上不符合要求的；</w:t>
      </w:r>
    </w:p>
    <w:p w14:paraId="5FCB0988">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 xml:space="preserve">(12)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 </w:t>
      </w:r>
    </w:p>
    <w:p w14:paraId="01278434">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 xml:space="preserve">(13)供应商投标MAC地址或供应商联系人或联系电话相同的，由磋商小组否决其响应，并报告监管部门作不良行为处理和进一步调查； </w:t>
      </w:r>
    </w:p>
    <w:p w14:paraId="5DE7E0EF">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 xml:space="preserve">(14)供应商单方面出现其他供应商材料的； </w:t>
      </w:r>
    </w:p>
    <w:p w14:paraId="773D2D98">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(15)其它情形，经磋商小组提出按无效响应处理，并经公共资源交易监督部门核准的；</w:t>
      </w:r>
    </w:p>
    <w:p w14:paraId="05164364">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(16)磋商文件规定的其它无效响应情形。</w:t>
      </w:r>
    </w:p>
    <w:p w14:paraId="38B8E0AD">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8.3 供应商有下列情形之一的,符合性审查后其投标按无效响应处理：</w:t>
      </w:r>
    </w:p>
    <w:p w14:paraId="6E14AF60">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（1）响应文件签章不全，经磋商小组一致认定对开评标内容有实质性影响并经公共资源交易监督部门核准的；</w:t>
      </w:r>
    </w:p>
    <w:p w14:paraId="3C4A53C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（2）未按规定的格式填写导致实质性内容不全以及实质上不响应，或者关键字迹模糊、无法辨认； 经公共资源交易监督部门核准的；</w:t>
      </w:r>
    </w:p>
    <w:p w14:paraId="0E423A16">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（3）同一供应商提交两个以上不同的响应文件或者响应报价，但磋商文件规定提交备选方案的除外；</w:t>
      </w:r>
    </w:p>
    <w:p w14:paraId="140D969F">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（4）响应文件没有对磋商文件的实质性要求和条件作出响应；</w:t>
      </w:r>
    </w:p>
    <w:p w14:paraId="0C7B2083">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（5）报价超出规定的最高限价或公布的采购预算的或供应商的报价各项单价高于磋商文件给定的单价最高限价；</w:t>
      </w:r>
    </w:p>
    <w:p w14:paraId="5DC6482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（6）不按磋商小组要求澄清、说明或补正的，或者措施小组根据磋商文件的规定对响应文件的计算错误进行修正后，供应商不接受修正的报价的。</w:t>
      </w:r>
    </w:p>
    <w:p w14:paraId="0173B42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（7）其它情形，经磋商小组委提出按无效响应处理，并经公共资源交易监督部门核准的；</w:t>
      </w:r>
    </w:p>
    <w:p w14:paraId="58FABF6C">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（8）响应文件含有采购人不能接受的附加条件的；</w:t>
      </w:r>
    </w:p>
    <w:p w14:paraId="2548A9C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（9）磋商文件规定的其它无效响应情形。</w:t>
      </w:r>
    </w:p>
    <w:p w14:paraId="455E41AB">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8.4 供应商有下列情形之一的, 详细评审后其投标按无效响应处理：</w:t>
      </w:r>
    </w:p>
    <w:p w14:paraId="229ABA95">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（1）产品不符合必须强制执行的国家标准的；</w:t>
      </w:r>
    </w:p>
    <w:p w14:paraId="5C4BE0BD">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（2）供应商有串通投标、弄虚作假、行贿等违法行为；</w:t>
      </w:r>
    </w:p>
    <w:p w14:paraId="2E03426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（3）响应文件含有违反国家法律、法规的内容，或附有采购人不能接受的条件的；</w:t>
      </w:r>
    </w:p>
    <w:p w14:paraId="4042717F">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（4）报价明显低于其他供应商，且不能证明报价合理性的响应无效；</w:t>
      </w:r>
    </w:p>
    <w:p w14:paraId="7F525D64">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（5）拒不确认磋商小组评审修正的投标无效；</w:t>
      </w:r>
    </w:p>
    <w:p w14:paraId="41036C7E">
      <w:pPr>
        <w:spacing w:line="360" w:lineRule="auto"/>
        <w:ind w:firstLine="435"/>
        <w:rPr>
          <w:rFonts w:hint="eastAsia"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（6）其它情形，经磋商小组提出按无效响应处理，并经公共资源交易监督部门核准的；</w:t>
      </w:r>
    </w:p>
    <w:p w14:paraId="1744F652">
      <w:pPr>
        <w:spacing w:line="360" w:lineRule="auto"/>
        <w:ind w:firstLine="435"/>
        <w:rPr>
          <w:rFonts w:hint="default" w:asciiTheme="minorEastAsia" w:hAnsiTheme="minorEastAsia" w:eastAsiaTheme="minorEastAsia"/>
          <w:color w:val="auto"/>
          <w:sz w:val="24"/>
          <w:highlight w:val="none"/>
          <w:lang w:val="en-US" w:eastAsia="zh-CN"/>
        </w:rPr>
      </w:pPr>
      <w:r>
        <w:rPr>
          <w:rFonts w:hint="eastAsia" w:asciiTheme="minorEastAsia" w:hAnsiTheme="minorEastAsia" w:eastAsiaTheme="minorEastAsia"/>
          <w:color w:val="auto"/>
          <w:sz w:val="24"/>
          <w:highlight w:val="none"/>
          <w:lang w:val="en-US" w:eastAsia="zh-CN"/>
        </w:rPr>
        <w:t>（7）磋商文件规定的其它无效响应情形。</w:t>
      </w:r>
    </w:p>
    <w:p w14:paraId="0E856D96">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508250DA">
      <w:pPr>
        <w:spacing w:line="360" w:lineRule="auto"/>
        <w:jc w:val="center"/>
        <w:outlineLvl w:val="0"/>
        <w:rPr>
          <w:rFonts w:asciiTheme="minorEastAsia" w:hAnsiTheme="minorEastAsia" w:eastAsiaTheme="minorEastAsia"/>
          <w:b/>
          <w:color w:val="auto"/>
          <w:sz w:val="28"/>
          <w:highlight w:val="none"/>
        </w:rPr>
      </w:pPr>
      <w:bookmarkStart w:id="39" w:name="_Toc6037"/>
      <w:bookmarkStart w:id="40" w:name="_Toc17167"/>
      <w:bookmarkStart w:id="41" w:name="_Toc63440929"/>
      <w:r>
        <w:rPr>
          <w:rFonts w:hint="eastAsia" w:asciiTheme="minorEastAsia" w:hAnsiTheme="minorEastAsia" w:eastAsiaTheme="minorEastAsia"/>
          <w:b/>
          <w:color w:val="auto"/>
          <w:sz w:val="28"/>
          <w:highlight w:val="none"/>
        </w:rPr>
        <w:t xml:space="preserve">第五章  </w:t>
      </w:r>
      <w:r>
        <w:rPr>
          <w:rFonts w:asciiTheme="minorEastAsia" w:hAnsiTheme="minorEastAsia" w:eastAsiaTheme="minorEastAsia"/>
          <w:b/>
          <w:color w:val="auto"/>
          <w:sz w:val="28"/>
          <w:highlight w:val="none"/>
        </w:rPr>
        <w:t>政府采购合同</w:t>
      </w:r>
      <w:bookmarkEnd w:id="39"/>
      <w:bookmarkEnd w:id="40"/>
      <w:bookmarkEnd w:id="41"/>
    </w:p>
    <w:p w14:paraId="60E697BC">
      <w:pPr>
        <w:spacing w:line="480" w:lineRule="auto"/>
        <w:jc w:val="center"/>
        <w:rPr>
          <w:rFonts w:asciiTheme="minorEastAsia" w:hAnsiTheme="minorEastAsia" w:eastAsiaTheme="minorEastAsia"/>
          <w:b/>
          <w:color w:val="auto"/>
          <w:sz w:val="24"/>
          <w:highlight w:val="none"/>
        </w:rPr>
      </w:pPr>
    </w:p>
    <w:p w14:paraId="4F31B161">
      <w:pPr>
        <w:spacing w:line="480" w:lineRule="auto"/>
        <w:jc w:val="center"/>
        <w:rPr>
          <w:rFonts w:asciiTheme="minorEastAsia" w:hAnsiTheme="minorEastAsia" w:eastAsiaTheme="minorEastAsia"/>
          <w:b/>
          <w:color w:val="auto"/>
          <w:sz w:val="24"/>
          <w:highlight w:val="none"/>
        </w:rPr>
      </w:pPr>
    </w:p>
    <w:p w14:paraId="7516B2BB">
      <w:pPr>
        <w:spacing w:line="480" w:lineRule="auto"/>
        <w:jc w:val="center"/>
        <w:rPr>
          <w:rFonts w:asciiTheme="minorEastAsia" w:hAnsiTheme="minorEastAsia" w:eastAsiaTheme="minorEastAsia"/>
          <w:b/>
          <w:color w:val="auto"/>
          <w:sz w:val="24"/>
          <w:highlight w:val="none"/>
        </w:rPr>
      </w:pPr>
    </w:p>
    <w:p w14:paraId="13B7B920">
      <w:pPr>
        <w:spacing w:line="480" w:lineRule="auto"/>
        <w:jc w:val="center"/>
        <w:outlineLvl w:val="1"/>
        <w:rPr>
          <w:rFonts w:asciiTheme="minorEastAsia" w:hAnsiTheme="minorEastAsia" w:eastAsiaTheme="minorEastAsia"/>
          <w:b/>
          <w:color w:val="auto"/>
          <w:sz w:val="32"/>
          <w:szCs w:val="32"/>
          <w:highlight w:val="none"/>
        </w:rPr>
      </w:pPr>
      <w:bookmarkStart w:id="42" w:name="_Toc9456"/>
      <w:r>
        <w:rPr>
          <w:rFonts w:asciiTheme="minorEastAsia" w:hAnsiTheme="minorEastAsia" w:eastAsiaTheme="minorEastAsia"/>
          <w:b/>
          <w:color w:val="auto"/>
          <w:sz w:val="32"/>
          <w:szCs w:val="32"/>
          <w:highlight w:val="none"/>
        </w:rPr>
        <w:t>政府采购合同</w:t>
      </w:r>
      <w:r>
        <w:rPr>
          <w:rFonts w:hint="eastAsia" w:asciiTheme="minorEastAsia" w:hAnsiTheme="minorEastAsia" w:eastAsiaTheme="minorEastAsia"/>
          <w:b/>
          <w:color w:val="auto"/>
          <w:sz w:val="32"/>
          <w:szCs w:val="32"/>
          <w:highlight w:val="none"/>
        </w:rPr>
        <w:t>参考范本</w:t>
      </w:r>
      <w:bookmarkEnd w:id="42"/>
    </w:p>
    <w:p w14:paraId="5FDAA566">
      <w:pPr>
        <w:spacing w:line="480" w:lineRule="auto"/>
        <w:jc w:val="center"/>
        <w:outlineLvl w:val="1"/>
        <w:rPr>
          <w:rFonts w:asciiTheme="minorEastAsia" w:hAnsiTheme="minorEastAsia" w:eastAsiaTheme="minorEastAsia"/>
          <w:b/>
          <w:color w:val="auto"/>
          <w:sz w:val="32"/>
          <w:szCs w:val="32"/>
          <w:highlight w:val="none"/>
        </w:rPr>
      </w:pPr>
      <w:bookmarkStart w:id="43" w:name="_Toc26618"/>
      <w:r>
        <w:rPr>
          <w:rFonts w:hint="eastAsia" w:asciiTheme="minorEastAsia" w:hAnsiTheme="minorEastAsia" w:eastAsiaTheme="minorEastAsia"/>
          <w:b/>
          <w:color w:val="auto"/>
          <w:sz w:val="32"/>
          <w:szCs w:val="32"/>
          <w:highlight w:val="none"/>
        </w:rPr>
        <w:t>（服务类）</w:t>
      </w:r>
      <w:bookmarkEnd w:id="43"/>
    </w:p>
    <w:p w14:paraId="0FC55E50">
      <w:pPr>
        <w:spacing w:line="480" w:lineRule="auto"/>
        <w:jc w:val="center"/>
        <w:rPr>
          <w:rFonts w:asciiTheme="minorEastAsia" w:hAnsiTheme="minorEastAsia" w:eastAsiaTheme="minorEastAsia"/>
          <w:b/>
          <w:color w:val="auto"/>
          <w:sz w:val="24"/>
          <w:highlight w:val="none"/>
        </w:rPr>
      </w:pPr>
    </w:p>
    <w:p w14:paraId="1F20BF1C">
      <w:pPr>
        <w:spacing w:line="480" w:lineRule="auto"/>
        <w:jc w:val="center"/>
        <w:rPr>
          <w:rFonts w:asciiTheme="minorEastAsia" w:hAnsiTheme="minorEastAsia" w:eastAsiaTheme="minorEastAsia"/>
          <w:b/>
          <w:color w:val="auto"/>
          <w:sz w:val="24"/>
          <w:highlight w:val="none"/>
        </w:rPr>
      </w:pPr>
    </w:p>
    <w:p w14:paraId="1839D3CB">
      <w:pPr>
        <w:spacing w:line="480" w:lineRule="auto"/>
        <w:jc w:val="center"/>
        <w:rPr>
          <w:rFonts w:asciiTheme="minorEastAsia" w:hAnsiTheme="minorEastAsia" w:eastAsiaTheme="minorEastAsia"/>
          <w:b/>
          <w:color w:val="auto"/>
          <w:sz w:val="24"/>
          <w:highlight w:val="none"/>
        </w:rPr>
      </w:pPr>
    </w:p>
    <w:p w14:paraId="4F595FDE">
      <w:pPr>
        <w:spacing w:line="360" w:lineRule="auto"/>
        <w:jc w:val="center"/>
        <w:outlineLvl w:val="1"/>
        <w:rPr>
          <w:rFonts w:asciiTheme="minorEastAsia" w:hAnsiTheme="minorEastAsia" w:eastAsiaTheme="minorEastAsia"/>
          <w:b/>
          <w:color w:val="auto"/>
          <w:sz w:val="24"/>
          <w:highlight w:val="none"/>
        </w:rPr>
      </w:pPr>
      <w:bookmarkStart w:id="44" w:name="_Toc18055"/>
      <w:r>
        <w:rPr>
          <w:rFonts w:hint="eastAsia" w:asciiTheme="minorEastAsia" w:hAnsiTheme="minorEastAsia" w:eastAsiaTheme="minorEastAsia"/>
          <w:b/>
          <w:color w:val="auto"/>
          <w:sz w:val="24"/>
          <w:highlight w:val="none"/>
        </w:rPr>
        <w:t>第一部分 合同书</w:t>
      </w:r>
      <w:bookmarkEnd w:id="44"/>
    </w:p>
    <w:p w14:paraId="068DCCEC">
      <w:pPr>
        <w:spacing w:line="480" w:lineRule="auto"/>
        <w:jc w:val="center"/>
        <w:rPr>
          <w:rFonts w:asciiTheme="minorEastAsia" w:hAnsiTheme="minorEastAsia" w:eastAsiaTheme="minorEastAsia"/>
          <w:b/>
          <w:color w:val="auto"/>
          <w:sz w:val="24"/>
          <w:highlight w:val="none"/>
        </w:rPr>
      </w:pPr>
    </w:p>
    <w:p w14:paraId="56EE9B30">
      <w:pPr>
        <w:spacing w:line="480" w:lineRule="auto"/>
        <w:jc w:val="center"/>
        <w:rPr>
          <w:rFonts w:asciiTheme="minorEastAsia" w:hAnsiTheme="minorEastAsia" w:eastAsiaTheme="minorEastAsia"/>
          <w:b/>
          <w:color w:val="auto"/>
          <w:sz w:val="24"/>
          <w:highlight w:val="none"/>
        </w:rPr>
      </w:pPr>
    </w:p>
    <w:p w14:paraId="59EDF169">
      <w:pPr>
        <w:spacing w:line="480" w:lineRule="auto"/>
        <w:jc w:val="center"/>
        <w:rPr>
          <w:rFonts w:asciiTheme="minorEastAsia" w:hAnsiTheme="minorEastAsia" w:eastAsiaTheme="minorEastAsia"/>
          <w:b/>
          <w:color w:val="auto"/>
          <w:sz w:val="24"/>
          <w:highlight w:val="none"/>
        </w:rPr>
      </w:pPr>
    </w:p>
    <w:p w14:paraId="31F3C10D">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项目名称：</w:t>
      </w:r>
      <w:r>
        <w:rPr>
          <w:rFonts w:hint="eastAsia" w:asciiTheme="minorEastAsia" w:hAnsiTheme="minorEastAsia" w:eastAsiaTheme="minorEastAsia"/>
          <w:color w:val="auto"/>
          <w:sz w:val="24"/>
          <w:highlight w:val="none"/>
          <w:u w:val="single"/>
          <w:lang w:val="en-US" w:eastAsia="zh-CN"/>
        </w:rPr>
        <w:t xml:space="preserve">                                    </w:t>
      </w:r>
    </w:p>
    <w:p w14:paraId="34DB6B2E">
      <w:pPr>
        <w:spacing w:before="120" w:line="480" w:lineRule="auto"/>
        <w:ind w:left="96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项目编号：</w:t>
      </w:r>
      <w:r>
        <w:rPr>
          <w:rFonts w:hint="eastAsia" w:asciiTheme="minorEastAsia" w:hAnsiTheme="minorEastAsia" w:eastAsiaTheme="minorEastAsia"/>
          <w:color w:val="auto"/>
          <w:sz w:val="24"/>
          <w:highlight w:val="none"/>
          <w:u w:val="single"/>
          <w:lang w:val="en-US" w:eastAsia="zh-CN"/>
        </w:rPr>
        <w:t xml:space="preserve">                                    </w:t>
      </w:r>
    </w:p>
    <w:p w14:paraId="79961ADA">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甲方（采购人）：</w:t>
      </w:r>
      <w:r>
        <w:rPr>
          <w:rFonts w:hint="eastAsia" w:asciiTheme="minorEastAsia" w:hAnsiTheme="minorEastAsia" w:eastAsiaTheme="minorEastAsia"/>
          <w:color w:val="auto"/>
          <w:sz w:val="24"/>
          <w:highlight w:val="none"/>
          <w:u w:val="single"/>
        </w:rPr>
        <w:t xml:space="preserve">                              </w:t>
      </w:r>
    </w:p>
    <w:p w14:paraId="0901FC87">
      <w:pPr>
        <w:spacing w:before="120" w:line="480" w:lineRule="auto"/>
        <w:ind w:left="96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乙方（成交供应商）：</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0842A06C">
      <w:pPr>
        <w:spacing w:before="120" w:line="480" w:lineRule="auto"/>
        <w:ind w:firstLine="960" w:firstLineChars="400"/>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签订地：</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u w:val="single"/>
        </w:rPr>
        <w:t xml:space="preserve">                 </w:t>
      </w:r>
    </w:p>
    <w:p w14:paraId="766B79D0">
      <w:pPr>
        <w:spacing w:before="120" w:line="480" w:lineRule="auto"/>
        <w:ind w:firstLine="960" w:firstLineChars="4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签订日期：</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年</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月</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日</w:t>
      </w:r>
    </w:p>
    <w:p w14:paraId="10093170">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0EA5702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zh-CN"/>
        </w:rPr>
        <w:t>以下简称：甲方</w:t>
      </w:r>
      <w:r>
        <w:rPr>
          <w:rFonts w:hint="eastAsia" w:asciiTheme="minorEastAsia" w:hAnsiTheme="minorEastAsia" w:eastAsiaTheme="minorEastAsia"/>
          <w:color w:val="auto"/>
          <w:sz w:val="24"/>
          <w:highlight w:val="none"/>
        </w:rPr>
        <w:t>）通过</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组织的</w:t>
      </w:r>
      <w:r>
        <w:rPr>
          <w:rFonts w:hint="eastAsia" w:asciiTheme="minorEastAsia" w:hAnsiTheme="minorEastAsia" w:eastAsiaTheme="minorEastAsia"/>
          <w:color w:val="auto"/>
          <w:sz w:val="24"/>
          <w:highlight w:val="none"/>
          <w:u w:val="none"/>
        </w:rPr>
        <w:t>竞争性磋商</w:t>
      </w:r>
      <w:r>
        <w:rPr>
          <w:rFonts w:hint="eastAsia" w:asciiTheme="minorEastAsia" w:hAnsiTheme="minorEastAsia" w:eastAsiaTheme="minorEastAsia"/>
          <w:color w:val="auto"/>
          <w:sz w:val="24"/>
          <w:highlight w:val="none"/>
        </w:rPr>
        <w:t>方式采购活动，经</w:t>
      </w:r>
      <w:r>
        <w:rPr>
          <w:rFonts w:hint="eastAsia" w:asciiTheme="minorEastAsia" w:hAnsiTheme="minorEastAsia" w:eastAsiaTheme="minorEastAsia"/>
          <w:color w:val="auto"/>
          <w:sz w:val="24"/>
          <w:highlight w:val="none"/>
          <w:u w:val="none"/>
        </w:rPr>
        <w:t>磋商小组</w:t>
      </w:r>
      <w:r>
        <w:rPr>
          <w:rFonts w:hint="eastAsia" w:asciiTheme="minorEastAsia" w:hAnsiTheme="minorEastAsia" w:eastAsiaTheme="minorEastAsia"/>
          <w:color w:val="auto"/>
          <w:sz w:val="24"/>
          <w:highlight w:val="none"/>
        </w:rPr>
        <w:t>评定，</w:t>
      </w:r>
      <w:r>
        <w:rPr>
          <w:rFonts w:hint="eastAsia" w:asciiTheme="minorEastAsia" w:hAnsiTheme="minorEastAsia" w:eastAsiaTheme="minorEastAsia"/>
          <w:color w:val="auto"/>
          <w:sz w:val="24"/>
          <w:highlight w:val="none"/>
          <w:u w:val="single"/>
          <w:lang w:val="en-US" w:eastAsia="zh-CN"/>
        </w:rPr>
        <w:t xml:space="preserve">        </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lang w:val="zh-CN"/>
        </w:rPr>
        <w:t>以下简称：乙方</w:t>
      </w:r>
      <w:r>
        <w:rPr>
          <w:rFonts w:hint="eastAsia" w:asciiTheme="minorEastAsia" w:hAnsiTheme="minorEastAsia" w:eastAsiaTheme="minorEastAsia"/>
          <w:color w:val="auto"/>
          <w:sz w:val="24"/>
          <w:highlight w:val="none"/>
        </w:rPr>
        <w:t>）为本项目成交供应商，现按照采购文件确定的事项签订本合同。</w:t>
      </w:r>
    </w:p>
    <w:p w14:paraId="38C2BC1E">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rPr>
        <w:t>根据《中华人民共和国民法典》、《中华人民共和国政府采购法》等相关法律法规之规定，按照平等、自愿、公平和诚实信用的原则，经甲方和乙方协商一致，约定以下合同条款，以兹共同遵守、全面履行。</w:t>
      </w:r>
    </w:p>
    <w:p w14:paraId="4140E9E6">
      <w:pPr>
        <w:spacing w:line="360" w:lineRule="auto"/>
        <w:ind w:firstLine="437"/>
        <w:outlineLvl w:val="2"/>
        <w:rPr>
          <w:rFonts w:asciiTheme="minorEastAsia" w:hAnsiTheme="minorEastAsia" w:eastAsiaTheme="minorEastAsia"/>
          <w:b/>
          <w:bCs/>
          <w:color w:val="auto"/>
          <w:sz w:val="24"/>
          <w:highlight w:val="none"/>
          <w:lang w:val="zh-CN"/>
        </w:rPr>
      </w:pPr>
      <w:bookmarkStart w:id="45" w:name="_Toc2232"/>
      <w:bookmarkStart w:id="46" w:name="_Toc24059"/>
      <w:bookmarkStart w:id="47" w:name="_Toc3029"/>
      <w:r>
        <w:rPr>
          <w:rFonts w:hint="eastAsia" w:asciiTheme="minorEastAsia" w:hAnsiTheme="minorEastAsia" w:eastAsiaTheme="minorEastAsia"/>
          <w:b/>
          <w:bCs/>
          <w:color w:val="auto"/>
          <w:sz w:val="24"/>
          <w:highlight w:val="none"/>
          <w:lang w:val="zh-CN"/>
        </w:rPr>
        <w:t>1.1</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合同组成部分</w:t>
      </w:r>
      <w:bookmarkEnd w:id="45"/>
      <w:bookmarkEnd w:id="46"/>
      <w:bookmarkEnd w:id="47"/>
    </w:p>
    <w:p w14:paraId="649DDF8C">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7F32C4BB">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1.1.1本合同及其补充合同、变更协议；</w:t>
      </w:r>
    </w:p>
    <w:p w14:paraId="4FA214F5">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1.1.2成交通知书；</w:t>
      </w:r>
    </w:p>
    <w:p w14:paraId="1A819D3A">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1.1.3响应文件（含澄清或者说明文件）；</w:t>
      </w:r>
    </w:p>
    <w:p w14:paraId="4F07CB53">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1.1.4磋商文件（含澄清或者修改文件）；</w:t>
      </w:r>
    </w:p>
    <w:p w14:paraId="483456C0">
      <w:pPr>
        <w:spacing w:line="360" w:lineRule="auto"/>
        <w:ind w:firstLine="435"/>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1.1.5其他相关采购文件。</w:t>
      </w:r>
    </w:p>
    <w:p w14:paraId="2F50926D">
      <w:pPr>
        <w:spacing w:line="360" w:lineRule="auto"/>
        <w:ind w:firstLine="437"/>
        <w:outlineLvl w:val="2"/>
        <w:rPr>
          <w:rFonts w:asciiTheme="minorEastAsia" w:hAnsiTheme="minorEastAsia" w:eastAsiaTheme="minorEastAsia"/>
          <w:b/>
          <w:bCs/>
          <w:color w:val="auto"/>
          <w:sz w:val="24"/>
          <w:highlight w:val="none"/>
          <w:lang w:val="zh-CN"/>
        </w:rPr>
      </w:pPr>
      <w:bookmarkStart w:id="48" w:name="_Toc21295"/>
      <w:bookmarkStart w:id="49" w:name="_Toc24300"/>
      <w:bookmarkStart w:id="50" w:name="_Toc27126"/>
      <w:r>
        <w:rPr>
          <w:rFonts w:hint="eastAsia" w:asciiTheme="minorEastAsia" w:hAnsiTheme="minorEastAsia" w:eastAsiaTheme="minorEastAsia"/>
          <w:b/>
          <w:bCs/>
          <w:color w:val="auto"/>
          <w:sz w:val="24"/>
          <w:highlight w:val="none"/>
          <w:lang w:val="zh-CN"/>
        </w:rPr>
        <w:t>1.2</w:t>
      </w:r>
      <w:r>
        <w:rPr>
          <w:rFonts w:asciiTheme="minorEastAsia" w:hAnsiTheme="minorEastAsia" w:eastAsiaTheme="minorEastAsia"/>
          <w:b/>
          <w:bCs/>
          <w:color w:val="auto"/>
          <w:sz w:val="24"/>
          <w:highlight w:val="none"/>
          <w:lang w:val="zh-CN"/>
        </w:rPr>
        <w:t xml:space="preserve"> </w:t>
      </w:r>
      <w:bookmarkEnd w:id="48"/>
      <w:bookmarkEnd w:id="49"/>
      <w:bookmarkEnd w:id="50"/>
      <w:r>
        <w:rPr>
          <w:rFonts w:hint="eastAsia" w:asciiTheme="minorEastAsia" w:hAnsiTheme="minorEastAsia" w:eastAsiaTheme="minorEastAsia"/>
          <w:b/>
          <w:bCs/>
          <w:color w:val="auto"/>
          <w:sz w:val="24"/>
          <w:highlight w:val="none"/>
          <w:lang w:val="zh-CN"/>
        </w:rPr>
        <w:t>服务</w:t>
      </w:r>
    </w:p>
    <w:p w14:paraId="1A7BB0E7">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kern w:val="2"/>
          <w:sz w:val="24"/>
          <w:szCs w:val="24"/>
          <w:highlight w:val="none"/>
          <w:u w:val="single"/>
        </w:rPr>
      </w:pPr>
      <w:bookmarkStart w:id="51" w:name="_Toc21631"/>
      <w:bookmarkStart w:id="52" w:name="_Toc21551"/>
      <w:bookmarkStart w:id="53" w:name="_Toc23292"/>
      <w:r>
        <w:rPr>
          <w:rFonts w:hint="eastAsia" w:ascii="宋体" w:hAnsi="宋体" w:eastAsia="宋体" w:cs="宋体"/>
          <w:color w:val="auto"/>
          <w:kern w:val="2"/>
          <w:sz w:val="24"/>
          <w:szCs w:val="24"/>
          <w:highlight w:val="none"/>
          <w:lang w:val="en-US" w:eastAsia="zh-CN" w:bidi="ar"/>
        </w:rPr>
        <w:t>1.2.1服务名称：</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w:t>
      </w:r>
    </w:p>
    <w:p w14:paraId="31BAFFA4">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Times New Roman"/>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bidi="ar"/>
        </w:rPr>
        <w:t>1.2.2服务内容：</w:t>
      </w:r>
      <w:r>
        <w:rPr>
          <w:rFonts w:hint="eastAsia" w:ascii="宋体" w:hAnsi="宋体" w:eastAsia="宋体" w:cs="Times New Roman"/>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w:t>
      </w:r>
    </w:p>
    <w:p w14:paraId="26A29B5F">
      <w:pPr>
        <w:keepNext w:val="0"/>
        <w:keepLines w:val="0"/>
        <w:widowControl w:val="0"/>
        <w:suppressLineNumbers w:val="0"/>
        <w:spacing w:before="0" w:beforeAutospacing="0" w:after="0" w:afterAutospacing="0" w:line="360" w:lineRule="auto"/>
        <w:ind w:left="0" w:right="0" w:firstLine="435"/>
        <w:jc w:val="both"/>
        <w:rPr>
          <w:rFonts w:hint="eastAsia"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1.2.3服务质量：</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eastAsia="宋体" w:cs="宋体"/>
          <w:color w:val="auto"/>
          <w:kern w:val="2"/>
          <w:sz w:val="24"/>
          <w:szCs w:val="24"/>
          <w:highlight w:val="none"/>
          <w:lang w:val="en-US" w:eastAsia="zh-CN" w:bidi="ar"/>
        </w:rPr>
        <w:t>。</w:t>
      </w:r>
    </w:p>
    <w:p w14:paraId="56119B76">
      <w:pPr>
        <w:spacing w:line="360" w:lineRule="auto"/>
        <w:ind w:firstLine="437"/>
        <w:outlineLvl w:val="2"/>
        <w:rPr>
          <w:rFonts w:asciiTheme="minorEastAsia" w:hAnsiTheme="minorEastAsia" w:eastAsiaTheme="minorEastAsia"/>
          <w:b/>
          <w:bCs/>
          <w:color w:val="auto"/>
          <w:sz w:val="24"/>
          <w:highlight w:val="none"/>
          <w:lang w:val="zh-CN"/>
        </w:rPr>
      </w:pPr>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3 </w:t>
      </w:r>
      <w:r>
        <w:rPr>
          <w:rFonts w:hint="eastAsia" w:asciiTheme="minorEastAsia" w:hAnsiTheme="minorEastAsia" w:eastAsiaTheme="minorEastAsia"/>
          <w:b/>
          <w:bCs/>
          <w:color w:val="auto"/>
          <w:sz w:val="24"/>
          <w:highlight w:val="none"/>
          <w:lang w:val="zh-CN"/>
        </w:rPr>
        <w:t>价款</w:t>
      </w:r>
      <w:bookmarkEnd w:id="51"/>
      <w:bookmarkEnd w:id="52"/>
      <w:bookmarkEnd w:id="53"/>
    </w:p>
    <w:p w14:paraId="4C88A806">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（大写：人民币</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w:t>
      </w:r>
      <w:r>
        <w:rPr>
          <w:rFonts w:asciiTheme="minorEastAsia" w:hAnsiTheme="minorEastAsia" w:eastAsiaTheme="minorEastAsia"/>
          <w:color w:val="auto"/>
          <w:sz w:val="24"/>
          <w:highlight w:val="none"/>
        </w:rPr>
        <w:t>。</w:t>
      </w:r>
    </w:p>
    <w:p w14:paraId="618CFFE9">
      <w:pPr>
        <w:spacing w:line="360" w:lineRule="auto"/>
        <w:ind w:firstLine="435"/>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4316"/>
        <w:gridCol w:w="12"/>
        <w:gridCol w:w="3225"/>
        <w:gridCol w:w="12"/>
      </w:tblGrid>
      <w:tr w14:paraId="24D08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22EA238A">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序号</w:t>
            </w:r>
          </w:p>
        </w:tc>
        <w:tc>
          <w:tcPr>
            <w:tcW w:w="2532" w:type="pct"/>
            <w:vAlign w:val="center"/>
          </w:tcPr>
          <w:p w14:paraId="446B9DF3">
            <w:pPr>
              <w:pStyle w:val="55"/>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分项名称</w:t>
            </w:r>
          </w:p>
        </w:tc>
        <w:tc>
          <w:tcPr>
            <w:tcW w:w="1899" w:type="pct"/>
            <w:gridSpan w:val="2"/>
            <w:vAlign w:val="center"/>
          </w:tcPr>
          <w:p w14:paraId="2C344945">
            <w:pPr>
              <w:pStyle w:val="55"/>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分项价格</w:t>
            </w:r>
          </w:p>
        </w:tc>
      </w:tr>
      <w:tr w14:paraId="70A2D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558678E3">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1</w:t>
            </w:r>
          </w:p>
        </w:tc>
        <w:tc>
          <w:tcPr>
            <w:tcW w:w="2532" w:type="pct"/>
            <w:vAlign w:val="center"/>
          </w:tcPr>
          <w:p w14:paraId="3D7C162E">
            <w:pPr>
              <w:pStyle w:val="55"/>
              <w:ind w:firstLine="200"/>
              <w:jc w:val="center"/>
              <w:rPr>
                <w:rFonts w:asciiTheme="minorEastAsia" w:hAnsiTheme="minorEastAsia" w:eastAsiaTheme="minorEastAsia"/>
                <w:color w:val="auto"/>
                <w:sz w:val="24"/>
                <w:szCs w:val="24"/>
                <w:highlight w:val="none"/>
              </w:rPr>
            </w:pPr>
          </w:p>
        </w:tc>
        <w:tc>
          <w:tcPr>
            <w:tcW w:w="1899" w:type="pct"/>
            <w:gridSpan w:val="2"/>
            <w:vAlign w:val="center"/>
          </w:tcPr>
          <w:p w14:paraId="66E984E7">
            <w:pPr>
              <w:pStyle w:val="55"/>
              <w:ind w:firstLine="200"/>
              <w:jc w:val="center"/>
              <w:rPr>
                <w:rFonts w:asciiTheme="minorEastAsia" w:hAnsiTheme="minorEastAsia" w:eastAsiaTheme="minorEastAsia"/>
                <w:color w:val="auto"/>
                <w:sz w:val="24"/>
                <w:szCs w:val="24"/>
                <w:highlight w:val="none"/>
              </w:rPr>
            </w:pPr>
          </w:p>
        </w:tc>
      </w:tr>
      <w:tr w14:paraId="37E9C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0E0583FF">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2</w:t>
            </w:r>
          </w:p>
        </w:tc>
        <w:tc>
          <w:tcPr>
            <w:tcW w:w="2532" w:type="pct"/>
            <w:vAlign w:val="center"/>
          </w:tcPr>
          <w:p w14:paraId="015E6EB2">
            <w:pPr>
              <w:pStyle w:val="55"/>
              <w:ind w:firstLine="200"/>
              <w:jc w:val="center"/>
              <w:rPr>
                <w:rFonts w:asciiTheme="minorEastAsia" w:hAnsiTheme="minorEastAsia" w:eastAsiaTheme="minorEastAsia"/>
                <w:color w:val="auto"/>
                <w:sz w:val="24"/>
                <w:szCs w:val="24"/>
                <w:highlight w:val="none"/>
              </w:rPr>
            </w:pPr>
          </w:p>
        </w:tc>
        <w:tc>
          <w:tcPr>
            <w:tcW w:w="1899" w:type="pct"/>
            <w:gridSpan w:val="2"/>
            <w:vAlign w:val="center"/>
          </w:tcPr>
          <w:p w14:paraId="2CB60C66">
            <w:pPr>
              <w:pStyle w:val="55"/>
              <w:ind w:firstLine="200"/>
              <w:jc w:val="center"/>
              <w:rPr>
                <w:rFonts w:asciiTheme="minorEastAsia" w:hAnsiTheme="minorEastAsia" w:eastAsiaTheme="minorEastAsia"/>
                <w:color w:val="auto"/>
                <w:sz w:val="24"/>
                <w:szCs w:val="24"/>
                <w:highlight w:val="none"/>
              </w:rPr>
            </w:pPr>
          </w:p>
        </w:tc>
      </w:tr>
      <w:tr w14:paraId="2920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12A484E6">
            <w:pPr>
              <w:jc w:val="center"/>
              <w:rPr>
                <w:rFonts w:asciiTheme="minorEastAsia" w:hAnsiTheme="minorEastAsia" w:eastAsiaTheme="minorEastAsia"/>
                <w:color w:val="auto"/>
                <w:sz w:val="24"/>
                <w:highlight w:val="none"/>
                <w:lang w:val="zh-CN"/>
              </w:rPr>
            </w:pPr>
            <w:r>
              <w:rPr>
                <w:rFonts w:asciiTheme="minorEastAsia" w:hAnsiTheme="minorEastAsia" w:eastAsiaTheme="minorEastAsia"/>
                <w:color w:val="auto"/>
                <w:sz w:val="24"/>
                <w:highlight w:val="none"/>
                <w:lang w:val="zh-CN"/>
              </w:rPr>
              <w:t>3</w:t>
            </w:r>
          </w:p>
        </w:tc>
        <w:tc>
          <w:tcPr>
            <w:tcW w:w="2532" w:type="pct"/>
            <w:vAlign w:val="center"/>
          </w:tcPr>
          <w:p w14:paraId="14C9644B">
            <w:pPr>
              <w:pStyle w:val="55"/>
              <w:ind w:firstLine="200"/>
              <w:jc w:val="center"/>
              <w:rPr>
                <w:rFonts w:asciiTheme="minorEastAsia" w:hAnsiTheme="minorEastAsia" w:eastAsiaTheme="minorEastAsia"/>
                <w:color w:val="auto"/>
                <w:sz w:val="24"/>
                <w:szCs w:val="24"/>
                <w:highlight w:val="none"/>
              </w:rPr>
            </w:pPr>
          </w:p>
        </w:tc>
        <w:tc>
          <w:tcPr>
            <w:tcW w:w="1899" w:type="pct"/>
            <w:gridSpan w:val="2"/>
            <w:vAlign w:val="center"/>
          </w:tcPr>
          <w:p w14:paraId="030FF8C4">
            <w:pPr>
              <w:pStyle w:val="55"/>
              <w:ind w:firstLine="200"/>
              <w:jc w:val="center"/>
              <w:rPr>
                <w:rFonts w:asciiTheme="minorEastAsia" w:hAnsiTheme="minorEastAsia" w:eastAsiaTheme="minorEastAsia"/>
                <w:color w:val="auto"/>
                <w:sz w:val="24"/>
                <w:szCs w:val="24"/>
                <w:highlight w:val="none"/>
              </w:rPr>
            </w:pPr>
          </w:p>
        </w:tc>
      </w:tr>
      <w:tr w14:paraId="0785A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7D45C209">
            <w:pPr>
              <w:jc w:val="center"/>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w:t>
            </w:r>
          </w:p>
        </w:tc>
        <w:tc>
          <w:tcPr>
            <w:tcW w:w="2532" w:type="pct"/>
            <w:vAlign w:val="center"/>
          </w:tcPr>
          <w:p w14:paraId="3488DC23">
            <w:pPr>
              <w:pStyle w:val="55"/>
              <w:ind w:firstLine="200"/>
              <w:jc w:val="center"/>
              <w:rPr>
                <w:rFonts w:asciiTheme="minorEastAsia" w:hAnsiTheme="minorEastAsia" w:eastAsiaTheme="minorEastAsia"/>
                <w:color w:val="auto"/>
                <w:sz w:val="24"/>
                <w:szCs w:val="24"/>
                <w:highlight w:val="none"/>
              </w:rPr>
            </w:pPr>
          </w:p>
        </w:tc>
        <w:tc>
          <w:tcPr>
            <w:tcW w:w="1899" w:type="pct"/>
            <w:gridSpan w:val="2"/>
            <w:vAlign w:val="center"/>
          </w:tcPr>
          <w:p w14:paraId="3C58983F">
            <w:pPr>
              <w:pStyle w:val="55"/>
              <w:ind w:firstLine="200"/>
              <w:jc w:val="center"/>
              <w:rPr>
                <w:rFonts w:asciiTheme="minorEastAsia" w:hAnsiTheme="minorEastAsia" w:eastAsiaTheme="minorEastAsia"/>
                <w:color w:val="auto"/>
                <w:sz w:val="24"/>
                <w:szCs w:val="24"/>
                <w:highlight w:val="none"/>
              </w:rPr>
            </w:pPr>
          </w:p>
        </w:tc>
      </w:tr>
      <w:tr w14:paraId="466E1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0BA80887">
            <w:pPr>
              <w:pStyle w:val="55"/>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总价</w:t>
            </w:r>
          </w:p>
        </w:tc>
        <w:tc>
          <w:tcPr>
            <w:tcW w:w="1899" w:type="pct"/>
            <w:gridSpan w:val="2"/>
            <w:vAlign w:val="center"/>
          </w:tcPr>
          <w:p w14:paraId="35C63AB7">
            <w:pPr>
              <w:pStyle w:val="55"/>
              <w:ind w:firstLine="200"/>
              <w:jc w:val="center"/>
              <w:rPr>
                <w:rFonts w:asciiTheme="minorEastAsia" w:hAnsiTheme="minorEastAsia" w:eastAsiaTheme="minorEastAsia"/>
                <w:color w:val="auto"/>
                <w:sz w:val="24"/>
                <w:szCs w:val="24"/>
                <w:highlight w:val="none"/>
              </w:rPr>
            </w:pPr>
          </w:p>
        </w:tc>
      </w:tr>
    </w:tbl>
    <w:p w14:paraId="46AF2327">
      <w:pPr>
        <w:spacing w:line="360" w:lineRule="auto"/>
        <w:ind w:firstLine="437"/>
        <w:outlineLvl w:val="2"/>
        <w:rPr>
          <w:rFonts w:asciiTheme="minorEastAsia" w:hAnsiTheme="minorEastAsia" w:eastAsiaTheme="minorEastAsia"/>
          <w:b/>
          <w:bCs/>
          <w:color w:val="auto"/>
          <w:sz w:val="24"/>
          <w:highlight w:val="none"/>
          <w:lang w:val="zh-CN"/>
        </w:rPr>
      </w:pPr>
      <w:bookmarkStart w:id="54" w:name="_Toc10340"/>
      <w:bookmarkStart w:id="55" w:name="_Toc22618"/>
      <w:bookmarkStart w:id="56" w:name="_Toc181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4 付款方式和发票开具方式</w:t>
      </w:r>
      <w:bookmarkEnd w:id="54"/>
      <w:bookmarkEnd w:id="55"/>
      <w:bookmarkEnd w:id="56"/>
    </w:p>
    <w:p w14:paraId="7AF5D6D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1.4.1</w:t>
      </w:r>
      <w:r>
        <w:rPr>
          <w:rFonts w:asciiTheme="minorEastAsia" w:hAnsiTheme="minorEastAsia" w:eastAsiaTheme="minorEastAsia"/>
          <w:color w:val="auto"/>
          <w:sz w:val="24"/>
          <w:highlight w:val="none"/>
        </w:rPr>
        <w:t>付款方式：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3B00EC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1.4.2发票开具方式：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8E91D9B">
      <w:pPr>
        <w:spacing w:line="360" w:lineRule="auto"/>
        <w:ind w:firstLine="437"/>
        <w:outlineLvl w:val="2"/>
        <w:rPr>
          <w:rFonts w:asciiTheme="minorEastAsia" w:hAnsiTheme="minorEastAsia" w:eastAsiaTheme="minorEastAsia"/>
          <w:b/>
          <w:bCs/>
          <w:color w:val="auto"/>
          <w:sz w:val="24"/>
          <w:highlight w:val="none"/>
          <w:lang w:val="zh-CN"/>
        </w:rPr>
      </w:pPr>
      <w:bookmarkStart w:id="57" w:name="_Toc32071"/>
      <w:bookmarkStart w:id="58" w:name="_Toc2846"/>
      <w:bookmarkStart w:id="59" w:name="_Toc19304"/>
      <w:r>
        <w:rPr>
          <w:rFonts w:hint="eastAsia" w:asciiTheme="minorEastAsia" w:hAnsiTheme="minorEastAsia" w:eastAsiaTheme="minorEastAsia"/>
          <w:b/>
          <w:bCs/>
          <w:color w:val="auto"/>
          <w:sz w:val="24"/>
          <w:highlight w:val="none"/>
          <w:lang w:val="zh-CN"/>
        </w:rPr>
        <w:t>1.</w:t>
      </w:r>
      <w:r>
        <w:rPr>
          <w:rFonts w:asciiTheme="minorEastAsia" w:hAnsiTheme="minorEastAsia" w:eastAsiaTheme="minorEastAsia"/>
          <w:b/>
          <w:bCs/>
          <w:color w:val="auto"/>
          <w:sz w:val="24"/>
          <w:highlight w:val="none"/>
          <w:lang w:val="zh-CN"/>
        </w:rPr>
        <w:t xml:space="preserve">5 </w:t>
      </w:r>
      <w:bookmarkEnd w:id="57"/>
      <w:bookmarkEnd w:id="58"/>
      <w:bookmarkEnd w:id="59"/>
      <w:r>
        <w:rPr>
          <w:rFonts w:hint="eastAsia" w:asciiTheme="minorEastAsia" w:hAnsiTheme="minorEastAsia" w:eastAsiaTheme="minorEastAsia"/>
          <w:b/>
          <w:bCs/>
          <w:color w:val="auto"/>
          <w:sz w:val="24"/>
          <w:highlight w:val="none"/>
          <w:lang w:val="zh-CN"/>
        </w:rPr>
        <w:t>服务期限、地点和方式</w:t>
      </w:r>
    </w:p>
    <w:p w14:paraId="5CF08BC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1.5.1服务期限：</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5286D207">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1.5.2服务地点：</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737D877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1.5.3服务方式：</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945239F">
      <w:pPr>
        <w:spacing w:line="360" w:lineRule="auto"/>
        <w:ind w:firstLine="437"/>
        <w:outlineLvl w:val="2"/>
        <w:rPr>
          <w:rFonts w:asciiTheme="minorEastAsia" w:hAnsiTheme="minorEastAsia" w:eastAsiaTheme="minorEastAsia"/>
          <w:b/>
          <w:bCs/>
          <w:color w:val="auto"/>
          <w:sz w:val="24"/>
          <w:highlight w:val="none"/>
          <w:lang w:val="zh-CN"/>
        </w:rPr>
      </w:pPr>
      <w:bookmarkStart w:id="60" w:name="_Toc19554"/>
      <w:bookmarkStart w:id="61" w:name="_Toc27250"/>
      <w:bookmarkStart w:id="62" w:name="_Toc21423"/>
      <w:r>
        <w:rPr>
          <w:rFonts w:hint="eastAsia" w:asciiTheme="minorEastAsia" w:hAnsiTheme="minorEastAsia" w:eastAsiaTheme="minorEastAsia"/>
          <w:b/>
          <w:bCs/>
          <w:color w:val="auto"/>
          <w:sz w:val="24"/>
          <w:highlight w:val="none"/>
          <w:lang w:val="zh-CN"/>
        </w:rPr>
        <w:t>1.6 违约责任</w:t>
      </w:r>
      <w:bookmarkEnd w:id="60"/>
      <w:bookmarkEnd w:id="61"/>
      <w:bookmarkEnd w:id="62"/>
    </w:p>
    <w:p w14:paraId="24CDF9C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10</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；迟延履行的违约金计算数额达到前述最高限额之日起，甲方有权在要求乙方支付违约金的同时，书面通知乙方解除本合同；</w:t>
      </w:r>
    </w:p>
    <w:p w14:paraId="7951CA4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1.6.2除不可抗力外，如果甲方没有按照本合同约定的付款方式付款，那么乙方可要求甲方支付违约金，违约金按每迟延付款一日的应付而未付款</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0.1</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；迟延付款的违约金计算数额达到前述最高限额之日起，乙方有权在要求甲方支付违约金的同时，书面通知甲方解除本合同；</w:t>
      </w:r>
    </w:p>
    <w:p w14:paraId="218A984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C7F1C9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E0C874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9090C7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1.6.6如果出现政府采购监督管理部门在处理投诉事项期间，书面通知甲方暂停采购活动的情形，或者询问或质疑事项可能影响中标结果的，导致甲方中止履行合同的情形，均不视为甲方违约。</w:t>
      </w:r>
    </w:p>
    <w:p w14:paraId="4E8AB6E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1.6.7因甲方未按合同约定支付价款、未按合同约定受领标的物、擅自解除合同、逾期退还履约保证金导致乙方遭受的直接损失，乙方可向甲方申请赔偿，赔偿金额由双方协商一致；针对因政策变化等原因不能签订合同或解除合同时，造成乙方合法利益受损的情形，可以给予乙方合理补偿，补偿金额不得超过乙方的直接损失</w:t>
      </w:r>
      <w:r>
        <w:rPr>
          <w:rFonts w:hint="eastAsia" w:cs="Times New Roman" w:asciiTheme="minorEastAsia" w:hAnsiTheme="minorEastAsia" w:eastAsiaTheme="minorEastAsia"/>
          <w:color w:val="auto"/>
          <w:sz w:val="24"/>
          <w:szCs w:val="24"/>
          <w:highlight w:val="none"/>
        </w:rPr>
        <w:t>。</w:t>
      </w:r>
    </w:p>
    <w:p w14:paraId="75625C9E">
      <w:pPr>
        <w:spacing w:line="360" w:lineRule="auto"/>
        <w:ind w:firstLine="437"/>
        <w:outlineLvl w:val="2"/>
        <w:rPr>
          <w:rFonts w:asciiTheme="minorEastAsia" w:hAnsiTheme="minorEastAsia" w:eastAsiaTheme="minorEastAsia"/>
          <w:b/>
          <w:bCs/>
          <w:color w:val="auto"/>
          <w:sz w:val="24"/>
          <w:highlight w:val="none"/>
          <w:lang w:val="zh-CN"/>
        </w:rPr>
      </w:pPr>
      <w:bookmarkStart w:id="63" w:name="_Toc16021"/>
      <w:bookmarkStart w:id="64" w:name="_Toc15583"/>
      <w:bookmarkStart w:id="65" w:name="_Toc28375"/>
      <w:r>
        <w:rPr>
          <w:rFonts w:hint="eastAsia" w:asciiTheme="minorEastAsia" w:hAnsiTheme="minorEastAsia" w:eastAsiaTheme="minorEastAsia"/>
          <w:b/>
          <w:bCs/>
          <w:color w:val="auto"/>
          <w:sz w:val="24"/>
          <w:highlight w:val="none"/>
          <w:lang w:val="zh-CN"/>
        </w:rPr>
        <w:t>1.7</w:t>
      </w:r>
      <w:r>
        <w:rPr>
          <w:rFonts w:asciiTheme="minorEastAsia" w:hAnsiTheme="minorEastAsia" w:eastAsiaTheme="minorEastAsia"/>
          <w:b/>
          <w:bCs/>
          <w:color w:val="auto"/>
          <w:sz w:val="24"/>
          <w:highlight w:val="none"/>
          <w:lang w:val="zh-CN"/>
        </w:rPr>
        <w:t xml:space="preserve"> </w:t>
      </w:r>
      <w:r>
        <w:rPr>
          <w:rFonts w:hint="eastAsia" w:asciiTheme="minorEastAsia" w:hAnsiTheme="minorEastAsia" w:eastAsiaTheme="minorEastAsia"/>
          <w:b/>
          <w:bCs/>
          <w:color w:val="auto"/>
          <w:sz w:val="24"/>
          <w:highlight w:val="none"/>
          <w:lang w:val="zh-CN"/>
        </w:rPr>
        <w:t>合同</w:t>
      </w:r>
      <w:r>
        <w:rPr>
          <w:rFonts w:asciiTheme="minorEastAsia" w:hAnsiTheme="minorEastAsia" w:eastAsiaTheme="minorEastAsia"/>
          <w:b/>
          <w:bCs/>
          <w:color w:val="auto"/>
          <w:sz w:val="24"/>
          <w:highlight w:val="none"/>
          <w:lang w:val="zh-CN"/>
        </w:rPr>
        <w:t>争议的解决</w:t>
      </w:r>
      <w:bookmarkEnd w:id="63"/>
      <w:bookmarkEnd w:id="64"/>
      <w:bookmarkEnd w:id="65"/>
    </w:p>
    <w:p w14:paraId="0254AF8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w:t>
      </w:r>
      <w:r>
        <w:rPr>
          <w:rFonts w:asciiTheme="minorEastAsia" w:hAnsiTheme="minorEastAsia" w:eastAsiaTheme="minorEastAsia"/>
          <w:color w:val="auto"/>
          <w:sz w:val="24"/>
          <w:highlight w:val="none"/>
        </w:rPr>
        <w:t>同履行过程中发生的任何争议，双方当事人均可</w:t>
      </w:r>
      <w:r>
        <w:rPr>
          <w:rFonts w:hint="eastAsia" w:asciiTheme="minorEastAsia" w:hAnsiTheme="minorEastAsia" w:eastAsiaTheme="minorEastAsia"/>
          <w:color w:val="auto"/>
          <w:sz w:val="24"/>
          <w:highlight w:val="none"/>
        </w:rPr>
        <w:t>通过和解或者调解解决；不愿和解、调解或者和解、调解不成的，可以选择下列第</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1.7.2</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种方式解决：</w:t>
      </w:r>
    </w:p>
    <w:p w14:paraId="1CCBD3B8">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1.7.1将争议提交</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val="en-US" w:eastAsia="zh-CN"/>
        </w:rPr>
        <w:t>滁州</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仲裁委员会依申请仲裁时其现行有效的仲裁规则裁决；</w:t>
      </w:r>
    </w:p>
    <w:p w14:paraId="0155FD4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1.7.2向</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eastAsia="zh-CN"/>
        </w:rPr>
        <w:t>甲方（采购人）</w:t>
      </w:r>
      <w:r>
        <w:rPr>
          <w:rFonts w:hint="eastAsia" w:asciiTheme="minorEastAsia" w:hAnsiTheme="minorEastAsia" w:eastAsiaTheme="minorEastAsia"/>
          <w:color w:val="auto"/>
          <w:sz w:val="24"/>
          <w:highlight w:val="none"/>
          <w:u w:val="single"/>
          <w:lang w:val="en-US" w:eastAsia="zh-CN"/>
        </w:rPr>
        <w:t>所在地</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人民法院起诉。</w:t>
      </w:r>
    </w:p>
    <w:p w14:paraId="391684A3">
      <w:pPr>
        <w:spacing w:line="360" w:lineRule="auto"/>
        <w:ind w:firstLine="437"/>
        <w:outlineLvl w:val="2"/>
        <w:rPr>
          <w:rFonts w:asciiTheme="minorEastAsia" w:hAnsiTheme="minorEastAsia" w:eastAsiaTheme="minorEastAsia"/>
          <w:b/>
          <w:bCs/>
          <w:color w:val="auto"/>
          <w:sz w:val="24"/>
          <w:highlight w:val="none"/>
          <w:lang w:val="zh-CN"/>
        </w:rPr>
      </w:pPr>
      <w:bookmarkStart w:id="66" w:name="_Toc15322"/>
      <w:bookmarkStart w:id="67" w:name="_Toc11173"/>
      <w:bookmarkStart w:id="68" w:name="_Toc7245"/>
      <w:r>
        <w:rPr>
          <w:rFonts w:hint="eastAsia" w:asciiTheme="minorEastAsia" w:hAnsiTheme="minorEastAsia" w:eastAsiaTheme="minorEastAsia"/>
          <w:b/>
          <w:bCs/>
          <w:color w:val="auto"/>
          <w:sz w:val="24"/>
          <w:highlight w:val="none"/>
          <w:lang w:val="zh-CN"/>
        </w:rPr>
        <w:t>1.8</w:t>
      </w:r>
      <w:r>
        <w:rPr>
          <w:rFonts w:asciiTheme="minorEastAsia" w:hAnsiTheme="minorEastAsia" w:eastAsiaTheme="minorEastAsia"/>
          <w:b/>
          <w:bCs/>
          <w:color w:val="auto"/>
          <w:sz w:val="24"/>
          <w:highlight w:val="none"/>
          <w:lang w:val="zh-CN"/>
        </w:rPr>
        <w:t xml:space="preserve"> 合同生效</w:t>
      </w:r>
      <w:bookmarkEnd w:id="66"/>
      <w:bookmarkEnd w:id="67"/>
      <w:bookmarkEnd w:id="68"/>
    </w:p>
    <w:p w14:paraId="71C18EB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双方当事人盖章时</w:t>
      </w:r>
      <w:r>
        <w:rPr>
          <w:rFonts w:asciiTheme="minorEastAsia" w:hAnsiTheme="minorEastAsia" w:eastAsiaTheme="minorEastAsia"/>
          <w:color w:val="auto"/>
          <w:sz w:val="24"/>
          <w:highlight w:val="none"/>
        </w:rPr>
        <w:t>生效。</w:t>
      </w:r>
    </w:p>
    <w:p w14:paraId="0846F488">
      <w:pPr>
        <w:autoSpaceDE w:val="0"/>
        <w:autoSpaceDN w:val="0"/>
        <w:adjustRightInd w:val="0"/>
        <w:spacing w:line="560" w:lineRule="exact"/>
        <w:rPr>
          <w:rFonts w:asciiTheme="minorEastAsia" w:hAnsiTheme="minorEastAsia" w:eastAsiaTheme="minorEastAsia"/>
          <w:color w:val="auto"/>
          <w:sz w:val="24"/>
          <w:highlight w:val="none"/>
          <w:lang w:val="zh-CN"/>
        </w:rPr>
      </w:pPr>
    </w:p>
    <w:p w14:paraId="6665B733">
      <w:pPr>
        <w:autoSpaceDE w:val="0"/>
        <w:autoSpaceDN w:val="0"/>
        <w:adjustRightInd w:val="0"/>
        <w:spacing w:line="560" w:lineRule="exact"/>
        <w:rPr>
          <w:rFonts w:asciiTheme="minorEastAsia" w:hAnsiTheme="minorEastAsia" w:eastAsiaTheme="minorEastAsia"/>
          <w:color w:val="auto"/>
          <w:sz w:val="24"/>
          <w:highlight w:val="none"/>
          <w:lang w:val="zh-CN"/>
        </w:rPr>
      </w:pPr>
    </w:p>
    <w:p w14:paraId="6D3DDFF1">
      <w:pPr>
        <w:autoSpaceDE w:val="0"/>
        <w:autoSpaceDN w:val="0"/>
        <w:adjustRightInd w:val="0"/>
        <w:spacing w:line="560" w:lineRule="exact"/>
        <w:rPr>
          <w:rFonts w:cs="Times New Roman" w:asciiTheme="minorEastAsia" w:hAnsiTheme="minorEastAsia" w:eastAsiaTheme="minorEastAsia"/>
          <w:bCs/>
          <w:color w:val="auto"/>
          <w:sz w:val="24"/>
          <w:szCs w:val="24"/>
          <w:highlight w:val="none"/>
          <w:lang w:val="zh-CN"/>
        </w:rPr>
      </w:pPr>
      <w:bookmarkStart w:id="69" w:name="_Toc331685783"/>
      <w:r>
        <w:rPr>
          <w:rFonts w:hint="eastAsia" w:cs="Times New Roman" w:asciiTheme="minorEastAsia" w:hAnsiTheme="minorEastAsia" w:eastAsiaTheme="minorEastAsia"/>
          <w:bCs/>
          <w:color w:val="auto"/>
          <w:sz w:val="24"/>
          <w:szCs w:val="24"/>
          <w:highlight w:val="none"/>
          <w:lang w:val="zh-CN"/>
        </w:rPr>
        <w:t xml:space="preserve">甲 </w:t>
      </w:r>
      <w:r>
        <w:rPr>
          <w:rFonts w:cs="Times New Roman" w:asciiTheme="minorEastAsia" w:hAnsiTheme="minorEastAsia" w:eastAsiaTheme="minorEastAsia"/>
          <w:bCs/>
          <w:color w:val="auto"/>
          <w:sz w:val="24"/>
          <w:szCs w:val="24"/>
          <w:highlight w:val="none"/>
          <w:lang w:val="zh-CN"/>
        </w:rPr>
        <w:t xml:space="preserve">   </w:t>
      </w:r>
      <w:r>
        <w:rPr>
          <w:rFonts w:hint="eastAsia" w:cs="Times New Roman" w:asciiTheme="minorEastAsia" w:hAnsiTheme="minorEastAsia" w:eastAsiaTheme="minorEastAsia"/>
          <w:bCs/>
          <w:color w:val="auto"/>
          <w:sz w:val="24"/>
          <w:szCs w:val="24"/>
          <w:highlight w:val="none"/>
          <w:lang w:val="zh-CN"/>
        </w:rPr>
        <w:t>方：</w:t>
      </w:r>
      <w:r>
        <w:rPr>
          <w:rFonts w:hint="eastAsia" w:cs="Times New Roman" w:asciiTheme="minorEastAsia" w:hAnsiTheme="minorEastAsia" w:eastAsiaTheme="minorEastAsia"/>
          <w:bCs/>
          <w:color w:val="auto"/>
          <w:sz w:val="24"/>
          <w:szCs w:val="24"/>
          <w:highlight w:val="none"/>
          <w:u w:val="single"/>
          <w:lang w:val="zh-CN"/>
        </w:rPr>
        <w:t xml:space="preserve">    （单位盖章）     </w:t>
      </w:r>
      <w:r>
        <w:rPr>
          <w:rFonts w:hint="eastAsia" w:cs="Times New Roman" w:asciiTheme="minorEastAsia" w:hAnsiTheme="minorEastAsia" w:eastAsiaTheme="minorEastAsia"/>
          <w:bCs/>
          <w:color w:val="auto"/>
          <w:sz w:val="24"/>
          <w:szCs w:val="24"/>
          <w:highlight w:val="none"/>
          <w:lang w:val="zh-CN"/>
        </w:rPr>
        <w:t xml:space="preserve">          乙方：</w:t>
      </w:r>
      <w:r>
        <w:rPr>
          <w:rFonts w:hint="eastAsia" w:cs="Times New Roman" w:asciiTheme="minorEastAsia" w:hAnsiTheme="minorEastAsia" w:eastAsiaTheme="minorEastAsia"/>
          <w:bCs/>
          <w:color w:val="auto"/>
          <w:sz w:val="24"/>
          <w:szCs w:val="24"/>
          <w:highlight w:val="none"/>
          <w:u w:val="single"/>
          <w:lang w:val="zh-CN"/>
        </w:rPr>
        <w:t xml:space="preserve">    （单位盖章）     </w:t>
      </w:r>
    </w:p>
    <w:p w14:paraId="7167CFE7">
      <w:pPr>
        <w:autoSpaceDE w:val="0"/>
        <w:autoSpaceDN w:val="0"/>
        <w:adjustRightInd w:val="0"/>
        <w:spacing w:line="560" w:lineRule="exact"/>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 xml:space="preserve">法定代表人                             </w:t>
      </w:r>
      <w:r>
        <w:rPr>
          <w:rFonts w:cs="Times New Roman" w:asciiTheme="minorEastAsia" w:hAnsiTheme="minorEastAsia" w:eastAsiaTheme="minorEastAsia"/>
          <w:color w:val="auto"/>
          <w:sz w:val="24"/>
          <w:szCs w:val="24"/>
          <w:highlight w:val="none"/>
          <w:lang w:val="zh-CN"/>
        </w:rPr>
        <w:t xml:space="preserve">  </w:t>
      </w:r>
      <w:r>
        <w:rPr>
          <w:rFonts w:hint="eastAsia" w:cs="Times New Roman" w:asciiTheme="minorEastAsia" w:hAnsiTheme="minorEastAsia" w:eastAsiaTheme="minorEastAsia"/>
          <w:color w:val="auto"/>
          <w:sz w:val="24"/>
          <w:szCs w:val="24"/>
          <w:highlight w:val="none"/>
          <w:lang w:val="zh-CN"/>
        </w:rPr>
        <w:t>法定代表人</w:t>
      </w:r>
    </w:p>
    <w:p w14:paraId="25D5523A">
      <w:pPr>
        <w:autoSpaceDE w:val="0"/>
        <w:autoSpaceDN w:val="0"/>
        <w:adjustRightInd w:val="0"/>
        <w:spacing w:line="560" w:lineRule="exact"/>
        <w:rPr>
          <w:rFonts w:cs="Times New Roman" w:asciiTheme="minorEastAsia" w:hAnsiTheme="minorEastAsia" w:eastAsiaTheme="minorEastAsia"/>
          <w:color w:val="auto"/>
          <w:sz w:val="24"/>
          <w:szCs w:val="24"/>
          <w:highlight w:val="none"/>
          <w:lang w:val="zh-CN"/>
        </w:rPr>
      </w:pPr>
      <w:r>
        <w:rPr>
          <w:rFonts w:hint="eastAsia" w:cs="Times New Roman" w:asciiTheme="minorEastAsia" w:hAnsiTheme="minorEastAsia" w:eastAsiaTheme="minorEastAsia"/>
          <w:color w:val="auto"/>
          <w:sz w:val="24"/>
          <w:szCs w:val="24"/>
          <w:highlight w:val="none"/>
          <w:lang w:val="zh-CN"/>
        </w:rPr>
        <w:t>或授权代表（签字）：                      或授权代表（签字）：</w:t>
      </w:r>
    </w:p>
    <w:p w14:paraId="2AD222D7">
      <w:pPr>
        <w:widowControl/>
        <w:spacing w:line="560" w:lineRule="exact"/>
        <w:jc w:val="left"/>
        <w:rPr>
          <w:rFonts w:hint="eastAsia" w:cs="Times New Roman" w:asciiTheme="minorEastAsia" w:hAnsiTheme="minorEastAsia" w:eastAsiaTheme="minorEastAsia"/>
          <w:bCs/>
          <w:color w:val="auto"/>
          <w:sz w:val="24"/>
          <w:szCs w:val="24"/>
          <w:highlight w:val="none"/>
        </w:rPr>
      </w:pPr>
      <w:r>
        <w:rPr>
          <w:rFonts w:hint="eastAsia" w:cs="Times New Roman" w:asciiTheme="minorEastAsia" w:hAnsiTheme="minorEastAsia" w:eastAsiaTheme="minorEastAsia"/>
          <w:bCs/>
          <w:color w:val="auto"/>
          <w:sz w:val="24"/>
          <w:szCs w:val="24"/>
          <w:highlight w:val="none"/>
        </w:rPr>
        <w:t>时间：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月</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日               时间：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年</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月</w:t>
      </w:r>
      <w:r>
        <w:rPr>
          <w:rFonts w:hint="eastAsia" w:cs="Times New Roman" w:asciiTheme="minorEastAsia" w:hAnsiTheme="minorEastAsia" w:eastAsiaTheme="minorEastAsia"/>
          <w:bCs/>
          <w:color w:val="auto"/>
          <w:sz w:val="24"/>
          <w:szCs w:val="24"/>
          <w:highlight w:val="none"/>
          <w:u w:val="single"/>
        </w:rPr>
        <w:t xml:space="preserve"> </w:t>
      </w:r>
      <w:r>
        <w:rPr>
          <w:rFonts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rPr>
        <w:t>日</w:t>
      </w:r>
    </w:p>
    <w:p w14:paraId="4672F82B">
      <w:pPr>
        <w:widowControl/>
        <w:spacing w:line="560" w:lineRule="exact"/>
        <w:jc w:val="left"/>
        <w:rPr>
          <w:rFonts w:hint="eastAsia" w:cs="Times New Roman" w:asciiTheme="minorEastAsia" w:hAnsiTheme="minorEastAsia" w:eastAsiaTheme="minorEastAsia"/>
          <w:bCs/>
          <w:color w:val="auto"/>
          <w:sz w:val="24"/>
          <w:szCs w:val="24"/>
          <w:highlight w:val="none"/>
        </w:rPr>
      </w:pPr>
      <w:r>
        <w:rPr>
          <w:rFonts w:hint="eastAsia" w:cs="Times New Roman" w:asciiTheme="minorEastAsia" w:hAnsiTheme="minorEastAsia" w:eastAsiaTheme="minorEastAsia"/>
          <w:bCs/>
          <w:color w:val="auto"/>
          <w:sz w:val="24"/>
          <w:szCs w:val="24"/>
          <w:highlight w:val="none"/>
        </w:rPr>
        <w:t xml:space="preserve"> </w:t>
      </w:r>
      <w:r>
        <w:rPr>
          <w:rFonts w:hint="eastAsia" w:cs="Times New Roman" w:asciiTheme="minorEastAsia" w:hAnsiTheme="minorEastAsia" w:eastAsiaTheme="minorEastAsia"/>
          <w:bCs/>
          <w:color w:val="auto"/>
          <w:sz w:val="24"/>
          <w:szCs w:val="24"/>
          <w:highlight w:val="none"/>
          <w:lang w:val="en-US" w:eastAsia="zh-CN"/>
        </w:rPr>
        <w:t xml:space="preserve">                                       </w:t>
      </w:r>
      <w:r>
        <w:rPr>
          <w:rFonts w:hint="eastAsia" w:cs="Times New Roman" w:asciiTheme="minorEastAsia" w:hAnsiTheme="minorEastAsia" w:eastAsiaTheme="minorEastAsia"/>
          <w:bCs/>
          <w:color w:val="auto"/>
          <w:sz w:val="24"/>
          <w:szCs w:val="24"/>
          <w:highlight w:val="none"/>
        </w:rPr>
        <w:t>乙方账户信息</w:t>
      </w:r>
    </w:p>
    <w:p w14:paraId="16653EE0">
      <w:pPr>
        <w:widowControl/>
        <w:spacing w:line="560" w:lineRule="exact"/>
        <w:jc w:val="left"/>
        <w:rPr>
          <w:rFonts w:hint="eastAsia" w:cs="Times New Roman" w:asciiTheme="minorEastAsia" w:hAnsiTheme="minorEastAsia" w:eastAsiaTheme="minorEastAsia"/>
          <w:bCs/>
          <w:color w:val="auto"/>
          <w:sz w:val="24"/>
          <w:szCs w:val="24"/>
          <w:highlight w:val="none"/>
          <w:u w:val="single"/>
        </w:rPr>
      </w:pPr>
      <w:r>
        <w:rPr>
          <w:rFonts w:hint="eastAsia" w:cs="Times New Roman" w:asciiTheme="minorEastAsia" w:hAnsiTheme="minorEastAsia" w:eastAsiaTheme="minorEastAsia"/>
          <w:bCs/>
          <w:color w:val="auto"/>
          <w:sz w:val="24"/>
          <w:szCs w:val="24"/>
          <w:highlight w:val="none"/>
        </w:rPr>
        <w:t xml:space="preserve">                           </w:t>
      </w:r>
      <w:r>
        <w:rPr>
          <w:rFonts w:hint="eastAsia" w:cs="Times New Roman" w:asciiTheme="minorEastAsia" w:hAnsiTheme="minorEastAsia" w:eastAsiaTheme="minorEastAsia"/>
          <w:bCs/>
          <w:color w:val="auto"/>
          <w:sz w:val="24"/>
          <w:szCs w:val="24"/>
          <w:highlight w:val="none"/>
          <w:lang w:val="en-US" w:eastAsia="zh-CN"/>
        </w:rPr>
        <w:t xml:space="preserve">             </w:t>
      </w:r>
      <w:r>
        <w:rPr>
          <w:rFonts w:hint="eastAsia" w:cs="Times New Roman" w:asciiTheme="minorEastAsia" w:hAnsiTheme="minorEastAsia" w:eastAsiaTheme="minorEastAsia"/>
          <w:bCs/>
          <w:color w:val="auto"/>
          <w:sz w:val="24"/>
          <w:szCs w:val="24"/>
          <w:highlight w:val="none"/>
        </w:rPr>
        <w:t>户名：</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lang w:val="en-US" w:eastAsia="zh-CN"/>
        </w:rPr>
        <w:t xml:space="preserve">        </w:t>
      </w:r>
      <w:r>
        <w:rPr>
          <w:rFonts w:hint="eastAsia" w:cs="Times New Roman" w:asciiTheme="minorEastAsia" w:hAnsiTheme="minorEastAsia" w:eastAsiaTheme="minorEastAsia"/>
          <w:bCs/>
          <w:color w:val="auto"/>
          <w:sz w:val="24"/>
          <w:szCs w:val="24"/>
          <w:highlight w:val="none"/>
          <w:u w:val="single"/>
        </w:rPr>
        <w:t xml:space="preserve">   </w:t>
      </w:r>
    </w:p>
    <w:p w14:paraId="4A00207F">
      <w:pPr>
        <w:widowControl/>
        <w:spacing w:line="560" w:lineRule="exact"/>
        <w:jc w:val="left"/>
        <w:rPr>
          <w:rFonts w:hint="eastAsia" w:cs="Times New Roman" w:asciiTheme="minorEastAsia" w:hAnsiTheme="minorEastAsia" w:eastAsiaTheme="minorEastAsia"/>
          <w:bCs/>
          <w:color w:val="auto"/>
          <w:sz w:val="24"/>
          <w:szCs w:val="24"/>
          <w:highlight w:val="none"/>
          <w:u w:val="single"/>
        </w:rPr>
      </w:pPr>
      <w:r>
        <w:rPr>
          <w:rFonts w:hint="eastAsia" w:cs="Times New Roman" w:asciiTheme="minorEastAsia" w:hAnsiTheme="minorEastAsia" w:eastAsiaTheme="minorEastAsia"/>
          <w:bCs/>
          <w:color w:val="auto"/>
          <w:sz w:val="24"/>
          <w:szCs w:val="24"/>
          <w:highlight w:val="none"/>
        </w:rPr>
        <w:t xml:space="preserve">                                        账号：</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lang w:val="en-US" w:eastAsia="zh-CN"/>
        </w:rPr>
        <w:t xml:space="preserve">        </w:t>
      </w:r>
      <w:r>
        <w:rPr>
          <w:rFonts w:hint="eastAsia" w:cs="Times New Roman" w:asciiTheme="minorEastAsia" w:hAnsiTheme="minorEastAsia" w:eastAsiaTheme="minorEastAsia"/>
          <w:bCs/>
          <w:color w:val="auto"/>
          <w:sz w:val="24"/>
          <w:szCs w:val="24"/>
          <w:highlight w:val="none"/>
          <w:u w:val="single"/>
        </w:rPr>
        <w:t xml:space="preserve">   </w:t>
      </w:r>
    </w:p>
    <w:p w14:paraId="4DE002B5">
      <w:pPr>
        <w:widowControl/>
        <w:spacing w:line="560" w:lineRule="exact"/>
        <w:jc w:val="left"/>
        <w:rPr>
          <w:rFonts w:hint="eastAsia" w:cs="Times New Roman" w:asciiTheme="minorEastAsia" w:hAnsiTheme="minorEastAsia" w:eastAsiaTheme="minorEastAsia"/>
          <w:bCs/>
          <w:color w:val="auto"/>
          <w:sz w:val="24"/>
          <w:szCs w:val="24"/>
          <w:highlight w:val="none"/>
          <w:u w:val="single"/>
        </w:rPr>
      </w:pPr>
      <w:r>
        <w:rPr>
          <w:rFonts w:hint="eastAsia" w:cs="Times New Roman" w:asciiTheme="minorEastAsia" w:hAnsiTheme="minorEastAsia" w:eastAsiaTheme="minorEastAsia"/>
          <w:bCs/>
          <w:color w:val="auto"/>
          <w:sz w:val="24"/>
          <w:szCs w:val="24"/>
          <w:highlight w:val="none"/>
        </w:rPr>
        <w:t xml:space="preserve">                          </w:t>
      </w:r>
      <w:r>
        <w:rPr>
          <w:rFonts w:hint="eastAsia" w:cs="Times New Roman" w:asciiTheme="minorEastAsia" w:hAnsiTheme="minorEastAsia" w:eastAsiaTheme="minorEastAsia"/>
          <w:bCs/>
          <w:color w:val="auto"/>
          <w:sz w:val="24"/>
          <w:szCs w:val="24"/>
          <w:highlight w:val="none"/>
          <w:lang w:val="en-US" w:eastAsia="zh-CN"/>
        </w:rPr>
        <w:t xml:space="preserve">             </w:t>
      </w:r>
      <w:r>
        <w:rPr>
          <w:rFonts w:hint="eastAsia" w:cs="Times New Roman" w:asciiTheme="minorEastAsia" w:hAnsiTheme="minorEastAsia" w:eastAsiaTheme="minorEastAsia"/>
          <w:bCs/>
          <w:color w:val="auto"/>
          <w:sz w:val="24"/>
          <w:szCs w:val="24"/>
          <w:highlight w:val="none"/>
        </w:rPr>
        <w:t xml:space="preserve"> 开户银行：</w:t>
      </w:r>
      <w:r>
        <w:rPr>
          <w:rFonts w:hint="eastAsia" w:cs="Times New Roman" w:asciiTheme="minorEastAsia" w:hAnsiTheme="minorEastAsia" w:eastAsiaTheme="minorEastAsia"/>
          <w:bCs/>
          <w:color w:val="auto"/>
          <w:sz w:val="24"/>
          <w:szCs w:val="24"/>
          <w:highlight w:val="none"/>
          <w:u w:val="single"/>
        </w:rPr>
        <w:t xml:space="preserve">   </w:t>
      </w:r>
      <w:r>
        <w:rPr>
          <w:rFonts w:hint="eastAsia" w:cs="Times New Roman" w:asciiTheme="minorEastAsia" w:hAnsiTheme="minorEastAsia" w:eastAsiaTheme="minorEastAsia"/>
          <w:bCs/>
          <w:color w:val="auto"/>
          <w:sz w:val="24"/>
          <w:szCs w:val="24"/>
          <w:highlight w:val="none"/>
          <w:u w:val="single"/>
          <w:lang w:val="en-US" w:eastAsia="zh-CN"/>
        </w:rPr>
        <w:t xml:space="preserve">        </w:t>
      </w:r>
      <w:r>
        <w:rPr>
          <w:rFonts w:hint="eastAsia" w:cs="Times New Roman" w:asciiTheme="minorEastAsia" w:hAnsiTheme="minorEastAsia" w:eastAsiaTheme="minorEastAsia"/>
          <w:bCs/>
          <w:color w:val="auto"/>
          <w:sz w:val="24"/>
          <w:szCs w:val="24"/>
          <w:highlight w:val="none"/>
          <w:u w:val="single"/>
        </w:rPr>
        <w:t xml:space="preserve">     </w:t>
      </w:r>
    </w:p>
    <w:p w14:paraId="4E636B75">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p w14:paraId="7EE2E149">
      <w:pPr>
        <w:spacing w:line="360" w:lineRule="auto"/>
        <w:jc w:val="center"/>
        <w:outlineLvl w:val="1"/>
        <w:rPr>
          <w:rFonts w:asciiTheme="minorEastAsia" w:hAnsiTheme="minorEastAsia" w:eastAsiaTheme="minorEastAsia"/>
          <w:b/>
          <w:color w:val="auto"/>
          <w:sz w:val="24"/>
          <w:highlight w:val="none"/>
        </w:rPr>
      </w:pPr>
      <w:bookmarkStart w:id="70" w:name="_Toc20177"/>
      <w:r>
        <w:rPr>
          <w:rFonts w:hint="eastAsia" w:asciiTheme="minorEastAsia" w:hAnsiTheme="minorEastAsia" w:eastAsiaTheme="minorEastAsia"/>
          <w:b/>
          <w:color w:val="auto"/>
          <w:sz w:val="24"/>
          <w:highlight w:val="none"/>
        </w:rPr>
        <w:t>第二部分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合同一般条款</w:t>
      </w:r>
      <w:bookmarkEnd w:id="69"/>
      <w:bookmarkEnd w:id="70"/>
    </w:p>
    <w:p w14:paraId="73140396">
      <w:pPr>
        <w:spacing w:line="360" w:lineRule="auto"/>
        <w:ind w:firstLine="437"/>
        <w:outlineLvl w:val="2"/>
        <w:rPr>
          <w:rFonts w:asciiTheme="minorEastAsia" w:hAnsiTheme="minorEastAsia" w:eastAsiaTheme="minorEastAsia"/>
          <w:b/>
          <w:bCs/>
          <w:color w:val="auto"/>
          <w:sz w:val="24"/>
          <w:highlight w:val="none"/>
          <w:lang w:val="zh-CN"/>
        </w:rPr>
      </w:pPr>
      <w:bookmarkStart w:id="71" w:name="_Toc19614"/>
      <w:bookmarkStart w:id="72" w:name="_Ref467378463"/>
      <w:bookmarkStart w:id="73" w:name="_Ref467379225"/>
      <w:bookmarkStart w:id="74" w:name="_Ref467379109"/>
      <w:bookmarkStart w:id="75" w:name="_Ref467378404"/>
      <w:bookmarkStart w:id="76" w:name="_Ref467379195"/>
      <w:bookmarkStart w:id="77" w:name="_Ref467379214"/>
      <w:bookmarkStart w:id="78" w:name="_Toc259093669"/>
      <w:bookmarkStart w:id="79" w:name="_Toc28763"/>
      <w:bookmarkStart w:id="80" w:name="_Ref467379205"/>
      <w:bookmarkStart w:id="81" w:name="_Ref467379101"/>
      <w:bookmarkStart w:id="82" w:name="_Ref467379094"/>
      <w:bookmarkStart w:id="83" w:name="_Ref467378499"/>
      <w:bookmarkStart w:id="84" w:name="_Toc16917"/>
      <w:bookmarkStart w:id="85" w:name="_Toc279701240"/>
      <w:bookmarkStart w:id="86" w:name="_Toc487900349"/>
      <w:r>
        <w:rPr>
          <w:rFonts w:hint="eastAsia" w:asciiTheme="minorEastAsia" w:hAnsiTheme="minorEastAsia" w:eastAsiaTheme="minorEastAsia"/>
          <w:b/>
          <w:bCs/>
          <w:color w:val="auto"/>
          <w:sz w:val="24"/>
          <w:highlight w:val="none"/>
          <w:lang w:val="zh-CN"/>
        </w:rPr>
        <w:t>2.1</w:t>
      </w:r>
      <w:r>
        <w:rPr>
          <w:rFonts w:asciiTheme="minorEastAsia" w:hAnsiTheme="minorEastAsia" w:eastAsiaTheme="minorEastAsia"/>
          <w:b/>
          <w:bCs/>
          <w:color w:val="auto"/>
          <w:sz w:val="24"/>
          <w:highlight w:val="none"/>
          <w:lang w:val="zh-CN"/>
        </w:rPr>
        <w:t xml:space="preserve"> 定义</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2EA4BCC">
      <w:pPr>
        <w:spacing w:line="360" w:lineRule="auto"/>
        <w:ind w:firstLine="435"/>
        <w:rPr>
          <w:rFonts w:hint="eastAsia"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w:t>
      </w:r>
      <w:bookmarkStart w:id="87" w:name="_Ref467379436"/>
      <w:r>
        <w:rPr>
          <w:rFonts w:hint="eastAsia" w:asciiTheme="minorEastAsia" w:hAnsiTheme="minorEastAsia" w:eastAsiaTheme="minorEastAsia"/>
          <w:color w:val="auto"/>
          <w:sz w:val="24"/>
          <w:highlight w:val="none"/>
        </w:rPr>
        <w:t>合同中的下列词语应按以下内容进行解释：</w:t>
      </w:r>
    </w:p>
    <w:p w14:paraId="2FE422E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2.1.1“合同”系指采购人和中标人签订的载明双方当事人所达成的协议，并包括所有的附件、附录和构成合同的其他文件。</w:t>
      </w:r>
    </w:p>
    <w:p w14:paraId="791809A9">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2.1.2“合同价”系指根据合同约定，中标人在完全履行合同义务后，采购人应支付给中标人的价格。</w:t>
      </w:r>
    </w:p>
    <w:p w14:paraId="1B87847B">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2.1.3“服务”系指中标人根据合同约定应向采购人履行的除货物和工程以外的其他政府采购对象，包括采购人自身需要的服务和向社会公众提供的公共服务。</w:t>
      </w:r>
    </w:p>
    <w:p w14:paraId="524837A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2.1.4“甲方”系指与中标人签署合同的采购人；采购人委托采购代理机构代表其与乙方签订合同的，采购人的授权委托书作为合同附件。</w:t>
      </w:r>
    </w:p>
    <w:p w14:paraId="24E50E0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2.1.5“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4EA6236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2.1.6“现场”系指合同约定提供服务的地点</w:t>
      </w:r>
      <w:r>
        <w:rPr>
          <w:rFonts w:asciiTheme="minorEastAsia" w:hAnsiTheme="minorEastAsia" w:eastAsiaTheme="minorEastAsia"/>
          <w:color w:val="auto"/>
          <w:sz w:val="24"/>
          <w:highlight w:val="none"/>
        </w:rPr>
        <w:t>。</w:t>
      </w:r>
      <w:bookmarkEnd w:id="87"/>
    </w:p>
    <w:p w14:paraId="13C99305">
      <w:pPr>
        <w:spacing w:line="360" w:lineRule="auto"/>
        <w:ind w:firstLine="437"/>
        <w:outlineLvl w:val="2"/>
        <w:rPr>
          <w:rFonts w:asciiTheme="minorEastAsia" w:hAnsiTheme="minorEastAsia" w:eastAsiaTheme="minorEastAsia"/>
          <w:b/>
          <w:bCs/>
          <w:color w:val="auto"/>
          <w:sz w:val="24"/>
          <w:highlight w:val="none"/>
          <w:lang w:val="zh-CN"/>
        </w:rPr>
      </w:pPr>
      <w:bookmarkStart w:id="88" w:name="_Toc279701241"/>
      <w:bookmarkStart w:id="89" w:name="_Toc487900350"/>
      <w:bookmarkStart w:id="90" w:name="_Toc32504"/>
      <w:bookmarkStart w:id="91" w:name="_Toc13336"/>
      <w:bookmarkStart w:id="92" w:name="_Toc259093670"/>
      <w:bookmarkStart w:id="93" w:name="_Toc27635"/>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2 技术规范</w:t>
      </w:r>
      <w:bookmarkEnd w:id="88"/>
      <w:bookmarkEnd w:id="89"/>
      <w:bookmarkEnd w:id="90"/>
      <w:bookmarkEnd w:id="91"/>
      <w:bookmarkEnd w:id="92"/>
      <w:bookmarkEnd w:id="93"/>
    </w:p>
    <w:p w14:paraId="2771123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货</w:t>
      </w:r>
      <w:r>
        <w:rPr>
          <w:rFonts w:hint="eastAsia" w:asciiTheme="minorEastAsia" w:hAnsiTheme="minorEastAsia" w:eastAsiaTheme="minorEastAsia"/>
          <w:color w:val="auto"/>
          <w:sz w:val="24"/>
          <w:highlight w:val="none"/>
        </w:rPr>
        <w:t>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r>
        <w:rPr>
          <w:rFonts w:asciiTheme="minorEastAsia" w:hAnsiTheme="minorEastAsia" w:eastAsiaTheme="minorEastAsia"/>
          <w:color w:val="auto"/>
          <w:sz w:val="24"/>
          <w:highlight w:val="none"/>
        </w:rPr>
        <w:t>。</w:t>
      </w:r>
    </w:p>
    <w:p w14:paraId="28C48795">
      <w:pPr>
        <w:spacing w:line="360" w:lineRule="auto"/>
        <w:ind w:firstLine="437"/>
        <w:outlineLvl w:val="2"/>
        <w:rPr>
          <w:rFonts w:asciiTheme="minorEastAsia" w:hAnsiTheme="minorEastAsia" w:eastAsiaTheme="minorEastAsia"/>
          <w:b/>
          <w:bCs/>
          <w:color w:val="auto"/>
          <w:sz w:val="24"/>
          <w:highlight w:val="none"/>
          <w:lang w:val="zh-CN"/>
        </w:rPr>
      </w:pPr>
      <w:bookmarkStart w:id="94" w:name="_Toc259093671"/>
      <w:bookmarkStart w:id="95" w:name="_Toc487900351"/>
      <w:bookmarkStart w:id="96" w:name="_Toc27853"/>
      <w:bookmarkStart w:id="97" w:name="_Toc31634"/>
      <w:bookmarkStart w:id="98" w:name="_Toc279701242"/>
      <w:bookmarkStart w:id="99" w:name="_Toc9829"/>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3 知识产权</w:t>
      </w:r>
      <w:bookmarkEnd w:id="94"/>
      <w:bookmarkEnd w:id="95"/>
      <w:bookmarkEnd w:id="96"/>
      <w:bookmarkEnd w:id="97"/>
      <w:bookmarkEnd w:id="98"/>
      <w:bookmarkEnd w:id="99"/>
    </w:p>
    <w:p w14:paraId="45FBB5F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2.3.1乙方应保证其提供的服务不受任何第三方提出的侵犯其著作权、商标权、专利权等知识产权方面的起诉；如果任何第三方提出侵权指控，那么乙方须与该第三方交涉并承担由此发生的一切责任、费用和赔偿；</w:t>
      </w:r>
    </w:p>
    <w:p w14:paraId="01A0078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2.3.2具有知识产权的计算机软件等货物的知识产权归属，详</w:t>
      </w:r>
      <w:r>
        <w:rPr>
          <w:rFonts w:asciiTheme="minorEastAsia" w:hAnsiTheme="minorEastAsia" w:eastAsiaTheme="minorEastAsia"/>
          <w:color w:val="auto"/>
          <w:sz w:val="24"/>
          <w:highlight w:val="none"/>
        </w:rPr>
        <w:t>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3FC1CEB0">
      <w:pPr>
        <w:spacing w:line="360" w:lineRule="auto"/>
        <w:ind w:firstLine="437"/>
        <w:outlineLvl w:val="2"/>
        <w:rPr>
          <w:rFonts w:asciiTheme="minorEastAsia" w:hAnsiTheme="minorEastAsia" w:eastAsiaTheme="minorEastAsia"/>
          <w:b/>
          <w:color w:val="auto"/>
          <w:sz w:val="24"/>
          <w:highlight w:val="none"/>
        </w:rPr>
      </w:pPr>
      <w:bookmarkStart w:id="100" w:name="_Toc4194"/>
      <w:bookmarkStart w:id="101" w:name="_Toc11932"/>
      <w:bookmarkStart w:id="102" w:name="_Toc29149"/>
      <w:r>
        <w:rPr>
          <w:rFonts w:hint="eastAsia" w:asciiTheme="minorEastAsia" w:hAnsiTheme="minorEastAsia" w:eastAsiaTheme="minorEastAsia"/>
          <w:b/>
          <w:bCs/>
          <w:color w:val="auto"/>
          <w:sz w:val="24"/>
          <w:highlight w:val="none"/>
          <w:lang w:val="zh-CN"/>
        </w:rPr>
        <w:t>2.4</w:t>
      </w:r>
      <w:r>
        <w:rPr>
          <w:rFonts w:asciiTheme="minorEastAsia" w:hAnsiTheme="minorEastAsia" w:eastAsiaTheme="minorEastAsia"/>
          <w:b/>
          <w:bCs/>
          <w:color w:val="auto"/>
          <w:sz w:val="24"/>
          <w:highlight w:val="none"/>
          <w:lang w:val="zh-CN"/>
        </w:rPr>
        <w:t xml:space="preserve"> </w:t>
      </w:r>
      <w:bookmarkEnd w:id="100"/>
      <w:bookmarkEnd w:id="101"/>
      <w:bookmarkEnd w:id="102"/>
      <w:r>
        <w:rPr>
          <w:rFonts w:hint="eastAsia" w:asciiTheme="minorEastAsia" w:hAnsiTheme="minorEastAsia" w:eastAsiaTheme="minorEastAsia"/>
          <w:b/>
          <w:bCs/>
          <w:color w:val="auto"/>
          <w:sz w:val="24"/>
          <w:highlight w:val="none"/>
          <w:lang w:val="zh-CN"/>
        </w:rPr>
        <w:t>履约检查和问题反馈</w:t>
      </w:r>
    </w:p>
    <w:p w14:paraId="7886765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2.4.1甲方有权在其认为必要时，对乙方是否能够按照合同约定提供服务进行履约检查，以确保乙方所提供的服务能够依约满足甲方项目需求，但不得因履约检查妨碍乙方的正常工作，乙方应予积极配合；</w:t>
      </w:r>
    </w:p>
    <w:p w14:paraId="3B88D6B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2.4.2合同履行期间，甲方有权将履行过程中出现的问题反馈给乙方，双方当事人应以书面形式约定需要完善和改进的内容。</w:t>
      </w:r>
    </w:p>
    <w:p w14:paraId="037502B8">
      <w:pPr>
        <w:spacing w:line="360" w:lineRule="auto"/>
        <w:ind w:firstLine="437"/>
        <w:outlineLvl w:val="2"/>
        <w:rPr>
          <w:rFonts w:asciiTheme="minorEastAsia" w:hAnsiTheme="minorEastAsia" w:eastAsiaTheme="minorEastAsia"/>
          <w:b/>
          <w:bCs/>
          <w:color w:val="auto"/>
          <w:sz w:val="24"/>
          <w:highlight w:val="none"/>
          <w:lang w:val="zh-CN"/>
        </w:rPr>
      </w:pPr>
      <w:bookmarkStart w:id="103" w:name="_Ref467379542"/>
      <w:bookmarkStart w:id="104" w:name="_Toc487900354"/>
      <w:bookmarkStart w:id="105" w:name="_Ref467378541"/>
      <w:bookmarkStart w:id="106" w:name="_Ref467379527"/>
      <w:bookmarkStart w:id="107" w:name="_Ref467379536"/>
      <w:bookmarkStart w:id="108" w:name="_Toc259093674"/>
      <w:bookmarkStart w:id="109" w:name="_Ref467378591"/>
      <w:bookmarkStart w:id="110" w:name="_Toc279701245"/>
      <w:bookmarkStart w:id="111" w:name="_Toc26182"/>
      <w:bookmarkStart w:id="112" w:name="_Toc30272"/>
      <w:bookmarkStart w:id="113" w:name="_Toc19074"/>
      <w:r>
        <w:rPr>
          <w:rFonts w:hint="eastAsia" w:asciiTheme="minorEastAsia" w:hAnsiTheme="minorEastAsia" w:eastAsiaTheme="minorEastAsia"/>
          <w:b/>
          <w:bCs/>
          <w:color w:val="auto"/>
          <w:sz w:val="24"/>
          <w:highlight w:val="none"/>
          <w:lang w:val="zh-CN"/>
        </w:rPr>
        <w:t>2.</w:t>
      </w:r>
      <w:bookmarkEnd w:id="103"/>
      <w:bookmarkEnd w:id="104"/>
      <w:bookmarkEnd w:id="105"/>
      <w:bookmarkEnd w:id="106"/>
      <w:bookmarkEnd w:id="107"/>
      <w:bookmarkEnd w:id="108"/>
      <w:bookmarkEnd w:id="109"/>
      <w:bookmarkEnd w:id="110"/>
      <w:r>
        <w:rPr>
          <w:rFonts w:hint="eastAsia" w:asciiTheme="minorEastAsia" w:hAnsiTheme="minorEastAsia" w:eastAsiaTheme="minorEastAsia"/>
          <w:b/>
          <w:bCs/>
          <w:color w:val="auto"/>
          <w:sz w:val="24"/>
          <w:highlight w:val="none"/>
          <w:lang w:val="zh-CN"/>
        </w:rPr>
        <w:t>5</w:t>
      </w:r>
      <w:r>
        <w:rPr>
          <w:rFonts w:asciiTheme="minorEastAsia" w:hAnsiTheme="minorEastAsia" w:eastAsiaTheme="minorEastAsia"/>
          <w:b/>
          <w:bCs/>
          <w:color w:val="auto"/>
          <w:sz w:val="24"/>
          <w:highlight w:val="none"/>
          <w:lang w:val="zh-CN"/>
        </w:rPr>
        <w:t xml:space="preserve"> </w:t>
      </w:r>
      <w:bookmarkEnd w:id="111"/>
      <w:bookmarkEnd w:id="112"/>
      <w:bookmarkEnd w:id="113"/>
      <w:bookmarkStart w:id="114" w:name="_Toc487900357"/>
      <w:bookmarkStart w:id="115" w:name="_Ref467379807"/>
      <w:bookmarkStart w:id="116" w:name="_Toc279701247"/>
      <w:bookmarkStart w:id="117" w:name="_Toc19219"/>
      <w:bookmarkStart w:id="118" w:name="_Toc28451"/>
      <w:bookmarkStart w:id="119" w:name="_Toc259093676"/>
      <w:bookmarkStart w:id="120" w:name="_Toc7836"/>
      <w:bookmarkStart w:id="121" w:name="_Ref467379793"/>
      <w:r>
        <w:rPr>
          <w:rFonts w:asciiTheme="minorEastAsia" w:hAnsiTheme="minorEastAsia" w:eastAsiaTheme="minorEastAsia"/>
          <w:b/>
          <w:bCs/>
          <w:color w:val="auto"/>
          <w:sz w:val="24"/>
          <w:highlight w:val="none"/>
          <w:lang w:val="zh-CN"/>
        </w:rPr>
        <w:t>结算方式和付款条件</w:t>
      </w:r>
      <w:bookmarkEnd w:id="114"/>
      <w:bookmarkEnd w:id="115"/>
      <w:bookmarkEnd w:id="116"/>
      <w:bookmarkEnd w:id="117"/>
      <w:bookmarkEnd w:id="118"/>
      <w:bookmarkEnd w:id="119"/>
      <w:bookmarkEnd w:id="120"/>
      <w:bookmarkEnd w:id="121"/>
    </w:p>
    <w:p w14:paraId="500C9439">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645197C8">
      <w:pPr>
        <w:spacing w:line="360" w:lineRule="auto"/>
        <w:ind w:firstLine="437"/>
        <w:outlineLvl w:val="2"/>
        <w:rPr>
          <w:rFonts w:asciiTheme="minorEastAsia" w:hAnsiTheme="minorEastAsia" w:eastAsiaTheme="minorEastAsia"/>
          <w:b/>
          <w:bCs/>
          <w:color w:val="auto"/>
          <w:sz w:val="24"/>
          <w:highlight w:val="none"/>
          <w:lang w:val="zh-CN"/>
        </w:rPr>
      </w:pPr>
      <w:bookmarkStart w:id="122" w:name="_Toc259093677"/>
      <w:bookmarkStart w:id="123" w:name="_Ref467379863"/>
      <w:bookmarkStart w:id="124" w:name="_Ref467379923"/>
      <w:bookmarkStart w:id="125" w:name="_Toc279701248"/>
      <w:bookmarkStart w:id="126" w:name="_Toc487900358"/>
      <w:bookmarkStart w:id="127" w:name="_Ref467379852"/>
      <w:bookmarkStart w:id="128" w:name="_Toc3225"/>
      <w:bookmarkStart w:id="129" w:name="_Toc16110"/>
      <w:bookmarkStart w:id="130" w:name="_Toc774"/>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6</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技术资料</w:t>
      </w:r>
      <w:bookmarkEnd w:id="122"/>
      <w:bookmarkEnd w:id="123"/>
      <w:bookmarkEnd w:id="124"/>
      <w:bookmarkEnd w:id="125"/>
      <w:bookmarkEnd w:id="126"/>
      <w:bookmarkEnd w:id="127"/>
      <w:r>
        <w:rPr>
          <w:rFonts w:asciiTheme="minorEastAsia" w:hAnsiTheme="minorEastAsia" w:eastAsiaTheme="minorEastAsia"/>
          <w:b/>
          <w:bCs/>
          <w:color w:val="auto"/>
          <w:sz w:val="24"/>
          <w:highlight w:val="none"/>
          <w:lang w:val="zh-CN"/>
        </w:rPr>
        <w:t>和保密义务</w:t>
      </w:r>
      <w:bookmarkEnd w:id="128"/>
      <w:bookmarkEnd w:id="129"/>
      <w:bookmarkEnd w:id="130"/>
    </w:p>
    <w:p w14:paraId="1BB1A511">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2.6.1乙方有权依据合同约定和项目需要，向甲方了解有关情况，调阅有关资料等，甲方应予积极配合；</w:t>
      </w:r>
    </w:p>
    <w:p w14:paraId="1828534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2.6.2乙方有义务妥善保管和保护由甲方提供的前款信息和资料等；</w:t>
      </w:r>
    </w:p>
    <w:p w14:paraId="2F1B148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0B95ACF">
      <w:pPr>
        <w:spacing w:line="360" w:lineRule="auto"/>
        <w:ind w:firstLine="437"/>
        <w:outlineLvl w:val="2"/>
        <w:rPr>
          <w:rFonts w:asciiTheme="minorEastAsia" w:hAnsiTheme="minorEastAsia" w:eastAsiaTheme="minorEastAsia"/>
          <w:b/>
          <w:bCs/>
          <w:color w:val="auto"/>
          <w:sz w:val="24"/>
          <w:highlight w:val="none"/>
          <w:lang w:val="zh-CN"/>
        </w:rPr>
      </w:pPr>
      <w:bookmarkStart w:id="131" w:name="_Toc7860"/>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7</w:t>
      </w:r>
      <w:r>
        <w:rPr>
          <w:rFonts w:asciiTheme="minorEastAsia" w:hAnsiTheme="minorEastAsia" w:eastAsiaTheme="minorEastAsia"/>
          <w:b/>
          <w:bCs/>
          <w:color w:val="auto"/>
          <w:sz w:val="24"/>
          <w:highlight w:val="none"/>
          <w:lang w:val="zh-CN"/>
        </w:rPr>
        <w:t xml:space="preserve"> 质量保证</w:t>
      </w:r>
      <w:bookmarkEnd w:id="131"/>
    </w:p>
    <w:p w14:paraId="754ADB32">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2.7.1乙方应建立和完善履行合同的内部质量保证体系，并提供相关内部规章制度给甲方，以便甲方进行监督检查；</w:t>
      </w:r>
    </w:p>
    <w:p w14:paraId="51191196">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2.7.2乙方应保证履行合同的人员数量和素质、软件和硬件设备的配置、场地、环境和设施等满足全面履行合同的要求，并应接受甲方的监督检查。</w:t>
      </w:r>
    </w:p>
    <w:p w14:paraId="47A03D1D">
      <w:pPr>
        <w:spacing w:line="360" w:lineRule="auto"/>
        <w:ind w:firstLine="437"/>
        <w:outlineLvl w:val="2"/>
        <w:rPr>
          <w:rFonts w:asciiTheme="minorEastAsia" w:hAnsiTheme="minorEastAsia" w:eastAsiaTheme="minorEastAsia"/>
          <w:b/>
          <w:bCs/>
          <w:color w:val="auto"/>
          <w:sz w:val="24"/>
          <w:highlight w:val="none"/>
          <w:lang w:val="zh-CN"/>
        </w:rPr>
      </w:pPr>
      <w:bookmarkStart w:id="132" w:name="_Toc259093681"/>
      <w:bookmarkStart w:id="133" w:name="_Toc487900362"/>
      <w:bookmarkStart w:id="134" w:name="_Toc17244"/>
      <w:bookmarkStart w:id="135" w:name="_Toc279701252"/>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8</w:t>
      </w:r>
      <w:r>
        <w:rPr>
          <w:rFonts w:asciiTheme="minorEastAsia" w:hAnsiTheme="minorEastAsia" w:eastAsiaTheme="minorEastAsia"/>
          <w:b/>
          <w:bCs/>
          <w:color w:val="auto"/>
          <w:sz w:val="24"/>
          <w:highlight w:val="none"/>
          <w:lang w:val="zh-CN"/>
        </w:rPr>
        <w:t xml:space="preserve"> </w:t>
      </w:r>
      <w:bookmarkEnd w:id="132"/>
      <w:bookmarkEnd w:id="133"/>
      <w:bookmarkEnd w:id="134"/>
      <w:bookmarkEnd w:id="135"/>
      <w:r>
        <w:rPr>
          <w:rFonts w:hint="eastAsia" w:asciiTheme="minorEastAsia" w:hAnsiTheme="minorEastAsia" w:eastAsiaTheme="minorEastAsia"/>
          <w:b/>
          <w:bCs/>
          <w:color w:val="auto"/>
          <w:sz w:val="24"/>
          <w:highlight w:val="none"/>
          <w:lang w:val="zh-CN"/>
        </w:rPr>
        <w:t>延迟履行</w:t>
      </w:r>
    </w:p>
    <w:p w14:paraId="057889D0">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r>
        <w:rPr>
          <w:rFonts w:asciiTheme="minorEastAsia" w:hAnsiTheme="minorEastAsia" w:eastAsiaTheme="minorEastAsia"/>
          <w:color w:val="auto"/>
          <w:sz w:val="24"/>
          <w:highlight w:val="none"/>
        </w:rPr>
        <w:t>。</w:t>
      </w:r>
    </w:p>
    <w:p w14:paraId="2856E589">
      <w:pPr>
        <w:spacing w:line="360" w:lineRule="auto"/>
        <w:ind w:firstLine="437"/>
        <w:outlineLvl w:val="2"/>
        <w:rPr>
          <w:rFonts w:asciiTheme="minorEastAsia" w:hAnsiTheme="minorEastAsia" w:eastAsiaTheme="minorEastAsia"/>
          <w:b/>
          <w:bCs/>
          <w:color w:val="auto"/>
          <w:sz w:val="24"/>
          <w:highlight w:val="none"/>
          <w:lang w:val="zh-CN"/>
        </w:rPr>
      </w:pPr>
      <w:bookmarkStart w:id="136" w:name="_Toc7502"/>
      <w:bookmarkStart w:id="137" w:name="_Toc487900364"/>
      <w:bookmarkStart w:id="138" w:name="_Ref467378121"/>
      <w:bookmarkStart w:id="139" w:name="_Toc279701254"/>
      <w:bookmarkStart w:id="140" w:name="_Toc259093683"/>
      <w:r>
        <w:rPr>
          <w:rFonts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9</w:t>
      </w:r>
      <w:r>
        <w:rPr>
          <w:rFonts w:asciiTheme="minorEastAsia" w:hAnsiTheme="minorEastAsia" w:eastAsiaTheme="minorEastAsia"/>
          <w:b/>
          <w:bCs/>
          <w:color w:val="auto"/>
          <w:sz w:val="24"/>
          <w:highlight w:val="none"/>
          <w:lang w:val="zh-CN"/>
        </w:rPr>
        <w:t xml:space="preserve"> 合同变更</w:t>
      </w:r>
      <w:bookmarkEnd w:id="136"/>
    </w:p>
    <w:p w14:paraId="61FC5B9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2.9.1双方当事人协商一致，可以签订书面补充合同的形式变更合同，但不得违背采购文件确定的事项；</w:t>
      </w:r>
    </w:p>
    <w:p w14:paraId="151F426D">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2.9.2合同继续履行将损害国家利益和社会公共利益的，双方当事人应当以书面形式变更合同。有过错的一方应当承担赔偿责任，双方当事人都有过错的，各自承担相应的责任。</w:t>
      </w:r>
      <w:bookmarkStart w:id="141" w:name="_Toc487900369"/>
      <w:bookmarkStart w:id="142" w:name="_Toc259093688"/>
      <w:bookmarkStart w:id="143" w:name="_Toc279701259"/>
    </w:p>
    <w:p w14:paraId="044F346E">
      <w:pPr>
        <w:spacing w:line="360" w:lineRule="auto"/>
        <w:ind w:firstLine="437"/>
        <w:outlineLvl w:val="2"/>
        <w:rPr>
          <w:rFonts w:asciiTheme="minorEastAsia" w:hAnsiTheme="minorEastAsia" w:eastAsiaTheme="minorEastAsia"/>
          <w:b/>
          <w:bCs/>
          <w:color w:val="auto"/>
          <w:sz w:val="24"/>
          <w:highlight w:val="none"/>
          <w:lang w:val="zh-CN"/>
        </w:rPr>
      </w:pPr>
      <w:bookmarkStart w:id="144" w:name="_Toc10366"/>
      <w:bookmarkStart w:id="145" w:name="_Toc22955"/>
      <w:bookmarkStart w:id="146" w:name="_Toc15237"/>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0</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合同转让</w:t>
      </w:r>
      <w:bookmarkEnd w:id="141"/>
      <w:bookmarkEnd w:id="142"/>
      <w:bookmarkEnd w:id="143"/>
      <w:r>
        <w:rPr>
          <w:rFonts w:asciiTheme="minorEastAsia" w:hAnsiTheme="minorEastAsia" w:eastAsiaTheme="minorEastAsia"/>
          <w:b/>
          <w:bCs/>
          <w:color w:val="auto"/>
          <w:sz w:val="24"/>
          <w:highlight w:val="none"/>
          <w:lang w:val="zh-CN"/>
        </w:rPr>
        <w:t>和分包</w:t>
      </w:r>
      <w:bookmarkEnd w:id="144"/>
      <w:bookmarkEnd w:id="145"/>
      <w:bookmarkEnd w:id="146"/>
    </w:p>
    <w:p w14:paraId="28AE5D4E">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w:t>
      </w:r>
      <w:r>
        <w:rPr>
          <w:rFonts w:hint="eastAsia" w:asciiTheme="minorEastAsia" w:hAnsiTheme="minorEastAsia" w:eastAsiaTheme="minorEastAsia"/>
          <w:color w:val="auto"/>
          <w:sz w:val="24"/>
          <w:highlight w:val="none"/>
        </w:rPr>
        <w:t>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3C880F42">
      <w:pPr>
        <w:spacing w:line="360" w:lineRule="auto"/>
        <w:ind w:firstLine="437"/>
        <w:outlineLvl w:val="2"/>
        <w:rPr>
          <w:rFonts w:asciiTheme="minorEastAsia" w:hAnsiTheme="minorEastAsia" w:eastAsiaTheme="minorEastAsia"/>
          <w:b/>
          <w:bCs/>
          <w:color w:val="auto"/>
          <w:sz w:val="24"/>
          <w:highlight w:val="none"/>
          <w:lang w:val="zh-CN"/>
        </w:rPr>
      </w:pPr>
      <w:bookmarkStart w:id="147" w:name="_Toc14066"/>
      <w:bookmarkStart w:id="148" w:name="_Toc13566"/>
      <w:bookmarkStart w:id="149" w:name="_Toc16508"/>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1</w:t>
      </w:r>
      <w:r>
        <w:rPr>
          <w:rFonts w:asciiTheme="minorEastAsia" w:hAnsiTheme="minorEastAsia" w:eastAsiaTheme="minorEastAsia"/>
          <w:b/>
          <w:bCs/>
          <w:color w:val="auto"/>
          <w:sz w:val="24"/>
          <w:highlight w:val="none"/>
          <w:lang w:val="zh-CN"/>
        </w:rPr>
        <w:t xml:space="preserve"> 不可抗力</w:t>
      </w:r>
      <w:bookmarkEnd w:id="147"/>
      <w:bookmarkEnd w:id="148"/>
      <w:bookmarkEnd w:id="149"/>
    </w:p>
    <w:p w14:paraId="1D7BCB5F">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2.11.1如果任何一方遭遇法律规定的不可抗力，致使合同履行受阻时，履行合同的期限应予延长，延长的期限应相当于不可抗力所影响的时间；</w:t>
      </w:r>
    </w:p>
    <w:p w14:paraId="6A4D753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2.11.2因不可抗力致使不能实现合同目的的，当事人可以解除合同；</w:t>
      </w:r>
    </w:p>
    <w:p w14:paraId="0CA2438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.3因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33829E1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w:t>
      </w:r>
      <w:r>
        <w:rPr>
          <w:rFonts w:hint="eastAsia" w:asciiTheme="minorEastAsia" w:hAnsiTheme="minorEastAsia" w:eastAsiaTheme="minorEastAsia"/>
          <w:color w:val="auto"/>
          <w:sz w:val="24"/>
          <w:highlight w:val="none"/>
          <w:lang w:val="en-US" w:eastAsia="zh-CN"/>
        </w:rPr>
        <w:t>1</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4</w:t>
      </w:r>
      <w:r>
        <w:rPr>
          <w:rFonts w:asciiTheme="minorEastAsia" w:hAnsiTheme="minorEastAsia" w:eastAsiaTheme="minorEastAsia"/>
          <w:color w:val="auto"/>
          <w:sz w:val="24"/>
          <w:highlight w:val="none"/>
        </w:rPr>
        <w:t>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13D5FA0D">
      <w:pPr>
        <w:spacing w:line="360" w:lineRule="auto"/>
        <w:ind w:firstLine="437"/>
        <w:outlineLvl w:val="2"/>
        <w:rPr>
          <w:rFonts w:asciiTheme="minorEastAsia" w:hAnsiTheme="minorEastAsia" w:eastAsiaTheme="minorEastAsia"/>
          <w:b/>
          <w:bCs/>
          <w:color w:val="auto"/>
          <w:sz w:val="24"/>
          <w:highlight w:val="none"/>
          <w:lang w:val="zh-CN"/>
        </w:rPr>
      </w:pPr>
      <w:bookmarkStart w:id="150" w:name="_Toc259093684"/>
      <w:bookmarkStart w:id="151" w:name="_Toc30676"/>
      <w:bookmarkStart w:id="152" w:name="_Toc689"/>
      <w:bookmarkStart w:id="153" w:name="_Toc6969"/>
      <w:bookmarkStart w:id="154" w:name="_Toc279701255"/>
      <w:bookmarkStart w:id="155" w:name="_Toc487900365"/>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en-US" w:eastAsia="zh-CN"/>
        </w:rPr>
        <w:t>2</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税费</w:t>
      </w:r>
      <w:bookmarkEnd w:id="150"/>
      <w:bookmarkEnd w:id="151"/>
      <w:bookmarkEnd w:id="152"/>
      <w:bookmarkEnd w:id="153"/>
      <w:bookmarkEnd w:id="154"/>
      <w:bookmarkEnd w:id="155"/>
    </w:p>
    <w:p w14:paraId="44DB7925">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w:t>
      </w:r>
      <w:r>
        <w:rPr>
          <w:rFonts w:hint="eastAsia" w:asciiTheme="minorEastAsia" w:hAnsiTheme="minorEastAsia" w:eastAsiaTheme="minorEastAsia"/>
          <w:color w:val="auto"/>
          <w:sz w:val="24"/>
          <w:highlight w:val="none"/>
        </w:rPr>
        <w:t>合同有关的一切税费，均按照中华人民共和国法律的相关规定缴纳</w:t>
      </w:r>
      <w:r>
        <w:rPr>
          <w:rFonts w:asciiTheme="minorEastAsia" w:hAnsiTheme="minorEastAsia" w:eastAsiaTheme="minorEastAsia"/>
          <w:color w:val="auto"/>
          <w:sz w:val="24"/>
          <w:highlight w:val="none"/>
        </w:rPr>
        <w:t>。</w:t>
      </w:r>
    </w:p>
    <w:p w14:paraId="39A3B788">
      <w:pPr>
        <w:spacing w:line="360" w:lineRule="auto"/>
        <w:ind w:firstLine="437"/>
        <w:outlineLvl w:val="2"/>
        <w:rPr>
          <w:rFonts w:asciiTheme="minorEastAsia" w:hAnsiTheme="minorEastAsia" w:eastAsiaTheme="minorEastAsia"/>
          <w:b/>
          <w:bCs/>
          <w:color w:val="auto"/>
          <w:sz w:val="24"/>
          <w:highlight w:val="none"/>
          <w:lang w:val="zh-CN"/>
        </w:rPr>
      </w:pPr>
      <w:bookmarkStart w:id="156" w:name="_Toc7102"/>
      <w:bookmarkStart w:id="157" w:name="_Toc279701258"/>
      <w:bookmarkStart w:id="158" w:name="_Toc487900368"/>
      <w:bookmarkStart w:id="159" w:name="_Toc16959"/>
      <w:bookmarkStart w:id="160" w:name="_Toc259093687"/>
      <w:bookmarkStart w:id="161" w:name="_Toc8298"/>
      <w:r>
        <w:rPr>
          <w:rFonts w:hint="eastAsia" w:asciiTheme="minorEastAsia" w:hAnsiTheme="minorEastAsia" w:eastAsiaTheme="minorEastAsia"/>
          <w:b/>
          <w:bCs/>
          <w:color w:val="auto"/>
          <w:sz w:val="24"/>
          <w:highlight w:val="none"/>
          <w:lang w:val="zh-CN"/>
        </w:rPr>
        <w:t>2.</w:t>
      </w:r>
      <w:r>
        <w:rPr>
          <w:rFonts w:asciiTheme="minorEastAsia" w:hAnsiTheme="minorEastAsia" w:eastAsiaTheme="minorEastAsia"/>
          <w:b/>
          <w:bCs/>
          <w:color w:val="auto"/>
          <w:sz w:val="24"/>
          <w:highlight w:val="none"/>
          <w:lang w:val="zh-CN"/>
        </w:rPr>
        <w:t>1</w:t>
      </w:r>
      <w:r>
        <w:rPr>
          <w:rFonts w:hint="eastAsia" w:asciiTheme="minorEastAsia" w:hAnsiTheme="minorEastAsia" w:eastAsiaTheme="minorEastAsia"/>
          <w:b/>
          <w:bCs/>
          <w:color w:val="auto"/>
          <w:sz w:val="24"/>
          <w:highlight w:val="none"/>
          <w:lang w:val="en-US" w:eastAsia="zh-CN"/>
        </w:rPr>
        <w:t>3</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乙方破产</w:t>
      </w:r>
      <w:bookmarkEnd w:id="156"/>
      <w:bookmarkEnd w:id="157"/>
      <w:bookmarkEnd w:id="158"/>
      <w:bookmarkEnd w:id="159"/>
      <w:bookmarkEnd w:id="160"/>
      <w:bookmarkEnd w:id="161"/>
    </w:p>
    <w:p w14:paraId="0066A1CA">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w:t>
      </w:r>
      <w:r>
        <w:rPr>
          <w:rFonts w:hint="eastAsia" w:asciiTheme="minorEastAsia" w:hAnsiTheme="minorEastAsia" w:eastAsiaTheme="minorEastAsia"/>
          <w:color w:val="auto"/>
          <w:sz w:val="24"/>
          <w:highlight w:val="none"/>
        </w:rPr>
        <w:t>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EAE786B">
      <w:pPr>
        <w:spacing w:line="360" w:lineRule="auto"/>
        <w:ind w:firstLine="437"/>
        <w:outlineLvl w:val="2"/>
        <w:rPr>
          <w:rFonts w:asciiTheme="minorEastAsia" w:hAnsiTheme="minorEastAsia" w:eastAsiaTheme="minorEastAsia"/>
          <w:b/>
          <w:color w:val="auto"/>
          <w:sz w:val="24"/>
          <w:highlight w:val="none"/>
        </w:rPr>
      </w:pPr>
      <w:bookmarkStart w:id="162" w:name="_Toc6134"/>
      <w:bookmarkStart w:id="163" w:name="_Toc29333"/>
      <w:bookmarkStart w:id="164" w:name="_Toc15387"/>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4</w:t>
      </w:r>
      <w:r>
        <w:rPr>
          <w:rFonts w:hint="eastAsia" w:asciiTheme="minorEastAsia" w:hAnsiTheme="minorEastAsia" w:eastAsiaTheme="minorEastAsia"/>
          <w:b/>
          <w:bCs/>
          <w:color w:val="auto"/>
          <w:sz w:val="24"/>
          <w:highlight w:val="none"/>
          <w:lang w:val="zh-CN"/>
        </w:rPr>
        <w:t xml:space="preserve"> 合同中止、终止</w:t>
      </w:r>
      <w:bookmarkEnd w:id="162"/>
      <w:bookmarkEnd w:id="163"/>
      <w:bookmarkEnd w:id="164"/>
    </w:p>
    <w:p w14:paraId="15DA4A25">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2.14.1双方当事人不得擅自中止或者终止合同；</w:t>
      </w:r>
    </w:p>
    <w:p w14:paraId="02DE74E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5D79ED66">
      <w:pPr>
        <w:spacing w:line="360" w:lineRule="auto"/>
        <w:ind w:firstLine="437"/>
        <w:outlineLvl w:val="2"/>
        <w:rPr>
          <w:rFonts w:asciiTheme="minorEastAsia" w:hAnsiTheme="minorEastAsia" w:eastAsiaTheme="minorEastAsia"/>
          <w:b/>
          <w:bCs/>
          <w:color w:val="auto"/>
          <w:sz w:val="24"/>
          <w:highlight w:val="none"/>
          <w:lang w:val="zh-CN"/>
        </w:rPr>
      </w:pPr>
      <w:bookmarkStart w:id="165" w:name="_Toc6596"/>
      <w:bookmarkStart w:id="166" w:name="_Toc14563"/>
      <w:bookmarkStart w:id="167" w:name="_Toc1125"/>
      <w:r>
        <w:rPr>
          <w:rFonts w:hint="eastAsia" w:asciiTheme="minorEastAsia" w:hAnsiTheme="minorEastAsia" w:eastAsiaTheme="minorEastAsia"/>
          <w:b/>
          <w:bCs/>
          <w:color w:val="auto"/>
          <w:sz w:val="24"/>
          <w:highlight w:val="none"/>
          <w:lang w:val="zh-CN"/>
        </w:rPr>
        <w:t>2.1</w:t>
      </w:r>
      <w:r>
        <w:rPr>
          <w:rFonts w:hint="eastAsia" w:asciiTheme="minorEastAsia" w:hAnsiTheme="minorEastAsia" w:eastAsiaTheme="minorEastAsia"/>
          <w:b/>
          <w:bCs/>
          <w:color w:val="auto"/>
          <w:sz w:val="24"/>
          <w:highlight w:val="none"/>
          <w:lang w:val="en-US" w:eastAsia="zh-CN"/>
        </w:rPr>
        <w:t>5</w:t>
      </w:r>
      <w:r>
        <w:rPr>
          <w:rFonts w:hint="eastAsia" w:asciiTheme="minorEastAsia" w:hAnsiTheme="minorEastAsia" w:eastAsiaTheme="minorEastAsia"/>
          <w:b/>
          <w:bCs/>
          <w:color w:val="auto"/>
          <w:sz w:val="24"/>
          <w:highlight w:val="none"/>
          <w:lang w:val="zh-CN"/>
        </w:rPr>
        <w:t xml:space="preserve"> 检验和验收</w:t>
      </w:r>
      <w:bookmarkEnd w:id="165"/>
      <w:bookmarkEnd w:id="166"/>
      <w:bookmarkEnd w:id="167"/>
    </w:p>
    <w:p w14:paraId="6BAE397D">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asciiTheme="minorEastAsia" w:hAnsiTheme="minorEastAsia" w:eastAsiaTheme="minorEastAsia"/>
          <w:color w:val="auto"/>
          <w:sz w:val="24"/>
          <w:highlight w:val="none"/>
        </w:rPr>
        <w:t>1</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1乙方</w:t>
      </w:r>
      <w:r>
        <w:rPr>
          <w:rFonts w:hint="eastAsia" w:asciiTheme="minorEastAsia" w:hAnsiTheme="minorEastAsia" w:eastAsiaTheme="minorEastAsia"/>
          <w:color w:val="auto"/>
          <w:sz w:val="24"/>
          <w:highlight w:val="none"/>
          <w:lang w:val="en-US" w:eastAsia="zh-CN"/>
        </w:rPr>
        <w:t>按照</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lang w:val="en-US" w:eastAsia="zh-CN"/>
        </w:rPr>
        <w:t>的</w:t>
      </w:r>
      <w:r>
        <w:rPr>
          <w:rFonts w:hint="eastAsia" w:asciiTheme="minorEastAsia" w:hAnsiTheme="minorEastAsia" w:eastAsiaTheme="minorEastAsia"/>
          <w:color w:val="auto"/>
          <w:sz w:val="24"/>
          <w:highlight w:val="none"/>
        </w:rPr>
        <w:t>约定，定期提交服务报告，甲方按照</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的约定进行定期验收；</w:t>
      </w:r>
    </w:p>
    <w:p w14:paraId="1B89FC0E">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6B3241E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2.15.3检验和验收标准、程序等具体内容以及前述验收书的效力详见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bookmarkEnd w:id="137"/>
    <w:bookmarkEnd w:id="138"/>
    <w:bookmarkEnd w:id="139"/>
    <w:bookmarkEnd w:id="140"/>
    <w:p w14:paraId="2D02E0F2">
      <w:pPr>
        <w:spacing w:line="360" w:lineRule="auto"/>
        <w:ind w:firstLine="437"/>
        <w:outlineLvl w:val="2"/>
        <w:rPr>
          <w:rFonts w:asciiTheme="minorEastAsia" w:hAnsiTheme="minorEastAsia" w:eastAsiaTheme="minorEastAsia"/>
          <w:b/>
          <w:bCs/>
          <w:color w:val="auto"/>
          <w:sz w:val="24"/>
          <w:highlight w:val="none"/>
        </w:rPr>
      </w:pPr>
      <w:bookmarkStart w:id="168" w:name="_Toc4355"/>
      <w:bookmarkStart w:id="169" w:name="_Toc259093691"/>
      <w:bookmarkStart w:id="170" w:name="_Toc279701262"/>
      <w:bookmarkStart w:id="171" w:name="_Toc30599"/>
      <w:bookmarkStart w:id="172" w:name="_Toc18540"/>
      <w:bookmarkStart w:id="173" w:name="_Toc487900372"/>
      <w:r>
        <w:rPr>
          <w:rFonts w:hint="eastAsia" w:asciiTheme="minorEastAsia" w:hAnsiTheme="minorEastAsia" w:eastAsiaTheme="minorEastAsia"/>
          <w:b/>
          <w:bCs/>
          <w:color w:val="auto"/>
          <w:sz w:val="24"/>
          <w:highlight w:val="none"/>
          <w:lang w:val="zh-CN"/>
        </w:rPr>
        <w:t>2.1</w:t>
      </w:r>
      <w:bookmarkEnd w:id="168"/>
      <w:bookmarkEnd w:id="169"/>
      <w:bookmarkEnd w:id="170"/>
      <w:bookmarkEnd w:id="171"/>
      <w:bookmarkEnd w:id="172"/>
      <w:bookmarkEnd w:id="173"/>
      <w:bookmarkStart w:id="174" w:name="_Toc279701263"/>
      <w:bookmarkStart w:id="175" w:name="_Toc18567"/>
      <w:bookmarkStart w:id="176" w:name="_Toc487900373"/>
      <w:bookmarkStart w:id="177" w:name="_Toc10330"/>
      <w:bookmarkStart w:id="178" w:name="_Toc259093692"/>
      <w:bookmarkStart w:id="179" w:name="_Toc12773"/>
      <w:r>
        <w:rPr>
          <w:rFonts w:hint="eastAsia" w:asciiTheme="minorEastAsia" w:hAnsiTheme="minorEastAsia" w:eastAsiaTheme="minorEastAsia"/>
          <w:b/>
          <w:bCs/>
          <w:color w:val="auto"/>
          <w:sz w:val="24"/>
          <w:highlight w:val="none"/>
          <w:lang w:val="en-US" w:eastAsia="zh-CN"/>
        </w:rPr>
        <w:t>6</w:t>
      </w:r>
      <w:r>
        <w:rPr>
          <w:rFonts w:hint="eastAsia" w:asciiTheme="minorEastAsia" w:hAnsiTheme="minorEastAsia" w:eastAsiaTheme="minorEastAsia"/>
          <w:b/>
          <w:bCs/>
          <w:color w:val="auto"/>
          <w:sz w:val="24"/>
          <w:highlight w:val="none"/>
        </w:rPr>
        <w:t xml:space="preserve"> </w:t>
      </w:r>
      <w:r>
        <w:rPr>
          <w:rFonts w:hint="eastAsia" w:asciiTheme="minorEastAsia" w:hAnsiTheme="minorEastAsia" w:eastAsiaTheme="minorEastAsia"/>
          <w:b/>
          <w:bCs/>
          <w:color w:val="auto"/>
          <w:sz w:val="24"/>
          <w:highlight w:val="none"/>
          <w:lang w:val="zh-CN"/>
        </w:rPr>
        <w:t>合同使用的文字和</w:t>
      </w:r>
      <w:r>
        <w:rPr>
          <w:rFonts w:asciiTheme="minorEastAsia" w:hAnsiTheme="minorEastAsia" w:eastAsiaTheme="minorEastAsia"/>
          <w:b/>
          <w:bCs/>
          <w:color w:val="auto"/>
          <w:sz w:val="24"/>
          <w:highlight w:val="none"/>
          <w:lang w:val="zh-CN"/>
        </w:rPr>
        <w:t>适用的法律</w:t>
      </w:r>
      <w:bookmarkEnd w:id="174"/>
      <w:bookmarkEnd w:id="175"/>
      <w:bookmarkEnd w:id="176"/>
      <w:bookmarkEnd w:id="177"/>
      <w:bookmarkEnd w:id="178"/>
      <w:bookmarkEnd w:id="179"/>
    </w:p>
    <w:p w14:paraId="174DA5E8">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2.16.1合同使用汉语书就、变更和解释；</w:t>
      </w:r>
    </w:p>
    <w:p w14:paraId="5FE86B12">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2.16.2合同适用中华人民共和国法律</w:t>
      </w:r>
      <w:r>
        <w:rPr>
          <w:rFonts w:asciiTheme="minorEastAsia" w:hAnsiTheme="minorEastAsia" w:eastAsiaTheme="minorEastAsia"/>
          <w:color w:val="auto"/>
          <w:sz w:val="24"/>
          <w:highlight w:val="none"/>
        </w:rPr>
        <w:t>。</w:t>
      </w:r>
    </w:p>
    <w:p w14:paraId="372165C2">
      <w:pPr>
        <w:spacing w:line="360" w:lineRule="auto"/>
        <w:ind w:firstLine="437"/>
        <w:outlineLvl w:val="2"/>
        <w:rPr>
          <w:rFonts w:asciiTheme="minorEastAsia" w:hAnsiTheme="minorEastAsia" w:eastAsiaTheme="minorEastAsia"/>
          <w:b/>
          <w:color w:val="auto"/>
          <w:sz w:val="24"/>
          <w:highlight w:val="none"/>
        </w:rPr>
      </w:pPr>
      <w:bookmarkStart w:id="180" w:name="_Toc279701264"/>
      <w:bookmarkStart w:id="181" w:name="_Toc12004"/>
      <w:bookmarkStart w:id="182" w:name="_Toc3148"/>
      <w:bookmarkStart w:id="183" w:name="_Toc259093693"/>
      <w:bookmarkStart w:id="184" w:name="_Toc16673"/>
      <w:bookmarkStart w:id="185" w:name="_Toc487900374"/>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17</w:t>
      </w:r>
      <w:r>
        <w:rPr>
          <w:rFonts w:hint="eastAsia" w:asciiTheme="minorEastAsia" w:hAnsiTheme="minorEastAsia" w:eastAsiaTheme="minorEastAsia"/>
          <w:b/>
          <w:bCs/>
          <w:color w:val="auto"/>
          <w:sz w:val="24"/>
          <w:highlight w:val="none"/>
          <w:lang w:val="zh-CN"/>
        </w:rPr>
        <w:t xml:space="preserve"> </w:t>
      </w:r>
      <w:r>
        <w:rPr>
          <w:rFonts w:asciiTheme="minorEastAsia" w:hAnsiTheme="minorEastAsia" w:eastAsiaTheme="minorEastAsia"/>
          <w:b/>
          <w:bCs/>
          <w:color w:val="auto"/>
          <w:sz w:val="24"/>
          <w:highlight w:val="none"/>
          <w:lang w:val="zh-CN"/>
        </w:rPr>
        <w:t>履约保证金</w:t>
      </w:r>
      <w:bookmarkEnd w:id="180"/>
      <w:bookmarkEnd w:id="181"/>
      <w:bookmarkEnd w:id="182"/>
      <w:bookmarkEnd w:id="183"/>
      <w:bookmarkEnd w:id="184"/>
    </w:p>
    <w:p w14:paraId="0CA3903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17</w:t>
      </w:r>
      <w:r>
        <w:rPr>
          <w:rFonts w:hint="eastAsia" w:asciiTheme="minorEastAsia" w:hAnsiTheme="minorEastAsia" w:eastAsiaTheme="minorEastAsia"/>
          <w:color w:val="auto"/>
          <w:sz w:val="24"/>
          <w:highlight w:val="none"/>
        </w:rPr>
        <w:t>.1采购文件要求乙方提交履约保证金的，乙方</w:t>
      </w:r>
      <w:r>
        <w:rPr>
          <w:rFonts w:asciiTheme="minorEastAsia" w:hAnsiTheme="minorEastAsia" w:eastAsiaTheme="minorEastAsia"/>
          <w:color w:val="auto"/>
          <w:sz w:val="24"/>
          <w:highlight w:val="none"/>
        </w:rPr>
        <w:t>应按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约定的方式</w:t>
      </w:r>
      <w:r>
        <w:rPr>
          <w:rFonts w:hint="eastAsia" w:asciiTheme="minorEastAsia" w:hAnsiTheme="minorEastAsia" w:eastAsiaTheme="minorEastAsia"/>
          <w:color w:val="auto"/>
          <w:sz w:val="24"/>
          <w:highlight w:val="none"/>
        </w:rPr>
        <w:t>，以支票、汇票、本票或者金融机构、担保机构出具的保函等非现金形式提交；</w:t>
      </w:r>
    </w:p>
    <w:p w14:paraId="334EB52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r>
        <w:rPr>
          <w:rFonts w:hint="eastAsia" w:asciiTheme="minorEastAsia" w:hAnsiTheme="minorEastAsia" w:eastAsiaTheme="minorEastAsia"/>
          <w:color w:val="auto"/>
          <w:sz w:val="24"/>
          <w:highlight w:val="none"/>
          <w:lang w:val="en-US" w:eastAsia="zh-CN"/>
        </w:rPr>
        <w:t>17</w:t>
      </w:r>
      <w:r>
        <w:rPr>
          <w:rFonts w:asciiTheme="minorEastAsia" w:hAnsiTheme="minorEastAsia" w:eastAsiaTheme="minorEastAsia"/>
          <w:color w:val="auto"/>
          <w:sz w:val="24"/>
          <w:highlight w:val="none"/>
        </w:rPr>
        <w:t>.2</w:t>
      </w:r>
      <w:r>
        <w:rPr>
          <w:rFonts w:cs="Times New Roman" w:asciiTheme="minorEastAsia" w:hAnsiTheme="minorEastAsia" w:eastAsiaTheme="minorEastAsia"/>
          <w:color w:val="auto"/>
          <w:sz w:val="24"/>
          <w:szCs w:val="24"/>
          <w:highlight w:val="none"/>
        </w:rPr>
        <w:t>履约保证金在</w:t>
      </w:r>
      <w:r>
        <w:rPr>
          <w:rFonts w:cs="Times New Roman" w:asciiTheme="minorEastAsia" w:hAnsiTheme="minorEastAsia" w:eastAsiaTheme="minorEastAsia"/>
          <w:b/>
          <w:i/>
          <w:color w:val="auto"/>
          <w:sz w:val="24"/>
          <w:szCs w:val="24"/>
          <w:highlight w:val="none"/>
          <w:u w:val="single"/>
        </w:rPr>
        <w:t>合同专用条款</w:t>
      </w:r>
      <w:r>
        <w:rPr>
          <w:rFonts w:cs="Times New Roman" w:asciiTheme="minorEastAsia" w:hAnsiTheme="minorEastAsia" w:eastAsiaTheme="minorEastAsia"/>
          <w:color w:val="auto"/>
          <w:sz w:val="24"/>
          <w:szCs w:val="24"/>
          <w:highlight w:val="none"/>
        </w:rPr>
        <w:t>约定期间内不予退还或者应完全有效</w:t>
      </w:r>
      <w:r>
        <w:rPr>
          <w:rFonts w:hint="eastAsia" w:cs="Times New Roman" w:asciiTheme="minorEastAsia" w:hAnsiTheme="minorEastAsia" w:eastAsiaTheme="minorEastAsia"/>
          <w:color w:val="auto"/>
          <w:sz w:val="24"/>
          <w:szCs w:val="24"/>
          <w:highlight w:val="none"/>
        </w:rPr>
        <w:t>，前述约定期间届满</w:t>
      </w:r>
      <w:r>
        <w:rPr>
          <w:rFonts w:cs="Times New Roman" w:asciiTheme="minorEastAsia" w:hAnsiTheme="minorEastAsia" w:eastAsiaTheme="minorEastAsia"/>
          <w:color w:val="auto"/>
          <w:sz w:val="24"/>
          <w:szCs w:val="24"/>
          <w:highlight w:val="none"/>
        </w:rPr>
        <w:t>之日起</w:t>
      </w:r>
      <w:r>
        <w:rPr>
          <w:rFonts w:hint="eastAsia" w:cs="Times New Roman" w:asciiTheme="minorEastAsia" w:hAnsiTheme="minorEastAsia" w:eastAsiaTheme="minorEastAsia"/>
          <w:color w:val="auto"/>
          <w:sz w:val="24"/>
          <w:szCs w:val="24"/>
          <w:highlight w:val="none"/>
          <w:u w:val="single"/>
        </w:rPr>
        <w:t xml:space="preserve">  </w:t>
      </w:r>
      <w:r>
        <w:rPr>
          <w:rFonts w:hint="eastAsia" w:cs="Times New Roman" w:asciiTheme="minorEastAsia" w:hAnsiTheme="minorEastAsia" w:eastAsiaTheme="minorEastAsia"/>
          <w:color w:val="auto"/>
          <w:sz w:val="24"/>
          <w:szCs w:val="24"/>
          <w:highlight w:val="none"/>
        </w:rPr>
        <w:t>个</w:t>
      </w:r>
      <w:r>
        <w:rPr>
          <w:rFonts w:cs="Times New Roman" w:asciiTheme="minorEastAsia" w:hAnsiTheme="minorEastAsia" w:eastAsiaTheme="minorEastAsia"/>
          <w:color w:val="auto"/>
          <w:sz w:val="24"/>
          <w:szCs w:val="24"/>
          <w:highlight w:val="none"/>
        </w:rPr>
        <w:t>工作日内，甲方应将履约保证金退还乙方</w:t>
      </w:r>
      <w:r>
        <w:rPr>
          <w:rFonts w:hint="eastAsia" w:cs="Times New Roman" w:asciiTheme="minorEastAsia" w:hAnsiTheme="minorEastAsia" w:eastAsiaTheme="minorEastAsia"/>
          <w:color w:val="auto"/>
          <w:sz w:val="24"/>
          <w:szCs w:val="24"/>
          <w:highlight w:val="none"/>
          <w:lang w:eastAsia="zh-CN"/>
        </w:rPr>
        <w:t>，</w:t>
      </w:r>
      <w:r>
        <w:rPr>
          <w:rFonts w:hint="eastAsia" w:cs="Times New Roman" w:asciiTheme="minorEastAsia" w:hAnsiTheme="minorEastAsia" w:eastAsiaTheme="minorEastAsia"/>
          <w:color w:val="auto"/>
          <w:sz w:val="24"/>
          <w:szCs w:val="24"/>
          <w:highlight w:val="none"/>
          <w:lang w:val="en-US" w:eastAsia="zh-CN"/>
        </w:rPr>
        <w:t>甲方</w:t>
      </w:r>
      <w:r>
        <w:rPr>
          <w:rFonts w:hint="eastAsia" w:cs="Times New Roman" w:asciiTheme="minorEastAsia" w:hAnsiTheme="minorEastAsia" w:eastAsiaTheme="minorEastAsia"/>
          <w:color w:val="auto"/>
          <w:sz w:val="24"/>
          <w:szCs w:val="24"/>
          <w:highlight w:val="none"/>
        </w:rPr>
        <w:t>逾期退还履约保证金</w:t>
      </w:r>
      <w:r>
        <w:rPr>
          <w:rFonts w:hint="eastAsia" w:cs="Times New Roman" w:asciiTheme="minorEastAsia" w:hAnsiTheme="minorEastAsia" w:eastAsiaTheme="minorEastAsia"/>
          <w:color w:val="auto"/>
          <w:sz w:val="24"/>
          <w:szCs w:val="24"/>
          <w:highlight w:val="none"/>
          <w:lang w:val="en-US" w:eastAsia="zh-CN"/>
        </w:rPr>
        <w:t>应承担违约责任。</w:t>
      </w:r>
    </w:p>
    <w:p w14:paraId="5FEB686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185"/>
    <w:p w14:paraId="2A1377AD">
      <w:pPr>
        <w:spacing w:line="360" w:lineRule="auto"/>
        <w:ind w:firstLine="437"/>
        <w:outlineLvl w:val="2"/>
        <w:rPr>
          <w:rFonts w:asciiTheme="minorEastAsia" w:hAnsiTheme="minorEastAsia" w:eastAsiaTheme="minorEastAsia"/>
          <w:b/>
          <w:color w:val="auto"/>
          <w:sz w:val="24"/>
          <w:highlight w:val="none"/>
        </w:rPr>
      </w:pPr>
      <w:bookmarkStart w:id="186" w:name="_Toc6885"/>
      <w:bookmarkStart w:id="187" w:name="_Toc19890"/>
      <w:bookmarkStart w:id="188" w:name="_Toc14001"/>
      <w:r>
        <w:rPr>
          <w:rFonts w:hint="eastAsia" w:asciiTheme="minorEastAsia" w:hAnsiTheme="minorEastAsia" w:eastAsiaTheme="minorEastAsia"/>
          <w:b/>
          <w:bCs/>
          <w:color w:val="auto"/>
          <w:sz w:val="24"/>
          <w:highlight w:val="none"/>
          <w:lang w:val="zh-CN"/>
        </w:rPr>
        <w:t>2.</w:t>
      </w:r>
      <w:r>
        <w:rPr>
          <w:rFonts w:hint="eastAsia" w:asciiTheme="minorEastAsia" w:hAnsiTheme="minorEastAsia" w:eastAsiaTheme="minorEastAsia"/>
          <w:b/>
          <w:bCs/>
          <w:color w:val="auto"/>
          <w:sz w:val="24"/>
          <w:highlight w:val="none"/>
          <w:lang w:val="en-US" w:eastAsia="zh-CN"/>
        </w:rPr>
        <w:t>18</w:t>
      </w:r>
      <w:r>
        <w:rPr>
          <w:rFonts w:hint="eastAsia" w:asciiTheme="minorEastAsia" w:hAnsiTheme="minorEastAsia" w:eastAsiaTheme="minorEastAsia"/>
          <w:b/>
          <w:bCs/>
          <w:color w:val="auto"/>
          <w:sz w:val="24"/>
          <w:highlight w:val="none"/>
          <w:lang w:val="zh-CN"/>
        </w:rPr>
        <w:t xml:space="preserve"> 合同份数</w:t>
      </w:r>
      <w:bookmarkEnd w:id="186"/>
      <w:bookmarkEnd w:id="187"/>
      <w:bookmarkEnd w:id="188"/>
    </w:p>
    <w:p w14:paraId="41DFEAA2">
      <w:pPr>
        <w:spacing w:line="360" w:lineRule="auto"/>
        <w:ind w:firstLine="435"/>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21735C2A">
      <w:pPr>
        <w:spacing w:line="360" w:lineRule="auto"/>
        <w:jc w:val="center"/>
        <w:outlineLvl w:val="1"/>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bookmarkStart w:id="189" w:name="_Toc331685784"/>
      <w:bookmarkStart w:id="190" w:name="_Toc14669"/>
      <w:r>
        <w:rPr>
          <w:rFonts w:hint="eastAsia" w:asciiTheme="minorEastAsia" w:hAnsiTheme="minorEastAsia" w:eastAsiaTheme="minorEastAsia"/>
          <w:b/>
          <w:color w:val="auto"/>
          <w:sz w:val="24"/>
          <w:highlight w:val="none"/>
        </w:rPr>
        <w:t>第三部分</w:t>
      </w:r>
      <w:r>
        <w:rPr>
          <w:rFonts w:asciiTheme="minorEastAsia" w:hAnsiTheme="minorEastAsia" w:eastAsiaTheme="minorEastAsia"/>
          <w:b/>
          <w:color w:val="auto"/>
          <w:sz w:val="24"/>
          <w:highlight w:val="none"/>
        </w:rPr>
        <w:t xml:space="preserve"> </w:t>
      </w:r>
      <w:r>
        <w:rPr>
          <w:rFonts w:hint="eastAsia" w:asciiTheme="minorEastAsia" w:hAnsiTheme="minorEastAsia" w:eastAsiaTheme="minorEastAsia"/>
          <w:b/>
          <w:color w:val="auto"/>
          <w:sz w:val="24"/>
          <w:highlight w:val="none"/>
        </w:rPr>
        <w:t>合同专用条款</w:t>
      </w:r>
      <w:bookmarkEnd w:id="189"/>
      <w:bookmarkEnd w:id="190"/>
    </w:p>
    <w:p w14:paraId="465113D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本部分</w:t>
      </w:r>
      <w:r>
        <w:rPr>
          <w:rFonts w:asciiTheme="minorEastAsia" w:hAnsiTheme="minorEastAsia" w:eastAsiaTheme="minorEastAsia"/>
          <w:color w:val="auto"/>
          <w:sz w:val="24"/>
          <w:highlight w:val="none"/>
        </w:rPr>
        <w:t>是对</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部分的补充和修改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w:t>
      </w:r>
      <w:r>
        <w:rPr>
          <w:rFonts w:hint="eastAsia" w:asciiTheme="minorEastAsia" w:hAnsiTheme="minorEastAsia" w:eastAsiaTheme="minorEastAsia"/>
          <w:color w:val="auto"/>
          <w:sz w:val="24"/>
          <w:highlight w:val="none"/>
        </w:rPr>
        <w:t>前两</w:t>
      </w:r>
      <w:r>
        <w:rPr>
          <w:rFonts w:asciiTheme="minorEastAsia" w:hAnsiTheme="minorEastAsia" w:eastAsiaTheme="minorEastAsia"/>
          <w:color w:val="auto"/>
          <w:sz w:val="24"/>
          <w:highlight w:val="none"/>
        </w:rPr>
        <w:t>部分和本部分的约定不一致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应以本部分的约定为准</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本部分的条款号应与</w:t>
      </w:r>
      <w:r>
        <w:rPr>
          <w:rFonts w:hint="eastAsia" w:asciiTheme="minorEastAsia" w:hAnsiTheme="minorEastAsia" w:eastAsiaTheme="minorEastAsia"/>
          <w:color w:val="auto"/>
          <w:sz w:val="24"/>
          <w:highlight w:val="none"/>
        </w:rPr>
        <w:t>前两部分</w:t>
      </w:r>
      <w:r>
        <w:rPr>
          <w:rFonts w:asciiTheme="minorEastAsia" w:hAnsiTheme="minorEastAsia" w:eastAsiaTheme="minorEastAsia"/>
          <w:color w:val="auto"/>
          <w:sz w:val="24"/>
          <w:highlight w:val="none"/>
        </w:rPr>
        <w:t>的条款号保持对应</w:t>
      </w:r>
      <w:r>
        <w:rPr>
          <w:rFonts w:hint="eastAsia" w:asciiTheme="minorEastAsia" w:hAnsiTheme="minorEastAsia" w:eastAsiaTheme="minorEastAsia"/>
          <w:color w:val="auto"/>
          <w:sz w:val="24"/>
          <w:highlight w:val="none"/>
        </w:rPr>
        <w:t>；与前两部分</w:t>
      </w:r>
      <w:r>
        <w:rPr>
          <w:rFonts w:asciiTheme="minorEastAsia" w:hAnsiTheme="minorEastAsia" w:eastAsiaTheme="minorEastAsia"/>
          <w:color w:val="auto"/>
          <w:sz w:val="24"/>
          <w:highlight w:val="none"/>
        </w:rPr>
        <w:t>无对应关系的内容可另行编制条款号</w:t>
      </w:r>
      <w:r>
        <w:rPr>
          <w:rFonts w:hint="eastAsia" w:asciiTheme="minorEastAsia" w:hAnsiTheme="minorEastAsia" w:eastAsiaTheme="minorEastAsia"/>
          <w:color w:val="auto"/>
          <w:sz w:val="24"/>
          <w:highlight w:val="none"/>
        </w:rPr>
        <w:t>。</w:t>
      </w:r>
    </w:p>
    <w:tbl>
      <w:tblPr>
        <w:tblStyle w:val="2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94"/>
        <w:gridCol w:w="7568"/>
      </w:tblGrid>
      <w:tr w14:paraId="1FF9B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14:paraId="5D2D553E">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条款号</w:t>
            </w:r>
          </w:p>
        </w:tc>
        <w:tc>
          <w:tcPr>
            <w:tcW w:w="4525" w:type="pct"/>
            <w:vAlign w:val="center"/>
          </w:tcPr>
          <w:p w14:paraId="0BA79DFE">
            <w:pPr>
              <w:jc w:val="center"/>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约定内容</w:t>
            </w:r>
          </w:p>
        </w:tc>
      </w:tr>
      <w:tr w14:paraId="4F3C1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14:paraId="74E9C851">
            <w:pPr>
              <w:spacing w:line="560" w:lineRule="exact"/>
              <w:rPr>
                <w:rFonts w:asciiTheme="minorEastAsia" w:hAnsiTheme="minorEastAsia" w:eastAsiaTheme="minorEastAsia"/>
                <w:color w:val="auto"/>
                <w:sz w:val="24"/>
                <w:highlight w:val="none"/>
              </w:rPr>
            </w:pPr>
          </w:p>
        </w:tc>
        <w:tc>
          <w:tcPr>
            <w:tcW w:w="4525" w:type="pct"/>
            <w:vAlign w:val="center"/>
          </w:tcPr>
          <w:p w14:paraId="18D0C3E9">
            <w:pPr>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（签订合同时可补充）</w:t>
            </w:r>
          </w:p>
        </w:tc>
      </w:tr>
      <w:tr w14:paraId="4528F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5F49A0B9">
            <w:pPr>
              <w:spacing w:line="560" w:lineRule="exact"/>
              <w:rPr>
                <w:rFonts w:asciiTheme="minorEastAsia" w:hAnsiTheme="minorEastAsia" w:eastAsiaTheme="minorEastAsia"/>
                <w:color w:val="auto"/>
                <w:sz w:val="24"/>
                <w:highlight w:val="none"/>
              </w:rPr>
            </w:pPr>
          </w:p>
        </w:tc>
        <w:tc>
          <w:tcPr>
            <w:tcW w:w="4525" w:type="pct"/>
            <w:vAlign w:val="center"/>
          </w:tcPr>
          <w:p w14:paraId="7A7ACA7A">
            <w:pPr>
              <w:spacing w:line="560" w:lineRule="exact"/>
              <w:rPr>
                <w:rFonts w:asciiTheme="minorEastAsia" w:hAnsiTheme="minorEastAsia" w:eastAsiaTheme="minorEastAsia"/>
                <w:color w:val="auto"/>
                <w:sz w:val="24"/>
                <w:highlight w:val="none"/>
              </w:rPr>
            </w:pPr>
          </w:p>
        </w:tc>
      </w:tr>
      <w:tr w14:paraId="57E11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4D5618AC">
            <w:pPr>
              <w:spacing w:line="560" w:lineRule="exact"/>
              <w:rPr>
                <w:rFonts w:asciiTheme="minorEastAsia" w:hAnsiTheme="minorEastAsia" w:eastAsiaTheme="minorEastAsia"/>
                <w:color w:val="auto"/>
                <w:sz w:val="24"/>
                <w:highlight w:val="none"/>
              </w:rPr>
            </w:pPr>
          </w:p>
        </w:tc>
        <w:tc>
          <w:tcPr>
            <w:tcW w:w="4525" w:type="pct"/>
            <w:vAlign w:val="center"/>
          </w:tcPr>
          <w:p w14:paraId="78B88B9A">
            <w:pPr>
              <w:spacing w:line="560" w:lineRule="exact"/>
              <w:rPr>
                <w:rFonts w:asciiTheme="minorEastAsia" w:hAnsiTheme="minorEastAsia" w:eastAsiaTheme="minorEastAsia"/>
                <w:color w:val="auto"/>
                <w:sz w:val="24"/>
                <w:highlight w:val="none"/>
              </w:rPr>
            </w:pPr>
          </w:p>
        </w:tc>
      </w:tr>
      <w:tr w14:paraId="13843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7325CF6E">
            <w:pPr>
              <w:spacing w:line="560" w:lineRule="exact"/>
              <w:rPr>
                <w:rFonts w:asciiTheme="minorEastAsia" w:hAnsiTheme="minorEastAsia" w:eastAsiaTheme="minorEastAsia"/>
                <w:color w:val="auto"/>
                <w:sz w:val="24"/>
                <w:highlight w:val="none"/>
              </w:rPr>
            </w:pPr>
          </w:p>
        </w:tc>
        <w:tc>
          <w:tcPr>
            <w:tcW w:w="4525" w:type="pct"/>
            <w:vAlign w:val="center"/>
          </w:tcPr>
          <w:p w14:paraId="78D7F78C">
            <w:pPr>
              <w:spacing w:line="560" w:lineRule="exact"/>
              <w:rPr>
                <w:rFonts w:asciiTheme="minorEastAsia" w:hAnsiTheme="minorEastAsia" w:eastAsiaTheme="minorEastAsia"/>
                <w:color w:val="auto"/>
                <w:sz w:val="24"/>
                <w:highlight w:val="none"/>
              </w:rPr>
            </w:pPr>
          </w:p>
        </w:tc>
      </w:tr>
      <w:tr w14:paraId="1E758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222420CA">
            <w:pPr>
              <w:spacing w:line="560" w:lineRule="exact"/>
              <w:rPr>
                <w:rFonts w:asciiTheme="minorEastAsia" w:hAnsiTheme="minorEastAsia" w:eastAsiaTheme="minorEastAsia"/>
                <w:color w:val="auto"/>
                <w:sz w:val="24"/>
                <w:highlight w:val="none"/>
              </w:rPr>
            </w:pPr>
          </w:p>
        </w:tc>
        <w:tc>
          <w:tcPr>
            <w:tcW w:w="4525" w:type="pct"/>
            <w:vAlign w:val="center"/>
          </w:tcPr>
          <w:p w14:paraId="1D0D6B2A">
            <w:pPr>
              <w:spacing w:line="560" w:lineRule="exact"/>
              <w:rPr>
                <w:rFonts w:asciiTheme="minorEastAsia" w:hAnsiTheme="minorEastAsia" w:eastAsiaTheme="minorEastAsia"/>
                <w:color w:val="auto"/>
                <w:sz w:val="24"/>
                <w:highlight w:val="none"/>
                <w:u w:val="single"/>
              </w:rPr>
            </w:pPr>
          </w:p>
        </w:tc>
      </w:tr>
      <w:tr w14:paraId="561C61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664A3FF6">
            <w:pPr>
              <w:spacing w:line="560" w:lineRule="exact"/>
              <w:rPr>
                <w:rFonts w:asciiTheme="minorEastAsia" w:hAnsiTheme="minorEastAsia" w:eastAsiaTheme="minorEastAsia"/>
                <w:color w:val="auto"/>
                <w:sz w:val="24"/>
                <w:highlight w:val="none"/>
              </w:rPr>
            </w:pPr>
          </w:p>
        </w:tc>
        <w:tc>
          <w:tcPr>
            <w:tcW w:w="4525" w:type="pct"/>
            <w:vAlign w:val="center"/>
          </w:tcPr>
          <w:p w14:paraId="0C73D209">
            <w:pPr>
              <w:spacing w:line="560" w:lineRule="exact"/>
              <w:rPr>
                <w:rFonts w:asciiTheme="minorEastAsia" w:hAnsiTheme="minorEastAsia" w:eastAsiaTheme="minorEastAsia"/>
                <w:color w:val="auto"/>
                <w:sz w:val="24"/>
                <w:highlight w:val="none"/>
              </w:rPr>
            </w:pPr>
          </w:p>
        </w:tc>
      </w:tr>
      <w:tr w14:paraId="5C99BA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14:paraId="77A84C47">
            <w:pPr>
              <w:spacing w:line="560" w:lineRule="exact"/>
              <w:rPr>
                <w:rFonts w:asciiTheme="minorEastAsia" w:hAnsiTheme="minorEastAsia" w:eastAsiaTheme="minorEastAsia"/>
                <w:color w:val="auto"/>
                <w:sz w:val="24"/>
                <w:highlight w:val="none"/>
              </w:rPr>
            </w:pPr>
          </w:p>
        </w:tc>
        <w:tc>
          <w:tcPr>
            <w:tcW w:w="4525" w:type="pct"/>
            <w:vAlign w:val="center"/>
          </w:tcPr>
          <w:p w14:paraId="3F7BF534">
            <w:pPr>
              <w:spacing w:line="560" w:lineRule="exact"/>
              <w:rPr>
                <w:rFonts w:asciiTheme="minorEastAsia" w:hAnsiTheme="minorEastAsia" w:eastAsiaTheme="minorEastAsia"/>
                <w:color w:val="auto"/>
                <w:sz w:val="24"/>
                <w:highlight w:val="none"/>
                <w:u w:val="single"/>
              </w:rPr>
            </w:pPr>
          </w:p>
        </w:tc>
      </w:tr>
      <w:tr w14:paraId="035D3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38704E9E">
            <w:pPr>
              <w:spacing w:line="560" w:lineRule="exact"/>
              <w:rPr>
                <w:rFonts w:asciiTheme="minorEastAsia" w:hAnsiTheme="minorEastAsia" w:eastAsiaTheme="minorEastAsia"/>
                <w:color w:val="auto"/>
                <w:sz w:val="24"/>
                <w:highlight w:val="none"/>
              </w:rPr>
            </w:pPr>
          </w:p>
        </w:tc>
        <w:tc>
          <w:tcPr>
            <w:tcW w:w="4525" w:type="pct"/>
            <w:vAlign w:val="center"/>
          </w:tcPr>
          <w:p w14:paraId="47A855AF">
            <w:pPr>
              <w:spacing w:line="560" w:lineRule="exact"/>
              <w:rPr>
                <w:rFonts w:asciiTheme="minorEastAsia" w:hAnsiTheme="minorEastAsia" w:eastAsiaTheme="minorEastAsia"/>
                <w:color w:val="auto"/>
                <w:sz w:val="24"/>
                <w:highlight w:val="none"/>
              </w:rPr>
            </w:pPr>
          </w:p>
        </w:tc>
      </w:tr>
      <w:tr w14:paraId="10960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60F98E6A">
            <w:pPr>
              <w:spacing w:line="560" w:lineRule="exact"/>
              <w:rPr>
                <w:rFonts w:asciiTheme="minorEastAsia" w:hAnsiTheme="minorEastAsia" w:eastAsiaTheme="minorEastAsia"/>
                <w:color w:val="auto"/>
                <w:sz w:val="24"/>
                <w:highlight w:val="none"/>
              </w:rPr>
            </w:pPr>
          </w:p>
        </w:tc>
        <w:tc>
          <w:tcPr>
            <w:tcW w:w="4525" w:type="pct"/>
            <w:vAlign w:val="center"/>
          </w:tcPr>
          <w:p w14:paraId="5C23A960">
            <w:pPr>
              <w:spacing w:line="560" w:lineRule="exact"/>
              <w:rPr>
                <w:rFonts w:asciiTheme="minorEastAsia" w:hAnsiTheme="minorEastAsia" w:eastAsiaTheme="minorEastAsia"/>
                <w:color w:val="auto"/>
                <w:sz w:val="24"/>
                <w:highlight w:val="none"/>
              </w:rPr>
            </w:pPr>
          </w:p>
        </w:tc>
      </w:tr>
      <w:tr w14:paraId="6F685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14:paraId="7469B05E">
            <w:pPr>
              <w:spacing w:line="560" w:lineRule="exact"/>
              <w:rPr>
                <w:rFonts w:asciiTheme="minorEastAsia" w:hAnsiTheme="minorEastAsia" w:eastAsiaTheme="minorEastAsia"/>
                <w:color w:val="auto"/>
                <w:sz w:val="24"/>
                <w:highlight w:val="none"/>
              </w:rPr>
            </w:pPr>
          </w:p>
        </w:tc>
        <w:tc>
          <w:tcPr>
            <w:tcW w:w="4525" w:type="pct"/>
            <w:vAlign w:val="center"/>
          </w:tcPr>
          <w:p w14:paraId="5C6D2DA2">
            <w:pPr>
              <w:spacing w:line="560" w:lineRule="exact"/>
              <w:rPr>
                <w:rFonts w:asciiTheme="minorEastAsia" w:hAnsiTheme="minorEastAsia" w:eastAsiaTheme="minorEastAsia"/>
                <w:color w:val="auto"/>
                <w:sz w:val="24"/>
                <w:highlight w:val="none"/>
              </w:rPr>
            </w:pPr>
          </w:p>
        </w:tc>
      </w:tr>
      <w:tr w14:paraId="236614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54CF5CE8">
            <w:pPr>
              <w:spacing w:line="560" w:lineRule="exact"/>
              <w:rPr>
                <w:rFonts w:asciiTheme="minorEastAsia" w:hAnsiTheme="minorEastAsia" w:eastAsiaTheme="minorEastAsia"/>
                <w:color w:val="auto"/>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14:paraId="129CB286">
            <w:pPr>
              <w:spacing w:line="560" w:lineRule="exact"/>
              <w:rPr>
                <w:rFonts w:asciiTheme="minorEastAsia" w:hAnsiTheme="minorEastAsia" w:eastAsiaTheme="minorEastAsia"/>
                <w:color w:val="auto"/>
                <w:sz w:val="24"/>
                <w:highlight w:val="none"/>
              </w:rPr>
            </w:pPr>
          </w:p>
        </w:tc>
      </w:tr>
      <w:tr w14:paraId="3543E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14:paraId="40E86579">
            <w:pPr>
              <w:spacing w:line="560" w:lineRule="exact"/>
              <w:rPr>
                <w:rFonts w:asciiTheme="minorEastAsia" w:hAnsiTheme="minorEastAsia" w:eastAsiaTheme="minorEastAsia"/>
                <w:color w:val="auto"/>
                <w:sz w:val="24"/>
                <w:highlight w:val="none"/>
              </w:rPr>
            </w:pPr>
          </w:p>
        </w:tc>
        <w:tc>
          <w:tcPr>
            <w:tcW w:w="4525" w:type="pct"/>
            <w:tcBorders>
              <w:top w:val="single" w:color="auto" w:sz="6" w:space="0"/>
              <w:left w:val="single" w:color="auto" w:sz="6" w:space="0"/>
              <w:bottom w:val="single" w:color="auto" w:sz="6" w:space="0"/>
              <w:right w:val="single" w:color="auto" w:sz="6" w:space="0"/>
            </w:tcBorders>
            <w:vAlign w:val="center"/>
          </w:tcPr>
          <w:p w14:paraId="1963B8A4">
            <w:pPr>
              <w:spacing w:line="560" w:lineRule="exact"/>
              <w:rPr>
                <w:rFonts w:asciiTheme="minorEastAsia" w:hAnsiTheme="minorEastAsia" w:eastAsiaTheme="minorEastAsia"/>
                <w:color w:val="auto"/>
                <w:sz w:val="24"/>
                <w:highlight w:val="none"/>
              </w:rPr>
            </w:pPr>
          </w:p>
        </w:tc>
      </w:tr>
    </w:tbl>
    <w:p w14:paraId="46B0A278">
      <w:pPr>
        <w:spacing w:line="360" w:lineRule="auto"/>
        <w:rPr>
          <w:rFonts w:asciiTheme="minorEastAsia" w:hAnsiTheme="minorEastAsia" w:eastAsiaTheme="minorEastAsia" w:cstheme="minorEastAsia"/>
          <w:color w:val="auto"/>
          <w:sz w:val="28"/>
          <w:szCs w:val="27"/>
          <w:highlight w:val="none"/>
        </w:rPr>
      </w:pPr>
      <w:r>
        <w:rPr>
          <w:rFonts w:hint="eastAsia" w:asciiTheme="minorEastAsia" w:hAnsiTheme="minorEastAsia" w:eastAsiaTheme="minorEastAsia" w:cstheme="minorEastAsia"/>
          <w:color w:val="auto"/>
          <w:sz w:val="28"/>
          <w:szCs w:val="27"/>
          <w:highlight w:val="none"/>
        </w:rPr>
        <w:br w:type="page"/>
      </w:r>
    </w:p>
    <w:p w14:paraId="192C0ED1">
      <w:pPr>
        <w:spacing w:line="360" w:lineRule="auto"/>
        <w:jc w:val="center"/>
        <w:outlineLvl w:val="0"/>
        <w:rPr>
          <w:rFonts w:asciiTheme="minorEastAsia" w:hAnsiTheme="minorEastAsia" w:eastAsiaTheme="minorEastAsia"/>
          <w:b/>
          <w:color w:val="auto"/>
          <w:sz w:val="28"/>
          <w:highlight w:val="none"/>
        </w:rPr>
      </w:pPr>
      <w:bookmarkStart w:id="191" w:name="_Toc16475"/>
      <w:bookmarkStart w:id="192" w:name="_Toc25148"/>
      <w:bookmarkStart w:id="193" w:name="_Toc2430"/>
      <w:r>
        <w:rPr>
          <w:rFonts w:hint="eastAsia" w:asciiTheme="minorEastAsia" w:hAnsiTheme="minorEastAsia" w:eastAsiaTheme="minorEastAsia"/>
          <w:b/>
          <w:color w:val="auto"/>
          <w:sz w:val="28"/>
          <w:highlight w:val="none"/>
        </w:rPr>
        <w:t>第六章  响应文件格式</w:t>
      </w:r>
      <w:bookmarkEnd w:id="191"/>
      <w:bookmarkEnd w:id="192"/>
      <w:bookmarkEnd w:id="193"/>
    </w:p>
    <w:p w14:paraId="22B512D6">
      <w:pPr>
        <w:spacing w:line="900" w:lineRule="exact"/>
        <w:jc w:val="center"/>
        <w:rPr>
          <w:rFonts w:asciiTheme="minorEastAsia" w:hAnsiTheme="minorEastAsia" w:eastAsiaTheme="minorEastAsia"/>
          <w:b/>
          <w:color w:val="auto"/>
          <w:sz w:val="72"/>
          <w:highlight w:val="none"/>
        </w:rPr>
      </w:pPr>
    </w:p>
    <w:p w14:paraId="2A760AD2">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响</w:t>
      </w:r>
    </w:p>
    <w:p w14:paraId="31C70137">
      <w:pPr>
        <w:spacing w:line="900" w:lineRule="exact"/>
        <w:jc w:val="center"/>
        <w:rPr>
          <w:rFonts w:asciiTheme="minorEastAsia" w:hAnsiTheme="minorEastAsia" w:eastAsiaTheme="minorEastAsia"/>
          <w:b/>
          <w:color w:val="auto"/>
          <w:sz w:val="72"/>
          <w:highlight w:val="none"/>
        </w:rPr>
      </w:pPr>
    </w:p>
    <w:p w14:paraId="1A61D115">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应</w:t>
      </w:r>
    </w:p>
    <w:p w14:paraId="26588355">
      <w:pPr>
        <w:spacing w:line="900" w:lineRule="exact"/>
        <w:jc w:val="center"/>
        <w:rPr>
          <w:rFonts w:asciiTheme="minorEastAsia" w:hAnsiTheme="minorEastAsia" w:eastAsiaTheme="minorEastAsia"/>
          <w:b/>
          <w:color w:val="auto"/>
          <w:sz w:val="72"/>
          <w:highlight w:val="none"/>
        </w:rPr>
      </w:pPr>
    </w:p>
    <w:p w14:paraId="1C2D6683">
      <w:pPr>
        <w:spacing w:line="900" w:lineRule="exact"/>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文</w:t>
      </w:r>
    </w:p>
    <w:p w14:paraId="2A2E9D33">
      <w:pPr>
        <w:spacing w:line="900" w:lineRule="exact"/>
        <w:jc w:val="center"/>
        <w:rPr>
          <w:rFonts w:asciiTheme="minorEastAsia" w:hAnsiTheme="minorEastAsia" w:eastAsiaTheme="minorEastAsia"/>
          <w:b/>
          <w:color w:val="auto"/>
          <w:sz w:val="72"/>
          <w:highlight w:val="none"/>
        </w:rPr>
      </w:pPr>
    </w:p>
    <w:p w14:paraId="5AFDC727">
      <w:pPr>
        <w:jc w:val="center"/>
        <w:outlineLvl w:val="2"/>
        <w:rPr>
          <w:rFonts w:asciiTheme="minorEastAsia" w:hAnsiTheme="minorEastAsia" w:eastAsiaTheme="minorEastAsia"/>
          <w:b/>
          <w:color w:val="auto"/>
          <w:sz w:val="72"/>
          <w:highlight w:val="none"/>
        </w:rPr>
      </w:pPr>
      <w:r>
        <w:rPr>
          <w:rFonts w:hint="eastAsia" w:asciiTheme="minorEastAsia" w:hAnsiTheme="minorEastAsia" w:eastAsiaTheme="minorEastAsia"/>
          <w:b/>
          <w:color w:val="auto"/>
          <w:sz w:val="72"/>
          <w:highlight w:val="none"/>
        </w:rPr>
        <w:t>件</w:t>
      </w:r>
    </w:p>
    <w:p w14:paraId="5B85C17E">
      <w:pPr>
        <w:spacing w:after="156" w:afterLines="50"/>
        <w:jc w:val="center"/>
        <w:rPr>
          <w:rFonts w:asciiTheme="minorEastAsia" w:hAnsiTheme="minorEastAsia" w:eastAsiaTheme="minorEastAsia"/>
          <w:b/>
          <w:color w:val="auto"/>
          <w:sz w:val="72"/>
          <w:highlight w:val="none"/>
        </w:rPr>
      </w:pPr>
    </w:p>
    <w:p w14:paraId="7AD1396E">
      <w:pPr>
        <w:pStyle w:val="9"/>
        <w:keepNext w:val="0"/>
        <w:keepLines w:val="0"/>
        <w:pageBreakBefore w:val="0"/>
        <w:widowControl w:val="0"/>
        <w:kinsoku/>
        <w:wordWrap/>
        <w:overflowPunct/>
        <w:topLinePunct w:val="0"/>
        <w:autoSpaceDE/>
        <w:autoSpaceDN/>
        <w:bidi w:val="0"/>
        <w:adjustRightInd/>
        <w:snapToGrid/>
        <w:spacing w:after="0" w:line="360" w:lineRule="auto"/>
        <w:ind w:firstLine="480" w:firstLineChars="200"/>
        <w:jc w:val="center"/>
        <w:textAlignment w:val="auto"/>
        <w:outlineLvl w:val="9"/>
        <w:rPr>
          <w:rFonts w:hint="default" w:ascii="宋体" w:hAnsi="宋体" w:eastAsia="宋体"/>
          <w:color w:val="auto"/>
          <w:sz w:val="24"/>
          <w:szCs w:val="18"/>
          <w:highlight w:val="none"/>
          <w:lang w:val="en-US" w:eastAsia="zh-CN"/>
        </w:rPr>
      </w:pPr>
    </w:p>
    <w:p w14:paraId="40EE5A73">
      <w:pPr>
        <w:spacing w:after="156" w:afterLines="50" w:line="500" w:lineRule="exact"/>
        <w:jc w:val="both"/>
        <w:rPr>
          <w:rFonts w:asciiTheme="minorEastAsia" w:hAnsiTheme="minorEastAsia" w:eastAsiaTheme="minorEastAsia"/>
          <w:b/>
          <w:color w:val="auto"/>
          <w:sz w:val="72"/>
          <w:highlight w:val="none"/>
        </w:rPr>
      </w:pPr>
    </w:p>
    <w:p w14:paraId="70D9474D">
      <w:pPr>
        <w:spacing w:after="156" w:afterLines="50" w:line="500" w:lineRule="exact"/>
        <w:jc w:val="center"/>
        <w:rPr>
          <w:rFonts w:asciiTheme="minorEastAsia" w:hAnsiTheme="minorEastAsia" w:eastAsiaTheme="minorEastAsia"/>
          <w:b/>
          <w:color w:val="auto"/>
          <w:sz w:val="28"/>
          <w:szCs w:val="28"/>
          <w:highlight w:val="none"/>
        </w:rPr>
      </w:pPr>
    </w:p>
    <w:p w14:paraId="323DE5E3">
      <w:pPr>
        <w:tabs>
          <w:tab w:val="left" w:pos="2410"/>
        </w:tabs>
        <w:autoSpaceDE w:val="0"/>
        <w:autoSpaceDN w:val="0"/>
        <w:adjustRightInd w:val="0"/>
        <w:snapToGrid w:val="0"/>
        <w:spacing w:line="360" w:lineRule="auto"/>
        <w:ind w:firstLine="643" w:firstLineChars="200"/>
        <w:jc w:val="both"/>
        <w:outlineLvl w:val="9"/>
        <w:rPr>
          <w:rFonts w:hint="default" w:ascii="宋体" w:hAnsi="宋体" w:eastAsia="宋体"/>
          <w:b/>
          <w:color w:val="auto"/>
          <w:spacing w:val="20"/>
          <w:kern w:val="0"/>
          <w:sz w:val="32"/>
          <w:szCs w:val="32"/>
          <w:highlight w:val="none"/>
          <w:lang w:val="en-US" w:eastAsia="zh-CN"/>
        </w:rPr>
      </w:pPr>
      <w:r>
        <w:rPr>
          <w:rFonts w:hint="eastAsia" w:asciiTheme="minorEastAsia" w:hAnsiTheme="minorEastAsia" w:eastAsiaTheme="minorEastAsia"/>
          <w:b/>
          <w:color w:val="auto"/>
          <w:sz w:val="32"/>
          <w:highlight w:val="none"/>
        </w:rPr>
        <w:t>项目名称：</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6B01918D">
      <w:pPr>
        <w:tabs>
          <w:tab w:val="left" w:pos="2410"/>
        </w:tabs>
        <w:autoSpaceDE w:val="0"/>
        <w:autoSpaceDN w:val="0"/>
        <w:adjustRightInd w:val="0"/>
        <w:snapToGrid w:val="0"/>
        <w:spacing w:line="360" w:lineRule="auto"/>
        <w:ind w:firstLine="643" w:firstLineChars="200"/>
        <w:jc w:val="both"/>
        <w:outlineLvl w:val="9"/>
        <w:rPr>
          <w:rFonts w:hint="eastAsia"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rPr>
        <w:t>项目编号：</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5D3C640E">
      <w:pPr>
        <w:tabs>
          <w:tab w:val="left" w:pos="2410"/>
        </w:tabs>
        <w:autoSpaceDE w:val="0"/>
        <w:autoSpaceDN w:val="0"/>
        <w:adjustRightInd w:val="0"/>
        <w:snapToGrid w:val="0"/>
        <w:spacing w:line="360" w:lineRule="auto"/>
        <w:ind w:firstLine="643" w:firstLineChars="200"/>
        <w:jc w:val="both"/>
        <w:outlineLvl w:val="9"/>
        <w:rPr>
          <w:rFonts w:asciiTheme="minorEastAsia" w:hAnsiTheme="minorEastAsia" w:eastAsiaTheme="minorEastAsia"/>
          <w:b/>
          <w:color w:val="auto"/>
          <w:sz w:val="32"/>
          <w:highlight w:val="none"/>
          <w:u w:val="single"/>
        </w:rPr>
      </w:pPr>
      <w:r>
        <w:rPr>
          <w:rFonts w:hint="eastAsia" w:asciiTheme="minorEastAsia" w:hAnsiTheme="minorEastAsia" w:eastAsiaTheme="minorEastAsia"/>
          <w:b/>
          <w:color w:val="auto"/>
          <w:sz w:val="32"/>
          <w:highlight w:val="none"/>
          <w:lang w:val="en-US" w:eastAsia="zh-CN"/>
        </w:rPr>
        <w:t>供 应 商</w:t>
      </w:r>
      <w:r>
        <w:rPr>
          <w:rFonts w:hint="eastAsia" w:asciiTheme="minorEastAsia" w:hAnsiTheme="minorEastAsia" w:eastAsiaTheme="minorEastAsia"/>
          <w:b/>
          <w:color w:val="auto"/>
          <w:sz w:val="32"/>
          <w:highlight w:val="none"/>
        </w:rPr>
        <w:t>：</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u w:val="single"/>
          <w:lang w:val="en-US" w:eastAsia="zh-CN"/>
        </w:rPr>
        <w:t xml:space="preserve">   </w:t>
      </w:r>
      <w:r>
        <w:rPr>
          <w:rFonts w:hint="eastAsia" w:asciiTheme="minorEastAsia" w:hAnsiTheme="minorEastAsia" w:eastAsiaTheme="minorEastAsia"/>
          <w:b/>
          <w:color w:val="auto"/>
          <w:sz w:val="32"/>
          <w:highlight w:val="none"/>
          <w:u w:val="single"/>
        </w:rPr>
        <w:t xml:space="preserve">    </w:t>
      </w:r>
    </w:p>
    <w:p w14:paraId="03D63126">
      <w:pPr>
        <w:spacing w:after="156" w:afterLines="50" w:line="500" w:lineRule="exact"/>
        <w:jc w:val="center"/>
        <w:outlineLvl w:val="9"/>
        <w:rPr>
          <w:rFonts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u w:val="single"/>
        </w:rPr>
        <w:t xml:space="preserve">  </w:t>
      </w:r>
      <w:bookmarkStart w:id="194" w:name="_Toc8037"/>
      <w:r>
        <w:rPr>
          <w:rFonts w:hint="eastAsia" w:asciiTheme="minorEastAsia" w:hAnsiTheme="minorEastAsia" w:eastAsiaTheme="minorEastAsia"/>
          <w:b/>
          <w:color w:val="auto"/>
          <w:sz w:val="32"/>
          <w:highlight w:val="none"/>
        </w:rPr>
        <w:t>年</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月</w:t>
      </w:r>
      <w:r>
        <w:rPr>
          <w:rFonts w:hint="eastAsia" w:asciiTheme="minorEastAsia" w:hAnsiTheme="minorEastAsia" w:eastAsiaTheme="minorEastAsia"/>
          <w:b/>
          <w:color w:val="auto"/>
          <w:sz w:val="32"/>
          <w:highlight w:val="none"/>
          <w:u w:val="single"/>
        </w:rPr>
        <w:t xml:space="preserve">  </w:t>
      </w:r>
      <w:r>
        <w:rPr>
          <w:rFonts w:hint="eastAsia" w:asciiTheme="minorEastAsia" w:hAnsiTheme="minorEastAsia" w:eastAsiaTheme="minorEastAsia"/>
          <w:b/>
          <w:color w:val="auto"/>
          <w:sz w:val="32"/>
          <w:highlight w:val="none"/>
        </w:rPr>
        <w:t>日</w:t>
      </w:r>
      <w:bookmarkEnd w:id="194"/>
    </w:p>
    <w:p w14:paraId="339AAE02">
      <w:pPr>
        <w:widowControl/>
        <w:jc w:val="left"/>
        <w:rPr>
          <w:rFonts w:asciiTheme="minorEastAsia" w:hAnsiTheme="minorEastAsia" w:eastAsiaTheme="minorEastAsia"/>
          <w:b/>
          <w:color w:val="auto"/>
          <w:sz w:val="28"/>
          <w:highlight w:val="none"/>
        </w:rPr>
      </w:pPr>
      <w:r>
        <w:rPr>
          <w:rFonts w:asciiTheme="minorEastAsia" w:hAnsiTheme="minorEastAsia" w:eastAsiaTheme="minorEastAsia"/>
          <w:b/>
          <w:color w:val="auto"/>
          <w:sz w:val="28"/>
          <w:highlight w:val="none"/>
        </w:rPr>
        <w:br w:type="page"/>
      </w:r>
    </w:p>
    <w:p w14:paraId="616186D4">
      <w:pPr>
        <w:spacing w:line="360" w:lineRule="auto"/>
        <w:jc w:val="center"/>
        <w:outlineLvl w:val="1"/>
        <w:rPr>
          <w:rFonts w:asciiTheme="minorEastAsia" w:hAnsiTheme="minorEastAsia" w:eastAsiaTheme="minorEastAsia"/>
          <w:b/>
          <w:color w:val="auto"/>
          <w:sz w:val="24"/>
          <w:highlight w:val="none"/>
        </w:rPr>
      </w:pPr>
      <w:bookmarkStart w:id="195" w:name="_Toc461053086"/>
      <w:bookmarkStart w:id="196" w:name="_Toc461056631"/>
      <w:bookmarkStart w:id="197" w:name="_Toc5881"/>
      <w:bookmarkStart w:id="198" w:name="_Toc520983587"/>
      <w:bookmarkStart w:id="199" w:name="_Toc26791"/>
      <w:r>
        <w:rPr>
          <w:rFonts w:hint="eastAsia" w:asciiTheme="minorEastAsia" w:hAnsiTheme="minorEastAsia" w:eastAsiaTheme="minorEastAsia"/>
          <w:b/>
          <w:color w:val="auto"/>
          <w:sz w:val="24"/>
          <w:highlight w:val="none"/>
        </w:rPr>
        <w:t>一</w:t>
      </w:r>
      <w:bookmarkEnd w:id="195"/>
      <w:bookmarkEnd w:id="196"/>
      <w:r>
        <w:rPr>
          <w:rFonts w:hint="eastAsia" w:asciiTheme="minorEastAsia" w:hAnsiTheme="minorEastAsia" w:eastAsiaTheme="minorEastAsia"/>
          <w:b/>
          <w:color w:val="auto"/>
          <w:sz w:val="24"/>
          <w:highlight w:val="none"/>
        </w:rPr>
        <w:t>、报价表格式</w:t>
      </w:r>
      <w:bookmarkEnd w:id="197"/>
      <w:bookmarkEnd w:id="198"/>
      <w:bookmarkEnd w:id="199"/>
    </w:p>
    <w:p w14:paraId="1F222176">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1-1 报价表</w:t>
      </w:r>
    </w:p>
    <w:p w14:paraId="37C47F77">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p w14:paraId="5D0CA5FB">
      <w:pPr>
        <w:snapToGrid w:val="0"/>
        <w:spacing w:after="156" w:afterLines="50" w:line="360" w:lineRule="auto"/>
        <w:jc w:val="left"/>
        <w:rPr>
          <w:rFonts w:ascii="宋体" w:hAnsi="宋体" w:eastAsia="宋体"/>
          <w:b/>
          <w:bCs/>
          <w:color w:val="auto"/>
          <w:sz w:val="24"/>
          <w:szCs w:val="28"/>
          <w:highlight w:val="none"/>
          <w:u w:val="singl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2D06A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111D9CC">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037AEEDB">
            <w:pPr>
              <w:spacing w:line="360" w:lineRule="auto"/>
              <w:rPr>
                <w:rFonts w:ascii="宋体" w:hAnsi="宋体" w:eastAsia="宋体"/>
                <w:b/>
                <w:color w:val="auto"/>
                <w:sz w:val="24"/>
                <w:highlight w:val="none"/>
              </w:rPr>
            </w:pPr>
          </w:p>
        </w:tc>
      </w:tr>
      <w:tr w14:paraId="17FF9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5C343762">
            <w:pPr>
              <w:spacing w:line="360" w:lineRule="exact"/>
              <w:jc w:val="center"/>
              <w:rPr>
                <w:rFonts w:ascii="宋体" w:hAnsi="宋体" w:eastAsia="宋体"/>
                <w:b/>
                <w:color w:val="auto"/>
                <w:sz w:val="24"/>
                <w:highlight w:val="none"/>
              </w:rPr>
            </w:pPr>
            <w:r>
              <w:rPr>
                <w:rFonts w:hint="eastAsia" w:ascii="宋体" w:hAnsi="宋体" w:eastAsia="宋体"/>
                <w:b/>
                <w:color w:val="auto"/>
                <w:sz w:val="24"/>
                <w:highlight w:val="none"/>
              </w:rPr>
              <w:t>磋商范围</w:t>
            </w:r>
          </w:p>
        </w:tc>
        <w:tc>
          <w:tcPr>
            <w:tcW w:w="3557" w:type="pct"/>
            <w:tcBorders>
              <w:left w:val="single" w:color="auto" w:sz="4" w:space="0"/>
            </w:tcBorders>
            <w:vAlign w:val="center"/>
          </w:tcPr>
          <w:p w14:paraId="6AF23C53">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 xml:space="preserve">全部 </w:t>
            </w:r>
          </w:p>
        </w:tc>
      </w:tr>
      <w:tr w14:paraId="20B0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0F68DE9D">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报价</w:t>
            </w:r>
          </w:p>
          <w:p w14:paraId="79BD1F4F">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6B8204D9">
            <w:pPr>
              <w:snapToGrid w:val="0"/>
              <w:spacing w:line="360" w:lineRule="auto"/>
              <w:rPr>
                <w:rFonts w:ascii="宋体" w:hAnsi="宋体" w:eastAsia="宋体"/>
                <w:color w:val="auto"/>
                <w:sz w:val="24"/>
                <w:szCs w:val="28"/>
                <w:highlight w:val="none"/>
              </w:rPr>
            </w:pPr>
          </w:p>
          <w:p w14:paraId="178047D3">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p>
          <w:p w14:paraId="24AA1EEE">
            <w:pPr>
              <w:spacing w:line="360" w:lineRule="auto"/>
              <w:ind w:right="-670"/>
              <w:rPr>
                <w:rFonts w:hint="eastAsia" w:asciiTheme="minorEastAsia" w:hAnsiTheme="minorEastAsia" w:eastAsiaTheme="minorEastAsia"/>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p>
          <w:p w14:paraId="1F0689D0">
            <w:pPr>
              <w:snapToGrid w:val="0"/>
              <w:spacing w:line="360" w:lineRule="auto"/>
              <w:rPr>
                <w:rFonts w:ascii="宋体" w:hAnsi="宋体" w:eastAsia="宋体"/>
                <w:b/>
                <w:color w:val="auto"/>
                <w:sz w:val="24"/>
                <w:highlight w:val="none"/>
              </w:rPr>
            </w:pPr>
          </w:p>
        </w:tc>
      </w:tr>
      <w:tr w14:paraId="5F535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6682C0E2">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4F75DD58">
            <w:pPr>
              <w:spacing w:line="360" w:lineRule="auto"/>
              <w:rPr>
                <w:rFonts w:ascii="宋体" w:hAnsi="宋体" w:eastAsia="宋体"/>
                <w:b/>
                <w:color w:val="auto"/>
                <w:sz w:val="24"/>
                <w:highlight w:val="none"/>
              </w:rPr>
            </w:pPr>
          </w:p>
        </w:tc>
      </w:tr>
    </w:tbl>
    <w:p w14:paraId="519B2B1C">
      <w:pP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5D339F0D">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0612DB85">
      <w:pPr>
        <w:adjustRightInd w:val="0"/>
        <w:snapToGrid w:val="0"/>
        <w:spacing w:line="360" w:lineRule="auto"/>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注：</w:t>
      </w:r>
    </w:p>
    <w:p w14:paraId="2C94478A">
      <w:pPr>
        <w:adjustRightInd w:val="0"/>
        <w:snapToGrid w:val="0"/>
        <w:spacing w:line="360" w:lineRule="auto"/>
        <w:ind w:firstLine="482" w:firstLineChars="200"/>
        <w:rPr>
          <w:rFonts w:ascii="宋体" w:hAnsi="宋体" w:eastAsia="宋体"/>
          <w:color w:val="auto"/>
          <w:sz w:val="24"/>
          <w:highlight w:val="none"/>
        </w:rPr>
      </w:pPr>
      <w:r>
        <w:rPr>
          <w:rFonts w:hint="eastAsia" w:ascii="宋体" w:hAnsi="宋体" w:eastAsia="宋体"/>
          <w:b/>
          <w:bCs/>
          <w:color w:val="auto"/>
          <w:sz w:val="24"/>
          <w:szCs w:val="28"/>
          <w:highlight w:val="none"/>
        </w:rPr>
        <w:t>1.本表内容根据磋商文件要求包括了服务及其配套的设计、采购、制造、检测、试验、运输、保险、仓储、税费以及现场落地、安装及安装耗损、调试、培训、技术服务（包括技术资料、图纸的提供）质保期内的售后服务保障等所有费用。</w:t>
      </w:r>
    </w:p>
    <w:p w14:paraId="0EFBE9EE">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2.特殊事项在备注中注明。</w:t>
      </w:r>
    </w:p>
    <w:p w14:paraId="06C83B4A">
      <w:pPr>
        <w:adjustRightInd w:val="0"/>
        <w:snapToGrid w:val="0"/>
        <w:spacing w:line="360" w:lineRule="auto"/>
        <w:ind w:firstLine="482" w:firstLineChars="200"/>
        <w:rPr>
          <w:rFonts w:hint="default" w:ascii="宋体" w:hAnsi="宋体" w:eastAsia="宋体"/>
          <w:b/>
          <w:bCs/>
          <w:color w:val="auto"/>
          <w:sz w:val="24"/>
          <w:szCs w:val="28"/>
          <w:highlight w:val="none"/>
          <w:lang w:val="en-US" w:eastAsia="zh-CN"/>
        </w:rPr>
      </w:pPr>
      <w:r>
        <w:rPr>
          <w:rFonts w:hint="eastAsia" w:ascii="宋体" w:hAnsi="宋体" w:eastAsia="宋体"/>
          <w:b/>
          <w:bCs/>
          <w:color w:val="auto"/>
          <w:sz w:val="24"/>
          <w:szCs w:val="28"/>
          <w:highlight w:val="none"/>
          <w:lang w:val="en-US" w:eastAsia="zh-CN"/>
        </w:rPr>
        <w:t>3</w:t>
      </w:r>
      <w:r>
        <w:rPr>
          <w:rFonts w:hint="eastAsia" w:ascii="宋体" w:hAnsi="宋体" w:eastAsia="宋体"/>
          <w:b/>
          <w:bCs/>
          <w:color w:val="auto"/>
          <w:sz w:val="24"/>
          <w:szCs w:val="28"/>
          <w:highlight w:val="none"/>
        </w:rPr>
        <w:t>.表中大写金额与小写金额不一致的，以大写金额为准。</w:t>
      </w:r>
    </w:p>
    <w:p w14:paraId="279D1545">
      <w:pPr>
        <w:widowControl/>
        <w:jc w:val="left"/>
        <w:rPr>
          <w:rFonts w:ascii="宋体" w:hAnsi="宋体" w:eastAsia="宋体"/>
          <w:b/>
          <w:bCs/>
          <w:color w:val="auto"/>
          <w:sz w:val="24"/>
          <w:szCs w:val="28"/>
          <w:highlight w:val="none"/>
        </w:rPr>
      </w:pPr>
      <w:r>
        <w:rPr>
          <w:rFonts w:ascii="宋体" w:hAnsi="宋体" w:eastAsia="宋体"/>
          <w:b/>
          <w:bCs/>
          <w:color w:val="auto"/>
          <w:sz w:val="24"/>
          <w:szCs w:val="28"/>
          <w:highlight w:val="none"/>
        </w:rPr>
        <w:br w:type="page"/>
      </w:r>
    </w:p>
    <w:p w14:paraId="34A04677">
      <w:pPr>
        <w:spacing w:before="156" w:beforeLines="50" w:after="156" w:afterLines="50" w:line="360" w:lineRule="auto"/>
        <w:jc w:val="left"/>
        <w:outlineLvl w:val="2"/>
        <w:rPr>
          <w:rFonts w:ascii="宋体" w:hAnsi="宋体" w:eastAsia="宋体"/>
          <w:b/>
          <w:color w:val="auto"/>
          <w:sz w:val="24"/>
          <w:szCs w:val="28"/>
          <w:highlight w:val="none"/>
        </w:rPr>
      </w:pPr>
      <w:r>
        <w:rPr>
          <w:rFonts w:hint="eastAsia" w:ascii="宋体" w:hAnsi="宋体" w:eastAsia="宋体"/>
          <w:b/>
          <w:color w:val="auto"/>
          <w:sz w:val="24"/>
          <w:szCs w:val="28"/>
          <w:highlight w:val="none"/>
        </w:rPr>
        <w:t>1-2 分项报价明细表</w:t>
      </w:r>
    </w:p>
    <w:p w14:paraId="12DDECBA">
      <w:pPr>
        <w:spacing w:line="360" w:lineRule="auto"/>
        <w:ind w:firstLine="435"/>
        <w:jc w:val="center"/>
        <w:rPr>
          <w:rFonts w:asciiTheme="minorEastAsia" w:hAnsiTheme="minorEastAsia" w:eastAsiaTheme="minorEastAsia"/>
          <w:b/>
          <w:color w:val="auto"/>
          <w:sz w:val="24"/>
          <w:highlight w:val="none"/>
        </w:rPr>
      </w:pPr>
      <w:r>
        <w:rPr>
          <w:rFonts w:hint="eastAsia" w:asciiTheme="minorEastAsia" w:hAnsiTheme="minorEastAsia" w:eastAsiaTheme="minorEastAsia"/>
          <w:i/>
          <w:color w:val="auto"/>
          <w:sz w:val="24"/>
          <w:highlight w:val="none"/>
        </w:rPr>
        <w:t>（仅供参考，供应商可自行制作格式）</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0"/>
        <w:gridCol w:w="3109"/>
        <w:gridCol w:w="1357"/>
        <w:gridCol w:w="1698"/>
        <w:gridCol w:w="1568"/>
      </w:tblGrid>
      <w:tr w14:paraId="470C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60C0160E">
            <w:pPr>
              <w:jc w:val="center"/>
              <w:rPr>
                <w:rFonts w:ascii="宋体" w:hAnsi="宋体" w:eastAsia="宋体"/>
                <w:b/>
                <w:color w:val="auto"/>
                <w:sz w:val="24"/>
                <w:highlight w:val="none"/>
              </w:rPr>
            </w:pPr>
            <w:r>
              <w:rPr>
                <w:rFonts w:hint="eastAsia" w:ascii="宋体" w:hAnsi="宋体" w:eastAsia="宋体"/>
                <w:b/>
                <w:color w:val="auto"/>
                <w:sz w:val="24"/>
                <w:highlight w:val="none"/>
              </w:rPr>
              <w:t>序号</w:t>
            </w:r>
          </w:p>
        </w:tc>
        <w:tc>
          <w:tcPr>
            <w:tcW w:w="1824" w:type="pct"/>
            <w:vAlign w:val="center"/>
          </w:tcPr>
          <w:p w14:paraId="03ABBAA4">
            <w:pPr>
              <w:jc w:val="center"/>
              <w:rPr>
                <w:rFonts w:ascii="宋体" w:hAnsi="宋体" w:eastAsia="宋体"/>
                <w:b/>
                <w:color w:val="auto"/>
                <w:sz w:val="24"/>
                <w:highlight w:val="none"/>
              </w:rPr>
            </w:pPr>
            <w:r>
              <w:rPr>
                <w:rFonts w:hint="eastAsia" w:ascii="宋体" w:hAnsi="宋体" w:eastAsia="宋体"/>
                <w:b/>
                <w:color w:val="auto"/>
                <w:sz w:val="24"/>
                <w:highlight w:val="none"/>
              </w:rPr>
              <w:t>服务内容</w:t>
            </w:r>
          </w:p>
        </w:tc>
        <w:tc>
          <w:tcPr>
            <w:tcW w:w="796" w:type="pct"/>
            <w:vAlign w:val="center"/>
          </w:tcPr>
          <w:p w14:paraId="15BB321E">
            <w:pPr>
              <w:jc w:val="center"/>
              <w:rPr>
                <w:rFonts w:ascii="宋体" w:hAnsi="宋体" w:eastAsia="宋体"/>
                <w:b/>
                <w:color w:val="auto"/>
                <w:sz w:val="24"/>
                <w:highlight w:val="none"/>
              </w:rPr>
            </w:pPr>
            <w:r>
              <w:rPr>
                <w:rFonts w:hint="eastAsia" w:ascii="宋体" w:hAnsi="宋体" w:eastAsia="宋体"/>
                <w:b/>
                <w:color w:val="auto"/>
                <w:sz w:val="24"/>
                <w:highlight w:val="none"/>
              </w:rPr>
              <w:t>项</w:t>
            </w:r>
          </w:p>
        </w:tc>
        <w:tc>
          <w:tcPr>
            <w:tcW w:w="996" w:type="pct"/>
            <w:vAlign w:val="center"/>
          </w:tcPr>
          <w:p w14:paraId="5842DA6D">
            <w:pPr>
              <w:jc w:val="center"/>
              <w:rPr>
                <w:rFonts w:ascii="宋体" w:hAnsi="宋体" w:eastAsia="宋体"/>
                <w:b/>
                <w:color w:val="auto"/>
                <w:sz w:val="24"/>
                <w:highlight w:val="none"/>
              </w:rPr>
            </w:pPr>
            <w:r>
              <w:rPr>
                <w:rFonts w:hint="eastAsia" w:ascii="宋体" w:hAnsi="宋体" w:eastAsia="宋体"/>
                <w:b/>
                <w:color w:val="auto"/>
                <w:sz w:val="24"/>
                <w:highlight w:val="none"/>
              </w:rPr>
              <w:t>单价</w:t>
            </w:r>
          </w:p>
        </w:tc>
        <w:tc>
          <w:tcPr>
            <w:tcW w:w="920" w:type="pct"/>
            <w:vAlign w:val="center"/>
          </w:tcPr>
          <w:p w14:paraId="08A52C8C">
            <w:pPr>
              <w:jc w:val="center"/>
              <w:rPr>
                <w:rFonts w:ascii="宋体" w:hAnsi="宋体" w:eastAsia="宋体"/>
                <w:b/>
                <w:color w:val="auto"/>
                <w:sz w:val="24"/>
                <w:highlight w:val="none"/>
              </w:rPr>
            </w:pPr>
            <w:r>
              <w:rPr>
                <w:rFonts w:hint="eastAsia" w:ascii="宋体" w:hAnsi="宋体" w:eastAsia="宋体"/>
                <w:b/>
                <w:color w:val="auto"/>
                <w:sz w:val="24"/>
                <w:highlight w:val="none"/>
              </w:rPr>
              <w:t>小计金额（元）</w:t>
            </w:r>
          </w:p>
        </w:tc>
      </w:tr>
      <w:tr w14:paraId="5D5CE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6AEB54E0">
            <w:pPr>
              <w:jc w:val="center"/>
              <w:rPr>
                <w:rFonts w:ascii="宋体" w:hAnsi="宋体" w:eastAsia="宋体"/>
                <w:color w:val="auto"/>
                <w:sz w:val="24"/>
                <w:highlight w:val="none"/>
              </w:rPr>
            </w:pPr>
            <w:r>
              <w:rPr>
                <w:rFonts w:hint="eastAsia" w:ascii="宋体" w:hAnsi="宋体" w:eastAsia="宋体"/>
                <w:color w:val="auto"/>
                <w:sz w:val="24"/>
                <w:highlight w:val="none"/>
              </w:rPr>
              <w:t>1</w:t>
            </w:r>
          </w:p>
        </w:tc>
        <w:tc>
          <w:tcPr>
            <w:tcW w:w="1824" w:type="pct"/>
            <w:vAlign w:val="center"/>
          </w:tcPr>
          <w:p w14:paraId="7D6D12E2">
            <w:pPr>
              <w:jc w:val="center"/>
              <w:rPr>
                <w:rFonts w:ascii="宋体" w:hAnsi="宋体" w:eastAsia="宋体"/>
                <w:color w:val="auto"/>
                <w:sz w:val="24"/>
                <w:highlight w:val="none"/>
              </w:rPr>
            </w:pPr>
          </w:p>
        </w:tc>
        <w:tc>
          <w:tcPr>
            <w:tcW w:w="796" w:type="pct"/>
            <w:vAlign w:val="center"/>
          </w:tcPr>
          <w:p w14:paraId="597AD9A0">
            <w:pPr>
              <w:jc w:val="center"/>
              <w:rPr>
                <w:rFonts w:ascii="宋体" w:hAnsi="宋体" w:eastAsia="宋体"/>
                <w:color w:val="auto"/>
                <w:sz w:val="24"/>
                <w:highlight w:val="none"/>
              </w:rPr>
            </w:pPr>
          </w:p>
        </w:tc>
        <w:tc>
          <w:tcPr>
            <w:tcW w:w="996" w:type="pct"/>
            <w:vAlign w:val="center"/>
          </w:tcPr>
          <w:p w14:paraId="317FCEC9">
            <w:pPr>
              <w:jc w:val="center"/>
              <w:rPr>
                <w:rFonts w:ascii="宋体" w:hAnsi="宋体" w:eastAsia="宋体"/>
                <w:color w:val="auto"/>
                <w:sz w:val="24"/>
                <w:highlight w:val="none"/>
              </w:rPr>
            </w:pPr>
          </w:p>
        </w:tc>
        <w:tc>
          <w:tcPr>
            <w:tcW w:w="920" w:type="pct"/>
            <w:vAlign w:val="center"/>
          </w:tcPr>
          <w:p w14:paraId="30F7934A">
            <w:pPr>
              <w:jc w:val="center"/>
              <w:rPr>
                <w:rFonts w:ascii="宋体" w:hAnsi="宋体" w:eastAsia="宋体"/>
                <w:color w:val="auto"/>
                <w:sz w:val="24"/>
                <w:highlight w:val="none"/>
              </w:rPr>
            </w:pPr>
          </w:p>
        </w:tc>
      </w:tr>
      <w:tr w14:paraId="5283E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4F8A8257">
            <w:pPr>
              <w:jc w:val="center"/>
              <w:rPr>
                <w:rFonts w:ascii="宋体" w:hAnsi="宋体" w:eastAsia="宋体"/>
                <w:color w:val="auto"/>
                <w:sz w:val="24"/>
                <w:highlight w:val="none"/>
              </w:rPr>
            </w:pPr>
            <w:r>
              <w:rPr>
                <w:rFonts w:hint="eastAsia" w:ascii="宋体" w:hAnsi="宋体" w:eastAsia="宋体"/>
                <w:color w:val="auto"/>
                <w:sz w:val="24"/>
                <w:highlight w:val="none"/>
              </w:rPr>
              <w:t>2</w:t>
            </w:r>
          </w:p>
        </w:tc>
        <w:tc>
          <w:tcPr>
            <w:tcW w:w="1824" w:type="pct"/>
            <w:vAlign w:val="center"/>
          </w:tcPr>
          <w:p w14:paraId="102BF404">
            <w:pPr>
              <w:jc w:val="center"/>
              <w:rPr>
                <w:rFonts w:ascii="宋体" w:hAnsi="宋体" w:eastAsia="宋体"/>
                <w:color w:val="auto"/>
                <w:sz w:val="24"/>
                <w:highlight w:val="none"/>
              </w:rPr>
            </w:pPr>
          </w:p>
        </w:tc>
        <w:tc>
          <w:tcPr>
            <w:tcW w:w="796" w:type="pct"/>
            <w:vAlign w:val="center"/>
          </w:tcPr>
          <w:p w14:paraId="674D617C">
            <w:pPr>
              <w:jc w:val="center"/>
              <w:rPr>
                <w:rFonts w:ascii="宋体" w:hAnsi="宋体" w:eastAsia="宋体"/>
                <w:color w:val="auto"/>
                <w:sz w:val="24"/>
                <w:highlight w:val="none"/>
              </w:rPr>
            </w:pPr>
          </w:p>
        </w:tc>
        <w:tc>
          <w:tcPr>
            <w:tcW w:w="996" w:type="pct"/>
            <w:vAlign w:val="center"/>
          </w:tcPr>
          <w:p w14:paraId="2B5FEBA5">
            <w:pPr>
              <w:jc w:val="center"/>
              <w:rPr>
                <w:rFonts w:ascii="宋体" w:hAnsi="宋体" w:eastAsia="宋体"/>
                <w:color w:val="auto"/>
                <w:sz w:val="24"/>
                <w:highlight w:val="none"/>
              </w:rPr>
            </w:pPr>
          </w:p>
        </w:tc>
        <w:tc>
          <w:tcPr>
            <w:tcW w:w="920" w:type="pct"/>
            <w:vAlign w:val="center"/>
          </w:tcPr>
          <w:p w14:paraId="22DC1075">
            <w:pPr>
              <w:jc w:val="center"/>
              <w:rPr>
                <w:rFonts w:ascii="宋体" w:hAnsi="宋体" w:eastAsia="宋体"/>
                <w:color w:val="auto"/>
                <w:sz w:val="24"/>
                <w:highlight w:val="none"/>
              </w:rPr>
            </w:pPr>
          </w:p>
        </w:tc>
      </w:tr>
      <w:tr w14:paraId="68C6D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516924B">
            <w:pPr>
              <w:jc w:val="center"/>
              <w:rPr>
                <w:rFonts w:ascii="宋体" w:hAnsi="宋体" w:eastAsia="宋体"/>
                <w:color w:val="auto"/>
                <w:sz w:val="24"/>
                <w:highlight w:val="none"/>
              </w:rPr>
            </w:pPr>
            <w:r>
              <w:rPr>
                <w:rFonts w:hint="eastAsia" w:ascii="宋体" w:hAnsi="宋体" w:eastAsia="宋体"/>
                <w:color w:val="auto"/>
                <w:sz w:val="24"/>
                <w:highlight w:val="none"/>
              </w:rPr>
              <w:t>3</w:t>
            </w:r>
          </w:p>
        </w:tc>
        <w:tc>
          <w:tcPr>
            <w:tcW w:w="1824" w:type="pct"/>
            <w:vAlign w:val="center"/>
          </w:tcPr>
          <w:p w14:paraId="2357332A">
            <w:pPr>
              <w:jc w:val="center"/>
              <w:rPr>
                <w:rFonts w:ascii="宋体" w:hAnsi="宋体" w:eastAsia="宋体"/>
                <w:color w:val="auto"/>
                <w:sz w:val="24"/>
                <w:highlight w:val="none"/>
              </w:rPr>
            </w:pPr>
          </w:p>
        </w:tc>
        <w:tc>
          <w:tcPr>
            <w:tcW w:w="796" w:type="pct"/>
            <w:vAlign w:val="center"/>
          </w:tcPr>
          <w:p w14:paraId="619110E4">
            <w:pPr>
              <w:jc w:val="center"/>
              <w:rPr>
                <w:rFonts w:ascii="宋体" w:hAnsi="宋体" w:eastAsia="宋体"/>
                <w:color w:val="auto"/>
                <w:sz w:val="24"/>
                <w:highlight w:val="none"/>
              </w:rPr>
            </w:pPr>
          </w:p>
        </w:tc>
        <w:tc>
          <w:tcPr>
            <w:tcW w:w="996" w:type="pct"/>
            <w:vAlign w:val="center"/>
          </w:tcPr>
          <w:p w14:paraId="7BD0D692">
            <w:pPr>
              <w:jc w:val="center"/>
              <w:rPr>
                <w:rFonts w:ascii="宋体" w:hAnsi="宋体" w:eastAsia="宋体"/>
                <w:color w:val="auto"/>
                <w:sz w:val="24"/>
                <w:highlight w:val="none"/>
              </w:rPr>
            </w:pPr>
          </w:p>
        </w:tc>
        <w:tc>
          <w:tcPr>
            <w:tcW w:w="920" w:type="pct"/>
            <w:vAlign w:val="center"/>
          </w:tcPr>
          <w:p w14:paraId="5CB51857">
            <w:pPr>
              <w:jc w:val="center"/>
              <w:rPr>
                <w:rFonts w:ascii="宋体" w:hAnsi="宋体" w:eastAsia="宋体"/>
                <w:color w:val="auto"/>
                <w:sz w:val="24"/>
                <w:highlight w:val="none"/>
              </w:rPr>
            </w:pPr>
          </w:p>
        </w:tc>
      </w:tr>
      <w:tr w14:paraId="5AC27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2E23AD5B">
            <w:pPr>
              <w:jc w:val="center"/>
              <w:rPr>
                <w:rFonts w:ascii="宋体" w:hAnsi="宋体" w:eastAsia="宋体"/>
                <w:color w:val="auto"/>
                <w:sz w:val="24"/>
                <w:highlight w:val="none"/>
              </w:rPr>
            </w:pPr>
            <w:r>
              <w:rPr>
                <w:rFonts w:ascii="宋体" w:hAnsi="宋体" w:eastAsia="宋体"/>
                <w:color w:val="auto"/>
                <w:sz w:val="24"/>
                <w:highlight w:val="none"/>
              </w:rPr>
              <w:t>…</w:t>
            </w:r>
          </w:p>
        </w:tc>
        <w:tc>
          <w:tcPr>
            <w:tcW w:w="1824" w:type="pct"/>
            <w:vAlign w:val="center"/>
          </w:tcPr>
          <w:p w14:paraId="07F4BA2A">
            <w:pPr>
              <w:jc w:val="center"/>
              <w:rPr>
                <w:rFonts w:ascii="宋体" w:hAnsi="宋体" w:eastAsia="宋体"/>
                <w:color w:val="auto"/>
                <w:sz w:val="24"/>
                <w:highlight w:val="none"/>
              </w:rPr>
            </w:pPr>
          </w:p>
        </w:tc>
        <w:tc>
          <w:tcPr>
            <w:tcW w:w="796" w:type="pct"/>
            <w:vAlign w:val="center"/>
          </w:tcPr>
          <w:p w14:paraId="6C2E48CC">
            <w:pPr>
              <w:jc w:val="center"/>
              <w:rPr>
                <w:rFonts w:ascii="宋体" w:hAnsi="宋体" w:eastAsia="宋体"/>
                <w:color w:val="auto"/>
                <w:sz w:val="24"/>
                <w:highlight w:val="none"/>
              </w:rPr>
            </w:pPr>
          </w:p>
        </w:tc>
        <w:tc>
          <w:tcPr>
            <w:tcW w:w="996" w:type="pct"/>
            <w:vAlign w:val="center"/>
          </w:tcPr>
          <w:p w14:paraId="08C1C671">
            <w:pPr>
              <w:jc w:val="center"/>
              <w:rPr>
                <w:rFonts w:ascii="宋体" w:hAnsi="宋体" w:eastAsia="宋体"/>
                <w:color w:val="auto"/>
                <w:sz w:val="24"/>
                <w:highlight w:val="none"/>
              </w:rPr>
            </w:pPr>
          </w:p>
        </w:tc>
        <w:tc>
          <w:tcPr>
            <w:tcW w:w="920" w:type="pct"/>
            <w:vAlign w:val="center"/>
          </w:tcPr>
          <w:p w14:paraId="4060C732">
            <w:pPr>
              <w:jc w:val="center"/>
              <w:rPr>
                <w:rFonts w:ascii="宋体" w:hAnsi="宋体" w:eastAsia="宋体"/>
                <w:color w:val="auto"/>
                <w:sz w:val="24"/>
                <w:highlight w:val="none"/>
              </w:rPr>
            </w:pPr>
          </w:p>
        </w:tc>
      </w:tr>
      <w:tr w14:paraId="0795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66D664E9">
            <w:pPr>
              <w:jc w:val="center"/>
              <w:rPr>
                <w:rFonts w:ascii="宋体" w:hAnsi="宋体" w:eastAsia="宋体"/>
                <w:color w:val="auto"/>
                <w:sz w:val="24"/>
                <w:highlight w:val="none"/>
              </w:rPr>
            </w:pPr>
          </w:p>
        </w:tc>
        <w:tc>
          <w:tcPr>
            <w:tcW w:w="1824" w:type="pct"/>
            <w:vAlign w:val="center"/>
          </w:tcPr>
          <w:p w14:paraId="4FF1AD04">
            <w:pPr>
              <w:pStyle w:val="50"/>
              <w:ind w:left="-108"/>
              <w:jc w:val="center"/>
              <w:rPr>
                <w:rFonts w:ascii="宋体" w:hAnsi="宋体"/>
                <w:color w:val="auto"/>
                <w:highlight w:val="none"/>
              </w:rPr>
            </w:pPr>
            <w:r>
              <w:rPr>
                <w:rFonts w:hint="eastAsia" w:ascii="宋体" w:hAnsi="宋体"/>
                <w:color w:val="auto"/>
                <w:highlight w:val="none"/>
              </w:rPr>
              <w:t>其他费用</w:t>
            </w:r>
          </w:p>
        </w:tc>
        <w:tc>
          <w:tcPr>
            <w:tcW w:w="796" w:type="pct"/>
            <w:vAlign w:val="center"/>
          </w:tcPr>
          <w:p w14:paraId="59638099">
            <w:pPr>
              <w:jc w:val="center"/>
              <w:rPr>
                <w:rFonts w:ascii="宋体" w:hAnsi="宋体" w:eastAsia="宋体"/>
                <w:color w:val="auto"/>
                <w:sz w:val="24"/>
                <w:highlight w:val="none"/>
              </w:rPr>
            </w:pPr>
          </w:p>
        </w:tc>
        <w:tc>
          <w:tcPr>
            <w:tcW w:w="996" w:type="pct"/>
            <w:vAlign w:val="center"/>
          </w:tcPr>
          <w:p w14:paraId="04917625">
            <w:pPr>
              <w:jc w:val="center"/>
              <w:rPr>
                <w:rFonts w:ascii="宋体" w:hAnsi="宋体" w:eastAsia="宋体"/>
                <w:color w:val="auto"/>
                <w:sz w:val="24"/>
                <w:highlight w:val="none"/>
              </w:rPr>
            </w:pPr>
          </w:p>
        </w:tc>
        <w:tc>
          <w:tcPr>
            <w:tcW w:w="920" w:type="pct"/>
            <w:vAlign w:val="center"/>
          </w:tcPr>
          <w:p w14:paraId="4715E1CB">
            <w:pPr>
              <w:jc w:val="center"/>
              <w:rPr>
                <w:rFonts w:ascii="宋体" w:hAnsi="宋体" w:eastAsia="宋体"/>
                <w:color w:val="auto"/>
                <w:sz w:val="24"/>
                <w:highlight w:val="none"/>
              </w:rPr>
            </w:pPr>
          </w:p>
        </w:tc>
      </w:tr>
      <w:tr w14:paraId="2D5E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134029A0">
            <w:pPr>
              <w:jc w:val="center"/>
              <w:rPr>
                <w:rFonts w:ascii="宋体" w:hAnsi="宋体" w:eastAsia="宋体"/>
                <w:color w:val="auto"/>
                <w:sz w:val="24"/>
                <w:highlight w:val="none"/>
              </w:rPr>
            </w:pPr>
          </w:p>
        </w:tc>
        <w:tc>
          <w:tcPr>
            <w:tcW w:w="1824" w:type="pct"/>
            <w:vAlign w:val="center"/>
          </w:tcPr>
          <w:p w14:paraId="0A410CD7">
            <w:pPr>
              <w:jc w:val="center"/>
              <w:rPr>
                <w:rFonts w:ascii="宋体" w:hAnsi="宋体" w:eastAsia="宋体"/>
                <w:color w:val="auto"/>
                <w:sz w:val="24"/>
                <w:highlight w:val="none"/>
              </w:rPr>
            </w:pPr>
            <w:r>
              <w:rPr>
                <w:rFonts w:ascii="宋体" w:hAnsi="宋体" w:eastAsia="宋体"/>
                <w:color w:val="auto"/>
                <w:sz w:val="24"/>
                <w:highlight w:val="none"/>
              </w:rPr>
              <w:t>……</w:t>
            </w:r>
          </w:p>
        </w:tc>
        <w:tc>
          <w:tcPr>
            <w:tcW w:w="796" w:type="pct"/>
            <w:vAlign w:val="center"/>
          </w:tcPr>
          <w:p w14:paraId="60C67DA5">
            <w:pPr>
              <w:jc w:val="center"/>
              <w:rPr>
                <w:rFonts w:ascii="宋体" w:hAnsi="宋体" w:eastAsia="宋体"/>
                <w:color w:val="auto"/>
                <w:sz w:val="24"/>
                <w:highlight w:val="none"/>
              </w:rPr>
            </w:pPr>
          </w:p>
        </w:tc>
        <w:tc>
          <w:tcPr>
            <w:tcW w:w="996" w:type="pct"/>
            <w:vAlign w:val="center"/>
          </w:tcPr>
          <w:p w14:paraId="1FAB2618">
            <w:pPr>
              <w:jc w:val="center"/>
              <w:rPr>
                <w:rFonts w:ascii="宋体" w:hAnsi="宋体" w:eastAsia="宋体"/>
                <w:color w:val="auto"/>
                <w:sz w:val="24"/>
                <w:highlight w:val="none"/>
              </w:rPr>
            </w:pPr>
          </w:p>
        </w:tc>
        <w:tc>
          <w:tcPr>
            <w:tcW w:w="920" w:type="pct"/>
            <w:vAlign w:val="center"/>
          </w:tcPr>
          <w:p w14:paraId="72C82525">
            <w:pPr>
              <w:jc w:val="center"/>
              <w:rPr>
                <w:rFonts w:ascii="宋体" w:hAnsi="宋体" w:eastAsia="宋体"/>
                <w:color w:val="auto"/>
                <w:sz w:val="24"/>
                <w:highlight w:val="none"/>
              </w:rPr>
            </w:pPr>
          </w:p>
        </w:tc>
      </w:tr>
      <w:tr w14:paraId="18606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33B4BEBB">
            <w:pPr>
              <w:jc w:val="center"/>
              <w:rPr>
                <w:rFonts w:ascii="宋体" w:hAnsi="宋体" w:eastAsia="宋体"/>
                <w:color w:val="auto"/>
                <w:sz w:val="24"/>
                <w:highlight w:val="none"/>
              </w:rPr>
            </w:pPr>
            <w:r>
              <w:rPr>
                <w:rFonts w:hint="eastAsia" w:ascii="宋体" w:hAnsi="宋体" w:eastAsia="宋体"/>
                <w:b/>
                <w:color w:val="auto"/>
                <w:sz w:val="24"/>
                <w:highlight w:val="none"/>
              </w:rPr>
              <w:t>合计金额（元）</w:t>
            </w:r>
          </w:p>
        </w:tc>
        <w:tc>
          <w:tcPr>
            <w:tcW w:w="920" w:type="pct"/>
            <w:vAlign w:val="center"/>
          </w:tcPr>
          <w:p w14:paraId="5B52D1B7">
            <w:pPr>
              <w:jc w:val="center"/>
              <w:rPr>
                <w:rFonts w:ascii="宋体" w:hAnsi="宋体" w:eastAsia="宋体"/>
                <w:color w:val="auto"/>
                <w:sz w:val="24"/>
                <w:highlight w:val="none"/>
              </w:rPr>
            </w:pPr>
          </w:p>
        </w:tc>
      </w:tr>
    </w:tbl>
    <w:p w14:paraId="59DB736E">
      <w:pP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27F1976E">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5894C481">
      <w:pPr>
        <w:adjustRightInd w:val="0"/>
        <w:snapToGrid w:val="0"/>
        <w:spacing w:line="360" w:lineRule="auto"/>
        <w:rPr>
          <w:rFonts w:hint="eastAsia" w:ascii="宋体" w:hAnsi="宋体" w:eastAsia="宋体"/>
          <w:b/>
          <w:bCs/>
          <w:color w:val="auto"/>
          <w:sz w:val="24"/>
          <w:szCs w:val="28"/>
          <w:highlight w:val="none"/>
          <w:lang w:eastAsia="zh-CN"/>
        </w:rPr>
      </w:pPr>
      <w:r>
        <w:rPr>
          <w:rFonts w:hint="eastAsia" w:ascii="宋体" w:hAnsi="宋体" w:eastAsia="宋体"/>
          <w:b/>
          <w:bCs/>
          <w:color w:val="auto"/>
          <w:sz w:val="24"/>
          <w:szCs w:val="28"/>
          <w:highlight w:val="none"/>
          <w:lang w:eastAsia="zh-CN"/>
        </w:rPr>
        <w:t>注：</w:t>
      </w:r>
    </w:p>
    <w:p w14:paraId="20ECCB18">
      <w:pPr>
        <w:adjustRightInd w:val="0"/>
        <w:snapToGrid w:val="0"/>
        <w:spacing w:line="360" w:lineRule="auto"/>
        <w:ind w:firstLine="482" w:firstLineChars="200"/>
        <w:rPr>
          <w:rFonts w:ascii="宋体" w:hAnsi="宋体" w:eastAsia="宋体"/>
          <w:b/>
          <w:bCs/>
          <w:color w:val="auto"/>
          <w:sz w:val="24"/>
          <w:szCs w:val="28"/>
          <w:highlight w:val="none"/>
        </w:rPr>
      </w:pPr>
      <w:r>
        <w:rPr>
          <w:rFonts w:hint="eastAsia" w:ascii="宋体" w:hAnsi="宋体" w:eastAsia="宋体"/>
          <w:b/>
          <w:bCs/>
          <w:color w:val="auto"/>
          <w:sz w:val="24"/>
          <w:szCs w:val="28"/>
          <w:highlight w:val="none"/>
        </w:rPr>
        <w:t>表中所列服务为对应本项目需求的全部服务内容。如有漏项或缺项，供应商承担全部责任。</w:t>
      </w:r>
    </w:p>
    <w:p w14:paraId="7C1B2B7C">
      <w:pPr>
        <w:widowControl/>
        <w:jc w:val="left"/>
        <w:rPr>
          <w:rFonts w:ascii="宋体" w:hAnsi="宋体" w:eastAsia="宋体"/>
          <w:b/>
          <w:bCs/>
          <w:color w:val="auto"/>
          <w:sz w:val="24"/>
          <w:szCs w:val="28"/>
          <w:highlight w:val="none"/>
        </w:rPr>
      </w:pPr>
      <w:r>
        <w:rPr>
          <w:rFonts w:ascii="宋体" w:hAnsi="宋体" w:eastAsia="宋体"/>
          <w:b/>
          <w:bCs/>
          <w:color w:val="auto"/>
          <w:sz w:val="24"/>
          <w:szCs w:val="28"/>
          <w:highlight w:val="none"/>
        </w:rPr>
        <w:br w:type="page"/>
      </w:r>
    </w:p>
    <w:p w14:paraId="1FE83015">
      <w:pPr>
        <w:spacing w:line="360" w:lineRule="auto"/>
        <w:jc w:val="center"/>
        <w:outlineLvl w:val="1"/>
        <w:rPr>
          <w:rFonts w:asciiTheme="minorEastAsia" w:hAnsiTheme="minorEastAsia" w:eastAsiaTheme="minorEastAsia"/>
          <w:b/>
          <w:color w:val="auto"/>
          <w:sz w:val="24"/>
          <w:highlight w:val="none"/>
        </w:rPr>
      </w:pPr>
      <w:bookmarkStart w:id="200" w:name="_Toc461053087"/>
      <w:bookmarkStart w:id="201" w:name="_Toc461056632"/>
      <w:bookmarkStart w:id="202" w:name="_Toc520983588"/>
      <w:bookmarkStart w:id="203" w:name="_Toc32436"/>
      <w:bookmarkStart w:id="204" w:name="_Toc28695"/>
      <w:r>
        <w:rPr>
          <w:rFonts w:hint="eastAsia" w:asciiTheme="minorEastAsia" w:hAnsiTheme="minorEastAsia" w:eastAsiaTheme="minorEastAsia"/>
          <w:b/>
          <w:color w:val="auto"/>
          <w:sz w:val="24"/>
          <w:highlight w:val="none"/>
        </w:rPr>
        <w:t>二</w:t>
      </w:r>
      <w:bookmarkEnd w:id="200"/>
      <w:bookmarkEnd w:id="201"/>
      <w:r>
        <w:rPr>
          <w:rFonts w:hint="eastAsia" w:asciiTheme="minorEastAsia" w:hAnsiTheme="minorEastAsia" w:eastAsiaTheme="minorEastAsia"/>
          <w:b/>
          <w:color w:val="auto"/>
          <w:sz w:val="24"/>
          <w:highlight w:val="none"/>
        </w:rPr>
        <w:t>、最后承诺报价表</w:t>
      </w:r>
      <w:bookmarkEnd w:id="202"/>
      <w:bookmarkEnd w:id="203"/>
      <w:bookmarkEnd w:id="204"/>
    </w:p>
    <w:p w14:paraId="6406E3F9">
      <w:pPr>
        <w:spacing w:before="156" w:beforeLines="50" w:after="156" w:afterLines="50" w:line="360" w:lineRule="auto"/>
        <w:ind w:firstLine="236" w:firstLineChars="98"/>
        <w:jc w:val="center"/>
        <w:rPr>
          <w:rFonts w:ascii="宋体" w:hAnsi="宋体" w:eastAsia="宋体"/>
          <w:b/>
          <w:color w:val="auto"/>
          <w:sz w:val="24"/>
          <w:szCs w:val="28"/>
          <w:highlight w:val="none"/>
        </w:rPr>
      </w:pPr>
      <w:r>
        <w:rPr>
          <w:rFonts w:hint="eastAsia" w:ascii="宋体" w:hAnsi="宋体" w:eastAsia="宋体"/>
          <w:b/>
          <w:color w:val="auto"/>
          <w:sz w:val="24"/>
          <w:szCs w:val="28"/>
          <w:highlight w:val="none"/>
        </w:rPr>
        <w:t>（第</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rPr>
        <w:t>次报价书）</w:t>
      </w:r>
    </w:p>
    <w:p w14:paraId="54F89C98">
      <w:pPr>
        <w:snapToGrid w:val="0"/>
        <w:spacing w:line="360" w:lineRule="auto"/>
        <w:jc w:val="left"/>
        <w:rPr>
          <w:rFonts w:ascii="宋体" w:hAnsi="宋体" w:eastAsia="宋体"/>
          <w:b/>
          <w:color w:val="auto"/>
          <w:sz w:val="24"/>
          <w:szCs w:val="28"/>
          <w:highlight w:val="none"/>
        </w:rPr>
      </w:pPr>
      <w:r>
        <w:rPr>
          <w:rFonts w:hint="eastAsia" w:ascii="宋体" w:hAnsi="宋体" w:eastAsia="宋体"/>
          <w:b/>
          <w:color w:val="auto"/>
          <w:sz w:val="24"/>
          <w:szCs w:val="28"/>
          <w:highlight w:val="none"/>
        </w:rPr>
        <w:t>项目名称：</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p w14:paraId="53EBF9E8">
      <w:pPr>
        <w:snapToGrid w:val="0"/>
        <w:spacing w:after="156" w:afterLines="50" w:line="360" w:lineRule="auto"/>
        <w:jc w:val="left"/>
        <w:rPr>
          <w:rFonts w:ascii="宋体" w:hAnsi="宋体" w:eastAsia="宋体"/>
          <w:b/>
          <w:bCs/>
          <w:color w:val="auto"/>
          <w:sz w:val="24"/>
          <w:szCs w:val="28"/>
          <w:highlight w:val="none"/>
        </w:rPr>
      </w:pPr>
      <w:r>
        <w:rPr>
          <w:rFonts w:hint="eastAsia" w:ascii="宋体" w:hAnsi="宋体" w:eastAsia="宋体"/>
          <w:b/>
          <w:color w:val="auto"/>
          <w:sz w:val="24"/>
          <w:szCs w:val="28"/>
          <w:highlight w:val="none"/>
        </w:rPr>
        <w:t>项目编号：</w:t>
      </w:r>
      <w:r>
        <w:rPr>
          <w:rFonts w:hint="eastAsia" w:ascii="宋体" w:hAnsi="宋体" w:eastAsia="宋体"/>
          <w:b/>
          <w:color w:val="auto"/>
          <w:sz w:val="24"/>
          <w:szCs w:val="28"/>
          <w:highlight w:val="none"/>
          <w:u w:val="single"/>
        </w:rPr>
        <w:t xml:space="preserve">       </w:t>
      </w:r>
      <w:r>
        <w:rPr>
          <w:rFonts w:hint="eastAsia" w:ascii="宋体" w:hAnsi="宋体" w:eastAsia="宋体"/>
          <w:b/>
          <w:color w:val="auto"/>
          <w:sz w:val="24"/>
          <w:szCs w:val="28"/>
          <w:highlight w:val="none"/>
          <w:u w:val="single"/>
          <w:lang w:val="en-US" w:eastAsia="zh-CN"/>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5F4C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FB746A3">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供应商名称</w:t>
            </w:r>
          </w:p>
        </w:tc>
        <w:tc>
          <w:tcPr>
            <w:tcW w:w="3557" w:type="pct"/>
            <w:tcBorders>
              <w:left w:val="single" w:color="auto" w:sz="4" w:space="0"/>
            </w:tcBorders>
          </w:tcPr>
          <w:p w14:paraId="04C5D0D0">
            <w:pPr>
              <w:spacing w:line="360" w:lineRule="auto"/>
              <w:rPr>
                <w:rFonts w:ascii="宋体" w:hAnsi="宋体" w:eastAsia="宋体"/>
                <w:b/>
                <w:color w:val="auto"/>
                <w:sz w:val="24"/>
                <w:highlight w:val="none"/>
              </w:rPr>
            </w:pPr>
          </w:p>
        </w:tc>
      </w:tr>
      <w:tr w14:paraId="75BC6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5481CEC">
            <w:pPr>
              <w:spacing w:line="360" w:lineRule="exact"/>
              <w:jc w:val="center"/>
              <w:rPr>
                <w:rFonts w:ascii="宋体" w:hAnsi="宋体" w:eastAsia="宋体"/>
                <w:b/>
                <w:color w:val="auto"/>
                <w:sz w:val="24"/>
                <w:highlight w:val="none"/>
              </w:rPr>
            </w:pPr>
            <w:r>
              <w:rPr>
                <w:rFonts w:hint="eastAsia" w:ascii="宋体" w:hAnsi="宋体" w:eastAsia="宋体"/>
                <w:b/>
                <w:bCs/>
                <w:color w:val="auto"/>
                <w:sz w:val="24"/>
                <w:szCs w:val="28"/>
                <w:highlight w:val="none"/>
              </w:rPr>
              <w:t>磋商</w:t>
            </w:r>
            <w:r>
              <w:rPr>
                <w:rFonts w:hint="eastAsia" w:ascii="宋体" w:hAnsi="宋体" w:eastAsia="宋体"/>
                <w:b/>
                <w:color w:val="auto"/>
                <w:sz w:val="24"/>
                <w:highlight w:val="none"/>
              </w:rPr>
              <w:t>范围</w:t>
            </w:r>
          </w:p>
        </w:tc>
        <w:tc>
          <w:tcPr>
            <w:tcW w:w="3557" w:type="pct"/>
            <w:tcBorders>
              <w:left w:val="single" w:color="auto" w:sz="4" w:space="0"/>
            </w:tcBorders>
            <w:vAlign w:val="center"/>
          </w:tcPr>
          <w:p w14:paraId="02D63E9B">
            <w:pPr>
              <w:widowControl/>
              <w:spacing w:line="360" w:lineRule="exact"/>
              <w:rPr>
                <w:rFonts w:ascii="宋体" w:hAnsi="宋体" w:eastAsia="宋体"/>
                <w:b/>
                <w:color w:val="auto"/>
                <w:sz w:val="24"/>
                <w:highlight w:val="none"/>
              </w:rPr>
            </w:pPr>
            <w:r>
              <w:rPr>
                <w:rFonts w:hint="eastAsia" w:asciiTheme="minorEastAsia" w:hAnsiTheme="minorEastAsia" w:eastAsiaTheme="minorEastAsia"/>
                <w:color w:val="auto"/>
                <w:sz w:val="24"/>
                <w:szCs w:val="28"/>
                <w:highlight w:val="none"/>
              </w:rPr>
              <w:t>全部</w:t>
            </w:r>
          </w:p>
        </w:tc>
      </w:tr>
      <w:tr w14:paraId="6E4F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00FFA4B">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最后报价</w:t>
            </w:r>
          </w:p>
          <w:p w14:paraId="63B13AC3">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（详见备注说明）</w:t>
            </w:r>
          </w:p>
        </w:tc>
        <w:tc>
          <w:tcPr>
            <w:tcW w:w="3557" w:type="pct"/>
            <w:vAlign w:val="center"/>
          </w:tcPr>
          <w:p w14:paraId="72DAAF97">
            <w:pPr>
              <w:snapToGrid w:val="0"/>
              <w:spacing w:line="360" w:lineRule="auto"/>
              <w:rPr>
                <w:rFonts w:ascii="宋体" w:hAnsi="宋体" w:eastAsia="宋体"/>
                <w:color w:val="auto"/>
                <w:sz w:val="24"/>
                <w:szCs w:val="28"/>
                <w:highlight w:val="none"/>
              </w:rPr>
            </w:pPr>
          </w:p>
          <w:p w14:paraId="5E859A77">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人民币大写：</w:t>
            </w:r>
            <w:r>
              <w:rPr>
                <w:rFonts w:hint="eastAsia" w:ascii="宋体" w:hAnsi="宋体" w:eastAsia="宋体" w:cs="宋体"/>
                <w:bCs/>
                <w:color w:val="auto"/>
                <w:sz w:val="24"/>
                <w:szCs w:val="24"/>
                <w:highlight w:val="none"/>
                <w:u w:val="single"/>
              </w:rPr>
              <w:t xml:space="preserve">                     </w:t>
            </w:r>
          </w:p>
          <w:p w14:paraId="6067EAD8">
            <w:pPr>
              <w:spacing w:line="360" w:lineRule="auto"/>
              <w:ind w:right="-670"/>
              <w:rPr>
                <w:rFonts w:ascii="宋体" w:hAnsi="宋体" w:eastAsia="宋体"/>
                <w:b/>
                <w:color w:val="auto"/>
                <w:sz w:val="24"/>
                <w:highlight w:val="none"/>
              </w:rPr>
            </w:pPr>
            <w:r>
              <w:rPr>
                <w:rFonts w:hint="eastAsia" w:ascii="宋体" w:hAnsi="宋体" w:eastAsia="宋体" w:cs="宋体"/>
                <w:bCs/>
                <w:color w:val="auto"/>
                <w:sz w:val="24"/>
                <w:szCs w:val="24"/>
                <w:highlight w:val="none"/>
              </w:rPr>
              <w:t>人民币小写：</w:t>
            </w:r>
            <w:r>
              <w:rPr>
                <w:rFonts w:hint="eastAsia" w:ascii="宋体" w:hAnsi="宋体" w:eastAsia="宋体" w:cs="宋体"/>
                <w:bCs/>
                <w:color w:val="auto"/>
                <w:sz w:val="24"/>
                <w:szCs w:val="24"/>
                <w:highlight w:val="none"/>
                <w:u w:val="single"/>
              </w:rPr>
              <w:t xml:space="preserve">                     </w:t>
            </w:r>
          </w:p>
        </w:tc>
      </w:tr>
      <w:tr w14:paraId="7671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4E0E8E7B">
            <w:pPr>
              <w:spacing w:line="360" w:lineRule="auto"/>
              <w:jc w:val="center"/>
              <w:rPr>
                <w:rFonts w:ascii="宋体" w:hAnsi="宋体" w:eastAsia="宋体"/>
                <w:b/>
                <w:color w:val="auto"/>
                <w:sz w:val="24"/>
                <w:highlight w:val="none"/>
              </w:rPr>
            </w:pPr>
            <w:r>
              <w:rPr>
                <w:rFonts w:hint="eastAsia" w:ascii="宋体" w:hAnsi="宋体" w:eastAsia="宋体"/>
                <w:b/>
                <w:color w:val="auto"/>
                <w:sz w:val="24"/>
                <w:highlight w:val="none"/>
              </w:rPr>
              <w:t>备注说明</w:t>
            </w:r>
          </w:p>
        </w:tc>
        <w:tc>
          <w:tcPr>
            <w:tcW w:w="3557" w:type="pct"/>
          </w:tcPr>
          <w:p w14:paraId="04CB9E59">
            <w:pPr>
              <w:spacing w:line="360" w:lineRule="auto"/>
              <w:rPr>
                <w:rFonts w:ascii="宋体" w:hAnsi="宋体" w:eastAsia="宋体"/>
                <w:b/>
                <w:color w:val="auto"/>
                <w:sz w:val="24"/>
                <w:highlight w:val="none"/>
              </w:rPr>
            </w:pPr>
            <w:r>
              <w:rPr>
                <w:rFonts w:hint="eastAsia" w:ascii="宋体" w:hAnsi="宋体" w:eastAsia="宋体"/>
                <w:b/>
                <w:i/>
                <w:color w:val="auto"/>
                <w:sz w:val="24"/>
                <w:highlight w:val="none"/>
              </w:rPr>
              <w:t>（此处可补充磋商小组根据与供应商磋商情况变动的磋商文件的内容，包括采购需求中的技术、服务要求以及合同草案条款。）</w:t>
            </w:r>
          </w:p>
        </w:tc>
      </w:tr>
      <w:tr w14:paraId="1D99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3B5EE217">
            <w:pPr>
              <w:spacing w:line="360" w:lineRule="auto"/>
              <w:jc w:val="center"/>
              <w:rPr>
                <w:rFonts w:ascii="宋体" w:hAnsi="宋体" w:eastAsia="宋体"/>
                <w:b/>
                <w:color w:val="auto"/>
                <w:sz w:val="24"/>
                <w:highlight w:val="none"/>
              </w:rPr>
            </w:pPr>
            <w:r>
              <w:rPr>
                <w:rFonts w:hint="eastAsia" w:ascii="宋体" w:hAnsi="宋体" w:eastAsia="宋体"/>
                <w:b/>
                <w:bCs/>
                <w:color w:val="auto"/>
                <w:sz w:val="24"/>
                <w:szCs w:val="28"/>
                <w:highlight w:val="none"/>
              </w:rPr>
              <w:t>磋商小组</w:t>
            </w:r>
            <w:r>
              <w:rPr>
                <w:rFonts w:ascii="宋体" w:hAnsi="宋体" w:eastAsia="宋体"/>
                <w:b/>
                <w:bCs/>
                <w:color w:val="auto"/>
                <w:sz w:val="24"/>
                <w:szCs w:val="28"/>
                <w:highlight w:val="none"/>
              </w:rPr>
              <w:t>签字</w:t>
            </w:r>
          </w:p>
        </w:tc>
        <w:tc>
          <w:tcPr>
            <w:tcW w:w="3557" w:type="pct"/>
          </w:tcPr>
          <w:p w14:paraId="4E1052C1">
            <w:pPr>
              <w:spacing w:line="360" w:lineRule="auto"/>
              <w:rPr>
                <w:rFonts w:ascii="宋体" w:hAnsi="宋体" w:eastAsia="宋体"/>
                <w:b/>
                <w:color w:val="auto"/>
                <w:sz w:val="24"/>
                <w:highlight w:val="none"/>
              </w:rPr>
            </w:pPr>
          </w:p>
        </w:tc>
      </w:tr>
    </w:tbl>
    <w:p w14:paraId="5C9D49C4">
      <w:pPr>
        <w:spacing w:line="360" w:lineRule="auto"/>
        <w:ind w:firstLine="3600" w:firstLineChars="1500"/>
        <w:jc w:val="left"/>
        <w:rPr>
          <w:rFonts w:ascii="宋体" w:hAnsi="宋体" w:eastAsia="宋体"/>
          <w:color w:val="auto"/>
          <w:sz w:val="24"/>
          <w:highlight w:val="none"/>
        </w:rPr>
      </w:pPr>
      <w:r>
        <w:rPr>
          <w:rFonts w:hint="eastAsia" w:ascii="宋体" w:hAnsi="宋体" w:eastAsia="宋体"/>
          <w:color w:val="auto"/>
          <w:sz w:val="24"/>
          <w:highlight w:val="none"/>
        </w:rPr>
        <w:t>供应商公章或授权代表签字：</w:t>
      </w:r>
      <w:r>
        <w:rPr>
          <w:rFonts w:hint="eastAsia" w:ascii="宋体" w:hAnsi="宋体" w:eastAsia="宋体"/>
          <w:color w:val="auto"/>
          <w:sz w:val="24"/>
          <w:highlight w:val="none"/>
          <w:u w:val="single"/>
        </w:rPr>
        <w:t xml:space="preserve">             </w:t>
      </w:r>
    </w:p>
    <w:p w14:paraId="1C22B33E">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34AB2CBC">
      <w:pPr>
        <w:spacing w:line="360" w:lineRule="auto"/>
        <w:jc w:val="left"/>
        <w:rPr>
          <w:rFonts w:hint="eastAsia" w:ascii="宋体" w:hAnsi="宋体" w:eastAsia="宋体"/>
          <w:b/>
          <w:bCs/>
          <w:color w:val="auto"/>
          <w:sz w:val="24"/>
          <w:highlight w:val="none"/>
        </w:rPr>
      </w:pPr>
      <w:r>
        <w:rPr>
          <w:rFonts w:hint="eastAsia" w:ascii="宋体" w:hAnsi="宋体" w:eastAsia="宋体"/>
          <w:b/>
          <w:bCs/>
          <w:color w:val="auto"/>
          <w:sz w:val="24"/>
          <w:highlight w:val="none"/>
        </w:rPr>
        <w:t>注：</w:t>
      </w:r>
    </w:p>
    <w:p w14:paraId="33653806">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ascii="宋体" w:hAnsi="宋体" w:eastAsia="宋体"/>
          <w:bCs/>
          <w:color w:val="auto"/>
          <w:sz w:val="24"/>
          <w:highlight w:val="none"/>
        </w:rPr>
      </w:pPr>
      <w:r>
        <w:rPr>
          <w:rFonts w:hint="eastAsia" w:ascii="宋体" w:hAnsi="宋体" w:eastAsia="宋体"/>
          <w:b/>
          <w:bCs/>
          <w:color w:val="auto"/>
          <w:sz w:val="24"/>
          <w:highlight w:val="none"/>
          <w:lang w:val="en-US" w:eastAsia="zh-CN"/>
        </w:rPr>
        <w:t>1.</w:t>
      </w:r>
      <w:r>
        <w:rPr>
          <w:rFonts w:hint="eastAsia" w:ascii="宋体" w:hAnsi="宋体" w:eastAsia="宋体"/>
          <w:b/>
          <w:bCs/>
          <w:color w:val="auto"/>
          <w:sz w:val="24"/>
          <w:highlight w:val="none"/>
        </w:rPr>
        <w:t>本页《报价表》由供应商在接到报价通知后依据磋商情况填写,并在规定时间内提交。</w:t>
      </w:r>
      <w:r>
        <w:rPr>
          <w:rFonts w:hint="eastAsia" w:ascii="宋体" w:hAnsi="宋体" w:eastAsia="宋体"/>
          <w:color w:val="auto"/>
          <w:sz w:val="24"/>
          <w:highlight w:val="none"/>
        </w:rPr>
        <w:t>考虑磋商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eastAsia="宋体"/>
          <w:bCs/>
          <w:color w:val="auto"/>
          <w:sz w:val="24"/>
          <w:highlight w:val="none"/>
        </w:rPr>
        <w:t>此优惠率调整原则适用于合同内价格的计算及项目增减、变更时价格的计算。</w:t>
      </w:r>
    </w:p>
    <w:p w14:paraId="0DDED8B4">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ascii="宋体" w:hAnsi="宋体" w:eastAsia="宋体"/>
          <w:bCs/>
          <w:color w:val="auto"/>
          <w:sz w:val="24"/>
          <w:highlight w:val="none"/>
        </w:rPr>
      </w:pPr>
      <w:r>
        <w:rPr>
          <w:rFonts w:hint="eastAsia" w:ascii="宋体" w:hAnsi="宋体" w:eastAsia="宋体"/>
          <w:b/>
          <w:bCs/>
          <w:color w:val="auto"/>
          <w:sz w:val="24"/>
          <w:szCs w:val="28"/>
          <w:highlight w:val="none"/>
          <w:lang w:val="en-US" w:eastAsia="zh-CN"/>
        </w:rPr>
        <w:t>2</w:t>
      </w:r>
      <w:r>
        <w:rPr>
          <w:rFonts w:hint="eastAsia" w:ascii="宋体" w:hAnsi="宋体" w:eastAsia="宋体"/>
          <w:b/>
          <w:bCs/>
          <w:color w:val="auto"/>
          <w:sz w:val="24"/>
          <w:szCs w:val="28"/>
          <w:highlight w:val="none"/>
        </w:rPr>
        <w:t>.表中大写金额与小写金额不一致的，以大写金额为准。</w:t>
      </w:r>
    </w:p>
    <w:p w14:paraId="4CDBBD08">
      <w:pPr>
        <w:widowControl/>
        <w:jc w:val="left"/>
        <w:rPr>
          <w:rFonts w:ascii="宋体" w:hAnsi="宋体" w:eastAsia="宋体"/>
          <w:bCs/>
          <w:color w:val="auto"/>
          <w:sz w:val="24"/>
          <w:highlight w:val="none"/>
        </w:rPr>
      </w:pPr>
      <w:r>
        <w:rPr>
          <w:rFonts w:ascii="宋体" w:hAnsi="宋体" w:eastAsia="宋体"/>
          <w:bCs/>
          <w:color w:val="auto"/>
          <w:sz w:val="24"/>
          <w:highlight w:val="none"/>
        </w:rPr>
        <w:br w:type="page"/>
      </w:r>
    </w:p>
    <w:p w14:paraId="587176E5">
      <w:pPr>
        <w:spacing w:line="360" w:lineRule="auto"/>
        <w:jc w:val="center"/>
        <w:outlineLvl w:val="1"/>
        <w:rPr>
          <w:rFonts w:asciiTheme="minorEastAsia" w:hAnsiTheme="minorEastAsia" w:eastAsiaTheme="minorEastAsia"/>
          <w:b/>
          <w:color w:val="auto"/>
          <w:sz w:val="24"/>
          <w:highlight w:val="none"/>
        </w:rPr>
      </w:pPr>
      <w:bookmarkStart w:id="205" w:name="_Toc11500"/>
      <w:bookmarkStart w:id="206" w:name="_Toc32385"/>
      <w:bookmarkStart w:id="207" w:name="_Toc520983591"/>
      <w:r>
        <w:rPr>
          <w:rFonts w:hint="eastAsia" w:asciiTheme="minorEastAsia" w:hAnsiTheme="minorEastAsia" w:eastAsiaTheme="minorEastAsia"/>
          <w:b/>
          <w:color w:val="auto"/>
          <w:sz w:val="24"/>
          <w:highlight w:val="none"/>
        </w:rPr>
        <w:t>三、磋商响应函</w:t>
      </w:r>
      <w:bookmarkEnd w:id="205"/>
      <w:bookmarkEnd w:id="206"/>
      <w:bookmarkEnd w:id="207"/>
    </w:p>
    <w:p w14:paraId="21019DAB">
      <w:pPr>
        <w:pStyle w:val="14"/>
        <w:spacing w:line="360" w:lineRule="auto"/>
        <w:rPr>
          <w:rFonts w:hint="eastAsia" w:ascii="宋体" w:hAnsi="宋体" w:eastAsia="宋体"/>
          <w:color w:val="auto"/>
          <w:sz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lang w:val="en-US" w:eastAsia="zh-CN"/>
        </w:rPr>
        <w:t>采购人</w:t>
      </w:r>
    </w:p>
    <w:p w14:paraId="675A8BD8">
      <w:pPr>
        <w:spacing w:line="360" w:lineRule="auto"/>
        <w:ind w:firstLine="480" w:firstLineChars="200"/>
        <w:rPr>
          <w:rFonts w:ascii="宋体" w:hAnsi="宋体" w:eastAsia="宋体"/>
          <w:dstrike/>
          <w:color w:val="auto"/>
          <w:sz w:val="24"/>
          <w:highlight w:val="none"/>
        </w:rPr>
      </w:pPr>
      <w:r>
        <w:rPr>
          <w:rFonts w:hint="eastAsia" w:ascii="宋体" w:hAnsi="宋体" w:eastAsia="宋体"/>
          <w:color w:val="auto"/>
          <w:sz w:val="24"/>
          <w:highlight w:val="none"/>
        </w:rPr>
        <w:t>根据贵方的</w:t>
      </w:r>
      <w:bookmarkStart w:id="208" w:name="_Hlk44287543"/>
      <w:r>
        <w:rPr>
          <w:rFonts w:hint="eastAsia" w:ascii="宋体" w:hAnsi="宋体" w:eastAsia="宋体"/>
          <w:color w:val="auto"/>
          <w:sz w:val="24"/>
          <w:highlight w:val="none"/>
        </w:rPr>
        <w:t>竞争性磋商公告和磋商邀请</w:t>
      </w:r>
      <w:bookmarkEnd w:id="208"/>
      <w:r>
        <w:rPr>
          <w:rFonts w:hint="eastAsia" w:ascii="宋体" w:hAnsi="宋体" w:eastAsia="宋体"/>
          <w:color w:val="auto"/>
          <w:sz w:val="24"/>
          <w:highlight w:val="none"/>
        </w:rPr>
        <w:t>，我方兹宣布同意如下：</w:t>
      </w:r>
    </w:p>
    <w:p w14:paraId="1EE21745">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1</w:t>
      </w:r>
      <w:r>
        <w:rPr>
          <w:rFonts w:hint="eastAsia" w:asciiTheme="minorEastAsia" w:hAnsiTheme="minorEastAsia" w:eastAsiaTheme="minorEastAsia"/>
          <w:color w:val="auto"/>
          <w:sz w:val="24"/>
          <w:highlight w:val="none"/>
        </w:rPr>
        <w:t>.</w:t>
      </w:r>
      <w:r>
        <w:rPr>
          <w:rFonts w:hint="eastAsia" w:ascii="宋体" w:hAnsi="宋体" w:eastAsia="宋体" w:cs="宋体"/>
          <w:color w:val="auto"/>
          <w:sz w:val="24"/>
          <w:szCs w:val="24"/>
          <w:highlight w:val="none"/>
        </w:rPr>
        <w:t>我方根据</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文件的规定，严格履行合同的责任和义务,并保证于买方要求的日期内完成，并通过买方验收。</w:t>
      </w:r>
    </w:p>
    <w:p w14:paraId="2280369C">
      <w:pPr>
        <w:spacing w:line="360" w:lineRule="auto"/>
        <w:ind w:firstLine="435"/>
        <w:rPr>
          <w:rFonts w:hint="eastAsia"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2</w:t>
      </w:r>
      <w:r>
        <w:rPr>
          <w:rFonts w:hint="eastAsia" w:asciiTheme="minorEastAsia" w:hAnsiTheme="minorEastAsia" w:eastAsiaTheme="minorEastAsia"/>
          <w:color w:val="auto"/>
          <w:sz w:val="24"/>
          <w:highlight w:val="none"/>
        </w:rPr>
        <w:t>.我方已详细审核全部</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文件，包括</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w:t>
      </w:r>
      <w:r>
        <w:rPr>
          <w:rFonts w:hint="eastAsia" w:asciiTheme="minorEastAsia" w:hAnsiTheme="minorEastAsia" w:eastAsiaTheme="minorEastAsia"/>
          <w:color w:val="auto"/>
          <w:sz w:val="24"/>
          <w:highlight w:val="none"/>
          <w:lang w:val="en-US" w:eastAsia="zh-CN"/>
        </w:rPr>
        <w:t>附件及更正公告</w:t>
      </w:r>
      <w:r>
        <w:rPr>
          <w:rFonts w:hint="eastAsia" w:asciiTheme="minorEastAsia" w:hAnsiTheme="minorEastAsia" w:eastAsiaTheme="minorEastAsia"/>
          <w:color w:val="auto"/>
          <w:sz w:val="24"/>
          <w:highlight w:val="none"/>
        </w:rPr>
        <w:t>（如有）</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我方正式认可并遵守本次</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文件，并对</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文件各项条款、规定及要求均无异议。</w:t>
      </w:r>
    </w:p>
    <w:p w14:paraId="1F7CFDE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3</w:t>
      </w:r>
      <w:r>
        <w:rPr>
          <w:rFonts w:hint="eastAsia" w:asciiTheme="minorEastAsia" w:hAnsiTheme="minorEastAsia" w:eastAsiaTheme="minorEastAsia"/>
          <w:color w:val="auto"/>
          <w:sz w:val="24"/>
          <w:highlight w:val="none"/>
        </w:rPr>
        <w:t>.我方同意从</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文件规定的</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日期起遵循本</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文件，并在</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文件规定的</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有效期之前均具有约束力。</w:t>
      </w:r>
    </w:p>
    <w:p w14:paraId="040D90D1">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en-US" w:eastAsia="zh-CN"/>
        </w:rPr>
        <w:t>4</w:t>
      </w:r>
      <w:r>
        <w:rPr>
          <w:rFonts w:hint="eastAsia" w:asciiTheme="minorEastAsia" w:hAnsiTheme="minorEastAsia" w:eastAsiaTheme="minorEastAsia"/>
          <w:color w:val="auto"/>
          <w:sz w:val="24"/>
          <w:highlight w:val="none"/>
        </w:rPr>
        <w:t>.我方声明</w:t>
      </w:r>
      <w:r>
        <w:rPr>
          <w:rFonts w:hint="eastAsia" w:asciiTheme="minorEastAsia" w:hAnsiTheme="minorEastAsia" w:eastAsiaTheme="minorEastAsia"/>
          <w:color w:val="auto"/>
          <w:sz w:val="24"/>
          <w:highlight w:val="none"/>
          <w:lang w:val="en-US" w:eastAsia="zh-CN"/>
        </w:rPr>
        <w:t>响应</w:t>
      </w:r>
      <w:r>
        <w:rPr>
          <w:rFonts w:hint="eastAsia" w:asciiTheme="minorEastAsia" w:hAnsiTheme="minorEastAsia" w:eastAsiaTheme="minorEastAsia"/>
          <w:color w:val="auto"/>
          <w:sz w:val="24"/>
          <w:highlight w:val="none"/>
        </w:rPr>
        <w:t>文件所提供的一切资料均真实无误、及时、有效，企业运营正常。由于我方提供资料不实而造成的责任和后果由我方承担。我方同意按照贵方提出的要求，提供与</w:t>
      </w:r>
      <w:r>
        <w:rPr>
          <w:rFonts w:hint="eastAsia" w:asciiTheme="minorEastAsia" w:hAnsiTheme="minorEastAsia" w:eastAsiaTheme="minorEastAsia"/>
          <w:color w:val="auto"/>
          <w:sz w:val="24"/>
          <w:highlight w:val="none"/>
          <w:lang w:val="en-US" w:eastAsia="zh-CN"/>
        </w:rPr>
        <w:t>磋商</w:t>
      </w:r>
      <w:r>
        <w:rPr>
          <w:rFonts w:hint="eastAsia" w:asciiTheme="minorEastAsia" w:hAnsiTheme="minorEastAsia" w:eastAsiaTheme="minorEastAsia"/>
          <w:color w:val="auto"/>
          <w:sz w:val="24"/>
          <w:highlight w:val="none"/>
        </w:rPr>
        <w:t>有关的任何证据、数据或资料。</w:t>
      </w:r>
    </w:p>
    <w:p w14:paraId="55E74E08">
      <w:pPr>
        <w:spacing w:line="360" w:lineRule="auto"/>
        <w:ind w:firstLine="480" w:firstLineChars="200"/>
        <w:rPr>
          <w:rFonts w:ascii="宋体" w:hAnsi="宋体" w:eastAsia="宋体"/>
          <w:color w:val="auto"/>
          <w:sz w:val="24"/>
          <w:highlight w:val="none"/>
        </w:rPr>
      </w:pPr>
    </w:p>
    <w:p w14:paraId="22DAFD13">
      <w:pPr>
        <w:spacing w:line="360" w:lineRule="auto"/>
        <w:ind w:firstLine="4800" w:firstLineChars="2000"/>
        <w:rPr>
          <w:rFonts w:ascii="宋体" w:hAnsi="宋体" w:eastAsia="宋体"/>
          <w:color w:val="auto"/>
          <w:sz w:val="24"/>
          <w:highlight w:val="none"/>
        </w:rPr>
      </w:pPr>
      <w:r>
        <w:rPr>
          <w:rFonts w:hint="eastAsia" w:ascii="宋体" w:hAnsi="宋体" w:eastAsia="宋体"/>
          <w:color w:val="auto"/>
          <w:sz w:val="24"/>
          <w:highlight w:val="none"/>
        </w:rPr>
        <w:t>供应商电子签章：</w:t>
      </w:r>
      <w:r>
        <w:rPr>
          <w:rFonts w:hint="eastAsia" w:ascii="宋体" w:hAnsi="宋体" w:eastAsia="宋体"/>
          <w:color w:val="auto"/>
          <w:sz w:val="24"/>
          <w:highlight w:val="none"/>
          <w:u w:val="single"/>
        </w:rPr>
        <w:t xml:space="preserve">             </w:t>
      </w:r>
    </w:p>
    <w:p w14:paraId="6088C4D2">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日          期：</w:t>
      </w:r>
      <w:r>
        <w:rPr>
          <w:rFonts w:hint="eastAsia" w:ascii="宋体" w:hAnsi="宋体" w:eastAsia="宋体"/>
          <w:color w:val="auto"/>
          <w:sz w:val="24"/>
          <w:highlight w:val="none"/>
          <w:u w:val="single"/>
        </w:rPr>
        <w:t xml:space="preserve">             </w:t>
      </w:r>
    </w:p>
    <w:p w14:paraId="72CA3F0B">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5C789A8C">
      <w:pPr>
        <w:spacing w:line="360" w:lineRule="auto"/>
        <w:jc w:val="center"/>
        <w:outlineLvl w:val="1"/>
        <w:rPr>
          <w:rFonts w:hint="eastAsia" w:asciiTheme="minorEastAsia" w:hAnsiTheme="minorEastAsia" w:eastAsiaTheme="minorEastAsia"/>
          <w:b/>
          <w:color w:val="auto"/>
          <w:sz w:val="24"/>
          <w:highlight w:val="none"/>
          <w:lang w:val="en-US" w:eastAsia="zh-CN"/>
        </w:rPr>
      </w:pPr>
      <w:bookmarkStart w:id="209" w:name="_Toc21328"/>
      <w:r>
        <w:rPr>
          <w:rFonts w:hint="eastAsia" w:asciiTheme="minorEastAsia" w:hAnsiTheme="minorEastAsia" w:eastAsiaTheme="minorEastAsia"/>
          <w:b/>
          <w:color w:val="auto"/>
          <w:sz w:val="24"/>
          <w:highlight w:val="none"/>
          <w:lang w:val="en-US" w:eastAsia="zh-CN"/>
        </w:rPr>
        <w:t>四、供应商资格声明书</w:t>
      </w:r>
      <w:bookmarkEnd w:id="209"/>
    </w:p>
    <w:p w14:paraId="722D3C7E">
      <w:pPr>
        <w:pStyle w:val="14"/>
        <w:spacing w:line="360" w:lineRule="auto"/>
        <w:rPr>
          <w:rFonts w:hint="eastAsia" w:eastAsia="宋体" w:asciiTheme="minorEastAsia" w:hAnsiTheme="minorEastAsia" w:cstheme="minorEastAsia"/>
          <w:color w:val="auto"/>
          <w:sz w:val="24"/>
          <w:szCs w:val="24"/>
          <w:highlight w:val="none"/>
          <w:lang w:eastAsia="zh-CN"/>
        </w:rPr>
      </w:pPr>
      <w:r>
        <w:rPr>
          <w:rFonts w:hint="eastAsia" w:ascii="宋体" w:hAnsi="宋体"/>
          <w:color w:val="auto"/>
          <w:sz w:val="24"/>
          <w:highlight w:val="none"/>
        </w:rPr>
        <w:t>致：</w:t>
      </w:r>
      <w:r>
        <w:rPr>
          <w:rFonts w:hint="eastAsia" w:ascii="宋体" w:hAnsi="宋体"/>
          <w:color w:val="auto"/>
          <w:sz w:val="24"/>
          <w:highlight w:val="none"/>
          <w:u w:val="none"/>
          <w:lang w:val="en-US" w:eastAsia="zh-CN"/>
        </w:rPr>
        <w:t>采购人</w:t>
      </w:r>
    </w:p>
    <w:p w14:paraId="7C7D213B">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在参与本次项目磋商中，我单位承诺：</w:t>
      </w:r>
    </w:p>
    <w:p w14:paraId="4EF00205">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（一）具有良好的商业信誉和健全的财务会计制度；</w:t>
      </w:r>
    </w:p>
    <w:p w14:paraId="068E6BBC">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（二）具有履行合同所必需的设备和专业技术能力；</w:t>
      </w:r>
    </w:p>
    <w:p w14:paraId="44A44CC9">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（三）有依法缴纳税收和社会保障资金的良好记录；</w:t>
      </w:r>
    </w:p>
    <w:p w14:paraId="01A425A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587648A">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
        </w:rPr>
        <w:t>（五）我单位不存在为采购项目提供整体设计、规范编制或者项目管理、监理、检测等服务后，再参加该采购项目的其他采购活动的情形（单一来源采购项目除外）；</w:t>
      </w:r>
    </w:p>
    <w:p w14:paraId="4CCEE898">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auto"/>
          <w:kern w:val="0"/>
          <w:sz w:val="24"/>
          <w:szCs w:val="24"/>
          <w:highlight w:val="no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（六）与我单位存在单位负责人为同一人或者存在直接控股、管理关系的其他法人单位信息如下（如有，不论其是否参加同一合同项下的政府采购活动均须填写）：</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1"/>
        <w:gridCol w:w="4191"/>
        <w:gridCol w:w="2510"/>
      </w:tblGrid>
      <w:tr w14:paraId="24F9F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023A5E7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序号</w:t>
            </w:r>
          </w:p>
        </w:tc>
        <w:tc>
          <w:tcPr>
            <w:tcW w:w="4501" w:type="dxa"/>
          </w:tcPr>
          <w:p w14:paraId="0A023C34">
            <w:pPr>
              <w:pStyle w:val="9"/>
              <w:jc w:val="center"/>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单位名称</w:t>
            </w:r>
          </w:p>
        </w:tc>
        <w:tc>
          <w:tcPr>
            <w:tcW w:w="2681" w:type="dxa"/>
          </w:tcPr>
          <w:p w14:paraId="09BBB59B">
            <w:pPr>
              <w:pStyle w:val="9"/>
              <w:jc w:val="center"/>
              <w:rPr>
                <w:rFonts w:hint="eastAsia"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lang w:val="en-US" w:eastAsia="zh-CN" w:bidi="ar"/>
              </w:rPr>
              <w:t>相互关系</w:t>
            </w:r>
          </w:p>
        </w:tc>
      </w:tr>
      <w:tr w14:paraId="5348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232A9266">
            <w:pPr>
              <w:pStyle w:val="9"/>
              <w:jc w:val="center"/>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1</w:t>
            </w:r>
          </w:p>
        </w:tc>
        <w:tc>
          <w:tcPr>
            <w:tcW w:w="4501" w:type="dxa"/>
          </w:tcPr>
          <w:p w14:paraId="124BDD44">
            <w:pPr>
              <w:pStyle w:val="9"/>
              <w:jc w:val="center"/>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681" w:type="dxa"/>
          </w:tcPr>
          <w:p w14:paraId="6B8DE227">
            <w:pPr>
              <w:pStyle w:val="9"/>
              <w:jc w:val="center"/>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r w14:paraId="067F0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dxa"/>
          </w:tcPr>
          <w:p w14:paraId="040427E3">
            <w:pPr>
              <w:pStyle w:val="9"/>
              <w:jc w:val="center"/>
              <w:rPr>
                <w:rFonts w:hint="default" w:asciiTheme="minorEastAsia" w:hAnsiTheme="minorEastAsia" w:eastAsiaTheme="minorEastAsia" w:cstheme="minorEastAsia"/>
                <w:color w:val="auto"/>
                <w:kern w:val="0"/>
                <w:sz w:val="24"/>
                <w:szCs w:val="24"/>
                <w:highlight w:val="none"/>
                <w:vertAlign w:val="baseline"/>
                <w:lang w:val="en-US" w:eastAsia="zh-CN" w:bidi="ar"/>
              </w:rPr>
            </w:pPr>
            <w:r>
              <w:rPr>
                <w:rFonts w:hint="eastAsia" w:asciiTheme="minorEastAsia" w:hAnsiTheme="minorEastAsia" w:eastAsiaTheme="minorEastAsia" w:cstheme="minorEastAsia"/>
                <w:color w:val="auto"/>
                <w:kern w:val="0"/>
                <w:sz w:val="24"/>
                <w:szCs w:val="24"/>
                <w:highlight w:val="none"/>
                <w:vertAlign w:val="baseline"/>
                <w:lang w:val="en-US" w:eastAsia="zh-CN" w:bidi="ar"/>
              </w:rPr>
              <w:t>2</w:t>
            </w:r>
          </w:p>
        </w:tc>
        <w:tc>
          <w:tcPr>
            <w:tcW w:w="4501" w:type="dxa"/>
          </w:tcPr>
          <w:p w14:paraId="0900AE6D">
            <w:pPr>
              <w:pStyle w:val="9"/>
              <w:jc w:val="center"/>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c>
          <w:tcPr>
            <w:tcW w:w="2681" w:type="dxa"/>
          </w:tcPr>
          <w:p w14:paraId="63A38F41">
            <w:pPr>
              <w:pStyle w:val="9"/>
              <w:jc w:val="center"/>
              <w:rPr>
                <w:rFonts w:hint="eastAsia" w:asciiTheme="minorEastAsia" w:hAnsiTheme="minorEastAsia" w:eastAsiaTheme="minorEastAsia" w:cstheme="minorEastAsia"/>
                <w:color w:val="auto"/>
                <w:kern w:val="0"/>
                <w:sz w:val="24"/>
                <w:szCs w:val="24"/>
                <w:highlight w:val="none"/>
                <w:vertAlign w:val="baseline"/>
                <w:lang w:val="en-US" w:eastAsia="zh-CN" w:bidi="ar"/>
              </w:rPr>
            </w:pPr>
          </w:p>
        </w:tc>
      </w:tr>
    </w:tbl>
    <w:p w14:paraId="640E5194">
      <w:pPr>
        <w:spacing w:line="360" w:lineRule="auto"/>
        <w:ind w:firstLine="435"/>
        <w:rPr>
          <w:rFonts w:ascii="宋体" w:hAnsi="宋体" w:eastAsia="宋体"/>
          <w:color w:val="auto"/>
          <w:sz w:val="24"/>
          <w:highlight w:val="none"/>
        </w:rPr>
      </w:pPr>
      <w:r>
        <w:rPr>
          <w:rFonts w:hint="eastAsia" w:ascii="宋体" w:hAnsi="宋体" w:eastAsia="宋体"/>
          <w:color w:val="auto"/>
          <w:sz w:val="24"/>
          <w:highlight w:val="none"/>
        </w:rPr>
        <w:t>本单位对</w:t>
      </w:r>
      <w:r>
        <w:rPr>
          <w:rFonts w:hint="eastAsia" w:asciiTheme="minorEastAsia" w:hAnsiTheme="minorEastAsia" w:eastAsiaTheme="minorEastAsia"/>
          <w:color w:val="auto"/>
          <w:sz w:val="24"/>
          <w:highlight w:val="none"/>
        </w:rPr>
        <w:t>上述</w:t>
      </w:r>
      <w:r>
        <w:rPr>
          <w:rFonts w:hint="eastAsia" w:ascii="宋体" w:hAnsi="宋体" w:eastAsia="宋体"/>
          <w:color w:val="auto"/>
          <w:sz w:val="24"/>
          <w:highlight w:val="none"/>
        </w:rPr>
        <w:t>声明的真实性负责。如有虚假，将依法承担相应责任。</w:t>
      </w:r>
    </w:p>
    <w:p w14:paraId="47A6BBEA">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57784C0E">
      <w:pPr>
        <w:tabs>
          <w:tab w:val="left" w:pos="630"/>
        </w:tabs>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1ECD5AD6">
      <w:pPr>
        <w:spacing w:line="440" w:lineRule="exact"/>
        <w:ind w:firstLine="4800" w:firstLineChars="2000"/>
        <w:rPr>
          <w:rFonts w:ascii="宋体" w:hAnsi="宋体" w:eastAsia="宋体"/>
          <w:color w:val="auto"/>
          <w:sz w:val="24"/>
          <w:szCs w:val="24"/>
          <w:highlight w:val="none"/>
          <w:u w:val="single"/>
        </w:rPr>
      </w:pPr>
    </w:p>
    <w:p w14:paraId="1E8743C5">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3F2AC9F7">
      <w:pPr>
        <w:spacing w:line="360" w:lineRule="auto"/>
        <w:jc w:val="center"/>
        <w:outlineLvl w:val="1"/>
        <w:rPr>
          <w:rFonts w:asciiTheme="minorEastAsia" w:hAnsiTheme="minorEastAsia" w:eastAsiaTheme="minorEastAsia"/>
          <w:b/>
          <w:color w:val="auto"/>
          <w:sz w:val="24"/>
          <w:highlight w:val="none"/>
        </w:rPr>
      </w:pPr>
      <w:bookmarkStart w:id="210" w:name="_Toc26922"/>
      <w:bookmarkStart w:id="211" w:name="_Toc520983594"/>
      <w:bookmarkStart w:id="212" w:name="_Toc204594911"/>
      <w:bookmarkStart w:id="213" w:name="_Toc121626298"/>
      <w:bookmarkStart w:id="214" w:name="_Toc516969106"/>
      <w:bookmarkStart w:id="215" w:name="_Toc31518"/>
      <w:r>
        <w:rPr>
          <w:rFonts w:hint="eastAsia" w:asciiTheme="minorEastAsia" w:hAnsiTheme="minorEastAsia" w:eastAsiaTheme="minorEastAsia"/>
          <w:b/>
          <w:color w:val="auto"/>
          <w:sz w:val="24"/>
          <w:highlight w:val="none"/>
        </w:rPr>
        <w:t>五、授权书</w:t>
      </w:r>
      <w:bookmarkEnd w:id="210"/>
      <w:bookmarkEnd w:id="211"/>
      <w:bookmarkEnd w:id="212"/>
      <w:bookmarkEnd w:id="213"/>
      <w:bookmarkEnd w:id="214"/>
      <w:bookmarkEnd w:id="215"/>
    </w:p>
    <w:p w14:paraId="43210C10">
      <w:pPr>
        <w:spacing w:line="360" w:lineRule="auto"/>
        <w:jc w:val="center"/>
        <w:rPr>
          <w:rFonts w:asciiTheme="minorEastAsia" w:hAnsiTheme="minorEastAsia" w:eastAsiaTheme="minorEastAsia"/>
          <w:b/>
          <w:color w:val="auto"/>
          <w:sz w:val="24"/>
          <w:highlight w:val="none"/>
        </w:rPr>
      </w:pPr>
    </w:p>
    <w:p w14:paraId="5874F629">
      <w:pPr>
        <w:pStyle w:val="13"/>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本授权书声明：</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（供应商名称）授权</w:t>
      </w:r>
      <w:r>
        <w:rPr>
          <w:rFonts w:hint="eastAsia" w:hAnsi="宋体" w:eastAsia="宋体"/>
          <w:color w:val="auto"/>
          <w:sz w:val="24"/>
          <w:szCs w:val="28"/>
          <w:highlight w:val="none"/>
          <w:u w:val="single"/>
        </w:rPr>
        <w:t xml:space="preserve">       </w:t>
      </w:r>
      <w:r>
        <w:rPr>
          <w:rFonts w:hint="eastAsia" w:hAnsi="宋体" w:eastAsia="宋体"/>
          <w:color w:val="auto"/>
          <w:sz w:val="24"/>
          <w:szCs w:val="28"/>
          <w:highlight w:val="none"/>
        </w:rPr>
        <w:t>（供应商授权代表姓名）代表我方参加本项目</w:t>
      </w:r>
      <w:r>
        <w:rPr>
          <w:rFonts w:hint="eastAsia" w:hAnsi="宋体" w:eastAsia="宋体"/>
          <w:bCs/>
          <w:color w:val="auto"/>
          <w:sz w:val="24"/>
          <w:szCs w:val="28"/>
          <w:highlight w:val="none"/>
        </w:rPr>
        <w:t>采购活动</w:t>
      </w:r>
      <w:r>
        <w:rPr>
          <w:rFonts w:hint="eastAsia" w:hAnsi="宋体" w:eastAsia="宋体"/>
          <w:color w:val="auto"/>
          <w:sz w:val="24"/>
          <w:szCs w:val="28"/>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5DCD3194">
      <w:pPr>
        <w:pStyle w:val="13"/>
        <w:snapToGrid w:val="0"/>
        <w:spacing w:line="360" w:lineRule="auto"/>
        <w:ind w:firstLine="480" w:firstLineChars="200"/>
        <w:jc w:val="left"/>
        <w:rPr>
          <w:rFonts w:hAnsi="宋体" w:eastAsia="宋体"/>
          <w:color w:val="auto"/>
          <w:sz w:val="24"/>
          <w:szCs w:val="28"/>
          <w:highlight w:val="none"/>
        </w:rPr>
      </w:pPr>
      <w:r>
        <w:rPr>
          <w:rFonts w:hint="eastAsia" w:hAnsi="宋体" w:eastAsia="宋体"/>
          <w:color w:val="auto"/>
          <w:sz w:val="24"/>
          <w:szCs w:val="28"/>
          <w:highlight w:val="none"/>
        </w:rPr>
        <w:t>本授权书自出具之日起生效。</w:t>
      </w:r>
    </w:p>
    <w:p w14:paraId="280F87C6">
      <w:pPr>
        <w:pStyle w:val="13"/>
        <w:snapToGrid w:val="0"/>
        <w:spacing w:line="360" w:lineRule="auto"/>
        <w:ind w:firstLine="480" w:firstLineChars="200"/>
        <w:jc w:val="left"/>
        <w:rPr>
          <w:rFonts w:hAnsi="宋体" w:eastAsia="宋体"/>
          <w:color w:val="auto"/>
          <w:sz w:val="24"/>
          <w:highlight w:val="none"/>
        </w:rPr>
      </w:pPr>
      <w:r>
        <w:rPr>
          <w:rFonts w:hint="eastAsia" w:hAnsi="宋体" w:eastAsia="宋体"/>
          <w:color w:val="auto"/>
          <w:sz w:val="24"/>
          <w:szCs w:val="28"/>
          <w:highlight w:val="none"/>
        </w:rPr>
        <w:t>授权代表</w:t>
      </w:r>
      <w:r>
        <w:rPr>
          <w:rFonts w:hint="eastAsia" w:hAnsi="宋体" w:eastAsia="宋体"/>
          <w:color w:val="auto"/>
          <w:sz w:val="24"/>
          <w:highlight w:val="none"/>
        </w:rPr>
        <w:t>身份证明扫描件：</w:t>
      </w:r>
    </w:p>
    <w:p w14:paraId="1025310E">
      <w:pPr>
        <w:pStyle w:val="13"/>
        <w:snapToGrid w:val="0"/>
        <w:spacing w:line="360" w:lineRule="auto"/>
        <w:ind w:firstLine="480" w:firstLineChars="200"/>
        <w:jc w:val="left"/>
        <w:rPr>
          <w:rFonts w:hAnsi="宋体" w:eastAsia="宋体"/>
          <w:color w:val="auto"/>
          <w:sz w:val="24"/>
          <w:highlight w:val="none"/>
        </w:rPr>
      </w:pPr>
    </w:p>
    <w:p w14:paraId="54BB87F8">
      <w:pPr>
        <w:pStyle w:val="13"/>
        <w:snapToGrid w:val="0"/>
        <w:spacing w:line="360" w:lineRule="auto"/>
        <w:ind w:firstLine="480" w:firstLineChars="200"/>
        <w:jc w:val="left"/>
        <w:rPr>
          <w:rFonts w:hAnsi="宋体" w:eastAsia="宋体"/>
          <w:color w:val="auto"/>
          <w:sz w:val="24"/>
          <w:highlight w:val="none"/>
        </w:rPr>
      </w:pPr>
    </w:p>
    <w:p w14:paraId="5146BC03">
      <w:pPr>
        <w:pStyle w:val="13"/>
        <w:snapToGrid w:val="0"/>
        <w:spacing w:line="360" w:lineRule="auto"/>
        <w:ind w:firstLine="480" w:firstLineChars="200"/>
        <w:jc w:val="left"/>
        <w:rPr>
          <w:rFonts w:hAnsi="宋体" w:eastAsia="宋体"/>
          <w:color w:val="auto"/>
          <w:sz w:val="24"/>
          <w:highlight w:val="none"/>
        </w:rPr>
      </w:pPr>
    </w:p>
    <w:p w14:paraId="3B1E74AA">
      <w:pPr>
        <w:pStyle w:val="13"/>
        <w:snapToGrid w:val="0"/>
        <w:spacing w:line="360" w:lineRule="auto"/>
        <w:ind w:firstLine="480" w:firstLineChars="200"/>
        <w:jc w:val="left"/>
        <w:rPr>
          <w:rFonts w:hAnsi="宋体" w:eastAsia="宋体"/>
          <w:color w:val="auto"/>
          <w:sz w:val="24"/>
          <w:highlight w:val="none"/>
        </w:rPr>
      </w:pPr>
    </w:p>
    <w:p w14:paraId="0F14A851">
      <w:pPr>
        <w:pStyle w:val="13"/>
        <w:snapToGrid w:val="0"/>
        <w:spacing w:line="360" w:lineRule="auto"/>
        <w:ind w:firstLine="480" w:firstLineChars="200"/>
        <w:jc w:val="left"/>
        <w:rPr>
          <w:rFonts w:hAnsi="宋体" w:eastAsia="宋体"/>
          <w:color w:val="auto"/>
          <w:sz w:val="24"/>
          <w:szCs w:val="28"/>
          <w:highlight w:val="none"/>
          <w:u w:val="single"/>
        </w:rPr>
      </w:pPr>
      <w:r>
        <w:rPr>
          <w:rFonts w:hint="eastAsia" w:hAnsi="宋体" w:eastAsia="宋体"/>
          <w:color w:val="auto"/>
          <w:sz w:val="24"/>
          <w:szCs w:val="28"/>
          <w:highlight w:val="none"/>
        </w:rPr>
        <w:t>授权代表联系方式：</w:t>
      </w:r>
      <w:r>
        <w:rPr>
          <w:rFonts w:hint="eastAsia" w:hAnsi="宋体" w:eastAsia="宋体"/>
          <w:color w:val="auto"/>
          <w:sz w:val="24"/>
          <w:szCs w:val="28"/>
          <w:highlight w:val="none"/>
          <w:u w:val="single"/>
        </w:rPr>
        <w:t xml:space="preserve">          （请填写手机号码）</w:t>
      </w:r>
    </w:p>
    <w:p w14:paraId="5DC9B3BB">
      <w:pPr>
        <w:pStyle w:val="13"/>
        <w:snapToGrid w:val="0"/>
        <w:spacing w:line="360" w:lineRule="auto"/>
        <w:ind w:firstLine="480" w:firstLineChars="200"/>
        <w:jc w:val="left"/>
        <w:rPr>
          <w:rFonts w:hAnsi="宋体" w:eastAsia="宋体"/>
          <w:color w:val="auto"/>
          <w:sz w:val="24"/>
          <w:szCs w:val="28"/>
          <w:highlight w:val="none"/>
        </w:rPr>
      </w:pPr>
    </w:p>
    <w:p w14:paraId="7884E3EC">
      <w:pPr>
        <w:spacing w:line="360" w:lineRule="auto"/>
        <w:ind w:firstLine="360" w:firstLineChars="150"/>
        <w:rPr>
          <w:rFonts w:ascii="宋体" w:hAnsi="宋体" w:eastAsia="宋体"/>
          <w:color w:val="auto"/>
          <w:sz w:val="24"/>
          <w:szCs w:val="28"/>
          <w:highlight w:val="none"/>
        </w:rPr>
      </w:pPr>
      <w:r>
        <w:rPr>
          <w:rFonts w:hint="eastAsia" w:ascii="宋体" w:hAnsi="宋体" w:eastAsia="宋体"/>
          <w:color w:val="auto"/>
          <w:sz w:val="24"/>
          <w:szCs w:val="28"/>
          <w:highlight w:val="none"/>
        </w:rPr>
        <w:t>特此声明。</w:t>
      </w:r>
    </w:p>
    <w:p w14:paraId="0C8DFC4F">
      <w:pPr>
        <w:spacing w:line="360" w:lineRule="auto"/>
        <w:rPr>
          <w:rFonts w:ascii="宋体" w:hAnsi="宋体" w:eastAsia="宋体"/>
          <w:color w:val="auto"/>
          <w:sz w:val="24"/>
          <w:szCs w:val="28"/>
          <w:highlight w:val="none"/>
        </w:rPr>
      </w:pPr>
    </w:p>
    <w:p w14:paraId="0EA3F5AC">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721160F5">
      <w:pPr>
        <w:tabs>
          <w:tab w:val="left" w:pos="630"/>
        </w:tabs>
        <w:spacing w:line="360" w:lineRule="auto"/>
        <w:ind w:firstLine="4800" w:firstLineChars="2000"/>
        <w:rPr>
          <w:rFonts w:ascii="宋体" w:hAnsi="宋体" w:eastAsia="宋体"/>
          <w:color w:val="auto"/>
          <w:sz w:val="24"/>
          <w:szCs w:val="28"/>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0AEDF0A3">
      <w:pPr>
        <w:spacing w:line="360" w:lineRule="auto"/>
        <w:rPr>
          <w:rFonts w:ascii="宋体" w:hAnsi="宋体" w:eastAsia="宋体"/>
          <w:color w:val="auto"/>
          <w:sz w:val="24"/>
          <w:szCs w:val="28"/>
          <w:highlight w:val="none"/>
        </w:rPr>
      </w:pPr>
    </w:p>
    <w:p w14:paraId="6F272CFC">
      <w:pPr>
        <w:spacing w:line="360" w:lineRule="auto"/>
        <w:rPr>
          <w:rFonts w:ascii="宋体" w:hAnsi="宋体" w:eastAsia="宋体"/>
          <w:color w:val="auto"/>
          <w:sz w:val="24"/>
          <w:szCs w:val="28"/>
          <w:highlight w:val="none"/>
        </w:rPr>
      </w:pPr>
    </w:p>
    <w:p w14:paraId="0FD96122">
      <w:pPr>
        <w:pStyle w:val="13"/>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注：</w:t>
      </w:r>
    </w:p>
    <w:p w14:paraId="637F1B3B">
      <w:pPr>
        <w:pStyle w:val="13"/>
        <w:snapToGrid w:val="0"/>
        <w:spacing w:line="360" w:lineRule="auto"/>
        <w:jc w:val="left"/>
        <w:rPr>
          <w:rFonts w:hAnsi="宋体" w:eastAsia="宋体"/>
          <w:color w:val="auto"/>
          <w:sz w:val="24"/>
          <w:szCs w:val="28"/>
          <w:highlight w:val="none"/>
        </w:rPr>
      </w:pPr>
      <w:r>
        <w:rPr>
          <w:rFonts w:hint="eastAsia" w:hAnsi="宋体" w:eastAsia="宋体"/>
          <w:color w:val="auto"/>
          <w:sz w:val="24"/>
          <w:szCs w:val="28"/>
          <w:highlight w:val="none"/>
        </w:rPr>
        <w:t>1.本项目只允许有唯一的供应商授权代表，提供身份证明扫描件；</w:t>
      </w:r>
    </w:p>
    <w:p w14:paraId="7763861F">
      <w:pPr>
        <w:spacing w:line="360" w:lineRule="auto"/>
        <w:jc w:val="left"/>
        <w:rPr>
          <w:rFonts w:ascii="宋体" w:hAnsi="宋体" w:eastAsia="宋体"/>
          <w:color w:val="auto"/>
          <w:sz w:val="24"/>
          <w:highlight w:val="none"/>
        </w:rPr>
      </w:pPr>
      <w:r>
        <w:rPr>
          <w:rFonts w:hint="eastAsia" w:ascii="宋体" w:hAnsi="宋体" w:eastAsia="宋体"/>
          <w:color w:val="auto"/>
          <w:sz w:val="24"/>
          <w:highlight w:val="none"/>
        </w:rPr>
        <w:t>2.法定代表人参加磋商的无需提供授权书，仅提供身份证明扫描件。</w:t>
      </w:r>
    </w:p>
    <w:p w14:paraId="678BAA07">
      <w:pPr>
        <w:widowControl/>
        <w:jc w:val="left"/>
        <w:rPr>
          <w:rFonts w:ascii="宋体" w:hAnsi="宋体" w:eastAsia="宋体"/>
          <w:color w:val="auto"/>
          <w:sz w:val="24"/>
          <w:highlight w:val="none"/>
        </w:rPr>
      </w:pPr>
      <w:r>
        <w:rPr>
          <w:rFonts w:ascii="宋体" w:hAnsi="宋体" w:eastAsia="宋体"/>
          <w:color w:val="auto"/>
          <w:sz w:val="24"/>
          <w:highlight w:val="none"/>
        </w:rPr>
        <w:br w:type="page"/>
      </w:r>
    </w:p>
    <w:p w14:paraId="60302A4B">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bookmarkStart w:id="216" w:name="_Toc28033"/>
      <w:bookmarkStart w:id="217" w:name="_Toc22233"/>
      <w:r>
        <w:rPr>
          <w:rFonts w:hint="eastAsia" w:asciiTheme="minorEastAsia" w:hAnsiTheme="minorEastAsia" w:eastAsiaTheme="minorEastAsia"/>
          <w:b/>
          <w:color w:val="auto"/>
          <w:sz w:val="24"/>
          <w:highlight w:val="none"/>
        </w:rPr>
        <w:t>六、</w:t>
      </w:r>
      <w:r>
        <w:rPr>
          <w:rFonts w:hint="eastAsia" w:ascii="宋体" w:hAnsi="宋体" w:eastAsia="宋体" w:cs="宋体"/>
          <w:b/>
          <w:bCs w:val="0"/>
          <w:color w:val="auto"/>
          <w:kern w:val="2"/>
          <w:sz w:val="24"/>
          <w:szCs w:val="24"/>
          <w:highlight w:val="none"/>
          <w:lang w:val="en-US" w:eastAsia="zh-CN" w:bidi="ar"/>
        </w:rPr>
        <w:t>诚信响应承诺书</w:t>
      </w:r>
    </w:p>
    <w:p w14:paraId="702EA1CB">
      <w:pPr>
        <w:keepNext w:val="0"/>
        <w:keepLines w:val="0"/>
        <w:widowControl w:val="0"/>
        <w:suppressLineNumbers w:val="0"/>
        <w:spacing w:before="0" w:beforeAutospacing="0" w:after="0" w:afterAutospacing="0" w:line="50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本人以企业法定代表人的身份郑重承诺：</w:t>
      </w:r>
    </w:p>
    <w:p w14:paraId="2975AA45">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一、将遵循公开、公正和诚实信用的原则自愿参加</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项目的磋商响应，所提供的一切材料都是真实、有效、合法的；</w:t>
      </w:r>
    </w:p>
    <w:p w14:paraId="124BED8E">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本单位郑重声明，根据《中华人民共和国政府采购法》及《中华人民共和国政府采购法实施条例》的规定，我公司具有良好的商业信誉和健全的财务会计制度，具有履行合同所必需的设备和专业技术能力，有依法缴纳税收和社会保障资金的良好记录；参加政府采购活动前三年内，本单位在经营活动中没有重大违法记录，没有因违法经营受到刑事处罚或者责令停产停业、吊销许可证或者执照、较大数额罚款等行政处罚。</w:t>
      </w:r>
    </w:p>
    <w:p w14:paraId="67ACB8C7">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三、不出借、转让资质证书，不让他人挂靠投标，不以他人名义投标或者以其他方式弄虚作假，骗取成交；</w:t>
      </w:r>
    </w:p>
    <w:p w14:paraId="57720F70">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四、不与其他供应商相互串通响应报价，不排挤其他供应商的公平竞争、损害采购人的合法权益；</w:t>
      </w:r>
    </w:p>
    <w:p w14:paraId="60D6729B">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五、不与采购人、采购代理机构或其他供应商串通响应，损害国家利益、社会公共利益或者他人的合法权益；</w:t>
      </w:r>
    </w:p>
    <w:p w14:paraId="760D3958">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六、</w:t>
      </w:r>
      <w:r>
        <w:rPr>
          <w:rFonts w:hint="eastAsia" w:ascii="宋体" w:hAnsi="宋体" w:eastAsia="宋体" w:cs="宋体"/>
          <w:color w:val="auto"/>
          <w:kern w:val="2"/>
          <w:sz w:val="21"/>
          <w:szCs w:val="21"/>
          <w:highlight w:val="none"/>
          <w:u w:val="single"/>
          <w:lang w:val="en-US" w:eastAsia="zh-CN" w:bidi="ar"/>
        </w:rPr>
        <w:t xml:space="preserve">       （企业名称）</w:t>
      </w:r>
      <w:r>
        <w:rPr>
          <w:rFonts w:hint="eastAsia" w:ascii="宋体" w:hAnsi="宋体" w:eastAsia="宋体" w:cs="宋体"/>
          <w:color w:val="auto"/>
          <w:kern w:val="2"/>
          <w:sz w:val="21"/>
          <w:szCs w:val="21"/>
          <w:highlight w:val="none"/>
          <w:lang w:val="en-US" w:eastAsia="zh-CN" w:bidi="ar"/>
        </w:rPr>
        <w:t>或</w:t>
      </w:r>
      <w:r>
        <w:rPr>
          <w:rFonts w:hint="eastAsia" w:ascii="宋体" w:hAnsi="宋体" w:eastAsia="宋体" w:cs="宋体"/>
          <w:color w:val="auto"/>
          <w:kern w:val="2"/>
          <w:sz w:val="21"/>
          <w:szCs w:val="21"/>
          <w:highlight w:val="none"/>
          <w:u w:val="single"/>
          <w:lang w:val="en-US" w:eastAsia="zh-CN" w:bidi="ar"/>
        </w:rPr>
        <w:t xml:space="preserve">       （企业名称）</w:t>
      </w:r>
      <w:r>
        <w:rPr>
          <w:rFonts w:hint="eastAsia" w:ascii="宋体" w:hAnsi="宋体" w:eastAsia="宋体" w:cs="宋体"/>
          <w:color w:val="auto"/>
          <w:kern w:val="2"/>
          <w:sz w:val="21"/>
          <w:szCs w:val="21"/>
          <w:highlight w:val="none"/>
          <w:lang w:val="en-US" w:eastAsia="zh-CN" w:bidi="ar"/>
        </w:rPr>
        <w:t>法定代表人或拟派项目经理（负责人）没有下列情形：①被列入“信用中国”网站“失信被执行人”的；②被列入“信用中国”网站“重大税收违法失信主体”的；③被列入“信用中国”网站 “严重失信主体名单”的；④在“信用中国”网站上披露的仍在公示期的严重失信行为(具体行为类别及判定依据见“信用中国”查询的严重失信行为类别及判定依据)的。⑤被列入国家企业信用信息公示系统网站“经营异常名录”或者“严重违法失信名单”的。⑥被列入中国政府采购网站“政府采购严重违法失信行为信息记录”的。⑦前三年有行贿犯罪行为的单位和个人。（若采购文件对投标人所属分公司、办事处等分支机构有上述1-7项信誉要求，在此一并承诺我公司所属分公司、办事处等分支机构没有上述1-7项情形）</w:t>
      </w:r>
    </w:p>
    <w:p w14:paraId="4DB2F6AD">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七、严格遵守会议现场纪律，服从监管人员管理；</w:t>
      </w:r>
    </w:p>
    <w:p w14:paraId="3D505241">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八、保证成交后不转包，若有分包征得采购人同意；</w:t>
      </w:r>
    </w:p>
    <w:p w14:paraId="197566B9">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九、保证成交之后，按照响应文件要求提供相关后续服务；</w:t>
      </w:r>
    </w:p>
    <w:p w14:paraId="522A7A6C">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十、保证企业及所属相关人员在本次响应中无行贿等犯罪行为；</w:t>
      </w:r>
    </w:p>
    <w:p w14:paraId="19804EB2">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十一、如在投标过程和公示期间发生投诉行为，保证按照相关规定要求进行。投诉内容符合要求，投诉材料加盖企业公章或由法定代表人授权委托人签字，并附有关身份证明复印件。不恶意投诉，对本公司提供的投诉线索的真实性负责，否则愿接受有关部门的处罚。</w:t>
      </w:r>
    </w:p>
    <w:p w14:paraId="281BC3F3">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以上内容我已仔细阅读，本公司若有违反承诺内容的行为，自愿接受取消投标或者中标（成交）资格、中标（成交）无效、记入不良行为记录等有关处理，愿意承担法律责任，给采购人人造成损失的，依法承担赔偿责任。</w:t>
      </w:r>
    </w:p>
    <w:p w14:paraId="76B16BA5">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63D7EF8F">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5C5555D4">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开户银行：                       基本账户：</w:t>
      </w:r>
    </w:p>
    <w:p w14:paraId="50F7F3DC">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供应商（签章）：                 法定代表人（签章）：</w:t>
      </w:r>
    </w:p>
    <w:p w14:paraId="558C14D5">
      <w:pPr>
        <w:keepNext w:val="0"/>
        <w:keepLines w:val="0"/>
        <w:widowControl w:val="0"/>
        <w:suppressLineNumbers w:val="0"/>
        <w:spacing w:before="0" w:beforeAutospacing="0" w:after="0" w:afterAutospacing="0" w:line="50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4F8C4E1D">
      <w:pPr>
        <w:keepNext w:val="0"/>
        <w:keepLines w:val="0"/>
        <w:widowControl w:val="0"/>
        <w:suppressLineNumbers w:val="0"/>
        <w:spacing w:before="0" w:beforeAutospacing="0" w:after="0" w:afterAutospacing="0" w:line="560" w:lineRule="exact"/>
        <w:ind w:left="0" w:right="0"/>
        <w:jc w:val="right"/>
        <w:rPr>
          <w:rFonts w:hint="eastAsia" w:ascii="仿宋_GB2312" w:hAnsi="@仿宋_GB2312" w:eastAsia="仿宋_GB2312" w:cs="仿宋_GB2312"/>
          <w:color w:val="auto"/>
          <w:kern w:val="2"/>
          <w:sz w:val="32"/>
          <w:szCs w:val="32"/>
          <w:highlight w:val="none"/>
        </w:rPr>
      </w:pPr>
      <w:r>
        <w:rPr>
          <w:rFonts w:hint="eastAsia" w:ascii="宋体" w:hAnsi="宋体" w:eastAsia="宋体" w:cs="宋体"/>
          <w:color w:val="auto"/>
          <w:kern w:val="2"/>
          <w:sz w:val="21"/>
          <w:szCs w:val="21"/>
          <w:highlight w:val="none"/>
          <w:lang w:val="en-US" w:eastAsia="zh-CN" w:bidi="ar"/>
        </w:rPr>
        <w:t>日期：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年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月 </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日</w:t>
      </w:r>
    </w:p>
    <w:p w14:paraId="4155451B">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r>
        <w:rPr>
          <w:rFonts w:hint="eastAsia" w:ascii="宋体" w:hAnsi="宋体" w:eastAsia="宋体" w:cs="@仿宋_GB2312"/>
          <w:b/>
          <w:bCs w:val="0"/>
          <w:color w:val="auto"/>
          <w:kern w:val="2"/>
          <w:sz w:val="24"/>
          <w:szCs w:val="24"/>
          <w:highlight w:val="none"/>
          <w:lang w:val="en-US" w:eastAsia="zh-CN" w:bidi="ar"/>
        </w:rPr>
        <w:t xml:space="preserve"> </w:t>
      </w:r>
    </w:p>
    <w:p w14:paraId="67A98BF9">
      <w:pPr>
        <w:keepNext w:val="0"/>
        <w:keepLines w:val="0"/>
        <w:widowControl w:val="0"/>
        <w:suppressLineNumbers w:val="0"/>
        <w:spacing w:before="0" w:beforeAutospacing="0" w:after="0" w:afterAutospacing="0" w:line="360" w:lineRule="auto"/>
        <w:ind w:left="0" w:right="0"/>
        <w:jc w:val="center"/>
        <w:outlineLvl w:val="1"/>
        <w:rPr>
          <w:rFonts w:hint="eastAsia" w:ascii="宋体" w:hAnsi="宋体" w:eastAsia="宋体" w:cs="@仿宋_GB2312"/>
          <w:b/>
          <w:bCs w:val="0"/>
          <w:color w:val="auto"/>
          <w:kern w:val="2"/>
          <w:sz w:val="24"/>
          <w:szCs w:val="24"/>
          <w:highlight w:val="none"/>
        </w:rPr>
      </w:pPr>
    </w:p>
    <w:p w14:paraId="55FC2B0F">
      <w:pPr>
        <w:spacing w:line="360" w:lineRule="auto"/>
        <w:jc w:val="center"/>
        <w:outlineLvl w:val="1"/>
        <w:rPr>
          <w:rFonts w:hint="eastAsia" w:asciiTheme="minorEastAsia" w:hAnsiTheme="minorEastAsia" w:eastAsiaTheme="minorEastAsia"/>
          <w:b/>
          <w:color w:val="auto"/>
          <w:sz w:val="24"/>
          <w:highlight w:val="none"/>
        </w:rPr>
      </w:pPr>
    </w:p>
    <w:p w14:paraId="2200FB4F">
      <w:pPr>
        <w:spacing w:line="360" w:lineRule="auto"/>
        <w:jc w:val="center"/>
        <w:outlineLvl w:val="1"/>
        <w:rPr>
          <w:rFonts w:hint="eastAsia" w:asciiTheme="minorEastAsia" w:hAnsiTheme="minorEastAsia" w:eastAsiaTheme="minorEastAsia"/>
          <w:b/>
          <w:color w:val="auto"/>
          <w:sz w:val="24"/>
          <w:highlight w:val="none"/>
        </w:rPr>
      </w:pPr>
    </w:p>
    <w:p w14:paraId="3C612A6E">
      <w:pPr>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br w:type="page"/>
      </w:r>
    </w:p>
    <w:p w14:paraId="0AB8E0FA">
      <w:pPr>
        <w:spacing w:line="360" w:lineRule="auto"/>
        <w:jc w:val="center"/>
        <w:outlineLvl w:val="1"/>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七、磋商</w:t>
      </w:r>
      <w:r>
        <w:rPr>
          <w:rFonts w:hint="eastAsia" w:asciiTheme="minorEastAsia" w:hAnsiTheme="minorEastAsia" w:eastAsiaTheme="minorEastAsia"/>
          <w:b/>
          <w:color w:val="auto"/>
          <w:sz w:val="24"/>
          <w:highlight w:val="none"/>
        </w:rPr>
        <w:t>响应表</w:t>
      </w:r>
      <w:bookmarkEnd w:id="216"/>
      <w:bookmarkEnd w:id="217"/>
    </w:p>
    <w:p w14:paraId="3041E918">
      <w:pPr>
        <w:spacing w:line="360" w:lineRule="auto"/>
        <w:ind w:firstLine="435"/>
        <w:outlineLvl w:val="2"/>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lang w:val="en-US" w:eastAsia="zh-CN"/>
        </w:rPr>
        <w:t>7</w:t>
      </w:r>
      <w:r>
        <w:rPr>
          <w:rFonts w:asciiTheme="minorEastAsia" w:hAnsiTheme="minorEastAsia" w:eastAsiaTheme="minorEastAsia"/>
          <w:b/>
          <w:color w:val="auto"/>
          <w:sz w:val="24"/>
          <w:highlight w:val="none"/>
        </w:rPr>
        <w:t>.1</w:t>
      </w:r>
      <w:r>
        <w:rPr>
          <w:rFonts w:hint="eastAsia" w:asciiTheme="minorEastAsia" w:hAnsiTheme="minorEastAsia" w:eastAsiaTheme="minorEastAsia"/>
          <w:b/>
          <w:color w:val="auto"/>
          <w:sz w:val="24"/>
          <w:highlight w:val="none"/>
        </w:rPr>
        <w:t>商务响应表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916"/>
        <w:gridCol w:w="2498"/>
        <w:gridCol w:w="2575"/>
        <w:gridCol w:w="810"/>
      </w:tblGrid>
      <w:tr w14:paraId="7763A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27156D61">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序号</w:t>
            </w:r>
          </w:p>
        </w:tc>
        <w:tc>
          <w:tcPr>
            <w:tcW w:w="1124" w:type="pct"/>
            <w:vAlign w:val="center"/>
          </w:tcPr>
          <w:p w14:paraId="25BBBFC6">
            <w:pPr>
              <w:pStyle w:val="13"/>
              <w:jc w:val="center"/>
              <w:rPr>
                <w:rFonts w:cs="Wingdings" w:asciiTheme="minorEastAsia" w:hAnsiTheme="minorEastAsia"/>
                <w:b/>
                <w:color w:val="auto"/>
                <w:sz w:val="24"/>
                <w:highlight w:val="none"/>
              </w:rPr>
            </w:pPr>
            <w:r>
              <w:rPr>
                <w:rFonts w:hint="eastAsia" w:asciiTheme="minorEastAsia" w:hAnsiTheme="minorEastAsia"/>
                <w:b/>
                <w:bCs/>
                <w:color w:val="auto"/>
                <w:sz w:val="24"/>
                <w:szCs w:val="24"/>
                <w:highlight w:val="none"/>
              </w:rPr>
              <w:t>商务条款</w:t>
            </w:r>
          </w:p>
        </w:tc>
        <w:tc>
          <w:tcPr>
            <w:tcW w:w="1465" w:type="pct"/>
            <w:vAlign w:val="center"/>
          </w:tcPr>
          <w:p w14:paraId="7E459604">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磋商文件</w:t>
            </w:r>
            <w:r>
              <w:rPr>
                <w:rFonts w:hint="eastAsia" w:cs="Wingdings" w:asciiTheme="minorEastAsia" w:hAnsiTheme="minorEastAsia"/>
                <w:b/>
                <w:color w:val="auto"/>
                <w:sz w:val="24"/>
                <w:highlight w:val="none"/>
              </w:rPr>
              <w:t>要求</w:t>
            </w:r>
          </w:p>
        </w:tc>
        <w:tc>
          <w:tcPr>
            <w:tcW w:w="1510" w:type="pct"/>
            <w:vAlign w:val="center"/>
          </w:tcPr>
          <w:p w14:paraId="40887B3C">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lang w:val="en-US" w:eastAsia="zh-CN"/>
              </w:rPr>
              <w:t>供应商</w:t>
            </w:r>
            <w:r>
              <w:rPr>
                <w:rFonts w:hint="eastAsia" w:cs="Wingdings" w:asciiTheme="minorEastAsia" w:hAnsiTheme="minorEastAsia"/>
                <w:b/>
                <w:color w:val="auto"/>
                <w:sz w:val="24"/>
                <w:highlight w:val="none"/>
              </w:rPr>
              <w:t>承诺</w:t>
            </w:r>
          </w:p>
        </w:tc>
        <w:tc>
          <w:tcPr>
            <w:tcW w:w="475" w:type="pct"/>
            <w:vAlign w:val="center"/>
          </w:tcPr>
          <w:p w14:paraId="7CB02072">
            <w:pPr>
              <w:pStyle w:val="13"/>
              <w:jc w:val="center"/>
              <w:rPr>
                <w:rFonts w:cs="Wingdings" w:asciiTheme="minorEastAsia" w:hAnsiTheme="minorEastAsia"/>
                <w:b/>
                <w:color w:val="auto"/>
                <w:sz w:val="24"/>
                <w:highlight w:val="none"/>
              </w:rPr>
            </w:pPr>
            <w:r>
              <w:rPr>
                <w:rFonts w:hint="eastAsia" w:cs="Wingdings" w:asciiTheme="minorEastAsia" w:hAnsiTheme="minorEastAsia"/>
                <w:b/>
                <w:color w:val="auto"/>
                <w:sz w:val="24"/>
                <w:highlight w:val="none"/>
              </w:rPr>
              <w:t>偏离说明</w:t>
            </w:r>
          </w:p>
        </w:tc>
      </w:tr>
      <w:tr w14:paraId="3784E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5A5BA62E">
            <w:pPr>
              <w:jc w:val="center"/>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w:t>
            </w:r>
          </w:p>
        </w:tc>
        <w:tc>
          <w:tcPr>
            <w:tcW w:w="1124" w:type="pct"/>
            <w:vAlign w:val="center"/>
          </w:tcPr>
          <w:p w14:paraId="766E0861">
            <w:pPr>
              <w:jc w:val="center"/>
              <w:rPr>
                <w:rFonts w:ascii="宋体" w:hAnsi="宋体" w:eastAsia="宋体"/>
                <w:color w:val="auto"/>
                <w:sz w:val="24"/>
                <w:highlight w:val="none"/>
              </w:rPr>
            </w:pPr>
            <w:r>
              <w:rPr>
                <w:rFonts w:asciiTheme="minorEastAsia" w:hAnsiTheme="minorEastAsia" w:eastAsiaTheme="minorEastAsia"/>
                <w:color w:val="auto"/>
                <w:sz w:val="24"/>
                <w:highlight w:val="none"/>
              </w:rPr>
              <w:t>付款方式</w:t>
            </w:r>
          </w:p>
        </w:tc>
        <w:tc>
          <w:tcPr>
            <w:tcW w:w="1465" w:type="pct"/>
            <w:vAlign w:val="center"/>
          </w:tcPr>
          <w:p w14:paraId="09F6B8F7">
            <w:pPr>
              <w:jc w:val="center"/>
              <w:rPr>
                <w:rFonts w:asciiTheme="minorEastAsia" w:hAnsiTheme="minorEastAsia" w:eastAsiaTheme="minorEastAsia"/>
                <w:color w:val="auto"/>
                <w:sz w:val="24"/>
                <w:highlight w:val="none"/>
              </w:rPr>
            </w:pPr>
          </w:p>
        </w:tc>
        <w:tc>
          <w:tcPr>
            <w:tcW w:w="1510" w:type="pct"/>
            <w:vAlign w:val="center"/>
          </w:tcPr>
          <w:p w14:paraId="14256C1B">
            <w:pPr>
              <w:jc w:val="center"/>
              <w:rPr>
                <w:rFonts w:asciiTheme="minorEastAsia" w:hAnsiTheme="minorEastAsia" w:eastAsiaTheme="minorEastAsia"/>
                <w:color w:val="auto"/>
                <w:sz w:val="24"/>
                <w:highlight w:val="none"/>
              </w:rPr>
            </w:pPr>
          </w:p>
        </w:tc>
        <w:tc>
          <w:tcPr>
            <w:tcW w:w="475" w:type="pct"/>
            <w:vAlign w:val="center"/>
          </w:tcPr>
          <w:p w14:paraId="0BE24828">
            <w:pPr>
              <w:jc w:val="center"/>
              <w:rPr>
                <w:rFonts w:asciiTheme="minorEastAsia" w:hAnsiTheme="minorEastAsia" w:eastAsiaTheme="minorEastAsia"/>
                <w:color w:val="auto"/>
                <w:sz w:val="24"/>
                <w:highlight w:val="none"/>
              </w:rPr>
            </w:pPr>
          </w:p>
        </w:tc>
      </w:tr>
      <w:tr w14:paraId="7B1C8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46BAD7F">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w:t>
            </w:r>
          </w:p>
        </w:tc>
        <w:tc>
          <w:tcPr>
            <w:tcW w:w="1124" w:type="pct"/>
            <w:vAlign w:val="center"/>
          </w:tcPr>
          <w:p w14:paraId="76C60A02">
            <w:pPr>
              <w:jc w:val="center"/>
              <w:rPr>
                <w:rFonts w:ascii="宋体" w:hAnsi="宋体" w:eastAsia="宋体"/>
                <w:color w:val="auto"/>
                <w:sz w:val="24"/>
                <w:highlight w:val="none"/>
              </w:rPr>
            </w:pPr>
            <w:r>
              <w:rPr>
                <w:rFonts w:hint="eastAsia" w:ascii="宋体" w:hAnsi="宋体" w:eastAsia="宋体"/>
                <w:color w:val="auto"/>
                <w:sz w:val="24"/>
                <w:highlight w:val="none"/>
              </w:rPr>
              <w:t>服务地点</w:t>
            </w:r>
          </w:p>
        </w:tc>
        <w:tc>
          <w:tcPr>
            <w:tcW w:w="1465" w:type="pct"/>
            <w:vAlign w:val="center"/>
          </w:tcPr>
          <w:p w14:paraId="4D0A1964">
            <w:pPr>
              <w:jc w:val="center"/>
              <w:rPr>
                <w:rFonts w:asciiTheme="minorEastAsia" w:hAnsiTheme="minorEastAsia" w:eastAsiaTheme="minorEastAsia"/>
                <w:color w:val="auto"/>
                <w:sz w:val="24"/>
                <w:highlight w:val="none"/>
              </w:rPr>
            </w:pPr>
          </w:p>
        </w:tc>
        <w:tc>
          <w:tcPr>
            <w:tcW w:w="1510" w:type="pct"/>
            <w:vAlign w:val="center"/>
          </w:tcPr>
          <w:p w14:paraId="70D88132">
            <w:pPr>
              <w:jc w:val="center"/>
              <w:rPr>
                <w:rFonts w:asciiTheme="minorEastAsia" w:hAnsiTheme="minorEastAsia" w:eastAsiaTheme="minorEastAsia"/>
                <w:color w:val="auto"/>
                <w:sz w:val="24"/>
                <w:highlight w:val="none"/>
              </w:rPr>
            </w:pPr>
          </w:p>
        </w:tc>
        <w:tc>
          <w:tcPr>
            <w:tcW w:w="475" w:type="pct"/>
            <w:vAlign w:val="center"/>
          </w:tcPr>
          <w:p w14:paraId="2F433C00">
            <w:pPr>
              <w:jc w:val="center"/>
              <w:rPr>
                <w:rFonts w:asciiTheme="minorEastAsia" w:hAnsiTheme="minorEastAsia" w:eastAsiaTheme="minorEastAsia"/>
                <w:color w:val="auto"/>
                <w:sz w:val="24"/>
                <w:highlight w:val="none"/>
              </w:rPr>
            </w:pPr>
          </w:p>
        </w:tc>
      </w:tr>
      <w:tr w14:paraId="7D92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49CB305">
            <w:pPr>
              <w:jc w:val="center"/>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w:t>
            </w:r>
          </w:p>
        </w:tc>
        <w:tc>
          <w:tcPr>
            <w:tcW w:w="1124" w:type="pct"/>
            <w:vAlign w:val="center"/>
          </w:tcPr>
          <w:p w14:paraId="1C381868">
            <w:pPr>
              <w:jc w:val="center"/>
              <w:rPr>
                <w:rFonts w:ascii="宋体" w:hAnsi="宋体" w:eastAsia="宋体"/>
                <w:color w:val="auto"/>
                <w:sz w:val="24"/>
                <w:highlight w:val="none"/>
              </w:rPr>
            </w:pPr>
            <w:r>
              <w:rPr>
                <w:rFonts w:hint="eastAsia" w:ascii="宋体" w:hAnsi="宋体" w:eastAsia="宋体"/>
                <w:color w:val="auto"/>
                <w:sz w:val="24"/>
                <w:highlight w:val="none"/>
              </w:rPr>
              <w:t>服务期限</w:t>
            </w:r>
          </w:p>
        </w:tc>
        <w:tc>
          <w:tcPr>
            <w:tcW w:w="1465" w:type="pct"/>
            <w:vAlign w:val="center"/>
          </w:tcPr>
          <w:p w14:paraId="3B853C4B">
            <w:pPr>
              <w:jc w:val="center"/>
              <w:rPr>
                <w:rFonts w:asciiTheme="minorEastAsia" w:hAnsiTheme="minorEastAsia" w:eastAsiaTheme="minorEastAsia"/>
                <w:color w:val="auto"/>
                <w:sz w:val="24"/>
                <w:highlight w:val="none"/>
              </w:rPr>
            </w:pPr>
          </w:p>
        </w:tc>
        <w:tc>
          <w:tcPr>
            <w:tcW w:w="1510" w:type="pct"/>
            <w:vAlign w:val="center"/>
          </w:tcPr>
          <w:p w14:paraId="3F404322">
            <w:pPr>
              <w:pStyle w:val="50"/>
              <w:jc w:val="center"/>
              <w:rPr>
                <w:rFonts w:asciiTheme="minorEastAsia" w:hAnsiTheme="minorEastAsia" w:eastAsiaTheme="minorEastAsia"/>
                <w:color w:val="auto"/>
                <w:highlight w:val="none"/>
              </w:rPr>
            </w:pPr>
          </w:p>
        </w:tc>
        <w:tc>
          <w:tcPr>
            <w:tcW w:w="475" w:type="pct"/>
            <w:vAlign w:val="center"/>
          </w:tcPr>
          <w:p w14:paraId="713F1D69">
            <w:pPr>
              <w:jc w:val="center"/>
              <w:rPr>
                <w:rFonts w:asciiTheme="minorEastAsia" w:hAnsiTheme="minorEastAsia" w:eastAsiaTheme="minorEastAsia"/>
                <w:color w:val="auto"/>
                <w:sz w:val="24"/>
                <w:highlight w:val="none"/>
              </w:rPr>
            </w:pPr>
          </w:p>
        </w:tc>
      </w:tr>
      <w:tr w14:paraId="22750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1D35FD05">
            <w:pPr>
              <w:jc w:val="center"/>
              <w:rPr>
                <w:rFonts w:hint="eastAsia" w:asciiTheme="minorEastAsia" w:hAnsiTheme="minorEastAsia" w:eastAsiaTheme="minorEastAsia"/>
                <w:color w:val="auto"/>
                <w:sz w:val="24"/>
                <w:highlight w:val="none"/>
                <w:lang w:eastAsia="zh-CN"/>
              </w:rPr>
            </w:pPr>
            <w:r>
              <w:rPr>
                <w:rFonts w:hint="eastAsia" w:asciiTheme="minorEastAsia" w:hAnsiTheme="minorEastAsia" w:eastAsiaTheme="minorEastAsia"/>
                <w:color w:val="auto"/>
                <w:sz w:val="24"/>
                <w:highlight w:val="none"/>
                <w:lang w:val="en-US" w:eastAsia="zh-CN"/>
              </w:rPr>
              <w:t>4</w:t>
            </w:r>
          </w:p>
        </w:tc>
        <w:tc>
          <w:tcPr>
            <w:tcW w:w="1124" w:type="pct"/>
            <w:vAlign w:val="center"/>
          </w:tcPr>
          <w:p w14:paraId="6AABE9D4">
            <w:pPr>
              <w:jc w:val="center"/>
              <w:rPr>
                <w:rFonts w:ascii="宋体" w:hAnsi="宋体" w:eastAsia="宋体"/>
                <w:color w:val="auto"/>
                <w:sz w:val="24"/>
                <w:highlight w:val="none"/>
              </w:rPr>
            </w:pPr>
            <w:r>
              <w:rPr>
                <w:rFonts w:hint="eastAsia" w:ascii="宋体" w:hAnsi="宋体" w:eastAsia="宋体"/>
                <w:color w:val="auto"/>
                <w:sz w:val="24"/>
                <w:highlight w:val="none"/>
              </w:rPr>
              <w:t>“采购需求”所列的所有内容</w:t>
            </w:r>
          </w:p>
        </w:tc>
        <w:tc>
          <w:tcPr>
            <w:tcW w:w="1465" w:type="pct"/>
            <w:vAlign w:val="center"/>
          </w:tcPr>
          <w:p w14:paraId="4E0A9136">
            <w:pPr>
              <w:jc w:val="center"/>
              <w:rPr>
                <w:rFonts w:asciiTheme="minorEastAsia" w:hAnsiTheme="minorEastAsia" w:eastAsiaTheme="minorEastAsia"/>
                <w:color w:val="auto"/>
                <w:sz w:val="24"/>
                <w:highlight w:val="none"/>
              </w:rPr>
            </w:pPr>
          </w:p>
        </w:tc>
        <w:tc>
          <w:tcPr>
            <w:tcW w:w="1510" w:type="pct"/>
            <w:vAlign w:val="center"/>
          </w:tcPr>
          <w:p w14:paraId="0F3BC6C2">
            <w:pPr>
              <w:jc w:val="center"/>
              <w:rPr>
                <w:rFonts w:asciiTheme="minorEastAsia" w:hAnsiTheme="minorEastAsia" w:eastAsiaTheme="minorEastAsia"/>
                <w:color w:val="auto"/>
                <w:sz w:val="24"/>
                <w:highlight w:val="none"/>
              </w:rPr>
            </w:pPr>
          </w:p>
        </w:tc>
        <w:tc>
          <w:tcPr>
            <w:tcW w:w="475" w:type="pct"/>
            <w:vAlign w:val="center"/>
          </w:tcPr>
          <w:p w14:paraId="3ADD7683">
            <w:pPr>
              <w:jc w:val="center"/>
              <w:rPr>
                <w:rFonts w:asciiTheme="minorEastAsia" w:hAnsiTheme="minorEastAsia" w:eastAsiaTheme="minorEastAsia"/>
                <w:color w:val="auto"/>
                <w:sz w:val="24"/>
                <w:highlight w:val="none"/>
              </w:rPr>
            </w:pPr>
          </w:p>
        </w:tc>
      </w:tr>
    </w:tbl>
    <w:p w14:paraId="4B933A44">
      <w:pPr>
        <w:spacing w:line="360" w:lineRule="auto"/>
        <w:ind w:firstLine="4800" w:firstLineChars="2000"/>
        <w:rPr>
          <w:rFonts w:hint="eastAsia" w:ascii="宋体" w:hAnsi="宋体" w:eastAsia="宋体"/>
          <w:color w:val="auto"/>
          <w:sz w:val="24"/>
          <w:highlight w:val="none"/>
          <w:lang w:val="en-US" w:eastAsia="zh-CN"/>
        </w:rPr>
      </w:pPr>
    </w:p>
    <w:p w14:paraId="736E6556">
      <w:pPr>
        <w:spacing w:line="360" w:lineRule="auto"/>
        <w:ind w:firstLine="4800" w:firstLineChars="2000"/>
        <w:rPr>
          <w:rFonts w:ascii="宋体" w:hAnsi="宋体" w:eastAsia="宋体"/>
          <w:color w:val="auto"/>
          <w:sz w:val="24"/>
          <w:highlight w:val="none"/>
          <w:u w:val="single"/>
        </w:rPr>
      </w:pPr>
      <w:r>
        <w:rPr>
          <w:rFonts w:hint="eastAsia" w:ascii="宋体" w:hAnsi="宋体" w:eastAsia="宋体"/>
          <w:color w:val="auto"/>
          <w:sz w:val="24"/>
          <w:highlight w:val="none"/>
          <w:lang w:val="en-US" w:eastAsia="zh-CN"/>
        </w:rPr>
        <w:t>供应商</w:t>
      </w:r>
      <w:r>
        <w:rPr>
          <w:rFonts w:hint="eastAsia" w:ascii="宋体" w:hAnsi="宋体" w:eastAsia="宋体"/>
          <w:color w:val="auto"/>
          <w:sz w:val="24"/>
          <w:highlight w:val="none"/>
        </w:rPr>
        <w:t>电子签章：</w:t>
      </w:r>
      <w:r>
        <w:rPr>
          <w:rFonts w:hint="eastAsia" w:ascii="宋体" w:hAnsi="宋体" w:eastAsia="宋体"/>
          <w:color w:val="auto"/>
          <w:sz w:val="24"/>
          <w:highlight w:val="none"/>
          <w:u w:val="single"/>
        </w:rPr>
        <w:t xml:space="preserve">     </w:t>
      </w:r>
      <w:r>
        <w:rPr>
          <w:rFonts w:ascii="宋体" w:hAnsi="宋体" w:eastAsia="宋体"/>
          <w:color w:val="auto"/>
          <w:sz w:val="24"/>
          <w:highlight w:val="none"/>
          <w:u w:val="single"/>
        </w:rPr>
        <w:t xml:space="preserve">    </w:t>
      </w:r>
      <w:r>
        <w:rPr>
          <w:rFonts w:hint="eastAsia" w:ascii="宋体" w:hAnsi="宋体" w:eastAsia="宋体"/>
          <w:color w:val="auto"/>
          <w:sz w:val="24"/>
          <w:highlight w:val="none"/>
          <w:u w:val="single"/>
        </w:rPr>
        <w:t xml:space="preserve">    </w:t>
      </w:r>
    </w:p>
    <w:p w14:paraId="0CA6EC5B">
      <w:pPr>
        <w:tabs>
          <w:tab w:val="left" w:pos="630"/>
        </w:tabs>
        <w:spacing w:line="360" w:lineRule="auto"/>
        <w:ind w:firstLine="4800" w:firstLineChars="2000"/>
        <w:rPr>
          <w:rFonts w:asciiTheme="minorEastAsia" w:hAnsiTheme="minorEastAsia" w:eastAsiaTheme="minorEastAsia"/>
          <w:color w:val="auto"/>
          <w:sz w:val="24"/>
          <w:highlight w:val="none"/>
        </w:rPr>
      </w:pPr>
      <w:r>
        <w:rPr>
          <w:rFonts w:hint="eastAsia" w:ascii="宋体" w:hAnsi="宋体" w:eastAsia="宋体"/>
          <w:color w:val="auto"/>
          <w:sz w:val="24"/>
          <w:highlight w:val="none"/>
        </w:rPr>
        <w:t xml:space="preserve">日     </w:t>
      </w:r>
      <w:r>
        <w:rPr>
          <w:rFonts w:ascii="宋体" w:hAnsi="宋体" w:eastAsia="宋体"/>
          <w:color w:val="auto"/>
          <w:sz w:val="24"/>
          <w:highlight w:val="none"/>
        </w:rPr>
        <w:t xml:space="preserve">    </w:t>
      </w:r>
      <w:r>
        <w:rPr>
          <w:rFonts w:hint="eastAsia" w:ascii="宋体" w:hAnsi="宋体" w:eastAsia="宋体"/>
          <w:color w:val="auto"/>
          <w:sz w:val="24"/>
          <w:highlight w:val="none"/>
        </w:rPr>
        <w:t xml:space="preserve"> 期：</w:t>
      </w:r>
      <w:r>
        <w:rPr>
          <w:rFonts w:hint="eastAsia" w:ascii="宋体" w:hAnsi="宋体" w:eastAsia="宋体"/>
          <w:color w:val="auto"/>
          <w:sz w:val="24"/>
          <w:highlight w:val="none"/>
          <w:u w:val="single"/>
        </w:rPr>
        <w:t xml:space="preserve">             </w:t>
      </w:r>
    </w:p>
    <w:p w14:paraId="125E8E4E">
      <w:pPr>
        <w:pStyle w:val="14"/>
        <w:spacing w:line="360" w:lineRule="auto"/>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br w:type="page"/>
      </w:r>
    </w:p>
    <w:p w14:paraId="101450E1">
      <w:pPr>
        <w:spacing w:line="360" w:lineRule="auto"/>
        <w:jc w:val="center"/>
        <w:outlineLvl w:val="1"/>
        <w:rPr>
          <w:rFonts w:asciiTheme="minorEastAsia" w:hAnsiTheme="minorEastAsia" w:eastAsiaTheme="minorEastAsia"/>
          <w:b/>
          <w:color w:val="auto"/>
          <w:sz w:val="24"/>
          <w:highlight w:val="none"/>
        </w:rPr>
      </w:pPr>
      <w:bookmarkStart w:id="218" w:name="_Toc11260"/>
      <w:bookmarkStart w:id="219" w:name="_Toc29455"/>
      <w:r>
        <w:rPr>
          <w:rFonts w:hint="eastAsia" w:asciiTheme="minorEastAsia" w:hAnsiTheme="minorEastAsia" w:eastAsiaTheme="minorEastAsia"/>
          <w:b/>
          <w:color w:val="auto"/>
          <w:sz w:val="24"/>
          <w:highlight w:val="none"/>
          <w:lang w:val="en-US" w:eastAsia="zh-CN"/>
        </w:rPr>
        <w:t>八</w:t>
      </w:r>
      <w:r>
        <w:rPr>
          <w:rFonts w:hint="eastAsia" w:asciiTheme="minorEastAsia" w:hAnsiTheme="minorEastAsia" w:eastAsiaTheme="minorEastAsia"/>
          <w:b/>
          <w:color w:val="auto"/>
          <w:sz w:val="24"/>
          <w:highlight w:val="none"/>
        </w:rPr>
        <w:t>、</w:t>
      </w:r>
      <w:bookmarkEnd w:id="218"/>
      <w:bookmarkEnd w:id="219"/>
      <w:bookmarkStart w:id="220" w:name="_Toc6445"/>
      <w:bookmarkStart w:id="221" w:name="_Toc17888"/>
      <w:bookmarkStart w:id="222" w:name="_Hlk60608597"/>
      <w:r>
        <w:rPr>
          <w:rFonts w:hint="eastAsia" w:asciiTheme="minorEastAsia" w:hAnsiTheme="minorEastAsia" w:eastAsiaTheme="minorEastAsia"/>
          <w:b/>
          <w:color w:val="auto"/>
          <w:sz w:val="24"/>
          <w:highlight w:val="none"/>
        </w:rPr>
        <w:t>中小企业声明函</w:t>
      </w:r>
      <w:bookmarkEnd w:id="220"/>
      <w:bookmarkEnd w:id="221"/>
    </w:p>
    <w:p w14:paraId="5FE5B7D3">
      <w:pPr>
        <w:pStyle w:val="9"/>
        <w:jc w:val="center"/>
        <w:rPr>
          <w:rFonts w:hint="eastAsia" w:ascii="宋体" w:hAnsi="宋体" w:eastAsia="宋体"/>
          <w:b w:val="0"/>
          <w:i/>
          <w:color w:val="auto"/>
          <w:sz w:val="24"/>
          <w:highlight w:val="none"/>
          <w:lang w:val="en-US" w:eastAsia="zh-CN"/>
        </w:rPr>
      </w:pPr>
      <w:r>
        <w:rPr>
          <w:rFonts w:hint="eastAsia" w:ascii="宋体" w:hAnsi="宋体" w:eastAsia="宋体"/>
          <w:b w:val="0"/>
          <w:i/>
          <w:color w:val="auto"/>
          <w:sz w:val="24"/>
          <w:highlight w:val="none"/>
          <w:lang w:val="en-US" w:eastAsia="zh-CN"/>
        </w:rPr>
        <w:t>（</w:t>
      </w:r>
      <w:r>
        <w:rPr>
          <w:rFonts w:hint="eastAsia" w:ascii="宋体" w:hAnsi="宋体" w:eastAsia="宋体"/>
          <w:b w:val="0"/>
          <w:i/>
          <w:color w:val="auto"/>
          <w:sz w:val="24"/>
          <w:highlight w:val="none"/>
          <w:lang w:val="zh-CN" w:eastAsia="zh-CN"/>
        </w:rPr>
        <w:t>非中小企业</w:t>
      </w:r>
      <w:r>
        <w:rPr>
          <w:rFonts w:hint="eastAsia" w:ascii="宋体" w:hAnsi="宋体" w:eastAsia="宋体"/>
          <w:b w:val="0"/>
          <w:i/>
          <w:color w:val="auto"/>
          <w:sz w:val="24"/>
          <w:highlight w:val="none"/>
          <w:lang w:val="en-US" w:eastAsia="zh-CN"/>
        </w:rPr>
        <w:t>磋商，不需此件，请删去“中小企业声明函”）</w:t>
      </w:r>
    </w:p>
    <w:p w14:paraId="69899D7F">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本公司（联合体）郑重声明，根据《政府采购促进中小企业发展管理办法》（财库﹝2020﹞46号）的规定，本公司（联合体）参加</w:t>
      </w:r>
      <w:r>
        <w:rPr>
          <w:rFonts w:hint="eastAsia" w:ascii="宋体" w:hAnsi="宋体" w:eastAsia="宋体"/>
          <w:color w:val="auto"/>
          <w:sz w:val="24"/>
          <w:szCs w:val="24"/>
          <w:highlight w:val="none"/>
          <w:u w:val="single"/>
          <w:lang w:val="zh-CN"/>
        </w:rPr>
        <w:t>（单位</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的</w:t>
      </w:r>
      <w:r>
        <w:rPr>
          <w:rFonts w:hint="eastAsia" w:ascii="宋体" w:hAnsi="宋体" w:eastAsia="宋体"/>
          <w:color w:val="auto"/>
          <w:sz w:val="24"/>
          <w:szCs w:val="24"/>
          <w:highlight w:val="none"/>
          <w:u w:val="single"/>
          <w:lang w:val="zh-CN"/>
        </w:rPr>
        <w:t>（项目</w:t>
      </w:r>
      <w:r>
        <w:rPr>
          <w:rFonts w:hint="eastAsia" w:ascii="宋体" w:hAnsi="宋体" w:eastAsia="宋体"/>
          <w:color w:val="auto"/>
          <w:sz w:val="24"/>
          <w:szCs w:val="24"/>
          <w:highlight w:val="none"/>
          <w:u w:val="single"/>
          <w:lang w:val="en-US" w:eastAsia="zh-CN"/>
        </w:rPr>
        <w:t>名称</w:t>
      </w:r>
      <w:r>
        <w:rPr>
          <w:rFonts w:hint="eastAsia" w:ascii="宋体" w:hAnsi="宋体" w:eastAsia="宋体"/>
          <w:color w:val="auto"/>
          <w:sz w:val="24"/>
          <w:szCs w:val="24"/>
          <w:highlight w:val="none"/>
          <w:u w:val="single"/>
          <w:lang w:val="zh-CN"/>
        </w:rPr>
        <w:t>）</w:t>
      </w:r>
      <w:r>
        <w:rPr>
          <w:rFonts w:hint="eastAsia" w:ascii="宋体" w:hAnsi="宋体" w:eastAsia="宋体"/>
          <w:color w:val="auto"/>
          <w:sz w:val="24"/>
          <w:szCs w:val="24"/>
          <w:highlight w:val="none"/>
          <w:lang w:val="zh-CN"/>
        </w:rPr>
        <w:t xml:space="preserve">采购活动，服务全部由符合政策要求的中小企业承接。相关企业（含联合体中的中小企业、签订分包意向协议的中小企业）的具体情况如下： </w:t>
      </w:r>
    </w:p>
    <w:p w14:paraId="73390C2D">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1.</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0CE53F3B">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2.</w:t>
      </w:r>
      <w:r>
        <w:rPr>
          <w:rFonts w:hint="eastAsia" w:ascii="宋体" w:hAnsi="宋体" w:eastAsia="宋体"/>
          <w:color w:val="auto"/>
          <w:sz w:val="24"/>
          <w:szCs w:val="24"/>
          <w:highlight w:val="none"/>
          <w:u w:val="single"/>
          <w:lang w:val="zh-CN"/>
        </w:rPr>
        <w:t xml:space="preserve"> （标的名称） </w:t>
      </w:r>
      <w:r>
        <w:rPr>
          <w:rFonts w:hint="eastAsia" w:ascii="宋体" w:hAnsi="宋体" w:eastAsia="宋体"/>
          <w:color w:val="auto"/>
          <w:sz w:val="24"/>
          <w:szCs w:val="24"/>
          <w:highlight w:val="none"/>
          <w:lang w:val="zh-CN"/>
        </w:rPr>
        <w:t>，属于</w:t>
      </w:r>
      <w:r>
        <w:rPr>
          <w:rFonts w:hint="eastAsia" w:ascii="宋体" w:hAnsi="宋体" w:eastAsia="宋体"/>
          <w:color w:val="auto"/>
          <w:sz w:val="24"/>
          <w:szCs w:val="24"/>
          <w:highlight w:val="none"/>
          <w:u w:val="single"/>
          <w:lang w:val="zh-CN"/>
        </w:rPr>
        <w:t>（采购文件中明确的所属行业）</w:t>
      </w:r>
      <w:r>
        <w:rPr>
          <w:rFonts w:hint="eastAsia" w:ascii="宋体" w:hAnsi="宋体" w:eastAsia="宋体"/>
          <w:color w:val="auto"/>
          <w:sz w:val="24"/>
          <w:szCs w:val="24"/>
          <w:highlight w:val="none"/>
          <w:lang w:val="zh-CN"/>
        </w:rPr>
        <w:t>行业；承接企业为</w:t>
      </w:r>
      <w:r>
        <w:rPr>
          <w:rFonts w:hint="eastAsia" w:ascii="宋体" w:hAnsi="宋体" w:eastAsia="宋体"/>
          <w:color w:val="auto"/>
          <w:sz w:val="24"/>
          <w:szCs w:val="24"/>
          <w:highlight w:val="none"/>
          <w:u w:val="single"/>
          <w:lang w:val="zh-CN"/>
        </w:rPr>
        <w:t>（企业名称）</w:t>
      </w:r>
      <w:r>
        <w:rPr>
          <w:rFonts w:hint="eastAsia" w:ascii="宋体" w:hAnsi="宋体" w:eastAsia="宋体"/>
          <w:color w:val="auto"/>
          <w:sz w:val="24"/>
          <w:szCs w:val="24"/>
          <w:highlight w:val="none"/>
          <w:lang w:val="zh-CN"/>
        </w:rPr>
        <w:t>，从业人员</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人，营业收入为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万元，资产总额为</w:t>
      </w:r>
      <w:r>
        <w:rPr>
          <w:rFonts w:hint="eastAsia" w:ascii="宋体" w:hAnsi="宋体" w:eastAsia="宋体"/>
          <w:color w:val="auto"/>
          <w:sz w:val="24"/>
          <w:szCs w:val="24"/>
          <w:highlight w:val="none"/>
          <w:u w:val="single"/>
          <w:lang w:val="zh-CN"/>
        </w:rPr>
        <w:t xml:space="preserve">     </w:t>
      </w:r>
      <w:r>
        <w:rPr>
          <w:rFonts w:hint="eastAsia" w:ascii="宋体" w:hAnsi="宋体" w:eastAsia="宋体"/>
          <w:color w:val="auto"/>
          <w:sz w:val="24"/>
          <w:szCs w:val="24"/>
          <w:highlight w:val="none"/>
          <w:lang w:val="zh-CN"/>
        </w:rPr>
        <w:t>万元，属于</w:t>
      </w:r>
      <w:r>
        <w:rPr>
          <w:rFonts w:hint="eastAsia" w:ascii="宋体" w:hAnsi="宋体" w:eastAsia="宋体"/>
          <w:color w:val="auto"/>
          <w:sz w:val="24"/>
          <w:szCs w:val="24"/>
          <w:highlight w:val="none"/>
          <w:u w:val="single"/>
          <w:lang w:val="zh-CN"/>
        </w:rPr>
        <w:t>（中型企业、小型企业、微型企业）</w:t>
      </w:r>
      <w:r>
        <w:rPr>
          <w:rFonts w:hint="eastAsia" w:ascii="宋体" w:hAnsi="宋体" w:eastAsia="宋体"/>
          <w:color w:val="auto"/>
          <w:sz w:val="24"/>
          <w:szCs w:val="24"/>
          <w:highlight w:val="none"/>
          <w:lang w:val="zh-CN"/>
        </w:rPr>
        <w:t xml:space="preserve">； </w:t>
      </w:r>
    </w:p>
    <w:p w14:paraId="2BD2568A">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w:t>
      </w:r>
    </w:p>
    <w:p w14:paraId="1751EA9F">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以上企业，不属于大企业的分支机构，不存在控股股东为大企业的情形，也不存在与大企业的负责人为同一人的情形。</w:t>
      </w:r>
    </w:p>
    <w:p w14:paraId="6F4F8C1A">
      <w:pPr>
        <w:spacing w:line="360" w:lineRule="auto"/>
        <w:ind w:firstLine="435"/>
        <w:rPr>
          <w:rFonts w:ascii="宋体" w:hAnsi="宋体" w:eastAsia="宋体"/>
          <w:color w:val="auto"/>
          <w:sz w:val="24"/>
          <w:szCs w:val="24"/>
          <w:highlight w:val="none"/>
          <w:lang w:val="zh-CN"/>
        </w:rPr>
      </w:pPr>
      <w:r>
        <w:rPr>
          <w:rFonts w:hint="eastAsia" w:ascii="宋体" w:hAnsi="宋体" w:eastAsia="宋体"/>
          <w:color w:val="auto"/>
          <w:sz w:val="24"/>
          <w:szCs w:val="24"/>
          <w:highlight w:val="none"/>
          <w:lang w:val="zh-CN"/>
        </w:rPr>
        <w:t xml:space="preserve">本企业对上述声明内容的真实性负责。如有虚假，将依法承担相应责任。 </w:t>
      </w:r>
    </w:p>
    <w:p w14:paraId="18A98570">
      <w:pPr>
        <w:spacing w:line="360" w:lineRule="auto"/>
        <w:ind w:firstLine="435"/>
        <w:rPr>
          <w:rFonts w:asciiTheme="minorEastAsia" w:hAnsiTheme="minorEastAsia" w:eastAsiaTheme="minorEastAsia"/>
          <w:color w:val="auto"/>
          <w:sz w:val="24"/>
          <w:szCs w:val="24"/>
          <w:highlight w:val="none"/>
        </w:rPr>
      </w:pPr>
    </w:p>
    <w:p w14:paraId="1B3C8971">
      <w:pPr>
        <w:spacing w:line="360" w:lineRule="auto"/>
        <w:ind w:firstLine="435"/>
        <w:rPr>
          <w:rFonts w:asciiTheme="minorEastAsia" w:hAnsiTheme="minorEastAsia" w:eastAsiaTheme="minorEastAsia"/>
          <w:color w:val="auto"/>
          <w:sz w:val="24"/>
          <w:szCs w:val="24"/>
          <w:highlight w:val="none"/>
        </w:rPr>
      </w:pPr>
    </w:p>
    <w:p w14:paraId="401ED8C3">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5AADDA59">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p w14:paraId="4AD8BFAA">
      <w:pPr>
        <w:tabs>
          <w:tab w:val="left" w:pos="4620"/>
        </w:tabs>
        <w:spacing w:line="360" w:lineRule="auto"/>
        <w:jc w:val="left"/>
        <w:rPr>
          <w:rFonts w:asciiTheme="minorEastAsia" w:hAnsiTheme="minorEastAsia" w:eastAsiaTheme="minorEastAsia"/>
          <w:color w:val="auto"/>
          <w:sz w:val="24"/>
          <w:szCs w:val="24"/>
          <w:highlight w:val="none"/>
        </w:rPr>
      </w:pPr>
    </w:p>
    <w:p w14:paraId="08E563D6">
      <w:pPr>
        <w:tabs>
          <w:tab w:val="left" w:pos="4620"/>
        </w:tabs>
        <w:spacing w:line="360" w:lineRule="auto"/>
        <w:jc w:val="left"/>
        <w:rPr>
          <w:rFonts w:asciiTheme="minorEastAsia" w:hAnsiTheme="minorEastAsia" w:eastAsiaTheme="minorEastAsia"/>
          <w:color w:val="auto"/>
          <w:sz w:val="24"/>
          <w:szCs w:val="24"/>
          <w:highlight w:val="none"/>
        </w:rPr>
      </w:pPr>
    </w:p>
    <w:p w14:paraId="389BBA50">
      <w:pPr>
        <w:tabs>
          <w:tab w:val="left" w:pos="4620"/>
        </w:tabs>
        <w:spacing w:line="360" w:lineRule="auto"/>
        <w:jc w:val="left"/>
        <w:rPr>
          <w:rFonts w:asciiTheme="minorEastAsia" w:hAnsiTheme="minorEastAsia" w:eastAsiaTheme="minorEastAsia"/>
          <w:color w:val="auto"/>
          <w:sz w:val="24"/>
          <w:szCs w:val="24"/>
          <w:highlight w:val="none"/>
        </w:rPr>
      </w:pPr>
    </w:p>
    <w:p w14:paraId="1CF28849">
      <w:pPr>
        <w:tabs>
          <w:tab w:val="left" w:pos="4620"/>
        </w:tabs>
        <w:spacing w:line="360" w:lineRule="auto"/>
        <w:jc w:val="left"/>
        <w:rPr>
          <w:rFonts w:asciiTheme="minorEastAsia" w:hAnsiTheme="minorEastAsia" w:eastAsiaTheme="minorEastAsia"/>
          <w:color w:val="auto"/>
          <w:sz w:val="24"/>
          <w:szCs w:val="24"/>
          <w:highlight w:val="none"/>
        </w:rPr>
      </w:pPr>
    </w:p>
    <w:bookmarkEnd w:id="222"/>
    <w:p w14:paraId="4A6467D2">
      <w:pPr>
        <w:tabs>
          <w:tab w:val="left" w:pos="4620"/>
        </w:tabs>
        <w:spacing w:line="360" w:lineRule="auto"/>
        <w:jc w:val="left"/>
        <w:rPr>
          <w:rFonts w:hint="eastAsia" w:asciiTheme="minorEastAsia" w:hAnsiTheme="minorEastAsia" w:eastAsiaTheme="minorEastAsia"/>
          <w:b/>
          <w:color w:val="auto"/>
          <w:szCs w:val="24"/>
          <w:highlight w:val="none"/>
          <w:lang w:eastAsia="zh-CN"/>
        </w:rPr>
      </w:pPr>
      <w:r>
        <w:rPr>
          <w:rFonts w:hint="eastAsia" w:asciiTheme="minorEastAsia" w:hAnsiTheme="minorEastAsia" w:eastAsiaTheme="minorEastAsia"/>
          <w:b/>
          <w:color w:val="auto"/>
          <w:szCs w:val="24"/>
          <w:highlight w:val="none"/>
          <w:lang w:eastAsia="zh-CN"/>
        </w:rPr>
        <w:t>注：</w:t>
      </w:r>
    </w:p>
    <w:p w14:paraId="0311D51F">
      <w:pPr>
        <w:tabs>
          <w:tab w:val="left" w:pos="4620"/>
        </w:tabs>
        <w:spacing w:line="360" w:lineRule="auto"/>
        <w:jc w:val="left"/>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1.从业人员、营业收入、资产总额填报上一年数据，无上一年数据的新成立企业可不填报。</w:t>
      </w:r>
    </w:p>
    <w:p w14:paraId="76F350DB">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szCs w:val="21"/>
          <w:highlight w:val="none"/>
          <w:lang w:val="zh-CN"/>
        </w:rPr>
        <w:t>如有虚假，将依法承担相应责任。</w:t>
      </w:r>
      <w:r>
        <w:rPr>
          <w:rFonts w:hint="eastAsia" w:ascii="宋体" w:hAnsi="宋体" w:eastAsia="宋体" w:cs="宋体"/>
          <w:b/>
          <w:bCs/>
          <w:color w:val="auto"/>
          <w:szCs w:val="21"/>
          <w:highlight w:val="none"/>
        </w:rPr>
        <w:t>供应商自行登录工业和信息化部官网进行中小企业规模类型自测（查询网址https://www.miit.gov.cn/）。</w:t>
      </w:r>
    </w:p>
    <w:p w14:paraId="094B4CD5">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3.上述“</w:t>
      </w:r>
      <w:r>
        <w:rPr>
          <w:rFonts w:hint="eastAsia" w:ascii="宋体" w:hAnsi="宋体" w:eastAsia="宋体" w:cs="宋体"/>
          <w:b/>
          <w:bCs/>
          <w:color w:val="auto"/>
          <w:szCs w:val="21"/>
          <w:highlight w:val="none"/>
          <w:u w:val="single"/>
          <w:lang w:val="zh-CN"/>
        </w:rPr>
        <w:t>标的名称</w:t>
      </w:r>
      <w:r>
        <w:rPr>
          <w:rFonts w:hint="eastAsia" w:ascii="宋体" w:hAnsi="宋体" w:eastAsia="宋体" w:cs="宋体"/>
          <w:b/>
          <w:bCs/>
          <w:color w:val="auto"/>
          <w:szCs w:val="21"/>
          <w:highlight w:val="none"/>
        </w:rPr>
        <w:t>”，详见第三章采购需求前附表中明确的“标的名称”。</w:t>
      </w:r>
    </w:p>
    <w:p w14:paraId="74B8E68D">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4.上述“</w:t>
      </w:r>
      <w:r>
        <w:rPr>
          <w:rFonts w:hint="eastAsia" w:ascii="宋体" w:hAnsi="宋体" w:eastAsia="宋体" w:cs="宋体"/>
          <w:b/>
          <w:bCs/>
          <w:color w:val="auto"/>
          <w:szCs w:val="21"/>
          <w:highlight w:val="none"/>
          <w:u w:val="single"/>
        </w:rPr>
        <w:t>采购文件中明确的所属行业</w:t>
      </w:r>
      <w:r>
        <w:rPr>
          <w:rFonts w:hint="eastAsia" w:ascii="宋体" w:hAnsi="宋体" w:eastAsia="宋体" w:cs="宋体"/>
          <w:b/>
          <w:bCs/>
          <w:color w:val="auto"/>
          <w:szCs w:val="21"/>
          <w:highlight w:val="none"/>
        </w:rPr>
        <w:t>”，详见第三章采购需求前附表中明确的“所属行业”。</w:t>
      </w:r>
    </w:p>
    <w:p w14:paraId="2B0BF874">
      <w:pPr>
        <w:tabs>
          <w:tab w:val="left" w:pos="4620"/>
        </w:tabs>
        <w:spacing w:line="360" w:lineRule="auto"/>
        <w:jc w:val="left"/>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（填写第三章采购需求前附表中明确的“所属行业”，如软件和信息技术服务业）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w:t>
      </w:r>
      <w:r>
        <w:rPr>
          <w:rFonts w:hint="eastAsia" w:ascii="宋体" w:hAnsi="宋体" w:eastAsia="宋体" w:cs="宋体"/>
          <w:b/>
          <w:bCs/>
          <w:color w:val="auto"/>
          <w:szCs w:val="21"/>
          <w:highlight w:val="none"/>
          <w:u w:val="single"/>
        </w:rPr>
        <w:t>企业</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[供应商自行登录工业和信息化部官网进行中小企业规模类型自测（查询网址https://www.miit.gov.cn/）]</w:t>
      </w:r>
      <w:r>
        <w:rPr>
          <w:rFonts w:hint="eastAsia" w:ascii="宋体" w:hAnsi="宋体" w:eastAsia="宋体" w:cs="宋体"/>
          <w:b/>
          <w:bCs/>
          <w:color w:val="auto"/>
          <w:szCs w:val="21"/>
          <w:highlight w:val="none"/>
          <w:lang w:val="zh-CN"/>
        </w:rPr>
        <w:t>。</w:t>
      </w:r>
    </w:p>
    <w:p w14:paraId="374DC5C9">
      <w:pPr>
        <w:tabs>
          <w:tab w:val="left" w:pos="4620"/>
        </w:tabs>
        <w:spacing w:line="360" w:lineRule="auto"/>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1410A09">
      <w:pPr>
        <w:spacing w:line="360" w:lineRule="auto"/>
        <w:jc w:val="center"/>
        <w:outlineLvl w:val="1"/>
        <w:rPr>
          <w:rFonts w:asciiTheme="minorEastAsia" w:hAnsiTheme="minorEastAsia" w:eastAsiaTheme="minorEastAsia"/>
          <w:b/>
          <w:color w:val="auto"/>
          <w:sz w:val="24"/>
          <w:highlight w:val="none"/>
        </w:rPr>
      </w:pPr>
      <w:bookmarkStart w:id="223" w:name="_Toc5908"/>
      <w:bookmarkStart w:id="224" w:name="_Toc17713"/>
      <w:bookmarkStart w:id="225" w:name="_Hlk60608725"/>
      <w:r>
        <w:rPr>
          <w:rFonts w:hint="eastAsia" w:asciiTheme="minorEastAsia" w:hAnsiTheme="minorEastAsia" w:eastAsiaTheme="minorEastAsia"/>
          <w:b/>
          <w:color w:val="auto"/>
          <w:sz w:val="24"/>
          <w:highlight w:val="none"/>
          <w:lang w:val="en-US" w:eastAsia="zh-CN"/>
        </w:rPr>
        <w:t>九</w:t>
      </w:r>
      <w:r>
        <w:rPr>
          <w:rFonts w:hint="eastAsia" w:asciiTheme="minorEastAsia" w:hAnsiTheme="minorEastAsia" w:eastAsiaTheme="minorEastAsia"/>
          <w:b/>
          <w:color w:val="auto"/>
          <w:sz w:val="24"/>
          <w:highlight w:val="none"/>
        </w:rPr>
        <w:t>、残疾人福利性单位声明函</w:t>
      </w:r>
      <w:bookmarkEnd w:id="223"/>
      <w:bookmarkEnd w:id="224"/>
    </w:p>
    <w:p w14:paraId="7B42FE5D">
      <w:pPr>
        <w:pStyle w:val="9"/>
        <w:jc w:val="center"/>
        <w:rPr>
          <w:rFonts w:asciiTheme="minorEastAsia" w:hAnsiTheme="minorEastAsia" w:eastAsiaTheme="minorEastAsia"/>
          <w:color w:val="auto"/>
          <w:spacing w:val="6"/>
          <w:sz w:val="24"/>
          <w:szCs w:val="24"/>
          <w:highlight w:val="none"/>
        </w:rPr>
      </w:pPr>
      <w:r>
        <w:rPr>
          <w:rFonts w:hint="eastAsia" w:ascii="宋体" w:hAnsi="宋体" w:eastAsia="宋体"/>
          <w:b w:val="0"/>
          <w:i/>
          <w:color w:val="auto"/>
          <w:sz w:val="24"/>
          <w:highlight w:val="none"/>
          <w:lang w:val="en-US" w:eastAsia="zh-CN"/>
        </w:rPr>
        <w:t>（非残疾人福利性单位磋商，请删去“残疾人福利性单位声明函”）</w:t>
      </w:r>
    </w:p>
    <w:p w14:paraId="5FE4CD1C">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w:t>
      </w:r>
      <w:r>
        <w:rPr>
          <w:rFonts w:hint="eastAsia" w:asciiTheme="minorEastAsia" w:hAnsiTheme="minorEastAsia" w:eastAsiaTheme="minorEastAsia"/>
          <w:color w:val="auto"/>
          <w:sz w:val="24"/>
          <w:highlight w:val="none"/>
        </w:rPr>
        <w:t>郑重</w:t>
      </w:r>
      <w:r>
        <w:rPr>
          <w:rFonts w:hint="eastAsia" w:asciiTheme="minorEastAsia" w:hAnsiTheme="minorEastAsia" w:eastAsiaTheme="minorEastAsia"/>
          <w:color w:val="auto"/>
          <w:spacing w:val="6"/>
          <w:sz w:val="24"/>
          <w:szCs w:val="24"/>
          <w:highlight w:val="none"/>
        </w:rPr>
        <w:t>声明，根据《财政部 民政部 中国残疾人联合会关于促进残疾人就业政府采购政策的通知》（财库</w:t>
      </w:r>
      <w:r>
        <w:rPr>
          <w:rFonts w:hint="eastAsia" w:asciiTheme="minorEastAsia" w:hAnsiTheme="minorEastAsia" w:eastAsiaTheme="minorEastAsia"/>
          <w:color w:val="auto"/>
          <w:sz w:val="24"/>
          <w:szCs w:val="24"/>
          <w:highlight w:val="none"/>
        </w:rPr>
        <w:t>〔2017〕141</w:t>
      </w:r>
      <w:r>
        <w:rPr>
          <w:rFonts w:hint="eastAsia" w:asciiTheme="minorEastAsia" w:hAnsiTheme="minorEastAsia" w:eastAsiaTheme="minorEastAsia"/>
          <w:color w:val="auto"/>
          <w:spacing w:val="6"/>
          <w:sz w:val="24"/>
          <w:szCs w:val="24"/>
          <w:highlight w:val="none"/>
        </w:rPr>
        <w:t>号）的规定，本单位为</w:t>
      </w:r>
      <w:r>
        <w:rPr>
          <w:rFonts w:hint="eastAsia" w:asciiTheme="minorEastAsia" w:hAnsiTheme="minorEastAsia" w:eastAsiaTheme="minorEastAsia"/>
          <w:bCs/>
          <w:color w:val="auto"/>
          <w:sz w:val="24"/>
          <w:szCs w:val="24"/>
          <w:highlight w:val="none"/>
        </w:rPr>
        <w:t>符合</w:t>
      </w:r>
      <w:r>
        <w:rPr>
          <w:rFonts w:hint="eastAsia" w:asciiTheme="minorEastAsia" w:hAnsiTheme="minorEastAsia" w:eastAsiaTheme="minorEastAsia"/>
          <w:color w:val="auto"/>
          <w:spacing w:val="6"/>
          <w:sz w:val="24"/>
          <w:szCs w:val="24"/>
          <w:highlight w:val="none"/>
        </w:rPr>
        <w:t>条件的残疾人福利性单位，且本单位参加</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单位的</w:t>
      </w:r>
      <w:r>
        <w:rPr>
          <w:rFonts w:hint="eastAsia" w:asciiTheme="minorEastAsia" w:hAnsiTheme="minorEastAsia" w:eastAsiaTheme="minorEastAsia"/>
          <w:color w:val="auto"/>
          <w:spacing w:val="6"/>
          <w:sz w:val="24"/>
          <w:szCs w:val="24"/>
          <w:highlight w:val="none"/>
          <w:u w:val="single"/>
        </w:rPr>
        <w:t xml:space="preserve">      </w:t>
      </w:r>
      <w:r>
        <w:rPr>
          <w:rFonts w:hint="eastAsia" w:asciiTheme="minorEastAsia" w:hAnsiTheme="minorEastAsia" w:eastAsiaTheme="minorEastAsia"/>
          <w:color w:val="auto"/>
          <w:spacing w:val="6"/>
          <w:sz w:val="24"/>
          <w:szCs w:val="24"/>
          <w:highlight w:val="none"/>
        </w:rPr>
        <w:t>项目采购活动提供本单位制造的货物</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lang w:val="en-US" w:eastAsia="zh-CN"/>
        </w:rPr>
        <w:t>由本单位承担工程/提供服务</w:t>
      </w:r>
      <w:r>
        <w:rPr>
          <w:rFonts w:hint="eastAsia" w:asciiTheme="minorEastAsia" w:hAnsiTheme="minorEastAsia" w:eastAsiaTheme="minorEastAsia"/>
          <w:color w:val="auto"/>
          <w:spacing w:val="6"/>
          <w:sz w:val="24"/>
          <w:szCs w:val="24"/>
          <w:highlight w:val="none"/>
          <w:lang w:eastAsia="zh-CN"/>
        </w:rPr>
        <w:t>）</w:t>
      </w:r>
      <w:r>
        <w:rPr>
          <w:rFonts w:hint="eastAsia" w:asciiTheme="minorEastAsia" w:hAnsiTheme="minorEastAsia" w:eastAsiaTheme="minorEastAsia"/>
          <w:color w:val="auto"/>
          <w:spacing w:val="6"/>
          <w:sz w:val="24"/>
          <w:szCs w:val="24"/>
          <w:highlight w:val="none"/>
        </w:rPr>
        <w:t>，或者提供其他残疾人福利性单位制造的货物（不包括使用非残疾人福利性单位注册商标的货物）。</w:t>
      </w:r>
    </w:p>
    <w:p w14:paraId="7E1D68E2">
      <w:pPr>
        <w:spacing w:line="360" w:lineRule="auto"/>
        <w:ind w:firstLine="435"/>
        <w:rPr>
          <w:rFonts w:asciiTheme="minorEastAsia" w:hAnsiTheme="minorEastAsia" w:eastAsiaTheme="minorEastAsia"/>
          <w:color w:val="auto"/>
          <w:spacing w:val="6"/>
          <w:sz w:val="24"/>
          <w:szCs w:val="24"/>
          <w:highlight w:val="none"/>
        </w:rPr>
      </w:pPr>
      <w:r>
        <w:rPr>
          <w:rFonts w:hint="eastAsia" w:asciiTheme="minorEastAsia" w:hAnsiTheme="minorEastAsia" w:eastAsiaTheme="minorEastAsia"/>
          <w:color w:val="auto"/>
          <w:spacing w:val="6"/>
          <w:sz w:val="24"/>
          <w:szCs w:val="24"/>
          <w:highlight w:val="none"/>
        </w:rPr>
        <w:t>本单位对上述声明的真实性负责。如有虚假，将依法承担相应责任。</w:t>
      </w:r>
    </w:p>
    <w:p w14:paraId="242880A1">
      <w:pPr>
        <w:spacing w:line="360" w:lineRule="auto"/>
        <w:ind w:firstLine="4228" w:firstLineChars="1762"/>
        <w:rPr>
          <w:rFonts w:asciiTheme="minorEastAsia" w:hAnsiTheme="minorEastAsia" w:eastAsiaTheme="minorEastAsia"/>
          <w:color w:val="auto"/>
          <w:sz w:val="24"/>
          <w:szCs w:val="24"/>
          <w:highlight w:val="none"/>
        </w:rPr>
      </w:pPr>
    </w:p>
    <w:p w14:paraId="03D6C101">
      <w:pPr>
        <w:spacing w:line="360" w:lineRule="auto"/>
        <w:ind w:firstLine="4228" w:firstLineChars="1762"/>
        <w:rPr>
          <w:rFonts w:asciiTheme="minorEastAsia" w:hAnsiTheme="minorEastAsia" w:eastAsiaTheme="minorEastAsia"/>
          <w:color w:val="auto"/>
          <w:sz w:val="24"/>
          <w:szCs w:val="24"/>
          <w:highlight w:val="none"/>
        </w:rPr>
      </w:pPr>
    </w:p>
    <w:p w14:paraId="5D5F68B4">
      <w:pPr>
        <w:spacing w:line="360" w:lineRule="auto"/>
        <w:ind w:firstLine="4228" w:firstLineChars="176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供应商</w:t>
      </w:r>
      <w:r>
        <w:rPr>
          <w:rFonts w:asciiTheme="minorEastAsia" w:hAnsiTheme="minorEastAsia" w:eastAsiaTheme="minorEastAsia"/>
          <w:color w:val="auto"/>
          <w:sz w:val="24"/>
          <w:szCs w:val="24"/>
          <w:highlight w:val="none"/>
        </w:rPr>
        <w:t>电子签章</w:t>
      </w:r>
      <w:r>
        <w:rPr>
          <w:rFonts w:hint="eastAsia" w:asciiTheme="minorEastAsia" w:hAnsiTheme="minorEastAsia" w:eastAsiaTheme="minorEastAsia"/>
          <w:color w:val="auto"/>
          <w:sz w:val="24"/>
          <w:szCs w:val="24"/>
          <w:highlight w:val="none"/>
        </w:rPr>
        <w:t>：</w:t>
      </w:r>
      <w:r>
        <w:rPr>
          <w:rFonts w:asciiTheme="minorEastAsia" w:hAnsiTheme="minorEastAsia" w:eastAsiaTheme="minorEastAsia"/>
          <w:color w:val="auto"/>
          <w:sz w:val="24"/>
          <w:szCs w:val="24"/>
          <w:highlight w:val="none"/>
          <w:u w:val="single"/>
        </w:rPr>
        <w:t xml:space="preserve">             </w:t>
      </w:r>
    </w:p>
    <w:p w14:paraId="2CAC8021">
      <w:pPr>
        <w:tabs>
          <w:tab w:val="left" w:pos="4620"/>
        </w:tabs>
        <w:spacing w:line="360" w:lineRule="auto"/>
        <w:ind w:firstLine="4252" w:firstLineChars="1772"/>
        <w:rPr>
          <w:rFonts w:asciiTheme="minorEastAsia" w:hAnsiTheme="minorEastAsia" w:eastAsiaTheme="minorEastAsia"/>
          <w:color w:val="auto"/>
          <w:sz w:val="24"/>
          <w:szCs w:val="24"/>
          <w:highlight w:val="none"/>
          <w:u w:val="single"/>
        </w:rPr>
      </w:pPr>
      <w:r>
        <w:rPr>
          <w:rFonts w:hint="eastAsia" w:asciiTheme="minorEastAsia" w:hAnsiTheme="minorEastAsia" w:eastAsiaTheme="minorEastAsia"/>
          <w:color w:val="auto"/>
          <w:sz w:val="24"/>
          <w:szCs w:val="24"/>
          <w:highlight w:val="none"/>
        </w:rPr>
        <w:t>日</w:t>
      </w:r>
      <w:r>
        <w:rPr>
          <w:rFonts w:asciiTheme="minorEastAsia" w:hAnsiTheme="minorEastAsia" w:eastAsiaTheme="minorEastAsia"/>
          <w:color w:val="auto"/>
          <w:sz w:val="24"/>
          <w:szCs w:val="24"/>
          <w:highlight w:val="none"/>
        </w:rPr>
        <w:t xml:space="preserve">      </w:t>
      </w:r>
      <w:r>
        <w:rPr>
          <w:rFonts w:hint="eastAsia" w:asciiTheme="minorEastAsia" w:hAnsiTheme="minorEastAsia" w:eastAsiaTheme="minorEastAsia"/>
          <w:color w:val="auto"/>
          <w:sz w:val="24"/>
          <w:szCs w:val="24"/>
          <w:highlight w:val="none"/>
        </w:rPr>
        <w:t xml:space="preserve">    期：</w:t>
      </w:r>
      <w:r>
        <w:rPr>
          <w:rFonts w:asciiTheme="minorEastAsia" w:hAnsiTheme="minorEastAsia" w:eastAsiaTheme="minorEastAsia"/>
          <w:color w:val="auto"/>
          <w:sz w:val="24"/>
          <w:szCs w:val="24"/>
          <w:highlight w:val="none"/>
          <w:u w:val="single"/>
        </w:rPr>
        <w:t xml:space="preserve">             </w:t>
      </w:r>
    </w:p>
    <w:bookmarkEnd w:id="225"/>
    <w:p w14:paraId="5C01525C">
      <w:pPr>
        <w:widowControl/>
        <w:jc w:val="left"/>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br w:type="page"/>
      </w:r>
    </w:p>
    <w:p w14:paraId="248945A3">
      <w:pPr>
        <w:spacing w:line="360" w:lineRule="auto"/>
        <w:jc w:val="center"/>
        <w:outlineLvl w:val="1"/>
        <w:rPr>
          <w:rFonts w:asciiTheme="minorEastAsia" w:hAnsiTheme="minorEastAsia" w:eastAsiaTheme="minorEastAsia"/>
          <w:b/>
          <w:color w:val="auto"/>
          <w:sz w:val="24"/>
          <w:highlight w:val="none"/>
        </w:rPr>
      </w:pPr>
      <w:bookmarkStart w:id="226" w:name="_Toc20592"/>
      <w:bookmarkStart w:id="227" w:name="_Toc2278"/>
      <w:bookmarkStart w:id="228" w:name="_Hlk44283088"/>
      <w:r>
        <w:rPr>
          <w:rFonts w:hint="eastAsia" w:asciiTheme="minorEastAsia" w:hAnsiTheme="minorEastAsia" w:eastAsiaTheme="minorEastAsia"/>
          <w:b/>
          <w:color w:val="auto"/>
          <w:sz w:val="24"/>
          <w:highlight w:val="none"/>
          <w:lang w:val="en-US" w:eastAsia="zh-CN"/>
        </w:rPr>
        <w:t>十</w:t>
      </w:r>
      <w:r>
        <w:rPr>
          <w:rFonts w:hint="eastAsia" w:asciiTheme="minorEastAsia" w:hAnsiTheme="minorEastAsia" w:eastAsiaTheme="minorEastAsia"/>
          <w:b/>
          <w:color w:val="auto"/>
          <w:sz w:val="24"/>
          <w:highlight w:val="none"/>
        </w:rPr>
        <w:t>、诚信履约承诺函</w:t>
      </w:r>
      <w:bookmarkEnd w:id="226"/>
      <w:bookmarkEnd w:id="227"/>
    </w:p>
    <w:p w14:paraId="1B67A09E">
      <w:pPr>
        <w:spacing w:line="360" w:lineRule="auto"/>
        <w:rPr>
          <w:rFonts w:asciiTheme="minorEastAsia" w:hAnsiTheme="minorEastAsia" w:eastAsiaTheme="minorEastAsia"/>
          <w:b/>
          <w:bCs/>
          <w:color w:val="auto"/>
          <w:sz w:val="24"/>
          <w:highlight w:val="none"/>
        </w:rPr>
      </w:pPr>
    </w:p>
    <w:p w14:paraId="7380133A">
      <w:pPr>
        <w:spacing w:line="360" w:lineRule="auto"/>
        <w:rPr>
          <w:rFonts w:hint="eastAsia" w:asciiTheme="minorEastAsia" w:hAnsiTheme="minorEastAsia" w:eastAsiaTheme="minorEastAsia"/>
          <w:b/>
          <w:bCs/>
          <w:color w:val="auto"/>
          <w:sz w:val="24"/>
          <w:highlight w:val="none"/>
          <w:u w:val="single"/>
          <w:lang w:val="en-US" w:eastAsia="zh-CN"/>
        </w:rPr>
      </w:pPr>
      <w:r>
        <w:rPr>
          <w:rFonts w:hint="eastAsia" w:asciiTheme="minorEastAsia" w:hAnsiTheme="minorEastAsia" w:eastAsiaTheme="minorEastAsia"/>
          <w:b/>
          <w:bCs/>
          <w:color w:val="auto"/>
          <w:sz w:val="24"/>
          <w:highlight w:val="none"/>
        </w:rPr>
        <w:t>致：</w:t>
      </w:r>
      <w:r>
        <w:rPr>
          <w:rFonts w:hint="eastAsia" w:asciiTheme="minorEastAsia" w:hAnsiTheme="minorEastAsia" w:eastAsiaTheme="minorEastAsia"/>
          <w:b/>
          <w:bCs/>
          <w:color w:val="auto"/>
          <w:sz w:val="24"/>
          <w:highlight w:val="none"/>
          <w:lang w:val="en-US" w:eastAsia="zh-CN"/>
        </w:rPr>
        <w:t>采购人</w:t>
      </w:r>
    </w:p>
    <w:p w14:paraId="1C5CA96C">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6A10041A">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（1）中标或者成交后无正当理由拒不与采购人签订政府采购合同；</w:t>
      </w:r>
    </w:p>
    <w:p w14:paraId="4BB654E2">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（2）未按照采购文件确定的事项签订政府采购合同；</w:t>
      </w:r>
    </w:p>
    <w:p w14:paraId="6CF920FC">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（3）将政府采购合同转包；</w:t>
      </w:r>
    </w:p>
    <w:p w14:paraId="212A480F">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（4）提供假冒伪劣产品；</w:t>
      </w:r>
    </w:p>
    <w:p w14:paraId="329B429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（5）擅自变更、中止或者终止政府采购合同。</w:t>
      </w:r>
    </w:p>
    <w:p w14:paraId="60976D18">
      <w:pPr>
        <w:spacing w:line="360" w:lineRule="auto"/>
        <w:ind w:firstLine="480" w:firstLineChars="2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11896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本承诺声明：</w:t>
      </w:r>
      <w:r>
        <w:rPr>
          <w:rFonts w:hint="eastAsia" w:asciiTheme="minorEastAsia" w:hAnsiTheme="minorEastAsia" w:eastAsiaTheme="minorEastAsia"/>
          <w:bCs/>
          <w:color w:val="auto"/>
          <w:sz w:val="24"/>
          <w:highlight w:val="none"/>
          <w:u w:val="single"/>
        </w:rPr>
        <w:t xml:space="preserve">                   （供应商名称）</w:t>
      </w:r>
      <w:r>
        <w:rPr>
          <w:rFonts w:hint="eastAsia" w:asciiTheme="minorEastAsia" w:hAnsiTheme="minorEastAsia" w:eastAsiaTheme="minorEastAsia"/>
          <w:bCs/>
          <w:color w:val="auto"/>
          <w:sz w:val="24"/>
          <w:highlight w:val="none"/>
        </w:rPr>
        <w:t>对本招标文件的相关要求完全响应。若有幸成交将严格按照以上承诺进行服务。</w:t>
      </w:r>
    </w:p>
    <w:p w14:paraId="7CDF1A96">
      <w:pPr>
        <w:spacing w:line="360" w:lineRule="auto"/>
        <w:rPr>
          <w:rFonts w:asciiTheme="minorEastAsia" w:hAnsiTheme="minorEastAsia" w:eastAsiaTheme="minorEastAsia"/>
          <w:bCs/>
          <w:color w:val="auto"/>
          <w:sz w:val="24"/>
          <w:highlight w:val="none"/>
        </w:rPr>
      </w:pPr>
    </w:p>
    <w:p w14:paraId="4AFB228D">
      <w:pPr>
        <w:spacing w:line="360" w:lineRule="auto"/>
        <w:ind w:firstLine="4320" w:firstLineChars="1800"/>
        <w:rPr>
          <w:rFonts w:asciiTheme="minorEastAsia" w:hAnsiTheme="minorEastAsia" w:eastAsiaTheme="minorEastAsia"/>
          <w:bCs/>
          <w:color w:val="auto"/>
          <w:sz w:val="24"/>
          <w:highlight w:val="none"/>
          <w:u w:val="single"/>
        </w:rPr>
      </w:pPr>
      <w:r>
        <w:rPr>
          <w:rFonts w:hint="eastAsia" w:asciiTheme="minorEastAsia" w:hAnsiTheme="minorEastAsia" w:eastAsiaTheme="minorEastAsia"/>
          <w:bCs/>
          <w:color w:val="auto"/>
          <w:sz w:val="24"/>
          <w:highlight w:val="none"/>
        </w:rPr>
        <w:t>供应商电子签章：</w:t>
      </w:r>
      <w:r>
        <w:rPr>
          <w:rFonts w:hint="eastAsia" w:asciiTheme="minorEastAsia" w:hAnsiTheme="minorEastAsia" w:eastAsiaTheme="minorEastAsia"/>
          <w:bCs/>
          <w:color w:val="auto"/>
          <w:sz w:val="24"/>
          <w:highlight w:val="none"/>
          <w:u w:val="single"/>
        </w:rPr>
        <w:t xml:space="preserve">     </w:t>
      </w:r>
      <w:r>
        <w:rPr>
          <w:rFonts w:asciiTheme="minorEastAsia" w:hAnsiTheme="minorEastAsia" w:eastAsiaTheme="minorEastAsia"/>
          <w:bCs/>
          <w:color w:val="auto"/>
          <w:sz w:val="24"/>
          <w:highlight w:val="none"/>
          <w:u w:val="single"/>
        </w:rPr>
        <w:t xml:space="preserve">    </w:t>
      </w:r>
      <w:r>
        <w:rPr>
          <w:rFonts w:hint="eastAsia" w:asciiTheme="minorEastAsia" w:hAnsiTheme="minorEastAsia" w:eastAsiaTheme="minorEastAsia"/>
          <w:bCs/>
          <w:color w:val="auto"/>
          <w:sz w:val="24"/>
          <w:highlight w:val="none"/>
          <w:u w:val="single"/>
        </w:rPr>
        <w:t xml:space="preserve">    </w:t>
      </w:r>
    </w:p>
    <w:p w14:paraId="05D89AE8">
      <w:pPr>
        <w:spacing w:line="360" w:lineRule="auto"/>
        <w:ind w:firstLine="4320" w:firstLineChars="1800"/>
        <w:rPr>
          <w:rFonts w:asciiTheme="minorEastAsia" w:hAnsiTheme="minorEastAsia" w:eastAsiaTheme="minorEastAsia"/>
          <w:bCs/>
          <w:color w:val="auto"/>
          <w:sz w:val="24"/>
          <w:highlight w:val="none"/>
        </w:rPr>
      </w:pPr>
      <w:r>
        <w:rPr>
          <w:rFonts w:hint="eastAsia" w:asciiTheme="minorEastAsia" w:hAnsiTheme="minorEastAsia" w:eastAsiaTheme="minorEastAsia"/>
          <w:bCs/>
          <w:color w:val="auto"/>
          <w:sz w:val="24"/>
          <w:highlight w:val="none"/>
        </w:rPr>
        <w:t>日          期：</w:t>
      </w:r>
      <w:r>
        <w:rPr>
          <w:rFonts w:hint="eastAsia" w:asciiTheme="minorEastAsia" w:hAnsiTheme="minorEastAsia" w:eastAsiaTheme="minorEastAsia"/>
          <w:bCs/>
          <w:color w:val="auto"/>
          <w:sz w:val="24"/>
          <w:highlight w:val="none"/>
          <w:u w:val="single"/>
        </w:rPr>
        <w:t xml:space="preserve">             </w:t>
      </w:r>
    </w:p>
    <w:p w14:paraId="78923899">
      <w:pPr>
        <w:widowControl/>
        <w:jc w:val="left"/>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br w:type="page"/>
      </w:r>
    </w:p>
    <w:bookmarkEnd w:id="228"/>
    <w:p w14:paraId="03F442C2">
      <w:pPr>
        <w:spacing w:line="360" w:lineRule="auto"/>
        <w:jc w:val="center"/>
        <w:outlineLvl w:val="1"/>
        <w:rPr>
          <w:rFonts w:asciiTheme="minorEastAsia" w:hAnsiTheme="minorEastAsia" w:eastAsiaTheme="minorEastAsia"/>
          <w:b/>
          <w:color w:val="auto"/>
          <w:sz w:val="24"/>
          <w:highlight w:val="none"/>
        </w:rPr>
      </w:pPr>
      <w:bookmarkStart w:id="229" w:name="_Toc7807"/>
      <w:bookmarkStart w:id="230" w:name="_Toc3826"/>
      <w:r>
        <w:rPr>
          <w:rFonts w:hint="eastAsia" w:asciiTheme="minorEastAsia" w:hAnsiTheme="minorEastAsia" w:eastAsiaTheme="minorEastAsia"/>
          <w:b/>
          <w:color w:val="auto"/>
          <w:sz w:val="24"/>
          <w:highlight w:val="none"/>
        </w:rPr>
        <w:t>十</w:t>
      </w:r>
      <w:r>
        <w:rPr>
          <w:rFonts w:hint="eastAsia" w:asciiTheme="minorEastAsia" w:hAnsiTheme="minorEastAsia" w:eastAsiaTheme="minorEastAsia"/>
          <w:b/>
          <w:color w:val="auto"/>
          <w:sz w:val="24"/>
          <w:highlight w:val="none"/>
          <w:lang w:val="en-US" w:eastAsia="zh-CN"/>
        </w:rPr>
        <w:t>一</w:t>
      </w:r>
      <w:r>
        <w:rPr>
          <w:rFonts w:hint="eastAsia" w:asciiTheme="minorEastAsia" w:hAnsiTheme="minorEastAsia" w:eastAsiaTheme="minorEastAsia"/>
          <w:b/>
          <w:color w:val="auto"/>
          <w:sz w:val="24"/>
          <w:highlight w:val="none"/>
        </w:rPr>
        <w:t>、其他相关证明材料</w:t>
      </w:r>
      <w:bookmarkEnd w:id="229"/>
      <w:bookmarkEnd w:id="230"/>
    </w:p>
    <w:p w14:paraId="42275D95">
      <w:pPr>
        <w:tabs>
          <w:tab w:val="left" w:pos="4620"/>
        </w:tabs>
        <w:spacing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提供符合磋商邀请、采购需求及评审方法和标准规定的相关证明文件。</w:t>
      </w:r>
    </w:p>
    <w:p w14:paraId="6899BB2B">
      <w:pPr>
        <w:spacing w:line="360" w:lineRule="auto"/>
        <w:ind w:firstLine="435"/>
        <w:rPr>
          <w:rFonts w:asciiTheme="minorEastAsia" w:hAnsiTheme="minorEastAsia" w:eastAsiaTheme="minorEastAsia"/>
          <w:color w:val="auto"/>
          <w:sz w:val="24"/>
          <w:highlight w:val="none"/>
        </w:rPr>
      </w:pPr>
    </w:p>
    <w:p w14:paraId="26DC29F9">
      <w:pPr>
        <w:spacing w:line="360" w:lineRule="auto"/>
        <w:ind w:firstLine="480" w:firstLineChars="200"/>
        <w:rPr>
          <w:rFonts w:asciiTheme="minorEastAsia" w:hAnsiTheme="minorEastAsia" w:eastAsiaTheme="minorEastAsia"/>
          <w:color w:val="auto"/>
          <w:sz w:val="24"/>
          <w:highlight w:val="none"/>
        </w:rPr>
      </w:pPr>
    </w:p>
    <w:p w14:paraId="015181F9">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b/>
          <w:color w:val="auto"/>
          <w:sz w:val="24"/>
          <w:highlight w:val="none"/>
        </w:rPr>
        <w:t>特别提示：</w:t>
      </w:r>
    </w:p>
    <w:p w14:paraId="5BA844B1">
      <w:pPr>
        <w:spacing w:line="360" w:lineRule="auto"/>
        <w:ind w:firstLine="435"/>
        <w:rPr>
          <w:rFonts w:asciiTheme="minorEastAsia" w:hAnsiTheme="minorEastAsia" w:eastAsiaTheme="minorEastAsia"/>
          <w:b/>
          <w:color w:val="auto"/>
          <w:sz w:val="24"/>
          <w:highlight w:val="none"/>
        </w:rPr>
      </w:pPr>
      <w:r>
        <w:rPr>
          <w:rFonts w:hint="eastAsia" w:asciiTheme="minorEastAsia" w:hAnsiTheme="minorEastAsia" w:eastAsiaTheme="minorEastAsia"/>
          <w:color w:val="auto"/>
          <w:sz w:val="24"/>
          <w:highlight w:val="none"/>
        </w:rPr>
        <w:t>供应商在响应文件制作时可在此栏内上传磋商文件要求上传的证明资料，如营业执照</w:t>
      </w:r>
      <w:r>
        <w:rPr>
          <w:rFonts w:hint="eastAsia" w:asciiTheme="minorEastAsia" w:hAnsiTheme="minorEastAsia" w:eastAsiaTheme="minorEastAsia"/>
          <w:color w:val="auto"/>
          <w:sz w:val="24"/>
          <w:highlight w:val="none"/>
          <w:lang w:eastAsia="zh-CN"/>
        </w:rPr>
        <w:t>、</w:t>
      </w:r>
      <w:r>
        <w:rPr>
          <w:rFonts w:hint="eastAsia" w:asciiTheme="minorEastAsia" w:hAnsiTheme="minorEastAsia" w:eastAsiaTheme="minorEastAsia"/>
          <w:color w:val="auto"/>
          <w:sz w:val="24"/>
          <w:highlight w:val="none"/>
        </w:rPr>
        <w:t>证书等，应将上述证明材料制作成扫描件上传。</w:t>
      </w:r>
    </w:p>
    <w:p w14:paraId="240E8579">
      <w:pPr>
        <w:spacing w:line="360" w:lineRule="auto"/>
        <w:jc w:val="center"/>
        <w:rPr>
          <w:rFonts w:asciiTheme="minorEastAsia" w:hAnsiTheme="minorEastAsia" w:eastAsiaTheme="minorEastAsia"/>
          <w:b/>
          <w:color w:val="auto"/>
          <w:sz w:val="24"/>
          <w:highlight w:val="none"/>
        </w:rPr>
      </w:pPr>
    </w:p>
    <w:p w14:paraId="6D4F2D38">
      <w:pPr>
        <w:widowControl/>
        <w:jc w:val="left"/>
        <w:rPr>
          <w:rFonts w:ascii="宋体" w:hAnsi="宋体" w:eastAsia="宋体"/>
          <w:bCs/>
          <w:color w:val="auto"/>
          <w:sz w:val="24"/>
          <w:highlight w:val="none"/>
        </w:rPr>
      </w:pPr>
      <w:r>
        <w:rPr>
          <w:rFonts w:asciiTheme="minorEastAsia" w:hAnsiTheme="minorEastAsia" w:eastAsiaTheme="minorEastAsia"/>
          <w:color w:val="auto"/>
          <w:sz w:val="24"/>
          <w:highlight w:val="none"/>
        </w:rPr>
        <w:br w:type="page"/>
      </w:r>
    </w:p>
    <w:p w14:paraId="7AD567B4">
      <w:pPr>
        <w:keepNext w:val="0"/>
        <w:keepLines w:val="0"/>
        <w:widowControl w:val="0"/>
        <w:suppressLineNumbers w:val="0"/>
        <w:spacing w:before="0" w:beforeAutospacing="0" w:after="0" w:afterAutospacing="0"/>
        <w:ind w:left="0" w:right="0"/>
        <w:jc w:val="both"/>
        <w:outlineLvl w:val="0"/>
        <w:rPr>
          <w:rFonts w:hint="eastAsia" w:ascii="宋体" w:hAnsi="宋体" w:eastAsia="宋体" w:cs="宋体"/>
          <w:color w:val="auto"/>
          <w:kern w:val="2"/>
          <w:sz w:val="28"/>
          <w:szCs w:val="28"/>
          <w:highlight w:val="none"/>
        </w:rPr>
      </w:pPr>
      <w:bookmarkStart w:id="231" w:name="_Toc11016"/>
      <w:bookmarkStart w:id="232" w:name="_Toc63440924"/>
      <w:bookmarkStart w:id="233" w:name="_Toc19418"/>
      <w:r>
        <w:rPr>
          <w:rFonts w:hint="eastAsia" w:ascii="宋体" w:hAnsi="宋体" w:eastAsia="宋体" w:cs="宋体"/>
          <w:b/>
          <w:bCs w:val="0"/>
          <w:color w:val="auto"/>
          <w:kern w:val="2"/>
          <w:sz w:val="28"/>
          <w:szCs w:val="28"/>
          <w:highlight w:val="none"/>
          <w:lang w:val="en-US" w:eastAsia="zh-CN" w:bidi="ar"/>
        </w:rPr>
        <w:t>附件</w:t>
      </w:r>
      <w:r>
        <w:rPr>
          <w:rFonts w:hint="default" w:ascii="Times New Roman" w:hAnsi="Times New Roman" w:eastAsia="宋体" w:cs="Times New Roman"/>
          <w:b/>
          <w:bCs w:val="0"/>
          <w:color w:val="auto"/>
          <w:kern w:val="2"/>
          <w:sz w:val="28"/>
          <w:szCs w:val="28"/>
          <w:highlight w:val="none"/>
          <w:lang w:val="en-US" w:eastAsia="zh-CN" w:bidi="ar"/>
        </w:rPr>
        <w:t>1</w:t>
      </w:r>
      <w:bookmarkEnd w:id="231"/>
    </w:p>
    <w:p w14:paraId="60D83092">
      <w:pPr>
        <w:keepNext w:val="0"/>
        <w:keepLines w:val="0"/>
        <w:widowControl w:val="0"/>
        <w:suppressLineNumbers w:val="0"/>
        <w:spacing w:before="0" w:beforeAutospacing="0" w:after="0" w:afterAutospacing="0" w:line="440" w:lineRule="exact"/>
        <w:ind w:left="0" w:right="0"/>
        <w:jc w:val="center"/>
        <w:rPr>
          <w:rFonts w:hint="eastAsia" w:ascii="黑体" w:hAnsi="宋体" w:eastAsia="黑体" w:cs="黑体"/>
          <w:b/>
          <w:bCs w:val="0"/>
          <w:color w:val="auto"/>
          <w:kern w:val="2"/>
          <w:sz w:val="30"/>
          <w:szCs w:val="30"/>
          <w:highlight w:val="none"/>
        </w:rPr>
      </w:pPr>
      <w:r>
        <w:rPr>
          <w:rFonts w:hint="eastAsia" w:ascii="黑体" w:hAnsi="宋体" w:eastAsia="黑体" w:cs="黑体"/>
          <w:b/>
          <w:bCs w:val="0"/>
          <w:color w:val="auto"/>
          <w:kern w:val="2"/>
          <w:sz w:val="30"/>
          <w:szCs w:val="30"/>
          <w:highlight w:val="none"/>
          <w:lang w:val="en-US" w:eastAsia="zh-CN" w:bidi="ar"/>
        </w:rPr>
        <w:t>关于联合惩戒失信行为 加强信用查询管理的通知</w:t>
      </w:r>
    </w:p>
    <w:p w14:paraId="32566E03">
      <w:pPr>
        <w:keepNext w:val="0"/>
        <w:keepLines w:val="0"/>
        <w:widowControl w:val="0"/>
        <w:suppressLineNumbers w:val="0"/>
        <w:spacing w:before="0" w:beforeAutospacing="0" w:after="0" w:afterAutospacing="0" w:line="440" w:lineRule="exact"/>
        <w:ind w:left="0" w:right="0" w:firstLine="482" w:firstLineChars="20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一、失信行为联合惩戒的范围和查询渠道</w:t>
      </w:r>
    </w:p>
    <w:p w14:paraId="70445A19">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在我市公共资源交易活动中对存在下列失信行为的投标人、法定代表人及其项目经理（建造师）实施联合惩戒，禁止参与我市公共资源交易活动。</w:t>
      </w:r>
    </w:p>
    <w:p w14:paraId="62F9B137">
      <w:pPr>
        <w:keepNext w:val="0"/>
        <w:keepLines w:val="0"/>
        <w:widowControl/>
        <w:suppressLineNumbers w:val="0"/>
        <w:autoSpaceDE w:val="0"/>
        <w:autoSpaceDN/>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（一）工程建设项目</w:t>
      </w:r>
    </w:p>
    <w:p w14:paraId="19B593A4">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1、“信用中国”网站（www.creditchina.gov.cn）查询投标人、法定代表人及其项目经理(建造师)以下失信行为：</w:t>
      </w:r>
    </w:p>
    <w:p w14:paraId="5D8E60AF">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①被列入“失信被执行人”的;</w:t>
      </w:r>
    </w:p>
    <w:p w14:paraId="62ABDED8">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②被列入“重大税收违法失信主体”的；</w:t>
      </w:r>
    </w:p>
    <w:p w14:paraId="6736877B">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③被列入“拖欠农民工工资失信联合惩戒对象名单”的；</w:t>
      </w:r>
    </w:p>
    <w:p w14:paraId="31AA93DB">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④被列入 “严重失信主体名单”的；</w:t>
      </w:r>
    </w:p>
    <w:p w14:paraId="2E6CE4A3">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⑤在“信用中国”网站上披露的仍在公示期的严重失信行为(具体行为类别及判定依据见附件2)的。</w:t>
      </w:r>
    </w:p>
    <w:p w14:paraId="41279983">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2、国家企业信用信息公示系统网站（www.gsxt.gov.cn）查询投标人以下失信行为：</w:t>
      </w:r>
    </w:p>
    <w:p w14:paraId="12FDD578">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①被列入“经营异常名录”或者“严重违法失信名单”的。</w:t>
      </w:r>
    </w:p>
    <w:p w14:paraId="6D2FA5D4">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3、由投标人、法定代表人及其项目经理(建造师)进行承诺，不进行现场网上信用查询的失信行为：</w:t>
      </w:r>
    </w:p>
    <w:p w14:paraId="50E1750F">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①前三年有行贿犯罪行为的单位和个人；</w:t>
      </w:r>
    </w:p>
    <w:p w14:paraId="12284B65">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②被滁州市县两级公管部门取消在一定期限内的投标资格且在取消期限内的；</w:t>
      </w:r>
    </w:p>
    <w:p w14:paraId="3104CBC9">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③被滁州市县两级各行业主管部门取消在一定期限内的投标资格且在取消期限内的；</w:t>
      </w:r>
    </w:p>
    <w:p w14:paraId="2EFF30FE">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④因拖欠农民工工资被县级及以上有关行政主管部门限制投标资格且在限制期限内的；</w:t>
      </w:r>
    </w:p>
    <w:p w14:paraId="1C6B068D">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p w14:paraId="5923FAF7">
      <w:pPr>
        <w:keepNext w:val="0"/>
        <w:keepLines w:val="0"/>
        <w:widowControl/>
        <w:suppressLineNumbers w:val="0"/>
        <w:autoSpaceDE w:val="0"/>
        <w:autoSpaceDN/>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（二）政府采购项目</w:t>
      </w:r>
    </w:p>
    <w:p w14:paraId="7A3DE018">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1、“信用中国”网站（www.creditchina.gov.cn）查询供应商、法定代表人及其项目负责人以下失信行为：</w:t>
      </w:r>
    </w:p>
    <w:p w14:paraId="7AD1C979">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①被列入“失信被执行人”的;</w:t>
      </w:r>
    </w:p>
    <w:p w14:paraId="5662497A">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②被列入“重大税收违法失信主体”的；</w:t>
      </w:r>
    </w:p>
    <w:p w14:paraId="1C261734">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③被列入 “严重失信主体名单”的；</w:t>
      </w:r>
    </w:p>
    <w:p w14:paraId="5B826A6A">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④在“信用中国”网站上披露的仍在公示期的严重失信行为(具体行为类别及判定依据见附件2)的。</w:t>
      </w:r>
    </w:p>
    <w:p w14:paraId="01FD6886">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2、国家企业信用信息公示系统网站（</w:t>
      </w:r>
      <w:r>
        <w:rPr>
          <w:rFonts w:hint="eastAsia" w:ascii="宋体" w:hAnsi="宋体" w:eastAsia="宋体" w:cs="宋体"/>
          <w:bCs/>
          <w:color w:val="auto"/>
          <w:kern w:val="0"/>
          <w:sz w:val="24"/>
          <w:szCs w:val="24"/>
          <w:highlight w:val="none"/>
          <w:vertAlign w:val="baseline"/>
          <w:lang w:val="en-US" w:eastAsia="zh-CN" w:bidi="ar"/>
        </w:rPr>
        <w:fldChar w:fldCharType="begin"/>
      </w:r>
      <w:r>
        <w:rPr>
          <w:rFonts w:hint="eastAsia" w:ascii="宋体" w:hAnsi="宋体" w:eastAsia="宋体" w:cs="宋体"/>
          <w:bCs/>
          <w:color w:val="auto"/>
          <w:kern w:val="0"/>
          <w:sz w:val="24"/>
          <w:szCs w:val="24"/>
          <w:highlight w:val="none"/>
          <w:vertAlign w:val="baseline"/>
          <w:lang w:val="en-US" w:eastAsia="zh-CN" w:bidi="ar"/>
        </w:rPr>
        <w:instrText xml:space="preserve"> HYPERLINK "http://www.gsxt.gov.cn）查询" </w:instrText>
      </w:r>
      <w:r>
        <w:rPr>
          <w:rFonts w:hint="eastAsia" w:ascii="宋体" w:hAnsi="宋体" w:eastAsia="宋体" w:cs="宋体"/>
          <w:bCs/>
          <w:color w:val="auto"/>
          <w:kern w:val="0"/>
          <w:sz w:val="24"/>
          <w:szCs w:val="24"/>
          <w:highlight w:val="none"/>
          <w:vertAlign w:val="baseline"/>
          <w:lang w:val="en-US" w:eastAsia="zh-CN" w:bidi="ar"/>
        </w:rPr>
        <w:fldChar w:fldCharType="separate"/>
      </w:r>
      <w:r>
        <w:rPr>
          <w:rFonts w:hint="eastAsia" w:ascii="宋体" w:hAnsi="宋体" w:eastAsia="宋体" w:cs="宋体"/>
          <w:bCs/>
          <w:color w:val="auto"/>
          <w:kern w:val="0"/>
          <w:sz w:val="24"/>
          <w:szCs w:val="24"/>
          <w:highlight w:val="none"/>
          <w:vertAlign w:val="baseline"/>
          <w:lang w:val="en-US" w:eastAsia="zh-CN" w:bidi="ar"/>
        </w:rPr>
        <w:t>www.gsxt.gov.cn）</w:t>
      </w:r>
      <w:r>
        <w:rPr>
          <w:rFonts w:hint="eastAsia" w:ascii="宋体" w:hAnsi="宋体" w:eastAsia="宋体" w:cs="宋体"/>
          <w:bCs/>
          <w:color w:val="auto"/>
          <w:kern w:val="0"/>
          <w:sz w:val="24"/>
          <w:szCs w:val="24"/>
          <w:highlight w:val="none"/>
          <w:vertAlign w:val="baseline"/>
          <w:lang w:val="en-US" w:eastAsia="zh-CN" w:bidi="ar"/>
        </w:rPr>
        <w:fldChar w:fldCharType="end"/>
      </w:r>
      <w:r>
        <w:rPr>
          <w:rFonts w:hint="eastAsia" w:ascii="宋体" w:hAnsi="宋体" w:eastAsia="宋体" w:cs="宋体"/>
          <w:bCs/>
          <w:color w:val="auto"/>
          <w:kern w:val="0"/>
          <w:sz w:val="24"/>
          <w:szCs w:val="24"/>
          <w:highlight w:val="none"/>
          <w:vertAlign w:val="baseline"/>
          <w:lang w:val="en-US" w:eastAsia="zh-CN" w:bidi="ar"/>
        </w:rPr>
        <w:t>查询供应商以下失信行为：</w:t>
      </w:r>
    </w:p>
    <w:p w14:paraId="73FB16D6">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①</w:t>
      </w:r>
      <w:bookmarkStart w:id="234" w:name="OLE_LINK101"/>
      <w:bookmarkStart w:id="235" w:name="OLE_LINK102"/>
      <w:bookmarkStart w:id="236" w:name="OLE_LINK100"/>
      <w:r>
        <w:rPr>
          <w:rFonts w:hint="eastAsia" w:ascii="宋体" w:hAnsi="宋体" w:eastAsia="宋体" w:cs="宋体"/>
          <w:bCs/>
          <w:color w:val="auto"/>
          <w:kern w:val="0"/>
          <w:sz w:val="24"/>
          <w:szCs w:val="24"/>
          <w:highlight w:val="none"/>
          <w:vertAlign w:val="baseline"/>
          <w:lang w:val="en-US" w:eastAsia="zh-CN" w:bidi="ar"/>
        </w:rPr>
        <w:t>被列入“经营异常名录”或者“严重违法失信名单”的</w:t>
      </w:r>
      <w:bookmarkEnd w:id="234"/>
      <w:bookmarkEnd w:id="235"/>
      <w:bookmarkEnd w:id="236"/>
      <w:r>
        <w:rPr>
          <w:rFonts w:hint="eastAsia" w:ascii="宋体" w:hAnsi="宋体" w:eastAsia="宋体" w:cs="宋体"/>
          <w:bCs/>
          <w:color w:val="auto"/>
          <w:kern w:val="0"/>
          <w:sz w:val="24"/>
          <w:szCs w:val="24"/>
          <w:highlight w:val="none"/>
          <w:vertAlign w:val="baseline"/>
          <w:lang w:val="en-US" w:eastAsia="zh-CN" w:bidi="ar"/>
        </w:rPr>
        <w:t>。</w:t>
      </w:r>
    </w:p>
    <w:p w14:paraId="5762D90D">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3、中国政府采购网站（</w:t>
      </w:r>
      <w:bookmarkStart w:id="237" w:name="OLE_LINK96"/>
      <w:bookmarkStart w:id="238" w:name="OLE_LINK95"/>
      <w:r>
        <w:rPr>
          <w:rFonts w:hint="eastAsia" w:ascii="宋体" w:hAnsi="宋体" w:eastAsia="宋体" w:cs="宋体"/>
          <w:bCs/>
          <w:color w:val="auto"/>
          <w:kern w:val="0"/>
          <w:sz w:val="24"/>
          <w:szCs w:val="24"/>
          <w:highlight w:val="none"/>
          <w:vertAlign w:val="baseline"/>
          <w:lang w:val="en-US" w:eastAsia="zh-CN" w:bidi="ar"/>
        </w:rPr>
        <w:fldChar w:fldCharType="begin"/>
      </w:r>
      <w:r>
        <w:rPr>
          <w:rFonts w:hint="eastAsia" w:ascii="宋体" w:hAnsi="宋体" w:eastAsia="宋体" w:cs="宋体"/>
          <w:bCs/>
          <w:color w:val="auto"/>
          <w:kern w:val="0"/>
          <w:sz w:val="24"/>
          <w:szCs w:val="24"/>
          <w:highlight w:val="none"/>
          <w:vertAlign w:val="baseline"/>
          <w:lang w:val="en-US" w:eastAsia="zh-CN" w:bidi="ar"/>
        </w:rPr>
        <w:instrText xml:space="preserve"> HYPERLINK "http://www.ccgp.gov.cn" </w:instrText>
      </w:r>
      <w:r>
        <w:rPr>
          <w:rFonts w:hint="eastAsia" w:ascii="宋体" w:hAnsi="宋体" w:eastAsia="宋体" w:cs="宋体"/>
          <w:bCs/>
          <w:color w:val="auto"/>
          <w:kern w:val="0"/>
          <w:sz w:val="24"/>
          <w:szCs w:val="24"/>
          <w:highlight w:val="none"/>
          <w:vertAlign w:val="baseline"/>
          <w:lang w:val="en-US" w:eastAsia="zh-CN" w:bidi="ar"/>
        </w:rPr>
        <w:fldChar w:fldCharType="separate"/>
      </w:r>
      <w:r>
        <w:rPr>
          <w:rFonts w:hint="eastAsia" w:ascii="宋体" w:hAnsi="宋体" w:eastAsia="宋体" w:cs="宋体"/>
          <w:bCs/>
          <w:color w:val="auto"/>
          <w:kern w:val="0"/>
          <w:sz w:val="24"/>
          <w:szCs w:val="24"/>
          <w:highlight w:val="none"/>
          <w:vertAlign w:val="baseline"/>
          <w:lang w:val="en-US" w:eastAsia="zh-CN" w:bidi="ar"/>
        </w:rPr>
        <w:t>www.ccgp.gov.cn</w:t>
      </w:r>
      <w:r>
        <w:rPr>
          <w:rFonts w:hint="eastAsia" w:ascii="宋体" w:hAnsi="宋体" w:eastAsia="宋体" w:cs="宋体"/>
          <w:bCs/>
          <w:color w:val="auto"/>
          <w:kern w:val="0"/>
          <w:sz w:val="24"/>
          <w:szCs w:val="24"/>
          <w:highlight w:val="none"/>
          <w:vertAlign w:val="baseline"/>
          <w:lang w:val="en-US" w:eastAsia="zh-CN" w:bidi="ar"/>
        </w:rPr>
        <w:fldChar w:fldCharType="end"/>
      </w:r>
      <w:bookmarkEnd w:id="237"/>
      <w:bookmarkEnd w:id="238"/>
      <w:r>
        <w:rPr>
          <w:rFonts w:hint="eastAsia" w:ascii="宋体" w:hAnsi="宋体" w:eastAsia="宋体" w:cs="宋体"/>
          <w:bCs/>
          <w:color w:val="auto"/>
          <w:kern w:val="0"/>
          <w:sz w:val="24"/>
          <w:szCs w:val="24"/>
          <w:highlight w:val="none"/>
          <w:vertAlign w:val="baseline"/>
          <w:lang w:val="en-US" w:eastAsia="zh-CN" w:bidi="ar"/>
        </w:rPr>
        <w:t>）查询以下失信行为：</w:t>
      </w:r>
    </w:p>
    <w:p w14:paraId="35657655">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①</w:t>
      </w:r>
      <w:bookmarkStart w:id="239" w:name="OLE_LINK105"/>
      <w:bookmarkStart w:id="240" w:name="OLE_LINK104"/>
      <w:bookmarkStart w:id="241" w:name="OLE_LINK106"/>
      <w:r>
        <w:rPr>
          <w:rFonts w:hint="eastAsia" w:ascii="宋体" w:hAnsi="宋体" w:eastAsia="宋体" w:cs="宋体"/>
          <w:bCs/>
          <w:color w:val="auto"/>
          <w:kern w:val="0"/>
          <w:sz w:val="24"/>
          <w:szCs w:val="24"/>
          <w:highlight w:val="none"/>
          <w:vertAlign w:val="baseline"/>
          <w:lang w:val="en-US" w:eastAsia="zh-CN" w:bidi="ar"/>
        </w:rPr>
        <w:t>被列入“政府采购严重违法失信行为信息记录”的</w:t>
      </w:r>
      <w:bookmarkEnd w:id="239"/>
      <w:bookmarkEnd w:id="240"/>
      <w:bookmarkEnd w:id="241"/>
      <w:r>
        <w:rPr>
          <w:rFonts w:hint="eastAsia" w:ascii="宋体" w:hAnsi="宋体" w:eastAsia="宋体" w:cs="宋体"/>
          <w:bCs/>
          <w:color w:val="auto"/>
          <w:kern w:val="0"/>
          <w:sz w:val="24"/>
          <w:szCs w:val="24"/>
          <w:highlight w:val="none"/>
          <w:vertAlign w:val="baseline"/>
          <w:lang w:val="en-US" w:eastAsia="zh-CN" w:bidi="ar"/>
        </w:rPr>
        <w:t>。</w:t>
      </w:r>
    </w:p>
    <w:p w14:paraId="355AE9E0">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4、由竞争主体进行承诺，不进行现场网上信用查询的失信行为：</w:t>
      </w:r>
    </w:p>
    <w:p w14:paraId="3E48D7D0">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①前三年有行贿犯罪行为的单位和个人。</w:t>
      </w:r>
    </w:p>
    <w:p w14:paraId="22AA7A8B">
      <w:pPr>
        <w:keepNext w:val="0"/>
        <w:keepLines w:val="0"/>
        <w:widowControl/>
        <w:suppressLineNumbers w:val="0"/>
        <w:autoSpaceDE w:val="0"/>
        <w:autoSpaceDN/>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二、在开评标活动中的查询程序</w:t>
      </w:r>
    </w:p>
    <w:p w14:paraId="68D6BCFF">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74F08785">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3EA23AE8">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3、项目单位及其委托的代理机构应当做好信用查询结果截图和记录留存。</w:t>
      </w:r>
    </w:p>
    <w:p w14:paraId="45F2A111">
      <w:pPr>
        <w:keepNext w:val="0"/>
        <w:keepLines w:val="0"/>
        <w:widowControl/>
        <w:suppressLineNumbers w:val="0"/>
        <w:autoSpaceDE w:val="0"/>
        <w:autoSpaceDN/>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三、相关要求</w:t>
      </w:r>
    </w:p>
    <w:p w14:paraId="066102AD">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1、参与公共资源交易活动的竞争主体根据上述范围查询的内容进行自查并承诺，出具《诚信投标承诺书》（诚信投标承诺书包括但不限于上述自查并承诺内容）并注明承诺日期（投标截止时间前5日内）。</w:t>
      </w:r>
    </w:p>
    <w:p w14:paraId="2AFB92E5">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lang w:val="en-US" w:eastAsia="zh-CN" w:bidi="ar"/>
        </w:rPr>
      </w:pPr>
      <w:r>
        <w:rPr>
          <w:rFonts w:hint="eastAsia" w:ascii="宋体" w:hAnsi="宋体" w:eastAsia="宋体" w:cs="宋体"/>
          <w:bCs/>
          <w:color w:val="auto"/>
          <w:kern w:val="0"/>
          <w:sz w:val="24"/>
          <w:szCs w:val="24"/>
          <w:highlight w:val="none"/>
          <w:vertAlign w:val="baseline"/>
          <w:lang w:val="en-US" w:eastAsia="zh-CN" w:bidi="ar"/>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3EA033BB">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2"/>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https://credit.ah.gov.cn/xinyong-fuwu/xvbahv/index.html)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46ED5839">
      <w:pPr>
        <w:keepNext w:val="0"/>
        <w:keepLines w:val="0"/>
        <w:widowControl/>
        <w:suppressLineNumbers w:val="0"/>
        <w:autoSpaceDE w:val="0"/>
        <w:autoSpaceDN/>
        <w:spacing w:before="0" w:beforeAutospacing="0" w:after="0" w:afterAutospacing="0" w:line="520" w:lineRule="exact"/>
        <w:ind w:left="0" w:right="0" w:firstLine="482" w:firstLineChars="200"/>
        <w:jc w:val="both"/>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2、“信用中国”查询的严重失信行为判定依据为各行业主管部门下发的联合惩戒文件中规定的行为（按附件2执行）。</w:t>
      </w:r>
    </w:p>
    <w:p w14:paraId="01F2D47F">
      <w:pPr>
        <w:keepNext w:val="0"/>
        <w:keepLines w:val="0"/>
        <w:widowControl/>
        <w:suppressLineNumbers w:val="0"/>
        <w:autoSpaceDE w:val="0"/>
        <w:autoSpaceDN/>
        <w:spacing w:before="0" w:beforeAutospacing="0" w:after="0" w:afterAutospacing="0" w:line="520" w:lineRule="exact"/>
        <w:ind w:left="0" w:right="0" w:firstLine="480" w:firstLineChars="200"/>
        <w:jc w:val="both"/>
        <w:textAlignment w:val="baseline"/>
        <w:rPr>
          <w:rFonts w:hint="eastAsia" w:ascii="宋体" w:hAnsi="宋体" w:eastAsia="宋体" w:cs="宋体"/>
          <w:bCs/>
          <w:color w:val="auto"/>
          <w:kern w:val="0"/>
          <w:sz w:val="24"/>
          <w:szCs w:val="24"/>
          <w:highlight w:val="none"/>
          <w:vertAlign w:val="baseline"/>
        </w:rPr>
      </w:pPr>
      <w:r>
        <w:rPr>
          <w:rFonts w:hint="eastAsia" w:ascii="宋体" w:hAnsi="宋体" w:eastAsia="宋体" w:cs="宋体"/>
          <w:bCs/>
          <w:color w:val="auto"/>
          <w:kern w:val="0"/>
          <w:sz w:val="24"/>
          <w:szCs w:val="24"/>
          <w:highlight w:val="none"/>
          <w:vertAlign w:val="baseline"/>
          <w:lang w:val="en-US" w:eastAsia="zh-CN" w:bidi="ar"/>
        </w:rPr>
        <w:t>3、资格预审的项目以递交资格预审申请文件截止时间查询为准；资格后审的项目以递交投标文件截止时间查询为准。</w:t>
      </w:r>
    </w:p>
    <w:p w14:paraId="622EF38B">
      <w:pPr>
        <w:keepNext w:val="0"/>
        <w:keepLines w:val="0"/>
        <w:widowControl w:val="0"/>
        <w:suppressLineNumbers w:val="0"/>
        <w:spacing w:before="0" w:beforeAutospacing="0" w:after="0" w:afterAutospacing="0" w:line="440" w:lineRule="exact"/>
        <w:ind w:left="0" w:right="0"/>
        <w:jc w:val="both"/>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r>
        <w:rPr>
          <w:rFonts w:hint="eastAsia" w:ascii="Times New Roman" w:hAnsi="Times New Roman" w:eastAsia="宋体" w:cs="Times New Roman"/>
          <w:color w:val="auto"/>
          <w:kern w:val="2"/>
          <w:sz w:val="21"/>
          <w:szCs w:val="21"/>
          <w:highlight w:val="none"/>
          <w:lang w:val="en-US" w:eastAsia="zh-CN" w:bidi="ar"/>
        </w:rPr>
        <w:t xml:space="preserve"> </w:t>
      </w:r>
      <w:r>
        <w:rPr>
          <w:rFonts w:hint="eastAsia" w:ascii="宋体" w:hAnsi="宋体" w:eastAsia="宋体" w:cs="宋体"/>
          <w:b/>
          <w:bCs w:val="0"/>
          <w:color w:val="auto"/>
          <w:kern w:val="2"/>
          <w:sz w:val="24"/>
          <w:szCs w:val="24"/>
          <w:highlight w:val="none"/>
          <w:lang w:val="en-US" w:eastAsia="zh-CN" w:bidi="ar"/>
        </w:rPr>
        <w:br w:type="page"/>
      </w:r>
      <w:r>
        <w:rPr>
          <w:rFonts w:hint="eastAsia" w:ascii="宋体" w:hAnsi="宋体" w:eastAsia="宋体" w:cs="宋体"/>
          <w:b/>
          <w:bCs w:val="0"/>
          <w:color w:val="auto"/>
          <w:kern w:val="2"/>
          <w:sz w:val="24"/>
          <w:szCs w:val="24"/>
          <w:highlight w:val="none"/>
          <w:lang w:val="en-US" w:eastAsia="zh-CN" w:bidi="ar"/>
        </w:rPr>
        <w:t>附件</w:t>
      </w:r>
      <w:r>
        <w:rPr>
          <w:rFonts w:hint="default" w:ascii="Times New Roman" w:hAnsi="Times New Roman" w:eastAsia="宋体" w:cs="Times New Roman"/>
          <w:b/>
          <w:bCs w:val="0"/>
          <w:color w:val="auto"/>
          <w:kern w:val="2"/>
          <w:sz w:val="24"/>
          <w:szCs w:val="24"/>
          <w:highlight w:val="none"/>
          <w:lang w:val="en-US" w:eastAsia="zh-CN" w:bidi="ar"/>
        </w:rPr>
        <w:t>2</w:t>
      </w:r>
    </w:p>
    <w:p w14:paraId="13C84D27">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“信用中国”查询的严重失信行为类别及判定依据</w:t>
      </w:r>
    </w:p>
    <w:p w14:paraId="2AFB8C56">
      <w:pPr>
        <w:keepNext w:val="0"/>
        <w:keepLines w:val="0"/>
        <w:widowControl w:val="0"/>
        <w:suppressLineNumbers w:val="0"/>
        <w:spacing w:before="0" w:beforeAutospacing="0" w:after="0" w:afterAutospacing="0" w:line="440" w:lineRule="exact"/>
        <w:ind w:left="0" w:right="0"/>
        <w:jc w:val="center"/>
        <w:rPr>
          <w:rFonts w:hint="eastAsia" w:ascii="宋体" w:hAnsi="宋体" w:eastAsia="宋体" w:cs="宋体"/>
          <w:b/>
          <w:bCs w:val="0"/>
          <w:color w:val="auto"/>
          <w:kern w:val="2"/>
          <w:sz w:val="24"/>
          <w:szCs w:val="24"/>
          <w:highlight w:val="none"/>
        </w:rPr>
      </w:pPr>
      <w:r>
        <w:rPr>
          <w:rFonts w:hint="eastAsia" w:ascii="宋体" w:hAnsi="宋体" w:eastAsia="宋体" w:cs="宋体"/>
          <w:b/>
          <w:bCs w:val="0"/>
          <w:color w:val="auto"/>
          <w:kern w:val="2"/>
          <w:sz w:val="24"/>
          <w:szCs w:val="24"/>
          <w:highlight w:val="none"/>
          <w:lang w:val="en-US" w:eastAsia="zh-CN" w:bidi="ar"/>
        </w:rPr>
        <w:t xml:space="preserve"> </w:t>
      </w:r>
    </w:p>
    <w:p w14:paraId="2B4B5F73">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“信用中国”查询的严重失信行为判定依据为各行业主管部门下发的联合惩戒文件中规定的行为。下面将部分类别的严重失信行为列举如下：</w:t>
      </w:r>
    </w:p>
    <w:p w14:paraId="0D69A1ED">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一、安全生产领域严重失信行为：</w:t>
      </w:r>
    </w:p>
    <w:p w14:paraId="6123C66A">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（一）下列发生生产安全事故的生产经营单位及其有关人员应当列入严重失信主体名单：</w:t>
      </w:r>
    </w:p>
    <w:p w14:paraId="20DDB535">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1、发生特别重大、重大生产安全事故的生产经营单位及其主要负责人，以及经调查认定对该事故发生负有责任，应当列入名单的其他单位和人员；</w:t>
      </w:r>
    </w:p>
    <w:p w14:paraId="1085019E">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2、12个月内累计发生2起以上较大生产安全事故的生产经营单位及其主要负责人；</w:t>
      </w:r>
    </w:p>
    <w:p w14:paraId="4D93404E">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3、发生生产安全事故，情节特别严重、影响特别恶劣，依照《中华人民共和国安全生产法》第一百一十四条的规定被处以罚款数额2倍以上5倍以下罚款的生产经营单位及其主要负责人；</w:t>
      </w:r>
    </w:p>
    <w:p w14:paraId="57F95552">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4、瞒报、谎报生产安全事故的生产经营单位及其有关责任人员；</w:t>
      </w:r>
    </w:p>
    <w:p w14:paraId="5EB3ACB0">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5、发生生产安全事故后，不立即组织抢救或者在事故调查处理期间擅离职守或者逃匿的生产经营单位主要负责人。</w:t>
      </w:r>
    </w:p>
    <w:p w14:paraId="23B7D869">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（二）下列未发生生产安全事故，但因安全生产违法行为，受到行政处罚的生产经营单位或者机构及其有关人员，应当列入严重失信主体名单：</w:t>
      </w:r>
    </w:p>
    <w:p w14:paraId="59165439">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1、未依法取得安全生产相关许可或者许可被暂扣、吊销期间从事相关生产经营活动的生产经营单位及其主要负责人；</w:t>
      </w:r>
    </w:p>
    <w:p w14:paraId="55FC1063">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2、承担安全评价、认证、检测、检验职责的机构及其直接责任人员租借资质、挂靠、出具虚假报告或者证书的；</w:t>
      </w:r>
    </w:p>
    <w:p w14:paraId="71020CA9">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3、在应急管理部门作出行政处罚后，有执行能力拒不执行或者逃避执行的生产经营单位及其主要负责人；</w:t>
      </w:r>
    </w:p>
    <w:p w14:paraId="6EFAA957">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4、其他违反安全生产法律法规受到行政处罚，且性质恶劣、情节严重的。</w:t>
      </w:r>
    </w:p>
    <w:p w14:paraId="4429B76F">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依据：《安全生产严重失信主体名单管理办法》（2023年8月8日应急管理部令第11号）</w:t>
      </w:r>
    </w:p>
    <w:p w14:paraId="7C158083">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Times New Roman"/>
          <w:b/>
          <w:bCs/>
          <w:color w:val="auto"/>
          <w:kern w:val="0"/>
          <w:sz w:val="24"/>
          <w:szCs w:val="24"/>
          <w:highlight w:val="none"/>
          <w:vertAlign w:val="baseline"/>
          <w:lang w:val="en-US" w:eastAsia="zh-CN" w:bidi="ar"/>
        </w:rPr>
        <w:t xml:space="preserve"> </w:t>
      </w:r>
    </w:p>
    <w:p w14:paraId="48958011">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二、环境保护领域严重失信行为：</w:t>
      </w:r>
    </w:p>
    <w:p w14:paraId="56D3DA83">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（一）因为环境违法构成环境犯罪的；</w:t>
      </w:r>
    </w:p>
    <w:p w14:paraId="538FB4FD">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（二）建设项目环境影响评价文件未按规定通过审批，擅自开工建设的；</w:t>
      </w:r>
    </w:p>
    <w:p w14:paraId="251566B3">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（三）建设项目环保设施未建成、环保措施未落实、未通过竣工环保验收或者验收不合格，主体工程正式投入生产或者使用的；</w:t>
      </w:r>
    </w:p>
    <w:p w14:paraId="0E6234D5">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（四）建设项目性质、规模、地点、采用的生产工艺或者防治污染、防止生态破坏的措施发生重大变动，未重新报批环境影响评价文件，擅自投入生产或者使用的；</w:t>
      </w:r>
    </w:p>
    <w:p w14:paraId="6E1A6BE5">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（五）主要污染物排放总量超过控制指标的；</w:t>
      </w:r>
    </w:p>
    <w:p w14:paraId="4AC78711">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（六）私设暗管或者利用渗井、渗坑、裂隙、溶洞等排放、倾倒、处置水污染物，或者通过私设旁路排放大气污染物的；</w:t>
      </w:r>
    </w:p>
    <w:p w14:paraId="7AF8AA41">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（七）非法排放、倾倒、处置危险废物，或者向无经营许可证或者超出经营许可范围的单位或个人提供或者委托其收集、贮存、利用、处置危险废物的；</w:t>
      </w:r>
    </w:p>
    <w:p w14:paraId="2D5B2D6C">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（八）环境违法行为造成集中式生活饮用水水源取水中断的；</w:t>
      </w:r>
    </w:p>
    <w:p w14:paraId="19FC6628">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（九）环境违法行为对生活饮用水水源保护区、自然保护区、国家重点生态功能区、风景名胜区、居住功能区、基本农田保护区等环境敏感区造成重大不利影响的；</w:t>
      </w:r>
    </w:p>
    <w:p w14:paraId="6C8225EC">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（十）违法从事自然资源开发、交通基础设施建设，以及其他开发建设活动，造成严重生态破坏的；</w:t>
      </w:r>
    </w:p>
    <w:p w14:paraId="6E84B9D3">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（十一）发生较大及以上突发环境事件的；</w:t>
      </w:r>
    </w:p>
    <w:p w14:paraId="26BD7622">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（十二）被环保部门挂牌督办，整改逾期未完成的；</w:t>
      </w:r>
    </w:p>
    <w:p w14:paraId="6ED0D6E2">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（十三）以暴力、威胁等方式拒绝、阻挠环保部门工作人员现场检查的；</w:t>
      </w:r>
    </w:p>
    <w:p w14:paraId="33D95365">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（十四）违反重污染天气应急预案有关规定，对重污染天气响应不力的。</w:t>
      </w:r>
    </w:p>
    <w:p w14:paraId="6F045EED">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依据：《关于对环境保护领域失信生产经营单位及其有关人员开展联合惩戒的合作备忘录》、《企业环境信用评价办法（试行）》（环发〔2013〕150号）</w:t>
      </w:r>
    </w:p>
    <w:p w14:paraId="25EA1BEF">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Times New Roman"/>
          <w:b/>
          <w:bCs/>
          <w:color w:val="auto"/>
          <w:kern w:val="0"/>
          <w:sz w:val="24"/>
          <w:szCs w:val="24"/>
          <w:highlight w:val="none"/>
          <w:vertAlign w:val="baseline"/>
          <w:lang w:val="en-US" w:eastAsia="zh-CN" w:bidi="ar"/>
        </w:rPr>
        <w:t xml:space="preserve"> </w:t>
      </w:r>
    </w:p>
    <w:p w14:paraId="71A9E2FA">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三、公共资源交易领域严重失信行为</w:t>
      </w:r>
    </w:p>
    <w:p w14:paraId="19F43FBF">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（一）违反法律规定，必须进行招标的项目而不招标的，将必须进行招标的项目化整为零或者以其他任何方式规避招标的； </w:t>
      </w:r>
    </w:p>
    <w:p w14:paraId="1172A5A0">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（二）招标代理机构违反法律规定，泄露应当保密的与招标投标活动有关的情况和资料的，或者与招标人、投标人串通损害 国家利益、社会公共利益或者他人合法权益的；</w:t>
      </w:r>
    </w:p>
    <w:p w14:paraId="2BF1CAB6">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（三）招标人以不合理的条件限制或者排斥潜在投标人的，对潜在投标人实行歧视待遇的，强制要求投标人组成联合体共同 投标的，或者限制投标人之间竞争的；</w:t>
      </w:r>
    </w:p>
    <w:p w14:paraId="4BC16798">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（四）依法必须进行招标的项目的招标人向他人透露已获取招标文件的潜在投标人的名称、数量或者可能影响公平竞争的有 关招标投标的其他情况的，或者泄露标底的；</w:t>
      </w:r>
    </w:p>
    <w:p w14:paraId="002201D5">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（五）投标人相互串通投标或者与招标人串通投标的，投标人以向招标人或者评标委员会成员行贿的手段谋取中标的； </w:t>
      </w:r>
    </w:p>
    <w:p w14:paraId="1CB1E551">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（六）投标人以他人名义投标或者以其他方式弄虚作假，骗取中标的；</w:t>
      </w:r>
    </w:p>
    <w:p w14:paraId="4C73FC62">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（七）依法必须进行招标的项目，招标人违反法律规定，与投标人就投标价格、投标方案等实质性内容进行谈判的；</w:t>
      </w:r>
    </w:p>
    <w:p w14:paraId="01DAD9B1">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7E645CB6">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（九）招标人在评标委员会依法推荐的中标候选人以外确定中标人的，依法必须进行招标的项目在所有投标被评标委员会否 决后自行确定中标人的； </w:t>
      </w:r>
    </w:p>
    <w:p w14:paraId="5F338613">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（十）中标人将中标项目转让给他人的，将中标项目肢解后分别转让给他人的，违反法律规定将中标项目的部分主体、关键 性工作分包给他人的，或者分包人再次分包的； </w:t>
      </w:r>
    </w:p>
    <w:p w14:paraId="57982861">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（十一）招标人与中标人不按照招标文件和中标人的投标文件订立合同的，或者招标人、中标人订立背离合同实质性内容的 协议的； </w:t>
      </w:r>
    </w:p>
    <w:p w14:paraId="7F9F67D5">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（十二）中标人不按照与招标人订立的合同履行义务，情节严重的； </w:t>
      </w:r>
    </w:p>
    <w:p w14:paraId="5398A889">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70375502">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029A4F35">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（十五）采购人对应当实行集中采购的政府采购项目，不委托集中采购机构实行集中采购的； </w:t>
      </w:r>
    </w:p>
    <w:p w14:paraId="2DE6C357">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（十六）采购人、采购代理机构违反法律规定隐匿、销毁应当保存的采购文件或者伪造、变造采购文件的； </w:t>
      </w:r>
    </w:p>
    <w:p w14:paraId="61012D9F">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2A2FA615">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（十八）疫苗生产企业向县级疾病预防控制机构以外的单位或者个人销售第二类疫苗的； </w:t>
      </w:r>
    </w:p>
    <w:p w14:paraId="0F71A2B9">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Times New Roman"/>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（十九）存在其他违反公共资源交易法律法规行为的。</w:t>
      </w:r>
    </w:p>
    <w:p w14:paraId="2C2BEE01">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依据：《关于对公共资源交易领域严重失信主体开展联合惩戒的备忘录》（发改法规〔2018〕457号）</w:t>
      </w:r>
    </w:p>
    <w:p w14:paraId="47919D78">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63497E43">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四、社会保险领域严重失信行为</w:t>
      </w:r>
    </w:p>
    <w:p w14:paraId="6DEF5A5B">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（一）用人单位未按相关规定参加社会保险且拒不整改的； </w:t>
      </w:r>
    </w:p>
    <w:p w14:paraId="71AA5D80">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（二）用人单位未如实申报社会保险缴费基数且拒不整改的； </w:t>
      </w:r>
    </w:p>
    <w:p w14:paraId="63A2FDCA">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（三）应缴纳社会保险费却拒不缴纳的； </w:t>
      </w:r>
    </w:p>
    <w:p w14:paraId="287D41F3">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（四）隐匿、转移、侵占、挪用社会保险费款、基金或者违规投资运营的；</w:t>
      </w:r>
    </w:p>
    <w:p w14:paraId="49F52FA2">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（五）以欺诈、伪造证明材料或者其他手段参加、申报社会保险和骗取社会保险基金支出或社会保险待遇的； </w:t>
      </w:r>
    </w:p>
    <w:p w14:paraId="11EB6629">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（六）非法获取、出售或变相交易社会保险个人权益数据的； </w:t>
      </w:r>
    </w:p>
    <w:p w14:paraId="10984AC4">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（七）社会保险服务机构违反服务协议或相关规定的； </w:t>
      </w:r>
    </w:p>
    <w:p w14:paraId="07698347">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 xml:space="preserve">（八）拒绝协助社会保险行政部门、经办机构对事故和问题进 行调查核实的；拒绝接受或协助税务部门对社会保险实施监督检查， 不如实提供与社会保险相关各项资料的； </w:t>
      </w:r>
    </w:p>
    <w:p w14:paraId="18EFFC53">
      <w:pPr>
        <w:keepNext w:val="0"/>
        <w:keepLines w:val="0"/>
        <w:widowControl/>
        <w:suppressLineNumbers w:val="0"/>
        <w:autoSpaceDE w:val="0"/>
        <w:autoSpaceDN/>
        <w:spacing w:before="0" w:beforeAutospacing="0" w:after="0" w:afterAutospacing="0" w:line="480" w:lineRule="exact"/>
        <w:ind w:left="0" w:leftChars="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（九）其他违反法律法规规定的。</w:t>
      </w:r>
    </w:p>
    <w:p w14:paraId="29D96382">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依据：《关于对社会保险领域严重失信企业及其有关人员实施联合惩戒的合作备忘录》（发改财金〔2018〕1704号）</w:t>
      </w:r>
    </w:p>
    <w:p w14:paraId="1FD8B352">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0F4A0834">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五、建筑市场领域严重失信行为</w:t>
      </w:r>
    </w:p>
    <w:p w14:paraId="07300770">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（一）利用虚假材料、以欺骗手段取得企业资质的；</w:t>
      </w:r>
    </w:p>
    <w:p w14:paraId="0936A8E5">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（二）发生转包、出借资质，受到行政处罚的；</w:t>
      </w:r>
    </w:p>
    <w:p w14:paraId="2F972BCE">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（三）发生重大及以上工程质量安全事故，或1年内累计发生2次及以上较大工程质量安全事故，或发生性质恶劣、危害性严重、社会影响大的较大工程质量安全事故，受到行政处罚的；</w:t>
      </w:r>
    </w:p>
    <w:p w14:paraId="545D4CFC">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（四）经法院判决或仲裁机构裁决，认定为拖欠工程款,且拒不履行生效法律文书确定的义务的。</w:t>
      </w:r>
    </w:p>
    <w:p w14:paraId="02B4D084">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各级住房城乡建设主管部门应当参照建筑市场主体“黑名单”，对被人力资源社会保障行政部门列入拖欠农民工工资“黑名单”的建筑市场各方主体加强监管。</w:t>
      </w:r>
    </w:p>
    <w:p w14:paraId="09AFFCDE">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依据：《建筑市场信用管理暂行办法》（建市〔2017〕241号）</w:t>
      </w:r>
    </w:p>
    <w:p w14:paraId="05B4A8BB">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 xml:space="preserve"> </w:t>
      </w:r>
    </w:p>
    <w:p w14:paraId="3A4E53C8">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color w:val="auto"/>
          <w:kern w:val="2"/>
          <w:sz w:val="24"/>
          <w:szCs w:val="24"/>
          <w:highlight w:val="none"/>
          <w:vertAlign w:val="baseline"/>
        </w:rPr>
      </w:pPr>
      <w:r>
        <w:rPr>
          <w:rFonts w:hint="eastAsia" w:ascii="宋体" w:hAnsi="宋体" w:eastAsia="宋体" w:cs="宋体"/>
          <w:b/>
          <w:bCs/>
          <w:color w:val="auto"/>
          <w:kern w:val="0"/>
          <w:sz w:val="24"/>
          <w:szCs w:val="24"/>
          <w:highlight w:val="none"/>
          <w:vertAlign w:val="baseline"/>
          <w:lang w:val="en-US" w:eastAsia="zh-CN" w:bidi="ar"/>
        </w:rPr>
        <w:t>六、政府采购严重失信行为</w:t>
      </w:r>
    </w:p>
    <w:p w14:paraId="54F19CF7">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供应商、采购代理机构在三年内受到财政部门作出下列情形之一的行政处罚，列入政府采购严重违法失信行为记录名单。</w:t>
      </w:r>
    </w:p>
    <w:p w14:paraId="7BF0ED98">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（一）三万元以上罚款；</w:t>
      </w:r>
    </w:p>
    <w:p w14:paraId="26227FBB">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（二）在一至三年内禁止参加政府采购活动（处罚期限届满的除外）；</w:t>
      </w:r>
    </w:p>
    <w:p w14:paraId="25BF2721">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（三）在一至三年内禁止代理政府采购业务（处罚期限届满的除外）；</w:t>
      </w:r>
    </w:p>
    <w:p w14:paraId="26D4BDC4">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Times New Roman"/>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（四）撤销政府采购代理机构资格（仅针对《政府采购法》第78条修改前作出的处罚决定）。</w:t>
      </w:r>
    </w:p>
    <w:p w14:paraId="7BE44862">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Times New Roman"/>
          <w:b/>
          <w:bCs w:val="0"/>
          <w:color w:val="auto"/>
          <w:kern w:val="2"/>
          <w:sz w:val="24"/>
          <w:szCs w:val="24"/>
          <w:highlight w:val="none"/>
          <w:vertAlign w:val="baseline"/>
        </w:rPr>
      </w:pPr>
      <w:r>
        <w:rPr>
          <w:rFonts w:hint="eastAsia" w:ascii="宋体" w:hAnsi="宋体" w:eastAsia="宋体" w:cs="宋体"/>
          <w:b/>
          <w:bCs w:val="0"/>
          <w:color w:val="auto"/>
          <w:kern w:val="0"/>
          <w:sz w:val="24"/>
          <w:szCs w:val="24"/>
          <w:highlight w:val="none"/>
          <w:vertAlign w:val="baseline"/>
          <w:lang w:val="en-US" w:eastAsia="zh-CN" w:bidi="ar"/>
        </w:rPr>
        <w:t>依据：《关于报送政府采购严重违法失信行为信息记录的通知》（财办库〔2014〕526号）</w:t>
      </w:r>
    </w:p>
    <w:p w14:paraId="4F55D610">
      <w:pPr>
        <w:keepNext w:val="0"/>
        <w:keepLines w:val="0"/>
        <w:widowControl/>
        <w:suppressLineNumbers w:val="0"/>
        <w:autoSpaceDE w:val="0"/>
        <w:autoSpaceDN/>
        <w:spacing w:before="0" w:beforeAutospacing="0" w:after="0" w:afterAutospacing="0" w:line="480" w:lineRule="exact"/>
        <w:ind w:left="0" w:right="0" w:firstLine="480" w:firstLineChars="200"/>
        <w:jc w:val="left"/>
        <w:textAlignment w:val="baseline"/>
        <w:rPr>
          <w:rFonts w:hint="eastAsia" w:ascii="宋体" w:hAnsi="宋体" w:eastAsia="宋体" w:cs="宋体"/>
          <w:color w:val="auto"/>
          <w:kern w:val="2"/>
          <w:sz w:val="24"/>
          <w:szCs w:val="24"/>
          <w:highlight w:val="none"/>
          <w:vertAlign w:val="baseline"/>
        </w:rPr>
      </w:pPr>
      <w:r>
        <w:rPr>
          <w:rFonts w:hint="eastAsia" w:ascii="宋体" w:hAnsi="宋体" w:eastAsia="宋体" w:cs="宋体"/>
          <w:color w:val="auto"/>
          <w:kern w:val="0"/>
          <w:sz w:val="24"/>
          <w:szCs w:val="24"/>
          <w:highlight w:val="none"/>
          <w:vertAlign w:val="baseline"/>
          <w:lang w:val="en-US" w:eastAsia="zh-CN" w:bidi="ar"/>
        </w:rPr>
        <w:t xml:space="preserve"> </w:t>
      </w:r>
    </w:p>
    <w:p w14:paraId="784B56B1">
      <w:pPr>
        <w:keepNext w:val="0"/>
        <w:keepLines w:val="0"/>
        <w:widowControl/>
        <w:suppressLineNumbers w:val="0"/>
        <w:autoSpaceDE w:val="0"/>
        <w:autoSpaceDN/>
        <w:spacing w:before="0" w:beforeAutospacing="0" w:after="0" w:afterAutospacing="0" w:line="480" w:lineRule="exact"/>
        <w:ind w:left="0" w:right="0" w:firstLine="482" w:firstLineChars="200"/>
        <w:jc w:val="left"/>
        <w:textAlignment w:val="baseline"/>
        <w:rPr>
          <w:rFonts w:hint="eastAsia" w:ascii="宋体" w:hAnsi="宋体" w:eastAsia="宋体" w:cs="宋体"/>
          <w:b/>
          <w:bCs w:val="0"/>
          <w:color w:val="auto"/>
          <w:kern w:val="0"/>
          <w:sz w:val="24"/>
          <w:szCs w:val="24"/>
          <w:highlight w:val="none"/>
          <w:vertAlign w:val="baseline"/>
          <w:lang w:val="en-US" w:eastAsia="zh-CN" w:bidi="ar"/>
        </w:rPr>
      </w:pPr>
      <w:r>
        <w:rPr>
          <w:rFonts w:hint="eastAsia" w:ascii="宋体" w:hAnsi="宋体" w:eastAsia="宋体" w:cs="宋体"/>
          <w:b/>
          <w:bCs w:val="0"/>
          <w:color w:val="auto"/>
          <w:kern w:val="0"/>
          <w:sz w:val="24"/>
          <w:szCs w:val="24"/>
          <w:highlight w:val="none"/>
          <w:vertAlign w:val="baseline"/>
          <w:lang w:val="en-US" w:eastAsia="zh-CN" w:bidi="ar"/>
        </w:rPr>
        <w:t>未列出的其他类别严重失信行为，由招标人（代理机构）根据各类别行业主管部门下发的联合惩戒文件进行判断。</w:t>
      </w:r>
    </w:p>
    <w:p w14:paraId="1425390C">
      <w:pPr>
        <w:spacing w:line="360" w:lineRule="auto"/>
        <w:jc w:val="center"/>
        <w:outlineLvl w:val="0"/>
        <w:rPr>
          <w:rFonts w:hint="eastAsia" w:ascii="宋体" w:hAnsi="宋体" w:eastAsia="宋体"/>
          <w:b/>
          <w:bCs/>
          <w:color w:val="auto"/>
          <w:sz w:val="28"/>
          <w:highlight w:val="none"/>
        </w:rPr>
      </w:pPr>
    </w:p>
    <w:p w14:paraId="66919D24">
      <w:pPr>
        <w:spacing w:line="360" w:lineRule="auto"/>
        <w:jc w:val="center"/>
        <w:outlineLvl w:val="0"/>
        <w:rPr>
          <w:rFonts w:hint="eastAsia" w:ascii="宋体" w:hAnsi="宋体" w:eastAsia="宋体"/>
          <w:b/>
          <w:bCs/>
          <w:color w:val="auto"/>
          <w:sz w:val="28"/>
          <w:highlight w:val="none"/>
        </w:rPr>
      </w:pPr>
    </w:p>
    <w:p w14:paraId="7F3D3922">
      <w:pPr>
        <w:rPr>
          <w:rFonts w:hint="eastAsia" w:ascii="宋体" w:hAnsi="宋体" w:eastAsia="宋体"/>
          <w:b/>
          <w:bCs/>
          <w:color w:val="auto"/>
          <w:sz w:val="28"/>
          <w:highlight w:val="none"/>
        </w:rPr>
      </w:pPr>
      <w:r>
        <w:rPr>
          <w:rFonts w:hint="eastAsia" w:ascii="宋体" w:hAnsi="宋体" w:eastAsia="宋体"/>
          <w:b/>
          <w:bCs/>
          <w:color w:val="auto"/>
          <w:sz w:val="28"/>
          <w:highlight w:val="none"/>
        </w:rPr>
        <w:br w:type="page"/>
      </w:r>
    </w:p>
    <w:p w14:paraId="5EC24F74">
      <w:pPr>
        <w:spacing w:line="360" w:lineRule="auto"/>
        <w:jc w:val="center"/>
        <w:outlineLvl w:val="0"/>
        <w:rPr>
          <w:rFonts w:ascii="宋体" w:hAnsi="宋体" w:eastAsia="宋体"/>
          <w:b/>
          <w:bCs/>
          <w:color w:val="auto"/>
          <w:sz w:val="28"/>
          <w:highlight w:val="none"/>
        </w:rPr>
      </w:pPr>
      <w:bookmarkStart w:id="242" w:name="_Toc7345"/>
      <w:r>
        <w:rPr>
          <w:rFonts w:hint="eastAsia" w:ascii="宋体" w:hAnsi="宋体" w:eastAsia="宋体"/>
          <w:b/>
          <w:bCs/>
          <w:color w:val="auto"/>
          <w:sz w:val="28"/>
          <w:highlight w:val="none"/>
        </w:rPr>
        <w:t>第</w:t>
      </w:r>
      <w:r>
        <w:rPr>
          <w:rFonts w:hint="eastAsia" w:ascii="宋体" w:hAnsi="宋体" w:eastAsia="宋体"/>
          <w:b/>
          <w:bCs/>
          <w:color w:val="auto"/>
          <w:sz w:val="28"/>
          <w:highlight w:val="none"/>
          <w:lang w:val="en-US" w:eastAsia="zh-CN"/>
        </w:rPr>
        <w:t>七</w:t>
      </w:r>
      <w:r>
        <w:rPr>
          <w:rFonts w:hint="eastAsia" w:ascii="宋体" w:hAnsi="宋体" w:eastAsia="宋体"/>
          <w:b/>
          <w:bCs/>
          <w:color w:val="auto"/>
          <w:sz w:val="28"/>
          <w:highlight w:val="none"/>
        </w:rPr>
        <w:t>章  政府采购</w:t>
      </w:r>
      <w:bookmarkEnd w:id="232"/>
      <w:r>
        <w:rPr>
          <w:rFonts w:hint="eastAsia" w:asciiTheme="minorEastAsia" w:hAnsiTheme="minorEastAsia" w:eastAsiaTheme="minorEastAsia"/>
          <w:b/>
          <w:color w:val="auto"/>
          <w:sz w:val="28"/>
          <w:highlight w:val="none"/>
        </w:rPr>
        <w:t>供应</w:t>
      </w:r>
      <w:r>
        <w:rPr>
          <w:rFonts w:hint="eastAsia" w:ascii="宋体" w:hAnsi="宋体" w:eastAsia="宋体"/>
          <w:b/>
          <w:bCs/>
          <w:color w:val="auto"/>
          <w:sz w:val="28"/>
          <w:highlight w:val="none"/>
        </w:rPr>
        <w:t>商询问函和质疑函范本</w:t>
      </w:r>
      <w:bookmarkEnd w:id="233"/>
      <w:bookmarkEnd w:id="242"/>
    </w:p>
    <w:p w14:paraId="6178FDF3">
      <w:pPr>
        <w:spacing w:line="360" w:lineRule="auto"/>
        <w:jc w:val="center"/>
        <w:outlineLvl w:val="1"/>
        <w:rPr>
          <w:rFonts w:ascii="仿宋" w:hAnsi="仿宋" w:eastAsia="仿宋" w:cs="仿宋"/>
          <w:b/>
          <w:bCs/>
          <w:color w:val="auto"/>
          <w:sz w:val="32"/>
          <w:szCs w:val="44"/>
          <w:highlight w:val="none"/>
        </w:rPr>
      </w:pPr>
      <w:bookmarkStart w:id="243" w:name="_Toc2142"/>
      <w:bookmarkStart w:id="244" w:name="_Toc8735"/>
      <w:r>
        <w:rPr>
          <w:rFonts w:hint="eastAsia" w:ascii="仿宋" w:hAnsi="仿宋" w:eastAsia="仿宋" w:cs="仿宋"/>
          <w:b/>
          <w:bCs/>
          <w:color w:val="auto"/>
          <w:sz w:val="32"/>
          <w:szCs w:val="44"/>
          <w:highlight w:val="none"/>
        </w:rPr>
        <w:t>询问函范本</w:t>
      </w:r>
      <w:bookmarkEnd w:id="243"/>
      <w:bookmarkEnd w:id="244"/>
    </w:p>
    <w:p w14:paraId="47BD5E75">
      <w:pPr>
        <w:adjustRightInd w:val="0"/>
        <w:snapToGrid w:val="0"/>
        <w:spacing w:line="360" w:lineRule="auto"/>
        <w:ind w:firstLine="480" w:firstLineChars="200"/>
        <w:jc w:val="center"/>
        <w:rPr>
          <w:rFonts w:ascii="仿宋" w:hAnsi="仿宋" w:eastAsia="仿宋" w:cs="仿宋"/>
          <w:b/>
          <w:bCs/>
          <w:color w:val="auto"/>
          <w:sz w:val="32"/>
          <w:szCs w:val="44"/>
          <w:highlight w:val="none"/>
        </w:rPr>
      </w:pPr>
      <w:r>
        <w:rPr>
          <w:rFonts w:hint="eastAsia" w:cs="仿宋" w:asciiTheme="minorEastAsia" w:hAnsiTheme="minorEastAsia" w:eastAsiaTheme="minorEastAsia"/>
          <w:i/>
          <w:iCs/>
          <w:color w:val="auto"/>
          <w:sz w:val="24"/>
          <w:szCs w:val="24"/>
          <w:highlight w:val="none"/>
        </w:rPr>
        <w:t>（如为对采购文件或采购程序的询问或疑问，请按询问函范本或电子交易系统中网上询问格式附件进行提交）</w:t>
      </w:r>
    </w:p>
    <w:p w14:paraId="597A4071">
      <w:pPr>
        <w:adjustRightInd w:val="0"/>
        <w:snapToGrid w:val="0"/>
        <w:spacing w:line="360" w:lineRule="auto"/>
        <w:rPr>
          <w:rFonts w:hint="eastAsia" w:cs="仿宋" w:asciiTheme="minorEastAsia" w:hAnsiTheme="minorEastAsia" w:eastAsiaTheme="minorEastAsia"/>
          <w:b/>
          <w:bCs/>
          <w:color w:val="auto"/>
          <w:sz w:val="24"/>
          <w:szCs w:val="24"/>
          <w:highlight w:val="none"/>
          <w:lang w:eastAsia="zh-CN"/>
        </w:rPr>
      </w:pPr>
      <w:r>
        <w:rPr>
          <w:rFonts w:hint="eastAsia" w:cs="仿宋" w:asciiTheme="minorEastAsia" w:hAnsiTheme="minorEastAsia" w:eastAsiaTheme="minorEastAsia"/>
          <w:b/>
          <w:bCs/>
          <w:color w:val="auto"/>
          <w:sz w:val="24"/>
          <w:szCs w:val="24"/>
          <w:highlight w:val="none"/>
          <w:lang w:val="en-US" w:eastAsia="zh-CN"/>
        </w:rPr>
        <w:t>致：</w:t>
      </w:r>
      <w:r>
        <w:rPr>
          <w:rFonts w:hint="eastAsia" w:cs="仿宋" w:asciiTheme="minorEastAsia" w:hAnsiTheme="minorEastAsia" w:eastAsiaTheme="minorEastAsia"/>
          <w:b/>
          <w:bCs/>
          <w:color w:val="auto"/>
          <w:sz w:val="24"/>
          <w:szCs w:val="24"/>
          <w:highlight w:val="none"/>
          <w:u w:val="none"/>
          <w:lang w:val="en-US" w:eastAsia="zh-CN"/>
        </w:rPr>
        <w:t>采购人</w:t>
      </w:r>
    </w:p>
    <w:p w14:paraId="627834C9">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我单位拟参与</w:t>
      </w:r>
      <w:r>
        <w:rPr>
          <w:rFonts w:hint="eastAsia" w:cs="仿宋" w:asciiTheme="minorEastAsia" w:hAnsiTheme="minorEastAsia" w:eastAsiaTheme="minorEastAsia"/>
          <w:color w:val="auto"/>
          <w:sz w:val="24"/>
          <w:szCs w:val="24"/>
          <w:highlight w:val="none"/>
          <w:u w:val="single"/>
          <w:lang w:val="en-US" w:eastAsia="zh-CN"/>
        </w:rPr>
        <w:t xml:space="preserve">             </w:t>
      </w:r>
      <w:r>
        <w:rPr>
          <w:rFonts w:hint="eastAsia" w:cs="仿宋" w:asciiTheme="minorEastAsia" w:hAnsiTheme="minorEastAsia" w:eastAsiaTheme="minorEastAsia"/>
          <w:i/>
          <w:iCs/>
          <w:color w:val="auto"/>
          <w:sz w:val="24"/>
          <w:szCs w:val="24"/>
          <w:highlight w:val="none"/>
          <w:u w:val="none"/>
          <w:lang w:val="en-US" w:eastAsia="zh-CN"/>
        </w:rPr>
        <w:t>（</w:t>
      </w:r>
      <w:r>
        <w:rPr>
          <w:rFonts w:hint="eastAsia" w:cs="仿宋" w:asciiTheme="minorEastAsia" w:hAnsiTheme="minorEastAsia" w:eastAsiaTheme="minorEastAsia"/>
          <w:i/>
          <w:iCs/>
          <w:color w:val="auto"/>
          <w:sz w:val="24"/>
          <w:szCs w:val="24"/>
          <w:highlight w:val="none"/>
          <w:u w:val="none"/>
        </w:rPr>
        <w:t>项目</w:t>
      </w:r>
      <w:r>
        <w:rPr>
          <w:rFonts w:hint="eastAsia" w:cs="仿宋" w:asciiTheme="minorEastAsia" w:hAnsiTheme="minorEastAsia" w:eastAsiaTheme="minorEastAsia"/>
          <w:i/>
          <w:iCs/>
          <w:color w:val="auto"/>
          <w:sz w:val="24"/>
          <w:szCs w:val="24"/>
          <w:highlight w:val="none"/>
          <w:u w:val="none"/>
          <w:lang w:val="en-US" w:eastAsia="zh-CN"/>
        </w:rPr>
        <w:t>名称、</w:t>
      </w:r>
      <w:r>
        <w:rPr>
          <w:rFonts w:hint="eastAsia" w:cs="仿宋" w:asciiTheme="minorEastAsia" w:hAnsiTheme="minorEastAsia" w:eastAsiaTheme="minorEastAsia"/>
          <w:i/>
          <w:iCs/>
          <w:color w:val="auto"/>
          <w:sz w:val="24"/>
          <w:szCs w:val="24"/>
          <w:highlight w:val="none"/>
          <w:u w:val="none"/>
        </w:rPr>
        <w:t>编号)</w:t>
      </w:r>
      <w:r>
        <w:rPr>
          <w:rFonts w:hint="eastAsia" w:cs="仿宋" w:asciiTheme="minorEastAsia" w:hAnsiTheme="minorEastAsia" w:eastAsiaTheme="minorEastAsia"/>
          <w:color w:val="auto"/>
          <w:sz w:val="24"/>
          <w:szCs w:val="24"/>
          <w:highlight w:val="none"/>
        </w:rPr>
        <w:t>的采购活动，现有以下内容(或条款)存在疑问(或无法理解)，特提出询问。</w:t>
      </w:r>
    </w:p>
    <w:p w14:paraId="57412228">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45" w:name="_Toc9092"/>
      <w:bookmarkStart w:id="246" w:name="_Toc26386"/>
      <w:r>
        <w:rPr>
          <w:rFonts w:hint="eastAsia" w:cs="仿宋" w:asciiTheme="minorEastAsia" w:hAnsiTheme="minorEastAsia" w:eastAsiaTheme="minorEastAsia"/>
          <w:color w:val="auto"/>
          <w:sz w:val="24"/>
          <w:szCs w:val="24"/>
          <w:highlight w:val="none"/>
        </w:rPr>
        <w:t>一、(事项一)</w:t>
      </w:r>
      <w:bookmarkEnd w:id="245"/>
      <w:bookmarkEnd w:id="246"/>
    </w:p>
    <w:p w14:paraId="37A8020E">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1、(内容或条款)</w:t>
      </w:r>
    </w:p>
    <w:p w14:paraId="59ADC856">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2、(说明疑问或无法理解原因)</w:t>
      </w:r>
    </w:p>
    <w:p w14:paraId="533C7354">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3、(建议)</w:t>
      </w:r>
    </w:p>
    <w:p w14:paraId="6AECE0D7">
      <w:pPr>
        <w:adjustRightInd w:val="0"/>
        <w:snapToGrid w:val="0"/>
        <w:spacing w:line="360" w:lineRule="auto"/>
        <w:ind w:firstLine="480" w:firstLineChars="200"/>
        <w:outlineLvl w:val="1"/>
        <w:rPr>
          <w:rFonts w:cs="仿宋" w:asciiTheme="minorEastAsia" w:hAnsiTheme="minorEastAsia" w:eastAsiaTheme="minorEastAsia"/>
          <w:color w:val="auto"/>
          <w:sz w:val="24"/>
          <w:szCs w:val="24"/>
          <w:highlight w:val="none"/>
        </w:rPr>
      </w:pPr>
      <w:bookmarkStart w:id="247" w:name="_Toc17582"/>
      <w:bookmarkStart w:id="248" w:name="_Toc9273"/>
      <w:r>
        <w:rPr>
          <w:rFonts w:hint="eastAsia" w:cs="仿宋" w:asciiTheme="minorEastAsia" w:hAnsiTheme="minorEastAsia" w:eastAsiaTheme="minorEastAsia"/>
          <w:color w:val="auto"/>
          <w:sz w:val="24"/>
          <w:szCs w:val="24"/>
          <w:highlight w:val="none"/>
        </w:rPr>
        <w:t>二、(事项二)</w:t>
      </w:r>
      <w:bookmarkEnd w:id="247"/>
      <w:bookmarkEnd w:id="248"/>
    </w:p>
    <w:p w14:paraId="01F56FF6">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19CC245A">
      <w:pPr>
        <w:adjustRightInd w:val="0"/>
        <w:snapToGrid w:val="0"/>
        <w:spacing w:line="360" w:lineRule="auto"/>
        <w:ind w:firstLine="480" w:firstLineChars="200"/>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 xml:space="preserve">随附相关证明材料如下： </w:t>
      </w:r>
    </w:p>
    <w:p w14:paraId="4874252C">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 系 人：</w:t>
      </w:r>
      <w:r>
        <w:rPr>
          <w:rFonts w:hint="eastAsia" w:asciiTheme="minorEastAsia" w:hAnsiTheme="minorEastAsia" w:eastAsiaTheme="minorEastAsia"/>
          <w:color w:val="auto"/>
          <w:sz w:val="24"/>
          <w:highlight w:val="none"/>
          <w:u w:val="single"/>
        </w:rPr>
        <w:t xml:space="preserve">              </w:t>
      </w:r>
    </w:p>
    <w:p w14:paraId="68B5C52A">
      <w:pPr>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联系电话：</w:t>
      </w:r>
      <w:r>
        <w:rPr>
          <w:rFonts w:hint="eastAsia" w:asciiTheme="minorEastAsia" w:hAnsiTheme="minorEastAsia" w:eastAsiaTheme="minorEastAsia"/>
          <w:color w:val="auto"/>
          <w:sz w:val="24"/>
          <w:highlight w:val="none"/>
          <w:u w:val="single"/>
        </w:rPr>
        <w:t xml:space="preserve">              </w:t>
      </w:r>
    </w:p>
    <w:p w14:paraId="63CFAC80">
      <w:pPr>
        <w:tabs>
          <w:tab w:val="left" w:pos="630"/>
        </w:tabs>
        <w:spacing w:line="360" w:lineRule="auto"/>
        <w:ind w:firstLine="4228" w:firstLineChars="1762"/>
        <w:rPr>
          <w:rFonts w:asciiTheme="minorEastAsia" w:hAnsiTheme="minorEastAsia" w:eastAsiaTheme="minorEastAsia"/>
          <w:color w:val="auto"/>
          <w:sz w:val="24"/>
          <w:highlight w:val="none"/>
          <w:u w:val="single"/>
        </w:rPr>
      </w:pPr>
      <w:r>
        <w:rPr>
          <w:rFonts w:hint="eastAsia" w:asciiTheme="minorEastAsia" w:hAnsiTheme="minorEastAsia" w:eastAsiaTheme="minorEastAsia"/>
          <w:color w:val="auto"/>
          <w:sz w:val="24"/>
          <w:highlight w:val="none"/>
        </w:rPr>
        <w:t>日    期：</w:t>
      </w:r>
      <w:r>
        <w:rPr>
          <w:rFonts w:hint="eastAsia"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rPr>
        <w:t xml:space="preserve">    </w:t>
      </w:r>
    </w:p>
    <w:p w14:paraId="61D1EAA2">
      <w:pPr>
        <w:rPr>
          <w:rFonts w:asciiTheme="minorEastAsia" w:hAnsiTheme="minorEastAsia" w:eastAsiaTheme="minorEastAsia"/>
          <w:b/>
          <w:color w:val="auto"/>
          <w:sz w:val="52"/>
          <w:highlight w:val="none"/>
        </w:rPr>
      </w:pPr>
      <w:r>
        <w:rPr>
          <w:rFonts w:hint="eastAsia" w:ascii="仿宋" w:hAnsi="仿宋" w:eastAsia="仿宋" w:cs="仿宋"/>
          <w:b/>
          <w:bCs/>
          <w:color w:val="auto"/>
          <w:sz w:val="32"/>
          <w:szCs w:val="44"/>
          <w:highlight w:val="none"/>
        </w:rPr>
        <w:br w:type="page"/>
      </w:r>
    </w:p>
    <w:p w14:paraId="45245215">
      <w:pPr>
        <w:jc w:val="center"/>
        <w:outlineLvl w:val="1"/>
        <w:rPr>
          <w:rFonts w:ascii="仿宋" w:hAnsi="仿宋" w:eastAsia="仿宋" w:cs="仿宋"/>
          <w:b/>
          <w:bCs/>
          <w:color w:val="auto"/>
          <w:sz w:val="32"/>
          <w:szCs w:val="44"/>
          <w:highlight w:val="none"/>
        </w:rPr>
      </w:pPr>
      <w:bookmarkStart w:id="249" w:name="_Toc26673"/>
      <w:bookmarkStart w:id="250" w:name="_Toc6990"/>
      <w:r>
        <w:rPr>
          <w:rFonts w:hint="eastAsia" w:ascii="仿宋" w:hAnsi="仿宋" w:eastAsia="仿宋" w:cs="仿宋"/>
          <w:b/>
          <w:bCs/>
          <w:color w:val="auto"/>
          <w:sz w:val="32"/>
          <w:szCs w:val="44"/>
          <w:highlight w:val="none"/>
        </w:rPr>
        <w:t>质疑函范本</w:t>
      </w:r>
      <w:bookmarkEnd w:id="249"/>
      <w:bookmarkEnd w:id="250"/>
    </w:p>
    <w:p w14:paraId="4F78C1A0">
      <w:pPr>
        <w:adjustRightInd w:val="0"/>
        <w:snapToGrid w:val="0"/>
        <w:spacing w:before="312" w:beforeLines="100" w:line="360" w:lineRule="auto"/>
        <w:outlineLvl w:val="1"/>
        <w:rPr>
          <w:rFonts w:cs="仿宋" w:asciiTheme="minorEastAsia" w:hAnsiTheme="minorEastAsia" w:eastAsiaTheme="minorEastAsia"/>
          <w:b/>
          <w:bCs/>
          <w:color w:val="auto"/>
          <w:sz w:val="24"/>
          <w:szCs w:val="24"/>
          <w:highlight w:val="none"/>
        </w:rPr>
      </w:pPr>
      <w:bookmarkStart w:id="251" w:name="_Toc2994"/>
      <w:bookmarkStart w:id="252" w:name="_Toc29510"/>
      <w:r>
        <w:rPr>
          <w:rFonts w:hint="eastAsia" w:cs="仿宋" w:asciiTheme="minorEastAsia" w:hAnsiTheme="minorEastAsia" w:eastAsiaTheme="minorEastAsia"/>
          <w:b/>
          <w:bCs/>
          <w:color w:val="auto"/>
          <w:sz w:val="24"/>
          <w:szCs w:val="24"/>
          <w:highlight w:val="none"/>
        </w:rPr>
        <w:t>一、质疑供应商基本信息</w:t>
      </w:r>
      <w:bookmarkEnd w:id="251"/>
      <w:bookmarkEnd w:id="252"/>
    </w:p>
    <w:p w14:paraId="5E752D8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质疑供应商：</w:t>
      </w:r>
      <w:r>
        <w:rPr>
          <w:rFonts w:hint="eastAsia" w:cs="仿宋" w:asciiTheme="minorEastAsia" w:hAnsiTheme="minorEastAsia" w:eastAsiaTheme="minorEastAsia"/>
          <w:color w:val="auto"/>
          <w:sz w:val="24"/>
          <w:szCs w:val="24"/>
          <w:highlight w:val="none"/>
          <w:u w:val="dotted"/>
        </w:rPr>
        <w:t xml:space="preserve">                                        </w:t>
      </w:r>
    </w:p>
    <w:p w14:paraId="766764C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0783EBC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联系人：</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1B16BCC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授权代表：</w:t>
      </w:r>
      <w:r>
        <w:rPr>
          <w:rFonts w:hint="eastAsia" w:cs="仿宋" w:asciiTheme="minorEastAsia" w:hAnsiTheme="minorEastAsia" w:eastAsiaTheme="minorEastAsia"/>
          <w:color w:val="auto"/>
          <w:sz w:val="24"/>
          <w:szCs w:val="24"/>
          <w:highlight w:val="none"/>
          <w:u w:val="dotted"/>
        </w:rPr>
        <w:t xml:space="preserve">                                          </w:t>
      </w:r>
    </w:p>
    <w:p w14:paraId="2EB32BEB">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联系电话：</w:t>
      </w:r>
      <w:r>
        <w:rPr>
          <w:rFonts w:hint="eastAsia" w:cs="仿宋" w:asciiTheme="minorEastAsia" w:hAnsiTheme="minorEastAsia" w:eastAsiaTheme="minorEastAsia"/>
          <w:color w:val="auto"/>
          <w:sz w:val="24"/>
          <w:szCs w:val="24"/>
          <w:highlight w:val="none"/>
          <w:u w:val="dotted"/>
        </w:rPr>
        <w:t xml:space="preserve">                                          </w:t>
      </w:r>
    </w:p>
    <w:p w14:paraId="1A8988D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地址：</w:t>
      </w:r>
      <w:r>
        <w:rPr>
          <w:rFonts w:cs="仿宋" w:asciiTheme="minorEastAsia" w:hAnsiTheme="minorEastAsia" w:eastAsiaTheme="minorEastAsia"/>
          <w:color w:val="auto"/>
          <w:sz w:val="24"/>
          <w:szCs w:val="24"/>
          <w:highlight w:val="none"/>
        </w:rPr>
        <w:t xml:space="preserve"> </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邮编：</w:t>
      </w:r>
      <w:r>
        <w:rPr>
          <w:rFonts w:hint="eastAsia" w:cs="仿宋" w:asciiTheme="minorEastAsia" w:hAnsiTheme="minorEastAsia" w:eastAsiaTheme="minorEastAsia"/>
          <w:color w:val="auto"/>
          <w:sz w:val="24"/>
          <w:szCs w:val="24"/>
          <w:highlight w:val="none"/>
          <w:u w:val="dotted"/>
        </w:rPr>
        <w:t xml:space="preserve">               </w:t>
      </w:r>
    </w:p>
    <w:p w14:paraId="034FFD35">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53" w:name="_Toc28130"/>
      <w:bookmarkStart w:id="254" w:name="_Toc31042"/>
      <w:r>
        <w:rPr>
          <w:rFonts w:hint="eastAsia" w:cs="仿宋" w:asciiTheme="minorEastAsia" w:hAnsiTheme="minorEastAsia" w:eastAsiaTheme="minorEastAsia"/>
          <w:b/>
          <w:bCs/>
          <w:color w:val="auto"/>
          <w:sz w:val="24"/>
          <w:szCs w:val="24"/>
          <w:highlight w:val="none"/>
        </w:rPr>
        <w:t>二、质疑项目基本情况</w:t>
      </w:r>
      <w:bookmarkEnd w:id="253"/>
      <w:bookmarkEnd w:id="254"/>
    </w:p>
    <w:p w14:paraId="30C07B80">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质疑项目的名称：</w:t>
      </w:r>
      <w:r>
        <w:rPr>
          <w:rFonts w:hint="eastAsia" w:cs="仿宋" w:asciiTheme="minorEastAsia" w:hAnsiTheme="minorEastAsia" w:eastAsiaTheme="minorEastAsia"/>
          <w:color w:val="auto"/>
          <w:sz w:val="24"/>
          <w:szCs w:val="24"/>
          <w:highlight w:val="none"/>
          <w:u w:val="dotted"/>
        </w:rPr>
        <w:t xml:space="preserve">                                    </w:t>
      </w:r>
    </w:p>
    <w:p w14:paraId="00D27EBE">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质疑项目的编号：</w:t>
      </w:r>
      <w:r>
        <w:rPr>
          <w:rFonts w:hint="eastAsia" w:cs="仿宋" w:asciiTheme="minorEastAsia" w:hAnsiTheme="minorEastAsia" w:eastAsiaTheme="minorEastAsia"/>
          <w:color w:val="auto"/>
          <w:sz w:val="24"/>
          <w:szCs w:val="24"/>
          <w:highlight w:val="none"/>
          <w:u w:val="dotted"/>
        </w:rPr>
        <w:t xml:space="preserve">               </w:t>
      </w:r>
      <w:r>
        <w:rPr>
          <w:rFonts w:hint="eastAsia" w:cs="仿宋" w:asciiTheme="minorEastAsia" w:hAnsiTheme="minorEastAsia" w:eastAsiaTheme="minorEastAsia"/>
          <w:color w:val="auto"/>
          <w:sz w:val="24"/>
          <w:szCs w:val="24"/>
          <w:highlight w:val="none"/>
        </w:rPr>
        <w:t>包号：</w:t>
      </w:r>
      <w:r>
        <w:rPr>
          <w:rFonts w:hint="eastAsia" w:cs="仿宋" w:asciiTheme="minorEastAsia" w:hAnsiTheme="minorEastAsia" w:eastAsiaTheme="minorEastAsia"/>
          <w:color w:val="auto"/>
          <w:sz w:val="24"/>
          <w:szCs w:val="24"/>
          <w:highlight w:val="none"/>
          <w:u w:val="dotted"/>
        </w:rPr>
        <w:t xml:space="preserve">               </w:t>
      </w:r>
    </w:p>
    <w:p w14:paraId="509E11E2">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采购人名称：</w:t>
      </w:r>
      <w:r>
        <w:rPr>
          <w:rFonts w:hint="eastAsia" w:cs="仿宋" w:asciiTheme="minorEastAsia" w:hAnsiTheme="minorEastAsia" w:eastAsiaTheme="minorEastAsia"/>
          <w:color w:val="auto"/>
          <w:sz w:val="24"/>
          <w:szCs w:val="24"/>
          <w:highlight w:val="none"/>
          <w:u w:val="dotted"/>
        </w:rPr>
        <w:t xml:space="preserve">                                        </w:t>
      </w:r>
    </w:p>
    <w:p w14:paraId="59ECC802">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采购文件获取日期：</w:t>
      </w:r>
      <w:r>
        <w:rPr>
          <w:rFonts w:hint="eastAsia" w:cs="仿宋" w:asciiTheme="minorEastAsia" w:hAnsiTheme="minorEastAsia" w:eastAsiaTheme="minorEastAsia"/>
          <w:color w:val="auto"/>
          <w:sz w:val="24"/>
          <w:szCs w:val="24"/>
          <w:highlight w:val="none"/>
          <w:u w:val="dotted"/>
        </w:rPr>
        <w:t xml:space="preserve">                                  </w:t>
      </w:r>
    </w:p>
    <w:p w14:paraId="4414F6F9">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55" w:name="_Toc6486"/>
      <w:bookmarkStart w:id="256" w:name="_Toc20587"/>
      <w:r>
        <w:rPr>
          <w:rFonts w:hint="eastAsia" w:cs="仿宋" w:asciiTheme="minorEastAsia" w:hAnsiTheme="minorEastAsia" w:eastAsiaTheme="minorEastAsia"/>
          <w:b/>
          <w:bCs/>
          <w:color w:val="auto"/>
          <w:sz w:val="24"/>
          <w:szCs w:val="24"/>
          <w:highlight w:val="none"/>
        </w:rPr>
        <w:t>三、质疑事项具体内容</w:t>
      </w:r>
      <w:bookmarkEnd w:id="255"/>
      <w:bookmarkEnd w:id="256"/>
    </w:p>
    <w:p w14:paraId="5C9CF401">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质疑事项1：</w:t>
      </w:r>
      <w:r>
        <w:rPr>
          <w:rFonts w:hint="eastAsia" w:cs="仿宋" w:asciiTheme="minorEastAsia" w:hAnsiTheme="minorEastAsia" w:eastAsiaTheme="minorEastAsia"/>
          <w:color w:val="auto"/>
          <w:sz w:val="24"/>
          <w:szCs w:val="24"/>
          <w:highlight w:val="none"/>
          <w:u w:val="dotted"/>
        </w:rPr>
        <w:t xml:space="preserve">                                         </w:t>
      </w:r>
    </w:p>
    <w:p w14:paraId="7B5A26C5">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事实依据：</w:t>
      </w:r>
      <w:r>
        <w:rPr>
          <w:rFonts w:hint="eastAsia" w:cs="仿宋" w:asciiTheme="minorEastAsia" w:hAnsiTheme="minorEastAsia" w:eastAsiaTheme="minorEastAsia"/>
          <w:color w:val="auto"/>
          <w:sz w:val="24"/>
          <w:szCs w:val="24"/>
          <w:highlight w:val="none"/>
          <w:u w:val="dotted"/>
        </w:rPr>
        <w:t xml:space="preserve">                                          </w:t>
      </w:r>
    </w:p>
    <w:p w14:paraId="70D36DAD">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u w:val="dotted"/>
        </w:rPr>
        <w:t xml:space="preserve">                                                    </w:t>
      </w:r>
    </w:p>
    <w:p w14:paraId="7767C38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法律依据：</w:t>
      </w:r>
      <w:r>
        <w:rPr>
          <w:rFonts w:hint="eastAsia" w:cs="仿宋" w:asciiTheme="minorEastAsia" w:hAnsiTheme="minorEastAsia" w:eastAsiaTheme="minorEastAsia"/>
          <w:color w:val="auto"/>
          <w:sz w:val="24"/>
          <w:szCs w:val="24"/>
          <w:highlight w:val="none"/>
          <w:u w:val="dotted"/>
        </w:rPr>
        <w:t xml:space="preserve">                                          </w:t>
      </w:r>
    </w:p>
    <w:p w14:paraId="62CE9746">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u w:val="dotted"/>
        </w:rPr>
        <w:t xml:space="preserve">                                                    </w:t>
      </w:r>
    </w:p>
    <w:p w14:paraId="1085CBB7">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质疑事项2</w:t>
      </w:r>
    </w:p>
    <w:p w14:paraId="3959E123">
      <w:pPr>
        <w:adjustRightInd w:val="0"/>
        <w:snapToGrid w:val="0"/>
        <w:spacing w:line="360" w:lineRule="auto"/>
        <w:rPr>
          <w:rFonts w:cs="仿宋" w:asciiTheme="minorEastAsia" w:hAnsiTheme="minorEastAsia" w:eastAsiaTheme="minorEastAsia"/>
          <w:color w:val="auto"/>
          <w:sz w:val="24"/>
          <w:szCs w:val="24"/>
          <w:highlight w:val="none"/>
        </w:rPr>
      </w:pPr>
      <w:r>
        <w:rPr>
          <w:rFonts w:hint="eastAsia" w:cs="仿宋" w:asciiTheme="minorEastAsia" w:hAnsiTheme="minorEastAsia" w:eastAsiaTheme="minorEastAsia"/>
          <w:color w:val="auto"/>
          <w:sz w:val="24"/>
          <w:szCs w:val="24"/>
          <w:highlight w:val="none"/>
        </w:rPr>
        <w:t>……</w:t>
      </w:r>
    </w:p>
    <w:p w14:paraId="20CFBC6B">
      <w:pPr>
        <w:adjustRightInd w:val="0"/>
        <w:snapToGrid w:val="0"/>
        <w:spacing w:line="360" w:lineRule="auto"/>
        <w:outlineLvl w:val="1"/>
        <w:rPr>
          <w:rFonts w:cs="仿宋" w:asciiTheme="minorEastAsia" w:hAnsiTheme="minorEastAsia" w:eastAsiaTheme="minorEastAsia"/>
          <w:b/>
          <w:bCs/>
          <w:color w:val="auto"/>
          <w:sz w:val="24"/>
          <w:szCs w:val="24"/>
          <w:highlight w:val="none"/>
        </w:rPr>
      </w:pPr>
      <w:bookmarkStart w:id="257" w:name="_Toc32755"/>
      <w:bookmarkStart w:id="258" w:name="_Toc20470"/>
      <w:r>
        <w:rPr>
          <w:rFonts w:hint="eastAsia" w:cs="仿宋" w:asciiTheme="minorEastAsia" w:hAnsiTheme="minorEastAsia" w:eastAsiaTheme="minorEastAsia"/>
          <w:b/>
          <w:bCs/>
          <w:color w:val="auto"/>
          <w:sz w:val="24"/>
          <w:szCs w:val="24"/>
          <w:highlight w:val="none"/>
        </w:rPr>
        <w:t>四、与质疑事项相关的质疑请求</w:t>
      </w:r>
      <w:bookmarkEnd w:id="257"/>
      <w:bookmarkEnd w:id="258"/>
    </w:p>
    <w:p w14:paraId="04694AC0">
      <w:pPr>
        <w:adjustRightInd w:val="0"/>
        <w:snapToGrid w:val="0"/>
        <w:spacing w:line="360" w:lineRule="auto"/>
        <w:rPr>
          <w:rFonts w:cs="仿宋" w:asciiTheme="minorEastAsia" w:hAnsiTheme="minorEastAsia" w:eastAsiaTheme="minorEastAsia"/>
          <w:color w:val="auto"/>
          <w:sz w:val="24"/>
          <w:szCs w:val="24"/>
          <w:highlight w:val="none"/>
          <w:u w:val="dotted"/>
        </w:rPr>
      </w:pPr>
      <w:r>
        <w:rPr>
          <w:rFonts w:hint="eastAsia" w:cs="仿宋" w:asciiTheme="minorEastAsia" w:hAnsiTheme="minorEastAsia" w:eastAsiaTheme="minorEastAsia"/>
          <w:color w:val="auto"/>
          <w:sz w:val="24"/>
          <w:szCs w:val="24"/>
          <w:highlight w:val="none"/>
        </w:rPr>
        <w:t>请求：</w:t>
      </w:r>
      <w:r>
        <w:rPr>
          <w:rFonts w:hint="eastAsia" w:cs="仿宋" w:asciiTheme="minorEastAsia" w:hAnsiTheme="minorEastAsia" w:eastAsiaTheme="minorEastAsia"/>
          <w:color w:val="auto"/>
          <w:sz w:val="24"/>
          <w:szCs w:val="24"/>
          <w:highlight w:val="none"/>
          <w:u w:val="dotted"/>
        </w:rPr>
        <w:t xml:space="preserve">                                              </w:t>
      </w:r>
    </w:p>
    <w:p w14:paraId="7B8BCF46">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签字(签章)：                   公章：                      </w:t>
      </w:r>
    </w:p>
    <w:p w14:paraId="460B5B93">
      <w:pPr>
        <w:spacing w:line="360" w:lineRule="auto"/>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 xml:space="preserve">日期：    </w:t>
      </w:r>
    </w:p>
    <w:p w14:paraId="2D97829D">
      <w:pPr>
        <w:widowControl/>
        <w:jc w:val="left"/>
        <w:rPr>
          <w:rFonts w:ascii="仿宋" w:hAnsi="仿宋" w:eastAsia="仿宋" w:cs="仿宋"/>
          <w:color w:val="auto"/>
          <w:sz w:val="32"/>
          <w:szCs w:val="32"/>
          <w:highlight w:val="none"/>
        </w:rPr>
      </w:pPr>
      <w:r>
        <w:rPr>
          <w:rFonts w:ascii="仿宋" w:hAnsi="仿宋" w:eastAsia="仿宋" w:cs="仿宋"/>
          <w:color w:val="auto"/>
          <w:sz w:val="32"/>
          <w:szCs w:val="32"/>
          <w:highlight w:val="none"/>
        </w:rPr>
        <w:br w:type="page"/>
      </w:r>
    </w:p>
    <w:p w14:paraId="67D69619">
      <w:pPr>
        <w:outlineLvl w:val="0"/>
        <w:rPr>
          <w:rFonts w:asciiTheme="minorEastAsia" w:hAnsiTheme="minorEastAsia" w:eastAsiaTheme="minorEastAsia"/>
          <w:b/>
          <w:color w:val="auto"/>
          <w:sz w:val="28"/>
          <w:szCs w:val="32"/>
          <w:highlight w:val="none"/>
        </w:rPr>
      </w:pPr>
      <w:bookmarkStart w:id="259" w:name="_Toc20635"/>
      <w:bookmarkStart w:id="260" w:name="_Toc21667"/>
      <w:bookmarkStart w:id="261" w:name="_Toc8368"/>
      <w:r>
        <w:rPr>
          <w:rFonts w:hint="eastAsia" w:asciiTheme="minorEastAsia" w:hAnsiTheme="minorEastAsia" w:eastAsiaTheme="minorEastAsia"/>
          <w:b/>
          <w:color w:val="auto"/>
          <w:sz w:val="28"/>
          <w:szCs w:val="32"/>
          <w:highlight w:val="none"/>
        </w:rPr>
        <w:t>质疑函制作说明：</w:t>
      </w:r>
      <w:bookmarkEnd w:id="259"/>
      <w:bookmarkEnd w:id="260"/>
      <w:bookmarkEnd w:id="261"/>
    </w:p>
    <w:p w14:paraId="386C9709">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1.供应商提出质疑时，应提交质疑函和必要的证明材料。</w:t>
      </w:r>
    </w:p>
    <w:p w14:paraId="44AD327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3FB0B70">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3.质疑供应商若对项目的某一分包进行质疑，质疑函中应列明具体分包号。</w:t>
      </w:r>
    </w:p>
    <w:p w14:paraId="0FC20CA4">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4.质疑函的质疑事项应具体、明确，并有必要的事实依据和法律依据。</w:t>
      </w:r>
    </w:p>
    <w:p w14:paraId="1519EBBB">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5.质疑函的质疑请求应与质疑事项相关。</w:t>
      </w:r>
    </w:p>
    <w:p w14:paraId="41975DAF">
      <w:pPr>
        <w:spacing w:line="360" w:lineRule="auto"/>
        <w:ind w:firstLine="435"/>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6.质疑供应商为自然人的，质疑函应由本人签字；质疑供应商为法人或者其他组织的，质疑函应由法定代表人、主要负责人，或者其授权代表签字或者盖章，并加盖公章。</w:t>
      </w:r>
    </w:p>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ctionIcon">
    <w:altName w:val="Segoe Print"/>
    <w:panose1 w:val="00000000000000000000"/>
    <w:charset w:val="00"/>
    <w:family w:val="auto"/>
    <w:pitch w:val="default"/>
    <w:sig w:usb0="00000000" w:usb1="00000000" w:usb2="00000000" w:usb3="00000000" w:csb0="00000000" w:csb1="00000000"/>
  </w:font>
  <w:font w:name="ModIcon">
    <w:altName w:val="Segoe Print"/>
    <w:panose1 w:val="00000000000000000000"/>
    <w:charset w:val="00"/>
    <w:family w:val="auto"/>
    <w:pitch w:val="default"/>
    <w:sig w:usb0="00000000" w:usb1="00000000" w:usb2="00000000" w:usb3="00000000" w:csb0="00000000" w:csb1="00000000"/>
  </w:font>
  <w:font w:name="SourceHanSansCN-Regular">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098D5">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1F27D">
    <w:pPr>
      <w:pStyle w:val="16"/>
      <w:rPr>
        <w:rFonts w:asciiTheme="minorEastAsia" w:hAnsiTheme="minorEastAsia" w:eastAsiaTheme="minorEastAsia"/>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posOffset>2157730</wp:posOffset>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3C173">
                          <w:pPr>
                            <w:pStyle w:val="16"/>
                            <w:rPr>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69.9pt;margin-top:0pt;height:144pt;width:144pt;mso-position-horizontal-relative:margin;mso-wrap-style:none;z-index:251659264;mso-width-relative:page;mso-height-relative:page;" filled="f" stroked="f" coordsize="21600,21600" o:gfxdata="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cAboDVAAAACAEAAA8AAAAAAAAAAQAgAAAAIgAAAGRycy9kb3ducmV2LnhtbFBL&#10;AQIUABQAAAAIAIdO4kC6jDgrMgIAAGEEAAAOAAAAAAAAAAEAIAAAACQBAABkcnMvZTJvRG9jLnht&#10;bFBLBQYAAAAABgAGAFkBAADIBQAAAAA=&#10;">
              <v:fill on="f" focussize="0,0"/>
              <v:stroke on="f" weight="0.5pt"/>
              <v:imagedata o:title=""/>
              <o:lock v:ext="edit" aspectratio="f"/>
              <v:textbox inset="0mm,0mm,0mm,0mm" style="mso-fit-shape-to-text:t;">
                <w:txbxContent>
                  <w:p w14:paraId="14F3C173">
                    <w:pPr>
                      <w:pStyle w:val="16"/>
                      <w:rPr>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41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54</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3BD32">
    <w:pPr>
      <w:pStyle w:val="17"/>
      <w:pBdr>
        <w:bottom w:val="none" w:color="auto" w:sz="0" w:space="1"/>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142B7">
    <w:pPr>
      <w:pStyle w:val="17"/>
      <w:pBdr>
        <w:bottom w:val="none" w:color="auto" w:sz="0" w:space="1"/>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DY5ZDNjMmE2ZDcxYTFkMDY0Zjg5Mjg3YTE0YTgifQ=="/>
  </w:docVars>
  <w:rsids>
    <w:rsidRoot w:val="00276BA1"/>
    <w:rsid w:val="0000043F"/>
    <w:rsid w:val="000037F9"/>
    <w:rsid w:val="000049DA"/>
    <w:rsid w:val="00005403"/>
    <w:rsid w:val="000056B7"/>
    <w:rsid w:val="00007D87"/>
    <w:rsid w:val="000131F7"/>
    <w:rsid w:val="00014039"/>
    <w:rsid w:val="00016B6C"/>
    <w:rsid w:val="00020B57"/>
    <w:rsid w:val="00020B6D"/>
    <w:rsid w:val="000323E2"/>
    <w:rsid w:val="00040C25"/>
    <w:rsid w:val="00042139"/>
    <w:rsid w:val="00042B14"/>
    <w:rsid w:val="00044F49"/>
    <w:rsid w:val="000450C3"/>
    <w:rsid w:val="00050A3F"/>
    <w:rsid w:val="00052F95"/>
    <w:rsid w:val="00054AA3"/>
    <w:rsid w:val="00056ECB"/>
    <w:rsid w:val="00057B40"/>
    <w:rsid w:val="000648D2"/>
    <w:rsid w:val="00070E0E"/>
    <w:rsid w:val="0007146E"/>
    <w:rsid w:val="00076DB7"/>
    <w:rsid w:val="00080FEB"/>
    <w:rsid w:val="00094D41"/>
    <w:rsid w:val="00097CB9"/>
    <w:rsid w:val="000A0161"/>
    <w:rsid w:val="000A10A9"/>
    <w:rsid w:val="000A6693"/>
    <w:rsid w:val="000A7970"/>
    <w:rsid w:val="000A7D94"/>
    <w:rsid w:val="000B1511"/>
    <w:rsid w:val="000B6249"/>
    <w:rsid w:val="000C1DB1"/>
    <w:rsid w:val="000D19EC"/>
    <w:rsid w:val="000D3F37"/>
    <w:rsid w:val="000E3C74"/>
    <w:rsid w:val="000E3F9B"/>
    <w:rsid w:val="000E478E"/>
    <w:rsid w:val="000E668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30601"/>
    <w:rsid w:val="00132F4D"/>
    <w:rsid w:val="00133EA0"/>
    <w:rsid w:val="00137249"/>
    <w:rsid w:val="00140687"/>
    <w:rsid w:val="00146421"/>
    <w:rsid w:val="00153B20"/>
    <w:rsid w:val="00155F64"/>
    <w:rsid w:val="00157856"/>
    <w:rsid w:val="00160729"/>
    <w:rsid w:val="0016455F"/>
    <w:rsid w:val="00165398"/>
    <w:rsid w:val="00166794"/>
    <w:rsid w:val="00166ED8"/>
    <w:rsid w:val="001714C9"/>
    <w:rsid w:val="00171515"/>
    <w:rsid w:val="00172B93"/>
    <w:rsid w:val="001768BC"/>
    <w:rsid w:val="0018119B"/>
    <w:rsid w:val="001844AB"/>
    <w:rsid w:val="001853C7"/>
    <w:rsid w:val="00192879"/>
    <w:rsid w:val="001944B8"/>
    <w:rsid w:val="001967D2"/>
    <w:rsid w:val="00196DA3"/>
    <w:rsid w:val="001970C3"/>
    <w:rsid w:val="001971E5"/>
    <w:rsid w:val="001A0C0F"/>
    <w:rsid w:val="001A68E5"/>
    <w:rsid w:val="001B2A54"/>
    <w:rsid w:val="001B2BA4"/>
    <w:rsid w:val="001B5014"/>
    <w:rsid w:val="001B7327"/>
    <w:rsid w:val="001C2A15"/>
    <w:rsid w:val="001D22EA"/>
    <w:rsid w:val="001D53B4"/>
    <w:rsid w:val="001E1835"/>
    <w:rsid w:val="001F28D2"/>
    <w:rsid w:val="001F2F45"/>
    <w:rsid w:val="001F3023"/>
    <w:rsid w:val="001F35F6"/>
    <w:rsid w:val="001F4AAF"/>
    <w:rsid w:val="001F74CA"/>
    <w:rsid w:val="001F7590"/>
    <w:rsid w:val="002003B6"/>
    <w:rsid w:val="0020244A"/>
    <w:rsid w:val="002049B4"/>
    <w:rsid w:val="0020520B"/>
    <w:rsid w:val="002076AD"/>
    <w:rsid w:val="00213C55"/>
    <w:rsid w:val="00223CF4"/>
    <w:rsid w:val="00224B69"/>
    <w:rsid w:val="00224C4A"/>
    <w:rsid w:val="00231187"/>
    <w:rsid w:val="0023407E"/>
    <w:rsid w:val="00240B40"/>
    <w:rsid w:val="00244182"/>
    <w:rsid w:val="002544A1"/>
    <w:rsid w:val="00257ECE"/>
    <w:rsid w:val="00260382"/>
    <w:rsid w:val="00260B94"/>
    <w:rsid w:val="00264F2E"/>
    <w:rsid w:val="00271245"/>
    <w:rsid w:val="00272BD6"/>
    <w:rsid w:val="00273F66"/>
    <w:rsid w:val="00274A9E"/>
    <w:rsid w:val="00276BA1"/>
    <w:rsid w:val="00280984"/>
    <w:rsid w:val="002832CF"/>
    <w:rsid w:val="00283599"/>
    <w:rsid w:val="002835E3"/>
    <w:rsid w:val="00284542"/>
    <w:rsid w:val="002A14D1"/>
    <w:rsid w:val="002A1A1D"/>
    <w:rsid w:val="002A28AD"/>
    <w:rsid w:val="002B04FD"/>
    <w:rsid w:val="002B5318"/>
    <w:rsid w:val="002B6D27"/>
    <w:rsid w:val="002B7A09"/>
    <w:rsid w:val="002C060C"/>
    <w:rsid w:val="002C078A"/>
    <w:rsid w:val="002D05DD"/>
    <w:rsid w:val="002D0E4D"/>
    <w:rsid w:val="002D2965"/>
    <w:rsid w:val="002D3D02"/>
    <w:rsid w:val="002D4CB5"/>
    <w:rsid w:val="002D5900"/>
    <w:rsid w:val="002D684B"/>
    <w:rsid w:val="002E2D3A"/>
    <w:rsid w:val="002E3B26"/>
    <w:rsid w:val="002E4AB8"/>
    <w:rsid w:val="002E7FC4"/>
    <w:rsid w:val="00310070"/>
    <w:rsid w:val="0031081B"/>
    <w:rsid w:val="003110EC"/>
    <w:rsid w:val="00314289"/>
    <w:rsid w:val="003206A6"/>
    <w:rsid w:val="0032560D"/>
    <w:rsid w:val="00327C92"/>
    <w:rsid w:val="00333292"/>
    <w:rsid w:val="003344E7"/>
    <w:rsid w:val="0033580B"/>
    <w:rsid w:val="003365E7"/>
    <w:rsid w:val="003378D5"/>
    <w:rsid w:val="003473D7"/>
    <w:rsid w:val="00351995"/>
    <w:rsid w:val="00351AC8"/>
    <w:rsid w:val="00353075"/>
    <w:rsid w:val="00363E02"/>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B25A5"/>
    <w:rsid w:val="003B4130"/>
    <w:rsid w:val="003B6FA1"/>
    <w:rsid w:val="003B715B"/>
    <w:rsid w:val="003C2C62"/>
    <w:rsid w:val="003C5566"/>
    <w:rsid w:val="003C577A"/>
    <w:rsid w:val="003C7C74"/>
    <w:rsid w:val="003D1D14"/>
    <w:rsid w:val="003D6C7C"/>
    <w:rsid w:val="003D6EFB"/>
    <w:rsid w:val="003D7E52"/>
    <w:rsid w:val="003E25C6"/>
    <w:rsid w:val="003F7528"/>
    <w:rsid w:val="004011AA"/>
    <w:rsid w:val="0040202C"/>
    <w:rsid w:val="00404A8F"/>
    <w:rsid w:val="00406508"/>
    <w:rsid w:val="004110F6"/>
    <w:rsid w:val="004134F8"/>
    <w:rsid w:val="0041456E"/>
    <w:rsid w:val="004148E3"/>
    <w:rsid w:val="00414F7E"/>
    <w:rsid w:val="004164F8"/>
    <w:rsid w:val="00422224"/>
    <w:rsid w:val="00426F05"/>
    <w:rsid w:val="004328E1"/>
    <w:rsid w:val="004427B7"/>
    <w:rsid w:val="0044349F"/>
    <w:rsid w:val="00445F1F"/>
    <w:rsid w:val="00447862"/>
    <w:rsid w:val="00451F60"/>
    <w:rsid w:val="00452BB2"/>
    <w:rsid w:val="00456054"/>
    <w:rsid w:val="0045656D"/>
    <w:rsid w:val="00462D98"/>
    <w:rsid w:val="00463E7D"/>
    <w:rsid w:val="00472A44"/>
    <w:rsid w:val="00473A89"/>
    <w:rsid w:val="00475899"/>
    <w:rsid w:val="00482C78"/>
    <w:rsid w:val="00483ABC"/>
    <w:rsid w:val="0048634A"/>
    <w:rsid w:val="004874AE"/>
    <w:rsid w:val="0049056F"/>
    <w:rsid w:val="00492217"/>
    <w:rsid w:val="00494D24"/>
    <w:rsid w:val="004951D1"/>
    <w:rsid w:val="004960BB"/>
    <w:rsid w:val="004A1BA3"/>
    <w:rsid w:val="004A27D0"/>
    <w:rsid w:val="004A4D67"/>
    <w:rsid w:val="004B7E79"/>
    <w:rsid w:val="004C13CB"/>
    <w:rsid w:val="004C1AAB"/>
    <w:rsid w:val="004C5B90"/>
    <w:rsid w:val="004D3D4B"/>
    <w:rsid w:val="004D5498"/>
    <w:rsid w:val="004D66A5"/>
    <w:rsid w:val="004D6B00"/>
    <w:rsid w:val="004E1D50"/>
    <w:rsid w:val="004E3266"/>
    <w:rsid w:val="004E38BA"/>
    <w:rsid w:val="004E50CA"/>
    <w:rsid w:val="004F27A0"/>
    <w:rsid w:val="0050027D"/>
    <w:rsid w:val="00501382"/>
    <w:rsid w:val="005048FB"/>
    <w:rsid w:val="00510563"/>
    <w:rsid w:val="00510798"/>
    <w:rsid w:val="005119B5"/>
    <w:rsid w:val="005125F1"/>
    <w:rsid w:val="00524A11"/>
    <w:rsid w:val="00527768"/>
    <w:rsid w:val="00530EA4"/>
    <w:rsid w:val="005327FB"/>
    <w:rsid w:val="00533251"/>
    <w:rsid w:val="00533FCA"/>
    <w:rsid w:val="005346EF"/>
    <w:rsid w:val="00542F0C"/>
    <w:rsid w:val="005470D4"/>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571E"/>
    <w:rsid w:val="005C1D52"/>
    <w:rsid w:val="005C46AC"/>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6517"/>
    <w:rsid w:val="00636EE7"/>
    <w:rsid w:val="00637690"/>
    <w:rsid w:val="00640E1E"/>
    <w:rsid w:val="0064389A"/>
    <w:rsid w:val="00645442"/>
    <w:rsid w:val="006525CD"/>
    <w:rsid w:val="00653F7F"/>
    <w:rsid w:val="00662DCD"/>
    <w:rsid w:val="00662EE8"/>
    <w:rsid w:val="00663813"/>
    <w:rsid w:val="00664AFD"/>
    <w:rsid w:val="00667567"/>
    <w:rsid w:val="0067391A"/>
    <w:rsid w:val="00674173"/>
    <w:rsid w:val="0067534F"/>
    <w:rsid w:val="00677D87"/>
    <w:rsid w:val="006834FA"/>
    <w:rsid w:val="00690DB1"/>
    <w:rsid w:val="00693404"/>
    <w:rsid w:val="006953D9"/>
    <w:rsid w:val="006A1269"/>
    <w:rsid w:val="006A5803"/>
    <w:rsid w:val="006A69C3"/>
    <w:rsid w:val="006A7C15"/>
    <w:rsid w:val="006B1242"/>
    <w:rsid w:val="006B1DBC"/>
    <w:rsid w:val="006B3712"/>
    <w:rsid w:val="006B7D9A"/>
    <w:rsid w:val="006C06D9"/>
    <w:rsid w:val="006C3E22"/>
    <w:rsid w:val="006C5716"/>
    <w:rsid w:val="006C64B2"/>
    <w:rsid w:val="006C74A9"/>
    <w:rsid w:val="006D07DE"/>
    <w:rsid w:val="006D361A"/>
    <w:rsid w:val="006D6A81"/>
    <w:rsid w:val="006E06D9"/>
    <w:rsid w:val="006E1D40"/>
    <w:rsid w:val="006E2E1F"/>
    <w:rsid w:val="006E5059"/>
    <w:rsid w:val="006F5F03"/>
    <w:rsid w:val="006F5FFF"/>
    <w:rsid w:val="00710804"/>
    <w:rsid w:val="00711FC6"/>
    <w:rsid w:val="00712952"/>
    <w:rsid w:val="007130B1"/>
    <w:rsid w:val="00713487"/>
    <w:rsid w:val="00715071"/>
    <w:rsid w:val="007231E9"/>
    <w:rsid w:val="00724F0E"/>
    <w:rsid w:val="007270A6"/>
    <w:rsid w:val="00727C59"/>
    <w:rsid w:val="00733730"/>
    <w:rsid w:val="00734E5D"/>
    <w:rsid w:val="00736013"/>
    <w:rsid w:val="00737BF8"/>
    <w:rsid w:val="0074339B"/>
    <w:rsid w:val="0074478E"/>
    <w:rsid w:val="00750B60"/>
    <w:rsid w:val="00756245"/>
    <w:rsid w:val="00761662"/>
    <w:rsid w:val="00764043"/>
    <w:rsid w:val="00766A36"/>
    <w:rsid w:val="007757CF"/>
    <w:rsid w:val="007769F6"/>
    <w:rsid w:val="00780F9D"/>
    <w:rsid w:val="0078128F"/>
    <w:rsid w:val="0078143C"/>
    <w:rsid w:val="007819D9"/>
    <w:rsid w:val="0078683C"/>
    <w:rsid w:val="00790EDB"/>
    <w:rsid w:val="00791538"/>
    <w:rsid w:val="0079326E"/>
    <w:rsid w:val="00796EDE"/>
    <w:rsid w:val="007A5A58"/>
    <w:rsid w:val="007B1C56"/>
    <w:rsid w:val="007B2EDC"/>
    <w:rsid w:val="007C1DD7"/>
    <w:rsid w:val="007C3CD5"/>
    <w:rsid w:val="007C4756"/>
    <w:rsid w:val="007C5E88"/>
    <w:rsid w:val="007C61EF"/>
    <w:rsid w:val="007C6783"/>
    <w:rsid w:val="007D03DE"/>
    <w:rsid w:val="007D1C0D"/>
    <w:rsid w:val="007D2D23"/>
    <w:rsid w:val="007E1AE9"/>
    <w:rsid w:val="007E27D6"/>
    <w:rsid w:val="007E3921"/>
    <w:rsid w:val="00801028"/>
    <w:rsid w:val="00803793"/>
    <w:rsid w:val="00804000"/>
    <w:rsid w:val="008101A2"/>
    <w:rsid w:val="00817A01"/>
    <w:rsid w:val="00820937"/>
    <w:rsid w:val="00825E35"/>
    <w:rsid w:val="00830A4E"/>
    <w:rsid w:val="008334F8"/>
    <w:rsid w:val="00835FFD"/>
    <w:rsid w:val="0084381F"/>
    <w:rsid w:val="00843E35"/>
    <w:rsid w:val="008524CE"/>
    <w:rsid w:val="00857633"/>
    <w:rsid w:val="0086440C"/>
    <w:rsid w:val="008674ED"/>
    <w:rsid w:val="00874EE6"/>
    <w:rsid w:val="00876659"/>
    <w:rsid w:val="0087734C"/>
    <w:rsid w:val="00882141"/>
    <w:rsid w:val="00886BD4"/>
    <w:rsid w:val="008876EC"/>
    <w:rsid w:val="008922A8"/>
    <w:rsid w:val="00895BD5"/>
    <w:rsid w:val="008A16C4"/>
    <w:rsid w:val="008A4A27"/>
    <w:rsid w:val="008A649F"/>
    <w:rsid w:val="008A6FED"/>
    <w:rsid w:val="008B39C5"/>
    <w:rsid w:val="008B51AA"/>
    <w:rsid w:val="008C67F2"/>
    <w:rsid w:val="008D064A"/>
    <w:rsid w:val="008D2537"/>
    <w:rsid w:val="008D2B0F"/>
    <w:rsid w:val="008D633C"/>
    <w:rsid w:val="008E449E"/>
    <w:rsid w:val="008E4BDD"/>
    <w:rsid w:val="008E770C"/>
    <w:rsid w:val="008F187F"/>
    <w:rsid w:val="008F402F"/>
    <w:rsid w:val="008F76E8"/>
    <w:rsid w:val="00904508"/>
    <w:rsid w:val="009078A1"/>
    <w:rsid w:val="00911E9C"/>
    <w:rsid w:val="00917405"/>
    <w:rsid w:val="00920C1F"/>
    <w:rsid w:val="00920F7C"/>
    <w:rsid w:val="00922718"/>
    <w:rsid w:val="00924743"/>
    <w:rsid w:val="00932A87"/>
    <w:rsid w:val="00934CAE"/>
    <w:rsid w:val="0093560E"/>
    <w:rsid w:val="0094257D"/>
    <w:rsid w:val="009443B6"/>
    <w:rsid w:val="00946F68"/>
    <w:rsid w:val="0095356F"/>
    <w:rsid w:val="0095467C"/>
    <w:rsid w:val="00954A61"/>
    <w:rsid w:val="00955C6F"/>
    <w:rsid w:val="00966C7B"/>
    <w:rsid w:val="009701DC"/>
    <w:rsid w:val="009715D8"/>
    <w:rsid w:val="009811A8"/>
    <w:rsid w:val="00991460"/>
    <w:rsid w:val="00995BF9"/>
    <w:rsid w:val="009975CC"/>
    <w:rsid w:val="009A0CAF"/>
    <w:rsid w:val="009A2207"/>
    <w:rsid w:val="009A2D34"/>
    <w:rsid w:val="009A6565"/>
    <w:rsid w:val="009B0EDA"/>
    <w:rsid w:val="009B6C42"/>
    <w:rsid w:val="009D2998"/>
    <w:rsid w:val="009D31F7"/>
    <w:rsid w:val="009D32C2"/>
    <w:rsid w:val="009D50DB"/>
    <w:rsid w:val="009E2932"/>
    <w:rsid w:val="009E3A0A"/>
    <w:rsid w:val="009F1936"/>
    <w:rsid w:val="009F3E91"/>
    <w:rsid w:val="00A008DA"/>
    <w:rsid w:val="00A00C93"/>
    <w:rsid w:val="00A0571E"/>
    <w:rsid w:val="00A13A27"/>
    <w:rsid w:val="00A1499B"/>
    <w:rsid w:val="00A170D8"/>
    <w:rsid w:val="00A30A1B"/>
    <w:rsid w:val="00A311AD"/>
    <w:rsid w:val="00A314C2"/>
    <w:rsid w:val="00A501BF"/>
    <w:rsid w:val="00A519A0"/>
    <w:rsid w:val="00A5274A"/>
    <w:rsid w:val="00A62A2E"/>
    <w:rsid w:val="00A63A4D"/>
    <w:rsid w:val="00A63E86"/>
    <w:rsid w:val="00A67AF7"/>
    <w:rsid w:val="00A75185"/>
    <w:rsid w:val="00A754A0"/>
    <w:rsid w:val="00A757C3"/>
    <w:rsid w:val="00A75E5B"/>
    <w:rsid w:val="00A75F4B"/>
    <w:rsid w:val="00A7684A"/>
    <w:rsid w:val="00A83B69"/>
    <w:rsid w:val="00A86533"/>
    <w:rsid w:val="00A91CA2"/>
    <w:rsid w:val="00A92FB8"/>
    <w:rsid w:val="00A948F1"/>
    <w:rsid w:val="00AA0BE3"/>
    <w:rsid w:val="00AA18F9"/>
    <w:rsid w:val="00AA1D7D"/>
    <w:rsid w:val="00AA2790"/>
    <w:rsid w:val="00AA3806"/>
    <w:rsid w:val="00AB139D"/>
    <w:rsid w:val="00AB2A35"/>
    <w:rsid w:val="00AB2D05"/>
    <w:rsid w:val="00AB3EFB"/>
    <w:rsid w:val="00AB7314"/>
    <w:rsid w:val="00AC0B05"/>
    <w:rsid w:val="00AC1962"/>
    <w:rsid w:val="00AC7F9D"/>
    <w:rsid w:val="00AD079A"/>
    <w:rsid w:val="00AD1890"/>
    <w:rsid w:val="00AE2149"/>
    <w:rsid w:val="00AE2BF3"/>
    <w:rsid w:val="00AE33AE"/>
    <w:rsid w:val="00AE3986"/>
    <w:rsid w:val="00AE3F91"/>
    <w:rsid w:val="00AF5B63"/>
    <w:rsid w:val="00B0053D"/>
    <w:rsid w:val="00B01176"/>
    <w:rsid w:val="00B039E3"/>
    <w:rsid w:val="00B06D36"/>
    <w:rsid w:val="00B12BC4"/>
    <w:rsid w:val="00B22838"/>
    <w:rsid w:val="00B33E8F"/>
    <w:rsid w:val="00B33E95"/>
    <w:rsid w:val="00B3720B"/>
    <w:rsid w:val="00B45D0B"/>
    <w:rsid w:val="00B52FA0"/>
    <w:rsid w:val="00B5558A"/>
    <w:rsid w:val="00B56513"/>
    <w:rsid w:val="00B61B64"/>
    <w:rsid w:val="00B631E4"/>
    <w:rsid w:val="00B64376"/>
    <w:rsid w:val="00B6570C"/>
    <w:rsid w:val="00B6790B"/>
    <w:rsid w:val="00B7401F"/>
    <w:rsid w:val="00B769CF"/>
    <w:rsid w:val="00B806C3"/>
    <w:rsid w:val="00B80D6F"/>
    <w:rsid w:val="00B84FCA"/>
    <w:rsid w:val="00B9089F"/>
    <w:rsid w:val="00B91826"/>
    <w:rsid w:val="00B91AEE"/>
    <w:rsid w:val="00B95F5A"/>
    <w:rsid w:val="00B96EAD"/>
    <w:rsid w:val="00BA4962"/>
    <w:rsid w:val="00BA4B7C"/>
    <w:rsid w:val="00BA79F5"/>
    <w:rsid w:val="00BA7EA7"/>
    <w:rsid w:val="00BB2E28"/>
    <w:rsid w:val="00BB3AB6"/>
    <w:rsid w:val="00BB766D"/>
    <w:rsid w:val="00BC007B"/>
    <w:rsid w:val="00BC1715"/>
    <w:rsid w:val="00BC26BA"/>
    <w:rsid w:val="00BC35F8"/>
    <w:rsid w:val="00BC481B"/>
    <w:rsid w:val="00BD08DF"/>
    <w:rsid w:val="00BD2D29"/>
    <w:rsid w:val="00BD617C"/>
    <w:rsid w:val="00BE782C"/>
    <w:rsid w:val="00BF376F"/>
    <w:rsid w:val="00BF46A6"/>
    <w:rsid w:val="00BF6CAD"/>
    <w:rsid w:val="00BF71FB"/>
    <w:rsid w:val="00C04DBF"/>
    <w:rsid w:val="00C05E4C"/>
    <w:rsid w:val="00C06545"/>
    <w:rsid w:val="00C134AF"/>
    <w:rsid w:val="00C220FC"/>
    <w:rsid w:val="00C24DFA"/>
    <w:rsid w:val="00C24F9D"/>
    <w:rsid w:val="00C30182"/>
    <w:rsid w:val="00C31FC9"/>
    <w:rsid w:val="00C37A63"/>
    <w:rsid w:val="00C42248"/>
    <w:rsid w:val="00C46A36"/>
    <w:rsid w:val="00C47037"/>
    <w:rsid w:val="00C50235"/>
    <w:rsid w:val="00C509E3"/>
    <w:rsid w:val="00C53625"/>
    <w:rsid w:val="00C548BA"/>
    <w:rsid w:val="00C5679D"/>
    <w:rsid w:val="00C57784"/>
    <w:rsid w:val="00C602C1"/>
    <w:rsid w:val="00C63FC0"/>
    <w:rsid w:val="00C66392"/>
    <w:rsid w:val="00C7075D"/>
    <w:rsid w:val="00C73D09"/>
    <w:rsid w:val="00C74895"/>
    <w:rsid w:val="00C74C5E"/>
    <w:rsid w:val="00C82558"/>
    <w:rsid w:val="00C827A2"/>
    <w:rsid w:val="00C82B69"/>
    <w:rsid w:val="00C82C8E"/>
    <w:rsid w:val="00C82CB3"/>
    <w:rsid w:val="00C91B28"/>
    <w:rsid w:val="00C91F3A"/>
    <w:rsid w:val="00C93590"/>
    <w:rsid w:val="00CA31EA"/>
    <w:rsid w:val="00CA5446"/>
    <w:rsid w:val="00CB14E5"/>
    <w:rsid w:val="00CB218D"/>
    <w:rsid w:val="00CB5625"/>
    <w:rsid w:val="00CB5797"/>
    <w:rsid w:val="00CC1C17"/>
    <w:rsid w:val="00CC4F7F"/>
    <w:rsid w:val="00CC5D70"/>
    <w:rsid w:val="00CD09E1"/>
    <w:rsid w:val="00CE1780"/>
    <w:rsid w:val="00CE4913"/>
    <w:rsid w:val="00CE66BD"/>
    <w:rsid w:val="00CF0671"/>
    <w:rsid w:val="00CF247A"/>
    <w:rsid w:val="00CF44AD"/>
    <w:rsid w:val="00CF4D7C"/>
    <w:rsid w:val="00CF4FC0"/>
    <w:rsid w:val="00CF7486"/>
    <w:rsid w:val="00D00637"/>
    <w:rsid w:val="00D1072F"/>
    <w:rsid w:val="00D108A5"/>
    <w:rsid w:val="00D14585"/>
    <w:rsid w:val="00D153C8"/>
    <w:rsid w:val="00D17F98"/>
    <w:rsid w:val="00D20EFF"/>
    <w:rsid w:val="00D215B9"/>
    <w:rsid w:val="00D31324"/>
    <w:rsid w:val="00D4386E"/>
    <w:rsid w:val="00D51432"/>
    <w:rsid w:val="00D53ED8"/>
    <w:rsid w:val="00D541A0"/>
    <w:rsid w:val="00D64857"/>
    <w:rsid w:val="00D6493A"/>
    <w:rsid w:val="00D649A5"/>
    <w:rsid w:val="00D66833"/>
    <w:rsid w:val="00D67875"/>
    <w:rsid w:val="00D71E86"/>
    <w:rsid w:val="00D731C6"/>
    <w:rsid w:val="00D745C5"/>
    <w:rsid w:val="00D75327"/>
    <w:rsid w:val="00D77D6B"/>
    <w:rsid w:val="00D80C36"/>
    <w:rsid w:val="00D81A32"/>
    <w:rsid w:val="00D86EE1"/>
    <w:rsid w:val="00D95E90"/>
    <w:rsid w:val="00D96126"/>
    <w:rsid w:val="00DA2FD5"/>
    <w:rsid w:val="00DB4B1C"/>
    <w:rsid w:val="00DB5085"/>
    <w:rsid w:val="00DB619F"/>
    <w:rsid w:val="00DB7211"/>
    <w:rsid w:val="00DC1062"/>
    <w:rsid w:val="00DC132C"/>
    <w:rsid w:val="00DC181A"/>
    <w:rsid w:val="00DC5727"/>
    <w:rsid w:val="00DD43F0"/>
    <w:rsid w:val="00DD44DE"/>
    <w:rsid w:val="00DE09AB"/>
    <w:rsid w:val="00DE1DCC"/>
    <w:rsid w:val="00DE352F"/>
    <w:rsid w:val="00DE4A3F"/>
    <w:rsid w:val="00DE5A99"/>
    <w:rsid w:val="00DF4367"/>
    <w:rsid w:val="00DF7291"/>
    <w:rsid w:val="00E0574A"/>
    <w:rsid w:val="00E1243D"/>
    <w:rsid w:val="00E12742"/>
    <w:rsid w:val="00E146D4"/>
    <w:rsid w:val="00E14815"/>
    <w:rsid w:val="00E21D37"/>
    <w:rsid w:val="00E220ED"/>
    <w:rsid w:val="00E22B44"/>
    <w:rsid w:val="00E30ACD"/>
    <w:rsid w:val="00E32735"/>
    <w:rsid w:val="00E34236"/>
    <w:rsid w:val="00E44B88"/>
    <w:rsid w:val="00E60DDB"/>
    <w:rsid w:val="00E65AD9"/>
    <w:rsid w:val="00E66E36"/>
    <w:rsid w:val="00E67F21"/>
    <w:rsid w:val="00E702ED"/>
    <w:rsid w:val="00E709A4"/>
    <w:rsid w:val="00E75917"/>
    <w:rsid w:val="00E772DB"/>
    <w:rsid w:val="00E86012"/>
    <w:rsid w:val="00E860CA"/>
    <w:rsid w:val="00E86BAB"/>
    <w:rsid w:val="00E92962"/>
    <w:rsid w:val="00E94E10"/>
    <w:rsid w:val="00E96743"/>
    <w:rsid w:val="00E96A42"/>
    <w:rsid w:val="00E97497"/>
    <w:rsid w:val="00EA16D5"/>
    <w:rsid w:val="00EA49C5"/>
    <w:rsid w:val="00EA6279"/>
    <w:rsid w:val="00EB5027"/>
    <w:rsid w:val="00EB6C87"/>
    <w:rsid w:val="00EC1836"/>
    <w:rsid w:val="00EC2F6E"/>
    <w:rsid w:val="00EC3990"/>
    <w:rsid w:val="00EC484B"/>
    <w:rsid w:val="00EC7E58"/>
    <w:rsid w:val="00ED15FA"/>
    <w:rsid w:val="00ED5C9F"/>
    <w:rsid w:val="00EE050C"/>
    <w:rsid w:val="00EE2113"/>
    <w:rsid w:val="00EE5730"/>
    <w:rsid w:val="00EE6E9A"/>
    <w:rsid w:val="00EF2AC4"/>
    <w:rsid w:val="00EF397E"/>
    <w:rsid w:val="00F0340C"/>
    <w:rsid w:val="00F06F68"/>
    <w:rsid w:val="00F11241"/>
    <w:rsid w:val="00F15E9D"/>
    <w:rsid w:val="00F23FA7"/>
    <w:rsid w:val="00F24C2D"/>
    <w:rsid w:val="00F27BEC"/>
    <w:rsid w:val="00F27D59"/>
    <w:rsid w:val="00F316E1"/>
    <w:rsid w:val="00F32155"/>
    <w:rsid w:val="00F32A81"/>
    <w:rsid w:val="00F40C82"/>
    <w:rsid w:val="00F4197F"/>
    <w:rsid w:val="00F46998"/>
    <w:rsid w:val="00F5382D"/>
    <w:rsid w:val="00F53D9C"/>
    <w:rsid w:val="00F54195"/>
    <w:rsid w:val="00F5462B"/>
    <w:rsid w:val="00F54653"/>
    <w:rsid w:val="00F54FAC"/>
    <w:rsid w:val="00F569DE"/>
    <w:rsid w:val="00F57205"/>
    <w:rsid w:val="00F634AD"/>
    <w:rsid w:val="00F63677"/>
    <w:rsid w:val="00F70658"/>
    <w:rsid w:val="00F7417E"/>
    <w:rsid w:val="00F75B81"/>
    <w:rsid w:val="00F761CA"/>
    <w:rsid w:val="00F804C4"/>
    <w:rsid w:val="00F80C7E"/>
    <w:rsid w:val="00F82F83"/>
    <w:rsid w:val="00F86097"/>
    <w:rsid w:val="00F90C64"/>
    <w:rsid w:val="00F9210C"/>
    <w:rsid w:val="00F92B30"/>
    <w:rsid w:val="00F933B9"/>
    <w:rsid w:val="00F94674"/>
    <w:rsid w:val="00F94919"/>
    <w:rsid w:val="00F94A59"/>
    <w:rsid w:val="00FA25B6"/>
    <w:rsid w:val="00FA2FAF"/>
    <w:rsid w:val="00FA54F6"/>
    <w:rsid w:val="00FA64B1"/>
    <w:rsid w:val="00FA70F3"/>
    <w:rsid w:val="00FA71CD"/>
    <w:rsid w:val="00FB0453"/>
    <w:rsid w:val="00FB0C07"/>
    <w:rsid w:val="00FB205F"/>
    <w:rsid w:val="00FB298D"/>
    <w:rsid w:val="00FB3171"/>
    <w:rsid w:val="00FB444E"/>
    <w:rsid w:val="00FC1439"/>
    <w:rsid w:val="00FC3F65"/>
    <w:rsid w:val="00FC5007"/>
    <w:rsid w:val="00FC70AD"/>
    <w:rsid w:val="00FC724B"/>
    <w:rsid w:val="00FC7910"/>
    <w:rsid w:val="00FD01E0"/>
    <w:rsid w:val="00FD50FC"/>
    <w:rsid w:val="00FE1627"/>
    <w:rsid w:val="00FE2D4E"/>
    <w:rsid w:val="00FE3F22"/>
    <w:rsid w:val="00FF092F"/>
    <w:rsid w:val="00FF0DA7"/>
    <w:rsid w:val="00FF2B09"/>
    <w:rsid w:val="00FF44E0"/>
    <w:rsid w:val="00FF6C72"/>
    <w:rsid w:val="01057174"/>
    <w:rsid w:val="015873C5"/>
    <w:rsid w:val="015C4E83"/>
    <w:rsid w:val="01722E9F"/>
    <w:rsid w:val="017600E6"/>
    <w:rsid w:val="017F5898"/>
    <w:rsid w:val="0185764C"/>
    <w:rsid w:val="01915CC2"/>
    <w:rsid w:val="019F4757"/>
    <w:rsid w:val="02443CCC"/>
    <w:rsid w:val="02880C6E"/>
    <w:rsid w:val="02B63CEC"/>
    <w:rsid w:val="02EB0203"/>
    <w:rsid w:val="02EF2692"/>
    <w:rsid w:val="034445B5"/>
    <w:rsid w:val="03B629A7"/>
    <w:rsid w:val="03C43552"/>
    <w:rsid w:val="04F80D9E"/>
    <w:rsid w:val="05D714EA"/>
    <w:rsid w:val="064A0C38"/>
    <w:rsid w:val="067E27BC"/>
    <w:rsid w:val="068F0ACF"/>
    <w:rsid w:val="06954AF6"/>
    <w:rsid w:val="069637C4"/>
    <w:rsid w:val="06AE129F"/>
    <w:rsid w:val="072D20A4"/>
    <w:rsid w:val="073B420D"/>
    <w:rsid w:val="07C12195"/>
    <w:rsid w:val="07D71DC7"/>
    <w:rsid w:val="08397703"/>
    <w:rsid w:val="08BA0E0D"/>
    <w:rsid w:val="0937357F"/>
    <w:rsid w:val="098D7D07"/>
    <w:rsid w:val="09A909AA"/>
    <w:rsid w:val="0A052B89"/>
    <w:rsid w:val="0A3D35AB"/>
    <w:rsid w:val="0A542106"/>
    <w:rsid w:val="0A6C4667"/>
    <w:rsid w:val="0AC97464"/>
    <w:rsid w:val="0AF049F1"/>
    <w:rsid w:val="0B2360D1"/>
    <w:rsid w:val="0B2C7DE0"/>
    <w:rsid w:val="0B9C06D5"/>
    <w:rsid w:val="0BBE711B"/>
    <w:rsid w:val="0BD47173"/>
    <w:rsid w:val="0C1B47F2"/>
    <w:rsid w:val="0C4264AA"/>
    <w:rsid w:val="0C6157E5"/>
    <w:rsid w:val="0D224C0A"/>
    <w:rsid w:val="0D466B4A"/>
    <w:rsid w:val="0D474670"/>
    <w:rsid w:val="0D8458C4"/>
    <w:rsid w:val="0DB63633"/>
    <w:rsid w:val="0E812471"/>
    <w:rsid w:val="0EFE3455"/>
    <w:rsid w:val="0F403A6D"/>
    <w:rsid w:val="10090F42"/>
    <w:rsid w:val="10607C4F"/>
    <w:rsid w:val="10625C40"/>
    <w:rsid w:val="106E6418"/>
    <w:rsid w:val="10990825"/>
    <w:rsid w:val="10D40911"/>
    <w:rsid w:val="11323C4E"/>
    <w:rsid w:val="11E45716"/>
    <w:rsid w:val="12067AF4"/>
    <w:rsid w:val="1299596E"/>
    <w:rsid w:val="12D71D5F"/>
    <w:rsid w:val="13147343"/>
    <w:rsid w:val="13622204"/>
    <w:rsid w:val="151B7FB7"/>
    <w:rsid w:val="15AF54A9"/>
    <w:rsid w:val="15CC7E09"/>
    <w:rsid w:val="16300397"/>
    <w:rsid w:val="167B6427"/>
    <w:rsid w:val="16B27D38"/>
    <w:rsid w:val="17D77080"/>
    <w:rsid w:val="17DE3E23"/>
    <w:rsid w:val="19263CD4"/>
    <w:rsid w:val="1930691F"/>
    <w:rsid w:val="1A352420"/>
    <w:rsid w:val="1A510CFD"/>
    <w:rsid w:val="1A54637E"/>
    <w:rsid w:val="1A6528FE"/>
    <w:rsid w:val="1A835004"/>
    <w:rsid w:val="1AD339E7"/>
    <w:rsid w:val="1B4B17D0"/>
    <w:rsid w:val="1B542D7A"/>
    <w:rsid w:val="1BA02D05"/>
    <w:rsid w:val="1BA61F6F"/>
    <w:rsid w:val="1BE94919"/>
    <w:rsid w:val="1C093B64"/>
    <w:rsid w:val="1C63029E"/>
    <w:rsid w:val="1C6B037B"/>
    <w:rsid w:val="1C715A71"/>
    <w:rsid w:val="1CA1494D"/>
    <w:rsid w:val="1CA52637"/>
    <w:rsid w:val="1CC921E7"/>
    <w:rsid w:val="1D0E0D07"/>
    <w:rsid w:val="1D1C4205"/>
    <w:rsid w:val="1D444EB6"/>
    <w:rsid w:val="1DA840EB"/>
    <w:rsid w:val="1DF83E22"/>
    <w:rsid w:val="1E1D46AD"/>
    <w:rsid w:val="1E4531C0"/>
    <w:rsid w:val="1F29350C"/>
    <w:rsid w:val="1FCB2EDF"/>
    <w:rsid w:val="201A2AFF"/>
    <w:rsid w:val="203A2CE5"/>
    <w:rsid w:val="208539D6"/>
    <w:rsid w:val="20C16461"/>
    <w:rsid w:val="20ED2E58"/>
    <w:rsid w:val="20FF5536"/>
    <w:rsid w:val="21367194"/>
    <w:rsid w:val="21444369"/>
    <w:rsid w:val="21CB366A"/>
    <w:rsid w:val="226F2197"/>
    <w:rsid w:val="22E91FFA"/>
    <w:rsid w:val="23146520"/>
    <w:rsid w:val="23205778"/>
    <w:rsid w:val="23585502"/>
    <w:rsid w:val="23596C26"/>
    <w:rsid w:val="239767DA"/>
    <w:rsid w:val="23DB14C5"/>
    <w:rsid w:val="24042E63"/>
    <w:rsid w:val="24456480"/>
    <w:rsid w:val="24577437"/>
    <w:rsid w:val="24584540"/>
    <w:rsid w:val="24635A04"/>
    <w:rsid w:val="246851A0"/>
    <w:rsid w:val="24E0567E"/>
    <w:rsid w:val="25256AF7"/>
    <w:rsid w:val="255D409B"/>
    <w:rsid w:val="2561056D"/>
    <w:rsid w:val="25652EDE"/>
    <w:rsid w:val="25981AB5"/>
    <w:rsid w:val="262D78EB"/>
    <w:rsid w:val="263F3C7D"/>
    <w:rsid w:val="265D18B9"/>
    <w:rsid w:val="26EB3CAB"/>
    <w:rsid w:val="27CA60F4"/>
    <w:rsid w:val="27E234BC"/>
    <w:rsid w:val="27E85AF1"/>
    <w:rsid w:val="28BF1224"/>
    <w:rsid w:val="28C929C1"/>
    <w:rsid w:val="29332221"/>
    <w:rsid w:val="295220BC"/>
    <w:rsid w:val="29934A6D"/>
    <w:rsid w:val="299A1C85"/>
    <w:rsid w:val="29DA6B0B"/>
    <w:rsid w:val="2A093B18"/>
    <w:rsid w:val="2A1C2D12"/>
    <w:rsid w:val="2A8D7B4E"/>
    <w:rsid w:val="2ABD245A"/>
    <w:rsid w:val="2AD104E2"/>
    <w:rsid w:val="2B412386"/>
    <w:rsid w:val="2B5B780D"/>
    <w:rsid w:val="2B876854"/>
    <w:rsid w:val="2BB34FD2"/>
    <w:rsid w:val="2BD15D21"/>
    <w:rsid w:val="2BE62A1C"/>
    <w:rsid w:val="2BFD6B16"/>
    <w:rsid w:val="2C6E3570"/>
    <w:rsid w:val="2C8124F8"/>
    <w:rsid w:val="2CE10D2D"/>
    <w:rsid w:val="2CEA687B"/>
    <w:rsid w:val="2D1633EB"/>
    <w:rsid w:val="2D345514"/>
    <w:rsid w:val="2D5819A5"/>
    <w:rsid w:val="2DA57F4B"/>
    <w:rsid w:val="2DCA3B5A"/>
    <w:rsid w:val="2DDE64D3"/>
    <w:rsid w:val="2DE16C1F"/>
    <w:rsid w:val="2E027D31"/>
    <w:rsid w:val="2E096892"/>
    <w:rsid w:val="2E1B2EA1"/>
    <w:rsid w:val="2E395380"/>
    <w:rsid w:val="2E63511A"/>
    <w:rsid w:val="2E636360"/>
    <w:rsid w:val="2EB35320"/>
    <w:rsid w:val="2EE6563F"/>
    <w:rsid w:val="2EF830D5"/>
    <w:rsid w:val="2F111D48"/>
    <w:rsid w:val="2F283EAA"/>
    <w:rsid w:val="2F317872"/>
    <w:rsid w:val="2F3F0C54"/>
    <w:rsid w:val="2F4615DA"/>
    <w:rsid w:val="2F810850"/>
    <w:rsid w:val="2FB40713"/>
    <w:rsid w:val="30444D13"/>
    <w:rsid w:val="30ED2B9B"/>
    <w:rsid w:val="310821E5"/>
    <w:rsid w:val="31197749"/>
    <w:rsid w:val="323B0398"/>
    <w:rsid w:val="324A2389"/>
    <w:rsid w:val="32691053"/>
    <w:rsid w:val="32A538A5"/>
    <w:rsid w:val="32CF509C"/>
    <w:rsid w:val="330E360D"/>
    <w:rsid w:val="33492641"/>
    <w:rsid w:val="335747AC"/>
    <w:rsid w:val="33B37D2E"/>
    <w:rsid w:val="33C06BFF"/>
    <w:rsid w:val="348F2D94"/>
    <w:rsid w:val="34F051F3"/>
    <w:rsid w:val="352620DC"/>
    <w:rsid w:val="35E054DE"/>
    <w:rsid w:val="35E5310F"/>
    <w:rsid w:val="36097A13"/>
    <w:rsid w:val="36581519"/>
    <w:rsid w:val="3661430F"/>
    <w:rsid w:val="369D587E"/>
    <w:rsid w:val="36CF1D5D"/>
    <w:rsid w:val="36CF7301"/>
    <w:rsid w:val="370F3BF6"/>
    <w:rsid w:val="371D28E3"/>
    <w:rsid w:val="375D1E78"/>
    <w:rsid w:val="37E47653"/>
    <w:rsid w:val="382947EF"/>
    <w:rsid w:val="388D1222"/>
    <w:rsid w:val="38F01E0F"/>
    <w:rsid w:val="39293004"/>
    <w:rsid w:val="393336C0"/>
    <w:rsid w:val="39820C37"/>
    <w:rsid w:val="39882115"/>
    <w:rsid w:val="39D8471E"/>
    <w:rsid w:val="39E10D60"/>
    <w:rsid w:val="3A203377"/>
    <w:rsid w:val="3A3D1A61"/>
    <w:rsid w:val="3A8328DC"/>
    <w:rsid w:val="3A8C79E3"/>
    <w:rsid w:val="3A960861"/>
    <w:rsid w:val="3AB931B1"/>
    <w:rsid w:val="3ADC54E1"/>
    <w:rsid w:val="3B11613A"/>
    <w:rsid w:val="3BFC5E74"/>
    <w:rsid w:val="3C0059BB"/>
    <w:rsid w:val="3C5A58BF"/>
    <w:rsid w:val="3C5F3E33"/>
    <w:rsid w:val="3CC64D02"/>
    <w:rsid w:val="3CFC5061"/>
    <w:rsid w:val="3D1B7B1B"/>
    <w:rsid w:val="3D502D9B"/>
    <w:rsid w:val="3D9077EA"/>
    <w:rsid w:val="3DFD7F8F"/>
    <w:rsid w:val="3F5E4365"/>
    <w:rsid w:val="3FBE7F13"/>
    <w:rsid w:val="41214BFD"/>
    <w:rsid w:val="415470E2"/>
    <w:rsid w:val="41596343"/>
    <w:rsid w:val="416E38FB"/>
    <w:rsid w:val="41AF5742"/>
    <w:rsid w:val="41BB759E"/>
    <w:rsid w:val="42435353"/>
    <w:rsid w:val="425608D6"/>
    <w:rsid w:val="42664FBD"/>
    <w:rsid w:val="42B740A7"/>
    <w:rsid w:val="42CD2946"/>
    <w:rsid w:val="42FC216C"/>
    <w:rsid w:val="42FF3315"/>
    <w:rsid w:val="4353477A"/>
    <w:rsid w:val="437A5885"/>
    <w:rsid w:val="43C05511"/>
    <w:rsid w:val="446B6021"/>
    <w:rsid w:val="447A6BAC"/>
    <w:rsid w:val="449F0313"/>
    <w:rsid w:val="4595695A"/>
    <w:rsid w:val="45FC7108"/>
    <w:rsid w:val="46B53E1D"/>
    <w:rsid w:val="46BD7ED2"/>
    <w:rsid w:val="473A7BED"/>
    <w:rsid w:val="4779040E"/>
    <w:rsid w:val="47863A67"/>
    <w:rsid w:val="478F71C4"/>
    <w:rsid w:val="47D34348"/>
    <w:rsid w:val="47EF335F"/>
    <w:rsid w:val="4821786A"/>
    <w:rsid w:val="4825146D"/>
    <w:rsid w:val="48253225"/>
    <w:rsid w:val="48D04F3E"/>
    <w:rsid w:val="49407CA0"/>
    <w:rsid w:val="498126DD"/>
    <w:rsid w:val="4A6169D0"/>
    <w:rsid w:val="4B014864"/>
    <w:rsid w:val="4B071F90"/>
    <w:rsid w:val="4B125CE2"/>
    <w:rsid w:val="4B2C48CA"/>
    <w:rsid w:val="4B835265"/>
    <w:rsid w:val="4B954E7C"/>
    <w:rsid w:val="4C055307"/>
    <w:rsid w:val="4C2537F3"/>
    <w:rsid w:val="4C312198"/>
    <w:rsid w:val="4D3E64AE"/>
    <w:rsid w:val="4DC8085E"/>
    <w:rsid w:val="4E6B046C"/>
    <w:rsid w:val="4E6C5709"/>
    <w:rsid w:val="4E707289"/>
    <w:rsid w:val="4E9E4717"/>
    <w:rsid w:val="4EEA3D40"/>
    <w:rsid w:val="4EFD6CDC"/>
    <w:rsid w:val="4F00728A"/>
    <w:rsid w:val="4F3016F5"/>
    <w:rsid w:val="4F3F6AB1"/>
    <w:rsid w:val="4F5D071B"/>
    <w:rsid w:val="4F8151E4"/>
    <w:rsid w:val="4F9B688F"/>
    <w:rsid w:val="50067073"/>
    <w:rsid w:val="50C36BA5"/>
    <w:rsid w:val="50E95575"/>
    <w:rsid w:val="511D0F3D"/>
    <w:rsid w:val="517D5E7F"/>
    <w:rsid w:val="51DD691E"/>
    <w:rsid w:val="51F64E25"/>
    <w:rsid w:val="52550769"/>
    <w:rsid w:val="52752746"/>
    <w:rsid w:val="527B72D6"/>
    <w:rsid w:val="527D5F08"/>
    <w:rsid w:val="52DD09D8"/>
    <w:rsid w:val="52EC3194"/>
    <w:rsid w:val="536B3351"/>
    <w:rsid w:val="5379560D"/>
    <w:rsid w:val="53C438F2"/>
    <w:rsid w:val="53DF072C"/>
    <w:rsid w:val="54087D99"/>
    <w:rsid w:val="543A3BB4"/>
    <w:rsid w:val="545D5AF4"/>
    <w:rsid w:val="548A4B3B"/>
    <w:rsid w:val="54A72003"/>
    <w:rsid w:val="54B576DE"/>
    <w:rsid w:val="55723669"/>
    <w:rsid w:val="558D05EC"/>
    <w:rsid w:val="55C645F4"/>
    <w:rsid w:val="56023921"/>
    <w:rsid w:val="56151261"/>
    <w:rsid w:val="56550D6B"/>
    <w:rsid w:val="5712706A"/>
    <w:rsid w:val="571A0F26"/>
    <w:rsid w:val="571C1C97"/>
    <w:rsid w:val="57305E0A"/>
    <w:rsid w:val="57803BF0"/>
    <w:rsid w:val="57BC2B32"/>
    <w:rsid w:val="57DA1D5C"/>
    <w:rsid w:val="5809250B"/>
    <w:rsid w:val="580E15DF"/>
    <w:rsid w:val="580F01B2"/>
    <w:rsid w:val="59011BEE"/>
    <w:rsid w:val="59080725"/>
    <w:rsid w:val="59387C36"/>
    <w:rsid w:val="59BE0FF0"/>
    <w:rsid w:val="59C01C6B"/>
    <w:rsid w:val="59C363FA"/>
    <w:rsid w:val="5A3617D9"/>
    <w:rsid w:val="5A513A05"/>
    <w:rsid w:val="5A737E20"/>
    <w:rsid w:val="5A7F6B6C"/>
    <w:rsid w:val="5AFB613D"/>
    <w:rsid w:val="5B080567"/>
    <w:rsid w:val="5B884B20"/>
    <w:rsid w:val="5B971658"/>
    <w:rsid w:val="5BC0556E"/>
    <w:rsid w:val="5BC81C40"/>
    <w:rsid w:val="5BF353EE"/>
    <w:rsid w:val="5C15773A"/>
    <w:rsid w:val="5C3F26AF"/>
    <w:rsid w:val="5C9A78E6"/>
    <w:rsid w:val="5CE609DA"/>
    <w:rsid w:val="5D3309DE"/>
    <w:rsid w:val="5D8B01B4"/>
    <w:rsid w:val="5DA327CA"/>
    <w:rsid w:val="5DE60909"/>
    <w:rsid w:val="5DE762FC"/>
    <w:rsid w:val="5DEB0B1F"/>
    <w:rsid w:val="5DEC23C3"/>
    <w:rsid w:val="5E714AFD"/>
    <w:rsid w:val="5EA22A81"/>
    <w:rsid w:val="5ED300C5"/>
    <w:rsid w:val="5FA6034F"/>
    <w:rsid w:val="5FBF7663"/>
    <w:rsid w:val="5FC5111D"/>
    <w:rsid w:val="5FCD244A"/>
    <w:rsid w:val="5FD41360"/>
    <w:rsid w:val="5FD74633"/>
    <w:rsid w:val="607246D5"/>
    <w:rsid w:val="60885CA7"/>
    <w:rsid w:val="60E412C0"/>
    <w:rsid w:val="61AD1DFA"/>
    <w:rsid w:val="61E323AE"/>
    <w:rsid w:val="622639C9"/>
    <w:rsid w:val="623331AC"/>
    <w:rsid w:val="6247406C"/>
    <w:rsid w:val="625772C4"/>
    <w:rsid w:val="633839B4"/>
    <w:rsid w:val="636F3034"/>
    <w:rsid w:val="63A064A2"/>
    <w:rsid w:val="63CD15D5"/>
    <w:rsid w:val="64B1428F"/>
    <w:rsid w:val="64E41ED7"/>
    <w:rsid w:val="64E831B8"/>
    <w:rsid w:val="650516A8"/>
    <w:rsid w:val="65330581"/>
    <w:rsid w:val="65830E72"/>
    <w:rsid w:val="66550C7C"/>
    <w:rsid w:val="669F36BE"/>
    <w:rsid w:val="66D823BF"/>
    <w:rsid w:val="66E81280"/>
    <w:rsid w:val="66F607A6"/>
    <w:rsid w:val="67303132"/>
    <w:rsid w:val="67BF46A4"/>
    <w:rsid w:val="67E900A7"/>
    <w:rsid w:val="68172908"/>
    <w:rsid w:val="689866A0"/>
    <w:rsid w:val="68C36416"/>
    <w:rsid w:val="69043521"/>
    <w:rsid w:val="69110DD3"/>
    <w:rsid w:val="691427CE"/>
    <w:rsid w:val="691D526F"/>
    <w:rsid w:val="695D4175"/>
    <w:rsid w:val="69676D3F"/>
    <w:rsid w:val="6A2E3597"/>
    <w:rsid w:val="6A894DD0"/>
    <w:rsid w:val="6B2D47E7"/>
    <w:rsid w:val="6B3D5CA9"/>
    <w:rsid w:val="6B8E2CAD"/>
    <w:rsid w:val="6BC32289"/>
    <w:rsid w:val="6C705F6D"/>
    <w:rsid w:val="6C8D150C"/>
    <w:rsid w:val="6C964502"/>
    <w:rsid w:val="6CE35249"/>
    <w:rsid w:val="6D3527BF"/>
    <w:rsid w:val="6D3A6E8E"/>
    <w:rsid w:val="6D6C08BF"/>
    <w:rsid w:val="6DA73C10"/>
    <w:rsid w:val="6DC37FC8"/>
    <w:rsid w:val="6DFD5F26"/>
    <w:rsid w:val="6E39711A"/>
    <w:rsid w:val="6E997D6C"/>
    <w:rsid w:val="6ED742C8"/>
    <w:rsid w:val="6EF616F6"/>
    <w:rsid w:val="6F5D575B"/>
    <w:rsid w:val="6F653D83"/>
    <w:rsid w:val="708811A7"/>
    <w:rsid w:val="70951A45"/>
    <w:rsid w:val="70BB1D85"/>
    <w:rsid w:val="70CD22D0"/>
    <w:rsid w:val="71467526"/>
    <w:rsid w:val="71902C0D"/>
    <w:rsid w:val="71C02DE5"/>
    <w:rsid w:val="723E4876"/>
    <w:rsid w:val="72824C4C"/>
    <w:rsid w:val="72834520"/>
    <w:rsid w:val="72D354A8"/>
    <w:rsid w:val="737722D7"/>
    <w:rsid w:val="74785E04"/>
    <w:rsid w:val="74FC2405"/>
    <w:rsid w:val="752C4F4C"/>
    <w:rsid w:val="753019CD"/>
    <w:rsid w:val="754058DD"/>
    <w:rsid w:val="7615092E"/>
    <w:rsid w:val="76621D63"/>
    <w:rsid w:val="76976BFF"/>
    <w:rsid w:val="771A04F8"/>
    <w:rsid w:val="77AC54F3"/>
    <w:rsid w:val="77F30411"/>
    <w:rsid w:val="780F0D30"/>
    <w:rsid w:val="78105AA2"/>
    <w:rsid w:val="782D15D9"/>
    <w:rsid w:val="783C764B"/>
    <w:rsid w:val="784A4B73"/>
    <w:rsid w:val="78544995"/>
    <w:rsid w:val="78617423"/>
    <w:rsid w:val="786924FD"/>
    <w:rsid w:val="7894419D"/>
    <w:rsid w:val="78A3591C"/>
    <w:rsid w:val="78A91184"/>
    <w:rsid w:val="79022643"/>
    <w:rsid w:val="79224A93"/>
    <w:rsid w:val="7950018C"/>
    <w:rsid w:val="79837AAE"/>
    <w:rsid w:val="7995454B"/>
    <w:rsid w:val="799B26EC"/>
    <w:rsid w:val="79B0209F"/>
    <w:rsid w:val="7A5B3FA8"/>
    <w:rsid w:val="7A7632E8"/>
    <w:rsid w:val="7AE863F2"/>
    <w:rsid w:val="7AE91FA6"/>
    <w:rsid w:val="7BA174E1"/>
    <w:rsid w:val="7BC04FC3"/>
    <w:rsid w:val="7CA72746"/>
    <w:rsid w:val="7D230DDA"/>
    <w:rsid w:val="7D87580C"/>
    <w:rsid w:val="7DC33C3F"/>
    <w:rsid w:val="7DD00A7F"/>
    <w:rsid w:val="7E877EF0"/>
    <w:rsid w:val="7EA0293B"/>
    <w:rsid w:val="7EA81A90"/>
    <w:rsid w:val="7EFC5E66"/>
    <w:rsid w:val="7F2B14FE"/>
    <w:rsid w:val="7F380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nhideWhenUsed="0"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link w:val="60"/>
    <w:autoRedefine/>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65"/>
    <w:autoRedefine/>
    <w:qFormat/>
    <w:uiPriority w:val="0"/>
    <w:pPr>
      <w:keepNext/>
      <w:keepLines/>
      <w:spacing w:before="280" w:after="290" w:line="376" w:lineRule="auto"/>
      <w:outlineLvl w:val="3"/>
    </w:pPr>
    <w:rPr>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6">
    <w:name w:val="toc 7"/>
    <w:basedOn w:val="1"/>
    <w:next w:val="1"/>
    <w:qFormat/>
    <w:uiPriority w:val="39"/>
    <w:pPr>
      <w:ind w:left="1260"/>
      <w:jc w:val="left"/>
    </w:pPr>
    <w:rPr>
      <w:sz w:val="18"/>
      <w:szCs w:val="18"/>
    </w:rPr>
  </w:style>
  <w:style w:type="paragraph" w:styleId="7">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annotation text"/>
    <w:basedOn w:val="1"/>
    <w:link w:val="57"/>
    <w:autoRedefine/>
    <w:qFormat/>
    <w:uiPriority w:val="0"/>
    <w:pPr>
      <w:jc w:val="left"/>
    </w:pPr>
    <w:rPr>
      <w:rFonts w:ascii="Arial" w:hAnsi="Arial" w:eastAsia="黑体" w:cs="Arial"/>
    </w:rPr>
  </w:style>
  <w:style w:type="paragraph" w:styleId="9">
    <w:name w:val="Body Text"/>
    <w:basedOn w:val="1"/>
    <w:link w:val="66"/>
    <w:autoRedefine/>
    <w:qFormat/>
    <w:uiPriority w:val="0"/>
    <w:pPr>
      <w:spacing w:after="120"/>
    </w:pPr>
    <w:rPr>
      <w:rFonts w:ascii="@微软简标宋" w:hAnsi="@微软简标宋" w:eastAsia="@微软简标宋" w:cs="@微软简标宋"/>
      <w:szCs w:val="24"/>
      <w:lang w:val="zh-CN"/>
    </w:rPr>
  </w:style>
  <w:style w:type="paragraph" w:styleId="10">
    <w:name w:val="Body Text Indent"/>
    <w:basedOn w:val="1"/>
    <w:next w:val="11"/>
    <w:qFormat/>
    <w:uiPriority w:val="0"/>
    <w:pPr>
      <w:widowControl w:val="0"/>
      <w:spacing w:after="120" w:line="240" w:lineRule="auto"/>
      <w:ind w:left="420" w:leftChars="200"/>
      <w:textAlignment w:val="auto"/>
    </w:pPr>
    <w:rPr>
      <w:rFonts w:ascii="Times New Roman" w:hAnsi="Times New Roman" w:eastAsia="宋体"/>
      <w:color w:val="auto"/>
      <w:kern w:val="2"/>
      <w:szCs w:val="24"/>
    </w:rPr>
  </w:style>
  <w:style w:type="paragraph" w:styleId="11">
    <w:name w:val="envelope return"/>
    <w:basedOn w:val="1"/>
    <w:qFormat/>
    <w:uiPriority w:val="0"/>
    <w:pPr>
      <w:snapToGrid w:val="0"/>
    </w:pPr>
    <w:rPr>
      <w:rFonts w:ascii="Arial" w:hAnsi="Arial"/>
    </w:r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46"/>
    <w:autoRedefine/>
    <w:qFormat/>
    <w:uiPriority w:val="99"/>
    <w:rPr>
      <w:rFonts w:ascii="宋体" w:hAnsi="Courier New" w:eastAsiaTheme="minorEastAsia" w:cstheme="minorBidi"/>
      <w:szCs w:val="22"/>
    </w:rPr>
  </w:style>
  <w:style w:type="paragraph" w:styleId="14">
    <w:name w:val="Date"/>
    <w:basedOn w:val="1"/>
    <w:next w:val="1"/>
    <w:link w:val="53"/>
    <w:autoRedefine/>
    <w:qFormat/>
    <w:uiPriority w:val="0"/>
    <w:rPr>
      <w:rFonts w:ascii="Arial" w:hAnsi="Arial" w:eastAsia="宋体" w:cs="Arial"/>
      <w:b/>
      <w:sz w:val="28"/>
    </w:rPr>
  </w:style>
  <w:style w:type="paragraph" w:styleId="15">
    <w:name w:val="Balloon Text"/>
    <w:basedOn w:val="1"/>
    <w:link w:val="40"/>
    <w:autoRedefine/>
    <w:semiHidden/>
    <w:unhideWhenUsed/>
    <w:qFormat/>
    <w:uiPriority w:val="99"/>
    <w:rPr>
      <w:sz w:val="18"/>
      <w:szCs w:val="18"/>
    </w:rPr>
  </w:style>
  <w:style w:type="paragraph" w:styleId="16">
    <w:name w:val="footer"/>
    <w:basedOn w:val="1"/>
    <w:link w:val="45"/>
    <w:autoRedefine/>
    <w:unhideWhenUsed/>
    <w:qFormat/>
    <w:uiPriority w:val="99"/>
    <w:pPr>
      <w:tabs>
        <w:tab w:val="center" w:pos="4153"/>
        <w:tab w:val="right" w:pos="8306"/>
      </w:tabs>
      <w:snapToGrid w:val="0"/>
      <w:jc w:val="left"/>
    </w:pPr>
    <w:rPr>
      <w:sz w:val="18"/>
      <w:szCs w:val="18"/>
    </w:rPr>
  </w:style>
  <w:style w:type="paragraph" w:styleId="17">
    <w:name w:val="header"/>
    <w:basedOn w:val="1"/>
    <w:link w:val="4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9">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0">
    <w:name w:val="Normal (Web)"/>
    <w:basedOn w:val="1"/>
    <w:autoRedefine/>
    <w:qFormat/>
    <w:uiPriority w:val="0"/>
    <w:pPr>
      <w:spacing w:before="100" w:beforeAutospacing="1" w:after="100" w:afterAutospacing="1"/>
      <w:jc w:val="left"/>
    </w:pPr>
    <w:rPr>
      <w:rFonts w:cs="Times New Roman"/>
      <w:kern w:val="0"/>
      <w:sz w:val="24"/>
    </w:rPr>
  </w:style>
  <w:style w:type="paragraph" w:styleId="21">
    <w:name w:val="index 1"/>
    <w:basedOn w:val="1"/>
    <w:next w:val="1"/>
    <w:autoRedefine/>
    <w:qFormat/>
    <w:uiPriority w:val="0"/>
    <w:pPr>
      <w:jc w:val="center"/>
    </w:pPr>
    <w:rPr>
      <w:rFonts w:ascii="Arial" w:hAnsi="Arial" w:eastAsia="Arial" w:cs="Arial"/>
      <w:b/>
      <w:bCs/>
      <w:sz w:val="28"/>
    </w:rPr>
  </w:style>
  <w:style w:type="paragraph" w:styleId="22">
    <w:name w:val="Body Text First Indent"/>
    <w:basedOn w:val="9"/>
    <w:autoRedefine/>
    <w:unhideWhenUsed/>
    <w:qFormat/>
    <w:uiPriority w:val="99"/>
    <w:pPr>
      <w:ind w:firstLine="420" w:firstLineChars="100"/>
    </w:pPr>
  </w:style>
  <w:style w:type="paragraph" w:styleId="23">
    <w:name w:val="Body Text First Indent 2"/>
    <w:basedOn w:val="10"/>
    <w:next w:val="1"/>
    <w:qFormat/>
    <w:uiPriority w:val="0"/>
    <w:pPr>
      <w:spacing w:line="360" w:lineRule="auto"/>
      <w:ind w:firstLine="200" w:firstLineChars="200"/>
    </w:pPr>
    <w:rPr>
      <w:rFonts w:ascii="宋体"/>
      <w:szCs w:val="20"/>
    </w:rPr>
  </w:style>
  <w:style w:type="table" w:styleId="25">
    <w:name w:val="Table Grid"/>
    <w:basedOn w:val="24"/>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autoRedefine/>
    <w:qFormat/>
    <w:uiPriority w:val="0"/>
    <w:rPr>
      <w:b/>
      <w:bCs/>
    </w:rPr>
  </w:style>
  <w:style w:type="character" w:styleId="28">
    <w:name w:val="FollowedHyperlink"/>
    <w:basedOn w:val="26"/>
    <w:autoRedefine/>
    <w:semiHidden/>
    <w:unhideWhenUsed/>
    <w:qFormat/>
    <w:uiPriority w:val="99"/>
    <w:rPr>
      <w:color w:val="800080"/>
      <w:u w:val="none"/>
    </w:rPr>
  </w:style>
  <w:style w:type="character" w:styleId="29">
    <w:name w:val="Emphasis"/>
    <w:basedOn w:val="26"/>
    <w:autoRedefine/>
    <w:qFormat/>
    <w:uiPriority w:val="20"/>
    <w:rPr>
      <w:b/>
      <w:bCs/>
    </w:rPr>
  </w:style>
  <w:style w:type="character" w:styleId="30">
    <w:name w:val="HTML Definition"/>
    <w:basedOn w:val="26"/>
    <w:autoRedefine/>
    <w:semiHidden/>
    <w:unhideWhenUsed/>
    <w:qFormat/>
    <w:uiPriority w:val="99"/>
  </w:style>
  <w:style w:type="character" w:styleId="31">
    <w:name w:val="HTML Typewriter"/>
    <w:basedOn w:val="26"/>
    <w:autoRedefine/>
    <w:semiHidden/>
    <w:unhideWhenUsed/>
    <w:qFormat/>
    <w:uiPriority w:val="99"/>
    <w:rPr>
      <w:rFonts w:hint="default" w:ascii="monospace" w:hAnsi="monospace" w:eastAsia="monospace" w:cs="monospace"/>
      <w:sz w:val="20"/>
    </w:rPr>
  </w:style>
  <w:style w:type="character" w:styleId="32">
    <w:name w:val="HTML Acronym"/>
    <w:basedOn w:val="26"/>
    <w:autoRedefine/>
    <w:semiHidden/>
    <w:unhideWhenUsed/>
    <w:qFormat/>
    <w:uiPriority w:val="99"/>
    <w:rPr>
      <w:bdr w:val="none" w:color="auto" w:sz="0" w:space="0"/>
    </w:rPr>
  </w:style>
  <w:style w:type="character" w:styleId="33">
    <w:name w:val="HTML Variable"/>
    <w:basedOn w:val="26"/>
    <w:autoRedefine/>
    <w:semiHidden/>
    <w:unhideWhenUsed/>
    <w:qFormat/>
    <w:uiPriority w:val="99"/>
  </w:style>
  <w:style w:type="character" w:styleId="34">
    <w:name w:val="Hyperlink"/>
    <w:basedOn w:val="26"/>
    <w:autoRedefine/>
    <w:unhideWhenUsed/>
    <w:qFormat/>
    <w:uiPriority w:val="99"/>
    <w:rPr>
      <w:color w:val="0000FF" w:themeColor="hyperlink"/>
      <w:u w:val="single"/>
      <w14:textFill>
        <w14:solidFill>
          <w14:schemeClr w14:val="hlink"/>
        </w14:solidFill>
      </w14:textFill>
    </w:rPr>
  </w:style>
  <w:style w:type="character" w:styleId="35">
    <w:name w:val="HTML Code"/>
    <w:basedOn w:val="26"/>
    <w:autoRedefine/>
    <w:semiHidden/>
    <w:unhideWhenUsed/>
    <w:qFormat/>
    <w:uiPriority w:val="99"/>
    <w:rPr>
      <w:rFonts w:ascii="monospace" w:hAnsi="monospace" w:eastAsia="monospace" w:cs="monospace"/>
      <w:sz w:val="20"/>
    </w:rPr>
  </w:style>
  <w:style w:type="character" w:styleId="36">
    <w:name w:val="HTML Cite"/>
    <w:basedOn w:val="26"/>
    <w:autoRedefine/>
    <w:semiHidden/>
    <w:unhideWhenUsed/>
    <w:qFormat/>
    <w:uiPriority w:val="99"/>
  </w:style>
  <w:style w:type="character" w:styleId="37">
    <w:name w:val="HTML Keyboard"/>
    <w:basedOn w:val="26"/>
    <w:autoRedefine/>
    <w:semiHidden/>
    <w:unhideWhenUsed/>
    <w:qFormat/>
    <w:uiPriority w:val="99"/>
    <w:rPr>
      <w:rFonts w:hint="default" w:ascii="monospace" w:hAnsi="monospace" w:eastAsia="monospace" w:cs="monospace"/>
      <w:sz w:val="20"/>
    </w:rPr>
  </w:style>
  <w:style w:type="character" w:styleId="38">
    <w:name w:val="HTML Sample"/>
    <w:basedOn w:val="26"/>
    <w:autoRedefine/>
    <w:semiHidden/>
    <w:unhideWhenUsed/>
    <w:qFormat/>
    <w:uiPriority w:val="99"/>
    <w:rPr>
      <w:rFonts w:hint="default" w:ascii="monospace" w:hAnsi="monospace" w:eastAsia="monospace" w:cs="monospace"/>
    </w:rPr>
  </w:style>
  <w:style w:type="paragraph" w:customStyle="1" w:styleId="39">
    <w:name w:val="正文 New"/>
    <w:qFormat/>
    <w:uiPriority w:val="0"/>
    <w:pPr>
      <w:widowControl w:val="0"/>
      <w:spacing w:line="440" w:lineRule="exact"/>
      <w:ind w:left="357" w:hanging="357"/>
      <w:jc w:val="both"/>
    </w:pPr>
    <w:rPr>
      <w:rFonts w:ascii="Times New Roman" w:hAnsi="Times New Roman" w:eastAsia="宋体" w:cs="Times New Roman"/>
      <w:kern w:val="2"/>
      <w:sz w:val="21"/>
      <w:szCs w:val="22"/>
      <w:lang w:val="en-US" w:eastAsia="zh-CN" w:bidi="ar-SA"/>
    </w:rPr>
  </w:style>
  <w:style w:type="character" w:customStyle="1" w:styleId="40">
    <w:name w:val="批注框文本 Char"/>
    <w:basedOn w:val="26"/>
    <w:link w:val="15"/>
    <w:autoRedefine/>
    <w:semiHidden/>
    <w:qFormat/>
    <w:uiPriority w:val="99"/>
    <w:rPr>
      <w:rFonts w:ascii="@仿宋_GB2312" w:hAnsi="@仿宋_GB2312" w:eastAsia="@仿宋_GB2312" w:cs="@仿宋_GB2312"/>
      <w:sz w:val="18"/>
      <w:szCs w:val="18"/>
    </w:rPr>
  </w:style>
  <w:style w:type="paragraph" w:customStyle="1" w:styleId="41">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42">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43">
    <w:name w:val="D&amp;L"/>
    <w:basedOn w:val="1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4">
    <w:name w:val="页眉 Char"/>
    <w:basedOn w:val="26"/>
    <w:link w:val="17"/>
    <w:autoRedefine/>
    <w:qFormat/>
    <w:uiPriority w:val="0"/>
    <w:rPr>
      <w:rFonts w:ascii="@仿宋_GB2312" w:hAnsi="@仿宋_GB2312" w:eastAsia="@仿宋_GB2312" w:cs="@仿宋_GB2312"/>
      <w:sz w:val="18"/>
      <w:szCs w:val="18"/>
    </w:rPr>
  </w:style>
  <w:style w:type="character" w:customStyle="1" w:styleId="45">
    <w:name w:val="页脚 Char"/>
    <w:basedOn w:val="26"/>
    <w:link w:val="16"/>
    <w:autoRedefine/>
    <w:qFormat/>
    <w:uiPriority w:val="99"/>
    <w:rPr>
      <w:rFonts w:ascii="@仿宋_GB2312" w:hAnsi="@仿宋_GB2312" w:eastAsia="@仿宋_GB2312" w:cs="@仿宋_GB2312"/>
      <w:sz w:val="18"/>
      <w:szCs w:val="18"/>
    </w:rPr>
  </w:style>
  <w:style w:type="character" w:customStyle="1" w:styleId="46">
    <w:name w:val="纯文本 Char"/>
    <w:link w:val="13"/>
    <w:autoRedefine/>
    <w:qFormat/>
    <w:uiPriority w:val="0"/>
    <w:rPr>
      <w:rFonts w:ascii="宋体" w:hAnsi="Courier New"/>
    </w:rPr>
  </w:style>
  <w:style w:type="character" w:customStyle="1" w:styleId="47">
    <w:name w:val="纯文本 字符1"/>
    <w:basedOn w:val="26"/>
    <w:autoRedefine/>
    <w:semiHidden/>
    <w:qFormat/>
    <w:uiPriority w:val="99"/>
    <w:rPr>
      <w:rFonts w:hAnsi="Courier New" w:cs="Courier New" w:asciiTheme="minorEastAsia"/>
      <w:szCs w:val="20"/>
    </w:rPr>
  </w:style>
  <w:style w:type="character" w:customStyle="1" w:styleId="48">
    <w:name w:val="未处理的提及1"/>
    <w:basedOn w:val="26"/>
    <w:autoRedefine/>
    <w:semiHidden/>
    <w:unhideWhenUsed/>
    <w:qFormat/>
    <w:uiPriority w:val="99"/>
    <w:rPr>
      <w:color w:val="605E5C"/>
      <w:shd w:val="clear" w:color="auto" w:fill="E1DFDD"/>
    </w:rPr>
  </w:style>
  <w:style w:type="paragraph" w:styleId="49">
    <w:name w:val="List Paragraph"/>
    <w:basedOn w:val="1"/>
    <w:autoRedefine/>
    <w:qFormat/>
    <w:uiPriority w:val="34"/>
    <w:pPr>
      <w:ind w:firstLine="420" w:firstLineChars="200"/>
    </w:pPr>
  </w:style>
  <w:style w:type="paragraph" w:customStyle="1" w:styleId="50">
    <w:name w:val="Char Char Char Char Char Char Char1 Char"/>
    <w:basedOn w:val="1"/>
    <w:autoRedefine/>
    <w:qFormat/>
    <w:uiPriority w:val="0"/>
    <w:rPr>
      <w:rFonts w:ascii="Arial" w:hAnsi="Arial" w:eastAsia="宋体" w:cs="Arial"/>
      <w:sz w:val="24"/>
    </w:rPr>
  </w:style>
  <w:style w:type="table" w:customStyle="1" w:styleId="51">
    <w:name w:val="网格表 1 浅色1"/>
    <w:basedOn w:val="24"/>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2">
    <w:name w:val="日期 字符"/>
    <w:basedOn w:val="26"/>
    <w:autoRedefine/>
    <w:semiHidden/>
    <w:qFormat/>
    <w:uiPriority w:val="99"/>
    <w:rPr>
      <w:rFonts w:ascii="@仿宋_GB2312" w:hAnsi="@仿宋_GB2312" w:eastAsia="@仿宋_GB2312" w:cs="@仿宋_GB2312"/>
      <w:szCs w:val="20"/>
    </w:rPr>
  </w:style>
  <w:style w:type="character" w:customStyle="1" w:styleId="53">
    <w:name w:val="日期 Char"/>
    <w:link w:val="14"/>
    <w:autoRedefine/>
    <w:qFormat/>
    <w:uiPriority w:val="0"/>
    <w:rPr>
      <w:rFonts w:ascii="Arial" w:hAnsi="Arial" w:eastAsia="宋体" w:cs="Arial"/>
      <w:b/>
      <w:sz w:val="28"/>
      <w:szCs w:val="20"/>
    </w:rPr>
  </w:style>
  <w:style w:type="character" w:customStyle="1" w:styleId="54">
    <w:name w:val="纯文本 Char1"/>
    <w:link w:val="55"/>
    <w:autoRedefine/>
    <w:qFormat/>
    <w:locked/>
    <w:uiPriority w:val="0"/>
    <w:rPr>
      <w:rFonts w:ascii="Arial" w:hAnsi="Arial" w:eastAsia="Arial"/>
      <w:kern w:val="2"/>
      <w:sz w:val="21"/>
      <w:lang w:val="en-US" w:eastAsia="zh-CN" w:bidi="ar-SA"/>
    </w:rPr>
  </w:style>
  <w:style w:type="paragraph" w:customStyle="1" w:styleId="55">
    <w:name w:val="纯文本1"/>
    <w:basedOn w:val="1"/>
    <w:link w:val="54"/>
    <w:autoRedefine/>
    <w:qFormat/>
    <w:uiPriority w:val="0"/>
    <w:rPr>
      <w:rFonts w:ascii="Arial" w:hAnsi="Arial" w:eastAsia="Arial" w:cstheme="minorBidi"/>
    </w:rPr>
  </w:style>
  <w:style w:type="character" w:customStyle="1" w:styleId="56">
    <w:name w:val="批注文字 Char"/>
    <w:basedOn w:val="26"/>
    <w:autoRedefine/>
    <w:semiHidden/>
    <w:qFormat/>
    <w:uiPriority w:val="99"/>
    <w:rPr>
      <w:rFonts w:ascii="@仿宋_GB2312" w:hAnsi="@仿宋_GB2312" w:eastAsia="@仿宋_GB2312" w:cs="@仿宋_GB2312"/>
      <w:szCs w:val="20"/>
    </w:rPr>
  </w:style>
  <w:style w:type="character" w:customStyle="1" w:styleId="57">
    <w:name w:val="批注文字 Char1"/>
    <w:link w:val="8"/>
    <w:autoRedefine/>
    <w:qFormat/>
    <w:uiPriority w:val="0"/>
    <w:rPr>
      <w:rFonts w:ascii="Arial" w:hAnsi="Arial" w:eastAsia="黑体" w:cs="Arial"/>
      <w:szCs w:val="20"/>
    </w:rPr>
  </w:style>
  <w:style w:type="character" w:customStyle="1" w:styleId="58">
    <w:name w:val="标题 1 Char"/>
    <w:basedOn w:val="26"/>
    <w:link w:val="2"/>
    <w:autoRedefine/>
    <w:qFormat/>
    <w:uiPriority w:val="9"/>
    <w:rPr>
      <w:rFonts w:ascii="@仿宋_GB2312" w:hAnsi="@仿宋_GB2312" w:eastAsia="@仿宋_GB2312" w:cs="@仿宋_GB2312"/>
      <w:b/>
      <w:bCs/>
      <w:kern w:val="44"/>
      <w:sz w:val="44"/>
      <w:szCs w:val="44"/>
    </w:rPr>
  </w:style>
  <w:style w:type="paragraph" w:customStyle="1" w:styleId="59">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60">
    <w:name w:val="标题 3 Char"/>
    <w:basedOn w:val="26"/>
    <w:link w:val="4"/>
    <w:autoRedefine/>
    <w:semiHidden/>
    <w:qFormat/>
    <w:uiPriority w:val="9"/>
    <w:rPr>
      <w:rFonts w:ascii="@仿宋_GB2312" w:hAnsi="@仿宋_GB2312" w:eastAsia="@仿宋_GB2312" w:cs="@仿宋_GB2312"/>
      <w:b/>
      <w:bCs/>
      <w:sz w:val="32"/>
      <w:szCs w:val="32"/>
    </w:rPr>
  </w:style>
  <w:style w:type="character" w:customStyle="1" w:styleId="61">
    <w:name w:val="fontstyle01"/>
    <w:basedOn w:val="26"/>
    <w:autoRedefine/>
    <w:qFormat/>
    <w:uiPriority w:val="0"/>
    <w:rPr>
      <w:rFonts w:hint="eastAsia" w:ascii="宋体" w:hAnsi="宋体" w:eastAsia="宋体"/>
      <w:color w:val="000000"/>
      <w:sz w:val="22"/>
      <w:szCs w:val="22"/>
    </w:rPr>
  </w:style>
  <w:style w:type="character" w:customStyle="1" w:styleId="62">
    <w:name w:val="fontstyle21"/>
    <w:basedOn w:val="26"/>
    <w:autoRedefine/>
    <w:qFormat/>
    <w:uiPriority w:val="0"/>
    <w:rPr>
      <w:rFonts w:hint="default" w:ascii="TimesNewRomanPSMT" w:hAnsi="TimesNewRomanPSMT"/>
      <w:color w:val="000000"/>
      <w:sz w:val="22"/>
      <w:szCs w:val="22"/>
    </w:rPr>
  </w:style>
  <w:style w:type="character" w:customStyle="1" w:styleId="63">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64">
    <w:name w:val="标题 4 字符"/>
    <w:basedOn w:val="26"/>
    <w:autoRedefine/>
    <w:semiHidden/>
    <w:qFormat/>
    <w:uiPriority w:val="9"/>
    <w:rPr>
      <w:rFonts w:asciiTheme="majorHAnsi" w:hAnsiTheme="majorHAnsi" w:eastAsiaTheme="majorEastAsia" w:cstheme="majorBidi"/>
      <w:b/>
      <w:bCs/>
      <w:sz w:val="28"/>
      <w:szCs w:val="28"/>
    </w:rPr>
  </w:style>
  <w:style w:type="character" w:customStyle="1" w:styleId="65">
    <w:name w:val="标题 4 Char"/>
    <w:link w:val="5"/>
    <w:autoRedefine/>
    <w:qFormat/>
    <w:uiPriority w:val="0"/>
    <w:rPr>
      <w:rFonts w:ascii="@仿宋_GB2312" w:hAnsi="@仿宋_GB2312" w:eastAsia="@仿宋_GB2312" w:cs="@仿宋_GB2312"/>
      <w:b/>
      <w:bCs/>
      <w:sz w:val="28"/>
      <w:szCs w:val="28"/>
    </w:rPr>
  </w:style>
  <w:style w:type="character" w:customStyle="1" w:styleId="66">
    <w:name w:val="正文文本 Char"/>
    <w:basedOn w:val="26"/>
    <w:link w:val="9"/>
    <w:autoRedefine/>
    <w:qFormat/>
    <w:uiPriority w:val="0"/>
    <w:rPr>
      <w:rFonts w:ascii="@微软简标宋" w:hAnsi="@微软简标宋" w:eastAsia="@微软简标宋" w:cs="@微软简标宋"/>
      <w:szCs w:val="24"/>
      <w:lang w:val="zh-CN" w:eastAsia="zh-CN"/>
    </w:rPr>
  </w:style>
  <w:style w:type="table" w:customStyle="1" w:styleId="67">
    <w:name w:val="网格型1"/>
    <w:basedOn w:val="24"/>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8">
    <w:name w:val="Table Normal"/>
    <w:autoRedefine/>
    <w:semiHidden/>
    <w:unhideWhenUsed/>
    <w:qFormat/>
    <w:uiPriority w:val="0"/>
    <w:tblPr>
      <w:tblCellMar>
        <w:top w:w="0" w:type="dxa"/>
        <w:left w:w="0" w:type="dxa"/>
        <w:bottom w:w="0" w:type="dxa"/>
        <w:right w:w="0" w:type="dxa"/>
      </w:tblCellMar>
    </w:tblPr>
  </w:style>
  <w:style w:type="paragraph" w:customStyle="1" w:styleId="69">
    <w:name w:val="Table Text"/>
    <w:basedOn w:val="1"/>
    <w:autoRedefine/>
    <w:semiHidden/>
    <w:qFormat/>
    <w:uiPriority w:val="0"/>
    <w:rPr>
      <w:rFonts w:ascii="Arial" w:hAnsi="Arial" w:eastAsia="Arial" w:cs="Arial"/>
      <w:sz w:val="21"/>
      <w:szCs w:val="21"/>
      <w:lang w:val="en-US" w:eastAsia="en-US" w:bidi="ar-SA"/>
    </w:rPr>
  </w:style>
  <w:style w:type="character" w:customStyle="1" w:styleId="70">
    <w:name w:val="hover"/>
    <w:basedOn w:val="26"/>
    <w:qFormat/>
    <w:uiPriority w:val="0"/>
    <w:rPr>
      <w:color w:val="2590EB"/>
      <w:shd w:val="clear" w:fill="E9F4FD"/>
    </w:rPr>
  </w:style>
  <w:style w:type="character" w:customStyle="1" w:styleId="71">
    <w:name w:val="hover1"/>
    <w:basedOn w:val="26"/>
    <w:qFormat/>
    <w:uiPriority w:val="0"/>
  </w:style>
  <w:style w:type="character" w:customStyle="1" w:styleId="72">
    <w:name w:val="hover2"/>
    <w:basedOn w:val="26"/>
    <w:qFormat/>
    <w:uiPriority w:val="0"/>
    <w:rPr>
      <w:color w:val="2590EB"/>
    </w:rPr>
  </w:style>
  <w:style w:type="character" w:customStyle="1" w:styleId="73">
    <w:name w:val="hover3"/>
    <w:basedOn w:val="26"/>
    <w:qFormat/>
    <w:uiPriority w:val="0"/>
    <w:rPr>
      <w:color w:val="2590EB"/>
    </w:rPr>
  </w:style>
  <w:style w:type="character" w:customStyle="1" w:styleId="74">
    <w:name w:val="hover4"/>
    <w:basedOn w:val="26"/>
    <w:qFormat/>
    <w:uiPriority w:val="0"/>
    <w:rPr>
      <w:color w:val="2590EB"/>
      <w:shd w:val="clear" w:fill="E9F4F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5351A8-48F5-4B18-AF42-26053916CB99}">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78</Pages>
  <Words>2235</Words>
  <Characters>2574</Characters>
  <Lines>1</Lines>
  <Paragraphs>1</Paragraphs>
  <TotalTime>58</TotalTime>
  <ScaleCrop>false</ScaleCrop>
  <LinksUpToDate>false</LinksUpToDate>
  <CharactersWithSpaces>2681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这不科学</cp:lastModifiedBy>
  <cp:lastPrinted>2019-12-07T15:20:00Z</cp:lastPrinted>
  <dcterms:modified xsi:type="dcterms:W3CDTF">2025-04-21T01:46:20Z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CB0C572EF7BA4638A39BC1E34D54212A_13</vt:lpwstr>
  </property>
  <property fmtid="{D5CDD505-2E9C-101B-9397-08002B2CF9AE}" pid="4" name="KSOTemplateDocerSaveRecord">
    <vt:lpwstr>eyJoZGlkIjoiZmI5ZDY5ZDNjMmE2ZDcxYTFkMDY0Zjg5Mjg3YTE0YTgiLCJ1c2VySWQiOiI1MDM3MjkwOTMifQ==</vt:lpwstr>
  </property>
</Properties>
</file>