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1847C">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p>
    <w:p w14:paraId="7C821870">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p>
    <w:p w14:paraId="3A7593BF">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p>
    <w:p w14:paraId="563D6E80">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bookmarkStart w:id="0" w:name="_Hlk9544796"/>
      <w:r>
        <w:rPr>
          <w:rFonts w:hint="eastAsia" w:ascii="宋体" w:hAnsi="宋体" w:eastAsia="宋体"/>
          <w:b/>
          <w:bCs/>
          <w:color w:val="auto"/>
          <w:sz w:val="52"/>
          <w:szCs w:val="52"/>
          <w:highlight w:val="none"/>
        </w:rPr>
        <w:t>安徽省政府采购项目</w:t>
      </w:r>
    </w:p>
    <w:p w14:paraId="6FC9C86F">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rPr>
        <w:t>（服务类）</w:t>
      </w:r>
    </w:p>
    <w:p w14:paraId="07A0F431">
      <w:pPr>
        <w:widowControl/>
        <w:jc w:val="center"/>
        <w:rPr>
          <w:rFonts w:hint="eastAsia"/>
          <w:color w:val="auto"/>
          <w:highlight w:val="none"/>
        </w:rPr>
      </w:pPr>
      <w:r>
        <w:rPr>
          <w:rFonts w:hint="eastAsia" w:ascii="宋体" w:hAnsi="宋体" w:eastAsia="宋体" w:cs="宋体"/>
          <w:b/>
          <w:bCs/>
          <w:color w:val="auto"/>
          <w:kern w:val="0"/>
          <w:sz w:val="52"/>
          <w:szCs w:val="52"/>
          <w:highlight w:val="none"/>
          <w:lang w:bidi="ar"/>
        </w:rPr>
        <w:t>（</w:t>
      </w:r>
      <w:r>
        <w:rPr>
          <w:rFonts w:hint="eastAsia" w:ascii="宋体" w:hAnsi="宋体" w:eastAsia="宋体" w:cs="宋体"/>
          <w:b/>
          <w:bCs/>
          <w:color w:val="auto"/>
          <w:kern w:val="0"/>
          <w:sz w:val="52"/>
          <w:szCs w:val="52"/>
          <w:highlight w:val="none"/>
          <w:lang w:eastAsia="zh-CN" w:bidi="ar"/>
        </w:rPr>
        <w:t>202</w:t>
      </w:r>
      <w:r>
        <w:rPr>
          <w:rFonts w:hint="eastAsia" w:ascii="宋体" w:hAnsi="宋体" w:eastAsia="宋体" w:cs="宋体"/>
          <w:b/>
          <w:bCs/>
          <w:color w:val="auto"/>
          <w:kern w:val="0"/>
          <w:sz w:val="52"/>
          <w:szCs w:val="52"/>
          <w:highlight w:val="none"/>
          <w:lang w:val="en-US" w:eastAsia="zh-CN" w:bidi="ar"/>
        </w:rPr>
        <w:t>4</w:t>
      </w:r>
      <w:r>
        <w:rPr>
          <w:rFonts w:hint="eastAsia" w:ascii="宋体" w:hAnsi="宋体" w:eastAsia="宋体" w:cs="宋体"/>
          <w:b/>
          <w:bCs/>
          <w:color w:val="auto"/>
          <w:kern w:val="0"/>
          <w:sz w:val="52"/>
          <w:szCs w:val="52"/>
          <w:highlight w:val="none"/>
          <w:lang w:eastAsia="zh-CN" w:bidi="ar"/>
        </w:rPr>
        <w:t>年</w:t>
      </w:r>
      <w:r>
        <w:rPr>
          <w:rFonts w:hint="eastAsia" w:ascii="宋体" w:hAnsi="宋体" w:eastAsia="宋体" w:cs="宋体"/>
          <w:b/>
          <w:bCs/>
          <w:color w:val="auto"/>
          <w:kern w:val="0"/>
          <w:sz w:val="52"/>
          <w:szCs w:val="52"/>
          <w:highlight w:val="none"/>
          <w:lang w:bidi="ar"/>
        </w:rPr>
        <w:t>版）</w:t>
      </w:r>
    </w:p>
    <w:p w14:paraId="3606F221">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1109023C">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359EB42D">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381B0DB7">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5BDEF244">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18BDBE61">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u w:val="single"/>
          <w:lang w:eastAsia="zh-CN"/>
        </w:rPr>
      </w:pPr>
      <w:r>
        <w:rPr>
          <w:rFonts w:hint="eastAsia" w:ascii="宋体" w:hAnsi="宋体" w:eastAsia="宋体"/>
          <w:b/>
          <w:color w:val="auto"/>
          <w:spacing w:val="20"/>
          <w:kern w:val="0"/>
          <w:sz w:val="32"/>
          <w:szCs w:val="32"/>
          <w:highlight w:val="none"/>
        </w:rPr>
        <w:t>项目名称：</w:t>
      </w:r>
      <w:r>
        <w:rPr>
          <w:rFonts w:hint="eastAsia" w:ascii="宋体" w:hAnsi="宋体" w:eastAsia="宋体"/>
          <w:b/>
          <w:color w:val="auto"/>
          <w:spacing w:val="20"/>
          <w:kern w:val="0"/>
          <w:sz w:val="32"/>
          <w:szCs w:val="32"/>
          <w:highlight w:val="none"/>
          <w:u w:val="single"/>
          <w:lang w:eastAsia="zh-CN"/>
        </w:rPr>
        <w:t>滁州市公共安全视频监控服务项目</w:t>
      </w:r>
    </w:p>
    <w:p w14:paraId="1EE000E5">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u w:val="single"/>
          <w:lang w:val="en-US" w:eastAsia="zh-CN"/>
        </w:rPr>
      </w:pPr>
      <w:r>
        <w:rPr>
          <w:rFonts w:hint="eastAsia" w:ascii="宋体" w:hAnsi="宋体" w:eastAsia="宋体"/>
          <w:b/>
          <w:color w:val="auto"/>
          <w:spacing w:val="20"/>
          <w:kern w:val="0"/>
          <w:sz w:val="32"/>
          <w:szCs w:val="32"/>
          <w:highlight w:val="none"/>
        </w:rPr>
        <w:t>项目编号：</w:t>
      </w:r>
      <w:r>
        <w:rPr>
          <w:rFonts w:hint="eastAsia" w:ascii="宋体" w:hAnsi="宋体" w:eastAsia="宋体"/>
          <w:b/>
          <w:color w:val="auto"/>
          <w:spacing w:val="20"/>
          <w:kern w:val="0"/>
          <w:sz w:val="32"/>
          <w:szCs w:val="32"/>
          <w:highlight w:val="none"/>
          <w:u w:val="single"/>
        </w:rPr>
        <w:t>czsjcg202504-020</w:t>
      </w:r>
    </w:p>
    <w:p w14:paraId="037A693F">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lang w:eastAsia="zh-CN"/>
        </w:rPr>
      </w:pPr>
      <w:r>
        <w:rPr>
          <w:rFonts w:hint="eastAsia" w:ascii="宋体" w:hAnsi="宋体" w:eastAsia="宋体"/>
          <w:b/>
          <w:color w:val="auto"/>
          <w:spacing w:val="20"/>
          <w:kern w:val="0"/>
          <w:sz w:val="32"/>
          <w:szCs w:val="32"/>
          <w:highlight w:val="none"/>
        </w:rPr>
        <w:t>采 购 人：</w:t>
      </w:r>
      <w:r>
        <w:rPr>
          <w:rFonts w:hint="eastAsia" w:ascii="宋体" w:hAnsi="宋体" w:eastAsia="宋体"/>
          <w:b/>
          <w:color w:val="auto"/>
          <w:spacing w:val="20"/>
          <w:kern w:val="0"/>
          <w:sz w:val="32"/>
          <w:szCs w:val="32"/>
          <w:highlight w:val="none"/>
          <w:u w:val="single"/>
          <w:lang w:eastAsia="zh-CN"/>
        </w:rPr>
        <w:t>滁州市</w:t>
      </w:r>
      <w:r>
        <w:rPr>
          <w:rFonts w:hint="eastAsia" w:ascii="宋体" w:hAnsi="宋体" w:eastAsia="宋体"/>
          <w:b/>
          <w:color w:val="auto"/>
          <w:spacing w:val="20"/>
          <w:kern w:val="0"/>
          <w:sz w:val="32"/>
          <w:szCs w:val="32"/>
          <w:highlight w:val="none"/>
          <w:u w:val="single"/>
          <w:lang w:val="en-US" w:eastAsia="zh-CN"/>
        </w:rPr>
        <w:t>公安</w:t>
      </w:r>
      <w:r>
        <w:rPr>
          <w:rFonts w:hint="eastAsia" w:ascii="宋体" w:hAnsi="宋体" w:eastAsia="宋体"/>
          <w:b/>
          <w:color w:val="auto"/>
          <w:spacing w:val="20"/>
          <w:kern w:val="0"/>
          <w:sz w:val="32"/>
          <w:szCs w:val="32"/>
          <w:highlight w:val="none"/>
          <w:u w:val="single"/>
          <w:lang w:eastAsia="zh-CN"/>
        </w:rPr>
        <w:t>局</w:t>
      </w:r>
    </w:p>
    <w:p w14:paraId="03BE129A">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u w:val="single"/>
          <w:lang w:val="en-US" w:eastAsia="zh-CN"/>
        </w:rPr>
      </w:pPr>
      <w:r>
        <w:rPr>
          <w:rFonts w:hint="eastAsia" w:ascii="宋体" w:hAnsi="宋体" w:eastAsia="宋体"/>
          <w:b/>
          <w:color w:val="auto"/>
          <w:spacing w:val="20"/>
          <w:kern w:val="0"/>
          <w:sz w:val="32"/>
          <w:szCs w:val="32"/>
          <w:highlight w:val="none"/>
        </w:rPr>
        <w:t>采购代理机构：</w:t>
      </w:r>
      <w:r>
        <w:rPr>
          <w:rFonts w:hint="eastAsia" w:ascii="宋体" w:hAnsi="宋体" w:eastAsia="宋体"/>
          <w:b/>
          <w:color w:val="auto"/>
          <w:spacing w:val="20"/>
          <w:kern w:val="0"/>
          <w:sz w:val="32"/>
          <w:szCs w:val="32"/>
          <w:highlight w:val="none"/>
          <w:u w:val="single"/>
          <w:lang w:eastAsia="zh-CN"/>
        </w:rPr>
        <w:t>滁州市政府采购中心</w:t>
      </w:r>
    </w:p>
    <w:p w14:paraId="753291FC">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5EFCBA7D">
      <w:pPr>
        <w:tabs>
          <w:tab w:val="left" w:pos="2410"/>
        </w:tabs>
        <w:autoSpaceDE w:val="0"/>
        <w:autoSpaceDN w:val="0"/>
        <w:adjustRightInd w:val="0"/>
        <w:snapToGrid w:val="0"/>
        <w:spacing w:line="360" w:lineRule="auto"/>
        <w:jc w:val="center"/>
        <w:rPr>
          <w:rFonts w:hint="eastAsia" w:ascii="宋体" w:hAnsi="宋体" w:eastAsia="宋体"/>
          <w:b/>
          <w:color w:val="auto"/>
          <w:sz w:val="36"/>
          <w:highlight w:val="none"/>
        </w:rPr>
      </w:pPr>
      <w:r>
        <w:rPr>
          <w:rFonts w:hint="eastAsia" w:ascii="宋体" w:hAnsi="宋体" w:eastAsia="宋体"/>
          <w:b/>
          <w:color w:val="auto"/>
          <w:sz w:val="36"/>
          <w:highlight w:val="none"/>
          <w:u w:val="single"/>
          <w:lang w:eastAsia="zh-CN"/>
        </w:rPr>
        <w:t>2025</w:t>
      </w:r>
      <w:r>
        <w:rPr>
          <w:rFonts w:hint="eastAsia" w:ascii="宋体" w:hAnsi="宋体" w:eastAsia="宋体"/>
          <w:b/>
          <w:color w:val="auto"/>
          <w:sz w:val="36"/>
          <w:highlight w:val="none"/>
          <w:u w:val="single"/>
          <w:lang w:val="en-US" w:eastAsia="zh-CN"/>
        </w:rPr>
        <w:t xml:space="preserve"> </w:t>
      </w:r>
      <w:r>
        <w:rPr>
          <w:rFonts w:hint="eastAsia" w:ascii="宋体" w:hAnsi="宋体" w:eastAsia="宋体"/>
          <w:b/>
          <w:color w:val="auto"/>
          <w:sz w:val="36"/>
          <w:highlight w:val="none"/>
          <w:u w:val="none"/>
          <w:lang w:eastAsia="zh-CN"/>
        </w:rPr>
        <w:t>年</w:t>
      </w:r>
      <w:r>
        <w:rPr>
          <w:rFonts w:hint="eastAsia" w:ascii="宋体" w:hAnsi="宋体" w:eastAsia="宋体"/>
          <w:b/>
          <w:color w:val="auto"/>
          <w:sz w:val="36"/>
          <w:highlight w:val="none"/>
          <w:u w:val="single"/>
          <w:lang w:val="en-US" w:eastAsia="zh-CN"/>
        </w:rPr>
        <w:t xml:space="preserve"> 4 </w:t>
      </w:r>
      <w:r>
        <w:rPr>
          <w:rFonts w:hint="eastAsia" w:ascii="宋体" w:hAnsi="宋体" w:eastAsia="宋体"/>
          <w:b/>
          <w:color w:val="auto"/>
          <w:sz w:val="36"/>
          <w:highlight w:val="none"/>
          <w:u w:val="none"/>
        </w:rPr>
        <w:t>月</w:t>
      </w:r>
      <w:r>
        <w:rPr>
          <w:rFonts w:ascii="宋体" w:hAnsi="宋体" w:eastAsia="宋体"/>
          <w:b/>
          <w:color w:val="auto"/>
          <w:sz w:val="36"/>
          <w:highlight w:val="none"/>
        </w:rPr>
        <w:br w:type="page"/>
      </w:r>
    </w:p>
    <w:p w14:paraId="30ACFD61">
      <w:pPr>
        <w:tabs>
          <w:tab w:val="left" w:pos="2410"/>
        </w:tabs>
        <w:autoSpaceDE w:val="0"/>
        <w:autoSpaceDN w:val="0"/>
        <w:adjustRightInd w:val="0"/>
        <w:snapToGrid w:val="0"/>
        <w:spacing w:line="360" w:lineRule="auto"/>
        <w:jc w:val="center"/>
        <w:rPr>
          <w:rFonts w:hint="eastAsia" w:ascii="宋体" w:hAnsi="宋体" w:eastAsia="宋体"/>
          <w:b/>
          <w:color w:val="auto"/>
          <w:sz w:val="28"/>
          <w:highlight w:val="none"/>
        </w:rPr>
      </w:pPr>
    </w:p>
    <w:p w14:paraId="69A50724">
      <w:pPr>
        <w:tabs>
          <w:tab w:val="left" w:pos="2410"/>
        </w:tabs>
        <w:autoSpaceDE w:val="0"/>
        <w:autoSpaceDN w:val="0"/>
        <w:adjustRightInd w:val="0"/>
        <w:snapToGrid w:val="0"/>
        <w:spacing w:line="60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目  录</w:t>
      </w:r>
    </w:p>
    <w:p w14:paraId="02886938">
      <w:pPr>
        <w:pStyle w:val="2"/>
        <w:tabs>
          <w:tab w:val="right" w:leader="dot" w:pos="8306"/>
        </w:tabs>
        <w:spacing w:line="60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"1-2" \h \z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"_Toc32331"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投标邀请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p>
    <w:p w14:paraId="51E4EFCE">
      <w:pPr>
        <w:pStyle w:val="2"/>
        <w:tabs>
          <w:tab w:val="right" w:leader="dot" w:pos="8306"/>
        </w:tabs>
        <w:spacing w:line="6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"_Toc8888"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fldChar w:fldCharType="end"/>
      </w:r>
    </w:p>
    <w:p w14:paraId="6A83CE96">
      <w:pPr>
        <w:pStyle w:val="2"/>
        <w:tabs>
          <w:tab w:val="right" w:leader="dot" w:pos="8306"/>
        </w:tabs>
        <w:spacing w:line="6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"_Toc22605"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第三章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4</w:t>
      </w:r>
    </w:p>
    <w:p w14:paraId="7B617541">
      <w:pPr>
        <w:pStyle w:val="2"/>
        <w:tabs>
          <w:tab w:val="right" w:leader="dot" w:pos="8306"/>
        </w:tabs>
        <w:spacing w:line="6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"_Toc30824"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第四章  评标方法和标准（综合评分法）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146</w:t>
      </w:r>
    </w:p>
    <w:p w14:paraId="71A14AD8">
      <w:pPr>
        <w:pStyle w:val="2"/>
        <w:tabs>
          <w:tab w:val="right" w:leader="dot" w:pos="8306"/>
        </w:tabs>
        <w:spacing w:line="6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第五章  政府采购合同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155</w:t>
      </w:r>
      <w:r>
        <w:rPr>
          <w:rFonts w:hint="eastAsia" w:ascii="宋体" w:hAnsi="宋体" w:eastAsia="宋体" w:cs="宋体"/>
          <w:color w:val="auto"/>
          <w:sz w:val="24"/>
          <w:szCs w:val="24"/>
          <w:highlight w:val="none"/>
        </w:rPr>
        <w:fldChar w:fldCharType="end"/>
      </w:r>
    </w:p>
    <w:p w14:paraId="7F688975">
      <w:pPr>
        <w:pStyle w:val="2"/>
        <w:tabs>
          <w:tab w:val="right" w:leader="dot" w:pos="8306"/>
        </w:tabs>
        <w:spacing w:line="6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"_Toc13555"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5</w:t>
      </w:r>
    </w:p>
    <w:p w14:paraId="3CA122E9">
      <w:pPr>
        <w:pStyle w:val="2"/>
        <w:tabs>
          <w:tab w:val="right" w:leader="dot" w:pos="8306"/>
        </w:tabs>
        <w:spacing w:line="600" w:lineRule="exact"/>
        <w:jc w:val="center"/>
        <w:rPr>
          <w:rFonts w:hint="eastAsia" w:ascii="宋体" w:hAnsi="宋体" w:eastAsia="宋体" w:cs="宋体"/>
          <w:color w:val="auto"/>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"_Toc20819"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bCs/>
          <w:color w:val="auto"/>
          <w:sz w:val="24"/>
          <w:szCs w:val="24"/>
          <w:highlight w:val="none"/>
        </w:rPr>
        <w:t xml:space="preserve">  政府采购</w:t>
      </w:r>
      <w:r>
        <w:rPr>
          <w:rFonts w:hint="eastAsia" w:ascii="宋体" w:hAnsi="宋体" w:eastAsia="宋体" w:cs="宋体"/>
          <w:color w:val="auto"/>
          <w:sz w:val="24"/>
          <w:szCs w:val="24"/>
          <w:highlight w:val="none"/>
        </w:rPr>
        <w:t>供应</w:t>
      </w:r>
      <w:r>
        <w:rPr>
          <w:rFonts w:hint="eastAsia" w:ascii="宋体" w:hAnsi="宋体" w:eastAsia="宋体" w:cs="宋体"/>
          <w:bCs/>
          <w:color w:val="auto"/>
          <w:sz w:val="24"/>
          <w:szCs w:val="24"/>
          <w:highlight w:val="none"/>
        </w:rPr>
        <w:t>商询问函和质疑函范本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84</w:t>
      </w:r>
    </w:p>
    <w:p w14:paraId="59BA6227">
      <w:pPr>
        <w:pStyle w:val="2"/>
        <w:tabs>
          <w:tab w:val="right" w:leader="dot" w:pos="8306"/>
        </w:tabs>
        <w:rPr>
          <w:rFonts w:hint="eastAsia" w:asciiTheme="minorEastAsia" w:hAnsiTheme="minorEastAsia"/>
          <w:b/>
          <w:color w:val="auto"/>
          <w:sz w:val="32"/>
          <w:highlight w:val="none"/>
        </w:rPr>
      </w:pPr>
      <w:r>
        <w:rPr>
          <w:rFonts w:hint="eastAsia" w:ascii="宋体" w:hAnsi="宋体" w:eastAsia="宋体" w:cs="宋体"/>
          <w:color w:val="auto"/>
          <w:szCs w:val="24"/>
          <w:highlight w:val="none"/>
        </w:rPr>
        <w:fldChar w:fldCharType="end"/>
      </w:r>
    </w:p>
    <w:p w14:paraId="1352CCC0">
      <w:pPr>
        <w:spacing w:line="360" w:lineRule="auto"/>
        <w:rPr>
          <w:rFonts w:hint="eastAsia" w:asciiTheme="minorEastAsia" w:hAnsiTheme="minorEastAsia" w:eastAsiaTheme="minorEastAsia"/>
          <w:b/>
          <w:color w:val="auto"/>
          <w:sz w:val="32"/>
          <w:highlight w:val="none"/>
        </w:rPr>
      </w:pPr>
    </w:p>
    <w:p w14:paraId="79758BD0">
      <w:pPr>
        <w:spacing w:line="360" w:lineRule="auto"/>
        <w:jc w:val="center"/>
        <w:outlineLvl w:val="1"/>
        <w:rPr>
          <w:rFonts w:hint="eastAsia" w:asciiTheme="minorEastAsia" w:hAnsiTheme="minorEastAsia" w:eastAsiaTheme="minorEastAsia"/>
          <w:b/>
          <w:color w:val="auto"/>
          <w:sz w:val="28"/>
          <w:highlight w:val="none"/>
        </w:rPr>
        <w:sectPr>
          <w:headerReference r:id="rId3" w:type="default"/>
          <w:footerReference r:id="rId4" w:type="default"/>
          <w:pgSz w:w="11906" w:h="16838"/>
          <w:pgMar w:top="1134" w:right="1134" w:bottom="1134" w:left="1134" w:header="851" w:footer="992" w:gutter="0"/>
          <w:cols w:space="425" w:num="1"/>
          <w:docGrid w:type="lines" w:linePitch="312" w:charSpace="0"/>
        </w:sectPr>
      </w:pPr>
    </w:p>
    <w:p w14:paraId="33E25645">
      <w:pPr>
        <w:pStyle w:val="3"/>
        <w:pageBreakBefore w:val="0"/>
        <w:tabs>
          <w:tab w:val="left" w:pos="0"/>
          <w:tab w:val="left" w:pos="3165"/>
          <w:tab w:val="center" w:pos="4153"/>
        </w:tabs>
        <w:kinsoku/>
        <w:overflowPunct/>
        <w:topLinePunct w:val="0"/>
        <w:autoSpaceDE w:val="0"/>
        <w:autoSpaceDN w:val="0"/>
        <w:bidi w:val="0"/>
        <w:adjustRightInd w:val="0"/>
        <w:snapToGrid/>
        <w:spacing w:before="0" w:after="0" w:line="420" w:lineRule="exact"/>
        <w:jc w:val="center"/>
        <w:textAlignment w:val="auto"/>
        <w:rPr>
          <w:rFonts w:hint="eastAsia" w:asciiTheme="minorEastAsia" w:hAnsiTheme="minorEastAsia" w:eastAsiaTheme="minorEastAsia"/>
          <w:color w:val="auto"/>
          <w:sz w:val="28"/>
          <w:highlight w:val="none"/>
        </w:rPr>
      </w:pPr>
      <w:bookmarkStart w:id="1" w:name="_Toc32331"/>
      <w:r>
        <w:rPr>
          <w:rFonts w:hint="eastAsia" w:asciiTheme="minorEastAsia" w:hAnsiTheme="minorEastAsia" w:eastAsiaTheme="minorEastAsia"/>
          <w:color w:val="auto"/>
          <w:sz w:val="28"/>
          <w:highlight w:val="none"/>
        </w:rPr>
        <w:t xml:space="preserve">第一章 </w:t>
      </w:r>
      <w:r>
        <w:rPr>
          <w:rFonts w:asciiTheme="minorEastAsia" w:hAnsiTheme="minorEastAsia" w:eastAsiaTheme="minorEastAsia"/>
          <w:color w:val="auto"/>
          <w:sz w:val="28"/>
          <w:highlight w:val="none"/>
        </w:rPr>
        <w:t xml:space="preserve"> </w:t>
      </w:r>
      <w:bookmarkEnd w:id="1"/>
      <w:bookmarkStart w:id="2" w:name="_Toc35393790"/>
      <w:bookmarkStart w:id="3" w:name="_Toc28359079"/>
      <w:bookmarkStart w:id="4" w:name="_Toc35393621"/>
      <w:bookmarkStart w:id="5" w:name="_Toc28359002"/>
      <w:bookmarkStart w:id="6" w:name="_Hlk24379207"/>
      <w:r>
        <w:rPr>
          <w:rFonts w:asciiTheme="minorEastAsia" w:hAnsiTheme="minorEastAsia" w:eastAsiaTheme="minorEastAsia"/>
          <w:color w:val="auto"/>
          <w:sz w:val="28"/>
          <w:highlight w:val="none"/>
        </w:rPr>
        <w:t>投标邀请</w:t>
      </w:r>
    </w:p>
    <w:p w14:paraId="64B1CCC0">
      <w:pPr>
        <w:keepNext/>
        <w:keepLines/>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12847B79">
      <w:pPr>
        <w:keepNext/>
        <w:keepLines/>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滁州</w:t>
      </w:r>
      <w:r>
        <w:rPr>
          <w:rFonts w:hint="eastAsia" w:ascii="宋体" w:hAnsi="宋体" w:eastAsia="宋体" w:cs="宋体"/>
          <w:color w:val="auto"/>
          <w:sz w:val="24"/>
          <w:szCs w:val="24"/>
          <w:highlight w:val="none"/>
          <w:u w:val="single"/>
          <w:lang w:val="en-US" w:eastAsia="zh-CN"/>
        </w:rPr>
        <w:t>市</w:t>
      </w:r>
      <w:r>
        <w:rPr>
          <w:rFonts w:hint="eastAsia" w:ascii="宋体" w:hAnsi="宋体" w:eastAsia="宋体" w:cs="宋体"/>
          <w:color w:val="auto"/>
          <w:sz w:val="24"/>
          <w:szCs w:val="24"/>
          <w:highlight w:val="none"/>
          <w:u w:val="single"/>
        </w:rPr>
        <w:t>公共安全视频监控服务项目</w:t>
      </w:r>
      <w:r>
        <w:rPr>
          <w:rFonts w:hint="eastAsia" w:ascii="宋体" w:hAnsi="宋体" w:eastAsia="宋体" w:cs="宋体"/>
          <w:color w:val="auto"/>
          <w:sz w:val="24"/>
          <w:szCs w:val="24"/>
          <w:highlight w:val="none"/>
        </w:rPr>
        <w:t>的潜在供应商应在滁州市公共资源交易中心网（http：//ggzy.chuzhou.gov.cn/）获取招标文件，并于</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08</w:t>
      </w:r>
      <w:r>
        <w:rPr>
          <w:rFonts w:hint="eastAsia" w:ascii="宋体" w:hAnsi="宋体" w:eastAsia="宋体" w:cs="宋体"/>
          <w:color w:val="auto"/>
          <w:sz w:val="24"/>
          <w:szCs w:val="24"/>
          <w:highlight w:val="none"/>
        </w:rPr>
        <w:t>点</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分（北京时间）前递交投标文件。</w:t>
      </w:r>
    </w:p>
    <w:p w14:paraId="43455320">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bookmarkEnd w:id="2"/>
      <w:bookmarkEnd w:id="3"/>
      <w:bookmarkEnd w:id="4"/>
      <w:bookmarkEnd w:id="5"/>
    </w:p>
    <w:p w14:paraId="6C5C9137">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项目编号：czsjcg202504-020</w:t>
      </w:r>
      <w:r>
        <w:rPr>
          <w:rFonts w:hint="eastAsia" w:ascii="宋体" w:hAnsi="宋体" w:eastAsia="宋体" w:cs="宋体"/>
          <w:color w:val="auto"/>
          <w:sz w:val="24"/>
          <w:szCs w:val="24"/>
          <w:highlight w:val="none"/>
          <w:lang w:val="en-US" w:eastAsia="zh-CN"/>
        </w:rPr>
        <w:t xml:space="preserve"> </w:t>
      </w:r>
    </w:p>
    <w:p w14:paraId="2D320CEE">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bookmarkEnd w:id="6"/>
      <w:r>
        <w:rPr>
          <w:rFonts w:hint="eastAsia" w:ascii="宋体" w:hAnsi="宋体" w:eastAsia="宋体" w:cs="宋体"/>
          <w:color w:val="auto"/>
          <w:sz w:val="24"/>
          <w:szCs w:val="24"/>
          <w:highlight w:val="none"/>
        </w:rPr>
        <w:t>滁州</w:t>
      </w:r>
      <w:r>
        <w:rPr>
          <w:rFonts w:hint="eastAsia" w:ascii="宋体" w:hAnsi="宋体" w:eastAsia="宋体" w:cs="宋体"/>
          <w:color w:val="auto"/>
          <w:sz w:val="24"/>
          <w:szCs w:val="24"/>
          <w:highlight w:val="none"/>
          <w:lang w:val="en-US" w:eastAsia="zh-CN"/>
        </w:rPr>
        <w:t>市</w:t>
      </w:r>
      <w:r>
        <w:rPr>
          <w:rFonts w:hint="eastAsia" w:ascii="宋体" w:hAnsi="宋体" w:eastAsia="宋体" w:cs="宋体"/>
          <w:color w:val="auto"/>
          <w:sz w:val="24"/>
          <w:szCs w:val="24"/>
          <w:highlight w:val="none"/>
        </w:rPr>
        <w:t>公共安全视频监控服务项目</w:t>
      </w:r>
    </w:p>
    <w:p w14:paraId="1F4A07ED">
      <w:pPr>
        <w:pageBreakBefore w:val="0"/>
        <w:kinsoku/>
        <w:overflowPunct/>
        <w:topLinePunct w:val="0"/>
        <w:autoSpaceDE/>
        <w:autoSpaceDN/>
        <w:bidi w:val="0"/>
        <w:adjustRightInd/>
        <w:snapToGrid/>
        <w:spacing w:line="52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lang w:val="en-US" w:eastAsia="zh-CN"/>
        </w:rPr>
        <w:t>258元/路/月，一年（12个月）6193300元，三年（36个月）18579900元。</w:t>
      </w:r>
    </w:p>
    <w:p w14:paraId="6CE110F1">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最高限价：综合单价最高限价为258元/路/月，投标报价高于最高限价的，其投标文件按无效投标处理。</w:t>
      </w:r>
    </w:p>
    <w:p w14:paraId="48FA3264">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购买2000路公共安全视频监控服务,包括人员卡口、车辆卡口和全结构化等智能摄像机，平台相应增加视频、图片存储以及流媒体转发能力，扩容人像、车辆数据解析与算法分析能力并提供后台机房运行环境。</w:t>
      </w:r>
    </w:p>
    <w:p w14:paraId="05CC4F34">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合同履行期限：服务期限为三年（36个月）（合同一签三年，自合同签订之日起开始计算）。</w:t>
      </w:r>
    </w:p>
    <w:p w14:paraId="61CA7F4C">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p w14:paraId="7D249C91">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bookmarkStart w:id="7" w:name="_Toc35393622"/>
      <w:bookmarkStart w:id="8" w:name="_Toc28359080"/>
      <w:bookmarkStart w:id="9" w:name="_Toc28359003"/>
      <w:bookmarkStart w:id="10" w:name="_Toc35393791"/>
      <w:r>
        <w:rPr>
          <w:rFonts w:hint="eastAsia" w:ascii="宋体" w:hAnsi="宋体" w:eastAsia="宋体" w:cs="宋体"/>
          <w:b/>
          <w:bCs/>
          <w:color w:val="auto"/>
          <w:sz w:val="24"/>
          <w:szCs w:val="24"/>
          <w:highlight w:val="none"/>
        </w:rPr>
        <w:t>二、申请人的资格要求：</w:t>
      </w:r>
      <w:bookmarkEnd w:id="7"/>
      <w:bookmarkEnd w:id="8"/>
      <w:bookmarkEnd w:id="9"/>
      <w:bookmarkEnd w:id="10"/>
    </w:p>
    <w:p w14:paraId="07DFD57C">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56E1D961">
      <w:pPr>
        <w:pStyle w:val="33"/>
        <w:pageBreakBefore w:val="0"/>
        <w:kinsoku/>
        <w:overflowPunct/>
        <w:topLinePunct w:val="0"/>
        <w:autoSpaceDE/>
        <w:autoSpaceDN/>
        <w:bidi w:val="0"/>
        <w:adjustRightInd/>
        <w:snapToGrid/>
        <w:spacing w:before="0" w:beforeAutospacing="0" w:after="0" w:afterAutospacing="0" w:line="520" w:lineRule="exact"/>
        <w:ind w:firstLine="480" w:firstLineChars="200"/>
        <w:textAlignment w:val="auto"/>
        <w:rPr>
          <w:rFonts w:hint="eastAsia" w:ascii="宋体" w:hAnsi="宋体" w:eastAsia="宋体" w:cs="宋体"/>
          <w:color w:val="auto"/>
          <w:kern w:val="2"/>
          <w:szCs w:val="24"/>
          <w:highlight w:val="none"/>
          <w:lang w:eastAsia="zh-CN"/>
        </w:rPr>
      </w:pPr>
      <w:bookmarkStart w:id="11" w:name="_Toc28359004"/>
      <w:bookmarkStart w:id="12" w:name="_Toc28359081"/>
      <w:r>
        <w:rPr>
          <w:rFonts w:hint="eastAsia" w:ascii="宋体" w:hAnsi="宋体" w:eastAsia="宋体" w:cs="宋体"/>
          <w:color w:val="auto"/>
          <w:szCs w:val="24"/>
          <w:highlight w:val="none"/>
        </w:rPr>
        <w:t>2.落实政府采购政策需满足的资格要求：</w:t>
      </w:r>
      <w:r>
        <w:rPr>
          <w:rFonts w:hint="eastAsia" w:ascii="宋体" w:hAnsi="宋体" w:eastAsia="宋体" w:cs="宋体"/>
          <w:color w:val="auto"/>
          <w:kern w:val="2"/>
          <w:szCs w:val="24"/>
          <w:highlight w:val="none"/>
          <w:lang w:eastAsia="zh-CN"/>
        </w:rPr>
        <w:t>按照财政部、工业和信息化部制定的《政府采购促进中小企业发展管理办法》第六条第三款（按照本办法规定预留采购份额无法确保充分供应、充分竞争，或者存在可能影响政府采购目标实现的情形）之规定，本项目为非专门面向中小企业采购项目。若中小企业对此有质疑，可按以下渠道递交质疑：①以书面材料递交至采购人或采购代理机构处；②在滁州市公共资源交易中心网电子交易系统中进行质疑，具体操作步骤和程序请参见服务指南&gt;交易须知&gt;在线异议、质疑和投诉操作手册；</w:t>
      </w:r>
    </w:p>
    <w:p w14:paraId="22757081">
      <w:pPr>
        <w:pStyle w:val="33"/>
        <w:pageBreakBefore w:val="0"/>
        <w:kinsoku/>
        <w:overflowPunct/>
        <w:topLinePunct w:val="0"/>
        <w:autoSpaceDE/>
        <w:autoSpaceDN/>
        <w:bidi w:val="0"/>
        <w:adjustRightInd/>
        <w:snapToGrid/>
        <w:spacing w:before="0" w:beforeAutospacing="0" w:after="0" w:afterAutospacing="0" w:line="520" w:lineRule="exact"/>
        <w:ind w:firstLine="480" w:firstLineChars="20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rPr>
        <w:t>3.本项目的特定资格要求：投标人应具有《广播电视节目传送业务经营许可证》或同时具有《基础电信业务经营许可证》和《增值电信业务经营许可证》</w:t>
      </w:r>
      <w:r>
        <w:rPr>
          <w:rFonts w:hint="eastAsia" w:ascii="宋体" w:hAnsi="宋体" w:eastAsia="宋体" w:cs="宋体"/>
          <w:color w:val="auto"/>
          <w:szCs w:val="24"/>
          <w:highlight w:val="none"/>
          <w:lang w:val="en-US" w:eastAsia="zh-CN"/>
        </w:rPr>
        <w:t>；</w:t>
      </w:r>
    </w:p>
    <w:p w14:paraId="7D750E9D">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4.信誉要求：投标人不得存在以下情形：</w:t>
      </w:r>
    </w:p>
    <w:p w14:paraId="6C5EBAEC">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bookmarkStart w:id="13" w:name="_Toc35393792"/>
      <w:bookmarkStart w:id="14" w:name="_Toc35393623"/>
      <w:r>
        <w:rPr>
          <w:rFonts w:hint="eastAsia" w:ascii="宋体" w:hAnsi="宋体" w:eastAsia="宋体" w:cs="宋体"/>
          <w:color w:val="auto"/>
          <w:sz w:val="24"/>
          <w:szCs w:val="24"/>
          <w:highlight w:val="none"/>
        </w:rPr>
        <w:t>①被列入“信用中国”网站“失信被执行人”的；</w:t>
      </w:r>
    </w:p>
    <w:p w14:paraId="235041BC">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②被列入“信用中国”网站“重大税收违法失信主体”的；</w:t>
      </w:r>
    </w:p>
    <w:p w14:paraId="1E442DAB">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③被列入“信用中国”网站 “严重失信主体名单”的；</w:t>
      </w:r>
    </w:p>
    <w:p w14:paraId="1ED5166F">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④在“信用中国”网站上披露的仍在公示期的严重失信行为(具体行为类别及判定依据见“信用中国”查询的严重失信行为类别及判定依据)的；</w:t>
      </w:r>
    </w:p>
    <w:p w14:paraId="5391B2F4">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⑤被列入国家企业信用信息公示系统网站“经营异常名录”或者“严重违法失信名单”的。</w:t>
      </w:r>
    </w:p>
    <w:p w14:paraId="5E3AC6EB">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⑥被列入中国政府采购网站“政府采购严重违法失信行为信息记录”的；</w:t>
      </w:r>
    </w:p>
    <w:p w14:paraId="5A5F0F7D">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⑦前三年有行贿犯罪行为的单位和个人。</w:t>
      </w:r>
    </w:p>
    <w:p w14:paraId="33541DE5">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所属分公司、办事处等分支机构存在第4条信誉要求①-⑦项情形之一的，接受</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参加本项目。</w:t>
      </w:r>
    </w:p>
    <w:p w14:paraId="630185E3">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备注：第4、5条按照“关于联合惩戒失信行为加强信用查询管理的通知”查询或承诺。</w:t>
      </w:r>
    </w:p>
    <w:p w14:paraId="435C883C">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三、获取招标文件</w:t>
      </w:r>
      <w:bookmarkEnd w:id="11"/>
      <w:bookmarkEnd w:id="12"/>
      <w:bookmarkEnd w:id="13"/>
      <w:bookmarkEnd w:id="14"/>
    </w:p>
    <w:p w14:paraId="21A31826">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lang w:eastAsia="zh-CN"/>
        </w:rPr>
        <w:t>2025年</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18</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日</w:t>
      </w:r>
      <w:r>
        <w:rPr>
          <w:rFonts w:hint="eastAsia" w:ascii="宋体" w:hAnsi="宋体" w:eastAsia="宋体" w:cs="宋体"/>
          <w:iCs/>
          <w:color w:val="auto"/>
          <w:sz w:val="24"/>
          <w:szCs w:val="24"/>
          <w:highlight w:val="none"/>
          <w:u w:val="single"/>
        </w:rPr>
        <w:t>（提供期限自本公告发布之日起不得少于5个工作日）</w:t>
      </w:r>
    </w:p>
    <w:p w14:paraId="3F24A1CE">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地点：滁州市公共资源交易中心网</w:t>
      </w:r>
    </w:p>
    <w:p w14:paraId="1B4896E4">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方式：网上下载</w:t>
      </w:r>
    </w:p>
    <w:p w14:paraId="3E0E4B2E">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1516000D">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bookmarkStart w:id="15" w:name="_Toc28359005"/>
      <w:bookmarkStart w:id="16" w:name="_Toc28359082"/>
      <w:bookmarkStart w:id="17" w:name="_Toc35393624"/>
      <w:bookmarkStart w:id="18" w:name="_Toc35393793"/>
      <w:r>
        <w:rPr>
          <w:rFonts w:hint="eastAsia" w:ascii="宋体" w:hAnsi="宋体" w:eastAsia="宋体" w:cs="宋体"/>
          <w:b/>
          <w:bCs/>
          <w:color w:val="auto"/>
          <w:sz w:val="24"/>
          <w:szCs w:val="24"/>
          <w:highlight w:val="none"/>
        </w:rPr>
        <w:t>四、提交投标文件</w:t>
      </w:r>
      <w:bookmarkEnd w:id="15"/>
      <w:bookmarkEnd w:id="16"/>
      <w:r>
        <w:rPr>
          <w:rFonts w:hint="eastAsia" w:ascii="宋体" w:hAnsi="宋体" w:eastAsia="宋体" w:cs="宋体"/>
          <w:b/>
          <w:bCs/>
          <w:color w:val="auto"/>
          <w:sz w:val="24"/>
          <w:szCs w:val="24"/>
          <w:highlight w:val="none"/>
        </w:rPr>
        <w:t>截止时间、开标时间和地点</w:t>
      </w:r>
      <w:bookmarkEnd w:id="17"/>
      <w:bookmarkEnd w:id="18"/>
    </w:p>
    <w:p w14:paraId="77A6C0CF">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日</w:t>
      </w:r>
      <w:r>
        <w:rPr>
          <w:rFonts w:hint="eastAsia" w:ascii="宋体" w:hAnsi="宋体" w:eastAsia="宋体" w:cs="宋体"/>
          <w:bCs/>
          <w:color w:val="auto"/>
          <w:sz w:val="24"/>
          <w:szCs w:val="24"/>
          <w:highlight w:val="none"/>
          <w:u w:val="single"/>
        </w:rPr>
        <w:t>08点00分</w:t>
      </w:r>
      <w:r>
        <w:rPr>
          <w:rFonts w:hint="eastAsia" w:ascii="宋体" w:hAnsi="宋体" w:eastAsia="宋体" w:cs="宋体"/>
          <w:bCs/>
          <w:color w:val="auto"/>
          <w:sz w:val="24"/>
          <w:szCs w:val="24"/>
          <w:highlight w:val="none"/>
        </w:rPr>
        <w:t>（北京时间）</w:t>
      </w:r>
      <w:r>
        <w:rPr>
          <w:rFonts w:hint="eastAsia" w:ascii="宋体" w:hAnsi="宋体" w:eastAsia="宋体" w:cs="宋体"/>
          <w:iCs/>
          <w:color w:val="auto"/>
          <w:sz w:val="24"/>
          <w:szCs w:val="24"/>
          <w:highlight w:val="none"/>
          <w:u w:val="single"/>
        </w:rPr>
        <w:t>（自招标文件开始发出之日起至供应商提交投标文件截止之日止，不得少于20日）</w:t>
      </w:r>
    </w:p>
    <w:p w14:paraId="56E74BC5">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地点：</w:t>
      </w:r>
      <w:r>
        <w:rPr>
          <w:rFonts w:hint="eastAsia" w:ascii="宋体" w:hAnsi="宋体" w:eastAsia="宋体" w:cs="宋体"/>
          <w:color w:val="auto"/>
          <w:sz w:val="24"/>
          <w:szCs w:val="24"/>
          <w:highlight w:val="none"/>
        </w:rPr>
        <w:t>滁州市公共资源交易中心网</w:t>
      </w:r>
    </w:p>
    <w:p w14:paraId="6589959E">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bookmarkStart w:id="19" w:name="_Toc35393625"/>
      <w:bookmarkStart w:id="20" w:name="_Toc28359007"/>
      <w:bookmarkStart w:id="21" w:name="_Toc35393794"/>
      <w:bookmarkStart w:id="22" w:name="_Toc28359084"/>
      <w:r>
        <w:rPr>
          <w:rFonts w:hint="eastAsia" w:ascii="宋体" w:hAnsi="宋体" w:eastAsia="宋体" w:cs="宋体"/>
          <w:b/>
          <w:bCs/>
          <w:color w:val="auto"/>
          <w:sz w:val="24"/>
          <w:szCs w:val="24"/>
          <w:highlight w:val="none"/>
        </w:rPr>
        <w:t>五、公告期限</w:t>
      </w:r>
      <w:bookmarkEnd w:id="19"/>
      <w:bookmarkEnd w:id="20"/>
      <w:bookmarkEnd w:id="21"/>
      <w:bookmarkEnd w:id="22"/>
    </w:p>
    <w:p w14:paraId="5B9CBE35">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自本公告发布之日起5个工作日。</w:t>
      </w:r>
    </w:p>
    <w:p w14:paraId="5AD5E58F">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六、投标保证金金额及缴纳账户</w:t>
      </w:r>
    </w:p>
    <w:p w14:paraId="25BE6C23">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bookmarkStart w:id="23" w:name="_Toc35393626"/>
      <w:bookmarkStart w:id="24" w:name="_Toc35393795"/>
      <w:r>
        <w:rPr>
          <w:rFonts w:hint="eastAsia" w:ascii="宋体" w:hAnsi="宋体" w:eastAsia="宋体" w:cs="宋体"/>
          <w:color w:val="auto"/>
          <w:sz w:val="24"/>
          <w:szCs w:val="24"/>
          <w:highlight w:val="none"/>
        </w:rPr>
        <w:t>是否要求投标人提交投标保证金：不要求。</w:t>
      </w:r>
    </w:p>
    <w:p w14:paraId="6CFCC837">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七、其他补充事宜</w:t>
      </w:r>
      <w:bookmarkEnd w:id="23"/>
      <w:bookmarkEnd w:id="24"/>
    </w:p>
    <w:p w14:paraId="67FDF83B">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-880-4959、0550-3019013（工作日），CFCA客服025-66085508、0550-3801669（工作日）；3.市场主体招标环节和投标环节系统使用问题：400-998-0000（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233CB739">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2.请投标人登录滁州市公共资源交易中心网站查看参加本项目的程序。（具体操作步骤和程序请参见服务指南&gt;交易须知&gt;投标人填写投标信息、下载文件及网上提问操作手册）。</w:t>
      </w:r>
    </w:p>
    <w:p w14:paraId="26C282FA">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采用不见面开标（远程解密)方式，开标时投标人无须至开标现场进行解密，开标采取远程解密方式解密投标文件，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以本项目网上招投标系统解密倒计时为准，至完成投标文件解密时间，不得超过60分钟，否则投标文件将被拒绝；</w:t>
      </w:r>
    </w:p>
    <w:p w14:paraId="678A00D3">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p w14:paraId="2F7E2705">
      <w:pPr>
        <w:pageBreakBefore w:val="0"/>
        <w:kinsoku/>
        <w:overflowPunct/>
        <w:topLinePunct w:val="0"/>
        <w:autoSpaceDE/>
        <w:autoSpaceDN/>
        <w:bidi w:val="0"/>
        <w:adjustRightInd/>
        <w:snapToGrid/>
        <w:spacing w:line="5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八、对本次招标提出询问，请按以下方式联系</w:t>
      </w:r>
    </w:p>
    <w:p w14:paraId="678A92F4">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3862B564">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lang w:eastAsia="zh-CN"/>
        </w:rPr>
        <w:t>滁州市</w:t>
      </w:r>
      <w:r>
        <w:rPr>
          <w:rFonts w:hint="eastAsia" w:ascii="宋体" w:hAnsi="宋体" w:eastAsia="宋体" w:cs="宋体"/>
          <w:color w:val="auto"/>
          <w:sz w:val="24"/>
          <w:szCs w:val="24"/>
          <w:highlight w:val="none"/>
          <w:u w:val="single"/>
          <w:lang w:val="en-US" w:eastAsia="zh-CN"/>
        </w:rPr>
        <w:t>公安</w:t>
      </w:r>
      <w:r>
        <w:rPr>
          <w:rFonts w:hint="eastAsia" w:ascii="宋体" w:hAnsi="宋体" w:eastAsia="宋体" w:cs="宋体"/>
          <w:color w:val="auto"/>
          <w:sz w:val="24"/>
          <w:szCs w:val="24"/>
          <w:highlight w:val="none"/>
          <w:u w:val="single"/>
          <w:lang w:eastAsia="zh-CN"/>
        </w:rPr>
        <w:t>局</w:t>
      </w:r>
    </w:p>
    <w:p w14:paraId="76A05CCF">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eastAsia="zh-CN"/>
        </w:rPr>
        <w:t>安徽省滁州市龙蟠大道</w:t>
      </w:r>
      <w:r>
        <w:rPr>
          <w:rFonts w:hint="eastAsia" w:ascii="宋体" w:hAnsi="宋体" w:eastAsia="宋体" w:cs="宋体"/>
          <w:color w:val="auto"/>
          <w:sz w:val="24"/>
          <w:szCs w:val="24"/>
          <w:highlight w:val="none"/>
          <w:u w:val="single"/>
          <w:lang w:val="en-US" w:eastAsia="zh-CN"/>
        </w:rPr>
        <w:t>111</w:t>
      </w:r>
      <w:r>
        <w:rPr>
          <w:rFonts w:hint="eastAsia" w:ascii="宋体" w:hAnsi="宋体" w:eastAsia="宋体" w:cs="宋体"/>
          <w:color w:val="auto"/>
          <w:sz w:val="24"/>
          <w:szCs w:val="24"/>
          <w:highlight w:val="none"/>
          <w:u w:val="single"/>
          <w:lang w:eastAsia="zh-CN"/>
        </w:rPr>
        <w:t>号</w:t>
      </w:r>
    </w:p>
    <w:p w14:paraId="105E4CE5">
      <w:pPr>
        <w:pageBreakBefore w:val="0"/>
        <w:kinsoku/>
        <w:wordWrap w:val="0"/>
        <w:overflowPunct/>
        <w:topLinePunct w:val="0"/>
        <w:autoSpaceDE/>
        <w:autoSpaceDN/>
        <w:bidi w:val="0"/>
        <w:adjustRightInd/>
        <w:snapToGrid/>
        <w:spacing w:line="52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李兰军</w:t>
      </w:r>
    </w:p>
    <w:p w14:paraId="28749DBA">
      <w:pPr>
        <w:pageBreakBefore w:val="0"/>
        <w:kinsoku/>
        <w:wordWrap w:val="0"/>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lang w:val="en-US" w:eastAsia="zh-CN"/>
        </w:rPr>
        <w:t>19955080809</w:t>
      </w:r>
      <w:r>
        <w:rPr>
          <w:rFonts w:hint="eastAsia" w:ascii="宋体" w:hAnsi="宋体" w:eastAsia="宋体" w:cs="宋体"/>
          <w:color w:val="auto"/>
          <w:sz w:val="24"/>
          <w:szCs w:val="24"/>
          <w:highlight w:val="none"/>
          <w:lang w:val="en-US" w:eastAsia="zh-CN"/>
        </w:rPr>
        <w:t xml:space="preserve"> </w:t>
      </w:r>
    </w:p>
    <w:p w14:paraId="10D59498">
      <w:pPr>
        <w:pageBreakBefore w:val="0"/>
        <w:kinsoku/>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6F5A68A2">
      <w:pPr>
        <w:pageBreakBefore w:val="0"/>
        <w:kinsoku/>
        <w:overflowPunct/>
        <w:topLinePunct w:val="0"/>
        <w:autoSpaceDE/>
        <w:autoSpaceDN/>
        <w:bidi w:val="0"/>
        <w:adjustRightInd/>
        <w:snapToGrid/>
        <w:spacing w:line="52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lang w:eastAsia="zh-CN"/>
        </w:rPr>
        <w:t>滁州市政府采购中心</w:t>
      </w:r>
    </w:p>
    <w:p w14:paraId="7CEF21FC">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滁州市龙蟠大道109号房产大厦</w:t>
      </w:r>
      <w:r>
        <w:rPr>
          <w:rFonts w:hint="eastAsia" w:ascii="宋体" w:hAnsi="宋体" w:eastAsia="宋体" w:cs="宋体"/>
          <w:color w:val="auto"/>
          <w:sz w:val="24"/>
          <w:szCs w:val="24"/>
          <w:highlight w:val="none"/>
          <w:u w:val="single"/>
          <w:lang w:val="en-US" w:eastAsia="zh-CN"/>
        </w:rPr>
        <w:t>二</w:t>
      </w:r>
      <w:r>
        <w:rPr>
          <w:rFonts w:hint="eastAsia" w:ascii="宋体" w:hAnsi="宋体" w:eastAsia="宋体" w:cs="宋体"/>
          <w:color w:val="auto"/>
          <w:sz w:val="24"/>
          <w:szCs w:val="24"/>
          <w:highlight w:val="none"/>
          <w:u w:val="single"/>
        </w:rPr>
        <w:t>楼</w:t>
      </w:r>
    </w:p>
    <w:p w14:paraId="1D7BDF47">
      <w:pPr>
        <w:pageBreakBefore w:val="0"/>
        <w:kinsoku/>
        <w:overflowPunct/>
        <w:topLinePunct w:val="0"/>
        <w:autoSpaceDE/>
        <w:autoSpaceDN/>
        <w:bidi w:val="0"/>
        <w:adjustRightInd/>
        <w:snapToGrid/>
        <w:spacing w:line="520" w:lineRule="exact"/>
        <w:ind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田甜</w:t>
      </w:r>
    </w:p>
    <w:p w14:paraId="4CD6E425">
      <w:pPr>
        <w:pageBreakBefore w:val="0"/>
        <w:kinsoku/>
        <w:overflowPunct/>
        <w:topLinePunct w:val="0"/>
        <w:autoSpaceDE/>
        <w:autoSpaceDN/>
        <w:bidi w:val="0"/>
        <w:adjustRightInd/>
        <w:snapToGrid/>
        <w:spacing w:line="52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lang w:eastAsia="zh-CN"/>
        </w:rPr>
        <w:t>0550-3519</w:t>
      </w:r>
      <w:r>
        <w:rPr>
          <w:rFonts w:hint="eastAsia" w:ascii="宋体" w:hAnsi="宋体" w:eastAsia="宋体" w:cs="宋体"/>
          <w:color w:val="auto"/>
          <w:sz w:val="24"/>
          <w:szCs w:val="24"/>
          <w:highlight w:val="none"/>
          <w:u w:val="single"/>
          <w:lang w:val="en-US" w:eastAsia="zh-CN"/>
        </w:rPr>
        <w:t>519、15955005370</w:t>
      </w:r>
    </w:p>
    <w:p w14:paraId="672FBD1A">
      <w:pPr>
        <w:pageBreakBefore w:val="0"/>
        <w:widowControl/>
        <w:kinsoku/>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3.政府采购监督管理部门信息</w:t>
      </w:r>
    </w:p>
    <w:p w14:paraId="3D971048">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滁州市公共资源交易监督管理局</w:t>
      </w:r>
    </w:p>
    <w:p w14:paraId="064C9A7D">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滁州市龙蟠大道109号房产大厦</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楼</w:t>
      </w:r>
    </w:p>
    <w:p w14:paraId="3AFC18AB">
      <w:pPr>
        <w:pageBreakBefore w:val="0"/>
        <w:kinsoku/>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0550-3801656</w:t>
      </w:r>
    </w:p>
    <w:p w14:paraId="36622179">
      <w:pPr>
        <w:pageBreakBefore w:val="0"/>
        <w:kinsoku/>
        <w:overflowPunct/>
        <w:topLinePunct w:val="0"/>
        <w:autoSpaceDE/>
        <w:autoSpaceDN/>
        <w:bidi w:val="0"/>
        <w:adjustRightInd/>
        <w:snapToGrid/>
        <w:spacing w:line="520" w:lineRule="exact"/>
        <w:jc w:val="left"/>
        <w:textAlignment w:val="auto"/>
        <w:rPr>
          <w:rFonts w:hint="eastAsia" w:ascii="宋体" w:hAnsi="宋体" w:eastAsia="宋体" w:cs="宋体"/>
          <w:color w:val="auto"/>
          <w:sz w:val="24"/>
          <w:szCs w:val="18"/>
          <w:highlight w:val="none"/>
        </w:rPr>
      </w:pPr>
      <w:r>
        <w:rPr>
          <w:rFonts w:hint="eastAsia" w:ascii="宋体" w:hAnsi="宋体" w:eastAsia="宋体" w:cs="宋体"/>
          <w:color w:val="auto"/>
          <w:sz w:val="24"/>
          <w:szCs w:val="18"/>
          <w:highlight w:val="none"/>
        </w:rPr>
        <w:br w:type="page"/>
      </w:r>
    </w:p>
    <w:p w14:paraId="220D3306">
      <w:pPr>
        <w:spacing w:line="360" w:lineRule="auto"/>
        <w:jc w:val="center"/>
        <w:outlineLvl w:val="0"/>
        <w:rPr>
          <w:rFonts w:hint="eastAsia" w:asciiTheme="minorEastAsia" w:hAnsiTheme="minorEastAsia" w:eastAsiaTheme="minorEastAsia"/>
          <w:b/>
          <w:color w:val="auto"/>
          <w:sz w:val="28"/>
          <w:highlight w:val="none"/>
        </w:rPr>
      </w:pPr>
      <w:bookmarkStart w:id="25" w:name="_Toc8888"/>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25"/>
    </w:p>
    <w:p w14:paraId="4348BC94">
      <w:pPr>
        <w:keepNext w:val="0"/>
        <w:keepLines w:val="0"/>
        <w:pageBreakBefore w:val="0"/>
        <w:widowControl w:val="0"/>
        <w:kinsoku/>
        <w:wordWrap/>
        <w:overflowPunct/>
        <w:topLinePunct w:val="0"/>
        <w:autoSpaceDE/>
        <w:autoSpaceDN/>
        <w:bidi w:val="0"/>
        <w:adjustRightInd/>
        <w:snapToGrid/>
        <w:spacing w:before="95" w:beforeLines="30" w:after="95" w:afterLines="30" w:line="520" w:lineRule="exact"/>
        <w:jc w:val="center"/>
        <w:textAlignment w:val="auto"/>
        <w:outlineLvl w:val="1"/>
        <w:rPr>
          <w:rFonts w:hint="eastAsia" w:asciiTheme="minorEastAsia" w:hAnsiTheme="minorEastAsia" w:eastAsiaTheme="minorEastAsia"/>
          <w:b/>
          <w:color w:val="auto"/>
          <w:sz w:val="24"/>
          <w:highlight w:val="none"/>
        </w:rPr>
      </w:pPr>
      <w:bookmarkStart w:id="26" w:name="_Toc7178"/>
      <w:bookmarkStart w:id="27" w:name="_Toc13589"/>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26"/>
      <w:bookmarkEnd w:id="27"/>
    </w:p>
    <w:p w14:paraId="667BE4E4">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rPr>
          <w:rFonts w:hint="eastAsia"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38"/>
        <w:tblW w:w="6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945"/>
        <w:gridCol w:w="7685"/>
      </w:tblGrid>
      <w:tr w14:paraId="7D15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199D7635">
            <w:pPr>
              <w:pStyle w:val="58"/>
              <w:keepNext w:val="0"/>
              <w:keepLines w:val="0"/>
              <w:pageBreakBefore w:val="0"/>
              <w:widowControl w:val="0"/>
              <w:kinsoku/>
              <w:wordWrap/>
              <w:overflowPunct/>
              <w:topLinePunct w:val="0"/>
              <w:autoSpaceDE/>
              <w:autoSpaceDN/>
              <w:bidi w:val="0"/>
              <w:spacing w:before="0" w:beforeAutospacing="0" w:after="0" w:afterAutospacing="0" w:line="520" w:lineRule="exact"/>
              <w:textAlignment w:val="auto"/>
              <w:rPr>
                <w:rFonts w:hint="eastAsia"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rPr>
              <w:t>条款号</w:t>
            </w:r>
          </w:p>
        </w:tc>
        <w:tc>
          <w:tcPr>
            <w:tcW w:w="909" w:type="pct"/>
            <w:vAlign w:val="center"/>
          </w:tcPr>
          <w:p w14:paraId="382B11A3">
            <w:pPr>
              <w:pStyle w:val="58"/>
              <w:keepNext w:val="0"/>
              <w:keepLines w:val="0"/>
              <w:pageBreakBefore w:val="0"/>
              <w:widowControl w:val="0"/>
              <w:kinsoku/>
              <w:wordWrap/>
              <w:overflowPunct/>
              <w:topLinePunct w:val="0"/>
              <w:autoSpaceDE/>
              <w:autoSpaceDN/>
              <w:bidi w:val="0"/>
              <w:spacing w:before="0" w:beforeAutospacing="0" w:after="0" w:afterAutospacing="0" w:line="520" w:lineRule="exact"/>
              <w:textAlignment w:val="auto"/>
              <w:rPr>
                <w:rFonts w:hint="eastAsia"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rPr>
              <w:t>条款名称</w:t>
            </w:r>
          </w:p>
        </w:tc>
        <w:tc>
          <w:tcPr>
            <w:tcW w:w="3592" w:type="pct"/>
            <w:vAlign w:val="center"/>
          </w:tcPr>
          <w:p w14:paraId="3B5DFEC4">
            <w:pPr>
              <w:pStyle w:val="58"/>
              <w:keepNext w:val="0"/>
              <w:keepLines w:val="0"/>
              <w:pageBreakBefore w:val="0"/>
              <w:widowControl w:val="0"/>
              <w:kinsoku/>
              <w:wordWrap/>
              <w:overflowPunct/>
              <w:topLinePunct w:val="0"/>
              <w:autoSpaceDE/>
              <w:autoSpaceDN/>
              <w:bidi w:val="0"/>
              <w:spacing w:before="0" w:beforeAutospacing="0" w:after="0" w:afterAutospacing="0" w:line="520" w:lineRule="exact"/>
              <w:textAlignment w:val="auto"/>
              <w:rPr>
                <w:rFonts w:hint="eastAsia"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rPr>
              <w:t>内容、说明与要求</w:t>
            </w:r>
          </w:p>
        </w:tc>
      </w:tr>
      <w:tr w14:paraId="1E17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3FFBAF37">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5.2</w:t>
            </w:r>
          </w:p>
        </w:tc>
        <w:tc>
          <w:tcPr>
            <w:tcW w:w="909" w:type="pct"/>
            <w:vAlign w:val="center"/>
          </w:tcPr>
          <w:p w14:paraId="7FD60875">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kern w:val="2"/>
                <w:sz w:val="24"/>
                <w:szCs w:val="24"/>
                <w:highlight w:val="none"/>
              </w:rPr>
              <w:t>现场考察或标前答疑会</w:t>
            </w:r>
          </w:p>
        </w:tc>
        <w:tc>
          <w:tcPr>
            <w:tcW w:w="3592" w:type="pct"/>
            <w:vAlign w:val="center"/>
          </w:tcPr>
          <w:p w14:paraId="4FF1F47B">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不组织或不召开</w:t>
            </w:r>
          </w:p>
          <w:p w14:paraId="52D3D49B">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统一组织或统一召开</w:t>
            </w:r>
          </w:p>
          <w:p w14:paraId="0AD5AB13">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时</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分</w:t>
            </w:r>
          </w:p>
          <w:p w14:paraId="28EB4ABA">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地点：</w:t>
            </w:r>
            <w:r>
              <w:rPr>
                <w:rFonts w:hint="eastAsia" w:ascii="宋体" w:hAnsi="宋体" w:eastAsia="宋体" w:cs="宋体"/>
                <w:bCs/>
                <w:color w:val="auto"/>
                <w:sz w:val="24"/>
                <w:szCs w:val="24"/>
                <w:highlight w:val="none"/>
                <w:u w:val="single"/>
              </w:rPr>
              <w:t>/</w:t>
            </w:r>
          </w:p>
          <w:p w14:paraId="4C2A2E54">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联系人及联系电话：</w:t>
            </w:r>
            <w:r>
              <w:rPr>
                <w:rFonts w:hint="eastAsia" w:ascii="宋体" w:hAnsi="宋体" w:eastAsia="宋体" w:cs="宋体"/>
                <w:bCs/>
                <w:color w:val="auto"/>
                <w:sz w:val="24"/>
                <w:szCs w:val="24"/>
                <w:highlight w:val="none"/>
                <w:u w:val="single"/>
              </w:rPr>
              <w:t xml:space="preserve">/ </w:t>
            </w:r>
          </w:p>
          <w:p w14:paraId="2D9B67C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Cs w:val="0"/>
                <w:color w:val="auto"/>
                <w:sz w:val="24"/>
                <w:szCs w:val="24"/>
                <w:highlight w:val="none"/>
              </w:rPr>
              <w:t>注：如投标人未参加采购人统一组织的现场考察或采购人统一召开的标前答疑会，视同放弃现场考察或标前答疑会，由此引起的一切责任由投标人自行承担。</w:t>
            </w:r>
          </w:p>
        </w:tc>
      </w:tr>
      <w:tr w14:paraId="50A5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50D94162">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6.1</w:t>
            </w:r>
          </w:p>
        </w:tc>
        <w:tc>
          <w:tcPr>
            <w:tcW w:w="909" w:type="pct"/>
            <w:vAlign w:val="center"/>
          </w:tcPr>
          <w:p w14:paraId="2310B023">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bCs w:val="0"/>
                <w:color w:val="auto"/>
                <w:sz w:val="24"/>
                <w:szCs w:val="24"/>
                <w:highlight w:val="none"/>
                <w:lang w:bidi="ar"/>
              </w:rPr>
              <w:t>网上询问截止时间</w:t>
            </w:r>
          </w:p>
        </w:tc>
        <w:tc>
          <w:tcPr>
            <w:tcW w:w="3592" w:type="pct"/>
            <w:vAlign w:val="center"/>
          </w:tcPr>
          <w:p w14:paraId="5BFDBC60">
            <w:pPr>
              <w:keepNext w:val="0"/>
              <w:keepLines w:val="0"/>
              <w:pageBreakBefore w:val="0"/>
              <w:widowControl/>
              <w:kinsoku/>
              <w:wordWrap/>
              <w:overflowPunct/>
              <w:topLinePunct w:val="0"/>
              <w:autoSpaceDE/>
              <w:autoSpaceDN/>
              <w:bidi w:val="0"/>
              <w:spacing w:line="5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4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25</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17</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分</w:t>
            </w:r>
          </w:p>
        </w:tc>
      </w:tr>
      <w:tr w14:paraId="09E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6688B524">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7.1</w:t>
            </w:r>
          </w:p>
        </w:tc>
        <w:tc>
          <w:tcPr>
            <w:tcW w:w="909" w:type="pct"/>
            <w:vAlign w:val="center"/>
          </w:tcPr>
          <w:p w14:paraId="0E41905D">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包别划分</w:t>
            </w:r>
          </w:p>
        </w:tc>
        <w:tc>
          <w:tcPr>
            <w:tcW w:w="3592" w:type="pct"/>
            <w:vAlign w:val="center"/>
          </w:tcPr>
          <w:p w14:paraId="3EFBAF58">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color w:val="auto"/>
                <w:sz w:val="24"/>
                <w:szCs w:val="24"/>
                <w:highlight w:val="none"/>
              </w:rPr>
              <w:t>不</w:t>
            </w:r>
            <w:r>
              <w:rPr>
                <w:rFonts w:hint="eastAsia" w:ascii="宋体" w:hAnsi="宋体" w:eastAsia="宋体" w:cs="宋体"/>
                <w:bCs/>
                <w:color w:val="auto"/>
                <w:kern w:val="0"/>
                <w:sz w:val="24"/>
                <w:szCs w:val="24"/>
                <w:highlight w:val="none"/>
              </w:rPr>
              <w:t xml:space="preserve">分包     </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分</w:t>
            </w:r>
            <w:r>
              <w:rPr>
                <w:rFonts w:hint="eastAsia" w:ascii="宋体" w:hAnsi="宋体" w:eastAsia="宋体" w:cs="宋体"/>
                <w:b w:val="0"/>
                <w:color w:val="auto"/>
                <w:sz w:val="24"/>
                <w:szCs w:val="24"/>
                <w:highlight w:val="none"/>
                <w:lang w:val="en-US" w:eastAsia="zh-CN"/>
              </w:rPr>
              <w:t xml:space="preserve">包 </w:t>
            </w:r>
          </w:p>
        </w:tc>
      </w:tr>
      <w:tr w14:paraId="7153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98" w:type="pct"/>
            <w:vAlign w:val="center"/>
          </w:tcPr>
          <w:p w14:paraId="29754812">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10.1</w:t>
            </w:r>
          </w:p>
        </w:tc>
        <w:tc>
          <w:tcPr>
            <w:tcW w:w="909" w:type="pct"/>
            <w:vAlign w:val="center"/>
          </w:tcPr>
          <w:p w14:paraId="57D72ABA">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投标保证金</w:t>
            </w:r>
          </w:p>
        </w:tc>
        <w:tc>
          <w:tcPr>
            <w:tcW w:w="3592" w:type="pct"/>
            <w:vAlign w:val="center"/>
          </w:tcPr>
          <w:p w14:paraId="5873573D">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不收取</w:t>
            </w:r>
          </w:p>
        </w:tc>
      </w:tr>
      <w:tr w14:paraId="1CFC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7FC46F1A">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11.1</w:t>
            </w:r>
          </w:p>
        </w:tc>
        <w:tc>
          <w:tcPr>
            <w:tcW w:w="909" w:type="pct"/>
            <w:vAlign w:val="center"/>
          </w:tcPr>
          <w:p w14:paraId="180FE2E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投标有效期</w:t>
            </w:r>
          </w:p>
        </w:tc>
        <w:tc>
          <w:tcPr>
            <w:tcW w:w="3592" w:type="pct"/>
            <w:vAlign w:val="center"/>
          </w:tcPr>
          <w:p w14:paraId="05492209">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u w:val="single"/>
              </w:rPr>
              <w:t>90</w:t>
            </w:r>
            <w:r>
              <w:rPr>
                <w:rFonts w:hint="eastAsia" w:ascii="宋体" w:hAnsi="宋体" w:eastAsia="宋体" w:cs="宋体"/>
                <w:b w:val="0"/>
                <w:color w:val="auto"/>
                <w:sz w:val="24"/>
                <w:szCs w:val="24"/>
                <w:highlight w:val="none"/>
              </w:rPr>
              <w:t>日历日</w:t>
            </w:r>
          </w:p>
        </w:tc>
      </w:tr>
      <w:tr w14:paraId="226C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09C6D417">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13.1</w:t>
            </w:r>
          </w:p>
        </w:tc>
        <w:tc>
          <w:tcPr>
            <w:tcW w:w="909" w:type="pct"/>
            <w:vAlign w:val="center"/>
          </w:tcPr>
          <w:p w14:paraId="600857D0">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投标文件解密时间</w:t>
            </w:r>
          </w:p>
        </w:tc>
        <w:tc>
          <w:tcPr>
            <w:tcW w:w="3592" w:type="pct"/>
            <w:vAlign w:val="center"/>
          </w:tcPr>
          <w:p w14:paraId="3F3B4F25">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投标截止时间后</w:t>
            </w:r>
            <w:r>
              <w:rPr>
                <w:rFonts w:hint="eastAsia" w:ascii="宋体" w:hAnsi="宋体" w:eastAsia="宋体" w:cs="宋体"/>
                <w:bCs/>
                <w:color w:val="auto"/>
                <w:kern w:val="0"/>
                <w:sz w:val="24"/>
                <w:szCs w:val="24"/>
                <w:highlight w:val="none"/>
              </w:rPr>
              <w:t>60分钟内（以本项目网上招投标系统解密倒计时为准）</w:t>
            </w:r>
          </w:p>
        </w:tc>
      </w:tr>
      <w:tr w14:paraId="5582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26AB98FB">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14.1</w:t>
            </w:r>
          </w:p>
        </w:tc>
        <w:tc>
          <w:tcPr>
            <w:tcW w:w="909" w:type="pct"/>
            <w:vAlign w:val="center"/>
          </w:tcPr>
          <w:p w14:paraId="37D0AE5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资格审查</w:t>
            </w:r>
          </w:p>
        </w:tc>
        <w:tc>
          <w:tcPr>
            <w:tcW w:w="3592" w:type="pct"/>
            <w:vAlign w:val="center"/>
          </w:tcPr>
          <w:p w14:paraId="6BA51F84">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☑采购人审查</w:t>
            </w:r>
          </w:p>
          <w:p w14:paraId="3146C42B">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u w:val="single"/>
              </w:rPr>
            </w:pPr>
            <w:r>
              <w:rPr>
                <w:rFonts w:hint="eastAsia" w:ascii="宋体" w:hAnsi="宋体" w:eastAsia="宋体" w:cs="宋体"/>
                <w:b w:val="0"/>
                <w:bCs w:val="0"/>
                <w:color w:val="auto"/>
                <w:sz w:val="24"/>
                <w:szCs w:val="24"/>
                <w:highlight w:val="none"/>
              </w:rPr>
              <w:t>□采购人出具委托函委托采购代理机构进行审查</w:t>
            </w:r>
          </w:p>
        </w:tc>
      </w:tr>
      <w:tr w14:paraId="34C8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7455CE01">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17.2</w:t>
            </w:r>
          </w:p>
        </w:tc>
        <w:tc>
          <w:tcPr>
            <w:tcW w:w="909" w:type="pct"/>
            <w:vAlign w:val="center"/>
          </w:tcPr>
          <w:p w14:paraId="0FB073F9">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评标方法</w:t>
            </w:r>
          </w:p>
        </w:tc>
        <w:tc>
          <w:tcPr>
            <w:tcW w:w="3592" w:type="pct"/>
            <w:vAlign w:val="center"/>
          </w:tcPr>
          <w:p w14:paraId="2BDB41C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u w:val="single"/>
              </w:rPr>
            </w:pPr>
            <w:r>
              <w:rPr>
                <w:rFonts w:hint="eastAsia" w:ascii="宋体" w:hAnsi="宋体" w:eastAsia="宋体" w:cs="宋体"/>
                <w:b w:val="0"/>
                <w:bCs w:val="0"/>
                <w:color w:val="auto"/>
                <w:sz w:val="24"/>
                <w:szCs w:val="24"/>
                <w:highlight w:val="none"/>
              </w:rPr>
              <w:t>□</w:t>
            </w:r>
            <w:r>
              <w:rPr>
                <w:rFonts w:hint="eastAsia" w:ascii="宋体" w:hAnsi="宋体" w:eastAsia="宋体" w:cs="宋体"/>
                <w:b w:val="0"/>
                <w:color w:val="auto"/>
                <w:sz w:val="24"/>
                <w:szCs w:val="24"/>
                <w:highlight w:val="none"/>
              </w:rPr>
              <w:t>最低评标价法</w:t>
            </w:r>
          </w:p>
          <w:p w14:paraId="69BB6FB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color w:val="auto"/>
                <w:sz w:val="24"/>
                <w:szCs w:val="24"/>
                <w:highlight w:val="none"/>
              </w:rPr>
              <w:t>综合评分法</w:t>
            </w:r>
          </w:p>
        </w:tc>
      </w:tr>
      <w:tr w14:paraId="7EDB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0EB600B8">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17.3</w:t>
            </w:r>
          </w:p>
        </w:tc>
        <w:tc>
          <w:tcPr>
            <w:tcW w:w="909" w:type="pct"/>
            <w:vAlign w:val="center"/>
          </w:tcPr>
          <w:p w14:paraId="49F4966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i/>
                <w:color w:val="auto"/>
                <w:sz w:val="24"/>
                <w:szCs w:val="24"/>
                <w:highlight w:val="none"/>
              </w:rPr>
            </w:pPr>
            <w:r>
              <w:rPr>
                <w:rFonts w:hint="eastAsia" w:ascii="宋体" w:hAnsi="宋体" w:eastAsia="宋体" w:cs="宋体"/>
                <w:b w:val="0"/>
                <w:color w:val="auto"/>
                <w:sz w:val="24"/>
                <w:szCs w:val="24"/>
                <w:highlight w:val="none"/>
              </w:rPr>
              <w:t>报价扣除</w:t>
            </w:r>
            <w:r>
              <w:rPr>
                <w:rFonts w:hint="eastAsia" w:ascii="宋体" w:hAnsi="宋体" w:eastAsia="宋体" w:cs="宋体"/>
                <w:b w:val="0"/>
                <w:i/>
                <w:color w:val="auto"/>
                <w:sz w:val="24"/>
                <w:szCs w:val="24"/>
                <w:highlight w:val="none"/>
              </w:rPr>
              <w:t>（非专门面向中小企业采购项目适用）</w:t>
            </w:r>
          </w:p>
        </w:tc>
        <w:tc>
          <w:tcPr>
            <w:tcW w:w="3592" w:type="pct"/>
            <w:vAlign w:val="center"/>
          </w:tcPr>
          <w:p w14:paraId="6248A7F9">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（1）小型和微型企业价格扣除：</w:t>
            </w:r>
            <w:r>
              <w:rPr>
                <w:rFonts w:hint="eastAsia" w:ascii="宋体" w:hAnsi="宋体" w:eastAsia="宋体" w:cs="宋体"/>
                <w:b w:val="0"/>
                <w:color w:val="auto"/>
                <w:sz w:val="24"/>
                <w:szCs w:val="24"/>
                <w:highlight w:val="none"/>
                <w:u w:val="single"/>
                <w:lang w:val="en-US" w:eastAsia="zh-CN"/>
              </w:rPr>
              <w:t>对小型和微型企业的价格给予10%的扣除后参与评审；其评审价=投标报价*90%</w:t>
            </w:r>
            <w:r>
              <w:rPr>
                <w:rFonts w:hint="eastAsia" w:ascii="宋体" w:hAnsi="宋体" w:eastAsia="宋体" w:cs="宋体"/>
                <w:b w:val="0"/>
                <w:color w:val="auto"/>
                <w:sz w:val="24"/>
                <w:szCs w:val="24"/>
                <w:highlight w:val="none"/>
              </w:rPr>
              <w:t>。</w:t>
            </w:r>
          </w:p>
          <w:p w14:paraId="6F0BC37D">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（2）监狱企业价格扣除：</w:t>
            </w:r>
            <w:r>
              <w:rPr>
                <w:rFonts w:hint="eastAsia" w:ascii="宋体" w:hAnsi="宋体" w:eastAsia="宋体" w:cs="宋体"/>
                <w:b w:val="0"/>
                <w:color w:val="auto"/>
                <w:sz w:val="24"/>
                <w:szCs w:val="24"/>
                <w:highlight w:val="none"/>
                <w:u w:val="single"/>
              </w:rPr>
              <w:t>同小型和微型企业</w:t>
            </w:r>
            <w:r>
              <w:rPr>
                <w:rFonts w:hint="eastAsia" w:ascii="宋体" w:hAnsi="宋体" w:eastAsia="宋体" w:cs="宋体"/>
                <w:b w:val="0"/>
                <w:color w:val="auto"/>
                <w:sz w:val="24"/>
                <w:szCs w:val="24"/>
                <w:highlight w:val="none"/>
              </w:rPr>
              <w:t>。</w:t>
            </w:r>
          </w:p>
          <w:p w14:paraId="34D0BAF5">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（3）残疾人福利性单位价格扣除：</w:t>
            </w:r>
            <w:r>
              <w:rPr>
                <w:rFonts w:hint="eastAsia" w:ascii="宋体" w:hAnsi="宋体" w:eastAsia="宋体" w:cs="宋体"/>
                <w:b w:val="0"/>
                <w:color w:val="auto"/>
                <w:sz w:val="24"/>
                <w:szCs w:val="24"/>
                <w:highlight w:val="none"/>
                <w:u w:val="single"/>
              </w:rPr>
              <w:t>同小型和微型企业</w:t>
            </w:r>
            <w:r>
              <w:rPr>
                <w:rFonts w:hint="eastAsia" w:ascii="宋体" w:hAnsi="宋体" w:eastAsia="宋体" w:cs="宋体"/>
                <w:b w:val="0"/>
                <w:color w:val="auto"/>
                <w:sz w:val="24"/>
                <w:szCs w:val="24"/>
                <w:highlight w:val="none"/>
              </w:rPr>
              <w:t>。</w:t>
            </w:r>
          </w:p>
          <w:p w14:paraId="5A62065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（4）符合条件的联合体价格扣除：</w:t>
            </w:r>
            <w:r>
              <w:rPr>
                <w:rFonts w:hint="eastAsia" w:ascii="宋体" w:hAnsi="宋体" w:eastAsia="宋体"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rPr>
              <w:t>。</w:t>
            </w:r>
          </w:p>
          <w:p w14:paraId="0D3BBE44">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default"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rPr>
              <w:t>（5）符合条件的向小微企业分包的大中型企业价格扣除：</w:t>
            </w:r>
            <w:r>
              <w:rPr>
                <w:rFonts w:hint="eastAsia" w:ascii="宋体" w:hAnsi="宋体" w:eastAsia="宋体" w:cs="宋体"/>
                <w:b w:val="0"/>
                <w:color w:val="auto"/>
                <w:sz w:val="24"/>
                <w:szCs w:val="24"/>
                <w:highlight w:val="none"/>
                <w:u w:val="single"/>
                <w:lang w:val="en-US" w:eastAsia="zh-CN"/>
              </w:rPr>
              <w:t>/。</w:t>
            </w:r>
          </w:p>
        </w:tc>
      </w:tr>
      <w:tr w14:paraId="4E5F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6884B7C3">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21.1</w:t>
            </w:r>
          </w:p>
        </w:tc>
        <w:tc>
          <w:tcPr>
            <w:tcW w:w="909" w:type="pct"/>
            <w:vAlign w:val="center"/>
          </w:tcPr>
          <w:p w14:paraId="0DB2CB4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评标委员会推荐中标候选人的数量</w:t>
            </w:r>
          </w:p>
        </w:tc>
        <w:tc>
          <w:tcPr>
            <w:tcW w:w="3592" w:type="pct"/>
            <w:vAlign w:val="center"/>
          </w:tcPr>
          <w:p w14:paraId="25B82F66">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评标委员会推荐3名中标候选人。</w:t>
            </w:r>
          </w:p>
        </w:tc>
      </w:tr>
      <w:tr w14:paraId="667D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38A42BBF">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21.2</w:t>
            </w:r>
          </w:p>
        </w:tc>
        <w:tc>
          <w:tcPr>
            <w:tcW w:w="909" w:type="pct"/>
            <w:vAlign w:val="center"/>
          </w:tcPr>
          <w:p w14:paraId="03B6E35B">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确定中标人</w:t>
            </w:r>
          </w:p>
        </w:tc>
        <w:tc>
          <w:tcPr>
            <w:tcW w:w="3592" w:type="pct"/>
            <w:vAlign w:val="center"/>
          </w:tcPr>
          <w:p w14:paraId="7A3B02AE">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w:char="00A8"/>
            </w:r>
            <w:r>
              <w:rPr>
                <w:rFonts w:hint="eastAsia" w:ascii="宋体" w:hAnsi="宋体" w:eastAsia="宋体" w:cs="宋体"/>
                <w:color w:val="auto"/>
                <w:kern w:val="0"/>
                <w:sz w:val="24"/>
                <w:szCs w:val="24"/>
                <w:highlight w:val="none"/>
              </w:rPr>
              <w:t>采购人委托评标委员会确定</w:t>
            </w:r>
          </w:p>
          <w:p w14:paraId="78437042">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bCs w:val="0"/>
                <w:color w:val="auto"/>
                <w:kern w:val="2"/>
                <w:sz w:val="24"/>
                <w:szCs w:val="24"/>
                <w:highlight w:val="none"/>
              </w:rPr>
              <w:t>☑采购人确定</w:t>
            </w:r>
          </w:p>
        </w:tc>
      </w:tr>
      <w:tr w14:paraId="53E9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98" w:type="pct"/>
            <w:vAlign w:val="center"/>
          </w:tcPr>
          <w:p w14:paraId="54FD0BD1">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23.3</w:t>
            </w:r>
          </w:p>
        </w:tc>
        <w:tc>
          <w:tcPr>
            <w:tcW w:w="909" w:type="pct"/>
            <w:vAlign w:val="center"/>
          </w:tcPr>
          <w:p w14:paraId="2594D9F6">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随中标结果公告同时公告的内容</w:t>
            </w:r>
          </w:p>
        </w:tc>
        <w:tc>
          <w:tcPr>
            <w:tcW w:w="3592" w:type="pct"/>
            <w:vAlign w:val="center"/>
          </w:tcPr>
          <w:p w14:paraId="38B3B22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（1）中小企业声明函</w:t>
            </w:r>
            <w:r>
              <w:rPr>
                <w:rFonts w:hint="eastAsia" w:ascii="宋体" w:hAnsi="宋体" w:eastAsia="宋体" w:cs="宋体"/>
                <w:b w:val="0"/>
                <w:i/>
                <w:iCs/>
                <w:color w:val="auto"/>
                <w:sz w:val="24"/>
                <w:szCs w:val="24"/>
                <w:highlight w:val="none"/>
              </w:rPr>
              <w:t>（如有）</w:t>
            </w:r>
            <w:r>
              <w:rPr>
                <w:rFonts w:hint="eastAsia" w:ascii="宋体" w:hAnsi="宋体" w:eastAsia="宋体" w:cs="宋体"/>
                <w:b w:val="0"/>
                <w:color w:val="auto"/>
                <w:sz w:val="24"/>
                <w:szCs w:val="24"/>
                <w:highlight w:val="none"/>
              </w:rPr>
              <w:t>；</w:t>
            </w:r>
          </w:p>
          <w:p w14:paraId="589F211D">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i/>
                <w:color w:val="auto"/>
                <w:sz w:val="24"/>
                <w:szCs w:val="24"/>
                <w:highlight w:val="none"/>
              </w:rPr>
            </w:pPr>
            <w:r>
              <w:rPr>
                <w:rFonts w:hint="eastAsia" w:ascii="宋体" w:hAnsi="宋体" w:eastAsia="宋体" w:cs="宋体"/>
                <w:b w:val="0"/>
                <w:color w:val="auto"/>
                <w:sz w:val="24"/>
                <w:szCs w:val="24"/>
                <w:highlight w:val="none"/>
              </w:rPr>
              <w:t>（2）残疾人福利性单位声明函</w:t>
            </w:r>
            <w:r>
              <w:rPr>
                <w:rFonts w:hint="eastAsia" w:ascii="宋体" w:hAnsi="宋体" w:eastAsia="宋体" w:cs="宋体"/>
                <w:b w:val="0"/>
                <w:i/>
                <w:iCs/>
                <w:color w:val="auto"/>
                <w:sz w:val="24"/>
                <w:szCs w:val="24"/>
                <w:highlight w:val="none"/>
              </w:rPr>
              <w:t>（如有）</w:t>
            </w:r>
            <w:r>
              <w:rPr>
                <w:rFonts w:hint="eastAsia" w:ascii="宋体" w:hAnsi="宋体" w:eastAsia="宋体" w:cs="宋体"/>
                <w:b w:val="0"/>
                <w:color w:val="auto"/>
                <w:sz w:val="24"/>
                <w:szCs w:val="24"/>
                <w:highlight w:val="none"/>
              </w:rPr>
              <w:t>；</w:t>
            </w:r>
          </w:p>
          <w:p w14:paraId="569881B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color w:val="auto"/>
                <w:sz w:val="24"/>
                <w:szCs w:val="24"/>
                <w:highlight w:val="none"/>
              </w:rPr>
              <w:t>（3）中标（成交）供应商的评审总得分</w:t>
            </w:r>
            <w:r>
              <w:rPr>
                <w:rFonts w:hint="eastAsia" w:ascii="宋体" w:hAnsi="宋体" w:eastAsia="宋体" w:cs="宋体"/>
                <w:b w:val="0"/>
                <w:i/>
                <w:iCs/>
                <w:color w:val="auto"/>
                <w:sz w:val="24"/>
                <w:szCs w:val="24"/>
                <w:highlight w:val="none"/>
              </w:rPr>
              <w:t>。</w:t>
            </w:r>
          </w:p>
        </w:tc>
      </w:tr>
      <w:tr w14:paraId="533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1D1D7C6A">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24.1</w:t>
            </w:r>
          </w:p>
        </w:tc>
        <w:tc>
          <w:tcPr>
            <w:tcW w:w="909" w:type="pct"/>
            <w:vAlign w:val="center"/>
          </w:tcPr>
          <w:p w14:paraId="22F27D3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中标通知书发出的形式</w:t>
            </w:r>
          </w:p>
        </w:tc>
        <w:tc>
          <w:tcPr>
            <w:tcW w:w="3592" w:type="pct"/>
            <w:vAlign w:val="center"/>
          </w:tcPr>
          <w:p w14:paraId="521E2B0F">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□书面     </w:t>
            </w:r>
            <w:r>
              <w:rPr>
                <w:rFonts w:hint="eastAsia" w:ascii="宋体" w:hAnsi="宋体" w:eastAsia="宋体" w:cs="宋体"/>
                <w:b w:val="0"/>
                <w:bCs w:val="0"/>
                <w:color w:val="auto"/>
                <w:sz w:val="24"/>
                <w:szCs w:val="24"/>
                <w:highlight w:val="none"/>
              </w:rPr>
              <w:sym w:font="Wingdings" w:char="00FE"/>
            </w:r>
            <w:r>
              <w:rPr>
                <w:rFonts w:hint="eastAsia" w:ascii="宋体" w:hAnsi="宋体" w:eastAsia="宋体" w:cs="宋体"/>
                <w:b w:val="0"/>
                <w:bCs w:val="0"/>
                <w:color w:val="auto"/>
                <w:sz w:val="24"/>
                <w:szCs w:val="24"/>
                <w:highlight w:val="none"/>
              </w:rPr>
              <w:t>数据电文</w:t>
            </w:r>
          </w:p>
        </w:tc>
      </w:tr>
      <w:tr w14:paraId="1897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1A14BDB5">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25.1</w:t>
            </w:r>
          </w:p>
        </w:tc>
        <w:tc>
          <w:tcPr>
            <w:tcW w:w="909" w:type="pct"/>
            <w:vAlign w:val="center"/>
          </w:tcPr>
          <w:p w14:paraId="48F1E41C">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告知招标结果的形式</w:t>
            </w:r>
          </w:p>
        </w:tc>
        <w:tc>
          <w:tcPr>
            <w:tcW w:w="3592" w:type="pct"/>
            <w:vAlign w:val="center"/>
          </w:tcPr>
          <w:p w14:paraId="0CA63C12">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投标人自行登录电子</w:t>
            </w:r>
            <w:r>
              <w:rPr>
                <w:rFonts w:hint="eastAsia" w:ascii="宋体" w:hAnsi="宋体" w:eastAsia="宋体" w:cs="宋体"/>
                <w:color w:val="auto"/>
                <w:sz w:val="24"/>
                <w:szCs w:val="24"/>
                <w:highlight w:val="none"/>
              </w:rPr>
              <w:t>交易</w:t>
            </w:r>
            <w:r>
              <w:rPr>
                <w:rFonts w:hint="eastAsia" w:ascii="宋体" w:hAnsi="宋体" w:eastAsia="宋体" w:cs="宋体"/>
                <w:color w:val="auto"/>
                <w:kern w:val="0"/>
                <w:sz w:val="24"/>
                <w:szCs w:val="24"/>
                <w:highlight w:val="none"/>
              </w:rPr>
              <w:t>系统查看</w:t>
            </w:r>
          </w:p>
          <w:p w14:paraId="2124AA1D">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□评标现场告知</w:t>
            </w:r>
          </w:p>
        </w:tc>
      </w:tr>
      <w:tr w14:paraId="57E0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shd w:val="clear" w:color="auto" w:fill="auto"/>
            <w:vAlign w:val="center"/>
          </w:tcPr>
          <w:p w14:paraId="3A83C35B">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rPr>
              <w:t>26.1</w:t>
            </w:r>
          </w:p>
        </w:tc>
        <w:tc>
          <w:tcPr>
            <w:tcW w:w="909" w:type="pct"/>
            <w:shd w:val="clear" w:color="auto" w:fill="auto"/>
            <w:vAlign w:val="center"/>
          </w:tcPr>
          <w:p w14:paraId="24E94CE8">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rPr>
              <w:t>履约保证金</w:t>
            </w:r>
          </w:p>
        </w:tc>
        <w:tc>
          <w:tcPr>
            <w:tcW w:w="3592" w:type="pct"/>
            <w:shd w:val="clear" w:color="auto" w:fill="auto"/>
            <w:vAlign w:val="top"/>
          </w:tcPr>
          <w:p w14:paraId="47FEE342">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（1）金额：</w:t>
            </w:r>
          </w:p>
          <w:p w14:paraId="54FB8FA4">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☑免收</w:t>
            </w:r>
          </w:p>
          <w:p w14:paraId="38EAACD1">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□合同价的</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kern w:val="0"/>
                <w:sz w:val="24"/>
                <w:szCs w:val="24"/>
                <w:highlight w:val="none"/>
              </w:rPr>
              <w:t>%</w:t>
            </w:r>
          </w:p>
          <w:p w14:paraId="292A13C0">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□定额收取：人民币</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kern w:val="0"/>
                <w:sz w:val="24"/>
                <w:szCs w:val="24"/>
                <w:highlight w:val="none"/>
              </w:rPr>
              <w:t>元</w:t>
            </w:r>
          </w:p>
          <w:p w14:paraId="1656FC11">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（2）支付方式：</w:t>
            </w:r>
          </w:p>
          <w:p w14:paraId="08B53EEC">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bCs/>
                <w:color w:val="auto"/>
                <w:kern w:val="0"/>
                <w:sz w:val="24"/>
                <w:szCs w:val="24"/>
                <w:highlight w:val="none"/>
              </w:rPr>
              <w:t xml:space="preserve">转账/电汇 </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bCs/>
                <w:color w:val="auto"/>
                <w:kern w:val="0"/>
                <w:sz w:val="24"/>
                <w:szCs w:val="24"/>
                <w:highlight w:val="none"/>
              </w:rPr>
              <w:t xml:space="preserve">支票 </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bCs/>
                <w:color w:val="auto"/>
                <w:kern w:val="0"/>
                <w:sz w:val="24"/>
                <w:szCs w:val="24"/>
                <w:highlight w:val="none"/>
              </w:rPr>
              <w:t xml:space="preserve">汇票 </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bCs/>
                <w:color w:val="auto"/>
                <w:kern w:val="0"/>
                <w:sz w:val="24"/>
                <w:szCs w:val="24"/>
                <w:highlight w:val="none"/>
              </w:rPr>
              <w:t xml:space="preserve">本票 </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bCs/>
                <w:color w:val="auto"/>
                <w:kern w:val="0"/>
                <w:sz w:val="24"/>
                <w:szCs w:val="24"/>
                <w:highlight w:val="none"/>
              </w:rPr>
              <w:t xml:space="preserve">保险 </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bCs/>
                <w:color w:val="auto"/>
                <w:kern w:val="0"/>
                <w:sz w:val="24"/>
                <w:szCs w:val="24"/>
                <w:highlight w:val="none"/>
              </w:rPr>
              <w:t>保函</w:t>
            </w:r>
          </w:p>
          <w:p w14:paraId="2359A853">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（3）收取单位：</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kern w:val="0"/>
                <w:sz w:val="24"/>
                <w:szCs w:val="24"/>
                <w:highlight w:val="none"/>
              </w:rPr>
              <w:t xml:space="preserve">              </w:t>
            </w:r>
          </w:p>
          <w:p w14:paraId="52D230C9">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（4）收取账号：</w:t>
            </w:r>
            <w:r>
              <w:rPr>
                <w:rFonts w:hint="eastAsia" w:ascii="宋体" w:hAnsi="宋体" w:eastAsia="宋体" w:cs="宋体"/>
                <w:bCs/>
                <w:color w:val="auto"/>
                <w:sz w:val="24"/>
                <w:szCs w:val="24"/>
                <w:highlight w:val="none"/>
                <w:u w:val="single"/>
              </w:rPr>
              <w:t>/</w:t>
            </w:r>
          </w:p>
          <w:p w14:paraId="0E6FE0C2">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（5）</w:t>
            </w:r>
            <w:r>
              <w:rPr>
                <w:rFonts w:hint="eastAsia" w:ascii="宋体" w:hAnsi="宋体" w:eastAsia="宋体" w:cs="宋体"/>
                <w:color w:val="auto"/>
                <w:sz w:val="24"/>
                <w:szCs w:val="24"/>
                <w:highlight w:val="none"/>
              </w:rPr>
              <w:t>退还时间：</w:t>
            </w:r>
            <w:r>
              <w:rPr>
                <w:rFonts w:hint="eastAsia" w:ascii="宋体" w:hAnsi="宋体" w:eastAsia="宋体" w:cs="宋体"/>
                <w:bCs/>
                <w:color w:val="auto"/>
                <w:sz w:val="24"/>
                <w:szCs w:val="24"/>
                <w:highlight w:val="none"/>
                <w:u w:val="single"/>
              </w:rPr>
              <w:t>/</w:t>
            </w:r>
          </w:p>
          <w:p w14:paraId="267FAF11">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注意事项：</w:t>
            </w:r>
          </w:p>
          <w:p w14:paraId="1C0B746C">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（1）以上各类机构出具的以担保函、保证保险承担责任的方式均须满足无条件见索即付条件。</w:t>
            </w:r>
          </w:p>
          <w:p w14:paraId="63529E96">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rPr>
              <w:t>（2）以担保函、保证保险形式缴纳履约保证金的，受益人和收取单位须为采购人。</w:t>
            </w:r>
          </w:p>
        </w:tc>
      </w:tr>
      <w:tr w14:paraId="21E0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vAlign w:val="center"/>
          </w:tcPr>
          <w:p w14:paraId="1D899E2F">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27.1</w:t>
            </w:r>
          </w:p>
        </w:tc>
        <w:tc>
          <w:tcPr>
            <w:tcW w:w="909" w:type="pct"/>
            <w:vAlign w:val="center"/>
          </w:tcPr>
          <w:p w14:paraId="7EC52C01">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签订合同和合同公告时间</w:t>
            </w:r>
          </w:p>
        </w:tc>
        <w:tc>
          <w:tcPr>
            <w:tcW w:w="3592" w:type="pct"/>
          </w:tcPr>
          <w:p w14:paraId="7898E27D">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（1）采购人与中标人应当自发出中标通知书之日起7个工作日内签订合同，采购合同签订之日起2个工作日内完成政府采购合同公开。</w:t>
            </w:r>
          </w:p>
          <w:p w14:paraId="1B6B2E20">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kern w:val="0"/>
                <w:sz w:val="24"/>
                <w:szCs w:val="24"/>
                <w:highlight w:val="none"/>
              </w:rPr>
            </w:pPr>
            <w:r>
              <w:rPr>
                <w:rFonts w:hint="eastAsia" w:ascii="宋体" w:hAnsi="宋体" w:eastAsia="宋体" w:cs="宋体"/>
                <w:color w:val="auto"/>
                <w:sz w:val="24"/>
                <w:szCs w:val="24"/>
                <w:highlight w:val="none"/>
              </w:rPr>
              <w:t>（2）采购人与中标人不得擅自变更合同，依照政府采购法确需变更政府采购合同内容的，采购人应当自合同变更之日起2个工作日内在安徽省政府采购网和滁州市公共资源交易中心网发布政府采购合同变更公告，但涉及国家秘密、商业秘密的信息和其他依法不得公开的信息除外。</w:t>
            </w:r>
          </w:p>
        </w:tc>
      </w:tr>
      <w:tr w14:paraId="77BA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51D81523">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28.1</w:t>
            </w:r>
          </w:p>
        </w:tc>
        <w:tc>
          <w:tcPr>
            <w:tcW w:w="909" w:type="pct"/>
            <w:vAlign w:val="center"/>
          </w:tcPr>
          <w:p w14:paraId="4091CB89">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代理费用</w:t>
            </w:r>
          </w:p>
        </w:tc>
        <w:tc>
          <w:tcPr>
            <w:tcW w:w="3592" w:type="pct"/>
            <w:vAlign w:val="center"/>
          </w:tcPr>
          <w:p w14:paraId="7134037C">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（1）收费对象</w:t>
            </w:r>
            <w:r>
              <w:rPr>
                <w:rFonts w:hint="eastAsia" w:ascii="宋体" w:hAnsi="宋体" w:eastAsia="宋体" w:cs="宋体"/>
                <w:color w:val="auto"/>
                <w:spacing w:val="-12"/>
                <w:sz w:val="24"/>
                <w:szCs w:val="24"/>
                <w:highlight w:val="none"/>
              </w:rPr>
              <w:t>：</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color w:val="auto"/>
                <w:spacing w:val="14"/>
                <w:sz w:val="24"/>
                <w:szCs w:val="24"/>
                <w:highlight w:val="none"/>
              </w:rPr>
              <w:t xml:space="preserve">采购人   </w:t>
            </w:r>
            <w:r>
              <w:rPr>
                <w:rFonts w:hint="eastAsia" w:ascii="宋体" w:hAnsi="宋体" w:eastAsia="宋体" w:cs="宋体"/>
                <w:bCs/>
                <w:color w:val="auto"/>
                <w:kern w:val="0"/>
                <w:sz w:val="24"/>
                <w:szCs w:val="24"/>
                <w:highlight w:val="none"/>
              </w:rPr>
              <w:sym w:font="Wingdings" w:char="00A8"/>
            </w:r>
            <w:r>
              <w:rPr>
                <w:rFonts w:hint="eastAsia" w:ascii="宋体" w:hAnsi="宋体" w:eastAsia="宋体" w:cs="宋体"/>
                <w:color w:val="auto"/>
                <w:spacing w:val="14"/>
                <w:sz w:val="24"/>
                <w:szCs w:val="24"/>
                <w:highlight w:val="none"/>
              </w:rPr>
              <w:t>中标人</w:t>
            </w:r>
          </w:p>
          <w:p w14:paraId="56E3C9D5">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bCs/>
                <w:color w:val="auto"/>
                <w:kern w:val="0"/>
                <w:sz w:val="24"/>
                <w:szCs w:val="24"/>
                <w:highlight w:val="none"/>
              </w:rPr>
              <w:t>（2）收取方式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w:t>
            </w:r>
          </w:p>
          <w:p w14:paraId="270A19C2">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bCs w:val="0"/>
                <w:color w:val="auto"/>
                <w:sz w:val="24"/>
                <w:szCs w:val="24"/>
                <w:highlight w:val="none"/>
              </w:rPr>
              <w:t>（3）</w:t>
            </w:r>
            <w:r>
              <w:rPr>
                <w:rFonts w:hint="eastAsia" w:ascii="宋体" w:hAnsi="宋体" w:eastAsia="宋体" w:cs="宋体"/>
                <w:b w:val="0"/>
                <w:color w:val="auto"/>
                <w:sz w:val="24"/>
                <w:szCs w:val="24"/>
                <w:highlight w:val="none"/>
              </w:rPr>
              <w:t>收费标准</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bCs w:val="0"/>
                <w:color w:val="auto"/>
                <w:kern w:val="2"/>
                <w:sz w:val="24"/>
                <w:szCs w:val="24"/>
                <w:highlight w:val="none"/>
                <w:u w:val="single"/>
              </w:rPr>
              <w:t>按照《滁州市公共资源交易代理机构及从业人员管理办法》的通知（滁公管〔2025〕1号）的通知标准，以最高限价计算</w:t>
            </w:r>
            <w:r>
              <w:rPr>
                <w:rFonts w:hint="eastAsia" w:ascii="宋体" w:hAnsi="宋体" w:eastAsia="宋体" w:cs="宋体"/>
                <w:b w:val="0"/>
                <w:bCs w:val="0"/>
                <w:color w:val="auto"/>
                <w:kern w:val="2"/>
                <w:sz w:val="24"/>
                <w:szCs w:val="24"/>
                <w:highlight w:val="none"/>
                <w:u w:val="single"/>
                <w:lang w:eastAsia="zh-CN"/>
              </w:rPr>
              <w:t>。</w:t>
            </w:r>
            <w:r>
              <w:rPr>
                <w:rFonts w:hint="eastAsia" w:ascii="宋体" w:hAnsi="宋体" w:eastAsia="宋体" w:cs="宋体"/>
                <w:b w:val="0"/>
                <w:bCs w:val="0"/>
                <w:color w:val="auto"/>
                <w:kern w:val="2"/>
                <w:sz w:val="24"/>
                <w:szCs w:val="24"/>
                <w:highlight w:val="none"/>
                <w:u w:val="single"/>
                <w:lang w:val="en-US" w:eastAsia="zh-CN"/>
              </w:rPr>
              <w:t xml:space="preserve"> </w:t>
            </w:r>
          </w:p>
        </w:tc>
      </w:tr>
      <w:tr w14:paraId="6902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4D958571">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31.3</w:t>
            </w:r>
          </w:p>
        </w:tc>
        <w:tc>
          <w:tcPr>
            <w:tcW w:w="909" w:type="pct"/>
            <w:vAlign w:val="center"/>
          </w:tcPr>
          <w:p w14:paraId="276B55C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质疑函递交方式、接收部门、联系电话和通讯地址</w:t>
            </w:r>
          </w:p>
        </w:tc>
        <w:tc>
          <w:tcPr>
            <w:tcW w:w="3592" w:type="pct"/>
            <w:vAlign w:val="center"/>
          </w:tcPr>
          <w:p w14:paraId="4C60CA33">
            <w:pPr>
              <w:keepNext w:val="0"/>
              <w:keepLines w:val="0"/>
              <w:pageBreakBefore w:val="0"/>
              <w:widowControl/>
              <w:kinsoku/>
              <w:wordWrap/>
              <w:overflowPunct/>
              <w:topLinePunct w:val="0"/>
              <w:autoSpaceDE/>
              <w:autoSpaceDN/>
              <w:bidi w:val="0"/>
              <w:spacing w:line="520" w:lineRule="exact"/>
              <w:jc w:val="left"/>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color w:val="auto"/>
                <w:sz w:val="24"/>
                <w:szCs w:val="24"/>
                <w:highlight w:val="none"/>
              </w:rPr>
              <w:t>递交</w:t>
            </w:r>
            <w:r>
              <w:rPr>
                <w:rFonts w:hint="eastAsia" w:ascii="宋体" w:hAnsi="宋体" w:eastAsia="宋体" w:cs="宋体"/>
                <w:bCs/>
                <w:color w:val="auto"/>
                <w:sz w:val="24"/>
                <w:szCs w:val="24"/>
                <w:highlight w:val="none"/>
              </w:rPr>
              <w:t>方式：</w:t>
            </w:r>
            <w:r>
              <w:rPr>
                <w:rFonts w:hint="eastAsia" w:ascii="宋体" w:hAnsi="宋体" w:eastAsia="宋体" w:cs="宋体"/>
                <w:bCs/>
                <w:color w:val="auto"/>
                <w:kern w:val="0"/>
                <w:sz w:val="24"/>
                <w:szCs w:val="24"/>
                <w:highlight w:val="none"/>
                <w:u w:val="single"/>
              </w:rPr>
              <w:t>如投标人对招标文件有质疑，依据中华人民共和国财政部令第94号《政府采购质疑和投诉办法》规定提出质疑；供应商可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p>
          <w:p w14:paraId="24827630">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default"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rPr>
              <w:t>接收部门：</w:t>
            </w:r>
            <w:r>
              <w:rPr>
                <w:rFonts w:hint="eastAsia" w:ascii="宋体" w:hAnsi="宋体" w:eastAsia="宋体" w:cs="宋体"/>
                <w:b w:val="0"/>
                <w:color w:val="auto"/>
                <w:sz w:val="24"/>
                <w:szCs w:val="24"/>
                <w:highlight w:val="none"/>
                <w:u w:val="single"/>
                <w:lang w:eastAsia="zh-CN"/>
              </w:rPr>
              <w:t>滁州市</w:t>
            </w:r>
            <w:r>
              <w:rPr>
                <w:rFonts w:hint="eastAsia" w:ascii="宋体" w:hAnsi="宋体" w:eastAsia="宋体" w:cs="宋体"/>
                <w:b w:val="0"/>
                <w:color w:val="auto"/>
                <w:sz w:val="24"/>
                <w:szCs w:val="24"/>
                <w:highlight w:val="none"/>
                <w:u w:val="single"/>
                <w:lang w:val="en-US" w:eastAsia="zh-CN"/>
              </w:rPr>
              <w:t>公安</w:t>
            </w:r>
            <w:r>
              <w:rPr>
                <w:rFonts w:hint="eastAsia" w:ascii="宋体" w:hAnsi="宋体" w:eastAsia="宋体" w:cs="宋体"/>
                <w:b w:val="0"/>
                <w:color w:val="auto"/>
                <w:sz w:val="24"/>
                <w:szCs w:val="24"/>
                <w:highlight w:val="none"/>
                <w:u w:val="single"/>
                <w:lang w:eastAsia="zh-CN"/>
              </w:rPr>
              <w:t>局</w:t>
            </w:r>
            <w:r>
              <w:rPr>
                <w:rFonts w:hint="eastAsia" w:ascii="宋体" w:hAnsi="宋体" w:eastAsia="宋体" w:cs="宋体"/>
                <w:b w:val="0"/>
                <w:color w:val="auto"/>
                <w:sz w:val="24"/>
                <w:szCs w:val="24"/>
                <w:highlight w:val="none"/>
                <w:u w:val="single"/>
              </w:rPr>
              <w:t>、</w:t>
            </w:r>
            <w:r>
              <w:rPr>
                <w:rFonts w:hint="eastAsia" w:ascii="宋体" w:hAnsi="宋体" w:eastAsia="宋体"/>
                <w:b w:val="0"/>
                <w:color w:val="auto"/>
                <w:sz w:val="24"/>
                <w:highlight w:val="none"/>
                <w:u w:val="single"/>
                <w:lang w:eastAsia="zh-CN"/>
              </w:rPr>
              <w:t>滁州市政府采购中心</w:t>
            </w:r>
          </w:p>
          <w:p w14:paraId="0EE5850A">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default"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rPr>
              <w:t>联系电话：</w:t>
            </w:r>
            <w:r>
              <w:rPr>
                <w:rFonts w:hint="eastAsia" w:ascii="宋体" w:hAnsi="宋体" w:eastAsia="宋体" w:cs="宋体"/>
                <w:b w:val="0"/>
                <w:color w:val="auto"/>
                <w:sz w:val="24"/>
                <w:szCs w:val="24"/>
                <w:highlight w:val="none"/>
                <w:u w:val="single"/>
                <w:lang w:eastAsia="zh-CN"/>
              </w:rPr>
              <w:t>19955080809</w:t>
            </w:r>
            <w:r>
              <w:rPr>
                <w:rFonts w:hint="eastAsia" w:ascii="宋体" w:hAnsi="宋体" w:eastAsia="宋体" w:cs="宋体"/>
                <w:b w:val="0"/>
                <w:color w:val="auto"/>
                <w:sz w:val="24"/>
                <w:szCs w:val="24"/>
                <w:highlight w:val="none"/>
                <w:u w:val="single"/>
                <w:lang w:val="en-US" w:eastAsia="zh-CN"/>
              </w:rPr>
              <w:t>、0550-35</w:t>
            </w:r>
            <w:r>
              <w:rPr>
                <w:rFonts w:hint="eastAsia" w:ascii="宋体" w:hAnsi="宋体" w:eastAsia="宋体" w:cs="宋体"/>
                <w:b w:val="0"/>
                <w:color w:val="auto"/>
                <w:sz w:val="24"/>
                <w:szCs w:val="24"/>
                <w:highlight w:val="none"/>
                <w:u w:val="single"/>
                <w:lang w:eastAsia="zh-CN"/>
              </w:rPr>
              <w:t>19</w:t>
            </w:r>
            <w:r>
              <w:rPr>
                <w:rFonts w:hint="eastAsia" w:ascii="宋体" w:hAnsi="宋体" w:eastAsia="宋体" w:cs="宋体"/>
                <w:b w:val="0"/>
                <w:color w:val="auto"/>
                <w:sz w:val="24"/>
                <w:szCs w:val="24"/>
                <w:highlight w:val="none"/>
                <w:u w:val="single"/>
                <w:lang w:val="en-US" w:eastAsia="zh-CN"/>
              </w:rPr>
              <w:t>519、15955005370</w:t>
            </w:r>
          </w:p>
          <w:p w14:paraId="12DC7090">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通讯地址：</w:t>
            </w:r>
            <w:r>
              <w:rPr>
                <w:rFonts w:hint="eastAsia" w:ascii="宋体" w:hAnsi="宋体" w:eastAsia="宋体" w:cs="宋体"/>
                <w:b w:val="0"/>
                <w:bCs w:val="0"/>
                <w:color w:val="auto"/>
                <w:sz w:val="24"/>
                <w:szCs w:val="24"/>
                <w:highlight w:val="none"/>
                <w:u w:val="single"/>
                <w:lang w:eastAsia="zh-CN"/>
              </w:rPr>
              <w:t>安徽省滁州市龙蟠大道</w:t>
            </w:r>
            <w:r>
              <w:rPr>
                <w:rFonts w:hint="eastAsia" w:ascii="宋体" w:hAnsi="宋体" w:eastAsia="宋体" w:cs="宋体"/>
                <w:b w:val="0"/>
                <w:bCs w:val="0"/>
                <w:color w:val="auto"/>
                <w:sz w:val="24"/>
                <w:szCs w:val="24"/>
                <w:highlight w:val="none"/>
                <w:u w:val="single"/>
                <w:lang w:val="en-US" w:eastAsia="zh-CN"/>
              </w:rPr>
              <w:t>111</w:t>
            </w:r>
            <w:r>
              <w:rPr>
                <w:rFonts w:hint="eastAsia" w:ascii="宋体" w:hAnsi="宋体" w:eastAsia="宋体" w:cs="宋体"/>
                <w:b w:val="0"/>
                <w:bCs w:val="0"/>
                <w:color w:val="auto"/>
                <w:sz w:val="24"/>
                <w:szCs w:val="24"/>
                <w:highlight w:val="none"/>
                <w:u w:val="single"/>
                <w:lang w:eastAsia="zh-CN"/>
              </w:rPr>
              <w:t>号</w:t>
            </w:r>
            <w:r>
              <w:rPr>
                <w:rFonts w:hint="eastAsia" w:ascii="宋体" w:hAnsi="宋体" w:eastAsia="宋体" w:cs="宋体"/>
                <w:b w:val="0"/>
                <w:bCs w:val="0"/>
                <w:color w:val="auto"/>
                <w:sz w:val="24"/>
                <w:szCs w:val="24"/>
                <w:highlight w:val="none"/>
                <w:u w:val="single"/>
              </w:rPr>
              <w:t>、滁州市龙蟠大道109号房产大厦</w:t>
            </w:r>
            <w:r>
              <w:rPr>
                <w:rFonts w:hint="eastAsia" w:ascii="宋体" w:hAnsi="宋体" w:eastAsia="宋体" w:cs="宋体"/>
                <w:b w:val="0"/>
                <w:bCs w:val="0"/>
                <w:color w:val="auto"/>
                <w:sz w:val="24"/>
                <w:szCs w:val="24"/>
                <w:highlight w:val="none"/>
                <w:u w:val="single"/>
                <w:lang w:val="en-US" w:eastAsia="zh-CN"/>
              </w:rPr>
              <w:t>二</w:t>
            </w:r>
            <w:r>
              <w:rPr>
                <w:rFonts w:hint="eastAsia" w:ascii="宋体" w:hAnsi="宋体" w:eastAsia="宋体" w:cs="宋体"/>
                <w:b w:val="0"/>
                <w:bCs w:val="0"/>
                <w:color w:val="auto"/>
                <w:sz w:val="24"/>
                <w:szCs w:val="24"/>
                <w:highlight w:val="none"/>
                <w:u w:val="single"/>
              </w:rPr>
              <w:t>楼</w:t>
            </w:r>
          </w:p>
        </w:tc>
      </w:tr>
      <w:tr w14:paraId="0B62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8" w:type="pct"/>
            <w:vAlign w:val="center"/>
          </w:tcPr>
          <w:p w14:paraId="3A248224">
            <w:pPr>
              <w:pStyle w:val="59"/>
              <w:keepNext w:val="0"/>
              <w:keepLines w:val="0"/>
              <w:pageBreakBefore w:val="0"/>
              <w:pBdr>
                <w:bottom w:val="none" w:color="auto" w:sz="0" w:space="0"/>
              </w:pBdr>
              <w:tabs>
                <w:tab w:val="clear" w:pos="4153"/>
                <w:tab w:val="clear" w:pos="8306"/>
              </w:tabs>
              <w:kinsoku/>
              <w:wordWrap/>
              <w:overflowPunct/>
              <w:topLinePunct w:val="0"/>
              <w:autoSpaceDE/>
              <w:autoSpaceDN/>
              <w:bidi w:val="0"/>
              <w:adjustRightInd/>
              <w:spacing w:line="52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32</w:t>
            </w:r>
          </w:p>
        </w:tc>
        <w:tc>
          <w:tcPr>
            <w:tcW w:w="909" w:type="pct"/>
            <w:vAlign w:val="center"/>
          </w:tcPr>
          <w:p w14:paraId="62F47EDB">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其他内容</w:t>
            </w:r>
          </w:p>
        </w:tc>
        <w:tc>
          <w:tcPr>
            <w:tcW w:w="3592" w:type="pct"/>
            <w:vAlign w:val="center"/>
          </w:tcPr>
          <w:p w14:paraId="57BECD67">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1.解释权：</w:t>
            </w:r>
          </w:p>
          <w:p w14:paraId="42BA28E3">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（1）构成本招标文件的各个组成文件应互为解释，互为说明；</w:t>
            </w:r>
          </w:p>
          <w:p w14:paraId="53A93667">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（2）同一组成文件中就同一事项的规定或约定不一致的，以编排顺序在后者为准；</w:t>
            </w:r>
          </w:p>
          <w:p w14:paraId="62ACCC3A">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（3）如有不明确或不一致，构成合同文件组成内容的，以合同文件约定内容为准，且以专用合同条款约定的合同文件优先顺序解释；</w:t>
            </w:r>
          </w:p>
          <w:p w14:paraId="05F9BB41">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（4）除招标文件中有特别规定外，仅适用于招标投标阶段的规定，按招标公告、投标邀请、投标人须知、评标方法和标准、投标文件格式的先后顺序解释；</w:t>
            </w:r>
          </w:p>
          <w:p w14:paraId="2FF0E229">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（5）按本款前述规定仍不能形成结论的，由采购人负责解释。</w:t>
            </w:r>
          </w:p>
          <w:p w14:paraId="482642FF">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2.“政采贷”融资指引：有融资需求的</w:t>
            </w:r>
            <w:r>
              <w:rPr>
                <w:rFonts w:hint="eastAsia" w:ascii="宋体" w:hAnsi="宋体" w:eastAsia="宋体" w:cs="宋体"/>
                <w:color w:val="auto"/>
                <w:sz w:val="24"/>
                <w:szCs w:val="24"/>
                <w:highlight w:val="none"/>
              </w:rPr>
              <w:t>中标人</w:t>
            </w:r>
            <w:r>
              <w:rPr>
                <w:rFonts w:hint="eastAsia" w:ascii="宋体" w:hAnsi="宋体" w:eastAsia="宋体" w:cs="宋体"/>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中标人</w:t>
            </w:r>
            <w:r>
              <w:rPr>
                <w:rFonts w:hint="eastAsia" w:ascii="宋体" w:hAnsi="宋体" w:eastAsia="宋体" w:cs="宋体"/>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中标人</w:t>
            </w:r>
            <w:r>
              <w:rPr>
                <w:rFonts w:hint="eastAsia" w:ascii="宋体" w:hAnsi="宋体" w:eastAsia="宋体" w:cs="宋体"/>
                <w:bCs/>
                <w:color w:val="auto"/>
                <w:sz w:val="24"/>
                <w:szCs w:val="24"/>
                <w:highlight w:val="none"/>
              </w:rPr>
              <w:t>融资申请信息推送第三方平台、意向金融机构。</w:t>
            </w:r>
          </w:p>
          <w:p w14:paraId="37EA82BE">
            <w:pPr>
              <w:pStyle w:val="58"/>
              <w:keepNext w:val="0"/>
              <w:keepLines w:val="0"/>
              <w:pageBreakBefore w:val="0"/>
              <w:widowControl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3.电子保函指引：中标人可访问安徽省政府采购网“融资/保函”栏目，申请办理电子保函（包括：履约保函、预付款保函）。</w:t>
            </w:r>
          </w:p>
          <w:p w14:paraId="59CB221A">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w:t>
            </w:r>
            <w:r>
              <w:rPr>
                <w:rFonts w:hint="eastAsia" w:ascii="宋体" w:hAnsi="宋体" w:eastAsia="宋体" w:cs="宋体"/>
                <w:bCs/>
                <w:color w:val="auto"/>
                <w:kern w:val="2"/>
                <w:sz w:val="24"/>
                <w:szCs w:val="24"/>
                <w:highlight w:val="none"/>
                <w:lang w:bidi="ar"/>
              </w:rPr>
              <w:t>部分可提供线下政采贷的金融机构：</w:t>
            </w:r>
          </w:p>
          <w:p w14:paraId="38DD8026">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市本级</w:t>
            </w:r>
          </w:p>
          <w:p w14:paraId="1A724EA7">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金融机构名称：兴业银行滁州分行</w:t>
            </w:r>
          </w:p>
          <w:p w14:paraId="42AA09EE">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安徽省滁州市琅琊区丰乐大道1090号</w:t>
            </w:r>
          </w:p>
          <w:p w14:paraId="5DE5A773">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lang w:bidi="ar"/>
              </w:rPr>
            </w:pPr>
            <w:r>
              <w:rPr>
                <w:rFonts w:hint="eastAsia" w:ascii="宋体" w:hAnsi="宋体" w:eastAsia="宋体" w:cs="宋体"/>
                <w:bCs/>
                <w:color w:val="auto"/>
                <w:kern w:val="2"/>
                <w:sz w:val="24"/>
                <w:szCs w:val="24"/>
                <w:highlight w:val="none"/>
                <w:lang w:bidi="ar"/>
              </w:rPr>
              <w:t>伏庚：17755080811</w:t>
            </w:r>
          </w:p>
          <w:p w14:paraId="4C2203B7">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5.特别提示：</w:t>
            </w:r>
          </w:p>
          <w:p w14:paraId="54214388">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（1）投标人应填写投标信息并下载招标文件，否则无法上传投标文件。</w:t>
            </w:r>
          </w:p>
          <w:p w14:paraId="145A421E">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7B8E9AD6">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（3）如果过程中出现招标文件更改，应以最后发布的招标答疑澄清文件中的模板制作本项目最新投标文件。</w:t>
            </w:r>
          </w:p>
          <w:p w14:paraId="0CE6BB36">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 xml:space="preserve">（4）投标人应当用本单位CA数字证书制作投标文件，制作成功后进行投标文件上传。 </w:t>
            </w:r>
          </w:p>
          <w:p w14:paraId="205D739F">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00A92FA8">
            <w:pPr>
              <w:pStyle w:val="33"/>
              <w:keepNext w:val="0"/>
              <w:keepLines w:val="0"/>
              <w:pageBreakBefore w:val="0"/>
              <w:kinsoku/>
              <w:wordWrap/>
              <w:overflowPunct/>
              <w:topLinePunct w:val="0"/>
              <w:autoSpaceDE/>
              <w:autoSpaceDN/>
              <w:bidi w:val="0"/>
              <w:spacing w:before="0" w:beforeAutospacing="0" w:after="0" w:afterAutospacing="0" w:line="52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（6）请投标人注意加密投标文件CA数字证书的有效期，不在有效期的CA数字证书无法解密投标文件。</w:t>
            </w:r>
          </w:p>
          <w:p w14:paraId="1BC743BF">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（7）投标人投标MAC地址或投标人联系人或联系电话相同的，由评标委员会否决其投标，并报告监管部门作不良行为处理和进一步调查。</w:t>
            </w:r>
          </w:p>
          <w:p w14:paraId="7D8F3142">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（8）投标人单方面出现其他投标人材料的，由评标委员会否决其投标。</w:t>
            </w:r>
          </w:p>
          <w:p w14:paraId="6D25825F">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77AA5F5A">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7740B57A">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6.评标过程中的澄清、说明或补正：</w:t>
            </w:r>
          </w:p>
          <w:p w14:paraId="3063871D">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（1）评标委员会通过网上招投标系统将需要澄清、说明或补正的内容以询标函的形式发送给投标人，投标人应安排专人登录网上招投标系统并保持在线状态，以便及时接收评标委员会可能发出的询标函。</w:t>
            </w:r>
          </w:p>
          <w:p w14:paraId="0C7C2B5A">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6B7B0EAA">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7.同义词语：</w:t>
            </w:r>
          </w:p>
          <w:p w14:paraId="5074A72D">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bidi="ar"/>
              </w:rPr>
              <w:t>招标文件第六章投标文件格式、附件1“关于联合惩戒失信行为 加强信用查询管理的通知”等章节中 “招标人”、“供应商”，等同于“采购人”、“投标人”。</w:t>
            </w:r>
          </w:p>
          <w:p w14:paraId="60C7DA87">
            <w:pPr>
              <w:pStyle w:val="58"/>
              <w:keepNext w:val="0"/>
              <w:keepLines w:val="0"/>
              <w:pageBreakBefore w:val="0"/>
              <w:widowControl w:val="0"/>
              <w:numPr>
                <w:ilvl w:val="0"/>
                <w:numId w:val="2"/>
              </w:numPr>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 w:val="0"/>
                <w:color w:val="auto"/>
                <w:kern w:val="2"/>
                <w:sz w:val="24"/>
                <w:szCs w:val="24"/>
                <w:highlight w:val="none"/>
                <w:lang w:bidi="ar"/>
              </w:rPr>
            </w:pPr>
            <w:r>
              <w:rPr>
                <w:rFonts w:hint="eastAsia" w:ascii="宋体" w:hAnsi="宋体" w:eastAsia="宋体" w:cs="宋体"/>
                <w:b w:val="0"/>
                <w:color w:val="auto"/>
                <w:kern w:val="2"/>
                <w:sz w:val="24"/>
                <w:szCs w:val="24"/>
                <w:highlight w:val="none"/>
                <w:lang w:bidi="ar"/>
              </w:rPr>
              <w:t>落实政府采购支持节能产品、环境标志产品政策。</w:t>
            </w:r>
          </w:p>
          <w:p w14:paraId="796E11F7">
            <w:pPr>
              <w:pStyle w:val="58"/>
              <w:keepNext w:val="0"/>
              <w:keepLines w:val="0"/>
              <w:pageBreakBefore w:val="0"/>
              <w:widowControl w:val="0"/>
              <w:numPr>
                <w:ilvl w:val="0"/>
                <w:numId w:val="2"/>
              </w:numPr>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eastAsia="宋体" w:cs="宋体"/>
                <w:b w:val="0"/>
                <w:color w:val="auto"/>
                <w:kern w:val="2"/>
                <w:sz w:val="24"/>
                <w:szCs w:val="24"/>
                <w:highlight w:val="none"/>
                <w:lang w:bidi="ar"/>
              </w:rPr>
            </w:pPr>
            <w:r>
              <w:rPr>
                <w:rFonts w:hint="eastAsia" w:ascii="宋体" w:hAnsi="宋体" w:eastAsia="宋体" w:cs="宋体"/>
                <w:b w:val="0"/>
                <w:color w:val="auto"/>
                <w:kern w:val="2"/>
                <w:sz w:val="24"/>
                <w:szCs w:val="24"/>
                <w:highlight w:val="none"/>
              </w:rPr>
              <w:t>系统中提供的表格与</w:t>
            </w:r>
            <w:r>
              <w:rPr>
                <w:rFonts w:hint="eastAsia" w:ascii="宋体" w:hAnsi="宋体" w:eastAsia="宋体" w:cs="宋体"/>
                <w:b w:val="0"/>
                <w:color w:val="auto"/>
                <w:kern w:val="2"/>
                <w:sz w:val="24"/>
                <w:szCs w:val="24"/>
                <w:highlight w:val="none"/>
                <w:lang w:eastAsia="zh-CN"/>
              </w:rPr>
              <w:t>招标文件</w:t>
            </w:r>
            <w:r>
              <w:rPr>
                <w:rFonts w:hint="eastAsia" w:ascii="宋体" w:hAnsi="宋体" w:eastAsia="宋体" w:cs="宋体"/>
                <w:b w:val="0"/>
                <w:color w:val="auto"/>
                <w:kern w:val="2"/>
                <w:sz w:val="24"/>
                <w:szCs w:val="24"/>
                <w:highlight w:val="none"/>
              </w:rPr>
              <w:t>中不一致时，以</w:t>
            </w:r>
            <w:r>
              <w:rPr>
                <w:rFonts w:hint="eastAsia" w:ascii="宋体" w:hAnsi="宋体" w:eastAsia="宋体" w:cs="宋体"/>
                <w:b w:val="0"/>
                <w:color w:val="auto"/>
                <w:kern w:val="2"/>
                <w:sz w:val="24"/>
                <w:szCs w:val="24"/>
                <w:highlight w:val="none"/>
                <w:lang w:eastAsia="zh-CN"/>
              </w:rPr>
              <w:t>招标文件</w:t>
            </w:r>
            <w:r>
              <w:rPr>
                <w:rFonts w:hint="eastAsia" w:ascii="宋体" w:hAnsi="宋体" w:eastAsia="宋体" w:cs="宋体"/>
                <w:b w:val="0"/>
                <w:color w:val="auto"/>
                <w:kern w:val="2"/>
                <w:sz w:val="24"/>
                <w:szCs w:val="24"/>
                <w:highlight w:val="none"/>
              </w:rPr>
              <w:t>中提供的表格格式为准。</w:t>
            </w:r>
          </w:p>
        </w:tc>
      </w:tr>
    </w:tbl>
    <w:p w14:paraId="02CB5BD9">
      <w:pPr>
        <w:keepNext w:val="0"/>
        <w:keepLines w:val="0"/>
        <w:pageBreakBefore w:val="0"/>
        <w:widowControl w:val="0"/>
        <w:kinsoku/>
        <w:wordWrap/>
        <w:overflowPunct/>
        <w:topLinePunct w:val="0"/>
        <w:autoSpaceDE/>
        <w:autoSpaceDN/>
        <w:bidi w:val="0"/>
        <w:adjustRightInd/>
        <w:snapToGrid/>
        <w:spacing w:before="95" w:beforeLines="30" w:after="95" w:afterLines="30" w:line="520" w:lineRule="exact"/>
        <w:jc w:val="center"/>
        <w:textAlignment w:val="auto"/>
        <w:outlineLvl w:val="1"/>
        <w:rPr>
          <w:rFonts w:hint="eastAsia"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28" w:name="_Toc24882"/>
      <w:bookmarkStart w:id="29" w:name="_Toc9427"/>
      <w:r>
        <w:rPr>
          <w:rFonts w:hint="eastAsia" w:asciiTheme="minorEastAsia" w:hAnsiTheme="minorEastAsia" w:eastAsiaTheme="minorEastAsia"/>
          <w:b/>
          <w:color w:val="auto"/>
          <w:sz w:val="24"/>
          <w:highlight w:val="none"/>
        </w:rPr>
        <w:t>二、投标人须知正文</w:t>
      </w:r>
      <w:bookmarkEnd w:id="28"/>
      <w:bookmarkEnd w:id="29"/>
    </w:p>
    <w:p w14:paraId="6A3D9594">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1.采购人、采购代理机构及投标人</w:t>
      </w:r>
    </w:p>
    <w:p w14:paraId="34C7A62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1.1采购人：是指依法开展政府采购活动的国家机关、事业单位、团体组织。</w:t>
      </w:r>
    </w:p>
    <w:p w14:paraId="2DFCE744">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1.2采购代理机构：是指集中采购机构或从事采购代理业务的社会中介机构。</w:t>
      </w:r>
    </w:p>
    <w:p w14:paraId="670DDD81">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1.3政府采购监督管理部门：各级人民政府指定的有关部门依法履行与政府采购活动有关的监督管理职责。</w:t>
      </w:r>
    </w:p>
    <w:p w14:paraId="4CC00254">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1.4投标人：是指向采购人提供货物、工程或者服务的法人、其他组织或者自然人。分支机构不得参加政府采购活动，但银行、保险、石油石化、电力、电信等特殊行业除外。本项目的投标人须满足以下条件：</w:t>
      </w:r>
    </w:p>
    <w:p w14:paraId="07B8CBA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1.4.1具备《中华人民共和国政府采购法》第二十二条关于供应商条件的规定，遵守本项目采购人本级和上级财政部门政府采购的有关规定。</w:t>
      </w:r>
    </w:p>
    <w:p w14:paraId="6ECFDE61">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1.4.2以采购代理机构认可的方式获得了本项目的招标文件。</w:t>
      </w:r>
    </w:p>
    <w:p w14:paraId="286C052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1.4.3若采购需求中写明允许采购进口产品，投标人应保证所投产品可履行合法报通关手续进入中国关境内。</w:t>
      </w:r>
    </w:p>
    <w:p w14:paraId="24B13CE7">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若采购需求中未写明允许采购进口产品，如投标人所投产品为进口产品，其投标将被认定为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2639D9D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1.5若招标公告中允许联合体投标，对联合体规定如下：</w:t>
      </w:r>
    </w:p>
    <w:p w14:paraId="7734B548">
      <w:pPr>
        <w:keepNext w:val="0"/>
        <w:keepLines w:val="0"/>
        <w:pageBreakBefore w:val="0"/>
        <w:widowControl w:val="0"/>
        <w:kinsoku/>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1.5.1两个以上供应商可以组成一个投标联合体，以一个投标人的身份投标。联合体投标的，招标文件获取手续由联合体中任一成员单位办理均可。</w:t>
      </w:r>
    </w:p>
    <w:p w14:paraId="032E45B4">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1.5.2联合体各方均应符合《中华人民共和国政府采购法》第二十二条规定的条件。</w:t>
      </w:r>
    </w:p>
    <w:p w14:paraId="6B2E2C68">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1.5.3采购人根据采购项目对投标人的特殊要求，联合体中至少应当有一方符合相关规定。</w:t>
      </w:r>
    </w:p>
    <w:p w14:paraId="49418468">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1.5.4联合体各方应签订联合协议，明确约定联合体各方承担的工作和相应的责任，并将联合协议作为投标文件的一部分提交。</w:t>
      </w:r>
    </w:p>
    <w:p w14:paraId="39D7F91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1.5.5大中型企业、其他自然人、法人或者非法人组织与小型、微型企业组成联合体共同参加投标，联合协议中应写明小型、微型企业的协议合同金额占到联合协议投标总金额的比例。</w:t>
      </w:r>
    </w:p>
    <w:p w14:paraId="128AA23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1.5.6联合体中有同类资质的供应商按照联合体分工承担相同工作的，应当按照资质等级较低的供应商确定资质等级。</w:t>
      </w:r>
    </w:p>
    <w:p w14:paraId="0789B02C">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1.5.7以联合体形式参加政府采购活动的，联合体各方不得再单独参加或者与其他供应商另外组成联合体参加本项目投标，否则相关投标将被认定为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64AA7412">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1.5.8对联合体投标的其他资格要求见申请人的资格要求。</w:t>
      </w:r>
    </w:p>
    <w:p w14:paraId="30AB2D07">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2.资金落实情况</w:t>
      </w:r>
    </w:p>
    <w:p w14:paraId="3687F3F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2.1本项目的采购人已获得足以支付本次招标后所签订的合同项下的资金。</w:t>
      </w:r>
    </w:p>
    <w:p w14:paraId="4352ADD7">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3.投标费用</w:t>
      </w:r>
    </w:p>
    <w:p w14:paraId="1EB34B4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不论投标的结果如何，投标人应承担所有与准备和参加投标有关的费用。</w:t>
      </w:r>
    </w:p>
    <w:p w14:paraId="66E1EF1B">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4.适用法律</w:t>
      </w:r>
    </w:p>
    <w:p w14:paraId="4604348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本项目采购人、采购代理机构、投标人、评标委员会的相关行为均受《中华人民共和国政府采购法》、《中</w:t>
      </w:r>
      <w:r>
        <w:rPr>
          <w:rFonts w:hint="eastAsia" w:ascii="宋体" w:hAnsi="宋体" w:eastAsia="宋体" w:cs="宋体"/>
          <w:color w:val="auto"/>
          <w:sz w:val="24"/>
          <w:szCs w:val="22"/>
          <w:highlight w:val="none"/>
        </w:rPr>
        <w:t>华人民共和国政府采购法实施条例》及本项目本级和上级财政部门、政府采购监督管理部门的政府采购有关规定的约束，其权利受到上述法律法规的保护。</w:t>
      </w:r>
    </w:p>
    <w:p w14:paraId="0075F1FA">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5.招标文件构成</w:t>
      </w:r>
    </w:p>
    <w:p w14:paraId="74E64DD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5.1招标文件包括下列内容：</w:t>
      </w:r>
    </w:p>
    <w:p w14:paraId="5E410C63">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第一章  投标邀请</w:t>
      </w:r>
    </w:p>
    <w:p w14:paraId="1807F1E6">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第二章  投标人须知</w:t>
      </w:r>
    </w:p>
    <w:p w14:paraId="083A4637">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第三章  采购需求</w:t>
      </w:r>
    </w:p>
    <w:p w14:paraId="2631595E">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第四章  评标方法和标准</w:t>
      </w:r>
    </w:p>
    <w:p w14:paraId="4D6FBF9D">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第五章  政府采购合同</w:t>
      </w:r>
    </w:p>
    <w:p w14:paraId="4CF82552">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第六章  投标文件格式</w:t>
      </w:r>
    </w:p>
    <w:p w14:paraId="40E3042A">
      <w:pPr>
        <w:keepNext w:val="0"/>
        <w:keepLines w:val="0"/>
        <w:pageBreakBefore w:val="0"/>
        <w:widowControl w:val="0"/>
        <w:kinsoku/>
        <w:overflowPunct/>
        <w:topLinePunct w:val="0"/>
        <w:autoSpaceDE/>
        <w:autoSpaceDN/>
        <w:bidi w:val="0"/>
        <w:adjustRightInd/>
        <w:snapToGrid/>
        <w:spacing w:line="520" w:lineRule="exact"/>
        <w:ind w:firstLine="840" w:firstLineChars="3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第七章  政府采购询问函和质疑函范本</w:t>
      </w:r>
    </w:p>
    <w:p w14:paraId="31B3BDB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5.2现场考察（</w:t>
      </w:r>
      <w:r>
        <w:rPr>
          <w:rFonts w:hint="eastAsia" w:ascii="宋体" w:hAnsi="宋体" w:eastAsia="宋体" w:cs="宋体"/>
          <w:bCs/>
          <w:color w:val="auto"/>
          <w:sz w:val="24"/>
          <w:szCs w:val="22"/>
          <w:highlight w:val="none"/>
        </w:rPr>
        <w:t>标前答疑会</w:t>
      </w:r>
      <w:r>
        <w:rPr>
          <w:rFonts w:hint="eastAsia" w:ascii="宋体" w:hAnsi="宋体" w:eastAsia="宋体" w:cs="宋体"/>
          <w:color w:val="auto"/>
          <w:sz w:val="24"/>
          <w:highlight w:val="none"/>
        </w:rPr>
        <w:t>）及相关事项见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6544AF4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5.3投标人应认真阅读招标文件所有的事项、格式、条款和技术规范等。</w:t>
      </w:r>
    </w:p>
    <w:p w14:paraId="73C68855">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6.招标文件的澄清与修改</w:t>
      </w:r>
    </w:p>
    <w:p w14:paraId="0F1F7CE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6.1投标人如对招标文件内容有疑问，可在</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规定的网上询问截止时间前提交给采购代理机构。</w:t>
      </w:r>
    </w:p>
    <w:p w14:paraId="1A3F240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6.2采购人可主动地或在答复投标人提出的询问时对招标文件进行澄清与修改。采购代理机构将在安徽省政府采购网和滁州市公共资源交易中心网以发布更正公告的方式，澄清或修改招标文件，更正公告的内容作为招标文件的组成部分，对投标人起约束作用。投标人应主动上网查询。采购代理机构不承担投标人未及时关注相关信息引发的相关责任。</w:t>
      </w:r>
    </w:p>
    <w:p w14:paraId="5936955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2597B44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i/>
          <w:iCs/>
          <w:color w:val="auto"/>
          <w:sz w:val="24"/>
          <w:highlight w:val="none"/>
        </w:rPr>
      </w:pPr>
      <w:r>
        <w:rPr>
          <w:rFonts w:hint="eastAsia" w:ascii="宋体" w:hAnsi="宋体" w:eastAsia="宋体" w:cs="宋体"/>
          <w:color w:val="auto"/>
          <w:sz w:val="24"/>
          <w:highlight w:val="none"/>
        </w:rPr>
        <w:t>6.4对于没有提出疑问又参与了本项目投标的投标人将被视为完全认同本招标文件（含更正公告的内容）</w:t>
      </w:r>
      <w:r>
        <w:rPr>
          <w:rFonts w:hint="eastAsia" w:ascii="宋体" w:hAnsi="宋体" w:eastAsia="宋体" w:cs="宋体"/>
          <w:i/>
          <w:color w:val="auto"/>
          <w:sz w:val="24"/>
          <w:highlight w:val="none"/>
        </w:rPr>
        <w:t>。</w:t>
      </w:r>
    </w:p>
    <w:p w14:paraId="771A8345">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7.投标范围及投标文件中标准和计量单位的使用</w:t>
      </w:r>
    </w:p>
    <w:p w14:paraId="4E04E97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7.1项目有分包的，投标人可对招标文件其中某一个或几个分包进行投标，除非在</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中另有规定。</w:t>
      </w:r>
    </w:p>
    <w:p w14:paraId="225713F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7.2投标人应当对所投分包招标文件中“采购需求”所列的所有内容进行投标，如仅响应所投包别中的部分内容，其所投包别的投标将被认定为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49137D0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bookmarkStart w:id="30" w:name="_Hlk16458980"/>
      <w:r>
        <w:rPr>
          <w:rFonts w:hint="eastAsia" w:ascii="宋体" w:hAnsi="宋体" w:eastAsia="宋体" w:cs="宋体"/>
          <w:color w:val="auto"/>
          <w:sz w:val="24"/>
          <w:highlight w:val="none"/>
        </w:rPr>
        <w:t>7.3无论招标文件中是否要求，投标人所投货物、服务及工程（如有）均应符合国家强制性标准。</w:t>
      </w:r>
    </w:p>
    <w:bookmarkEnd w:id="30"/>
    <w:p w14:paraId="603BDD6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7.4投标人与采购代理机构之间与投标有关的所有往来通知、函件和投标文件均用中文表述。投标人随投标文件提供的证明文件和资料可以为其它语言，但必须附中文译文。翻译的中文资料与外文资料出现差异时，以中文为准。</w:t>
      </w:r>
    </w:p>
    <w:p w14:paraId="3FB81697">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7.5除招标文件中有特殊要求外，投标文件中所使用的计量单位，应采用中华人民共和国法定计量单位。</w:t>
      </w:r>
    </w:p>
    <w:p w14:paraId="477F308A">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8.投标文件构成</w:t>
      </w:r>
    </w:p>
    <w:p w14:paraId="0A9019B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8.1投标人应完整地按招标文件提供的投标文件格式及要求编写投标文件，具体内容详见本项目投标文件格式的相关内容。</w:t>
      </w:r>
    </w:p>
    <w:p w14:paraId="604D544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8.2投标人应提交招标文件要求的证明文件，证明其投标内容符合招标文件规定，该证明文件是投标文件的一部分。证明文件形式可以是文字资料、图纸和数据</w:t>
      </w:r>
      <w:bookmarkStart w:id="31" w:name="_Hlk11703583"/>
      <w:r>
        <w:rPr>
          <w:rFonts w:hint="eastAsia" w:ascii="宋体" w:hAnsi="宋体" w:eastAsia="宋体" w:cs="宋体"/>
          <w:color w:val="auto"/>
          <w:sz w:val="24"/>
          <w:highlight w:val="none"/>
        </w:rPr>
        <w:t>等。</w:t>
      </w:r>
    </w:p>
    <w:bookmarkEnd w:id="31"/>
    <w:p w14:paraId="240AE10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8.3为保证公平公正，除非另有规定或说明，投标人对同一项目投标时，不得同时提供备选投标方案。</w:t>
      </w:r>
    </w:p>
    <w:p w14:paraId="72E66A1A">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9.投标报价</w:t>
      </w:r>
    </w:p>
    <w:p w14:paraId="0D5D898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9.1投标人的报价应当包括满足本次招标全部采购需求。除招标文件另有规定外，所有投标均应以人民币报价。投标人的投标报价应遵守《中华人民共和国价格法》。</w:t>
      </w:r>
    </w:p>
    <w:p w14:paraId="0BF915F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9.2投标人报价超过招标文件规定的预算金额或者分项、分包最高限价，其投标将被认定为</w:t>
      </w:r>
      <w:r>
        <w:rPr>
          <w:rFonts w:hint="eastAsia" w:ascii="宋体" w:hAnsi="宋体" w:eastAsia="宋体" w:cs="宋体"/>
          <w:b/>
          <w:bCs/>
          <w:color w:val="auto"/>
          <w:sz w:val="24"/>
          <w:highlight w:val="none"/>
        </w:rPr>
        <w:t>投标无效</w:t>
      </w:r>
      <w:r>
        <w:rPr>
          <w:rFonts w:hint="eastAsia" w:ascii="宋体" w:hAnsi="宋体" w:eastAsia="宋体" w:cs="宋体"/>
          <w:color w:val="auto"/>
          <w:sz w:val="24"/>
          <w:highlight w:val="none"/>
        </w:rPr>
        <w:t>。</w:t>
      </w:r>
    </w:p>
    <w:p w14:paraId="16E2AEFB">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9.3投标报价在合同履行过程中是固定不变的，不得以任何理由予以变更。任何包含价格调整要求的投标，其投标将被认定为</w:t>
      </w:r>
      <w:r>
        <w:rPr>
          <w:rFonts w:hint="eastAsia" w:ascii="宋体" w:hAnsi="宋体" w:eastAsia="宋体" w:cs="宋体"/>
          <w:b/>
          <w:bCs/>
          <w:color w:val="auto"/>
          <w:sz w:val="24"/>
          <w:highlight w:val="none"/>
        </w:rPr>
        <w:t>投标无效。</w:t>
      </w:r>
    </w:p>
    <w:p w14:paraId="4F4F030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193B6C70">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9.5采购人不接受具有附加条件的报价。</w:t>
      </w:r>
    </w:p>
    <w:p w14:paraId="31B25CB2">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10.投标保证金</w:t>
      </w:r>
    </w:p>
    <w:p w14:paraId="7824697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10.1本项目不收取投标保证金。</w:t>
      </w:r>
    </w:p>
    <w:p w14:paraId="6C11C07F">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11.投标有效期</w:t>
      </w:r>
    </w:p>
    <w:p w14:paraId="3C2218CC">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11.1投标有效期为从投标截止之日算起的日历天数，投标有效期详见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6714D9B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11.2在投标有效期内，投标人的投标保持有效，投标人不得要求撤销或修改其投标文件。投标有效期不满足要求的投标，其投标将被认定为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182234A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561CF992">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12.投标文件的递交、修改与撤回</w:t>
      </w:r>
    </w:p>
    <w:p w14:paraId="4E4DF672">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12.1投标人应当在招标公告规定的投标截止时间前，将加密的投标文件在电子交易系统上传。</w:t>
      </w:r>
    </w:p>
    <w:p w14:paraId="5E812D8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2DC777E9">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13.开标</w:t>
      </w:r>
    </w:p>
    <w:p w14:paraId="6DB25CEB">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13.1开标时，</w:t>
      </w:r>
      <w:r>
        <w:rPr>
          <w:rFonts w:hint="eastAsia" w:ascii="宋体" w:hAnsi="宋体" w:eastAsia="宋体" w:cs="宋体"/>
          <w:color w:val="auto"/>
          <w:sz w:val="24"/>
          <w:szCs w:val="24"/>
          <w:highlight w:val="none"/>
        </w:rPr>
        <w:t>各投标人应在</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规定的解密时间前</w:t>
      </w:r>
      <w:r>
        <w:rPr>
          <w:rFonts w:hint="eastAsia" w:ascii="宋体" w:hAnsi="宋体" w:eastAsia="宋体" w:cs="宋体"/>
          <w:color w:val="auto"/>
          <w:sz w:val="24"/>
          <w:highlight w:val="none"/>
        </w:rPr>
        <w:t>对</w:t>
      </w:r>
      <w:r>
        <w:rPr>
          <w:rFonts w:hint="eastAsia" w:ascii="宋体" w:hAnsi="宋体" w:eastAsia="宋体" w:cs="宋体"/>
          <w:color w:val="auto"/>
          <w:sz w:val="24"/>
          <w:szCs w:val="24"/>
          <w:highlight w:val="none"/>
        </w:rPr>
        <w:t>其</w:t>
      </w:r>
      <w:r>
        <w:rPr>
          <w:rFonts w:hint="eastAsia" w:ascii="宋体" w:hAnsi="宋体" w:eastAsia="宋体" w:cs="宋体"/>
          <w:color w:val="auto"/>
          <w:sz w:val="24"/>
          <w:highlight w:val="none"/>
        </w:rPr>
        <w:t>投标文件进行解密。</w:t>
      </w:r>
    </w:p>
    <w:p w14:paraId="025FA080">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13.2开标时，采购代理机构将通过网上开标系统公布开标结果，公布内容包括投标人名称、投标价格及招标文件规定的内容。</w:t>
      </w:r>
    </w:p>
    <w:p w14:paraId="4A775160">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13.3采购人或采购代理机构将对开标过程进行记录，并存档备查。</w:t>
      </w:r>
    </w:p>
    <w:p w14:paraId="5FFB7C1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8"/>
          <w:highlight w:val="none"/>
        </w:rPr>
      </w:pPr>
      <w:r>
        <w:rPr>
          <w:rFonts w:hint="eastAsia" w:ascii="宋体" w:hAnsi="宋体" w:eastAsia="宋体" w:cs="宋体"/>
          <w:color w:val="auto"/>
          <w:sz w:val="24"/>
          <w:highlight w:val="none"/>
        </w:rPr>
        <w:t>13.4投标人代表对开标过程和开标记录有疑义，以及认为采购人、采购代理机构相关工作人员有需要回避的情形的，应当场提出询问或者回避申请。</w:t>
      </w:r>
    </w:p>
    <w:p w14:paraId="620FE9FD">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14.资格审查及组建评标委员会</w:t>
      </w:r>
    </w:p>
    <w:p w14:paraId="46D7668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14.1采购人或采购代理机构依据法律法规和招标文件中规定的内容，对投标人资格进行审查，未通过资格审查的投标人不进入评标。</w:t>
      </w:r>
    </w:p>
    <w:p w14:paraId="21FA7102">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szCs w:val="24"/>
          <w:highlight w:val="none"/>
        </w:rPr>
      </w:pPr>
      <w:bookmarkStart w:id="32" w:name="_Hlk24663244"/>
      <w:r>
        <w:rPr>
          <w:rFonts w:hint="eastAsia" w:ascii="宋体" w:hAnsi="宋体" w:eastAsia="宋体" w:cs="宋体"/>
          <w:color w:val="auto"/>
          <w:sz w:val="24"/>
          <w:szCs w:val="24"/>
          <w:highlight w:val="none"/>
        </w:rPr>
        <w:t>14.2采购人或采购代理机构将在投标截止时间后至评审结束前通过“信用中国”网站(www.creditchina.gov.cn)、中国政府采购网(www.ccgp.gov.cn)查询相关投标人信用记录，并对投标人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2931FA5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1B5E050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32"/>
    <w:p w14:paraId="7685DD8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14.3按照《中华人民共和国政府采购法》、《中华人民共和国政府采购法实施条例》及本项目本级和上级财政部门、政府采购监督管理部门的有关规定依法组建的评标委员会，负责本项目评标工作。</w:t>
      </w:r>
    </w:p>
    <w:p w14:paraId="1A947C9F">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15.投标文件符合性审查与澄清</w:t>
      </w:r>
    </w:p>
    <w:p w14:paraId="218D19B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15.1符合性审查是指依据招标文件的规定，从投标文件的有效性和完整性对招标文件的响应程度进行审查，以确定是否对招标文件的实质性要求做出响应。</w:t>
      </w:r>
    </w:p>
    <w:p w14:paraId="6A973B58">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15.2投标文件的澄清</w:t>
      </w:r>
    </w:p>
    <w:p w14:paraId="7501B57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15.2.1为有助于投标文件的审查、评价和比较，在评标期间，评标委员会将以书面方式（询标）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w:t>
      </w:r>
    </w:p>
    <w:p w14:paraId="47670A6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r>
        <w:rPr>
          <w:rFonts w:hint="eastAsia" w:ascii="宋体" w:hAnsi="宋体" w:eastAsia="宋体" w:cs="宋体"/>
          <w:b/>
          <w:bCs/>
          <w:color w:val="auto"/>
          <w:sz w:val="24"/>
          <w:highlight w:val="none"/>
        </w:rPr>
        <w:t>本项目采用远程开标，具体操作方法详见服务指南&gt;交易须知&gt;开标大厅远程解密、质疑(异议)及回复以及评标过程中询标流程操作手册。</w:t>
      </w:r>
    </w:p>
    <w:p w14:paraId="6CC9FFE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15.2.2投标人的澄清、说明或补正将作为投标文件的一部分。</w:t>
      </w:r>
    </w:p>
    <w:p w14:paraId="589A4C2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15.2.3评标委员会对投标人提交的澄清、说明或补正有疑问的，可以要求投标人进一步澄清、说明或补正，直至满足评标委员会的要求。</w:t>
      </w:r>
    </w:p>
    <w:p w14:paraId="327FCB1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15.3投标文件报价出现前后不一致的，按照下列规定修正：</w:t>
      </w:r>
    </w:p>
    <w:p w14:paraId="261ABE3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（1）投标文件中开标一览表内容与投标文件中相应内容不一致的，以开标一览表为准；</w:t>
      </w:r>
    </w:p>
    <w:p w14:paraId="139926F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（2）大写金额和小写金额不一致的，以大写金额为准；</w:t>
      </w:r>
    </w:p>
    <w:p w14:paraId="3E3E4AB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（3）单价金额小数点或者百分比有明显错位的，以开标一览表的总价为准，并修改单价；</w:t>
      </w:r>
    </w:p>
    <w:p w14:paraId="757A36B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（4）总价金额与按单价汇总金额不一致的，以单价金额计算结果为准。</w:t>
      </w:r>
    </w:p>
    <w:p w14:paraId="0B51ACA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修正后的报价按照第15.3条的规定经投标人确认后产生约束力，无论投标人是接受或是拒绝调整后的价格，都应当由投标人在系统中确认。投标人拒绝对投标文件出现的错漏按上述原则进行修正、澄清、说明，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726464E7">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对不同文字文本投标文件的解释发生异议的，以中文文本为准。</w:t>
      </w:r>
    </w:p>
    <w:p w14:paraId="29244416">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16.投标无效</w:t>
      </w:r>
    </w:p>
    <w:p w14:paraId="7B68CC2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16.1根据本招标文件的规定，评标委员会要审查每份投标文件是否实质上响应了招标文件的要求。投标人不得通过修正或撤销不符合要求的偏离，从而使其投标成为实质上响应的投标。</w:t>
      </w:r>
    </w:p>
    <w:p w14:paraId="04B862DF">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评标委员会决定投标的响应性只根据招标文件要求和投标文件内容。</w:t>
      </w:r>
    </w:p>
    <w:p w14:paraId="649B622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无论何种原因，即使投标人投标时携带了证书材料的原件，但投标文件中未提供与之内容完全一致的扫描件的，评标委员会视同其未提供。</w:t>
      </w:r>
    </w:p>
    <w:p w14:paraId="5FAF00F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16.2如发现下列情况之一的，其投标将被认定为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3091B18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（1）投标文件未按照招标文件规定要求签署、盖章的；</w:t>
      </w:r>
    </w:p>
    <w:p w14:paraId="7436BC9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（2）不具备招标文件中规定的资格要求的；</w:t>
      </w:r>
    </w:p>
    <w:p w14:paraId="2666102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（3）报价超过招标文件中规定的预算金额或者最高限价的；</w:t>
      </w:r>
    </w:p>
    <w:p w14:paraId="6C26CD3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（4）投标文件含有采购人不能接受的附加条件的；</w:t>
      </w:r>
    </w:p>
    <w:p w14:paraId="15350E6B">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（5）法律、法规和招标文件规定的其他无效情形。</w:t>
      </w:r>
    </w:p>
    <w:p w14:paraId="403C516A">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17.比较与评价</w:t>
      </w:r>
    </w:p>
    <w:p w14:paraId="2ADF069F">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17.1经符合性审查合格的投标文件，评标委员会将根据招标文件确定的评标方法和标准，对其投标文件作进一步的比较与评价。</w:t>
      </w:r>
    </w:p>
    <w:p w14:paraId="1B418A0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17.2评标严格按照招标文件的要求和条件进行。根据实际情况，在</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中规定采用下列一种评标方法，详细评标方法和标准见招标文件第四章：</w:t>
      </w:r>
    </w:p>
    <w:p w14:paraId="31C23130">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（1）最低评标价法，是指投标文件满足招标文件全部实质性要求，且投标报价最低的投标人为中标候选人的评标方法。</w:t>
      </w:r>
    </w:p>
    <w:p w14:paraId="5C9E01F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（2）综合评分法，是指投标文件满足招标文件全部实质性要求，且按照评审因素的量化指标评审得分最高的投标人为中标候选人的评标方法。</w:t>
      </w:r>
    </w:p>
    <w:p w14:paraId="2B04125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17.3根据《政府采购促进中小企业发展管理办法》（财库〔2020〕46号）、《三部门联合发布关于促进残疾人就业政府采购政策的通知》（财库〔2017〕141号）和《财政部 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中规定的标准扣除后的价格参与评审。对于同时属于小微企业、监狱企业或残疾人福利性单位的，不重复进行投标报价扣除。</w:t>
      </w:r>
    </w:p>
    <w:p w14:paraId="0777EE44">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可给予联合体或者大中型企业的投标报价按照</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10E1DF1F">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以联合体形式参加政府采购活动，联合体各方均为中小企业的，联合体视同中小企业。其中，联合体各方均为小微企业的，联合体视同小微企业。</w:t>
      </w:r>
    </w:p>
    <w:p w14:paraId="1E246301">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18.废标、重新招标与变更采购方式</w:t>
      </w:r>
    </w:p>
    <w:p w14:paraId="0854413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18.1出现下列情形之一，将导致项目废标：</w:t>
      </w:r>
    </w:p>
    <w:p w14:paraId="35738538">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（1）符合专业条件的供应商或者对招标文件做实质性响应的供应商不足规定数量的；</w:t>
      </w:r>
    </w:p>
    <w:p w14:paraId="05BDBB6C">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28F6EB3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（3）投标人的报价均超过了采购预算，采购人不能支付的；</w:t>
      </w:r>
    </w:p>
    <w:p w14:paraId="688E6BE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（4）因重大变故，采购任务取消的。</w:t>
      </w:r>
    </w:p>
    <w:p w14:paraId="5E123A77">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18.2公开招标数额标准以上的采购项目，投标截止后投标人不足3家或者通过资格审查或符合性审查的投标人不足3家的，除采购任务取消情形外，按照以下方式处理：</w:t>
      </w:r>
    </w:p>
    <w:p w14:paraId="0E5ADD4F">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（1）招标文件存在不合理条款或者招标程序不符合规定的，采购人、采购代理机构改正后依法重新招标；</w:t>
      </w:r>
    </w:p>
    <w:p w14:paraId="6A9F2538">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（2）招标文件没有不合理条款、招标程序符合规定，需要采用其他采购方式采购的，采购人应当依法报</w:t>
      </w:r>
      <w:r>
        <w:rPr>
          <w:rFonts w:hint="eastAsia" w:ascii="宋体" w:hAnsi="宋体" w:eastAsia="宋体" w:cs="宋体"/>
          <w:color w:val="auto"/>
          <w:sz w:val="24"/>
          <w:szCs w:val="24"/>
          <w:highlight w:val="none"/>
        </w:rPr>
        <w:t>政府采购监督管理部门</w:t>
      </w:r>
      <w:r>
        <w:rPr>
          <w:rFonts w:hint="eastAsia" w:ascii="宋体" w:hAnsi="宋体" w:eastAsia="宋体" w:cs="宋体"/>
          <w:color w:val="auto"/>
          <w:sz w:val="24"/>
          <w:highlight w:val="none"/>
        </w:rPr>
        <w:t>批准。</w:t>
      </w:r>
    </w:p>
    <w:p w14:paraId="5678B526">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19.保密要求</w:t>
      </w:r>
    </w:p>
    <w:p w14:paraId="0484569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19.1评标将在严格保密的情况下进行。</w:t>
      </w:r>
    </w:p>
    <w:p w14:paraId="031E2304">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19.2有关人员应当遵守评标工作纪律，不得泄露评标文件、评标情况和评标中获悉的国家秘密、商业秘密。</w:t>
      </w:r>
    </w:p>
    <w:p w14:paraId="564F96AB">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20.中标候选人的确定原则及标准</w:t>
      </w:r>
    </w:p>
    <w:p w14:paraId="3501A481">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20.1评标委员会依据本项目招标文件所约定的评标方法，对实质上响应招标文件的投标人按下列方法进行排序，确定中标候选人：</w:t>
      </w:r>
    </w:p>
    <w:p w14:paraId="7E13C460">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出现两家或两家以上相同者，采取评标委员会随机抽取的方式确定中标候选顺序。</w:t>
      </w:r>
    </w:p>
    <w:p w14:paraId="220238B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（2）采用综合评分法的，评标结果按评审后得分由高到低顺序排列。得分相同的，按投标报价由低到高顺序排列。得分与投标报价均相同的，则采取评标委员会随机抽取的方式确定中标候选顺序。</w:t>
      </w:r>
    </w:p>
    <w:p w14:paraId="4D1D7E80">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21.确定中标候选人和中标人</w:t>
      </w:r>
    </w:p>
    <w:p w14:paraId="071BEC3C">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21.1评标委员会将根据评标标准，按</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中规定数量推荐中标候选人。</w:t>
      </w:r>
    </w:p>
    <w:p w14:paraId="139FFF9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21.2按</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中规定，由评标委员会或采购人确定中标人。</w:t>
      </w:r>
    </w:p>
    <w:p w14:paraId="696C420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21.3因重大变故采购任务取消时，采购人有权拒绝任何投标人中标，且对受影响的投标人不承担任何责任。</w:t>
      </w:r>
    </w:p>
    <w:p w14:paraId="508552AB">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22.编写评标报告</w:t>
      </w:r>
    </w:p>
    <w:p w14:paraId="5C0F65D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753BEDD6">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23.中标结果公告</w:t>
      </w:r>
    </w:p>
    <w:p w14:paraId="45F2EE6C">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szCs w:val="18"/>
          <w:highlight w:val="none"/>
        </w:rPr>
      </w:pPr>
      <w:r>
        <w:rPr>
          <w:rFonts w:hint="eastAsia" w:ascii="宋体" w:hAnsi="宋体" w:eastAsia="宋体" w:cs="宋体"/>
          <w:color w:val="auto"/>
          <w:sz w:val="24"/>
          <w:highlight w:val="none"/>
        </w:rPr>
        <w:t>23.1除</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由评标委员会直接确定中标人外，在评标结束后2个工作日内，采购代理机构将评标报告送采购人。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25233C07">
      <w:pPr>
        <w:keepNext w:val="0"/>
        <w:keepLines w:val="0"/>
        <w:pageBreakBefore w:val="0"/>
        <w:widowControl w:val="0"/>
        <w:kinsoku/>
        <w:wordWrap w:val="0"/>
        <w:overflowPunct/>
        <w:topLinePunct w:val="0"/>
        <w:autoSpaceDE/>
        <w:autoSpaceDN/>
        <w:bidi w:val="0"/>
        <w:adjustRightInd/>
        <w:snapToGrid/>
        <w:spacing w:line="520" w:lineRule="exact"/>
        <w:ind w:firstLine="437"/>
        <w:jc w:val="left"/>
        <w:textAlignment w:val="auto"/>
        <w:rPr>
          <w:rFonts w:hint="eastAsia" w:ascii="宋体" w:hAnsi="宋体" w:eastAsia="宋体" w:cs="宋体"/>
          <w:color w:val="auto"/>
          <w:sz w:val="24"/>
          <w:szCs w:val="18"/>
          <w:highlight w:val="none"/>
        </w:rPr>
      </w:pPr>
      <w:r>
        <w:rPr>
          <w:rFonts w:hint="eastAsia" w:ascii="宋体" w:hAnsi="宋体" w:eastAsia="宋体" w:cs="宋体"/>
          <w:color w:val="auto"/>
          <w:sz w:val="24"/>
          <w:szCs w:val="18"/>
          <w:highlight w:val="none"/>
        </w:rPr>
        <w:t>23.2自中标人确定之日起2个工作日内，采购代理机构将在安徽省政府采购网（www.ccgp-anhui.gov.cn）、滁州市公共资源交易中心网（http://ggzy.chuzhou.gov.cn /）上发布中标结果公告。</w:t>
      </w:r>
    </w:p>
    <w:p w14:paraId="2DF3739C">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23.3中标结果公告内容应当包括采购人及其委托的采购代理机构的名称、地址、联系方式，项目名称和项目编号，中标人名称、地址和中标金额，主要中标标的的名称、服务范围、服务要求、服务时间、服务标准，中标公告期限、评审专家名单以及投标人须知前附表中约定进行公告的内容。中标公告期限为1个工作日。</w:t>
      </w:r>
    </w:p>
    <w:p w14:paraId="0A5E16B2">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24.中标通知书</w:t>
      </w:r>
    </w:p>
    <w:p w14:paraId="0F31EEED">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24.1采购代理机构发布中标结果公告</w:t>
      </w:r>
      <w:r>
        <w:rPr>
          <w:rFonts w:hint="eastAsia" w:ascii="宋体" w:hAnsi="宋体" w:eastAsia="宋体" w:cs="宋体"/>
          <w:iCs/>
          <w:color w:val="auto"/>
          <w:sz w:val="24"/>
          <w:highlight w:val="none"/>
        </w:rPr>
        <w:t>的</w:t>
      </w:r>
      <w:r>
        <w:rPr>
          <w:rFonts w:hint="eastAsia" w:ascii="宋体" w:hAnsi="宋体" w:eastAsia="宋体" w:cs="宋体"/>
          <w:color w:val="auto"/>
          <w:sz w:val="24"/>
          <w:highlight w:val="none"/>
        </w:rPr>
        <w:t>同时以</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规定的形式向中标人发出中标通知书。中标通知书须加盖采购人、采购代理机构公章并经公共资源交易中心加盖见证章后，方可发出。</w:t>
      </w:r>
    </w:p>
    <w:p w14:paraId="779138D4">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24.2中标通知书对采购人和中标人具有同等法律效力。中标通知书发出以后，采购人改变中标结果或者中标人放弃中标，应当承担相应的法律责任。</w:t>
      </w:r>
    </w:p>
    <w:p w14:paraId="498B66C2">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24.3中标通知书是合同的组成部分。</w:t>
      </w:r>
    </w:p>
    <w:p w14:paraId="76A8CE64">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25.告知招标结果</w:t>
      </w:r>
    </w:p>
    <w:p w14:paraId="722551F7">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25.1在公告中标结果的同时，采购代理机构同时以</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规定的形式告知未通过资格审查的投标人未通过的原因；采用综合评分法评审的，还将告知未中标人本人的评审得分和排序。</w:t>
      </w:r>
    </w:p>
    <w:p w14:paraId="4F0E49DD">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26.履约保证金</w:t>
      </w:r>
    </w:p>
    <w:p w14:paraId="68F875E5">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26.1中标人应按照</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规定缴纳履约保证金。</w:t>
      </w:r>
    </w:p>
    <w:p w14:paraId="1B009BA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26.2如果中标人没有按照上述履约保证金的规定执行，将视为放弃中标资格。在此情况下，采购人可确定下一中标候选人为中标人，也可以重新开展采购活动。</w:t>
      </w:r>
    </w:p>
    <w:p w14:paraId="6FBFD67F">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27.签订合同</w:t>
      </w:r>
    </w:p>
    <w:p w14:paraId="0BFCD469">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w:t>
      </w:r>
      <w:r>
        <w:rPr>
          <w:rFonts w:hint="eastAsia" w:ascii="宋体" w:hAnsi="宋体" w:eastAsia="宋体" w:cs="宋体"/>
          <w:color w:val="auto"/>
          <w:sz w:val="24"/>
          <w:szCs w:val="24"/>
          <w:highlight w:val="none"/>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规定的时间内完成政府采购合同签订及合同公告。</w:t>
      </w:r>
    </w:p>
    <w:p w14:paraId="507720C7">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27.2招标文件、中标人的投标文件及其澄清文件等，均为签订合同的依据。</w:t>
      </w:r>
    </w:p>
    <w:p w14:paraId="0EF7E822">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27.3中标人拒绝与采购人签订合同的，采购人可以按照评审报告推荐的中标候选人名单排序，确定下一中标候选人为中标人，也可以重新开展政府采购活动。</w:t>
      </w:r>
    </w:p>
    <w:p w14:paraId="33E27DA1">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27.4依据《政府采购促进中小企业发展管理办法》（财库〔2020〕46号）规定享受扶持政策获得政府采购合同的，小微企业不得将合同分包给大中型企业，中型企业不得将合同分包给大型企业。</w:t>
      </w:r>
    </w:p>
    <w:p w14:paraId="2ABC27EA">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28.代理费用</w:t>
      </w:r>
    </w:p>
    <w:p w14:paraId="238A5A31">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28.1本项目代理费用的收取按</w:t>
      </w:r>
      <w:r>
        <w:rPr>
          <w:rFonts w:hint="eastAsia" w:ascii="宋体" w:hAnsi="宋体" w:eastAsia="宋体" w:cs="宋体"/>
          <w:color w:val="auto"/>
          <w:sz w:val="24"/>
          <w:highlight w:val="none"/>
          <w:u w:val="single"/>
        </w:rPr>
        <w:t>投标人须知前附表的</w:t>
      </w:r>
      <w:r>
        <w:rPr>
          <w:rFonts w:hint="eastAsia" w:ascii="宋体" w:hAnsi="宋体" w:eastAsia="宋体" w:cs="宋体"/>
          <w:color w:val="auto"/>
          <w:sz w:val="24"/>
          <w:highlight w:val="none"/>
        </w:rPr>
        <w:t>规定执行。</w:t>
      </w:r>
    </w:p>
    <w:p w14:paraId="5E598146">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bookmarkStart w:id="33" w:name="_Toc2583661"/>
      <w:bookmarkStart w:id="34" w:name="_Toc518923100"/>
      <w:r>
        <w:rPr>
          <w:rFonts w:hint="eastAsia" w:ascii="宋体" w:hAnsi="宋体" w:eastAsia="宋体" w:cs="宋体"/>
          <w:b/>
          <w:color w:val="auto"/>
          <w:sz w:val="24"/>
          <w:highlight w:val="none"/>
        </w:rPr>
        <w:t>29.廉洁自律规定</w:t>
      </w:r>
      <w:bookmarkEnd w:id="33"/>
      <w:bookmarkEnd w:id="34"/>
    </w:p>
    <w:p w14:paraId="136AA603">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29.1采购代理机构工作人员不得以不正当手段获取政府采购代理业务，不得与采购人、供应商恶意串通。</w:t>
      </w:r>
    </w:p>
    <w:p w14:paraId="1CB38EE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29.2采购代理机构工作人员不得接受采购人或者供应商组织的宴请、旅游、娱乐，不得收受礼品、现金、有价证券等，不得向采购人或者供应商报销应当由个人承担的费用。</w:t>
      </w:r>
    </w:p>
    <w:p w14:paraId="1A1E7325">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bookmarkStart w:id="35" w:name="_Toc2583662"/>
      <w:bookmarkStart w:id="36" w:name="_Toc518923101"/>
      <w:r>
        <w:rPr>
          <w:rFonts w:hint="eastAsia" w:ascii="宋体" w:hAnsi="宋体" w:eastAsia="宋体" w:cs="宋体"/>
          <w:b/>
          <w:color w:val="auto"/>
          <w:sz w:val="24"/>
          <w:highlight w:val="none"/>
        </w:rPr>
        <w:t>30.人员回避</w:t>
      </w:r>
      <w:bookmarkEnd w:id="35"/>
      <w:bookmarkEnd w:id="36"/>
    </w:p>
    <w:p w14:paraId="727C766A">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投标人认为采购人员及其相关人员有法律法规所列与其他供应商有利害关系的，可以向采购人或采购代理机构书面提出回避申请，并说明理由。</w:t>
      </w:r>
    </w:p>
    <w:p w14:paraId="3680F47B">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31.质疑的提出与接收</w:t>
      </w:r>
    </w:p>
    <w:p w14:paraId="31391A4F">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31.1投标人认为招标文件、招标过程和中标结果使自己的权益受到损害的，可以在知道或者应知其权益受到损害之日起七个工作日内，以书面形式向采购人或其委托的采购代理机构提出质疑。</w:t>
      </w:r>
    </w:p>
    <w:p w14:paraId="44E374AE">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31.2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31A28D6B">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31.3采购代理机构质疑函接收部门、联系电话和通讯地址，见投标人须知前附表。</w:t>
      </w:r>
    </w:p>
    <w:p w14:paraId="2ABF366F">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注：上述条款中所要求的书面形式包含通过电子交易系统递交方式。</w:t>
      </w:r>
    </w:p>
    <w:p w14:paraId="5D047A23">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32.投诉</w:t>
      </w:r>
    </w:p>
    <w:p w14:paraId="45178F86">
      <w:pPr>
        <w:keepNext w:val="0"/>
        <w:keepLines w:val="0"/>
        <w:pageBreakBefore w:val="0"/>
        <w:widowControl w:val="0"/>
        <w:kinsoku/>
        <w:wordWrap w:val="0"/>
        <w:overflowPunct/>
        <w:topLinePunct w:val="0"/>
        <w:autoSpaceDE/>
        <w:autoSpaceDN/>
        <w:bidi w:val="0"/>
        <w:adjustRightInd/>
        <w:snapToGrid/>
        <w:spacing w:line="520" w:lineRule="exact"/>
        <w:ind w:firstLine="437"/>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71EC5873">
      <w:pPr>
        <w:keepNext w:val="0"/>
        <w:keepLines w:val="0"/>
        <w:pageBreakBefore w:val="0"/>
        <w:widowControl w:val="0"/>
        <w:kinsoku/>
        <w:wordWrap w:val="0"/>
        <w:overflowPunct/>
        <w:topLinePunct w:val="0"/>
        <w:autoSpaceDE/>
        <w:autoSpaceDN/>
        <w:bidi w:val="0"/>
        <w:adjustRightInd/>
        <w:snapToGrid/>
        <w:spacing w:line="520" w:lineRule="exact"/>
        <w:ind w:firstLine="437"/>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18EED528">
      <w:pPr>
        <w:keepNext w:val="0"/>
        <w:keepLines w:val="0"/>
        <w:pageBreakBefore w:val="0"/>
        <w:widowControl w:val="0"/>
        <w:kinsoku/>
        <w:wordWrap w:val="0"/>
        <w:overflowPunct/>
        <w:topLinePunct w:val="0"/>
        <w:autoSpaceDE/>
        <w:autoSpaceDN/>
        <w:bidi w:val="0"/>
        <w:adjustRightInd/>
        <w:snapToGrid/>
        <w:spacing w:line="520" w:lineRule="exact"/>
        <w:ind w:firstLine="437"/>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32.3政府采购监督管理部门在处理投诉事项期间，可以视具体情况书面通知采购人暂停采购活动，但暂停时间最长不得超过30日。</w:t>
      </w:r>
    </w:p>
    <w:p w14:paraId="5BD49B87">
      <w:pPr>
        <w:keepNext w:val="0"/>
        <w:keepLines w:val="0"/>
        <w:pageBreakBefore w:val="0"/>
        <w:widowControl w:val="0"/>
        <w:kinsoku/>
        <w:overflowPunct/>
        <w:topLinePunct w:val="0"/>
        <w:autoSpaceDE/>
        <w:autoSpaceDN/>
        <w:bidi w:val="0"/>
        <w:adjustRightInd/>
        <w:snapToGrid/>
        <w:spacing w:line="520" w:lineRule="exact"/>
        <w:ind w:firstLine="437"/>
        <w:jc w:val="left"/>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33.需要补充的其他内容</w:t>
      </w:r>
    </w:p>
    <w:p w14:paraId="1EF158E6">
      <w:pPr>
        <w:keepNext w:val="0"/>
        <w:keepLines w:val="0"/>
        <w:pageBreakBefore w:val="0"/>
        <w:widowControl w:val="0"/>
        <w:kinsoku/>
        <w:overflowPunct/>
        <w:topLinePunct w:val="0"/>
        <w:autoSpaceDE/>
        <w:autoSpaceDN/>
        <w:bidi w:val="0"/>
        <w:adjustRightInd/>
        <w:snapToGrid/>
        <w:spacing w:line="520" w:lineRule="exact"/>
        <w:ind w:firstLine="435"/>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需要补充的其他内容，见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591F0AF8">
      <w:pPr>
        <w:widowControl/>
        <w:jc w:val="left"/>
        <w:rPr>
          <w:rFonts w:hint="eastAsia"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238AEC20">
      <w:pPr>
        <w:numPr>
          <w:ilvl w:val="0"/>
          <w:numId w:val="3"/>
        </w:numPr>
        <w:spacing w:line="360" w:lineRule="auto"/>
        <w:jc w:val="center"/>
        <w:outlineLvl w:val="0"/>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 </w:t>
      </w:r>
      <w:bookmarkStart w:id="37" w:name="_Toc22605"/>
      <w:r>
        <w:rPr>
          <w:rFonts w:hint="eastAsia" w:asciiTheme="minorEastAsia" w:hAnsiTheme="minorEastAsia" w:eastAsiaTheme="minorEastAsia"/>
          <w:b/>
          <w:color w:val="auto"/>
          <w:sz w:val="28"/>
          <w:highlight w:val="none"/>
        </w:rPr>
        <w:t>采购需求</w:t>
      </w:r>
      <w:bookmarkEnd w:id="37"/>
    </w:p>
    <w:p w14:paraId="335A80C1">
      <w:pPr>
        <w:keepNext w:val="0"/>
        <w:keepLines w:val="0"/>
        <w:pageBreakBefore w:val="0"/>
        <w:widowControl w:val="0"/>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前注：</w:t>
      </w:r>
    </w:p>
    <w:p w14:paraId="17B5DD37">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43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1.本采购需求中提出的服务方案仅为参考，如无明确限制，投标人可以进行优化，提供满足采购人实际需要的更优（或者性能实质上不低于的）服务方案，且此方案须经评标委员会评审认可。</w:t>
      </w:r>
    </w:p>
    <w:p w14:paraId="43AE51DA">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2.政府采购政策（包括但不限于下列具体政策要求）：</w:t>
      </w:r>
    </w:p>
    <w:p w14:paraId="084424C2">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提供所投产品须具有市场监管总局公布的《参与实施政府采购节能产品认证机构目录》中的认证机构出具的、处于有效期内的节能产品认证证书。</w:t>
      </w:r>
    </w:p>
    <w:p w14:paraId="12238C60">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44D1D6D8">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480" w:firstLineChars="200"/>
        <w:textAlignment w:val="auto"/>
        <w:rPr>
          <w:rFonts w:hint="eastAsia" w:ascii="宋体" w:hAnsi="宋体" w:eastAsia="宋体" w:cs="宋体"/>
          <w:bCs/>
          <w:color w:val="auto"/>
          <w:sz w:val="24"/>
          <w:szCs w:val="18"/>
          <w:highlight w:val="none"/>
        </w:rPr>
      </w:pPr>
      <w:r>
        <w:rPr>
          <w:rFonts w:hint="eastAsia" w:ascii="宋体" w:hAnsi="宋体" w:eastAsia="宋体" w:cs="宋体"/>
          <w:color w:val="auto"/>
          <w:sz w:val="24"/>
          <w:szCs w:val="24"/>
          <w:highlight w:val="none"/>
        </w:rPr>
        <w:t>3.如采购人允许采用分包方式履行合同的，应当明确可以分包履行的相关内容。</w:t>
      </w:r>
    </w:p>
    <w:p w14:paraId="66AF54CF">
      <w:pPr>
        <w:keepNext w:val="0"/>
        <w:keepLines w:val="0"/>
        <w:pageBreakBefore w:val="0"/>
        <w:widowControl w:val="0"/>
        <w:kinsoku/>
        <w:wordWrap/>
        <w:overflowPunct/>
        <w:topLinePunct w:val="0"/>
        <w:autoSpaceDE/>
        <w:autoSpaceDN/>
        <w:bidi w:val="0"/>
        <w:adjustRightInd/>
        <w:snapToGrid/>
        <w:spacing w:before="95" w:beforeLines="30" w:beforeAutospacing="0" w:after="95" w:afterLines="30" w:afterAutospacing="0" w:line="520" w:lineRule="exact"/>
        <w:ind w:firstLine="437"/>
        <w:jc w:val="left"/>
        <w:textAlignment w:val="auto"/>
        <w:outlineLvl w:val="1"/>
        <w:rPr>
          <w:rFonts w:hint="eastAsia" w:ascii="宋体" w:hAnsi="宋体" w:eastAsia="宋体" w:cs="宋体"/>
          <w:b/>
          <w:color w:val="auto"/>
          <w:sz w:val="24"/>
          <w:szCs w:val="18"/>
          <w:highlight w:val="none"/>
        </w:rPr>
      </w:pPr>
      <w:bookmarkStart w:id="38" w:name="_Toc4148"/>
      <w:bookmarkStart w:id="39" w:name="_Toc21798"/>
      <w:bookmarkStart w:id="40" w:name="_Hlk23621890"/>
      <w:bookmarkStart w:id="41" w:name="_Toc30824"/>
      <w:r>
        <w:rPr>
          <w:rFonts w:hint="eastAsia" w:ascii="宋体" w:hAnsi="宋体" w:eastAsia="宋体" w:cs="宋体"/>
          <w:b/>
          <w:color w:val="auto"/>
          <w:sz w:val="24"/>
          <w:szCs w:val="18"/>
          <w:highlight w:val="none"/>
        </w:rPr>
        <w:t>一、采购需求前附表</w:t>
      </w:r>
      <w:bookmarkEnd w:id="38"/>
      <w:bookmarkEnd w:id="39"/>
    </w:p>
    <w:bookmarkEnd w:id="40"/>
    <w:tbl>
      <w:tblPr>
        <w:tblStyle w:val="38"/>
        <w:tblW w:w="54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77"/>
        <w:gridCol w:w="6819"/>
      </w:tblGrid>
      <w:tr w14:paraId="55BD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4" w:type="pct"/>
            <w:vAlign w:val="center"/>
          </w:tcPr>
          <w:p w14:paraId="17759E39">
            <w:pPr>
              <w:pStyle w:val="59"/>
              <w:pageBreakBefore w:val="0"/>
              <w:pBdr>
                <w:bottom w:val="none" w:color="auto" w:sz="0" w:space="0"/>
              </w:pBdr>
              <w:tabs>
                <w:tab w:val="clear" w:pos="4153"/>
                <w:tab w:val="clear" w:pos="8306"/>
              </w:tabs>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b/>
                <w:color w:val="auto"/>
                <w:kern w:val="2"/>
                <w:highlight w:val="none"/>
              </w:rPr>
            </w:pPr>
            <w:bookmarkStart w:id="42" w:name="_Hlk16461016"/>
            <w:r>
              <w:rPr>
                <w:rFonts w:hint="eastAsia" w:ascii="宋体" w:hAnsi="宋体" w:eastAsia="宋体" w:cs="宋体"/>
                <w:b/>
                <w:color w:val="auto"/>
                <w:kern w:val="2"/>
                <w:highlight w:val="none"/>
              </w:rPr>
              <w:t>序号</w:t>
            </w:r>
          </w:p>
        </w:tc>
        <w:tc>
          <w:tcPr>
            <w:tcW w:w="1028" w:type="pct"/>
            <w:vAlign w:val="center"/>
          </w:tcPr>
          <w:p w14:paraId="1F9FCF19">
            <w:pPr>
              <w:pStyle w:val="58"/>
              <w:pageBreakBefore w:val="0"/>
              <w:widowControl w:val="0"/>
              <w:kinsoku/>
              <w:wordWrap/>
              <w:overflowPunct/>
              <w:topLinePunct w:val="0"/>
              <w:autoSpaceDE/>
              <w:autoSpaceDN/>
              <w:bidi w:val="0"/>
              <w:adjustRightInd/>
              <w:snapToGrid/>
              <w:spacing w:before="0" w:beforeAutospacing="0" w:after="0" w:afterAutospacing="0" w:line="520" w:lineRule="exact"/>
              <w:rPr>
                <w:rFonts w:hint="eastAsia" w:ascii="宋体" w:hAnsi="宋体" w:eastAsia="宋体" w:cs="宋体"/>
                <w:bCs w:val="0"/>
                <w:color w:val="auto"/>
                <w:sz w:val="24"/>
                <w:highlight w:val="none"/>
              </w:rPr>
            </w:pPr>
            <w:r>
              <w:rPr>
                <w:rFonts w:hint="eastAsia" w:ascii="宋体" w:hAnsi="宋体" w:eastAsia="宋体" w:cs="宋体"/>
                <w:bCs w:val="0"/>
                <w:color w:val="auto"/>
                <w:sz w:val="24"/>
                <w:highlight w:val="none"/>
              </w:rPr>
              <w:t>条款名称</w:t>
            </w:r>
          </w:p>
        </w:tc>
        <w:tc>
          <w:tcPr>
            <w:tcW w:w="3546" w:type="pct"/>
            <w:vAlign w:val="center"/>
          </w:tcPr>
          <w:p w14:paraId="1BE9DA9C">
            <w:pPr>
              <w:pStyle w:val="58"/>
              <w:pageBreakBefore w:val="0"/>
              <w:widowControl w:val="0"/>
              <w:kinsoku/>
              <w:wordWrap/>
              <w:overflowPunct/>
              <w:topLinePunct w:val="0"/>
              <w:autoSpaceDE/>
              <w:autoSpaceDN/>
              <w:bidi w:val="0"/>
              <w:adjustRightInd/>
              <w:snapToGrid/>
              <w:spacing w:before="0" w:beforeAutospacing="0" w:after="0" w:afterAutospacing="0" w:line="520" w:lineRule="exact"/>
              <w:rPr>
                <w:rFonts w:hint="eastAsia" w:ascii="宋体" w:hAnsi="宋体" w:eastAsia="宋体" w:cs="宋体"/>
                <w:bCs w:val="0"/>
                <w:color w:val="auto"/>
                <w:sz w:val="24"/>
                <w:highlight w:val="none"/>
              </w:rPr>
            </w:pPr>
            <w:r>
              <w:rPr>
                <w:rFonts w:hint="eastAsia" w:ascii="宋体" w:hAnsi="宋体" w:eastAsia="宋体" w:cs="宋体"/>
                <w:bCs w:val="0"/>
                <w:color w:val="auto"/>
                <w:sz w:val="24"/>
                <w:highlight w:val="none"/>
              </w:rPr>
              <w:t>内容、说明与要求</w:t>
            </w:r>
          </w:p>
        </w:tc>
      </w:tr>
      <w:tr w14:paraId="6EEC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vAlign w:val="center"/>
          </w:tcPr>
          <w:p w14:paraId="3DA1DCDF">
            <w:pPr>
              <w:pStyle w:val="59"/>
              <w:pageBreakBefore w:val="0"/>
              <w:pBdr>
                <w:bottom w:val="none" w:color="auto" w:sz="0" w:space="0"/>
              </w:pBdr>
              <w:tabs>
                <w:tab w:val="clear" w:pos="4153"/>
                <w:tab w:val="clear" w:pos="8306"/>
              </w:tabs>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w:t>
            </w:r>
          </w:p>
        </w:tc>
        <w:tc>
          <w:tcPr>
            <w:tcW w:w="1028" w:type="pct"/>
            <w:vAlign w:val="center"/>
          </w:tcPr>
          <w:p w14:paraId="7D442056">
            <w:pPr>
              <w:pageBreakBefore w:val="0"/>
              <w:kinsoku/>
              <w:wordWrap/>
              <w:overflowPunct/>
              <w:topLinePunct w:val="0"/>
              <w:autoSpaceDE/>
              <w:autoSpaceDN/>
              <w:bidi w:val="0"/>
              <w:adjustRightInd/>
              <w:snapToGrid/>
              <w:spacing w:beforeAutospacing="0" w:afterAutospacing="0" w:line="5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3546" w:type="pct"/>
            <w:vAlign w:val="center"/>
          </w:tcPr>
          <w:p w14:paraId="66B14B13">
            <w:pPr>
              <w:pStyle w:val="58"/>
              <w:pageBreakBefore w:val="0"/>
              <w:widowControl w:val="0"/>
              <w:kinsoku/>
              <w:wordWrap/>
              <w:overflowPunct/>
              <w:topLinePunct w:val="0"/>
              <w:autoSpaceDE/>
              <w:autoSpaceDN/>
              <w:bidi w:val="0"/>
              <w:adjustRightInd/>
              <w:snapToGrid/>
              <w:spacing w:before="0" w:beforeAutospacing="0" w:after="0" w:afterAutospacing="0" w:line="520" w:lineRule="exact"/>
              <w:jc w:val="both"/>
              <w:rPr>
                <w:rFonts w:hint="eastAsia" w:ascii="宋体" w:hAnsi="宋体" w:eastAsia="宋体" w:cs="宋体"/>
                <w:b w:val="0"/>
                <w:color w:val="auto"/>
                <w:sz w:val="24"/>
                <w:highlight w:val="none"/>
                <w:u w:val="single"/>
                <w:lang w:val="en-US" w:eastAsia="zh-CN"/>
              </w:rPr>
            </w:pPr>
            <w:r>
              <w:rPr>
                <w:rFonts w:hint="eastAsia" w:ascii="宋体" w:hAnsi="宋体" w:eastAsia="宋体" w:cs="宋体"/>
                <w:b w:val="0"/>
                <w:color w:val="auto"/>
                <w:sz w:val="24"/>
                <w:szCs w:val="24"/>
                <w:highlight w:val="none"/>
                <w:u w:val="none"/>
              </w:rPr>
              <w:t>合同签订生效并具备实施条件后，支付</w:t>
            </w:r>
            <w:r>
              <w:rPr>
                <w:rFonts w:hint="eastAsia" w:ascii="宋体" w:hAnsi="宋体" w:eastAsia="宋体" w:cs="宋体"/>
                <w:b w:val="0"/>
                <w:color w:val="auto"/>
                <w:sz w:val="24"/>
                <w:szCs w:val="24"/>
                <w:highlight w:val="none"/>
                <w:u w:val="none"/>
                <w:lang w:val="en-US" w:eastAsia="zh-CN"/>
              </w:rPr>
              <w:t>第一</w:t>
            </w:r>
            <w:r>
              <w:rPr>
                <w:rFonts w:hint="eastAsia" w:ascii="宋体" w:hAnsi="宋体" w:eastAsia="宋体" w:cs="宋体"/>
                <w:b w:val="0"/>
                <w:color w:val="auto"/>
                <w:sz w:val="24"/>
                <w:szCs w:val="24"/>
                <w:highlight w:val="none"/>
                <w:u w:val="none"/>
              </w:rPr>
              <w:t>年合同年服务费的</w:t>
            </w:r>
            <w:r>
              <w:rPr>
                <w:rFonts w:hint="eastAsia" w:ascii="宋体" w:hAnsi="宋体" w:eastAsia="宋体" w:cs="宋体"/>
                <w:b w:val="0"/>
                <w:color w:val="auto"/>
                <w:sz w:val="24"/>
                <w:szCs w:val="24"/>
                <w:highlight w:val="none"/>
                <w:u w:val="none"/>
                <w:lang w:val="en-US" w:eastAsia="zh-CN"/>
              </w:rPr>
              <w:t>4</w:t>
            </w:r>
            <w:r>
              <w:rPr>
                <w:rFonts w:hint="eastAsia" w:ascii="宋体" w:hAnsi="宋体" w:eastAsia="宋体" w:cs="宋体"/>
                <w:b w:val="0"/>
                <w:color w:val="auto"/>
                <w:sz w:val="24"/>
                <w:szCs w:val="24"/>
                <w:highlight w:val="none"/>
                <w:u w:val="none"/>
              </w:rPr>
              <w:t>0%作为预付款；</w:t>
            </w:r>
            <w:r>
              <w:rPr>
                <w:rFonts w:hint="eastAsia" w:ascii="宋体" w:hAnsi="宋体" w:eastAsia="宋体" w:cs="宋体"/>
                <w:b w:val="0"/>
                <w:color w:val="auto"/>
                <w:sz w:val="24"/>
                <w:szCs w:val="24"/>
                <w:highlight w:val="none"/>
                <w:u w:val="none"/>
                <w:lang w:val="en-US" w:eastAsia="zh-CN"/>
              </w:rPr>
              <w:t>第一年</w:t>
            </w:r>
            <w:r>
              <w:rPr>
                <w:rFonts w:hint="eastAsia" w:ascii="宋体" w:hAnsi="宋体" w:eastAsia="宋体" w:cs="宋体"/>
                <w:b w:val="0"/>
                <w:color w:val="auto"/>
                <w:sz w:val="24"/>
                <w:szCs w:val="24"/>
                <w:highlight w:val="none"/>
                <w:u w:val="none"/>
              </w:rPr>
              <w:t>服务期满并通过采购人验收后</w:t>
            </w:r>
            <w:r>
              <w:rPr>
                <w:rFonts w:hint="eastAsia" w:ascii="宋体" w:hAnsi="宋体" w:eastAsia="宋体" w:cs="宋体"/>
                <w:b w:val="0"/>
                <w:color w:val="auto"/>
                <w:sz w:val="24"/>
                <w:szCs w:val="24"/>
                <w:highlight w:val="none"/>
                <w:u w:val="none"/>
                <w:lang w:val="en-US" w:eastAsia="zh-CN"/>
              </w:rPr>
              <w:t>付清</w:t>
            </w:r>
            <w:r>
              <w:rPr>
                <w:rFonts w:hint="eastAsia" w:ascii="宋体" w:hAnsi="宋体" w:eastAsia="宋体" w:cs="宋体"/>
                <w:b w:val="0"/>
                <w:color w:val="auto"/>
                <w:sz w:val="24"/>
                <w:szCs w:val="24"/>
                <w:highlight w:val="none"/>
                <w:u w:val="none"/>
              </w:rPr>
              <w:t>合同</w:t>
            </w:r>
            <w:r>
              <w:rPr>
                <w:rFonts w:hint="eastAsia" w:ascii="宋体" w:hAnsi="宋体" w:eastAsia="宋体" w:cs="宋体"/>
                <w:b w:val="0"/>
                <w:color w:val="auto"/>
                <w:sz w:val="24"/>
                <w:szCs w:val="24"/>
                <w:highlight w:val="none"/>
                <w:u w:val="none"/>
                <w:lang w:val="en-US" w:eastAsia="zh-CN"/>
              </w:rPr>
              <w:t>第一年</w:t>
            </w:r>
            <w:r>
              <w:rPr>
                <w:rFonts w:hint="eastAsia" w:ascii="宋体" w:hAnsi="宋体" w:eastAsia="宋体" w:cs="宋体"/>
                <w:b w:val="0"/>
                <w:color w:val="auto"/>
                <w:sz w:val="24"/>
                <w:szCs w:val="24"/>
                <w:highlight w:val="none"/>
                <w:u w:val="none"/>
              </w:rPr>
              <w:t>年服务费的余款</w:t>
            </w:r>
            <w:r>
              <w:rPr>
                <w:rFonts w:hint="eastAsia" w:ascii="宋体" w:hAnsi="宋体" w:eastAsia="宋体" w:cs="宋体"/>
                <w:b w:val="0"/>
                <w:color w:val="auto"/>
                <w:sz w:val="24"/>
                <w:szCs w:val="24"/>
                <w:highlight w:val="none"/>
                <w:u w:val="none"/>
                <w:lang w:eastAsia="zh-CN"/>
              </w:rPr>
              <w:t>，</w:t>
            </w:r>
            <w:r>
              <w:rPr>
                <w:rFonts w:hint="eastAsia" w:ascii="宋体" w:hAnsi="宋体" w:eastAsia="宋体" w:cs="宋体"/>
                <w:b w:val="0"/>
                <w:color w:val="auto"/>
                <w:sz w:val="24"/>
                <w:szCs w:val="24"/>
                <w:highlight w:val="none"/>
                <w:u w:val="none"/>
                <w:lang w:val="en-US" w:eastAsia="zh-CN"/>
              </w:rPr>
              <w:t>支付第二年</w:t>
            </w:r>
            <w:r>
              <w:rPr>
                <w:rFonts w:hint="eastAsia" w:ascii="宋体" w:hAnsi="宋体" w:eastAsia="宋体" w:cs="宋体"/>
                <w:b w:val="0"/>
                <w:color w:val="auto"/>
                <w:sz w:val="24"/>
                <w:szCs w:val="24"/>
                <w:highlight w:val="none"/>
                <w:u w:val="none"/>
              </w:rPr>
              <w:t>合同年服务费的</w:t>
            </w:r>
            <w:r>
              <w:rPr>
                <w:rFonts w:hint="eastAsia" w:ascii="宋体" w:hAnsi="宋体" w:eastAsia="宋体" w:cs="宋体"/>
                <w:b w:val="0"/>
                <w:color w:val="auto"/>
                <w:sz w:val="24"/>
                <w:szCs w:val="24"/>
                <w:highlight w:val="none"/>
                <w:u w:val="none"/>
                <w:lang w:val="en-US" w:eastAsia="zh-CN"/>
              </w:rPr>
              <w:t>4</w:t>
            </w:r>
            <w:r>
              <w:rPr>
                <w:rFonts w:hint="eastAsia" w:ascii="宋体" w:hAnsi="宋体" w:eastAsia="宋体" w:cs="宋体"/>
                <w:b w:val="0"/>
                <w:color w:val="auto"/>
                <w:sz w:val="24"/>
                <w:szCs w:val="24"/>
                <w:highlight w:val="none"/>
                <w:u w:val="none"/>
              </w:rPr>
              <w:t>0%作为预付款</w:t>
            </w:r>
            <w:r>
              <w:rPr>
                <w:rFonts w:hint="eastAsia" w:ascii="宋体" w:hAnsi="宋体" w:eastAsia="宋体" w:cs="宋体"/>
                <w:b w:val="0"/>
                <w:color w:val="auto"/>
                <w:sz w:val="24"/>
                <w:szCs w:val="24"/>
                <w:highlight w:val="none"/>
                <w:u w:val="none"/>
                <w:lang w:eastAsia="zh-CN"/>
              </w:rPr>
              <w:t>；</w:t>
            </w:r>
            <w:r>
              <w:rPr>
                <w:rFonts w:hint="eastAsia" w:ascii="宋体" w:hAnsi="宋体" w:eastAsia="宋体" w:cs="宋体"/>
                <w:b w:val="0"/>
                <w:color w:val="auto"/>
                <w:sz w:val="24"/>
                <w:szCs w:val="24"/>
                <w:highlight w:val="none"/>
                <w:u w:val="none"/>
                <w:lang w:val="en-US" w:eastAsia="zh-CN"/>
              </w:rPr>
              <w:t>第二年</w:t>
            </w:r>
            <w:r>
              <w:rPr>
                <w:rFonts w:hint="eastAsia" w:ascii="宋体" w:hAnsi="宋体" w:eastAsia="宋体" w:cs="宋体"/>
                <w:b w:val="0"/>
                <w:color w:val="auto"/>
                <w:sz w:val="24"/>
                <w:szCs w:val="24"/>
                <w:highlight w:val="none"/>
                <w:u w:val="none"/>
              </w:rPr>
              <w:t>服务期满并通过采购人验收后</w:t>
            </w:r>
            <w:r>
              <w:rPr>
                <w:rFonts w:hint="eastAsia" w:ascii="宋体" w:hAnsi="宋体" w:eastAsia="宋体" w:cs="宋体"/>
                <w:b w:val="0"/>
                <w:color w:val="auto"/>
                <w:sz w:val="24"/>
                <w:szCs w:val="24"/>
                <w:highlight w:val="none"/>
                <w:u w:val="none"/>
                <w:lang w:val="en-US" w:eastAsia="zh-CN"/>
              </w:rPr>
              <w:t>付清</w:t>
            </w:r>
            <w:r>
              <w:rPr>
                <w:rFonts w:hint="eastAsia" w:ascii="宋体" w:hAnsi="宋体" w:eastAsia="宋体" w:cs="宋体"/>
                <w:b w:val="0"/>
                <w:color w:val="auto"/>
                <w:sz w:val="24"/>
                <w:szCs w:val="24"/>
                <w:highlight w:val="none"/>
                <w:u w:val="none"/>
              </w:rPr>
              <w:t>合同</w:t>
            </w:r>
            <w:r>
              <w:rPr>
                <w:rFonts w:hint="eastAsia" w:ascii="宋体" w:hAnsi="宋体" w:eastAsia="宋体" w:cs="宋体"/>
                <w:b w:val="0"/>
                <w:color w:val="auto"/>
                <w:sz w:val="24"/>
                <w:szCs w:val="24"/>
                <w:highlight w:val="none"/>
                <w:u w:val="none"/>
                <w:lang w:val="en-US" w:eastAsia="zh-CN"/>
              </w:rPr>
              <w:t>第二年</w:t>
            </w:r>
            <w:r>
              <w:rPr>
                <w:rFonts w:hint="eastAsia" w:ascii="宋体" w:hAnsi="宋体" w:eastAsia="宋体" w:cs="宋体"/>
                <w:b w:val="0"/>
                <w:color w:val="auto"/>
                <w:sz w:val="24"/>
                <w:szCs w:val="24"/>
                <w:highlight w:val="none"/>
                <w:u w:val="none"/>
              </w:rPr>
              <w:t>年服务费的余款</w:t>
            </w:r>
            <w:r>
              <w:rPr>
                <w:rFonts w:hint="eastAsia" w:ascii="宋体" w:hAnsi="宋体" w:eastAsia="宋体" w:cs="宋体"/>
                <w:b w:val="0"/>
                <w:color w:val="auto"/>
                <w:sz w:val="24"/>
                <w:szCs w:val="24"/>
                <w:highlight w:val="none"/>
                <w:u w:val="none"/>
                <w:lang w:eastAsia="zh-CN"/>
              </w:rPr>
              <w:t>，</w:t>
            </w:r>
            <w:r>
              <w:rPr>
                <w:rFonts w:hint="eastAsia" w:ascii="宋体" w:hAnsi="宋体" w:eastAsia="宋体" w:cs="宋体"/>
                <w:b w:val="0"/>
                <w:color w:val="auto"/>
                <w:sz w:val="24"/>
                <w:szCs w:val="24"/>
                <w:highlight w:val="none"/>
                <w:u w:val="none"/>
                <w:lang w:val="en-US" w:eastAsia="zh-CN"/>
              </w:rPr>
              <w:t>支付第三年</w:t>
            </w:r>
            <w:r>
              <w:rPr>
                <w:rFonts w:hint="eastAsia" w:ascii="宋体" w:hAnsi="宋体" w:eastAsia="宋体" w:cs="宋体"/>
                <w:b w:val="0"/>
                <w:color w:val="auto"/>
                <w:sz w:val="24"/>
                <w:szCs w:val="24"/>
                <w:highlight w:val="none"/>
                <w:u w:val="none"/>
              </w:rPr>
              <w:t>合同年服务费的</w:t>
            </w:r>
            <w:r>
              <w:rPr>
                <w:rFonts w:hint="eastAsia" w:ascii="宋体" w:hAnsi="宋体" w:eastAsia="宋体" w:cs="宋体"/>
                <w:b w:val="0"/>
                <w:color w:val="auto"/>
                <w:sz w:val="24"/>
                <w:szCs w:val="24"/>
                <w:highlight w:val="none"/>
                <w:u w:val="none"/>
                <w:lang w:val="en-US" w:eastAsia="zh-CN"/>
              </w:rPr>
              <w:t>4</w:t>
            </w:r>
            <w:r>
              <w:rPr>
                <w:rFonts w:hint="eastAsia" w:ascii="宋体" w:hAnsi="宋体" w:eastAsia="宋体" w:cs="宋体"/>
                <w:b w:val="0"/>
                <w:color w:val="auto"/>
                <w:sz w:val="24"/>
                <w:szCs w:val="24"/>
                <w:highlight w:val="none"/>
                <w:u w:val="none"/>
              </w:rPr>
              <w:t>0%作为预付款</w:t>
            </w:r>
            <w:r>
              <w:rPr>
                <w:rFonts w:hint="eastAsia" w:ascii="宋体" w:hAnsi="宋体" w:eastAsia="宋体" w:cs="宋体"/>
                <w:b w:val="0"/>
                <w:color w:val="auto"/>
                <w:sz w:val="24"/>
                <w:szCs w:val="24"/>
                <w:highlight w:val="none"/>
                <w:u w:val="none"/>
                <w:lang w:eastAsia="zh-CN"/>
              </w:rPr>
              <w:t>；</w:t>
            </w:r>
            <w:r>
              <w:rPr>
                <w:rFonts w:hint="eastAsia" w:ascii="宋体" w:hAnsi="宋体" w:eastAsia="宋体" w:cs="宋体"/>
                <w:b w:val="0"/>
                <w:color w:val="auto"/>
                <w:sz w:val="24"/>
                <w:szCs w:val="24"/>
                <w:highlight w:val="none"/>
                <w:u w:val="none"/>
                <w:lang w:val="en-US" w:eastAsia="zh-CN"/>
              </w:rPr>
              <w:t>第三年</w:t>
            </w:r>
            <w:r>
              <w:rPr>
                <w:rFonts w:hint="eastAsia" w:ascii="宋体" w:hAnsi="宋体" w:eastAsia="宋体" w:cs="宋体"/>
                <w:b w:val="0"/>
                <w:color w:val="auto"/>
                <w:sz w:val="24"/>
                <w:szCs w:val="24"/>
                <w:highlight w:val="none"/>
                <w:u w:val="none"/>
              </w:rPr>
              <w:t>服务期满并通过采购人验收后</w:t>
            </w:r>
            <w:r>
              <w:rPr>
                <w:rFonts w:hint="eastAsia" w:ascii="宋体" w:hAnsi="宋体" w:eastAsia="宋体" w:cs="宋体"/>
                <w:b w:val="0"/>
                <w:color w:val="auto"/>
                <w:sz w:val="24"/>
                <w:szCs w:val="24"/>
                <w:highlight w:val="none"/>
                <w:u w:val="none"/>
                <w:lang w:val="en-US" w:eastAsia="zh-CN"/>
              </w:rPr>
              <w:t>付清</w:t>
            </w:r>
            <w:r>
              <w:rPr>
                <w:rFonts w:hint="eastAsia" w:ascii="宋体" w:hAnsi="宋体" w:eastAsia="宋体" w:cs="宋体"/>
                <w:b w:val="0"/>
                <w:color w:val="auto"/>
                <w:sz w:val="24"/>
                <w:szCs w:val="24"/>
                <w:highlight w:val="none"/>
                <w:u w:val="none"/>
              </w:rPr>
              <w:t>合同</w:t>
            </w:r>
            <w:r>
              <w:rPr>
                <w:rFonts w:hint="eastAsia" w:ascii="宋体" w:hAnsi="宋体" w:eastAsia="宋体" w:cs="宋体"/>
                <w:b w:val="0"/>
                <w:color w:val="auto"/>
                <w:sz w:val="24"/>
                <w:szCs w:val="24"/>
                <w:highlight w:val="none"/>
                <w:u w:val="none"/>
                <w:lang w:val="en-US" w:eastAsia="zh-CN"/>
              </w:rPr>
              <w:t>第三年</w:t>
            </w:r>
            <w:r>
              <w:rPr>
                <w:rFonts w:hint="eastAsia" w:ascii="宋体" w:hAnsi="宋体" w:eastAsia="宋体" w:cs="宋体"/>
                <w:b w:val="0"/>
                <w:color w:val="auto"/>
                <w:sz w:val="24"/>
                <w:szCs w:val="24"/>
                <w:highlight w:val="none"/>
                <w:u w:val="none"/>
              </w:rPr>
              <w:t>年服务费的余款。</w:t>
            </w:r>
          </w:p>
        </w:tc>
      </w:tr>
      <w:tr w14:paraId="40E0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4" w:type="pct"/>
            <w:vAlign w:val="center"/>
          </w:tcPr>
          <w:p w14:paraId="53E94CED">
            <w:pPr>
              <w:pStyle w:val="59"/>
              <w:pageBreakBefore w:val="0"/>
              <w:pBdr>
                <w:bottom w:val="none" w:color="auto" w:sz="0" w:space="0"/>
              </w:pBdr>
              <w:tabs>
                <w:tab w:val="clear" w:pos="4153"/>
                <w:tab w:val="clear" w:pos="8306"/>
              </w:tabs>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w:t>
            </w:r>
          </w:p>
        </w:tc>
        <w:tc>
          <w:tcPr>
            <w:tcW w:w="1028" w:type="pct"/>
            <w:vAlign w:val="center"/>
          </w:tcPr>
          <w:p w14:paraId="54ADCB39">
            <w:pPr>
              <w:pStyle w:val="58"/>
              <w:pageBreakBefore w:val="0"/>
              <w:widowControl w:val="0"/>
              <w:kinsoku/>
              <w:wordWrap/>
              <w:overflowPunct/>
              <w:topLinePunct w:val="0"/>
              <w:autoSpaceDE/>
              <w:autoSpaceDN/>
              <w:bidi w:val="0"/>
              <w:adjustRightInd/>
              <w:snapToGrid/>
              <w:spacing w:before="0" w:beforeAutospacing="0" w:after="0" w:afterAutospacing="0" w:line="520" w:lineRule="exac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服务地点</w:t>
            </w:r>
          </w:p>
        </w:tc>
        <w:tc>
          <w:tcPr>
            <w:tcW w:w="3546" w:type="pct"/>
            <w:vAlign w:val="center"/>
          </w:tcPr>
          <w:p w14:paraId="32250132">
            <w:pPr>
              <w:pStyle w:val="58"/>
              <w:pageBreakBefore w:val="0"/>
              <w:widowControl w:val="0"/>
              <w:kinsoku/>
              <w:wordWrap/>
              <w:overflowPunct/>
              <w:topLinePunct w:val="0"/>
              <w:autoSpaceDE/>
              <w:autoSpaceDN/>
              <w:bidi w:val="0"/>
              <w:adjustRightInd/>
              <w:snapToGrid/>
              <w:spacing w:before="0" w:beforeAutospacing="0" w:after="0" w:afterAutospacing="0" w:line="520" w:lineRule="exact"/>
              <w:jc w:val="both"/>
              <w:rPr>
                <w:rFonts w:hint="eastAsia" w:ascii="宋体" w:hAnsi="宋体" w:eastAsia="宋体" w:cs="宋体"/>
                <w:b w:val="0"/>
                <w:bCs w:val="0"/>
                <w:color w:val="auto"/>
                <w:sz w:val="24"/>
                <w:szCs w:val="20"/>
                <w:highlight w:val="none"/>
                <w:lang w:val="en-US" w:eastAsia="zh-CN"/>
              </w:rPr>
            </w:pPr>
            <w:r>
              <w:rPr>
                <w:rFonts w:hint="eastAsia" w:ascii="宋体" w:hAnsi="宋体" w:eastAsia="宋体" w:cs="宋体"/>
                <w:b w:val="0"/>
                <w:bCs w:val="0"/>
                <w:color w:val="auto"/>
                <w:sz w:val="24"/>
                <w:szCs w:val="20"/>
                <w:highlight w:val="none"/>
                <w:lang w:val="en-US" w:eastAsia="zh-CN"/>
              </w:rPr>
              <w:t>滁州市内，采购人指定地点。</w:t>
            </w:r>
          </w:p>
        </w:tc>
      </w:tr>
      <w:tr w14:paraId="7142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4" w:type="pct"/>
            <w:vAlign w:val="center"/>
          </w:tcPr>
          <w:p w14:paraId="70AEE23D">
            <w:pPr>
              <w:pStyle w:val="59"/>
              <w:pageBreakBefore w:val="0"/>
              <w:pBdr>
                <w:bottom w:val="none" w:color="auto" w:sz="0" w:space="0"/>
              </w:pBdr>
              <w:tabs>
                <w:tab w:val="clear" w:pos="4153"/>
                <w:tab w:val="clear" w:pos="8306"/>
              </w:tabs>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3</w:t>
            </w:r>
          </w:p>
        </w:tc>
        <w:tc>
          <w:tcPr>
            <w:tcW w:w="1028" w:type="pct"/>
            <w:vAlign w:val="center"/>
          </w:tcPr>
          <w:p w14:paraId="26C13BEB">
            <w:pPr>
              <w:pStyle w:val="58"/>
              <w:pageBreakBefore w:val="0"/>
              <w:widowControl w:val="0"/>
              <w:kinsoku/>
              <w:wordWrap/>
              <w:overflowPunct/>
              <w:topLinePunct w:val="0"/>
              <w:autoSpaceDE/>
              <w:autoSpaceDN/>
              <w:bidi w:val="0"/>
              <w:adjustRightInd/>
              <w:snapToGrid/>
              <w:spacing w:before="0" w:beforeAutospacing="0" w:after="0" w:afterAutospacing="0" w:line="520" w:lineRule="exac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服务期限</w:t>
            </w:r>
          </w:p>
        </w:tc>
        <w:tc>
          <w:tcPr>
            <w:tcW w:w="3546" w:type="pct"/>
            <w:vAlign w:val="center"/>
          </w:tcPr>
          <w:p w14:paraId="6C6FE573">
            <w:pPr>
              <w:pageBreakBefore w:val="0"/>
              <w:kinsoku/>
              <w:overflowPunct/>
              <w:topLinePunct w:val="0"/>
              <w:autoSpaceDE/>
              <w:autoSpaceDN/>
              <w:bidi w:val="0"/>
              <w:adjustRightInd/>
              <w:snapToGrid/>
              <w:spacing w:line="520" w:lineRule="exact"/>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sz w:val="24"/>
                <w:szCs w:val="24"/>
                <w:highlight w:val="none"/>
                <w:lang w:val="en-US" w:eastAsia="zh-CN"/>
              </w:rPr>
              <w:t>本项目服务期限为三年（36个月）（合同一签三年，自合同签订之日起开始计算）。</w:t>
            </w:r>
          </w:p>
        </w:tc>
      </w:tr>
      <w:tr w14:paraId="185D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4" w:type="pct"/>
            <w:vAlign w:val="center"/>
          </w:tcPr>
          <w:p w14:paraId="6A555558">
            <w:pPr>
              <w:pStyle w:val="59"/>
              <w:pageBreakBefore w:val="0"/>
              <w:pBdr>
                <w:bottom w:val="none" w:color="auto" w:sz="0" w:space="0"/>
              </w:pBdr>
              <w:tabs>
                <w:tab w:val="clear" w:pos="4153"/>
                <w:tab w:val="clear" w:pos="8306"/>
              </w:tabs>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val="en-US" w:eastAsia="zh-CN"/>
              </w:rPr>
              <w:t>4</w:t>
            </w:r>
          </w:p>
        </w:tc>
        <w:tc>
          <w:tcPr>
            <w:tcW w:w="1028" w:type="pct"/>
            <w:vAlign w:val="center"/>
          </w:tcPr>
          <w:p w14:paraId="5D6C94BE">
            <w:pPr>
              <w:pStyle w:val="58"/>
              <w:pageBreakBefore w:val="0"/>
              <w:widowControl w:val="0"/>
              <w:kinsoku/>
              <w:wordWrap/>
              <w:overflowPunct/>
              <w:topLinePunct w:val="0"/>
              <w:autoSpaceDE/>
              <w:autoSpaceDN/>
              <w:bidi w:val="0"/>
              <w:adjustRightInd/>
              <w:snapToGrid/>
              <w:spacing w:before="0" w:beforeAutospacing="0" w:after="0" w:afterAutospacing="0" w:line="520" w:lineRule="exac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本项目采购标的名称及所属行业</w:t>
            </w:r>
          </w:p>
        </w:tc>
        <w:tc>
          <w:tcPr>
            <w:tcW w:w="3546" w:type="pct"/>
            <w:vAlign w:val="center"/>
          </w:tcPr>
          <w:p w14:paraId="54F08FA3">
            <w:pPr>
              <w:pStyle w:val="58"/>
              <w:pageBreakBefore w:val="0"/>
              <w:widowControl w:val="0"/>
              <w:kinsoku/>
              <w:wordWrap/>
              <w:overflowPunct/>
              <w:topLinePunct w:val="0"/>
              <w:autoSpaceDE/>
              <w:autoSpaceDN/>
              <w:bidi w:val="0"/>
              <w:adjustRightInd/>
              <w:snapToGrid/>
              <w:spacing w:before="0" w:beforeAutospacing="0" w:after="0" w:afterAutospacing="0" w:line="520" w:lineRule="exact"/>
              <w:jc w:val="both"/>
              <w:rPr>
                <w:rFonts w:hint="eastAsia" w:ascii="宋体" w:hAnsi="宋体" w:eastAsia="宋体" w:cs="宋体"/>
                <w:b w:val="0"/>
                <w:bCs w:val="0"/>
                <w:color w:val="auto"/>
                <w:sz w:val="24"/>
                <w:szCs w:val="20"/>
                <w:highlight w:val="none"/>
                <w:lang w:val="en-US" w:eastAsia="zh-CN"/>
              </w:rPr>
            </w:pPr>
            <w:r>
              <w:rPr>
                <w:rFonts w:hint="eastAsia" w:ascii="宋体" w:hAnsi="宋体" w:eastAsia="宋体" w:cs="宋体"/>
                <w:b w:val="0"/>
                <w:bCs w:val="0"/>
                <w:color w:val="auto"/>
                <w:sz w:val="24"/>
                <w:szCs w:val="20"/>
                <w:highlight w:val="none"/>
                <w:lang w:val="en-US" w:eastAsia="zh-CN"/>
              </w:rPr>
              <w:t>标的名称：滁州市公共安全视频监控服务项目</w:t>
            </w:r>
          </w:p>
          <w:p w14:paraId="72215BAD">
            <w:pPr>
              <w:pStyle w:val="58"/>
              <w:pageBreakBefore w:val="0"/>
              <w:widowControl w:val="0"/>
              <w:kinsoku/>
              <w:wordWrap/>
              <w:overflowPunct/>
              <w:topLinePunct w:val="0"/>
              <w:autoSpaceDE/>
              <w:autoSpaceDN/>
              <w:bidi w:val="0"/>
              <w:adjustRightInd/>
              <w:snapToGrid/>
              <w:spacing w:before="0" w:beforeAutospacing="0" w:after="0" w:afterAutospacing="0" w:line="520" w:lineRule="exact"/>
              <w:jc w:val="both"/>
              <w:rPr>
                <w:rFonts w:hint="eastAsia" w:ascii="宋体" w:hAnsi="宋体" w:eastAsia="宋体" w:cs="宋体"/>
                <w:color w:val="auto"/>
                <w:sz w:val="24"/>
                <w:highlight w:val="none"/>
              </w:rPr>
            </w:pPr>
            <w:r>
              <w:rPr>
                <w:rFonts w:hint="eastAsia" w:ascii="宋体" w:hAnsi="宋体" w:eastAsia="宋体" w:cs="宋体"/>
                <w:b w:val="0"/>
                <w:bCs w:val="0"/>
                <w:color w:val="auto"/>
                <w:sz w:val="24"/>
                <w:szCs w:val="20"/>
                <w:highlight w:val="none"/>
                <w:lang w:val="en-US" w:eastAsia="zh-CN"/>
              </w:rPr>
              <w:t>所属行业：软件和信息技术服务业</w:t>
            </w:r>
          </w:p>
        </w:tc>
      </w:tr>
      <w:bookmarkEnd w:id="42"/>
    </w:tbl>
    <w:p w14:paraId="5499CAF9">
      <w:pPr>
        <w:keepNext w:val="0"/>
        <w:keepLines w:val="0"/>
        <w:pageBreakBefore w:val="0"/>
        <w:widowControl w:val="0"/>
        <w:kinsoku/>
        <w:wordWrap/>
        <w:overflowPunct/>
        <w:topLinePunct w:val="0"/>
        <w:autoSpaceDE/>
        <w:autoSpaceDN/>
        <w:bidi w:val="0"/>
        <w:adjustRightInd/>
        <w:snapToGrid/>
        <w:spacing w:before="95" w:beforeLines="30" w:beforeAutospacing="0" w:after="95" w:afterLines="30" w:afterAutospacing="0" w:line="520" w:lineRule="exact"/>
        <w:ind w:firstLine="437"/>
        <w:jc w:val="left"/>
        <w:textAlignment w:val="auto"/>
        <w:outlineLvl w:val="1"/>
        <w:rPr>
          <w:rFonts w:hint="default" w:ascii="宋体" w:hAnsi="宋体" w:eastAsia="宋体" w:cs="宋体"/>
          <w:b/>
          <w:color w:val="auto"/>
          <w:sz w:val="24"/>
          <w:szCs w:val="18"/>
          <w:highlight w:val="none"/>
          <w:lang w:val="en-US" w:eastAsia="zh-CN"/>
        </w:rPr>
      </w:pPr>
      <w:bookmarkStart w:id="43" w:name="_Toc138615905"/>
      <w:bookmarkStart w:id="44" w:name="_Toc17907"/>
      <w:bookmarkStart w:id="45" w:name="_Toc4351"/>
      <w:bookmarkStart w:id="46" w:name="_Toc1642"/>
      <w:bookmarkStart w:id="47" w:name="_Toc26143"/>
      <w:bookmarkStart w:id="48" w:name="_Toc29411"/>
      <w:bookmarkStart w:id="49" w:name="_Toc22256"/>
      <w:bookmarkStart w:id="50" w:name="_Toc4391"/>
      <w:r>
        <w:rPr>
          <w:rFonts w:hint="eastAsia" w:ascii="宋体" w:hAnsi="宋体" w:eastAsia="宋体" w:cs="宋体"/>
          <w:b/>
          <w:color w:val="auto"/>
          <w:sz w:val="24"/>
          <w:szCs w:val="18"/>
          <w:highlight w:val="none"/>
          <w:lang w:val="en-US" w:eastAsia="zh-CN"/>
        </w:rPr>
        <w:t>二、采购需求</w:t>
      </w:r>
    </w:p>
    <w:p w14:paraId="7811F510">
      <w:pPr>
        <w:pStyle w:val="4"/>
        <w:rPr>
          <w:color w:val="000000"/>
        </w:rPr>
      </w:pPr>
      <w:r>
        <w:rPr>
          <w:rFonts w:hint="eastAsia"/>
          <w:color w:val="000000"/>
        </w:rPr>
        <w:t>项目采购内容概述</w:t>
      </w:r>
      <w:bookmarkEnd w:id="43"/>
      <w:bookmarkEnd w:id="44"/>
      <w:bookmarkEnd w:id="45"/>
      <w:bookmarkEnd w:id="46"/>
      <w:bookmarkEnd w:id="47"/>
      <w:bookmarkEnd w:id="48"/>
      <w:bookmarkEnd w:id="49"/>
      <w:bookmarkEnd w:id="50"/>
    </w:p>
    <w:p w14:paraId="5E009C91">
      <w:pPr>
        <w:spacing w:before="120"/>
        <w:rPr>
          <w:rFonts w:hint="eastAsia" w:ascii="宋体" w:eastAsia="宋体" w:cs="宋体"/>
          <w:szCs w:val="28"/>
        </w:rPr>
      </w:pPr>
      <w:r>
        <w:rPr>
          <w:rFonts w:hint="eastAsia" w:ascii="宋体" w:eastAsia="宋体" w:cs="宋体"/>
          <w:szCs w:val="28"/>
        </w:rPr>
        <w:t>为构建适应滁州市经济社会发展需要的社会治安视频监控系统应用格局，根据经济建设和社会管理工作总体要求，在避免重复建设的同时确保系统满足当前社会发展和新形势下民警案件办案应用需求，本次服务内容如下：</w:t>
      </w:r>
    </w:p>
    <w:p w14:paraId="30196174">
      <w:pPr>
        <w:rPr>
          <w:rFonts w:hint="eastAsia" w:ascii="宋体" w:eastAsia="宋体" w:cs="宋体"/>
          <w:b/>
          <w:bCs/>
        </w:rPr>
      </w:pPr>
      <w:r>
        <w:rPr>
          <w:rFonts w:hint="eastAsia" w:ascii="宋体" w:eastAsia="宋体" w:cs="宋体"/>
          <w:b/>
          <w:bCs/>
        </w:rPr>
        <w:t>一、视频监控前端服务</w:t>
      </w:r>
    </w:p>
    <w:p w14:paraId="059D0967">
      <w:pPr>
        <w:spacing w:before="120"/>
        <w:rPr>
          <w:rFonts w:hint="eastAsia" w:ascii="宋体" w:eastAsia="宋体" w:cs="宋体"/>
          <w:szCs w:val="28"/>
        </w:rPr>
      </w:pPr>
      <w:r>
        <w:rPr>
          <w:rFonts w:hint="eastAsia" w:ascii="宋体" w:eastAsia="宋体" w:cs="宋体"/>
          <w:szCs w:val="28"/>
        </w:rPr>
        <w:t>本次服务需提供2000台各类智能前端摄像机，包括400万结构化枪机 150台、400万结构化双目枪机1244台、400万人像卡口摄像机100台、400万双目结构化球机450台、400万三目结构化球机20台、高倍球摄像机30台、900万环保卡口摄像机6台，实现对重要道路、次干道、重点单位、人员密集区域、案件多发地等重点区域的覆盖。</w:t>
      </w:r>
    </w:p>
    <w:p w14:paraId="2045C480">
      <w:pPr>
        <w:rPr>
          <w:rFonts w:hint="eastAsia" w:ascii="宋体" w:eastAsia="宋体" w:cs="宋体"/>
          <w:b/>
          <w:bCs/>
        </w:rPr>
      </w:pPr>
      <w:r>
        <w:rPr>
          <w:rFonts w:hint="eastAsia" w:ascii="宋体" w:eastAsia="宋体" w:cs="宋体"/>
          <w:b/>
          <w:bCs/>
        </w:rPr>
        <w:t>二、平台及流媒体转发能力服务</w:t>
      </w:r>
    </w:p>
    <w:p w14:paraId="1476C8CE">
      <w:pPr>
        <w:spacing w:before="120"/>
        <w:rPr>
          <w:rFonts w:hint="eastAsia" w:ascii="宋体" w:eastAsia="宋体" w:cs="宋体"/>
          <w:szCs w:val="28"/>
        </w:rPr>
      </w:pPr>
      <w:r>
        <w:rPr>
          <w:rFonts w:hint="eastAsia" w:ascii="宋体" w:eastAsia="宋体" w:cs="宋体"/>
          <w:szCs w:val="28"/>
        </w:rPr>
        <w:t>本次服务需满足4000路摄像机视频监控接入需求，提供2400Mbps转发能力服务，同时需兼容滁州市公安局现有视频专网市级雪亮平台流媒体转发能力，满足视频实时浏览、录像回放。</w:t>
      </w:r>
    </w:p>
    <w:p w14:paraId="056AF3F3">
      <w:pPr>
        <w:rPr>
          <w:rFonts w:hint="eastAsia" w:ascii="宋体" w:eastAsia="宋体" w:cs="宋体"/>
          <w:b/>
          <w:bCs/>
        </w:rPr>
      </w:pPr>
      <w:r>
        <w:rPr>
          <w:rFonts w:hint="eastAsia" w:ascii="宋体" w:eastAsia="宋体" w:cs="宋体"/>
          <w:b/>
          <w:bCs/>
        </w:rPr>
        <w:t>三、云存储资源服务</w:t>
      </w:r>
    </w:p>
    <w:p w14:paraId="78ADE353">
      <w:pPr>
        <w:spacing w:before="120"/>
        <w:rPr>
          <w:rFonts w:hint="eastAsia" w:ascii="宋体" w:eastAsia="宋体" w:cs="宋体"/>
          <w:szCs w:val="28"/>
        </w:rPr>
      </w:pPr>
      <w:r>
        <w:rPr>
          <w:rFonts w:hint="eastAsia" w:ascii="宋体" w:eastAsia="宋体" w:cs="宋体"/>
          <w:szCs w:val="28"/>
        </w:rPr>
        <w:t>本次服务需满足2000台前端设备视频图像数据存储，要求满足“视频存储30天，图片存储180天”的要求，同时兼容滁州市公安局现有的云存储集群，实现视频图像资源的统一存储、统一管理、统一调阅，解决海量高清视频图像数据的存储和管理需求，为应用平台提供视频数据高效检索、快速调取等服务功能，为视频图像的智能化应用提供有力支撑。</w:t>
      </w:r>
    </w:p>
    <w:p w14:paraId="23EEC3EF">
      <w:pPr>
        <w:rPr>
          <w:rFonts w:hint="eastAsia" w:ascii="宋体" w:eastAsia="宋体" w:cs="宋体"/>
          <w:b/>
          <w:bCs/>
        </w:rPr>
      </w:pPr>
      <w:r>
        <w:rPr>
          <w:rFonts w:hint="eastAsia" w:ascii="宋体" w:eastAsia="宋体" w:cs="宋体"/>
          <w:b/>
          <w:bCs/>
        </w:rPr>
        <w:t>四、公安信息网、视频专网视图库服务</w:t>
      </w:r>
    </w:p>
    <w:p w14:paraId="192E20F0">
      <w:pPr>
        <w:spacing w:before="120"/>
        <w:rPr>
          <w:rFonts w:hint="eastAsia" w:ascii="宋体" w:eastAsia="宋体" w:cs="宋体"/>
          <w:szCs w:val="28"/>
        </w:rPr>
      </w:pPr>
      <w:r>
        <w:rPr>
          <w:rFonts w:hint="eastAsia" w:ascii="宋体" w:eastAsia="宋体" w:cs="宋体"/>
          <w:szCs w:val="28"/>
        </w:rPr>
        <w:t>本次服务需满足2000台智能采集摄像机视图库存储服务需求，抓拍的人脸、人体、机动车、非机动车等图片数据存储到视频专网及公安信息网视图库中，同时需兼容滁州市公安局现有视频专网、公安信息网视图库。</w:t>
      </w:r>
    </w:p>
    <w:p w14:paraId="6C946827">
      <w:pPr>
        <w:rPr>
          <w:rFonts w:hint="eastAsia" w:ascii="宋体" w:eastAsia="宋体" w:cs="宋体"/>
          <w:b/>
          <w:bCs/>
        </w:rPr>
      </w:pPr>
      <w:r>
        <w:rPr>
          <w:rFonts w:hint="eastAsia" w:ascii="宋体" w:eastAsia="宋体" w:cs="宋体"/>
          <w:b/>
          <w:bCs/>
        </w:rPr>
        <w:t>五、视频图像解析中心服务</w:t>
      </w:r>
    </w:p>
    <w:p w14:paraId="0F711217">
      <w:pPr>
        <w:spacing w:before="120"/>
        <w:rPr>
          <w:rFonts w:hint="eastAsia" w:ascii="宋体" w:eastAsia="宋体" w:cs="宋体"/>
          <w:szCs w:val="28"/>
        </w:rPr>
      </w:pPr>
      <w:r>
        <w:rPr>
          <w:rFonts w:hint="eastAsia" w:ascii="宋体" w:eastAsia="宋体" w:cs="宋体"/>
          <w:szCs w:val="28"/>
        </w:rPr>
        <w:t>本次服务需满足2000台智能摄像机人像解析、人体解析服务需求，兼容安徽省公安厅人像解析系统。</w:t>
      </w:r>
    </w:p>
    <w:p w14:paraId="009A2DB8">
      <w:pPr>
        <w:rPr>
          <w:rFonts w:hint="eastAsia" w:ascii="宋体" w:eastAsia="宋体" w:cs="宋体"/>
        </w:rPr>
      </w:pPr>
      <w:r>
        <w:rPr>
          <w:rFonts w:hint="eastAsia" w:ascii="宋体" w:eastAsia="宋体" w:cs="宋体"/>
        </w:rPr>
        <w:t>六、</w:t>
      </w:r>
      <w:r>
        <w:rPr>
          <w:rFonts w:hint="eastAsia" w:ascii="宋体" w:eastAsia="宋体" w:cs="宋体"/>
          <w:b/>
          <w:bCs/>
        </w:rPr>
        <w:t>网络服务</w:t>
      </w:r>
    </w:p>
    <w:p w14:paraId="67697605">
      <w:pPr>
        <w:spacing w:before="120"/>
        <w:rPr>
          <w:rFonts w:hint="eastAsia" w:ascii="宋体" w:eastAsia="宋体" w:cs="宋体"/>
          <w:szCs w:val="28"/>
        </w:rPr>
      </w:pPr>
      <w:r>
        <w:rPr>
          <w:rFonts w:hint="eastAsia" w:ascii="宋体" w:eastAsia="宋体" w:cs="宋体"/>
          <w:szCs w:val="28"/>
        </w:rPr>
        <w:t>本次服务需满足2000台前端监控和汇聚核心网络带宽需求，按照实际情况保证本次服务中所有监控点位视频实时浏览不卡顿、历史录像不卡顿、抓拍图片不丢失。</w:t>
      </w:r>
    </w:p>
    <w:p w14:paraId="36B36869">
      <w:pPr>
        <w:rPr>
          <w:rFonts w:ascii="宋体" w:eastAsia="宋体" w:cs="宋体"/>
          <w:b/>
          <w:bCs/>
        </w:rPr>
      </w:pPr>
      <w:r>
        <w:rPr>
          <w:rFonts w:hint="eastAsia" w:ascii="宋体" w:eastAsia="宋体" w:cs="宋体"/>
        </w:rPr>
        <w:t>七、</w:t>
      </w:r>
      <w:r>
        <w:rPr>
          <w:rFonts w:hint="eastAsia" w:ascii="宋体" w:eastAsia="宋体" w:cs="宋体"/>
          <w:b/>
          <w:bCs/>
        </w:rPr>
        <w:t>机房服务</w:t>
      </w:r>
    </w:p>
    <w:p w14:paraId="5BDB0387">
      <w:pPr>
        <w:spacing w:before="120"/>
        <w:rPr>
          <w:rFonts w:hint="eastAsia"/>
        </w:rPr>
      </w:pPr>
      <w:r>
        <w:rPr>
          <w:rFonts w:hint="eastAsia" w:ascii="宋体" w:eastAsia="宋体" w:cs="宋体"/>
          <w:szCs w:val="28"/>
        </w:rPr>
        <w:t>本次服务需提供机房环境，充分考虑设备存放环境，满足2000台智能采集摄像机对应的交换机、服务器以及云存储等设备安全存放和数据安全存储要求。</w:t>
      </w:r>
    </w:p>
    <w:p w14:paraId="5453F0A3">
      <w:pPr>
        <w:rPr>
          <w:rFonts w:ascii="宋体" w:eastAsia="宋体" w:cs="宋体"/>
          <w:b/>
          <w:bCs/>
        </w:rPr>
      </w:pPr>
      <w:r>
        <w:rPr>
          <w:rFonts w:hint="eastAsia" w:ascii="宋体" w:eastAsia="宋体" w:cs="宋体"/>
        </w:rPr>
        <w:t>八、</w:t>
      </w:r>
      <w:r>
        <w:rPr>
          <w:rFonts w:hint="eastAsia" w:ascii="宋体" w:eastAsia="宋体" w:cs="宋体"/>
          <w:b/>
          <w:bCs/>
        </w:rPr>
        <w:t>运维服务</w:t>
      </w:r>
    </w:p>
    <w:p w14:paraId="4BF0BE80">
      <w:pPr>
        <w:spacing w:before="120"/>
        <w:rPr>
          <w:rFonts w:hint="eastAsia" w:ascii="宋体" w:eastAsia="宋体" w:cs="宋体"/>
          <w:szCs w:val="28"/>
        </w:rPr>
      </w:pPr>
      <w:r>
        <w:rPr>
          <w:rFonts w:hint="eastAsia" w:ascii="宋体" w:eastAsia="宋体" w:cs="宋体"/>
          <w:szCs w:val="28"/>
        </w:rPr>
        <w:t>本次服务需满足2000台智能采集摄像机运维服务需求，服务期内保障前端点位的设备安全、供电稳定，确保前端完好率指标达到考核要求，保障前端设备图像质量满足实战应用，并根据实际业务需求及市政道路建设积极开展前端点位迁建工作。本次服务需确保每年不超过十次的重大活动得到充分保障。</w:t>
      </w:r>
    </w:p>
    <w:p w14:paraId="2668459A">
      <w:pPr>
        <w:pStyle w:val="4"/>
        <w:rPr>
          <w:color w:val="000000"/>
        </w:rPr>
      </w:pPr>
      <w:bookmarkStart w:id="51" w:name="_Toc138615907"/>
      <w:bookmarkStart w:id="52" w:name="_Toc3055"/>
      <w:bookmarkStart w:id="53" w:name="_Toc147"/>
      <w:bookmarkStart w:id="54" w:name="_Toc2320"/>
      <w:bookmarkStart w:id="55" w:name="_Toc23846"/>
      <w:bookmarkStart w:id="56" w:name="_Toc14773"/>
      <w:bookmarkStart w:id="57" w:name="_Toc22038"/>
      <w:bookmarkStart w:id="58" w:name="_Toc24058"/>
      <w:r>
        <w:rPr>
          <w:rFonts w:hint="eastAsia"/>
          <w:color w:val="000000"/>
        </w:rPr>
        <w:t>可行性研究报告</w:t>
      </w:r>
      <w:r>
        <w:rPr>
          <w:color w:val="000000"/>
        </w:rPr>
        <w:t>编制说明</w:t>
      </w:r>
      <w:bookmarkEnd w:id="51"/>
      <w:bookmarkEnd w:id="52"/>
      <w:bookmarkEnd w:id="53"/>
      <w:bookmarkEnd w:id="54"/>
      <w:bookmarkEnd w:id="55"/>
      <w:bookmarkEnd w:id="56"/>
      <w:bookmarkEnd w:id="57"/>
      <w:bookmarkEnd w:id="58"/>
    </w:p>
    <w:p w14:paraId="0971F1C2">
      <w:pPr>
        <w:rPr>
          <w:rFonts w:hint="eastAsia" w:ascii="宋体" w:eastAsia="宋体" w:cs="宋体"/>
        </w:rPr>
      </w:pPr>
      <w:r>
        <w:rPr>
          <w:rFonts w:hint="eastAsia" w:ascii="宋体" w:eastAsia="宋体" w:cs="宋体"/>
        </w:rPr>
        <w:t>本次滁州市公共安全视频监控服务购买服务需依据国家相关法律规章、国家和行业相关标准等进行规划设计，具体如下：</w:t>
      </w:r>
    </w:p>
    <w:p w14:paraId="5AA74928">
      <w:pPr>
        <w:pStyle w:val="6"/>
        <w:rPr>
          <w:rFonts w:hint="eastAsia" w:ascii="宋体" w:hAnsi="宋体" w:cs="宋体"/>
        </w:rPr>
      </w:pPr>
      <w:bookmarkStart w:id="59" w:name="_Toc1265"/>
      <w:bookmarkStart w:id="60" w:name="_Toc3408"/>
      <w:bookmarkStart w:id="61" w:name="_Toc22218"/>
      <w:r>
        <w:rPr>
          <w:rFonts w:hint="eastAsia" w:ascii="宋体" w:hAnsi="宋体" w:cs="宋体"/>
        </w:rPr>
        <w:t>政策性指导文件</w:t>
      </w:r>
      <w:bookmarkEnd w:id="59"/>
      <w:bookmarkEnd w:id="60"/>
      <w:bookmarkEnd w:id="61"/>
    </w:p>
    <w:p w14:paraId="5F0FB826">
      <w:pPr>
        <w:ind w:right="-548" w:rightChars="-261"/>
        <w:jc w:val="left"/>
        <w:rPr>
          <w:rFonts w:hint="eastAsia" w:ascii="宋体" w:eastAsia="宋体" w:cs="宋体"/>
        </w:rPr>
      </w:pPr>
      <w:r>
        <w:rPr>
          <w:rFonts w:hint="eastAsia" w:ascii="宋体" w:eastAsia="宋体" w:cs="宋体"/>
        </w:rPr>
        <w:t>(1)《中华人民共和国反恐怖主义法》；</w:t>
      </w:r>
    </w:p>
    <w:p w14:paraId="4A864AA6">
      <w:pPr>
        <w:ind w:right="-548" w:rightChars="-261"/>
        <w:jc w:val="left"/>
        <w:rPr>
          <w:rFonts w:hint="eastAsia" w:ascii="宋体" w:eastAsia="宋体" w:cs="宋体"/>
        </w:rPr>
      </w:pPr>
      <w:r>
        <w:rPr>
          <w:rFonts w:hint="eastAsia" w:ascii="宋体" w:eastAsia="宋体" w:cs="宋体"/>
        </w:rPr>
        <w:t>(2)《中华人民共和国国民经济和社会发展第十四个五年规划和 2035 年远景目标纲要》；</w:t>
      </w:r>
    </w:p>
    <w:p w14:paraId="3E983A91">
      <w:pPr>
        <w:ind w:right="-548" w:rightChars="-261"/>
        <w:jc w:val="left"/>
        <w:rPr>
          <w:rFonts w:hint="eastAsia" w:ascii="宋体" w:eastAsia="宋体" w:cs="宋体"/>
        </w:rPr>
      </w:pPr>
      <w:r>
        <w:rPr>
          <w:rFonts w:hint="eastAsia" w:ascii="宋体" w:eastAsia="宋体" w:cs="宋体"/>
        </w:rPr>
        <w:t>(3)《安徽省公安信息化建设“十四五”规划》；</w:t>
      </w:r>
    </w:p>
    <w:p w14:paraId="073F1371">
      <w:pPr>
        <w:ind w:right="-548" w:rightChars="-261"/>
        <w:jc w:val="left"/>
        <w:rPr>
          <w:rFonts w:hint="eastAsia" w:ascii="宋体" w:eastAsia="宋体" w:cs="宋体"/>
        </w:rPr>
      </w:pPr>
      <w:r>
        <w:rPr>
          <w:rFonts w:hint="eastAsia" w:ascii="宋体" w:eastAsia="宋体" w:cs="宋体"/>
        </w:rPr>
        <w:t>(4)《关于深化全省公共场所视频资源监控整合共享工作的指导意见》；</w:t>
      </w:r>
    </w:p>
    <w:p w14:paraId="591A927D">
      <w:pPr>
        <w:ind w:right="-548" w:rightChars="-261"/>
        <w:jc w:val="left"/>
        <w:rPr>
          <w:rFonts w:hint="eastAsia" w:ascii="宋体" w:eastAsia="宋体" w:cs="宋体"/>
        </w:rPr>
      </w:pPr>
      <w:r>
        <w:rPr>
          <w:rFonts w:hint="eastAsia" w:ascii="宋体" w:eastAsia="宋体" w:cs="宋体"/>
        </w:rPr>
        <w:t>(5)《安徽省公共场所视频监控资源整合共享规范化建设指引》；</w:t>
      </w:r>
    </w:p>
    <w:p w14:paraId="2E1BF8BD">
      <w:pPr>
        <w:ind w:right="-548" w:rightChars="-261"/>
        <w:jc w:val="left"/>
        <w:rPr>
          <w:rFonts w:hint="eastAsia" w:ascii="宋体" w:eastAsia="宋体" w:cs="宋体"/>
        </w:rPr>
      </w:pPr>
      <w:r>
        <w:rPr>
          <w:rFonts w:hint="eastAsia" w:ascii="宋体" w:eastAsia="宋体" w:cs="宋体"/>
        </w:rPr>
        <w:t>(6)公安部《关于加强公安视频监控安全管理工作的通知》（公科信传发〔2017〕222号）；</w:t>
      </w:r>
    </w:p>
    <w:p w14:paraId="2C671637">
      <w:pPr>
        <w:ind w:right="-548" w:rightChars="-261"/>
        <w:jc w:val="left"/>
        <w:rPr>
          <w:rFonts w:hint="eastAsia" w:ascii="宋体" w:eastAsia="宋体" w:cs="宋体"/>
        </w:rPr>
      </w:pPr>
      <w:r>
        <w:rPr>
          <w:rFonts w:hint="eastAsia" w:ascii="宋体" w:eastAsia="宋体" w:cs="宋体"/>
        </w:rPr>
        <w:t>(7)《安徽省公共安全视频图像信息系统管理办法》（安徽省人民政府令第270号）；</w:t>
      </w:r>
    </w:p>
    <w:p w14:paraId="38D445AE">
      <w:pPr>
        <w:ind w:right="-548" w:rightChars="-261"/>
        <w:jc w:val="left"/>
        <w:rPr>
          <w:rFonts w:hint="eastAsia" w:ascii="宋体" w:eastAsia="宋体" w:cs="宋体"/>
        </w:rPr>
      </w:pPr>
      <w:r>
        <w:rPr>
          <w:rFonts w:hint="eastAsia" w:ascii="宋体" w:eastAsia="宋体" w:cs="宋体"/>
        </w:rPr>
        <w:t>(8)《滁州市国民经济和社会发展第十四个五年规划和2035年远景目标纲要》；</w:t>
      </w:r>
    </w:p>
    <w:p w14:paraId="46A36FA2">
      <w:pPr>
        <w:ind w:right="-548" w:rightChars="-261"/>
        <w:jc w:val="left"/>
        <w:rPr>
          <w:rFonts w:hint="eastAsia" w:ascii="宋体" w:eastAsia="宋体" w:cs="宋体"/>
        </w:rPr>
      </w:pPr>
      <w:r>
        <w:rPr>
          <w:rFonts w:hint="eastAsia" w:ascii="宋体" w:eastAsia="宋体" w:cs="宋体"/>
        </w:rPr>
        <w:t>(9)《滁州市新型智慧城市总体规划（2019—2025年）》；</w:t>
      </w:r>
    </w:p>
    <w:p w14:paraId="6E6A019D">
      <w:pPr>
        <w:ind w:right="-548" w:rightChars="-261"/>
        <w:jc w:val="left"/>
        <w:rPr>
          <w:rFonts w:hint="eastAsia" w:ascii="宋体" w:eastAsia="宋体" w:cs="宋体"/>
        </w:rPr>
      </w:pPr>
      <w:r>
        <w:rPr>
          <w:rFonts w:hint="eastAsia" w:ascii="宋体" w:eastAsia="宋体" w:cs="宋体"/>
        </w:rPr>
        <w:t>(10)关于申报2025年度市级政务信息化项目计划的通知（滁数资〔2024〕8号）。</w:t>
      </w:r>
    </w:p>
    <w:p w14:paraId="7C80734D">
      <w:pPr>
        <w:pStyle w:val="6"/>
        <w:rPr>
          <w:rFonts w:hint="eastAsia" w:ascii="宋体" w:hAnsi="宋体" w:cs="宋体"/>
        </w:rPr>
      </w:pPr>
      <w:bookmarkStart w:id="62" w:name="_Toc24095"/>
      <w:bookmarkStart w:id="63" w:name="_Toc11961"/>
      <w:bookmarkStart w:id="64" w:name="_Toc22642"/>
      <w:r>
        <w:rPr>
          <w:rFonts w:hint="eastAsia" w:ascii="宋体" w:hAnsi="宋体" w:cs="宋体"/>
        </w:rPr>
        <w:t>相关技术标准</w:t>
      </w:r>
      <w:bookmarkEnd w:id="62"/>
      <w:bookmarkEnd w:id="63"/>
      <w:bookmarkEnd w:id="64"/>
    </w:p>
    <w:p w14:paraId="59739449">
      <w:pPr>
        <w:ind w:right="-548" w:rightChars="-261"/>
        <w:jc w:val="left"/>
        <w:rPr>
          <w:rFonts w:hint="eastAsia" w:ascii="宋体" w:eastAsia="宋体" w:cs="宋体"/>
        </w:rPr>
      </w:pPr>
      <w:r>
        <w:rPr>
          <w:rFonts w:hint="eastAsia" w:ascii="宋体" w:eastAsia="宋体" w:cs="宋体"/>
        </w:rPr>
        <w:t>（1）《公共安全视频监控联网系统信息传输、交换、控制技术要求》（GB/T 28181-2022）；</w:t>
      </w:r>
    </w:p>
    <w:p w14:paraId="02637E29">
      <w:pPr>
        <w:ind w:right="-548" w:rightChars="-261"/>
        <w:jc w:val="left"/>
        <w:rPr>
          <w:rFonts w:hint="eastAsia" w:ascii="宋体" w:eastAsia="宋体" w:cs="宋体"/>
        </w:rPr>
      </w:pPr>
      <w:r>
        <w:rPr>
          <w:rFonts w:hint="eastAsia" w:ascii="宋体" w:eastAsia="宋体" w:cs="宋体"/>
        </w:rPr>
        <w:t>（2）《公共安全视频监控联网信息安全技术要求》（GB35114-2017）；</w:t>
      </w:r>
    </w:p>
    <w:p w14:paraId="2B8A270D">
      <w:pPr>
        <w:ind w:right="-548" w:rightChars="-261"/>
        <w:jc w:val="left"/>
        <w:rPr>
          <w:rFonts w:hint="eastAsia" w:ascii="宋体" w:eastAsia="宋体" w:cs="宋体"/>
          <w:color w:val="auto"/>
          <w:highlight w:val="none"/>
        </w:rPr>
      </w:pPr>
      <w:r>
        <w:rPr>
          <w:rFonts w:hint="eastAsia" w:ascii="宋体" w:eastAsia="宋体" w:cs="宋体"/>
          <w:color w:val="auto"/>
          <w:highlight w:val="none"/>
        </w:rPr>
        <w:t>（3）《公安视频图像信息系统安全技术要求》（GA/1788-2021）；</w:t>
      </w:r>
    </w:p>
    <w:p w14:paraId="3C63CCE1">
      <w:pPr>
        <w:ind w:right="-548" w:rightChars="-261"/>
        <w:jc w:val="left"/>
        <w:rPr>
          <w:rFonts w:hint="eastAsia" w:ascii="宋体" w:eastAsia="宋体" w:cs="宋体"/>
          <w:color w:val="auto"/>
          <w:highlight w:val="none"/>
        </w:rPr>
      </w:pPr>
      <w:r>
        <w:rPr>
          <w:rFonts w:hint="eastAsia" w:ascii="宋体" w:eastAsia="宋体" w:cs="宋体"/>
          <w:color w:val="auto"/>
          <w:highlight w:val="none"/>
        </w:rPr>
        <w:t>（4）《公安视频图像分析系统技术要求》（GA/T1399-2017）；</w:t>
      </w:r>
    </w:p>
    <w:p w14:paraId="2432B995">
      <w:pPr>
        <w:ind w:right="-548" w:rightChars="-261"/>
        <w:jc w:val="left"/>
        <w:rPr>
          <w:rFonts w:hint="eastAsia" w:ascii="宋体" w:eastAsia="宋体" w:cs="宋体"/>
          <w:color w:val="auto"/>
          <w:highlight w:val="none"/>
        </w:rPr>
      </w:pPr>
      <w:r>
        <w:rPr>
          <w:rFonts w:hint="eastAsia" w:ascii="宋体" w:eastAsia="宋体" w:cs="宋体"/>
          <w:color w:val="auto"/>
          <w:highlight w:val="none"/>
        </w:rPr>
        <w:t>（5）《公安视频图像信息应用系统技术要求</w:t>
      </w:r>
      <w:bookmarkStart w:id="656" w:name="_GoBack"/>
      <w:bookmarkEnd w:id="656"/>
      <w:r>
        <w:rPr>
          <w:rFonts w:hint="eastAsia" w:ascii="宋体" w:eastAsia="宋体" w:cs="宋体"/>
          <w:color w:val="auto"/>
          <w:highlight w:val="none"/>
        </w:rPr>
        <w:t>》（GA/T1400-2017）；</w:t>
      </w:r>
    </w:p>
    <w:p w14:paraId="07F2AFD1">
      <w:pPr>
        <w:ind w:right="-548" w:rightChars="-261"/>
        <w:jc w:val="left"/>
        <w:rPr>
          <w:rFonts w:hint="eastAsia" w:ascii="宋体" w:eastAsia="宋体" w:cs="宋体"/>
          <w:color w:val="auto"/>
          <w:highlight w:val="none"/>
        </w:rPr>
      </w:pPr>
      <w:r>
        <w:rPr>
          <w:rFonts w:hint="eastAsia" w:ascii="宋体" w:eastAsia="宋体" w:cs="宋体"/>
          <w:color w:val="auto"/>
          <w:highlight w:val="none"/>
        </w:rPr>
        <w:t>（6）《社会治安综合治理中心建设与管理规范》（GB/T33200-2016）；</w:t>
      </w:r>
    </w:p>
    <w:p w14:paraId="403562FE">
      <w:pPr>
        <w:ind w:right="-548" w:rightChars="-261"/>
        <w:jc w:val="left"/>
        <w:rPr>
          <w:rFonts w:hint="eastAsia" w:ascii="宋体" w:eastAsia="宋体" w:cs="宋体"/>
          <w:color w:val="auto"/>
          <w:highlight w:val="none"/>
        </w:rPr>
      </w:pPr>
      <w:r>
        <w:rPr>
          <w:rFonts w:hint="eastAsia" w:ascii="宋体" w:eastAsia="宋体" w:cs="宋体"/>
          <w:color w:val="auto"/>
          <w:highlight w:val="none"/>
        </w:rPr>
        <w:t>（7）《社会治安综合治理基础数据规范》（GB/T31000-2015）；</w:t>
      </w:r>
    </w:p>
    <w:p w14:paraId="132DA239">
      <w:pPr>
        <w:ind w:right="-548" w:rightChars="-261"/>
        <w:jc w:val="left"/>
        <w:rPr>
          <w:rFonts w:hint="eastAsia" w:ascii="宋体" w:eastAsia="宋体" w:cs="宋体"/>
          <w:color w:val="auto"/>
          <w:highlight w:val="none"/>
        </w:rPr>
      </w:pPr>
      <w:r>
        <w:rPr>
          <w:rFonts w:hint="eastAsia" w:ascii="宋体" w:eastAsia="宋体" w:cs="宋体"/>
          <w:color w:val="auto"/>
          <w:highlight w:val="none"/>
        </w:rPr>
        <w:t>（8）《城乡社区网格化服务管理规范》（GB/T34300-2017）</w:t>
      </w:r>
    </w:p>
    <w:p w14:paraId="614BF8C5">
      <w:pPr>
        <w:ind w:right="-548" w:rightChars="-261"/>
        <w:jc w:val="left"/>
        <w:rPr>
          <w:rFonts w:hint="eastAsia" w:ascii="宋体" w:eastAsia="宋体" w:cs="宋体"/>
          <w:color w:val="auto"/>
          <w:highlight w:val="none"/>
        </w:rPr>
      </w:pPr>
      <w:r>
        <w:rPr>
          <w:rFonts w:hint="eastAsia" w:ascii="宋体" w:eastAsia="宋体" w:cs="宋体"/>
          <w:color w:val="auto"/>
          <w:highlight w:val="none"/>
        </w:rPr>
        <w:t>（9）《视频安防监控系统技术要求》（GA/T367-2001）；</w:t>
      </w:r>
    </w:p>
    <w:p w14:paraId="00894448">
      <w:pPr>
        <w:ind w:right="-548" w:rightChars="-261"/>
        <w:jc w:val="left"/>
        <w:rPr>
          <w:rFonts w:hint="eastAsia" w:ascii="宋体" w:eastAsia="宋体" w:cs="宋体"/>
          <w:color w:val="auto"/>
          <w:highlight w:val="none"/>
        </w:rPr>
      </w:pPr>
      <w:r>
        <w:rPr>
          <w:rFonts w:hint="eastAsia" w:ascii="宋体" w:eastAsia="宋体" w:cs="宋体"/>
          <w:color w:val="auto"/>
          <w:highlight w:val="none"/>
        </w:rPr>
        <w:t>（10）《视频图像文字标注规范》（GA/T751-2008）；</w:t>
      </w:r>
    </w:p>
    <w:p w14:paraId="6708E675">
      <w:pPr>
        <w:ind w:right="-548" w:rightChars="-261"/>
        <w:jc w:val="left"/>
        <w:rPr>
          <w:rFonts w:hint="eastAsia" w:ascii="宋体" w:eastAsia="宋体" w:cs="宋体"/>
          <w:color w:val="auto"/>
          <w:highlight w:val="none"/>
        </w:rPr>
      </w:pPr>
      <w:r>
        <w:rPr>
          <w:rFonts w:hint="eastAsia" w:ascii="宋体" w:eastAsia="宋体" w:cs="宋体"/>
          <w:color w:val="auto"/>
          <w:highlight w:val="none"/>
        </w:rPr>
        <w:t>（11）《城市监控报警联网系统技术标准》（GA/T669</w:t>
      </w:r>
      <w:r>
        <w:rPr>
          <w:rFonts w:hint="eastAsia" w:ascii="宋体" w:eastAsia="宋体" w:cs="宋体"/>
          <w:color w:val="auto"/>
          <w:highlight w:val="none"/>
          <w:lang w:val="en-US" w:eastAsia="zh-CN"/>
        </w:rPr>
        <w:t>.1</w:t>
      </w:r>
      <w:r>
        <w:rPr>
          <w:rFonts w:hint="eastAsia" w:ascii="宋体" w:eastAsia="宋体" w:cs="宋体"/>
          <w:color w:val="auto"/>
          <w:highlight w:val="none"/>
        </w:rPr>
        <w:t>-2008）；</w:t>
      </w:r>
    </w:p>
    <w:p w14:paraId="502499F1">
      <w:pPr>
        <w:ind w:right="-548" w:rightChars="-261"/>
        <w:jc w:val="left"/>
        <w:rPr>
          <w:rFonts w:hint="eastAsia" w:ascii="宋体" w:eastAsia="宋体" w:cs="宋体"/>
          <w:color w:val="auto"/>
          <w:highlight w:val="none"/>
        </w:rPr>
      </w:pPr>
      <w:r>
        <w:rPr>
          <w:rFonts w:hint="eastAsia" w:ascii="宋体" w:eastAsia="宋体" w:cs="宋体"/>
          <w:color w:val="auto"/>
          <w:highlight w:val="none"/>
        </w:rPr>
        <w:t>（12）《城市监控报警联网系统管理标准》（GA/T792-2008）；</w:t>
      </w:r>
    </w:p>
    <w:p w14:paraId="36CB90AF">
      <w:pPr>
        <w:ind w:right="-548" w:rightChars="-261"/>
        <w:jc w:val="left"/>
        <w:rPr>
          <w:rFonts w:hint="eastAsia" w:ascii="宋体" w:eastAsia="宋体" w:cs="宋体"/>
        </w:rPr>
      </w:pPr>
      <w:r>
        <w:rPr>
          <w:rFonts w:hint="eastAsia" w:ascii="宋体" w:eastAsia="宋体" w:cs="宋体"/>
        </w:rPr>
        <w:t>（13）《安全防范视频监控人脸识别系统技术要求》（GB/T31488-2015）；</w:t>
      </w:r>
    </w:p>
    <w:p w14:paraId="48D699A6">
      <w:pPr>
        <w:ind w:right="-548" w:rightChars="-261"/>
        <w:jc w:val="left"/>
        <w:rPr>
          <w:rFonts w:hint="eastAsia" w:ascii="宋体" w:eastAsia="宋体" w:cs="宋体"/>
        </w:rPr>
      </w:pPr>
      <w:r>
        <w:rPr>
          <w:rFonts w:hint="eastAsia" w:ascii="宋体" w:eastAsia="宋体" w:cs="宋体"/>
        </w:rPr>
        <w:t>（14）《安全防范工程技术标准》（GB50348-2018）；</w:t>
      </w:r>
    </w:p>
    <w:p w14:paraId="6D893AD6">
      <w:pPr>
        <w:ind w:right="-548" w:rightChars="-261"/>
        <w:jc w:val="left"/>
        <w:rPr>
          <w:rFonts w:hint="eastAsia" w:ascii="宋体" w:eastAsia="宋体" w:cs="宋体"/>
        </w:rPr>
      </w:pPr>
      <w:r>
        <w:rPr>
          <w:rFonts w:hint="eastAsia" w:ascii="宋体" w:eastAsia="宋体" w:cs="宋体"/>
        </w:rPr>
        <w:t>（15）《安全防范工程通用规范》（GB55029-2022）；</w:t>
      </w:r>
    </w:p>
    <w:p w14:paraId="04D8D6B3">
      <w:pPr>
        <w:ind w:right="-548" w:rightChars="-261"/>
        <w:jc w:val="left"/>
        <w:rPr>
          <w:rFonts w:hint="eastAsia" w:ascii="宋体" w:eastAsia="宋体" w:cs="宋体"/>
        </w:rPr>
      </w:pPr>
      <w:r>
        <w:rPr>
          <w:rFonts w:hint="eastAsia" w:ascii="宋体" w:eastAsia="宋体" w:cs="宋体"/>
        </w:rPr>
        <w:t>（16）《信息安全技术网络安全等级保护基本要求》（GB/T22239-2019）；</w:t>
      </w:r>
    </w:p>
    <w:p w14:paraId="73EF9A30">
      <w:pPr>
        <w:ind w:right="-548" w:rightChars="-261"/>
        <w:jc w:val="left"/>
        <w:rPr>
          <w:rFonts w:hint="eastAsia" w:ascii="宋体" w:eastAsia="宋体" w:cs="宋体"/>
        </w:rPr>
      </w:pPr>
      <w:r>
        <w:rPr>
          <w:rFonts w:hint="eastAsia" w:ascii="宋体" w:eastAsia="宋体" w:cs="宋体"/>
        </w:rPr>
        <w:t>（17）《信息安全技术网络安全等级保护定级指南》（GB/T22240-2020）；</w:t>
      </w:r>
    </w:p>
    <w:p w14:paraId="4A2A4EBE">
      <w:pPr>
        <w:ind w:right="-548" w:rightChars="-261"/>
        <w:jc w:val="left"/>
        <w:rPr>
          <w:rFonts w:hint="eastAsia" w:ascii="宋体" w:eastAsia="宋体" w:cs="宋体"/>
        </w:rPr>
      </w:pPr>
      <w:r>
        <w:rPr>
          <w:rFonts w:hint="eastAsia" w:ascii="宋体" w:eastAsia="宋体" w:cs="宋体"/>
        </w:rPr>
        <w:t>（18）《信息安全技术网络基础安全技术要求》（GB/T20270-2006）；</w:t>
      </w:r>
    </w:p>
    <w:p w14:paraId="13F4F1DF">
      <w:pPr>
        <w:ind w:right="-548" w:rightChars="-261"/>
        <w:jc w:val="left"/>
        <w:rPr>
          <w:rFonts w:hint="eastAsia" w:ascii="宋体" w:eastAsia="宋体" w:cs="宋体"/>
        </w:rPr>
      </w:pPr>
      <w:r>
        <w:rPr>
          <w:rFonts w:hint="eastAsia" w:ascii="宋体" w:eastAsia="宋体" w:cs="宋体"/>
        </w:rPr>
        <w:t>（19）《信息安全技术信息系统通用安全技术要求》（GB/T20271-2006）；</w:t>
      </w:r>
    </w:p>
    <w:p w14:paraId="28B3F664">
      <w:pPr>
        <w:ind w:right="-548" w:rightChars="-261"/>
        <w:jc w:val="left"/>
        <w:rPr>
          <w:rFonts w:hint="eastAsia" w:ascii="宋体" w:eastAsia="宋体" w:cs="宋体"/>
        </w:rPr>
      </w:pPr>
      <w:r>
        <w:rPr>
          <w:rFonts w:hint="eastAsia" w:ascii="宋体" w:eastAsia="宋体" w:cs="宋体"/>
        </w:rPr>
        <w:t>（20）《信息安全技术操作系统安全技术要求》（GB/T20272-2019）；</w:t>
      </w:r>
    </w:p>
    <w:p w14:paraId="56E399B9">
      <w:pPr>
        <w:ind w:right="-548" w:rightChars="-261"/>
        <w:jc w:val="left"/>
        <w:rPr>
          <w:rFonts w:hint="eastAsia" w:ascii="宋体" w:eastAsia="宋体" w:cs="宋体"/>
        </w:rPr>
      </w:pPr>
      <w:r>
        <w:rPr>
          <w:rFonts w:hint="eastAsia" w:ascii="宋体" w:eastAsia="宋体" w:cs="宋体"/>
        </w:rPr>
        <w:t>（21）《信息安全技术数据库管理系统通用安全技术要求》（GB/T20273-2019）；</w:t>
      </w:r>
    </w:p>
    <w:p w14:paraId="37830CE0">
      <w:pPr>
        <w:ind w:right="-548" w:rightChars="-261"/>
        <w:jc w:val="left"/>
        <w:rPr>
          <w:rFonts w:hint="eastAsia" w:ascii="宋体" w:eastAsia="宋体" w:cs="宋体"/>
        </w:rPr>
      </w:pPr>
      <w:r>
        <w:rPr>
          <w:rFonts w:hint="eastAsia" w:ascii="宋体" w:eastAsia="宋体" w:cs="宋体"/>
        </w:rPr>
        <w:t>（22）《信息安全技术网络安全等级保护安全设计技术要求》（GB/T25070-2019）；</w:t>
      </w:r>
    </w:p>
    <w:p w14:paraId="550DD0BA">
      <w:pPr>
        <w:ind w:right="-548" w:rightChars="-261"/>
        <w:jc w:val="left"/>
        <w:rPr>
          <w:rFonts w:hint="eastAsia" w:ascii="宋体" w:eastAsia="宋体" w:cs="宋体"/>
        </w:rPr>
      </w:pPr>
      <w:r>
        <w:rPr>
          <w:rFonts w:hint="eastAsia" w:ascii="宋体" w:eastAsia="宋体" w:cs="宋体"/>
        </w:rPr>
        <w:t>（23）《视频安防监控系统工程设计规范》（GB50395-2007）；</w:t>
      </w:r>
    </w:p>
    <w:p w14:paraId="3FAF07DF">
      <w:pPr>
        <w:ind w:right="-548" w:rightChars="-261"/>
        <w:jc w:val="left"/>
        <w:rPr>
          <w:rFonts w:hint="eastAsia" w:ascii="宋体" w:eastAsia="宋体" w:cs="宋体"/>
        </w:rPr>
      </w:pPr>
      <w:r>
        <w:rPr>
          <w:rFonts w:hint="eastAsia" w:ascii="宋体" w:eastAsia="宋体" w:cs="宋体"/>
        </w:rPr>
        <w:t>（24）《公共安全重点区域视频图像信息采集规范》（GB37300-2018）；</w:t>
      </w:r>
    </w:p>
    <w:p w14:paraId="01D073EA">
      <w:pPr>
        <w:ind w:right="-548" w:rightChars="-261"/>
        <w:jc w:val="left"/>
        <w:rPr>
          <w:rFonts w:hint="eastAsia" w:ascii="宋体" w:eastAsia="宋体" w:cs="宋体"/>
        </w:rPr>
      </w:pPr>
      <w:r>
        <w:rPr>
          <w:rFonts w:hint="eastAsia" w:ascii="宋体" w:eastAsia="宋体" w:cs="宋体"/>
        </w:rPr>
        <w:t>（25）《综合布线系统工程设计规范》（GB50311-2016）；</w:t>
      </w:r>
    </w:p>
    <w:p w14:paraId="060FB8A8">
      <w:pPr>
        <w:ind w:right="-548" w:rightChars="-261"/>
        <w:jc w:val="left"/>
        <w:rPr>
          <w:rFonts w:hint="eastAsia" w:ascii="宋体" w:eastAsia="宋体" w:cs="宋体"/>
        </w:rPr>
      </w:pPr>
      <w:r>
        <w:rPr>
          <w:rFonts w:hint="eastAsia" w:ascii="宋体" w:eastAsia="宋体" w:cs="宋体"/>
        </w:rPr>
        <w:t>（26）《低压配电设计规范》（GB50054-2011）；</w:t>
      </w:r>
    </w:p>
    <w:p w14:paraId="6232F43A">
      <w:pPr>
        <w:ind w:right="-548" w:rightChars="-261"/>
        <w:jc w:val="left"/>
        <w:rPr>
          <w:rFonts w:hint="eastAsia" w:ascii="宋体" w:eastAsia="宋体" w:cs="宋体"/>
        </w:rPr>
      </w:pPr>
      <w:r>
        <w:rPr>
          <w:rFonts w:hint="eastAsia" w:ascii="宋体" w:eastAsia="宋体" w:cs="宋体"/>
        </w:rPr>
        <w:t>（27）《数据中心设计规范》（GB50174-2017）；</w:t>
      </w:r>
    </w:p>
    <w:p w14:paraId="71621674">
      <w:pPr>
        <w:ind w:right="-548" w:rightChars="-261"/>
        <w:jc w:val="left"/>
        <w:rPr>
          <w:rFonts w:hint="eastAsia" w:ascii="宋体" w:eastAsia="宋体" w:cs="宋体"/>
        </w:rPr>
      </w:pPr>
      <w:r>
        <w:rPr>
          <w:rFonts w:hint="eastAsia" w:ascii="宋体" w:eastAsia="宋体" w:cs="宋体"/>
        </w:rPr>
        <w:t>（28）《智能建筑设计标准》（GB50314-2015）；</w:t>
      </w:r>
    </w:p>
    <w:p w14:paraId="75E506FC">
      <w:pPr>
        <w:ind w:right="-548" w:rightChars="-261"/>
        <w:jc w:val="left"/>
        <w:rPr>
          <w:rFonts w:hint="eastAsia" w:ascii="宋体" w:eastAsia="宋体" w:cs="宋体"/>
        </w:rPr>
      </w:pPr>
      <w:r>
        <w:rPr>
          <w:rFonts w:hint="eastAsia" w:ascii="宋体" w:eastAsia="宋体" w:cs="宋体"/>
        </w:rPr>
        <w:t>（29）《建筑物防雷设计规范》（GB50057-2010）；</w:t>
      </w:r>
    </w:p>
    <w:p w14:paraId="62B1181F">
      <w:pPr>
        <w:ind w:right="-548" w:rightChars="-261"/>
        <w:jc w:val="left"/>
        <w:rPr>
          <w:rFonts w:hint="eastAsia" w:ascii="宋体" w:eastAsia="宋体" w:cs="宋体"/>
        </w:rPr>
      </w:pPr>
      <w:r>
        <w:rPr>
          <w:rFonts w:hint="eastAsia" w:ascii="宋体" w:eastAsia="宋体" w:cs="宋体"/>
        </w:rPr>
        <w:t>（30）《建筑物电子信息系统防雷技术规范》（GB50343-2012）；</w:t>
      </w:r>
    </w:p>
    <w:p w14:paraId="71D801A3">
      <w:pPr>
        <w:ind w:right="-548" w:rightChars="-261"/>
        <w:jc w:val="left"/>
        <w:rPr>
          <w:rFonts w:hint="eastAsia" w:ascii="宋体" w:eastAsia="宋体" w:cs="宋体"/>
        </w:rPr>
      </w:pPr>
      <w:r>
        <w:rPr>
          <w:rFonts w:hint="eastAsia" w:ascii="宋体" w:eastAsia="宋体" w:cs="宋体"/>
        </w:rPr>
        <w:t>（31）《通信局（站）防雷与接地工程设计规范》（GB50689-2011）；</w:t>
      </w:r>
    </w:p>
    <w:p w14:paraId="32320AD8">
      <w:pPr>
        <w:ind w:right="-548" w:rightChars="-261"/>
        <w:jc w:val="left"/>
        <w:rPr>
          <w:rFonts w:hint="eastAsia" w:ascii="宋体" w:eastAsia="宋体" w:cs="宋体"/>
        </w:rPr>
      </w:pPr>
      <w:r>
        <w:rPr>
          <w:rFonts w:hint="eastAsia" w:ascii="宋体" w:eastAsia="宋体" w:cs="宋体"/>
        </w:rPr>
        <w:t>（32）《通信用不间断电源（UPS）》（YD/T1095-2018）；</w:t>
      </w:r>
    </w:p>
    <w:p w14:paraId="43345D81">
      <w:pPr>
        <w:ind w:right="-548" w:rightChars="-261"/>
        <w:jc w:val="left"/>
        <w:rPr>
          <w:rFonts w:hint="eastAsia" w:ascii="宋体" w:eastAsia="宋体" w:cs="宋体"/>
        </w:rPr>
      </w:pPr>
      <w:r>
        <w:rPr>
          <w:rFonts w:hint="eastAsia" w:ascii="宋体" w:eastAsia="宋体" w:cs="宋体"/>
        </w:rPr>
        <w:t>（33）《建筑设计防火规范》（GB50016-2014）；</w:t>
      </w:r>
    </w:p>
    <w:p w14:paraId="101E9945">
      <w:pPr>
        <w:ind w:right="-760" w:rightChars="-362"/>
        <w:jc w:val="left"/>
        <w:rPr>
          <w:rFonts w:hint="eastAsia" w:ascii="宋体" w:eastAsia="宋体" w:cs="宋体"/>
        </w:rPr>
      </w:pPr>
      <w:r>
        <w:rPr>
          <w:rFonts w:hint="eastAsia" w:ascii="宋体" w:eastAsia="宋体" w:cs="宋体"/>
        </w:rPr>
        <w:t>（34）《安全防范工程建设与维护保养费用预算编制办法》（GA/T70-2014）；</w:t>
      </w:r>
    </w:p>
    <w:p w14:paraId="2AA5FE55">
      <w:pPr>
        <w:ind w:right="-548" w:rightChars="-261"/>
        <w:jc w:val="left"/>
        <w:rPr>
          <w:rFonts w:hint="eastAsia" w:ascii="宋体" w:eastAsia="宋体" w:cs="宋体"/>
        </w:rPr>
      </w:pPr>
      <w:r>
        <w:rPr>
          <w:rFonts w:hint="eastAsia" w:ascii="宋体" w:eastAsia="宋体" w:cs="宋体"/>
        </w:rPr>
        <w:t>（35）《电气装置安装工程电缆线路施工及验收规范》（GB50168-2018）。</w:t>
      </w:r>
    </w:p>
    <w:p w14:paraId="349B4261">
      <w:pPr>
        <w:ind w:right="-548" w:rightChars="-261"/>
        <w:jc w:val="left"/>
        <w:rPr>
          <w:rFonts w:hint="eastAsia" w:ascii="宋体" w:eastAsia="宋体" w:cs="宋体"/>
        </w:rPr>
      </w:pPr>
      <w:r>
        <w:rPr>
          <w:rFonts w:hint="eastAsia" w:ascii="宋体" w:eastAsia="宋体" w:cs="宋体"/>
        </w:rPr>
        <w:t>（36）《机动车号牌图像自动识别技术规范》（GA/T833-2016）。</w:t>
      </w:r>
    </w:p>
    <w:p w14:paraId="2EEA2B51">
      <w:pPr>
        <w:pStyle w:val="6"/>
        <w:rPr>
          <w:rFonts w:hint="eastAsia" w:ascii="宋体" w:hAnsi="宋体" w:cs="宋体"/>
        </w:rPr>
      </w:pPr>
      <w:bookmarkStart w:id="65" w:name="_Toc469"/>
      <w:bookmarkStart w:id="66" w:name="_Toc19979"/>
      <w:bookmarkStart w:id="67" w:name="_Toc11679"/>
      <w:r>
        <w:rPr>
          <w:rFonts w:hint="eastAsia" w:ascii="宋体" w:hAnsi="宋体" w:cs="宋体"/>
        </w:rPr>
        <w:t>相关规范性文件</w:t>
      </w:r>
      <w:bookmarkEnd w:id="65"/>
      <w:bookmarkEnd w:id="66"/>
      <w:bookmarkEnd w:id="67"/>
    </w:p>
    <w:p w14:paraId="40C170BE">
      <w:pPr>
        <w:ind w:right="-548" w:rightChars="-261"/>
        <w:rPr>
          <w:rFonts w:hint="eastAsia" w:ascii="宋体" w:eastAsia="宋体" w:cs="宋体"/>
        </w:rPr>
      </w:pPr>
      <w:r>
        <w:rPr>
          <w:rFonts w:hint="eastAsia" w:ascii="宋体" w:eastAsia="宋体" w:cs="宋体"/>
        </w:rPr>
        <w:t>(1)《全国公安机关图像信息联网总体技术方案》；</w:t>
      </w:r>
    </w:p>
    <w:p w14:paraId="2CF87307">
      <w:pPr>
        <w:ind w:right="-548" w:rightChars="-261"/>
        <w:rPr>
          <w:rFonts w:hint="eastAsia" w:ascii="宋体" w:eastAsia="宋体" w:cs="宋体"/>
        </w:rPr>
      </w:pPr>
      <w:r>
        <w:rPr>
          <w:rFonts w:hint="eastAsia" w:ascii="宋体" w:eastAsia="宋体" w:cs="宋体"/>
        </w:rPr>
        <w:t>(2)《全国公安视频监控摄像机基础信息采集建档工作方案》；</w:t>
      </w:r>
    </w:p>
    <w:p w14:paraId="6B5B71D8">
      <w:pPr>
        <w:ind w:right="-548" w:rightChars="-261"/>
        <w:rPr>
          <w:rFonts w:hint="eastAsia" w:ascii="宋体" w:eastAsia="宋体" w:cs="宋体"/>
        </w:rPr>
      </w:pPr>
      <w:r>
        <w:rPr>
          <w:rFonts w:hint="eastAsia" w:ascii="宋体" w:eastAsia="宋体" w:cs="宋体"/>
        </w:rPr>
        <w:t>(3)《全国公安视频图像信息数据库建设联网总体技术方案》；</w:t>
      </w:r>
    </w:p>
    <w:p w14:paraId="2669E770">
      <w:pPr>
        <w:ind w:right="-548" w:rightChars="-261"/>
        <w:rPr>
          <w:rFonts w:hint="eastAsia" w:ascii="宋体" w:eastAsia="宋体" w:cs="宋体"/>
        </w:rPr>
      </w:pPr>
      <w:r>
        <w:rPr>
          <w:rFonts w:hint="eastAsia" w:ascii="宋体" w:eastAsia="宋体" w:cs="宋体"/>
        </w:rPr>
        <w:t>(4)《安徽省公安视频图像信息系统建设技术方案》；</w:t>
      </w:r>
    </w:p>
    <w:p w14:paraId="7E462903">
      <w:pPr>
        <w:ind w:right="-548" w:rightChars="-261"/>
        <w:rPr>
          <w:rFonts w:hint="eastAsia" w:ascii="宋体" w:eastAsia="宋体" w:cs="宋体"/>
        </w:rPr>
      </w:pPr>
      <w:r>
        <w:rPr>
          <w:rFonts w:hint="eastAsia" w:ascii="宋体" w:eastAsia="宋体" w:cs="宋体"/>
        </w:rPr>
        <w:t>(5)《安徽省公安机关视频图像信息整合与共享工作方案》；</w:t>
      </w:r>
    </w:p>
    <w:p w14:paraId="37732F19">
      <w:pPr>
        <w:ind w:right="-548" w:rightChars="-261"/>
        <w:rPr>
          <w:rFonts w:hint="eastAsia" w:ascii="宋体" w:eastAsia="宋体" w:cs="宋体"/>
        </w:rPr>
      </w:pPr>
      <w:r>
        <w:rPr>
          <w:rFonts w:hint="eastAsia" w:ascii="宋体" w:eastAsia="宋体" w:cs="宋体"/>
        </w:rPr>
        <w:t>(6)《安徽省公安机关视图像联网整合技术方案》；</w:t>
      </w:r>
    </w:p>
    <w:p w14:paraId="6732E4C4">
      <w:pPr>
        <w:ind w:right="-548" w:rightChars="-261"/>
        <w:rPr>
          <w:rFonts w:hint="eastAsia" w:ascii="宋体" w:eastAsia="宋体" w:cs="宋体"/>
        </w:rPr>
      </w:pPr>
      <w:r>
        <w:rPr>
          <w:rFonts w:hint="eastAsia" w:ascii="宋体" w:eastAsia="宋体" w:cs="宋体"/>
        </w:rPr>
        <w:t>(7)《全省公安视频图像信息智能化应用体系建设指导意见（试行）》；</w:t>
      </w:r>
    </w:p>
    <w:p w14:paraId="6F371BF4">
      <w:pPr>
        <w:ind w:right="-548" w:rightChars="-261"/>
        <w:rPr>
          <w:rFonts w:hint="eastAsia" w:ascii="宋体" w:eastAsia="宋体" w:cs="宋体"/>
        </w:rPr>
      </w:pPr>
      <w:r>
        <w:rPr>
          <w:rFonts w:hint="eastAsia" w:ascii="宋体" w:eastAsia="宋体" w:cs="宋体"/>
        </w:rPr>
        <w:t>(8)《安徽省公共场所视频资源整合接入编码及标注规范》。</w:t>
      </w:r>
    </w:p>
    <w:p w14:paraId="7FD56617">
      <w:pPr>
        <w:rPr>
          <w:rFonts w:hint="eastAsia" w:ascii="宋体" w:eastAsia="宋体" w:cs="宋体"/>
        </w:rPr>
      </w:pPr>
      <w:r>
        <w:rPr>
          <w:rFonts w:hint="eastAsia" w:ascii="宋体" w:eastAsia="宋体" w:cs="宋体"/>
        </w:rPr>
        <w:t>本次服务遵循包括不限于以上政策性指导文件、相关技术标准、规范性文件。</w:t>
      </w:r>
    </w:p>
    <w:p w14:paraId="7EC3DCAC">
      <w:pPr>
        <w:rPr>
          <w:rFonts w:hint="eastAsia" w:ascii="仿宋_GB2312" w:eastAsia="仿宋_GB2312" w:cs="仿宋_GB2312"/>
          <w:i/>
          <w:color w:val="0D0D0D"/>
          <w:sz w:val="32"/>
          <w:szCs w:val="32"/>
        </w:rPr>
      </w:pPr>
    </w:p>
    <w:p w14:paraId="6CEE2C46">
      <w:pPr>
        <w:pStyle w:val="3"/>
        <w:keepNext/>
        <w:keepLines/>
        <w:pageBreakBefore w:val="0"/>
        <w:widowControl w:val="0"/>
        <w:rPr>
          <w:rFonts w:ascii="Times New Roman" w:hAnsi="Times New Roman"/>
          <w:color w:val="000000"/>
        </w:rPr>
      </w:pPr>
      <w:bookmarkStart w:id="68" w:name="_Toc23338"/>
      <w:bookmarkStart w:id="69" w:name="_Toc14684"/>
      <w:bookmarkStart w:id="70" w:name="_Toc26412"/>
      <w:bookmarkStart w:id="71" w:name="_Toc138615909"/>
      <w:bookmarkStart w:id="72" w:name="_Toc6670"/>
      <w:bookmarkStart w:id="73" w:name="_Toc1008"/>
      <w:bookmarkStart w:id="74" w:name="_Toc30482"/>
      <w:bookmarkStart w:id="75" w:name="_Toc21689"/>
      <w:r>
        <w:rPr>
          <w:rFonts w:hint="eastAsia" w:ascii="Times New Roman" w:hAnsi="Times New Roman"/>
          <w:color w:val="000000"/>
        </w:rPr>
        <w:t>项目建设必要性</w:t>
      </w:r>
      <w:bookmarkEnd w:id="68"/>
      <w:bookmarkEnd w:id="69"/>
      <w:bookmarkEnd w:id="70"/>
      <w:bookmarkEnd w:id="71"/>
      <w:bookmarkEnd w:id="72"/>
      <w:bookmarkEnd w:id="73"/>
      <w:bookmarkEnd w:id="74"/>
      <w:bookmarkEnd w:id="75"/>
    </w:p>
    <w:p w14:paraId="53E0ABC7">
      <w:pPr>
        <w:pStyle w:val="4"/>
        <w:rPr>
          <w:color w:val="000000"/>
        </w:rPr>
      </w:pPr>
      <w:bookmarkStart w:id="76" w:name="_Toc138615910"/>
      <w:bookmarkStart w:id="77" w:name="_Toc31123"/>
      <w:bookmarkStart w:id="78" w:name="_Toc14928"/>
      <w:bookmarkStart w:id="79" w:name="_Toc18119"/>
      <w:bookmarkStart w:id="80" w:name="_Toc18080"/>
      <w:bookmarkStart w:id="81" w:name="_Toc7918"/>
      <w:bookmarkStart w:id="82" w:name="_Toc8683"/>
      <w:bookmarkStart w:id="83" w:name="_Toc14454"/>
      <w:r>
        <w:rPr>
          <w:color w:val="000000"/>
        </w:rPr>
        <w:t>项目建设背景</w:t>
      </w:r>
      <w:bookmarkEnd w:id="76"/>
      <w:bookmarkEnd w:id="77"/>
      <w:bookmarkEnd w:id="78"/>
      <w:bookmarkEnd w:id="79"/>
      <w:bookmarkEnd w:id="80"/>
      <w:bookmarkEnd w:id="81"/>
      <w:bookmarkEnd w:id="82"/>
      <w:bookmarkEnd w:id="83"/>
    </w:p>
    <w:p w14:paraId="26669DA0">
      <w:pPr>
        <w:rPr>
          <w:rFonts w:hint="eastAsia" w:ascii="宋体" w:eastAsia="宋体" w:cs="宋体"/>
        </w:rPr>
      </w:pPr>
      <w:r>
        <w:rPr>
          <w:rFonts w:hint="eastAsia" w:ascii="宋体" w:eastAsia="宋体" w:cs="宋体"/>
        </w:rPr>
        <w:t>滁州市公安局相继完成滁州市公安局平安城市一期服务项目、滁州市社会治安视频监控系统二期服务项目、滁州市社会治安防控体系项目、滁州市“雪亮工程”PPP项目等多期公共安全视频监控项目建设，为滁州公安在全市综治维稳、治安管理、重点管控、案件侦破等方面提供了极大助力，为滁州经济发展、民众生活安定奠定了坚实基础。</w:t>
      </w:r>
    </w:p>
    <w:p w14:paraId="3B19ECD8">
      <w:pPr>
        <w:rPr>
          <w:rFonts w:hint="eastAsia" w:ascii="宋体" w:eastAsia="宋体" w:cs="宋体"/>
        </w:rPr>
      </w:pPr>
      <w:r>
        <w:rPr>
          <w:rFonts w:hint="eastAsia" w:ascii="宋体" w:eastAsia="宋体" w:cs="宋体"/>
        </w:rPr>
        <w:t>滁州市社会治安视频监控系统一期服务项目自2011年建设并投入使用，并于2021年在进行购买三年服务合同，于2024年7月到期；二期服务项目自2013年建成并投入使用，至今已运行10年，目前已到期，由于建设早、时间长且智能化功能较少，已不能完全满足公安对视频监控智能化应用需求。</w:t>
      </w:r>
    </w:p>
    <w:p w14:paraId="63605751">
      <w:pPr>
        <w:pStyle w:val="4"/>
        <w:rPr>
          <w:color w:val="000000"/>
        </w:rPr>
      </w:pPr>
      <w:bookmarkStart w:id="84" w:name="_Toc370"/>
      <w:bookmarkStart w:id="85" w:name="_Toc20356"/>
      <w:bookmarkStart w:id="86" w:name="_Toc19456"/>
      <w:bookmarkStart w:id="87" w:name="_Toc32246"/>
      <w:bookmarkStart w:id="88" w:name="_Toc1157"/>
      <w:bookmarkStart w:id="89" w:name="_Toc18396"/>
      <w:bookmarkStart w:id="90" w:name="_Toc138615911"/>
      <w:bookmarkStart w:id="91" w:name="_Toc27939"/>
      <w:r>
        <w:rPr>
          <w:rFonts w:hint="eastAsia"/>
          <w:color w:val="000000"/>
        </w:rPr>
        <w:t>现状及存在问题</w:t>
      </w:r>
      <w:bookmarkEnd w:id="84"/>
      <w:bookmarkEnd w:id="85"/>
      <w:bookmarkEnd w:id="86"/>
      <w:bookmarkEnd w:id="87"/>
      <w:bookmarkEnd w:id="88"/>
      <w:bookmarkEnd w:id="89"/>
      <w:bookmarkEnd w:id="90"/>
      <w:bookmarkEnd w:id="91"/>
    </w:p>
    <w:p w14:paraId="71AFCB16">
      <w:pPr>
        <w:rPr>
          <w:rFonts w:hint="eastAsia" w:ascii="宋体" w:eastAsia="宋体" w:cs="宋体"/>
        </w:rPr>
      </w:pPr>
      <w:r>
        <w:rPr>
          <w:rFonts w:hint="eastAsia" w:ascii="宋体" w:eastAsia="宋体" w:cs="宋体"/>
        </w:rPr>
        <w:t>滁州市公安局累计建设前端摄像机10612路、后端存储29.62PB；配套建设了视频监控共享平台、视频图像信息数据库、人像解析等多个应用系统，在预防、发现、打击违法犯罪、提供破案线索、固定犯罪证据等方面发挥了不可替代的作用，基本满足了各警种在治安防控、城市管理、交通管理、应急指挥等方面需求。</w:t>
      </w:r>
    </w:p>
    <w:p w14:paraId="3FAB2A91">
      <w:pPr>
        <w:pStyle w:val="6"/>
        <w:rPr>
          <w:rFonts w:hint="eastAsia" w:ascii="宋体" w:hAnsi="宋体" w:cs="宋体"/>
        </w:rPr>
      </w:pPr>
      <w:bookmarkStart w:id="92" w:name="_Toc18614"/>
      <w:bookmarkStart w:id="93" w:name="_Toc30690"/>
      <w:bookmarkStart w:id="94" w:name="_Toc9125"/>
      <w:r>
        <w:rPr>
          <w:rFonts w:hint="eastAsia" w:ascii="宋体" w:hAnsi="宋体" w:cs="宋体"/>
        </w:rPr>
        <w:t>前端监控建设现状</w:t>
      </w:r>
      <w:bookmarkEnd w:id="92"/>
      <w:bookmarkEnd w:id="93"/>
      <w:bookmarkEnd w:id="94"/>
    </w:p>
    <w:p w14:paraId="71C8EBD1">
      <w:pPr>
        <w:rPr>
          <w:rFonts w:hint="eastAsia" w:ascii="宋体" w:eastAsia="宋体" w:cs="宋体"/>
        </w:rPr>
      </w:pPr>
      <w:r>
        <w:rPr>
          <w:rFonts w:hint="eastAsia" w:ascii="宋体" w:eastAsia="宋体" w:cs="宋体"/>
        </w:rPr>
        <w:t>滁州市公安局累计建设前端摄像机10612路，包括通用型高清前端（枪机、球机）、智慧型高清前端（枪机、球机、违停抓拍、人员卡口、车辆卡口、微卡）等多种类型摄像机，并统一接入现有视频监控共享平台。</w:t>
      </w:r>
    </w:p>
    <w:p w14:paraId="117F818E">
      <w:pPr>
        <w:pStyle w:val="6"/>
        <w:rPr>
          <w:rFonts w:hint="eastAsia" w:ascii="宋体" w:hAnsi="宋体" w:cs="宋体"/>
        </w:rPr>
      </w:pPr>
      <w:bookmarkStart w:id="95" w:name="_Toc30172"/>
      <w:bookmarkStart w:id="96" w:name="_Toc16692"/>
      <w:bookmarkStart w:id="97" w:name="_Toc9811"/>
      <w:bookmarkStart w:id="98" w:name="_Toc18681"/>
      <w:r>
        <w:rPr>
          <w:rFonts w:hint="eastAsia" w:ascii="宋体" w:hAnsi="宋体" w:cs="宋体"/>
        </w:rPr>
        <w:t>平台建设现状</w:t>
      </w:r>
      <w:bookmarkEnd w:id="95"/>
      <w:bookmarkEnd w:id="96"/>
      <w:bookmarkEnd w:id="97"/>
    </w:p>
    <w:p w14:paraId="36360FBE">
      <w:pPr>
        <w:rPr>
          <w:rFonts w:hint="eastAsia" w:ascii="宋体" w:eastAsia="宋体" w:cs="宋体"/>
        </w:rPr>
      </w:pPr>
      <w:r>
        <w:rPr>
          <w:rFonts w:hint="eastAsia" w:ascii="宋体" w:eastAsia="宋体" w:cs="宋体"/>
        </w:rPr>
        <w:t>1、部署在社会视频资源网的“视频监控平台”，采用4刀高密度服务器节点部署，支持1万路前端接入能力和支持10万路前端管理能力，目前已接入前端数量6000余路，主要负责以下几个方面：</w:t>
      </w:r>
    </w:p>
    <w:p w14:paraId="4AFF2EC9">
      <w:pPr>
        <w:rPr>
          <w:rFonts w:hint="eastAsia" w:ascii="宋体" w:eastAsia="宋体" w:cs="宋体"/>
        </w:rPr>
      </w:pPr>
      <w:r>
        <w:rPr>
          <w:rFonts w:hint="eastAsia" w:ascii="宋体" w:eastAsia="宋体" w:cs="宋体"/>
        </w:rPr>
        <w:t>（1）对接社会面资源网平台，整合接入滁州市社会资源。</w:t>
      </w:r>
    </w:p>
    <w:p w14:paraId="41557D9C">
      <w:pPr>
        <w:rPr>
          <w:rFonts w:hint="eastAsia" w:ascii="宋体" w:eastAsia="宋体" w:cs="宋体"/>
        </w:rPr>
      </w:pPr>
      <w:r>
        <w:rPr>
          <w:rFonts w:hint="eastAsia" w:ascii="宋体" w:eastAsia="宋体" w:cs="宋体"/>
        </w:rPr>
        <w:t>（2）对接视频专网“视频监控共享平台”，将社会资源网整合的社会资源视频推送至视频专网中。</w:t>
      </w:r>
    </w:p>
    <w:p w14:paraId="58E78F50">
      <w:pPr>
        <w:rPr>
          <w:rFonts w:hint="eastAsia" w:ascii="宋体" w:eastAsia="宋体" w:cs="宋体"/>
        </w:rPr>
      </w:pPr>
      <w:r>
        <w:rPr>
          <w:rFonts w:hint="eastAsia" w:ascii="宋体" w:eastAsia="宋体" w:cs="宋体"/>
        </w:rPr>
        <w:t>2、滁州市公安局在视频专网部署了“视频监控共享平台”，厂家为苏州科达，采用22刀高密度服务器节点部署，具备1.5万路前端接入能力和支持50万路前端管理能力，目前已接入前端数量1.4万余路，主要负责以下几个方面：</w:t>
      </w:r>
    </w:p>
    <w:p w14:paraId="56AED67B">
      <w:pPr>
        <w:rPr>
          <w:rFonts w:hint="eastAsia" w:ascii="宋体" w:eastAsia="宋体" w:cs="宋体"/>
        </w:rPr>
      </w:pPr>
      <w:r>
        <w:rPr>
          <w:rFonts w:hint="eastAsia" w:ascii="宋体" w:eastAsia="宋体" w:cs="宋体"/>
        </w:rPr>
        <w:t>（1）对接省厅视频监控共享平台，同时将滁州市公共安全视频监控资源推送至省厅平台；</w:t>
      </w:r>
    </w:p>
    <w:p w14:paraId="11BC1BF9">
      <w:pPr>
        <w:rPr>
          <w:rFonts w:hint="eastAsia" w:ascii="宋体" w:eastAsia="宋体" w:cs="宋体"/>
        </w:rPr>
      </w:pPr>
      <w:r>
        <w:rPr>
          <w:rFonts w:hint="eastAsia" w:ascii="宋体" w:eastAsia="宋体" w:cs="宋体"/>
        </w:rPr>
        <w:t>（2）接入市本级公安部门建设的公共安全视频监控以及整合市本级公安以外部门建设的公共场所视频监控；</w:t>
      </w:r>
    </w:p>
    <w:p w14:paraId="67172D53">
      <w:pPr>
        <w:rPr>
          <w:rFonts w:hint="eastAsia" w:ascii="宋体" w:eastAsia="宋体" w:cs="宋体"/>
        </w:rPr>
      </w:pPr>
      <w:r>
        <w:rPr>
          <w:rFonts w:hint="eastAsia" w:ascii="宋体" w:eastAsia="宋体" w:cs="宋体"/>
        </w:rPr>
        <w:t>（3）对接各县市区视频监控共享平台，全量汇聚各县市区视频监控资源；</w:t>
      </w:r>
    </w:p>
    <w:p w14:paraId="1A7E468C">
      <w:pPr>
        <w:rPr>
          <w:rFonts w:hint="eastAsia" w:ascii="宋体" w:eastAsia="宋体" w:cs="宋体"/>
        </w:rPr>
      </w:pPr>
      <w:r>
        <w:rPr>
          <w:rFonts w:hint="eastAsia" w:ascii="宋体" w:eastAsia="宋体" w:cs="宋体"/>
        </w:rPr>
        <w:t>（4）级联接入市级社会面资源整合平台推送的各类社会面监控资源。</w:t>
      </w:r>
    </w:p>
    <w:p w14:paraId="7E18FB08">
      <w:pPr>
        <w:pStyle w:val="6"/>
        <w:rPr>
          <w:rFonts w:hint="eastAsia" w:ascii="宋体" w:hAnsi="宋体" w:cs="宋体"/>
        </w:rPr>
      </w:pPr>
      <w:bookmarkStart w:id="99" w:name="_Toc178"/>
      <w:bookmarkStart w:id="100" w:name="_Toc29530"/>
      <w:bookmarkStart w:id="101" w:name="_Toc30140"/>
      <w:r>
        <w:rPr>
          <w:rFonts w:hint="eastAsia" w:ascii="宋体" w:hAnsi="宋体" w:cs="宋体"/>
        </w:rPr>
        <w:t>存储系统建设现状</w:t>
      </w:r>
      <w:bookmarkEnd w:id="99"/>
      <w:bookmarkEnd w:id="100"/>
      <w:bookmarkEnd w:id="101"/>
    </w:p>
    <w:p w14:paraId="67AB12C0">
      <w:pPr>
        <w:rPr>
          <w:rFonts w:hint="eastAsia" w:ascii="宋体" w:eastAsia="宋体" w:cs="宋体"/>
        </w:rPr>
      </w:pPr>
      <w:r>
        <w:rPr>
          <w:rFonts w:hint="eastAsia" w:ascii="宋体" w:eastAsia="宋体" w:cs="宋体"/>
        </w:rPr>
        <w:t>滁州市公安局视频专网已部署了云存储系统，厂家为苏州科达。通过提供安全可靠的存储空间对公共场所视频、图像数据进行统一归档，实现视频监控数据的集中存储和管理。目前存储容量共29.62PB，其中视频存储域为22.4 PB，目前已使用21.2PB，视频存储空间利用率达到94.64%。图片存储为9.31PB，目前已使用8.7PB，图片存储空间利用率达到93.45%。视频存储域与图片存储于均接近饱和状态。</w:t>
      </w:r>
    </w:p>
    <w:p w14:paraId="0804DF61">
      <w:pPr>
        <w:pStyle w:val="6"/>
        <w:rPr>
          <w:rFonts w:hint="eastAsia" w:ascii="宋体" w:hAnsi="宋体" w:cs="宋体"/>
        </w:rPr>
      </w:pPr>
      <w:bookmarkStart w:id="102" w:name="_Toc32040"/>
      <w:bookmarkStart w:id="103" w:name="_Toc28581"/>
      <w:r>
        <w:rPr>
          <w:rFonts w:hint="eastAsia" w:ascii="宋体" w:hAnsi="宋体" w:cs="宋体"/>
        </w:rPr>
        <w:t>视频图像解析中心现状</w:t>
      </w:r>
      <w:bookmarkEnd w:id="102"/>
      <w:bookmarkEnd w:id="103"/>
    </w:p>
    <w:p w14:paraId="2834CF24">
      <w:pPr>
        <w:pStyle w:val="7"/>
        <w:rPr>
          <w:rFonts w:hint="eastAsia" w:ascii="宋体" w:eastAsia="宋体" w:cs="宋体"/>
        </w:rPr>
      </w:pPr>
      <w:r>
        <w:rPr>
          <w:rFonts w:hint="eastAsia" w:ascii="宋体" w:eastAsia="宋体" w:cs="宋体"/>
        </w:rPr>
        <w:t>人像系统建设现状</w:t>
      </w:r>
      <w:bookmarkEnd w:id="98"/>
    </w:p>
    <w:p w14:paraId="29FEE6B9">
      <w:pPr>
        <w:rPr>
          <w:rFonts w:hint="eastAsia" w:ascii="宋体" w:eastAsia="宋体" w:cs="宋体"/>
        </w:rPr>
      </w:pPr>
      <w:bookmarkStart w:id="104" w:name="_Toc21009"/>
      <w:r>
        <w:rPr>
          <w:rFonts w:hint="eastAsia" w:ascii="宋体" w:eastAsia="宋体" w:cs="宋体"/>
        </w:rPr>
        <w:t>滁州市公安局在视频专网、公安信息网内部署了多算法平台。</w:t>
      </w:r>
    </w:p>
    <w:p w14:paraId="6EC9992C">
      <w:pPr>
        <w:rPr>
          <w:rFonts w:hint="eastAsia" w:ascii="宋体" w:eastAsia="宋体" w:cs="宋体"/>
        </w:rPr>
      </w:pPr>
      <w:r>
        <w:rPr>
          <w:rFonts w:hint="eastAsia" w:ascii="宋体" w:eastAsia="宋体" w:cs="宋体"/>
        </w:rPr>
        <w:t>截至目前，滁州市公安局累计建设人脸抓拍摄像机882余路，实现了主城区部分重点部位的覆盖。系统实现日均新增人脸图片600万张/天（含下辖市区县级联数据）、新增人体图片1100万张/天（含下辖市区县级联数据）的解析与存储，通过系统解析提取的结构化数据实现人脸比对、人员身份确认等业务应用，并形成较为完整的人员轨迹，有效支撑人像技战法在实战中的应用，基本能够满足实战部门对于人员管控需求。</w:t>
      </w:r>
    </w:p>
    <w:p w14:paraId="061E2429">
      <w:pPr>
        <w:rPr>
          <w:rFonts w:hint="eastAsia" w:ascii="宋体" w:eastAsia="宋体" w:cs="宋体"/>
        </w:rPr>
      </w:pPr>
      <w:r>
        <w:rPr>
          <w:rFonts w:hint="eastAsia" w:ascii="宋体" w:eastAsia="宋体" w:cs="宋体"/>
        </w:rPr>
        <w:t>人像解析系统主要提供视频图像智能解析任务、算力资源和智能算法的统一管理调度以及视频图像的分析、比对、搜图、聚类能力，能够利用智能分析算法对视频图像进行智能解析，得到视频图像中人员等目标的结构化描述信息以及特征值，并进行相应的比对聚类，对外提供各类对象解析、特征比对、以图搜图、关联聚类等视频图像分析服务，为深度智能应用提供技术支撑。</w:t>
      </w:r>
    </w:p>
    <w:p w14:paraId="0D850706">
      <w:pPr>
        <w:pStyle w:val="8"/>
        <w:rPr>
          <w:rFonts w:hint="eastAsia" w:ascii="宋体" w:eastAsia="宋体" w:cs="宋体"/>
        </w:rPr>
      </w:pPr>
      <w:r>
        <w:rPr>
          <w:rFonts w:hint="eastAsia" w:ascii="宋体" w:eastAsia="宋体" w:cs="宋体"/>
        </w:rPr>
        <w:t>视频专网人像系统现状</w:t>
      </w:r>
    </w:p>
    <w:p w14:paraId="37DC95AF">
      <w:pPr>
        <w:rPr>
          <w:rFonts w:hint="eastAsia" w:ascii="宋体" w:eastAsia="宋体" w:cs="宋体"/>
        </w:rPr>
      </w:pPr>
      <w:r>
        <w:rPr>
          <w:rFonts w:hint="eastAsia" w:ascii="宋体" w:eastAsia="宋体" w:cs="宋体"/>
        </w:rPr>
        <w:t>滁州市公安局已在公安视频专网建设882路人像抓拍设备、3台解析服务器（共计20张GPU卡）、1台搜图服务器、2台大数据服务器。整体人像系统性能如下：</w:t>
      </w:r>
    </w:p>
    <w:p w14:paraId="730CEA2C">
      <w:pPr>
        <w:rPr>
          <w:rFonts w:hint="eastAsia" w:ascii="宋体" w:eastAsia="宋体" w:cs="宋体"/>
          <w:b/>
        </w:rPr>
      </w:pPr>
      <w:r>
        <w:rPr>
          <w:rFonts w:ascii="宋体" w:eastAsia="宋体" w:cs="宋体"/>
          <w:b/>
        </w:rPr>
        <w:tab/>
      </w:r>
      <w:r>
        <w:rPr>
          <w:rFonts w:hint="eastAsia" w:ascii="宋体" w:eastAsia="宋体" w:cs="宋体"/>
          <w:b/>
        </w:rPr>
        <w:t>解析性能：8</w:t>
      </w:r>
      <w:r>
        <w:rPr>
          <w:rFonts w:ascii="宋体" w:eastAsia="宋体" w:cs="宋体"/>
          <w:b/>
        </w:rPr>
        <w:t>00</w:t>
      </w:r>
      <w:r>
        <w:rPr>
          <w:rFonts w:hint="eastAsia" w:ascii="宋体" w:eastAsia="宋体" w:cs="宋体"/>
          <w:b/>
        </w:rPr>
        <w:t>万张人脸图片/天；</w:t>
      </w:r>
    </w:p>
    <w:p w14:paraId="760D8AD0">
      <w:pPr>
        <w:rPr>
          <w:rFonts w:hint="eastAsia" w:ascii="宋体" w:eastAsia="宋体" w:cs="宋体"/>
          <w:b/>
        </w:rPr>
      </w:pPr>
      <w:r>
        <w:rPr>
          <w:rFonts w:ascii="宋体" w:eastAsia="宋体" w:cs="宋体"/>
          <w:b/>
        </w:rPr>
        <w:tab/>
      </w:r>
      <w:r>
        <w:rPr>
          <w:rFonts w:hint="eastAsia" w:ascii="宋体" w:eastAsia="宋体" w:cs="宋体"/>
          <w:b/>
        </w:rPr>
        <w:t>存储性能：</w:t>
      </w:r>
      <w:r>
        <w:rPr>
          <w:rFonts w:ascii="宋体" w:eastAsia="宋体" w:cs="宋体"/>
          <w:b/>
        </w:rPr>
        <w:t>30</w:t>
      </w:r>
      <w:r>
        <w:rPr>
          <w:rFonts w:hint="eastAsia" w:ascii="宋体" w:eastAsia="宋体" w:cs="宋体"/>
          <w:b/>
        </w:rPr>
        <w:t>亿条人脸、人体结构化数据存储；</w:t>
      </w:r>
    </w:p>
    <w:p w14:paraId="6D39C72E">
      <w:pPr>
        <w:rPr>
          <w:rFonts w:hint="eastAsia" w:ascii="宋体" w:eastAsia="宋体" w:cs="宋体"/>
          <w:b/>
        </w:rPr>
      </w:pPr>
      <w:r>
        <w:rPr>
          <w:rFonts w:ascii="宋体" w:eastAsia="宋体" w:cs="宋体"/>
          <w:b/>
        </w:rPr>
        <w:tab/>
      </w:r>
      <w:r>
        <w:rPr>
          <w:rFonts w:hint="eastAsia" w:ascii="宋体" w:eastAsia="宋体" w:cs="宋体"/>
          <w:b/>
        </w:rPr>
        <w:t>搜图性能：9</w:t>
      </w:r>
      <w:r>
        <w:rPr>
          <w:rFonts w:ascii="宋体" w:eastAsia="宋体" w:cs="宋体"/>
          <w:b/>
        </w:rPr>
        <w:t>0</w:t>
      </w:r>
      <w:r>
        <w:rPr>
          <w:rFonts w:hint="eastAsia" w:ascii="宋体" w:eastAsia="宋体" w:cs="宋体"/>
          <w:b/>
        </w:rPr>
        <w:t>天人脸图片。</w:t>
      </w:r>
    </w:p>
    <w:p w14:paraId="447D14B1">
      <w:pPr>
        <w:pStyle w:val="8"/>
        <w:rPr>
          <w:rFonts w:hint="eastAsia" w:ascii="宋体" w:eastAsia="宋体" w:cs="宋体"/>
        </w:rPr>
      </w:pPr>
      <w:r>
        <w:rPr>
          <w:rFonts w:hint="eastAsia" w:ascii="宋体" w:eastAsia="宋体" w:cs="宋体"/>
        </w:rPr>
        <w:t>公安信息网人像系统现状</w:t>
      </w:r>
    </w:p>
    <w:p w14:paraId="6E5A8934">
      <w:pPr>
        <w:rPr>
          <w:rFonts w:hint="eastAsia" w:ascii="宋体" w:eastAsia="宋体" w:cs="宋体"/>
        </w:rPr>
      </w:pPr>
      <w:r>
        <w:rPr>
          <w:rFonts w:hint="eastAsia" w:ascii="宋体" w:eastAsia="宋体" w:cs="宋体"/>
        </w:rPr>
        <w:t>滁州市</w:t>
      </w:r>
      <w:r>
        <w:rPr>
          <w:rFonts w:ascii="宋体" w:eastAsia="宋体" w:cs="宋体"/>
        </w:rPr>
        <w:t>公安局已在公安信息网建设</w:t>
      </w:r>
      <w:r>
        <w:rPr>
          <w:rFonts w:hint="eastAsia" w:ascii="宋体" w:eastAsia="宋体" w:cs="宋体"/>
        </w:rPr>
        <w:t>3台解析服务器（共计1</w:t>
      </w:r>
      <w:r>
        <w:rPr>
          <w:rFonts w:ascii="宋体" w:eastAsia="宋体" w:cs="宋体"/>
        </w:rPr>
        <w:t>0</w:t>
      </w:r>
      <w:r>
        <w:rPr>
          <w:rFonts w:hint="eastAsia" w:ascii="宋体" w:eastAsia="宋体" w:cs="宋体"/>
        </w:rPr>
        <w:t>张G</w:t>
      </w:r>
      <w:r>
        <w:rPr>
          <w:rFonts w:ascii="宋体" w:eastAsia="宋体" w:cs="宋体"/>
        </w:rPr>
        <w:t>PU</w:t>
      </w:r>
      <w:r>
        <w:rPr>
          <w:rFonts w:hint="eastAsia" w:ascii="宋体" w:eastAsia="宋体" w:cs="宋体"/>
        </w:rPr>
        <w:t>卡）、1台搜图服务器、2台聚档服务器、</w:t>
      </w:r>
      <w:r>
        <w:rPr>
          <w:rFonts w:ascii="宋体" w:eastAsia="宋体" w:cs="宋体"/>
        </w:rPr>
        <w:t>2</w:t>
      </w:r>
      <w:r>
        <w:rPr>
          <w:rFonts w:hint="eastAsia" w:ascii="宋体" w:eastAsia="宋体" w:cs="宋体"/>
        </w:rPr>
        <w:t>台大数据服务器，整体人像系统的性能如下：</w:t>
      </w:r>
    </w:p>
    <w:p w14:paraId="1AA712BD">
      <w:pPr>
        <w:rPr>
          <w:rFonts w:hint="eastAsia" w:ascii="宋体" w:eastAsia="宋体" w:cs="宋体"/>
          <w:b/>
        </w:rPr>
      </w:pPr>
      <w:r>
        <w:rPr>
          <w:rFonts w:hint="eastAsia" w:ascii="宋体" w:eastAsia="宋体" w:cs="宋体"/>
          <w:b/>
        </w:rPr>
        <w:t>比对性能：3</w:t>
      </w:r>
      <w:r>
        <w:rPr>
          <w:rFonts w:ascii="宋体" w:eastAsia="宋体" w:cs="宋体"/>
          <w:b/>
        </w:rPr>
        <w:t>00</w:t>
      </w:r>
      <w:r>
        <w:rPr>
          <w:rFonts w:hint="eastAsia" w:ascii="宋体" w:eastAsia="宋体" w:cs="宋体"/>
          <w:b/>
        </w:rPr>
        <w:t>次/s静态人像库比对；</w:t>
      </w:r>
    </w:p>
    <w:p w14:paraId="4971513F">
      <w:pPr>
        <w:rPr>
          <w:rFonts w:hint="eastAsia" w:ascii="宋体" w:eastAsia="宋体" w:cs="宋体"/>
          <w:b/>
        </w:rPr>
      </w:pPr>
      <w:r>
        <w:rPr>
          <w:rFonts w:hint="eastAsia" w:ascii="宋体" w:eastAsia="宋体" w:cs="宋体"/>
          <w:b/>
        </w:rPr>
        <w:t>存储性能：</w:t>
      </w:r>
      <w:r>
        <w:rPr>
          <w:rFonts w:ascii="宋体" w:eastAsia="宋体" w:cs="宋体"/>
          <w:b/>
        </w:rPr>
        <w:t>30</w:t>
      </w:r>
      <w:r>
        <w:rPr>
          <w:rFonts w:hint="eastAsia" w:ascii="宋体" w:eastAsia="宋体" w:cs="宋体"/>
          <w:b/>
        </w:rPr>
        <w:t>亿条人脸、人体结构化数据存储；</w:t>
      </w:r>
    </w:p>
    <w:p w14:paraId="51A0994E">
      <w:pPr>
        <w:rPr>
          <w:rFonts w:hint="eastAsia" w:ascii="宋体" w:eastAsia="宋体" w:cs="宋体"/>
        </w:rPr>
      </w:pPr>
      <w:r>
        <w:rPr>
          <w:rFonts w:hint="eastAsia" w:ascii="宋体" w:eastAsia="宋体" w:cs="宋体"/>
          <w:b/>
        </w:rPr>
        <w:t>搜图性能：9</w:t>
      </w:r>
      <w:r>
        <w:rPr>
          <w:rFonts w:ascii="宋体" w:eastAsia="宋体" w:cs="宋体"/>
          <w:b/>
        </w:rPr>
        <w:t>0</w:t>
      </w:r>
      <w:r>
        <w:rPr>
          <w:rFonts w:hint="eastAsia" w:ascii="宋体" w:eastAsia="宋体" w:cs="宋体"/>
          <w:b/>
        </w:rPr>
        <w:t>天人脸图片。</w:t>
      </w:r>
    </w:p>
    <w:p w14:paraId="71233661">
      <w:pPr>
        <w:pStyle w:val="7"/>
        <w:rPr>
          <w:rFonts w:hint="eastAsia" w:ascii="宋体" w:eastAsia="宋体" w:cs="宋体"/>
        </w:rPr>
      </w:pPr>
      <w:r>
        <w:rPr>
          <w:rFonts w:hint="eastAsia" w:ascii="宋体" w:eastAsia="宋体" w:cs="宋体"/>
        </w:rPr>
        <w:t>车辆系统建设现状</w:t>
      </w:r>
      <w:bookmarkEnd w:id="104"/>
    </w:p>
    <w:p w14:paraId="4644922A">
      <w:pPr>
        <w:rPr>
          <w:rFonts w:hint="eastAsia" w:ascii="宋体" w:eastAsia="宋体" w:cs="宋体"/>
        </w:rPr>
      </w:pPr>
      <w:r>
        <w:rPr>
          <w:rFonts w:hint="eastAsia" w:ascii="宋体" w:eastAsia="宋体" w:cs="宋体"/>
        </w:rPr>
        <w:t>滁州市公安局在视频专网部署了车辆解析系统，厂家为以萨和科达。</w:t>
      </w:r>
    </w:p>
    <w:p w14:paraId="558313FF">
      <w:pPr>
        <w:rPr>
          <w:rFonts w:hint="eastAsia" w:ascii="宋体" w:eastAsia="宋体" w:cs="宋体"/>
        </w:rPr>
      </w:pPr>
      <w:r>
        <w:rPr>
          <w:rFonts w:hint="eastAsia" w:ascii="宋体" w:eastAsia="宋体" w:cs="宋体"/>
        </w:rPr>
        <w:t>累计建设车辆抓拍摄像机1.7万余路，车辆解析系统数据量已达到3400万/天，以萨系统可支持峰值在4860万/天，科达系统机动车处理能力是3500W/天，非机动车处理能力是550W/天，可支持峰值在6500万/天，现有使用解析平台可以满足非机动车、机动车解析需求。</w:t>
      </w:r>
    </w:p>
    <w:p w14:paraId="3CCC7DAD">
      <w:pPr>
        <w:pStyle w:val="6"/>
        <w:rPr>
          <w:rFonts w:hint="eastAsia" w:ascii="宋体" w:hAnsi="宋体" w:cs="宋体"/>
        </w:rPr>
      </w:pPr>
      <w:bookmarkStart w:id="105" w:name="_Toc8318"/>
      <w:bookmarkStart w:id="106" w:name="_Toc9612"/>
      <w:bookmarkStart w:id="107" w:name="_Toc3235"/>
      <w:r>
        <w:rPr>
          <w:rFonts w:hint="eastAsia" w:ascii="宋体" w:hAnsi="宋体" w:cs="宋体"/>
        </w:rPr>
        <w:t>视图库建设现状</w:t>
      </w:r>
      <w:bookmarkEnd w:id="105"/>
      <w:bookmarkEnd w:id="106"/>
      <w:bookmarkEnd w:id="107"/>
    </w:p>
    <w:p w14:paraId="287BAE79">
      <w:pPr>
        <w:rPr>
          <w:rFonts w:hint="eastAsia" w:ascii="宋体" w:eastAsia="宋体" w:cs="宋体"/>
        </w:rPr>
      </w:pPr>
      <w:r>
        <w:rPr>
          <w:rFonts w:hint="eastAsia" w:ascii="宋体" w:eastAsia="宋体" w:cs="宋体"/>
        </w:rPr>
        <w:t>滁州市公安局在视频专网和公安信息网分别部署了视频图像信息数据库系统，厂家为苏州科达。视频专网视图库支持160亿数据量接入，公安信息网视图库支持160亿数据量接入。</w:t>
      </w:r>
    </w:p>
    <w:p w14:paraId="66D90962">
      <w:pPr>
        <w:pStyle w:val="6"/>
        <w:rPr>
          <w:rFonts w:hint="eastAsia" w:ascii="宋体" w:hAnsi="宋体" w:cs="宋体"/>
        </w:rPr>
      </w:pPr>
      <w:bookmarkStart w:id="108" w:name="_Toc7956"/>
      <w:bookmarkStart w:id="109" w:name="_Toc28304"/>
      <w:bookmarkStart w:id="110" w:name="_Toc20646"/>
      <w:r>
        <w:rPr>
          <w:rFonts w:hint="eastAsia" w:ascii="宋体" w:hAnsi="宋体" w:cs="宋体"/>
        </w:rPr>
        <w:t>存在问题</w:t>
      </w:r>
      <w:bookmarkEnd w:id="108"/>
      <w:bookmarkEnd w:id="109"/>
      <w:bookmarkEnd w:id="110"/>
    </w:p>
    <w:p w14:paraId="2903E206">
      <w:pPr>
        <w:rPr>
          <w:rFonts w:hint="eastAsia" w:ascii="宋体" w:eastAsia="宋体" w:cs="宋体"/>
        </w:rPr>
      </w:pPr>
      <w:r>
        <w:rPr>
          <w:rFonts w:hint="eastAsia" w:ascii="宋体" w:eastAsia="宋体" w:cs="宋体"/>
        </w:rPr>
        <w:t>滁州市公共安全视频监控系统建设起步较早，原有平安城市一期、社会治安视频监控系统二期设备不断老旧，无法满足实战要求，随着经济的快速发展，城市化进程在不断加快，现有的系统存在以下差距：</w:t>
      </w:r>
    </w:p>
    <w:p w14:paraId="7AF3F28A">
      <w:pPr>
        <w:rPr>
          <w:rFonts w:hint="eastAsia" w:ascii="宋体" w:eastAsia="宋体" w:cs="宋体"/>
          <w:b/>
          <w:bCs/>
        </w:rPr>
      </w:pPr>
      <w:r>
        <w:rPr>
          <w:rFonts w:hint="eastAsia" w:ascii="宋体" w:eastAsia="宋体" w:cs="宋体"/>
          <w:b/>
          <w:bCs/>
        </w:rPr>
        <w:t>（一）视频监控覆盖范围不全、密度不够</w:t>
      </w:r>
    </w:p>
    <w:p w14:paraId="7FE7FE9C">
      <w:pPr>
        <w:rPr>
          <w:rFonts w:hint="eastAsia" w:ascii="宋体" w:eastAsia="宋体" w:cs="宋体"/>
        </w:rPr>
      </w:pPr>
      <w:r>
        <w:rPr>
          <w:rFonts w:hint="eastAsia" w:ascii="宋体" w:eastAsia="宋体" w:cs="宋体"/>
        </w:rPr>
        <w:t>随着滁州城市建设步伐的快速推进，城市拆迁区域范围不断扩大，住宅、厂区、商业区、城中村进行综合整治、新建、扩建道路建设不断增多，导致当前滁州市视频监控点位覆盖密度较低，同时全市重点公共区域、重点行业、领域的重要部位尚未达到全部覆盖，因此需要新建大量摄像机进行“补盲加密”。</w:t>
      </w:r>
    </w:p>
    <w:p w14:paraId="50C28CCA">
      <w:pPr>
        <w:rPr>
          <w:rFonts w:hint="eastAsia" w:ascii="宋体" w:eastAsia="宋体" w:cs="宋体"/>
          <w:b/>
          <w:bCs/>
        </w:rPr>
      </w:pPr>
      <w:r>
        <w:rPr>
          <w:rFonts w:hint="eastAsia" w:ascii="宋体" w:eastAsia="宋体" w:cs="宋体"/>
          <w:b/>
          <w:bCs/>
        </w:rPr>
        <w:t>（二） 智能化感知采集前端设备占比率相对较低</w:t>
      </w:r>
    </w:p>
    <w:p w14:paraId="28082581">
      <w:pPr>
        <w:rPr>
          <w:rFonts w:hint="eastAsia" w:ascii="宋体" w:eastAsia="宋体" w:cs="宋体"/>
        </w:rPr>
      </w:pPr>
      <w:r>
        <w:rPr>
          <w:rFonts w:hint="eastAsia" w:ascii="宋体" w:eastAsia="宋体" w:cs="宋体"/>
        </w:rPr>
        <w:t>当前建设的视频监控点位多以普通视频图像采集为主，车辆抓拍摄像机、人像抓拍摄像机、解析对比设备占比相对较低，导致实战业务应用时，多数靠人工进行视频预览和录像回看，工作效率及业务成效相对较低。</w:t>
      </w:r>
    </w:p>
    <w:p w14:paraId="0500A4E0">
      <w:pPr>
        <w:rPr>
          <w:rFonts w:hint="eastAsia" w:ascii="宋体" w:eastAsia="宋体" w:cs="宋体"/>
          <w:b/>
          <w:bCs/>
        </w:rPr>
      </w:pPr>
      <w:r>
        <w:rPr>
          <w:rFonts w:hint="eastAsia" w:ascii="宋体" w:eastAsia="宋体" w:cs="宋体"/>
          <w:b/>
          <w:bCs/>
        </w:rPr>
        <w:t>（三） 视频联网应用基础支撑能力相对薄弱</w:t>
      </w:r>
    </w:p>
    <w:p w14:paraId="54EEB7E0">
      <w:pPr>
        <w:rPr>
          <w:rFonts w:hint="eastAsia" w:ascii="宋体" w:eastAsia="宋体" w:cs="宋体"/>
        </w:rPr>
      </w:pPr>
      <w:r>
        <w:rPr>
          <w:rFonts w:hint="eastAsia" w:ascii="宋体" w:eastAsia="宋体" w:cs="宋体"/>
        </w:rPr>
        <w:t>当前建设平台视频图像的智能识别报警、智能检索分析、模糊图像增强以及故障的智能诊断尚未实现，已录入监控点位精准度不高。缺乏立体布局和深度解析,未能充分利用智能化、前端感知等前沿技术,现有网络架构、存储系统和视频图像智能解析系统无法满足本次服务需求。</w:t>
      </w:r>
    </w:p>
    <w:p w14:paraId="1D473BA7">
      <w:pPr>
        <w:rPr>
          <w:rFonts w:hint="eastAsia"/>
        </w:rPr>
      </w:pPr>
    </w:p>
    <w:p w14:paraId="18DB8A69">
      <w:pPr>
        <w:pStyle w:val="3"/>
        <w:keepNext/>
        <w:keepLines/>
        <w:pageBreakBefore w:val="0"/>
        <w:widowControl w:val="0"/>
        <w:rPr>
          <w:rFonts w:hint="eastAsia"/>
        </w:rPr>
      </w:pPr>
      <w:bookmarkStart w:id="111" w:name="_Toc23423"/>
      <w:bookmarkStart w:id="112" w:name="_Toc26125"/>
      <w:bookmarkStart w:id="113" w:name="_Toc23752"/>
      <w:bookmarkStart w:id="114" w:name="_Toc16203"/>
      <w:bookmarkStart w:id="115" w:name="_Toc138615703"/>
      <w:bookmarkStart w:id="116" w:name="_Toc27535"/>
      <w:bookmarkStart w:id="117" w:name="_Toc10945"/>
      <w:bookmarkStart w:id="118" w:name="_Toc12899"/>
      <w:r>
        <w:rPr>
          <w:rFonts w:hint="eastAsia"/>
        </w:rPr>
        <w:t>项目建设可行性</w:t>
      </w:r>
      <w:bookmarkEnd w:id="111"/>
      <w:bookmarkEnd w:id="112"/>
      <w:bookmarkEnd w:id="113"/>
      <w:bookmarkEnd w:id="114"/>
      <w:bookmarkEnd w:id="115"/>
      <w:bookmarkEnd w:id="116"/>
      <w:bookmarkEnd w:id="117"/>
      <w:bookmarkEnd w:id="118"/>
    </w:p>
    <w:p w14:paraId="69332E98">
      <w:pPr>
        <w:pStyle w:val="4"/>
        <w:rPr>
          <w:color w:val="000000"/>
        </w:rPr>
      </w:pPr>
      <w:bookmarkStart w:id="119" w:name="_Toc29823"/>
      <w:r>
        <w:rPr>
          <w:rFonts w:hint="eastAsia"/>
          <w:color w:val="000000"/>
        </w:rPr>
        <w:t>技术可行性</w:t>
      </w:r>
      <w:bookmarkEnd w:id="119"/>
    </w:p>
    <w:p w14:paraId="7B48FEFA">
      <w:pPr>
        <w:pStyle w:val="6"/>
      </w:pPr>
      <w:bookmarkStart w:id="120" w:name="_Toc820"/>
      <w:bookmarkStart w:id="121" w:name="_Toc18952"/>
      <w:bookmarkStart w:id="122" w:name="_Toc14627"/>
      <w:bookmarkStart w:id="123" w:name="_Toc23575"/>
      <w:bookmarkStart w:id="124" w:name="_Toc27655"/>
      <w:bookmarkStart w:id="125" w:name="_Toc25751"/>
      <w:bookmarkStart w:id="126" w:name="_Toc138615705"/>
      <w:bookmarkStart w:id="127" w:name="_Toc6905"/>
      <w:r>
        <w:rPr>
          <w:rFonts w:hint="eastAsia"/>
        </w:rPr>
        <w:t>现有软件环境</w:t>
      </w:r>
      <w:bookmarkEnd w:id="120"/>
      <w:bookmarkEnd w:id="121"/>
      <w:bookmarkEnd w:id="122"/>
      <w:bookmarkEnd w:id="123"/>
      <w:bookmarkEnd w:id="124"/>
      <w:bookmarkEnd w:id="125"/>
      <w:bookmarkEnd w:id="126"/>
      <w:bookmarkEnd w:id="127"/>
    </w:p>
    <w:p w14:paraId="3D8280CB">
      <w:pPr>
        <w:rPr>
          <w:rFonts w:hint="eastAsia" w:ascii="宋体" w:eastAsia="宋体" w:cs="宋体"/>
          <w:szCs w:val="24"/>
        </w:rPr>
      </w:pPr>
      <w:r>
        <w:rPr>
          <w:rFonts w:hint="eastAsia" w:ascii="宋体" w:eastAsia="宋体" w:cs="宋体"/>
          <w:szCs w:val="24"/>
        </w:rPr>
        <w:t>滁州市“雪亮工程”系统云计算平台主要负责管理系统平台所需的基础设施，包括服务器、云存储系统、数据存储阵列以及各类网络交换机。在这些硬件设备基础之上，部署云计算管理系统，将这些硬件资源虚拟化，为整个系统平台提供虚拟化的计算资源，存储资源以及网络资源，支撑上层的各类业务服务系统部署。</w:t>
      </w:r>
    </w:p>
    <w:p w14:paraId="6C194FBE">
      <w:pPr>
        <w:rPr>
          <w:rFonts w:hint="eastAsia" w:ascii="宋体" w:eastAsia="宋体" w:cs="宋体"/>
          <w:szCs w:val="24"/>
        </w:rPr>
      </w:pPr>
      <w:r>
        <w:rPr>
          <w:rFonts w:hint="eastAsia" w:ascii="宋体" w:eastAsia="宋体" w:cs="宋体"/>
          <w:szCs w:val="24"/>
        </w:rPr>
        <w:t>云计算平台负责视频图像信息共享平台服务器、视频图像信息综合应用系统服务器、视频图像安全运维管理系统服务器、高清可视指挥调度系统服务器、数据可视化呈现系统服务器及云存储设备的统一管理和集中调度。视频专网软硬件资源部署的基本架构如下图所示：</w:t>
      </w:r>
    </w:p>
    <w:p w14:paraId="50540013">
      <w:pPr>
        <w:rPr>
          <w:rFonts w:hint="eastAsia" w:ascii="宋体" w:eastAsia="宋体" w:cs="宋体"/>
          <w:szCs w:val="24"/>
        </w:rPr>
      </w:pPr>
      <w:r>
        <w:rPr>
          <w:rFonts w:hint="eastAsia" w:ascii="宋体" w:eastAsia="宋体" w:cs="宋体"/>
          <w:szCs w:val="24"/>
        </w:rPr>
        <w:drawing>
          <wp:inline distT="0" distB="0" distL="114300" distR="114300">
            <wp:extent cx="4886325" cy="4857750"/>
            <wp:effectExtent l="0" t="0" r="9525" b="0"/>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pic:cNvPicPr>
                      <a:picLocks noChangeAspect="1"/>
                    </pic:cNvPicPr>
                  </pic:nvPicPr>
                  <pic:blipFill>
                    <a:blip r:embed="rId8"/>
                    <a:stretch>
                      <a:fillRect/>
                    </a:stretch>
                  </pic:blipFill>
                  <pic:spPr>
                    <a:xfrm>
                      <a:off x="0" y="0"/>
                      <a:ext cx="4886325" cy="4857750"/>
                    </a:xfrm>
                    <a:prstGeom prst="rect">
                      <a:avLst/>
                    </a:prstGeom>
                    <a:noFill/>
                    <a:ln w="9525" cap="flat" cmpd="sng">
                      <a:noFill/>
                      <a:prstDash val="solid"/>
                      <a:round/>
                    </a:ln>
                  </pic:spPr>
                </pic:pic>
              </a:graphicData>
            </a:graphic>
          </wp:inline>
        </w:drawing>
      </w:r>
    </w:p>
    <w:p w14:paraId="3BA88373">
      <w:pPr>
        <w:jc w:val="center"/>
        <w:rPr>
          <w:rFonts w:hint="eastAsia" w:ascii="宋体" w:eastAsia="宋体" w:cs="宋体"/>
          <w:szCs w:val="24"/>
        </w:rPr>
      </w:pPr>
      <w:r>
        <w:rPr>
          <w:rFonts w:hint="eastAsia" w:ascii="黑体" w:eastAsia="黑体" w:cs="黑体"/>
          <w:bCs/>
        </w:rPr>
        <w:t xml:space="preserve">图 </w:t>
      </w:r>
      <w:r>
        <w:rPr>
          <w:rFonts w:hint="eastAsia" w:ascii="黑体" w:eastAsia="黑体" w:cs="黑体"/>
          <w:bCs/>
        </w:rPr>
        <w:fldChar w:fldCharType="begin"/>
      </w:r>
      <w:r>
        <w:rPr>
          <w:rFonts w:hint="eastAsia" w:ascii="黑体" w:eastAsia="黑体" w:cs="黑体"/>
          <w:bCs/>
        </w:rPr>
        <w:instrText xml:space="preserve"> STYLEREF 2 \s </w:instrText>
      </w:r>
      <w:r>
        <w:rPr>
          <w:rFonts w:hint="eastAsia" w:ascii="黑体" w:eastAsia="黑体" w:cs="黑体"/>
          <w:bCs/>
        </w:rPr>
        <w:fldChar w:fldCharType="separate"/>
      </w:r>
      <w:r>
        <w:rPr>
          <w:rFonts w:hint="eastAsia" w:ascii="黑体" w:eastAsia="黑体" w:cs="黑体"/>
          <w:bCs/>
        </w:rPr>
        <w:t>3.2</w:t>
      </w:r>
      <w:r>
        <w:rPr>
          <w:rFonts w:hint="eastAsia" w:ascii="黑体" w:eastAsia="黑体" w:cs="黑体"/>
          <w:bCs/>
        </w:rPr>
        <w:fldChar w:fldCharType="end"/>
      </w:r>
      <w:r>
        <w:rPr>
          <w:rFonts w:hint="eastAsia" w:ascii="黑体" w:eastAsia="黑体" w:cs="黑体"/>
          <w:bCs/>
        </w:rPr>
        <w:t>-</w:t>
      </w:r>
      <w:r>
        <w:rPr>
          <w:rFonts w:hint="eastAsia" w:ascii="黑体" w:eastAsia="黑体" w:cs="黑体"/>
          <w:bCs/>
        </w:rPr>
        <w:fldChar w:fldCharType="begin"/>
      </w:r>
      <w:r>
        <w:rPr>
          <w:rFonts w:hint="eastAsia" w:ascii="黑体" w:eastAsia="黑体" w:cs="黑体"/>
          <w:bCs/>
        </w:rPr>
        <w:instrText xml:space="preserve"> SEQ 图 \* ARABIC \s 2 </w:instrText>
      </w:r>
      <w:r>
        <w:rPr>
          <w:rFonts w:hint="eastAsia" w:ascii="黑体" w:eastAsia="黑体" w:cs="黑体"/>
          <w:bCs/>
        </w:rPr>
        <w:fldChar w:fldCharType="separate"/>
      </w:r>
      <w:r>
        <w:rPr>
          <w:rFonts w:hint="eastAsia" w:ascii="黑体" w:eastAsia="黑体" w:cs="黑体"/>
          <w:bCs/>
        </w:rPr>
        <w:t>1</w:t>
      </w:r>
      <w:r>
        <w:rPr>
          <w:rFonts w:hint="eastAsia" w:ascii="黑体" w:eastAsia="黑体" w:cs="黑体"/>
          <w:bCs/>
        </w:rPr>
        <w:fldChar w:fldCharType="end"/>
      </w:r>
      <w:r>
        <w:rPr>
          <w:rFonts w:hint="eastAsia" w:ascii="黑体" w:eastAsia="黑体" w:cs="黑体"/>
          <w:bCs/>
        </w:rPr>
        <w:t>原视频专网设备部署的基本架构图</w:t>
      </w:r>
    </w:p>
    <w:p w14:paraId="66F0BAB4">
      <w:pPr>
        <w:rPr>
          <w:rFonts w:hint="eastAsia" w:ascii="宋体" w:eastAsia="宋体" w:cs="宋体"/>
          <w:szCs w:val="24"/>
        </w:rPr>
      </w:pPr>
      <w:r>
        <w:rPr>
          <w:rFonts w:hint="eastAsia" w:ascii="宋体" w:eastAsia="宋体" w:cs="宋体"/>
          <w:szCs w:val="24"/>
        </w:rPr>
        <w:t>由上图可以看出，所有服务器采用双链路接入不同的汇聚交换机，再分别接入两台核心交换机，所有云存储主机分成三个域，分别接入各域的云存储汇聚交换机，再分别接入两台核心交换机，骨干链路冗余以确保整个交换网络的可靠性；</w:t>
      </w:r>
    </w:p>
    <w:p w14:paraId="064D7456">
      <w:pPr>
        <w:rPr>
          <w:rFonts w:hint="eastAsia" w:ascii="宋体" w:eastAsia="宋体" w:cs="宋体"/>
          <w:szCs w:val="24"/>
        </w:rPr>
      </w:pPr>
      <w:r>
        <w:rPr>
          <w:rFonts w:hint="eastAsia" w:ascii="宋体" w:eastAsia="宋体" w:cs="宋体"/>
          <w:szCs w:val="24"/>
        </w:rPr>
        <w:t>云计算业务服务器根据要配置多台硬件服务器，每台服务器设备采用机框刀片式架构部署，每个设备机框可配置4块刀片服务器。部分综合云计算业务服务器要实现虚拟机的快速切换和存储功能，此类业务服务器要分别连接千兆的业务接入网络以及万兆的数据存储网络，该类服务器也因此配置有2个万兆的电口以及2个千兆电口。连接万兆数据存储网络主要是为了实现虚拟机在不同业务服务器间的快速切换和恢复以及云平台数据库的快速存取，而千兆网络用于外部业务通讯和管理。</w:t>
      </w:r>
    </w:p>
    <w:p w14:paraId="0A082AD0">
      <w:pPr>
        <w:rPr>
          <w:rFonts w:hint="eastAsia" w:ascii="宋体" w:eastAsia="宋体" w:cs="宋体"/>
          <w:szCs w:val="24"/>
        </w:rPr>
      </w:pPr>
      <w:r>
        <w:rPr>
          <w:rFonts w:hint="eastAsia" w:ascii="宋体" w:eastAsia="宋体" w:cs="宋体"/>
          <w:szCs w:val="24"/>
        </w:rPr>
        <w:t>云存储设备根据要部署多台云存储主机，其接入网络主要用于云计算中心业务和云存储数据的流转和云计算业务的通讯，如冗余备份，重构数据，分布式云计算，非机构化和半结构化数据挖掘分析等，由于云存储内部数据流转量比较大，所以每台存储设备要的2个万兆光口。存储网络使用万兆光接入交换机，而且使用双链路方式，每个网口要连接到不同的万兆光交换机上，实现数据传输业务的冗余备份和业务均衡，确保云存储内部数据流转的可靠性。</w:t>
      </w:r>
    </w:p>
    <w:p w14:paraId="60EFAD13">
      <w:pPr>
        <w:rPr>
          <w:rFonts w:hint="eastAsia" w:ascii="宋体" w:eastAsia="宋体" w:cs="宋体"/>
          <w:szCs w:val="24"/>
        </w:rPr>
      </w:pPr>
      <w:r>
        <w:rPr>
          <w:rFonts w:hint="eastAsia" w:ascii="宋体" w:eastAsia="宋体" w:cs="宋体"/>
          <w:szCs w:val="24"/>
        </w:rPr>
        <w:t>1、视频专网云计算平台软硬件资源部署</w:t>
      </w:r>
    </w:p>
    <w:p w14:paraId="00C463B2">
      <w:pPr>
        <w:rPr>
          <w:rFonts w:hint="eastAsia" w:ascii="宋体" w:eastAsia="宋体" w:cs="宋体"/>
          <w:szCs w:val="24"/>
        </w:rPr>
      </w:pPr>
      <w:r>
        <w:rPr>
          <w:rFonts w:hint="eastAsia" w:ascii="宋体" w:eastAsia="宋体" w:cs="宋体"/>
          <w:szCs w:val="24"/>
        </w:rPr>
        <w:t>云管理平台通过对视频综合业务服务器的集群虚拟化进行业务计算资源的整合与灵活利用，进行业务服务器计算资源的整合、动态调整、迁移。本次项目中视频专网各业务系统配套的硬件资源部署如下：采用32套刀片服务器，8机框。这32套刀片服务器中，25套刀片的服务器作为虚拟机的资源集群，所有的业务用将运行在这25套刀片服务器集群构成的虚拟资源中。另外7台作为整个云计算平台管和的结构化数据库节点，采用物理机的方式提升相关业务的性能和可靠性。为了方便规划说明，均按照服务器物理资源能力进行描述，原资源规划如下：</w:t>
      </w:r>
    </w:p>
    <w:tbl>
      <w:tblPr>
        <w:tblStyle w:val="38"/>
        <w:tblW w:w="88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842"/>
        <w:gridCol w:w="851"/>
        <w:gridCol w:w="835"/>
        <w:gridCol w:w="820"/>
        <w:gridCol w:w="783"/>
        <w:gridCol w:w="932"/>
        <w:gridCol w:w="820"/>
        <w:gridCol w:w="821"/>
      </w:tblGrid>
      <w:tr w14:paraId="16A6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05E9F99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业务类型</w:t>
            </w:r>
          </w:p>
        </w:tc>
        <w:tc>
          <w:tcPr>
            <w:tcW w:w="1842"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27D6ACFA">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虚拟机服务</w:t>
            </w:r>
          </w:p>
        </w:tc>
        <w:tc>
          <w:tcPr>
            <w:tcW w:w="851"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235EF4AB">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CPU（核）</w:t>
            </w:r>
          </w:p>
        </w:tc>
        <w:tc>
          <w:tcPr>
            <w:tcW w:w="835"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3E4B3F29">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内存（GB）</w:t>
            </w:r>
          </w:p>
        </w:tc>
        <w:tc>
          <w:tcPr>
            <w:tcW w:w="820"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4ECFD20C">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硬盘（GB）</w:t>
            </w:r>
          </w:p>
        </w:tc>
        <w:tc>
          <w:tcPr>
            <w:tcW w:w="783"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49F0938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配置数量(套)</w:t>
            </w:r>
          </w:p>
        </w:tc>
        <w:tc>
          <w:tcPr>
            <w:tcW w:w="932"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302B894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总CPU（核）</w:t>
            </w:r>
          </w:p>
        </w:tc>
        <w:tc>
          <w:tcPr>
            <w:tcW w:w="820"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5D585F7A">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总内存</w:t>
            </w:r>
          </w:p>
        </w:tc>
        <w:tc>
          <w:tcPr>
            <w:tcW w:w="821"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5BD19DDA">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总硬盘</w:t>
            </w:r>
          </w:p>
        </w:tc>
      </w:tr>
      <w:tr w14:paraId="311C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4A0CA09"/>
        </w:tc>
        <w:tc>
          <w:tcPr>
            <w:tcW w:w="184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7993719"/>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B66FD1A"/>
        </w:tc>
        <w:tc>
          <w:tcPr>
            <w:tcW w:w="83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846E6A"/>
        </w:tc>
        <w:tc>
          <w:tcPr>
            <w:tcW w:w="8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CD7B10E"/>
        </w:tc>
        <w:tc>
          <w:tcPr>
            <w:tcW w:w="78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302A5FF"/>
        </w:tc>
        <w:tc>
          <w:tcPr>
            <w:tcW w:w="93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0A2C98A"/>
        </w:tc>
        <w:tc>
          <w:tcPr>
            <w:tcW w:w="820"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666AA03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（GB）</w:t>
            </w:r>
          </w:p>
        </w:tc>
        <w:tc>
          <w:tcPr>
            <w:tcW w:w="821"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275BC1FC">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（GB）</w:t>
            </w:r>
          </w:p>
        </w:tc>
      </w:tr>
      <w:tr w14:paraId="58B1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45A9117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视频图像信息综合应用系统</w:t>
            </w:r>
          </w:p>
        </w:tc>
        <w:tc>
          <w:tcPr>
            <w:tcW w:w="1842" w:type="dxa"/>
            <w:tcBorders>
              <w:top w:val="single" w:color="auto" w:sz="4" w:space="0"/>
              <w:left w:val="single" w:color="auto" w:sz="4" w:space="0"/>
              <w:bottom w:val="single" w:color="auto" w:sz="4" w:space="0"/>
              <w:right w:val="single" w:color="auto" w:sz="4" w:space="0"/>
            </w:tcBorders>
            <w:noWrap/>
            <w:vAlign w:val="center"/>
          </w:tcPr>
          <w:p w14:paraId="1E7AFE6B">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GIS服务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74D3BA1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35" w:type="dxa"/>
            <w:tcBorders>
              <w:top w:val="single" w:color="auto" w:sz="4" w:space="0"/>
              <w:left w:val="single" w:color="auto" w:sz="4" w:space="0"/>
              <w:bottom w:val="single" w:color="auto" w:sz="4" w:space="0"/>
              <w:right w:val="single" w:color="auto" w:sz="4" w:space="0"/>
            </w:tcBorders>
            <w:noWrap/>
            <w:vAlign w:val="center"/>
          </w:tcPr>
          <w:p w14:paraId="5267DD1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96</w:t>
            </w:r>
          </w:p>
        </w:tc>
        <w:tc>
          <w:tcPr>
            <w:tcW w:w="820" w:type="dxa"/>
            <w:tcBorders>
              <w:top w:val="single" w:color="auto" w:sz="4" w:space="0"/>
              <w:left w:val="single" w:color="auto" w:sz="4" w:space="0"/>
              <w:bottom w:val="single" w:color="auto" w:sz="4" w:space="0"/>
              <w:right w:val="single" w:color="auto" w:sz="4" w:space="0"/>
            </w:tcBorders>
            <w:noWrap/>
            <w:vAlign w:val="center"/>
          </w:tcPr>
          <w:p w14:paraId="08BE370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783" w:type="dxa"/>
            <w:tcBorders>
              <w:top w:val="single" w:color="auto" w:sz="4" w:space="0"/>
              <w:left w:val="single" w:color="auto" w:sz="4" w:space="0"/>
              <w:bottom w:val="single" w:color="auto" w:sz="4" w:space="0"/>
              <w:right w:val="single" w:color="auto" w:sz="4" w:space="0"/>
            </w:tcBorders>
            <w:noWrap/>
            <w:vAlign w:val="center"/>
          </w:tcPr>
          <w:p w14:paraId="3FBB75D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7CA0915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43D619E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192</w:t>
            </w:r>
          </w:p>
        </w:tc>
        <w:tc>
          <w:tcPr>
            <w:tcW w:w="821" w:type="dxa"/>
            <w:tcBorders>
              <w:top w:val="single" w:color="auto" w:sz="4" w:space="0"/>
              <w:left w:val="single" w:color="auto" w:sz="4" w:space="0"/>
              <w:bottom w:val="single" w:color="auto" w:sz="4" w:space="0"/>
              <w:right w:val="single" w:color="auto" w:sz="4" w:space="0"/>
            </w:tcBorders>
            <w:noWrap/>
            <w:vAlign w:val="center"/>
          </w:tcPr>
          <w:p w14:paraId="4EA7C65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9920</w:t>
            </w:r>
          </w:p>
        </w:tc>
      </w:tr>
      <w:tr w14:paraId="559A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3A4E5B58"/>
        </w:tc>
        <w:tc>
          <w:tcPr>
            <w:tcW w:w="1842" w:type="dxa"/>
            <w:tcBorders>
              <w:top w:val="single" w:color="auto" w:sz="4" w:space="0"/>
              <w:left w:val="single" w:color="auto" w:sz="4" w:space="0"/>
              <w:bottom w:val="single" w:color="auto" w:sz="4" w:space="0"/>
              <w:right w:val="single" w:color="auto" w:sz="4" w:space="0"/>
            </w:tcBorders>
            <w:noWrap/>
            <w:vAlign w:val="center"/>
          </w:tcPr>
          <w:p w14:paraId="1225F408">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Web服务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49D3AF4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35" w:type="dxa"/>
            <w:tcBorders>
              <w:top w:val="single" w:color="auto" w:sz="4" w:space="0"/>
              <w:left w:val="single" w:color="auto" w:sz="4" w:space="0"/>
              <w:bottom w:val="single" w:color="auto" w:sz="4" w:space="0"/>
              <w:right w:val="single" w:color="auto" w:sz="4" w:space="0"/>
            </w:tcBorders>
            <w:noWrap/>
            <w:vAlign w:val="center"/>
          </w:tcPr>
          <w:p w14:paraId="3AE6CDF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96</w:t>
            </w:r>
          </w:p>
        </w:tc>
        <w:tc>
          <w:tcPr>
            <w:tcW w:w="820" w:type="dxa"/>
            <w:tcBorders>
              <w:top w:val="single" w:color="auto" w:sz="4" w:space="0"/>
              <w:left w:val="single" w:color="auto" w:sz="4" w:space="0"/>
              <w:bottom w:val="single" w:color="auto" w:sz="4" w:space="0"/>
              <w:right w:val="single" w:color="auto" w:sz="4" w:space="0"/>
            </w:tcBorders>
            <w:noWrap/>
            <w:vAlign w:val="center"/>
          </w:tcPr>
          <w:p w14:paraId="0C536F8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783" w:type="dxa"/>
            <w:tcBorders>
              <w:top w:val="single" w:color="auto" w:sz="4" w:space="0"/>
              <w:left w:val="single" w:color="auto" w:sz="4" w:space="0"/>
              <w:bottom w:val="single" w:color="auto" w:sz="4" w:space="0"/>
              <w:right w:val="single" w:color="auto" w:sz="4" w:space="0"/>
            </w:tcBorders>
            <w:noWrap/>
            <w:vAlign w:val="center"/>
          </w:tcPr>
          <w:p w14:paraId="291E67E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3537B30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176B55B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192</w:t>
            </w:r>
          </w:p>
        </w:tc>
        <w:tc>
          <w:tcPr>
            <w:tcW w:w="821" w:type="dxa"/>
            <w:tcBorders>
              <w:top w:val="single" w:color="auto" w:sz="4" w:space="0"/>
              <w:left w:val="single" w:color="auto" w:sz="4" w:space="0"/>
              <w:bottom w:val="single" w:color="auto" w:sz="4" w:space="0"/>
              <w:right w:val="single" w:color="auto" w:sz="4" w:space="0"/>
            </w:tcBorders>
            <w:noWrap/>
            <w:vAlign w:val="center"/>
          </w:tcPr>
          <w:p w14:paraId="4AE4B5A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3A8C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435A81F4"/>
        </w:tc>
        <w:tc>
          <w:tcPr>
            <w:tcW w:w="1842" w:type="dxa"/>
            <w:tcBorders>
              <w:top w:val="single" w:color="auto" w:sz="4" w:space="0"/>
              <w:left w:val="single" w:color="auto" w:sz="4" w:space="0"/>
              <w:bottom w:val="single" w:color="auto" w:sz="4" w:space="0"/>
              <w:right w:val="single" w:color="auto" w:sz="4" w:space="0"/>
            </w:tcBorders>
            <w:noWrap/>
            <w:vAlign w:val="center"/>
          </w:tcPr>
          <w:p w14:paraId="27046532">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线索上传服务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32C40E1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35" w:type="dxa"/>
            <w:tcBorders>
              <w:top w:val="single" w:color="auto" w:sz="4" w:space="0"/>
              <w:left w:val="single" w:color="auto" w:sz="4" w:space="0"/>
              <w:bottom w:val="single" w:color="auto" w:sz="4" w:space="0"/>
              <w:right w:val="single" w:color="auto" w:sz="4" w:space="0"/>
            </w:tcBorders>
            <w:noWrap/>
            <w:vAlign w:val="center"/>
          </w:tcPr>
          <w:p w14:paraId="64B8BCF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1983ACF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783" w:type="dxa"/>
            <w:tcBorders>
              <w:top w:val="single" w:color="auto" w:sz="4" w:space="0"/>
              <w:left w:val="single" w:color="auto" w:sz="4" w:space="0"/>
              <w:bottom w:val="single" w:color="auto" w:sz="4" w:space="0"/>
              <w:right w:val="single" w:color="auto" w:sz="4" w:space="0"/>
            </w:tcBorders>
            <w:noWrap/>
            <w:vAlign w:val="center"/>
          </w:tcPr>
          <w:p w14:paraId="608F4B9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0E76FE0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tcBorders>
              <w:top w:val="single" w:color="auto" w:sz="4" w:space="0"/>
              <w:left w:val="single" w:color="auto" w:sz="4" w:space="0"/>
              <w:bottom w:val="single" w:color="auto" w:sz="4" w:space="0"/>
              <w:right w:val="single" w:color="auto" w:sz="4" w:space="0"/>
            </w:tcBorders>
            <w:noWrap/>
            <w:vAlign w:val="center"/>
          </w:tcPr>
          <w:p w14:paraId="113540B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7CF76D1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585E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4ACD32B1"/>
        </w:tc>
        <w:tc>
          <w:tcPr>
            <w:tcW w:w="1842" w:type="dxa"/>
            <w:tcBorders>
              <w:top w:val="single" w:color="auto" w:sz="4" w:space="0"/>
              <w:left w:val="single" w:color="auto" w:sz="4" w:space="0"/>
              <w:bottom w:val="single" w:color="auto" w:sz="4" w:space="0"/>
              <w:right w:val="single" w:color="auto" w:sz="4" w:space="0"/>
            </w:tcBorders>
            <w:noWrap/>
            <w:vAlign w:val="center"/>
          </w:tcPr>
          <w:p w14:paraId="6BDAC93B">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视频调度服务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2B60839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35" w:type="dxa"/>
            <w:tcBorders>
              <w:top w:val="single" w:color="auto" w:sz="4" w:space="0"/>
              <w:left w:val="single" w:color="auto" w:sz="4" w:space="0"/>
              <w:bottom w:val="single" w:color="auto" w:sz="4" w:space="0"/>
              <w:right w:val="single" w:color="auto" w:sz="4" w:space="0"/>
            </w:tcBorders>
            <w:noWrap/>
            <w:vAlign w:val="center"/>
          </w:tcPr>
          <w:p w14:paraId="562CD07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1D15A8C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783" w:type="dxa"/>
            <w:tcBorders>
              <w:top w:val="single" w:color="auto" w:sz="4" w:space="0"/>
              <w:left w:val="single" w:color="auto" w:sz="4" w:space="0"/>
              <w:bottom w:val="single" w:color="auto" w:sz="4" w:space="0"/>
              <w:right w:val="single" w:color="auto" w:sz="4" w:space="0"/>
            </w:tcBorders>
            <w:noWrap/>
            <w:vAlign w:val="center"/>
          </w:tcPr>
          <w:p w14:paraId="1647BC7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46DA4FB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tcBorders>
              <w:top w:val="single" w:color="auto" w:sz="4" w:space="0"/>
              <w:left w:val="single" w:color="auto" w:sz="4" w:space="0"/>
              <w:bottom w:val="single" w:color="auto" w:sz="4" w:space="0"/>
              <w:right w:val="single" w:color="auto" w:sz="4" w:space="0"/>
            </w:tcBorders>
            <w:noWrap/>
            <w:vAlign w:val="center"/>
          </w:tcPr>
          <w:p w14:paraId="2C1EA7F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4992A44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3728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0241DAB8"/>
        </w:tc>
        <w:tc>
          <w:tcPr>
            <w:tcW w:w="1842" w:type="dxa"/>
            <w:tcBorders>
              <w:top w:val="single" w:color="auto" w:sz="4" w:space="0"/>
              <w:left w:val="single" w:color="auto" w:sz="4" w:space="0"/>
              <w:bottom w:val="single" w:color="auto" w:sz="4" w:space="0"/>
              <w:right w:val="single" w:color="auto" w:sz="4" w:space="0"/>
            </w:tcBorders>
            <w:noWrap/>
            <w:vAlign w:val="center"/>
          </w:tcPr>
          <w:p w14:paraId="00C284A9">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智能工具服务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0C35FFC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35" w:type="dxa"/>
            <w:tcBorders>
              <w:top w:val="single" w:color="auto" w:sz="4" w:space="0"/>
              <w:left w:val="single" w:color="auto" w:sz="4" w:space="0"/>
              <w:bottom w:val="single" w:color="auto" w:sz="4" w:space="0"/>
              <w:right w:val="single" w:color="auto" w:sz="4" w:space="0"/>
            </w:tcBorders>
            <w:noWrap/>
            <w:vAlign w:val="center"/>
          </w:tcPr>
          <w:p w14:paraId="4BA6EB9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5F6E983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783" w:type="dxa"/>
            <w:tcBorders>
              <w:top w:val="single" w:color="auto" w:sz="4" w:space="0"/>
              <w:left w:val="single" w:color="auto" w:sz="4" w:space="0"/>
              <w:bottom w:val="single" w:color="auto" w:sz="4" w:space="0"/>
              <w:right w:val="single" w:color="auto" w:sz="4" w:space="0"/>
            </w:tcBorders>
            <w:noWrap/>
            <w:vAlign w:val="center"/>
          </w:tcPr>
          <w:p w14:paraId="27BE47E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1B1FB87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tcBorders>
              <w:top w:val="single" w:color="auto" w:sz="4" w:space="0"/>
              <w:left w:val="single" w:color="auto" w:sz="4" w:space="0"/>
              <w:bottom w:val="single" w:color="auto" w:sz="4" w:space="0"/>
              <w:right w:val="single" w:color="auto" w:sz="4" w:space="0"/>
            </w:tcBorders>
            <w:noWrap/>
            <w:vAlign w:val="center"/>
          </w:tcPr>
          <w:p w14:paraId="0439D74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6E68CE7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5785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3DFA3D44"/>
        </w:tc>
        <w:tc>
          <w:tcPr>
            <w:tcW w:w="1842" w:type="dxa"/>
            <w:tcBorders>
              <w:top w:val="single" w:color="auto" w:sz="4" w:space="0"/>
              <w:left w:val="single" w:color="auto" w:sz="4" w:space="0"/>
              <w:bottom w:val="single" w:color="auto" w:sz="4" w:space="0"/>
              <w:right w:val="single" w:color="auto" w:sz="4" w:space="0"/>
            </w:tcBorders>
            <w:noWrap/>
            <w:vAlign w:val="center"/>
          </w:tcPr>
          <w:p w14:paraId="31D7E156">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负载均衡服务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69B40FF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35" w:type="dxa"/>
            <w:tcBorders>
              <w:top w:val="single" w:color="auto" w:sz="4" w:space="0"/>
              <w:left w:val="single" w:color="auto" w:sz="4" w:space="0"/>
              <w:bottom w:val="single" w:color="auto" w:sz="4" w:space="0"/>
              <w:right w:val="single" w:color="auto" w:sz="4" w:space="0"/>
            </w:tcBorders>
            <w:noWrap/>
            <w:vAlign w:val="center"/>
          </w:tcPr>
          <w:p w14:paraId="67E7B2D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1BD567B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783" w:type="dxa"/>
            <w:tcBorders>
              <w:top w:val="single" w:color="auto" w:sz="4" w:space="0"/>
              <w:left w:val="single" w:color="auto" w:sz="4" w:space="0"/>
              <w:bottom w:val="single" w:color="auto" w:sz="4" w:space="0"/>
              <w:right w:val="single" w:color="auto" w:sz="4" w:space="0"/>
            </w:tcBorders>
            <w:noWrap/>
            <w:vAlign w:val="center"/>
          </w:tcPr>
          <w:p w14:paraId="50AB77E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0203B6D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tcBorders>
              <w:top w:val="single" w:color="auto" w:sz="4" w:space="0"/>
              <w:left w:val="single" w:color="auto" w:sz="4" w:space="0"/>
              <w:bottom w:val="single" w:color="auto" w:sz="4" w:space="0"/>
              <w:right w:val="single" w:color="auto" w:sz="4" w:space="0"/>
            </w:tcBorders>
            <w:noWrap/>
            <w:vAlign w:val="center"/>
          </w:tcPr>
          <w:p w14:paraId="3285F56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594A69E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0C81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1779EC56"/>
        </w:tc>
        <w:tc>
          <w:tcPr>
            <w:tcW w:w="1842" w:type="dxa"/>
            <w:tcBorders>
              <w:top w:val="single" w:color="auto" w:sz="4" w:space="0"/>
              <w:left w:val="single" w:color="auto" w:sz="4" w:space="0"/>
              <w:bottom w:val="single" w:color="auto" w:sz="4" w:space="0"/>
              <w:right w:val="single" w:color="auto" w:sz="4" w:space="0"/>
            </w:tcBorders>
            <w:noWrap/>
            <w:vAlign w:val="center"/>
          </w:tcPr>
          <w:p w14:paraId="4C7C2AE8">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技战法服务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5A56187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35" w:type="dxa"/>
            <w:tcBorders>
              <w:top w:val="single" w:color="auto" w:sz="4" w:space="0"/>
              <w:left w:val="single" w:color="auto" w:sz="4" w:space="0"/>
              <w:bottom w:val="single" w:color="auto" w:sz="4" w:space="0"/>
              <w:right w:val="single" w:color="auto" w:sz="4" w:space="0"/>
            </w:tcBorders>
            <w:noWrap/>
            <w:vAlign w:val="center"/>
          </w:tcPr>
          <w:p w14:paraId="09BF1D5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820" w:type="dxa"/>
            <w:tcBorders>
              <w:top w:val="single" w:color="auto" w:sz="4" w:space="0"/>
              <w:left w:val="single" w:color="auto" w:sz="4" w:space="0"/>
              <w:bottom w:val="single" w:color="auto" w:sz="4" w:space="0"/>
              <w:right w:val="single" w:color="auto" w:sz="4" w:space="0"/>
            </w:tcBorders>
            <w:noWrap/>
            <w:vAlign w:val="center"/>
          </w:tcPr>
          <w:p w14:paraId="67EA0E9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783" w:type="dxa"/>
            <w:tcBorders>
              <w:top w:val="single" w:color="auto" w:sz="4" w:space="0"/>
              <w:left w:val="single" w:color="auto" w:sz="4" w:space="0"/>
              <w:bottom w:val="single" w:color="auto" w:sz="4" w:space="0"/>
              <w:right w:val="single" w:color="auto" w:sz="4" w:space="0"/>
            </w:tcBorders>
            <w:noWrap/>
            <w:vAlign w:val="center"/>
          </w:tcPr>
          <w:p w14:paraId="5649AB9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79DEB78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tcBorders>
              <w:top w:val="single" w:color="auto" w:sz="4" w:space="0"/>
              <w:left w:val="single" w:color="auto" w:sz="4" w:space="0"/>
              <w:bottom w:val="single" w:color="auto" w:sz="4" w:space="0"/>
              <w:right w:val="single" w:color="auto" w:sz="4" w:space="0"/>
            </w:tcBorders>
            <w:noWrap/>
            <w:vAlign w:val="center"/>
          </w:tcPr>
          <w:p w14:paraId="767739C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821" w:type="dxa"/>
            <w:tcBorders>
              <w:top w:val="single" w:color="auto" w:sz="4" w:space="0"/>
              <w:left w:val="single" w:color="auto" w:sz="4" w:space="0"/>
              <w:bottom w:val="single" w:color="auto" w:sz="4" w:space="0"/>
              <w:right w:val="single" w:color="auto" w:sz="4" w:space="0"/>
            </w:tcBorders>
            <w:noWrap/>
            <w:vAlign w:val="center"/>
          </w:tcPr>
          <w:p w14:paraId="3C24C03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9920</w:t>
            </w:r>
          </w:p>
        </w:tc>
      </w:tr>
      <w:tr w14:paraId="5EE3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4EE01E9C">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32"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078666B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184</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3E2098E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608</w:t>
            </w:r>
          </w:p>
        </w:tc>
        <w:tc>
          <w:tcPr>
            <w:tcW w:w="821"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4447966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49440</w:t>
            </w:r>
          </w:p>
        </w:tc>
      </w:tr>
      <w:tr w14:paraId="4EA9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65696FA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视频图像信息共享平</w:t>
            </w:r>
          </w:p>
        </w:tc>
        <w:tc>
          <w:tcPr>
            <w:tcW w:w="1842" w:type="dxa"/>
            <w:tcBorders>
              <w:top w:val="single" w:color="auto" w:sz="4" w:space="0"/>
              <w:left w:val="single" w:color="auto" w:sz="4" w:space="0"/>
              <w:bottom w:val="single" w:color="auto" w:sz="4" w:space="0"/>
              <w:right w:val="single" w:color="auto" w:sz="4" w:space="0"/>
            </w:tcBorders>
            <w:noWrap/>
            <w:vAlign w:val="center"/>
          </w:tcPr>
          <w:p w14:paraId="4A997664">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前端接入服务</w:t>
            </w: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14:paraId="0EB3E3D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35" w:type="dxa"/>
            <w:vMerge w:val="restart"/>
            <w:tcBorders>
              <w:top w:val="single" w:color="auto" w:sz="4" w:space="0"/>
              <w:left w:val="single" w:color="auto" w:sz="4" w:space="0"/>
              <w:bottom w:val="single" w:color="auto" w:sz="4" w:space="0"/>
              <w:right w:val="single" w:color="auto" w:sz="4" w:space="0"/>
            </w:tcBorders>
            <w:noWrap/>
            <w:vAlign w:val="center"/>
          </w:tcPr>
          <w:p w14:paraId="3864949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14:paraId="31D9373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8960</w:t>
            </w:r>
          </w:p>
        </w:tc>
        <w:tc>
          <w:tcPr>
            <w:tcW w:w="783" w:type="dxa"/>
            <w:vMerge w:val="restart"/>
            <w:tcBorders>
              <w:top w:val="single" w:color="auto" w:sz="4" w:space="0"/>
              <w:left w:val="single" w:color="auto" w:sz="4" w:space="0"/>
              <w:bottom w:val="single" w:color="auto" w:sz="4" w:space="0"/>
              <w:right w:val="single" w:color="auto" w:sz="4" w:space="0"/>
            </w:tcBorders>
            <w:noWrap/>
            <w:vAlign w:val="center"/>
          </w:tcPr>
          <w:p w14:paraId="765905B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vMerge w:val="restart"/>
            <w:tcBorders>
              <w:top w:val="single" w:color="auto" w:sz="4" w:space="0"/>
              <w:left w:val="single" w:color="auto" w:sz="4" w:space="0"/>
              <w:bottom w:val="single" w:color="auto" w:sz="4" w:space="0"/>
              <w:right w:val="single" w:color="auto" w:sz="4" w:space="0"/>
            </w:tcBorders>
            <w:noWrap/>
            <w:vAlign w:val="center"/>
          </w:tcPr>
          <w:p w14:paraId="1957C49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40</w:t>
            </w: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14:paraId="3354666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821" w:type="dxa"/>
            <w:vMerge w:val="restart"/>
            <w:tcBorders>
              <w:top w:val="single" w:color="auto" w:sz="4" w:space="0"/>
              <w:left w:val="single" w:color="auto" w:sz="4" w:space="0"/>
              <w:bottom w:val="single" w:color="auto" w:sz="4" w:space="0"/>
              <w:right w:val="single" w:color="auto" w:sz="4" w:space="0"/>
            </w:tcBorders>
            <w:noWrap/>
            <w:vAlign w:val="center"/>
          </w:tcPr>
          <w:p w14:paraId="0776951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17920</w:t>
            </w:r>
          </w:p>
        </w:tc>
      </w:tr>
      <w:tr w14:paraId="5F28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1ED5A7D"/>
        </w:tc>
        <w:tc>
          <w:tcPr>
            <w:tcW w:w="1842" w:type="dxa"/>
            <w:tcBorders>
              <w:top w:val="single" w:color="auto" w:sz="4" w:space="0"/>
              <w:left w:val="single" w:color="auto" w:sz="4" w:space="0"/>
              <w:bottom w:val="single" w:color="auto" w:sz="4" w:space="0"/>
              <w:right w:val="single" w:color="auto" w:sz="4" w:space="0"/>
            </w:tcBorders>
            <w:noWrap/>
            <w:vAlign w:val="center"/>
          </w:tcPr>
          <w:p w14:paraId="5F52B920">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客户端接入服务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29248BA3"/>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4EE5275F"/>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6F06AD5"/>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5B975720"/>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00350545"/>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0477AEEB"/>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6D255429"/>
        </w:tc>
      </w:tr>
      <w:tr w14:paraId="71D2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5B1FBD3F"/>
        </w:tc>
        <w:tc>
          <w:tcPr>
            <w:tcW w:w="1842" w:type="dxa"/>
            <w:tcBorders>
              <w:top w:val="single" w:color="auto" w:sz="4" w:space="0"/>
              <w:left w:val="single" w:color="auto" w:sz="4" w:space="0"/>
              <w:bottom w:val="single" w:color="auto" w:sz="4" w:space="0"/>
              <w:right w:val="single" w:color="auto" w:sz="4" w:space="0"/>
            </w:tcBorders>
            <w:noWrap/>
            <w:vAlign w:val="center"/>
          </w:tcPr>
          <w:p w14:paraId="2D18828A">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中心管理服务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11C391CC"/>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3321C0A4"/>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2F219D7B"/>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696A92E9"/>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10761664"/>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5BB85319"/>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698EB628"/>
        </w:tc>
      </w:tr>
      <w:tr w14:paraId="2B80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230F0702"/>
        </w:tc>
        <w:tc>
          <w:tcPr>
            <w:tcW w:w="1842" w:type="dxa"/>
            <w:tcBorders>
              <w:top w:val="single" w:color="auto" w:sz="4" w:space="0"/>
              <w:left w:val="single" w:color="auto" w:sz="4" w:space="0"/>
              <w:bottom w:val="single" w:color="auto" w:sz="4" w:space="0"/>
              <w:right w:val="single" w:color="auto" w:sz="4" w:space="0"/>
            </w:tcBorders>
            <w:noWrap/>
            <w:vAlign w:val="center"/>
          </w:tcPr>
          <w:p w14:paraId="3CCFDD61">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会话代理服务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5DADDE51"/>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6C965DB6"/>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3C19F51C"/>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4A183436"/>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15484AB2"/>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43E3F912"/>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5C8DC99B"/>
        </w:tc>
      </w:tr>
      <w:tr w14:paraId="49C9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489A1AC9"/>
        </w:tc>
        <w:tc>
          <w:tcPr>
            <w:tcW w:w="1842" w:type="dxa"/>
            <w:tcBorders>
              <w:top w:val="single" w:color="auto" w:sz="4" w:space="0"/>
              <w:left w:val="single" w:color="auto" w:sz="4" w:space="0"/>
              <w:bottom w:val="single" w:color="auto" w:sz="4" w:space="0"/>
              <w:right w:val="single" w:color="auto" w:sz="4" w:space="0"/>
            </w:tcBorders>
            <w:noWrap/>
            <w:vAlign w:val="center"/>
          </w:tcPr>
          <w:p w14:paraId="29129646">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3AS认证服务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77332A3A"/>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32B5FD0A"/>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75ADCF4F"/>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0A124158"/>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15918D24"/>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44CAC8CB"/>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126EF9F8"/>
        </w:tc>
      </w:tr>
      <w:tr w14:paraId="60D1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1521FF35"/>
        </w:tc>
        <w:tc>
          <w:tcPr>
            <w:tcW w:w="1842" w:type="dxa"/>
            <w:tcBorders>
              <w:top w:val="single" w:color="auto" w:sz="4" w:space="0"/>
              <w:left w:val="single" w:color="auto" w:sz="4" w:space="0"/>
              <w:bottom w:val="single" w:color="auto" w:sz="4" w:space="0"/>
              <w:right w:val="single" w:color="auto" w:sz="4" w:space="0"/>
            </w:tcBorders>
            <w:noWrap/>
            <w:vAlign w:val="center"/>
          </w:tcPr>
          <w:p w14:paraId="69824647">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用户用服务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115BD4C7"/>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20D5E19C"/>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3B236501"/>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1FF41B66"/>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77EA9BA3"/>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41397FFA"/>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263C76C9"/>
        </w:tc>
      </w:tr>
      <w:tr w14:paraId="7443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340FAAC"/>
        </w:tc>
        <w:tc>
          <w:tcPr>
            <w:tcW w:w="1842" w:type="dxa"/>
            <w:tcBorders>
              <w:top w:val="single" w:color="auto" w:sz="4" w:space="0"/>
              <w:left w:val="single" w:color="auto" w:sz="4" w:space="0"/>
              <w:bottom w:val="single" w:color="auto" w:sz="4" w:space="0"/>
              <w:right w:val="single" w:color="auto" w:sz="4" w:space="0"/>
            </w:tcBorders>
            <w:noWrap/>
            <w:vAlign w:val="center"/>
          </w:tcPr>
          <w:p w14:paraId="5B9A79E9">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告警业务服务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00D6EDAE"/>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46AF4C95"/>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1DFD66F6"/>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7C49FD07"/>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2DE11EBF"/>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78FABB56"/>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7F819396"/>
        </w:tc>
      </w:tr>
      <w:tr w14:paraId="3CDB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06A347A5"/>
        </w:tc>
        <w:tc>
          <w:tcPr>
            <w:tcW w:w="1842" w:type="dxa"/>
            <w:tcBorders>
              <w:top w:val="single" w:color="auto" w:sz="4" w:space="0"/>
              <w:left w:val="single" w:color="auto" w:sz="4" w:space="0"/>
              <w:bottom w:val="single" w:color="auto" w:sz="4" w:space="0"/>
              <w:right w:val="single" w:color="auto" w:sz="4" w:space="0"/>
            </w:tcBorders>
            <w:noWrap/>
            <w:vAlign w:val="center"/>
          </w:tcPr>
          <w:p w14:paraId="170F4A1B">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业务调度服务</w:t>
            </w:r>
          </w:p>
        </w:tc>
        <w:tc>
          <w:tcPr>
            <w:tcW w:w="851" w:type="dxa"/>
            <w:vMerge w:val="continue"/>
            <w:tcBorders>
              <w:top w:val="single" w:color="auto" w:sz="4" w:space="0"/>
              <w:left w:val="single" w:color="auto" w:sz="4" w:space="0"/>
              <w:bottom w:val="single" w:color="auto" w:sz="4" w:space="0"/>
              <w:right w:val="single" w:color="auto" w:sz="4" w:space="0"/>
            </w:tcBorders>
            <w:noWrap/>
            <w:vAlign w:val="center"/>
          </w:tcPr>
          <w:p w14:paraId="6F8A86B9"/>
        </w:tc>
        <w:tc>
          <w:tcPr>
            <w:tcW w:w="835" w:type="dxa"/>
            <w:vMerge w:val="continue"/>
            <w:tcBorders>
              <w:top w:val="single" w:color="auto" w:sz="4" w:space="0"/>
              <w:left w:val="single" w:color="auto" w:sz="4" w:space="0"/>
              <w:bottom w:val="single" w:color="auto" w:sz="4" w:space="0"/>
              <w:right w:val="single" w:color="auto" w:sz="4" w:space="0"/>
            </w:tcBorders>
            <w:noWrap/>
            <w:vAlign w:val="center"/>
          </w:tcPr>
          <w:p w14:paraId="4211FBC2"/>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0753EDD9"/>
        </w:tc>
        <w:tc>
          <w:tcPr>
            <w:tcW w:w="783" w:type="dxa"/>
            <w:vMerge w:val="continue"/>
            <w:tcBorders>
              <w:top w:val="single" w:color="auto" w:sz="4" w:space="0"/>
              <w:left w:val="single" w:color="auto" w:sz="4" w:space="0"/>
              <w:bottom w:val="single" w:color="auto" w:sz="4" w:space="0"/>
              <w:right w:val="single" w:color="auto" w:sz="4" w:space="0"/>
            </w:tcBorders>
            <w:noWrap/>
            <w:vAlign w:val="center"/>
          </w:tcPr>
          <w:p w14:paraId="495CC323"/>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14:paraId="12EBA547"/>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1FC6CF0C"/>
        </w:tc>
        <w:tc>
          <w:tcPr>
            <w:tcW w:w="821" w:type="dxa"/>
            <w:vMerge w:val="continue"/>
            <w:tcBorders>
              <w:top w:val="single" w:color="auto" w:sz="4" w:space="0"/>
              <w:left w:val="single" w:color="auto" w:sz="4" w:space="0"/>
              <w:bottom w:val="single" w:color="auto" w:sz="4" w:space="0"/>
              <w:right w:val="single" w:color="auto" w:sz="4" w:space="0"/>
            </w:tcBorders>
            <w:noWrap/>
            <w:vAlign w:val="center"/>
          </w:tcPr>
          <w:p w14:paraId="4A3903B0"/>
        </w:tc>
      </w:tr>
      <w:tr w14:paraId="1881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2A012AA9"/>
        </w:tc>
        <w:tc>
          <w:tcPr>
            <w:tcW w:w="1842" w:type="dxa"/>
            <w:tcBorders>
              <w:top w:val="single" w:color="auto" w:sz="4" w:space="0"/>
              <w:left w:val="single" w:color="auto" w:sz="4" w:space="0"/>
              <w:bottom w:val="single" w:color="auto" w:sz="4" w:space="0"/>
              <w:right w:val="single" w:color="auto" w:sz="4" w:space="0"/>
            </w:tcBorders>
            <w:noWrap/>
            <w:vAlign w:val="center"/>
          </w:tcPr>
          <w:p w14:paraId="755C7EED">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媒体转发业务</w:t>
            </w:r>
          </w:p>
        </w:tc>
        <w:tc>
          <w:tcPr>
            <w:tcW w:w="851" w:type="dxa"/>
            <w:tcBorders>
              <w:top w:val="single" w:color="auto" w:sz="4" w:space="0"/>
              <w:left w:val="single" w:color="auto" w:sz="4" w:space="0"/>
              <w:bottom w:val="single" w:color="auto" w:sz="4" w:space="0"/>
              <w:right w:val="single" w:color="auto" w:sz="4" w:space="0"/>
            </w:tcBorders>
            <w:noWrap/>
            <w:vAlign w:val="center"/>
          </w:tcPr>
          <w:p w14:paraId="31ECD94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35" w:type="dxa"/>
            <w:tcBorders>
              <w:top w:val="single" w:color="auto" w:sz="4" w:space="0"/>
              <w:left w:val="single" w:color="auto" w:sz="4" w:space="0"/>
              <w:bottom w:val="single" w:color="auto" w:sz="4" w:space="0"/>
              <w:right w:val="single" w:color="auto" w:sz="4" w:space="0"/>
            </w:tcBorders>
            <w:noWrap/>
            <w:vAlign w:val="center"/>
          </w:tcPr>
          <w:p w14:paraId="4E1456E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4272260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8960</w:t>
            </w:r>
          </w:p>
        </w:tc>
        <w:tc>
          <w:tcPr>
            <w:tcW w:w="783" w:type="dxa"/>
            <w:tcBorders>
              <w:top w:val="single" w:color="auto" w:sz="4" w:space="0"/>
              <w:left w:val="single" w:color="auto" w:sz="4" w:space="0"/>
              <w:bottom w:val="single" w:color="auto" w:sz="4" w:space="0"/>
              <w:right w:val="single" w:color="auto" w:sz="4" w:space="0"/>
            </w:tcBorders>
            <w:noWrap/>
            <w:vAlign w:val="center"/>
          </w:tcPr>
          <w:p w14:paraId="3DB99BF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796677F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5515425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821" w:type="dxa"/>
            <w:tcBorders>
              <w:top w:val="single" w:color="auto" w:sz="4" w:space="0"/>
              <w:left w:val="single" w:color="auto" w:sz="4" w:space="0"/>
              <w:bottom w:val="single" w:color="auto" w:sz="4" w:space="0"/>
              <w:right w:val="single" w:color="auto" w:sz="4" w:space="0"/>
            </w:tcBorders>
            <w:noWrap/>
            <w:vAlign w:val="center"/>
          </w:tcPr>
          <w:p w14:paraId="55E3908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17920</w:t>
            </w:r>
          </w:p>
        </w:tc>
      </w:tr>
      <w:tr w14:paraId="5108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40D9E838">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32"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0F10CDE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72</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78A88FB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821"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1F8BBE5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35840</w:t>
            </w:r>
          </w:p>
        </w:tc>
      </w:tr>
      <w:tr w14:paraId="0B3E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61305EA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高清可视指挥调度系统</w:t>
            </w:r>
          </w:p>
        </w:tc>
        <w:tc>
          <w:tcPr>
            <w:tcW w:w="1842" w:type="dxa"/>
            <w:tcBorders>
              <w:top w:val="single" w:color="auto" w:sz="4" w:space="0"/>
              <w:left w:val="single" w:color="auto" w:sz="4" w:space="0"/>
              <w:bottom w:val="single" w:color="auto" w:sz="4" w:space="0"/>
              <w:right w:val="single" w:color="auto" w:sz="4" w:space="0"/>
            </w:tcBorders>
            <w:noWrap/>
            <w:vAlign w:val="center"/>
          </w:tcPr>
          <w:p w14:paraId="342649A0">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GIS服务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35B20B9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835" w:type="dxa"/>
            <w:tcBorders>
              <w:top w:val="single" w:color="auto" w:sz="4" w:space="0"/>
              <w:left w:val="single" w:color="auto" w:sz="4" w:space="0"/>
              <w:bottom w:val="single" w:color="auto" w:sz="4" w:space="0"/>
              <w:right w:val="single" w:color="auto" w:sz="4" w:space="0"/>
            </w:tcBorders>
            <w:noWrap/>
            <w:vAlign w:val="center"/>
          </w:tcPr>
          <w:p w14:paraId="7331D66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2BB9C65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1480</w:t>
            </w:r>
          </w:p>
        </w:tc>
        <w:tc>
          <w:tcPr>
            <w:tcW w:w="783" w:type="dxa"/>
            <w:tcBorders>
              <w:top w:val="single" w:color="auto" w:sz="4" w:space="0"/>
              <w:left w:val="single" w:color="auto" w:sz="4" w:space="0"/>
              <w:bottom w:val="single" w:color="auto" w:sz="4" w:space="0"/>
              <w:right w:val="single" w:color="auto" w:sz="4" w:space="0"/>
            </w:tcBorders>
            <w:noWrap/>
            <w:vAlign w:val="center"/>
          </w:tcPr>
          <w:p w14:paraId="2D0C4DB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5281B7A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7042BE3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46E651F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r>
      <w:tr w14:paraId="7EF7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2A31AAAA"/>
        </w:tc>
        <w:tc>
          <w:tcPr>
            <w:tcW w:w="1842" w:type="dxa"/>
            <w:tcBorders>
              <w:top w:val="single" w:color="auto" w:sz="4" w:space="0"/>
              <w:left w:val="single" w:color="auto" w:sz="4" w:space="0"/>
              <w:bottom w:val="single" w:color="auto" w:sz="4" w:space="0"/>
              <w:right w:val="single" w:color="auto" w:sz="4" w:space="0"/>
            </w:tcBorders>
            <w:noWrap/>
            <w:vAlign w:val="center"/>
          </w:tcPr>
          <w:p w14:paraId="039B7675">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视频会议接入</w:t>
            </w:r>
          </w:p>
        </w:tc>
        <w:tc>
          <w:tcPr>
            <w:tcW w:w="851" w:type="dxa"/>
            <w:tcBorders>
              <w:top w:val="single" w:color="auto" w:sz="4" w:space="0"/>
              <w:left w:val="single" w:color="auto" w:sz="4" w:space="0"/>
              <w:bottom w:val="single" w:color="auto" w:sz="4" w:space="0"/>
              <w:right w:val="single" w:color="auto" w:sz="4" w:space="0"/>
            </w:tcBorders>
            <w:noWrap/>
            <w:vAlign w:val="center"/>
          </w:tcPr>
          <w:p w14:paraId="05B192E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835" w:type="dxa"/>
            <w:tcBorders>
              <w:top w:val="single" w:color="auto" w:sz="4" w:space="0"/>
              <w:left w:val="single" w:color="auto" w:sz="4" w:space="0"/>
              <w:bottom w:val="single" w:color="auto" w:sz="4" w:space="0"/>
              <w:right w:val="single" w:color="auto" w:sz="4" w:space="0"/>
            </w:tcBorders>
            <w:noWrap/>
            <w:vAlign w:val="center"/>
          </w:tcPr>
          <w:p w14:paraId="256AE6A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1DFBB1C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1480</w:t>
            </w:r>
          </w:p>
        </w:tc>
        <w:tc>
          <w:tcPr>
            <w:tcW w:w="783" w:type="dxa"/>
            <w:tcBorders>
              <w:top w:val="single" w:color="auto" w:sz="4" w:space="0"/>
              <w:left w:val="single" w:color="auto" w:sz="4" w:space="0"/>
              <w:bottom w:val="single" w:color="auto" w:sz="4" w:space="0"/>
              <w:right w:val="single" w:color="auto" w:sz="4" w:space="0"/>
            </w:tcBorders>
            <w:noWrap/>
            <w:vAlign w:val="center"/>
          </w:tcPr>
          <w:p w14:paraId="21724C0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2DAF391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60909F1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54070C6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r>
      <w:tr w14:paraId="25AB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551D2236"/>
        </w:tc>
        <w:tc>
          <w:tcPr>
            <w:tcW w:w="1842" w:type="dxa"/>
            <w:tcBorders>
              <w:top w:val="single" w:color="auto" w:sz="4" w:space="0"/>
              <w:left w:val="single" w:color="auto" w:sz="4" w:space="0"/>
              <w:bottom w:val="single" w:color="auto" w:sz="4" w:space="0"/>
              <w:right w:val="single" w:color="auto" w:sz="4" w:space="0"/>
            </w:tcBorders>
            <w:noWrap/>
            <w:vAlign w:val="center"/>
          </w:tcPr>
          <w:p w14:paraId="26C30A21">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监控图像接入</w:t>
            </w:r>
          </w:p>
        </w:tc>
        <w:tc>
          <w:tcPr>
            <w:tcW w:w="851" w:type="dxa"/>
            <w:tcBorders>
              <w:top w:val="single" w:color="auto" w:sz="4" w:space="0"/>
              <w:left w:val="single" w:color="auto" w:sz="4" w:space="0"/>
              <w:bottom w:val="single" w:color="auto" w:sz="4" w:space="0"/>
              <w:right w:val="single" w:color="auto" w:sz="4" w:space="0"/>
            </w:tcBorders>
            <w:noWrap/>
            <w:vAlign w:val="center"/>
          </w:tcPr>
          <w:p w14:paraId="6455732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835" w:type="dxa"/>
            <w:tcBorders>
              <w:top w:val="single" w:color="auto" w:sz="4" w:space="0"/>
              <w:left w:val="single" w:color="auto" w:sz="4" w:space="0"/>
              <w:bottom w:val="single" w:color="auto" w:sz="4" w:space="0"/>
              <w:right w:val="single" w:color="auto" w:sz="4" w:space="0"/>
            </w:tcBorders>
            <w:noWrap/>
            <w:vAlign w:val="center"/>
          </w:tcPr>
          <w:p w14:paraId="438248C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58A2DFD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1480</w:t>
            </w:r>
          </w:p>
        </w:tc>
        <w:tc>
          <w:tcPr>
            <w:tcW w:w="783" w:type="dxa"/>
            <w:tcBorders>
              <w:top w:val="single" w:color="auto" w:sz="4" w:space="0"/>
              <w:left w:val="single" w:color="auto" w:sz="4" w:space="0"/>
              <w:bottom w:val="single" w:color="auto" w:sz="4" w:space="0"/>
              <w:right w:val="single" w:color="auto" w:sz="4" w:space="0"/>
            </w:tcBorders>
            <w:noWrap/>
            <w:vAlign w:val="center"/>
          </w:tcPr>
          <w:p w14:paraId="590739E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42CF158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4D2A00E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6AD3CB5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r>
      <w:tr w14:paraId="1A30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342040CB"/>
        </w:tc>
        <w:tc>
          <w:tcPr>
            <w:tcW w:w="1842" w:type="dxa"/>
            <w:tcBorders>
              <w:top w:val="single" w:color="auto" w:sz="4" w:space="0"/>
              <w:left w:val="single" w:color="auto" w:sz="4" w:space="0"/>
              <w:bottom w:val="single" w:color="auto" w:sz="4" w:space="0"/>
              <w:right w:val="single" w:color="auto" w:sz="4" w:space="0"/>
            </w:tcBorders>
            <w:noWrap/>
            <w:vAlign w:val="center"/>
          </w:tcPr>
          <w:p w14:paraId="09F8B331">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矩阵接入</w:t>
            </w:r>
          </w:p>
        </w:tc>
        <w:tc>
          <w:tcPr>
            <w:tcW w:w="851" w:type="dxa"/>
            <w:tcBorders>
              <w:top w:val="single" w:color="auto" w:sz="4" w:space="0"/>
              <w:left w:val="single" w:color="auto" w:sz="4" w:space="0"/>
              <w:bottom w:val="single" w:color="auto" w:sz="4" w:space="0"/>
              <w:right w:val="single" w:color="auto" w:sz="4" w:space="0"/>
            </w:tcBorders>
            <w:noWrap/>
            <w:vAlign w:val="center"/>
          </w:tcPr>
          <w:p w14:paraId="739B4AA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835" w:type="dxa"/>
            <w:tcBorders>
              <w:top w:val="single" w:color="auto" w:sz="4" w:space="0"/>
              <w:left w:val="single" w:color="auto" w:sz="4" w:space="0"/>
              <w:bottom w:val="single" w:color="auto" w:sz="4" w:space="0"/>
              <w:right w:val="single" w:color="auto" w:sz="4" w:space="0"/>
            </w:tcBorders>
            <w:noWrap/>
            <w:vAlign w:val="center"/>
          </w:tcPr>
          <w:p w14:paraId="6A91608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5EEC0F5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1480</w:t>
            </w:r>
          </w:p>
        </w:tc>
        <w:tc>
          <w:tcPr>
            <w:tcW w:w="783" w:type="dxa"/>
            <w:tcBorders>
              <w:top w:val="single" w:color="auto" w:sz="4" w:space="0"/>
              <w:left w:val="single" w:color="auto" w:sz="4" w:space="0"/>
              <w:bottom w:val="single" w:color="auto" w:sz="4" w:space="0"/>
              <w:right w:val="single" w:color="auto" w:sz="4" w:space="0"/>
            </w:tcBorders>
            <w:noWrap/>
            <w:vAlign w:val="center"/>
          </w:tcPr>
          <w:p w14:paraId="3DE0CC5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709121E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39C9A48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0EAA0E6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r>
      <w:tr w14:paraId="2D52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51A7FA31"/>
        </w:tc>
        <w:tc>
          <w:tcPr>
            <w:tcW w:w="1842" w:type="dxa"/>
            <w:tcBorders>
              <w:top w:val="single" w:color="auto" w:sz="4" w:space="0"/>
              <w:left w:val="single" w:color="auto" w:sz="4" w:space="0"/>
              <w:bottom w:val="single" w:color="auto" w:sz="4" w:space="0"/>
              <w:right w:val="single" w:color="auto" w:sz="4" w:space="0"/>
            </w:tcBorders>
            <w:noWrap/>
            <w:vAlign w:val="center"/>
          </w:tcPr>
          <w:p w14:paraId="3F1BE830">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Web服务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28AEE86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835" w:type="dxa"/>
            <w:tcBorders>
              <w:top w:val="single" w:color="auto" w:sz="4" w:space="0"/>
              <w:left w:val="single" w:color="auto" w:sz="4" w:space="0"/>
              <w:bottom w:val="single" w:color="auto" w:sz="4" w:space="0"/>
              <w:right w:val="single" w:color="auto" w:sz="4" w:space="0"/>
            </w:tcBorders>
            <w:noWrap/>
            <w:vAlign w:val="center"/>
          </w:tcPr>
          <w:p w14:paraId="3B5E4F0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2E501FD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1480</w:t>
            </w:r>
          </w:p>
        </w:tc>
        <w:tc>
          <w:tcPr>
            <w:tcW w:w="783" w:type="dxa"/>
            <w:tcBorders>
              <w:top w:val="single" w:color="auto" w:sz="4" w:space="0"/>
              <w:left w:val="single" w:color="auto" w:sz="4" w:space="0"/>
              <w:bottom w:val="single" w:color="auto" w:sz="4" w:space="0"/>
              <w:right w:val="single" w:color="auto" w:sz="4" w:space="0"/>
            </w:tcBorders>
            <w:noWrap/>
            <w:vAlign w:val="center"/>
          </w:tcPr>
          <w:p w14:paraId="611F604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232B050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7643ED9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1" w:type="dxa"/>
            <w:tcBorders>
              <w:top w:val="single" w:color="auto" w:sz="4" w:space="0"/>
              <w:left w:val="single" w:color="auto" w:sz="4" w:space="0"/>
              <w:bottom w:val="single" w:color="auto" w:sz="4" w:space="0"/>
              <w:right w:val="single" w:color="auto" w:sz="4" w:space="0"/>
            </w:tcBorders>
            <w:noWrap/>
            <w:vAlign w:val="center"/>
          </w:tcPr>
          <w:p w14:paraId="4EACBAB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r>
      <w:tr w14:paraId="3CAC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2B33E657">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32"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0DEDB85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40</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2167E8E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120</w:t>
            </w:r>
          </w:p>
        </w:tc>
        <w:tc>
          <w:tcPr>
            <w:tcW w:w="821"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1B0CA55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14800</w:t>
            </w:r>
          </w:p>
        </w:tc>
      </w:tr>
      <w:tr w14:paraId="63F5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35" w:type="dxa"/>
            <w:tcBorders>
              <w:top w:val="single" w:color="auto" w:sz="4" w:space="0"/>
              <w:left w:val="single" w:color="auto" w:sz="4" w:space="0"/>
              <w:bottom w:val="single" w:color="auto" w:sz="4" w:space="0"/>
              <w:right w:val="single" w:color="auto" w:sz="4" w:space="0"/>
            </w:tcBorders>
            <w:noWrap/>
            <w:vAlign w:val="center"/>
          </w:tcPr>
          <w:p w14:paraId="192B6D1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视频图像安全运维管理系统</w:t>
            </w:r>
          </w:p>
        </w:tc>
        <w:tc>
          <w:tcPr>
            <w:tcW w:w="1842" w:type="dxa"/>
            <w:tcBorders>
              <w:top w:val="single" w:color="auto" w:sz="4" w:space="0"/>
              <w:left w:val="single" w:color="auto" w:sz="4" w:space="0"/>
              <w:bottom w:val="single" w:color="auto" w:sz="4" w:space="0"/>
              <w:right w:val="single" w:color="auto" w:sz="4" w:space="0"/>
            </w:tcBorders>
            <w:noWrap/>
            <w:vAlign w:val="center"/>
          </w:tcPr>
          <w:p w14:paraId="4B626950">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运维服务</w:t>
            </w:r>
          </w:p>
        </w:tc>
        <w:tc>
          <w:tcPr>
            <w:tcW w:w="851" w:type="dxa"/>
            <w:tcBorders>
              <w:top w:val="single" w:color="auto" w:sz="4" w:space="0"/>
              <w:left w:val="single" w:color="auto" w:sz="4" w:space="0"/>
              <w:bottom w:val="single" w:color="auto" w:sz="4" w:space="0"/>
              <w:right w:val="single" w:color="auto" w:sz="4" w:space="0"/>
            </w:tcBorders>
            <w:noWrap/>
            <w:vAlign w:val="center"/>
          </w:tcPr>
          <w:p w14:paraId="1890237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35" w:type="dxa"/>
            <w:tcBorders>
              <w:top w:val="single" w:color="auto" w:sz="4" w:space="0"/>
              <w:left w:val="single" w:color="auto" w:sz="4" w:space="0"/>
              <w:bottom w:val="single" w:color="auto" w:sz="4" w:space="0"/>
              <w:right w:val="single" w:color="auto" w:sz="4" w:space="0"/>
            </w:tcBorders>
            <w:noWrap/>
            <w:vAlign w:val="center"/>
          </w:tcPr>
          <w:p w14:paraId="5E76195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28</w:t>
            </w:r>
          </w:p>
        </w:tc>
        <w:tc>
          <w:tcPr>
            <w:tcW w:w="820" w:type="dxa"/>
            <w:tcBorders>
              <w:top w:val="single" w:color="auto" w:sz="4" w:space="0"/>
              <w:left w:val="single" w:color="auto" w:sz="4" w:space="0"/>
              <w:bottom w:val="single" w:color="auto" w:sz="4" w:space="0"/>
              <w:right w:val="single" w:color="auto" w:sz="4" w:space="0"/>
            </w:tcBorders>
            <w:noWrap/>
            <w:vAlign w:val="center"/>
          </w:tcPr>
          <w:p w14:paraId="0A39215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783" w:type="dxa"/>
            <w:tcBorders>
              <w:top w:val="single" w:color="auto" w:sz="4" w:space="0"/>
              <w:left w:val="single" w:color="auto" w:sz="4" w:space="0"/>
              <w:bottom w:val="single" w:color="auto" w:sz="4" w:space="0"/>
              <w:right w:val="single" w:color="auto" w:sz="4" w:space="0"/>
            </w:tcBorders>
            <w:noWrap/>
            <w:vAlign w:val="center"/>
          </w:tcPr>
          <w:p w14:paraId="3508BB6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22E1740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482C709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56</w:t>
            </w:r>
          </w:p>
        </w:tc>
        <w:tc>
          <w:tcPr>
            <w:tcW w:w="821" w:type="dxa"/>
            <w:tcBorders>
              <w:top w:val="single" w:color="auto" w:sz="4" w:space="0"/>
              <w:left w:val="single" w:color="auto" w:sz="4" w:space="0"/>
              <w:bottom w:val="single" w:color="auto" w:sz="4" w:space="0"/>
              <w:right w:val="single" w:color="auto" w:sz="4" w:space="0"/>
            </w:tcBorders>
            <w:noWrap/>
            <w:vAlign w:val="center"/>
          </w:tcPr>
          <w:p w14:paraId="2144213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256</w:t>
            </w:r>
          </w:p>
        </w:tc>
      </w:tr>
      <w:tr w14:paraId="6B95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7472CE40">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32"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09A7183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03D940E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56</w:t>
            </w:r>
          </w:p>
        </w:tc>
        <w:tc>
          <w:tcPr>
            <w:tcW w:w="821"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69DC970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256</w:t>
            </w:r>
          </w:p>
        </w:tc>
      </w:tr>
      <w:tr w14:paraId="1BB4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57D2F17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数据可视化呈现系统</w:t>
            </w:r>
          </w:p>
        </w:tc>
        <w:tc>
          <w:tcPr>
            <w:tcW w:w="1842" w:type="dxa"/>
            <w:tcBorders>
              <w:top w:val="single" w:color="auto" w:sz="4" w:space="0"/>
              <w:left w:val="single" w:color="auto" w:sz="4" w:space="0"/>
              <w:bottom w:val="single" w:color="auto" w:sz="4" w:space="0"/>
              <w:right w:val="single" w:color="auto" w:sz="4" w:space="0"/>
            </w:tcBorders>
            <w:noWrap/>
            <w:vAlign w:val="center"/>
          </w:tcPr>
          <w:p w14:paraId="18ACACF9">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人员数据可视化</w:t>
            </w:r>
          </w:p>
        </w:tc>
        <w:tc>
          <w:tcPr>
            <w:tcW w:w="851" w:type="dxa"/>
            <w:tcBorders>
              <w:top w:val="single" w:color="auto" w:sz="4" w:space="0"/>
              <w:left w:val="single" w:color="auto" w:sz="4" w:space="0"/>
              <w:bottom w:val="single" w:color="auto" w:sz="4" w:space="0"/>
              <w:right w:val="single" w:color="auto" w:sz="4" w:space="0"/>
            </w:tcBorders>
            <w:noWrap/>
            <w:vAlign w:val="center"/>
          </w:tcPr>
          <w:p w14:paraId="7F9E2FF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35" w:type="dxa"/>
            <w:tcBorders>
              <w:top w:val="single" w:color="auto" w:sz="4" w:space="0"/>
              <w:left w:val="single" w:color="auto" w:sz="4" w:space="0"/>
              <w:bottom w:val="single" w:color="auto" w:sz="4" w:space="0"/>
              <w:right w:val="single" w:color="auto" w:sz="4" w:space="0"/>
            </w:tcBorders>
            <w:noWrap/>
            <w:vAlign w:val="center"/>
          </w:tcPr>
          <w:p w14:paraId="16F4A2B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2EAA709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783" w:type="dxa"/>
            <w:tcBorders>
              <w:top w:val="single" w:color="auto" w:sz="4" w:space="0"/>
              <w:left w:val="single" w:color="auto" w:sz="4" w:space="0"/>
              <w:bottom w:val="single" w:color="auto" w:sz="4" w:space="0"/>
              <w:right w:val="single" w:color="auto" w:sz="4" w:space="0"/>
            </w:tcBorders>
            <w:noWrap/>
            <w:vAlign w:val="center"/>
          </w:tcPr>
          <w:p w14:paraId="00DEED1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4B59CD2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7398698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1" w:type="dxa"/>
            <w:tcBorders>
              <w:top w:val="single" w:color="auto" w:sz="4" w:space="0"/>
              <w:left w:val="single" w:color="auto" w:sz="4" w:space="0"/>
              <w:bottom w:val="single" w:color="auto" w:sz="4" w:space="0"/>
              <w:right w:val="single" w:color="auto" w:sz="4" w:space="0"/>
            </w:tcBorders>
            <w:noWrap/>
            <w:vAlign w:val="center"/>
          </w:tcPr>
          <w:p w14:paraId="6D57DE6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r>
      <w:tr w14:paraId="0AE2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DBAE9BA"/>
        </w:tc>
        <w:tc>
          <w:tcPr>
            <w:tcW w:w="1842" w:type="dxa"/>
            <w:tcBorders>
              <w:top w:val="single" w:color="auto" w:sz="4" w:space="0"/>
              <w:left w:val="single" w:color="auto" w:sz="4" w:space="0"/>
              <w:bottom w:val="single" w:color="auto" w:sz="4" w:space="0"/>
              <w:right w:val="single" w:color="auto" w:sz="4" w:space="0"/>
            </w:tcBorders>
            <w:noWrap/>
            <w:vAlign w:val="center"/>
          </w:tcPr>
          <w:p w14:paraId="2B38ED3F">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车辆数据可视化</w:t>
            </w:r>
          </w:p>
        </w:tc>
        <w:tc>
          <w:tcPr>
            <w:tcW w:w="851" w:type="dxa"/>
            <w:tcBorders>
              <w:top w:val="single" w:color="auto" w:sz="4" w:space="0"/>
              <w:left w:val="single" w:color="auto" w:sz="4" w:space="0"/>
              <w:bottom w:val="single" w:color="auto" w:sz="4" w:space="0"/>
              <w:right w:val="single" w:color="auto" w:sz="4" w:space="0"/>
            </w:tcBorders>
            <w:noWrap/>
            <w:vAlign w:val="center"/>
          </w:tcPr>
          <w:p w14:paraId="5C0D398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35" w:type="dxa"/>
            <w:tcBorders>
              <w:top w:val="single" w:color="auto" w:sz="4" w:space="0"/>
              <w:left w:val="single" w:color="auto" w:sz="4" w:space="0"/>
              <w:bottom w:val="single" w:color="auto" w:sz="4" w:space="0"/>
              <w:right w:val="single" w:color="auto" w:sz="4" w:space="0"/>
            </w:tcBorders>
            <w:noWrap/>
            <w:vAlign w:val="center"/>
          </w:tcPr>
          <w:p w14:paraId="3BE9C47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133E9FC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783" w:type="dxa"/>
            <w:tcBorders>
              <w:top w:val="single" w:color="auto" w:sz="4" w:space="0"/>
              <w:left w:val="single" w:color="auto" w:sz="4" w:space="0"/>
              <w:bottom w:val="single" w:color="auto" w:sz="4" w:space="0"/>
              <w:right w:val="single" w:color="auto" w:sz="4" w:space="0"/>
            </w:tcBorders>
            <w:noWrap/>
            <w:vAlign w:val="center"/>
          </w:tcPr>
          <w:p w14:paraId="378BB03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36A7C63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49C77E1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1" w:type="dxa"/>
            <w:tcBorders>
              <w:top w:val="single" w:color="auto" w:sz="4" w:space="0"/>
              <w:left w:val="single" w:color="auto" w:sz="4" w:space="0"/>
              <w:bottom w:val="single" w:color="auto" w:sz="4" w:space="0"/>
              <w:right w:val="single" w:color="auto" w:sz="4" w:space="0"/>
            </w:tcBorders>
            <w:noWrap/>
            <w:vAlign w:val="center"/>
          </w:tcPr>
          <w:p w14:paraId="724F742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r>
      <w:tr w14:paraId="080A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4844B0A1"/>
        </w:tc>
        <w:tc>
          <w:tcPr>
            <w:tcW w:w="1842" w:type="dxa"/>
            <w:tcBorders>
              <w:top w:val="single" w:color="auto" w:sz="4" w:space="0"/>
              <w:left w:val="single" w:color="auto" w:sz="4" w:space="0"/>
              <w:bottom w:val="single" w:color="auto" w:sz="4" w:space="0"/>
              <w:right w:val="single" w:color="auto" w:sz="4" w:space="0"/>
            </w:tcBorders>
            <w:noWrap/>
            <w:vAlign w:val="center"/>
          </w:tcPr>
          <w:p w14:paraId="5C922DED">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案事件可视化</w:t>
            </w:r>
          </w:p>
        </w:tc>
        <w:tc>
          <w:tcPr>
            <w:tcW w:w="851" w:type="dxa"/>
            <w:tcBorders>
              <w:top w:val="single" w:color="auto" w:sz="4" w:space="0"/>
              <w:left w:val="single" w:color="auto" w:sz="4" w:space="0"/>
              <w:bottom w:val="single" w:color="auto" w:sz="4" w:space="0"/>
              <w:right w:val="single" w:color="auto" w:sz="4" w:space="0"/>
            </w:tcBorders>
            <w:noWrap/>
            <w:vAlign w:val="center"/>
          </w:tcPr>
          <w:p w14:paraId="51C3A15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35" w:type="dxa"/>
            <w:tcBorders>
              <w:top w:val="single" w:color="auto" w:sz="4" w:space="0"/>
              <w:left w:val="single" w:color="auto" w:sz="4" w:space="0"/>
              <w:bottom w:val="single" w:color="auto" w:sz="4" w:space="0"/>
              <w:right w:val="single" w:color="auto" w:sz="4" w:space="0"/>
            </w:tcBorders>
            <w:noWrap/>
            <w:vAlign w:val="center"/>
          </w:tcPr>
          <w:p w14:paraId="7C99885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47B3886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783" w:type="dxa"/>
            <w:tcBorders>
              <w:top w:val="single" w:color="auto" w:sz="4" w:space="0"/>
              <w:left w:val="single" w:color="auto" w:sz="4" w:space="0"/>
              <w:bottom w:val="single" w:color="auto" w:sz="4" w:space="0"/>
              <w:right w:val="single" w:color="auto" w:sz="4" w:space="0"/>
            </w:tcBorders>
            <w:noWrap/>
            <w:vAlign w:val="center"/>
          </w:tcPr>
          <w:p w14:paraId="62B5192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0FD7FAA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7D2D1A5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1" w:type="dxa"/>
            <w:tcBorders>
              <w:top w:val="single" w:color="auto" w:sz="4" w:space="0"/>
              <w:left w:val="single" w:color="auto" w:sz="4" w:space="0"/>
              <w:bottom w:val="single" w:color="auto" w:sz="4" w:space="0"/>
              <w:right w:val="single" w:color="auto" w:sz="4" w:space="0"/>
            </w:tcBorders>
            <w:noWrap/>
            <w:vAlign w:val="center"/>
          </w:tcPr>
          <w:p w14:paraId="6749CAF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r>
      <w:tr w14:paraId="06DC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1694EE90"/>
        </w:tc>
        <w:tc>
          <w:tcPr>
            <w:tcW w:w="1842" w:type="dxa"/>
            <w:tcBorders>
              <w:top w:val="single" w:color="auto" w:sz="4" w:space="0"/>
              <w:left w:val="single" w:color="auto" w:sz="4" w:space="0"/>
              <w:bottom w:val="single" w:color="auto" w:sz="4" w:space="0"/>
              <w:right w:val="single" w:color="auto" w:sz="4" w:space="0"/>
            </w:tcBorders>
            <w:noWrap/>
            <w:vAlign w:val="center"/>
          </w:tcPr>
          <w:p w14:paraId="4508DBB7">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运维数据可视化</w:t>
            </w:r>
          </w:p>
        </w:tc>
        <w:tc>
          <w:tcPr>
            <w:tcW w:w="851" w:type="dxa"/>
            <w:tcBorders>
              <w:top w:val="single" w:color="auto" w:sz="4" w:space="0"/>
              <w:left w:val="single" w:color="auto" w:sz="4" w:space="0"/>
              <w:bottom w:val="single" w:color="auto" w:sz="4" w:space="0"/>
              <w:right w:val="single" w:color="auto" w:sz="4" w:space="0"/>
            </w:tcBorders>
            <w:noWrap/>
            <w:vAlign w:val="center"/>
          </w:tcPr>
          <w:p w14:paraId="699514B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35" w:type="dxa"/>
            <w:tcBorders>
              <w:top w:val="single" w:color="auto" w:sz="4" w:space="0"/>
              <w:left w:val="single" w:color="auto" w:sz="4" w:space="0"/>
              <w:bottom w:val="single" w:color="auto" w:sz="4" w:space="0"/>
              <w:right w:val="single" w:color="auto" w:sz="4" w:space="0"/>
            </w:tcBorders>
            <w:noWrap/>
            <w:vAlign w:val="center"/>
          </w:tcPr>
          <w:p w14:paraId="6628B1A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tcBorders>
              <w:top w:val="single" w:color="auto" w:sz="4" w:space="0"/>
              <w:left w:val="single" w:color="auto" w:sz="4" w:space="0"/>
              <w:bottom w:val="single" w:color="auto" w:sz="4" w:space="0"/>
              <w:right w:val="single" w:color="auto" w:sz="4" w:space="0"/>
            </w:tcBorders>
            <w:noWrap/>
            <w:vAlign w:val="center"/>
          </w:tcPr>
          <w:p w14:paraId="4A9CB89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783" w:type="dxa"/>
            <w:tcBorders>
              <w:top w:val="single" w:color="auto" w:sz="4" w:space="0"/>
              <w:left w:val="single" w:color="auto" w:sz="4" w:space="0"/>
              <w:bottom w:val="single" w:color="auto" w:sz="4" w:space="0"/>
              <w:right w:val="single" w:color="auto" w:sz="4" w:space="0"/>
            </w:tcBorders>
            <w:noWrap/>
            <w:vAlign w:val="center"/>
          </w:tcPr>
          <w:p w14:paraId="743E618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08315BA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2165023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1" w:type="dxa"/>
            <w:tcBorders>
              <w:top w:val="single" w:color="auto" w:sz="4" w:space="0"/>
              <w:left w:val="single" w:color="auto" w:sz="4" w:space="0"/>
              <w:bottom w:val="single" w:color="auto" w:sz="4" w:space="0"/>
              <w:right w:val="single" w:color="auto" w:sz="4" w:space="0"/>
            </w:tcBorders>
            <w:noWrap/>
            <w:vAlign w:val="center"/>
          </w:tcPr>
          <w:p w14:paraId="33A0EFA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r>
      <w:tr w14:paraId="0213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66F469A9">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32"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33FBD3D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4DED303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48</w:t>
            </w:r>
          </w:p>
        </w:tc>
        <w:tc>
          <w:tcPr>
            <w:tcW w:w="821"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159CBEA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7840</w:t>
            </w:r>
          </w:p>
        </w:tc>
      </w:tr>
      <w:tr w14:paraId="2CEF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53679B1D">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冗余备份资源</w:t>
            </w:r>
          </w:p>
        </w:tc>
        <w:tc>
          <w:tcPr>
            <w:tcW w:w="932"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4576775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40</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011B98D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640</w:t>
            </w:r>
          </w:p>
        </w:tc>
        <w:tc>
          <w:tcPr>
            <w:tcW w:w="821"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275C314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15829</w:t>
            </w:r>
          </w:p>
        </w:tc>
      </w:tr>
      <w:tr w14:paraId="7CFF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92D050"/>
            <w:noWrap/>
            <w:vAlign w:val="center"/>
          </w:tcPr>
          <w:p w14:paraId="186B12F5">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资源合计</w:t>
            </w:r>
          </w:p>
        </w:tc>
        <w:tc>
          <w:tcPr>
            <w:tcW w:w="932"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6E9AFDC3">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400</w:t>
            </w:r>
          </w:p>
        </w:tc>
        <w:tc>
          <w:tcPr>
            <w:tcW w:w="820"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54382D43">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1600</w:t>
            </w:r>
          </w:p>
        </w:tc>
        <w:tc>
          <w:tcPr>
            <w:tcW w:w="821"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363CD365">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124005</w:t>
            </w:r>
          </w:p>
        </w:tc>
      </w:tr>
      <w:tr w14:paraId="5575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F2F2F2"/>
            <w:noWrap/>
            <w:vAlign w:val="center"/>
          </w:tcPr>
          <w:p w14:paraId="5D2735E1">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单台业务服务器资源</w:t>
            </w:r>
          </w:p>
        </w:tc>
        <w:tc>
          <w:tcPr>
            <w:tcW w:w="932"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42A1EF78">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185A4A21">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64</w:t>
            </w:r>
          </w:p>
        </w:tc>
        <w:tc>
          <w:tcPr>
            <w:tcW w:w="821"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7C373647">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4960</w:t>
            </w:r>
          </w:p>
        </w:tc>
      </w:tr>
      <w:tr w14:paraId="57C6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95B3D7"/>
            <w:noWrap/>
            <w:vAlign w:val="center"/>
          </w:tcPr>
          <w:p w14:paraId="2E76886B">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所服务器数目</w:t>
            </w:r>
          </w:p>
        </w:tc>
        <w:tc>
          <w:tcPr>
            <w:tcW w:w="932"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0542D5E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25</w:t>
            </w:r>
          </w:p>
        </w:tc>
        <w:tc>
          <w:tcPr>
            <w:tcW w:w="820"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6CFF9CA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25</w:t>
            </w:r>
          </w:p>
        </w:tc>
        <w:tc>
          <w:tcPr>
            <w:tcW w:w="821"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5094FFB7">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 xml:space="preserve">25 </w:t>
            </w:r>
          </w:p>
        </w:tc>
      </w:tr>
      <w:tr w14:paraId="45F0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58EC5F7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物理机</w:t>
            </w:r>
          </w:p>
        </w:tc>
        <w:tc>
          <w:tcPr>
            <w:tcW w:w="1842" w:type="dxa"/>
            <w:tcBorders>
              <w:top w:val="single" w:color="auto" w:sz="4" w:space="0"/>
              <w:left w:val="single" w:color="auto" w:sz="4" w:space="0"/>
              <w:bottom w:val="single" w:color="auto" w:sz="4" w:space="0"/>
              <w:right w:val="single" w:color="auto" w:sz="4" w:space="0"/>
            </w:tcBorders>
            <w:noWrap/>
            <w:vAlign w:val="center"/>
          </w:tcPr>
          <w:p w14:paraId="44F7E7CB">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数据库服务器</w:t>
            </w:r>
          </w:p>
        </w:tc>
        <w:tc>
          <w:tcPr>
            <w:tcW w:w="851" w:type="dxa"/>
            <w:tcBorders>
              <w:top w:val="single" w:color="auto" w:sz="4" w:space="0"/>
              <w:left w:val="single" w:color="auto" w:sz="4" w:space="0"/>
              <w:bottom w:val="single" w:color="auto" w:sz="4" w:space="0"/>
              <w:right w:val="single" w:color="auto" w:sz="4" w:space="0"/>
            </w:tcBorders>
            <w:noWrap/>
            <w:vAlign w:val="center"/>
          </w:tcPr>
          <w:p w14:paraId="5DF6D55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35" w:type="dxa"/>
            <w:tcBorders>
              <w:top w:val="single" w:color="auto" w:sz="4" w:space="0"/>
              <w:left w:val="single" w:color="auto" w:sz="4" w:space="0"/>
              <w:bottom w:val="single" w:color="auto" w:sz="4" w:space="0"/>
              <w:right w:val="single" w:color="auto" w:sz="4" w:space="0"/>
            </w:tcBorders>
            <w:noWrap/>
            <w:vAlign w:val="center"/>
          </w:tcPr>
          <w:p w14:paraId="175F719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820" w:type="dxa"/>
            <w:tcBorders>
              <w:top w:val="single" w:color="auto" w:sz="4" w:space="0"/>
              <w:left w:val="single" w:color="auto" w:sz="4" w:space="0"/>
              <w:bottom w:val="single" w:color="auto" w:sz="4" w:space="0"/>
              <w:right w:val="single" w:color="auto" w:sz="4" w:space="0"/>
            </w:tcBorders>
            <w:noWrap/>
            <w:vAlign w:val="center"/>
          </w:tcPr>
          <w:p w14:paraId="327CE57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8960</w:t>
            </w:r>
          </w:p>
        </w:tc>
        <w:tc>
          <w:tcPr>
            <w:tcW w:w="783" w:type="dxa"/>
            <w:tcBorders>
              <w:top w:val="single" w:color="auto" w:sz="4" w:space="0"/>
              <w:left w:val="single" w:color="auto" w:sz="4" w:space="0"/>
              <w:bottom w:val="single" w:color="auto" w:sz="4" w:space="0"/>
              <w:right w:val="single" w:color="auto" w:sz="4" w:space="0"/>
            </w:tcBorders>
            <w:noWrap/>
            <w:vAlign w:val="center"/>
          </w:tcPr>
          <w:p w14:paraId="061858A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932" w:type="dxa"/>
            <w:tcBorders>
              <w:top w:val="single" w:color="auto" w:sz="4" w:space="0"/>
              <w:left w:val="single" w:color="auto" w:sz="4" w:space="0"/>
              <w:bottom w:val="single" w:color="auto" w:sz="4" w:space="0"/>
              <w:right w:val="single" w:color="auto" w:sz="4" w:space="0"/>
            </w:tcBorders>
            <w:noWrap/>
            <w:vAlign w:val="center"/>
          </w:tcPr>
          <w:p w14:paraId="1C674B2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48</w:t>
            </w:r>
          </w:p>
        </w:tc>
        <w:tc>
          <w:tcPr>
            <w:tcW w:w="820" w:type="dxa"/>
            <w:tcBorders>
              <w:top w:val="single" w:color="auto" w:sz="4" w:space="0"/>
              <w:left w:val="single" w:color="auto" w:sz="4" w:space="0"/>
              <w:bottom w:val="single" w:color="auto" w:sz="4" w:space="0"/>
              <w:right w:val="single" w:color="auto" w:sz="4" w:space="0"/>
            </w:tcBorders>
            <w:noWrap/>
            <w:vAlign w:val="center"/>
          </w:tcPr>
          <w:p w14:paraId="2EB4367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384</w:t>
            </w:r>
          </w:p>
        </w:tc>
        <w:tc>
          <w:tcPr>
            <w:tcW w:w="821" w:type="dxa"/>
            <w:tcBorders>
              <w:top w:val="single" w:color="auto" w:sz="4" w:space="0"/>
              <w:left w:val="single" w:color="auto" w:sz="4" w:space="0"/>
              <w:bottom w:val="single" w:color="auto" w:sz="4" w:space="0"/>
              <w:right w:val="single" w:color="auto" w:sz="4" w:space="0"/>
            </w:tcBorders>
            <w:noWrap/>
            <w:vAlign w:val="center"/>
          </w:tcPr>
          <w:p w14:paraId="6D8253F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26880</w:t>
            </w:r>
          </w:p>
        </w:tc>
      </w:tr>
      <w:tr w14:paraId="54C4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45C5D761"/>
        </w:tc>
        <w:tc>
          <w:tcPr>
            <w:tcW w:w="1842" w:type="dxa"/>
            <w:tcBorders>
              <w:top w:val="single" w:color="auto" w:sz="4" w:space="0"/>
              <w:left w:val="single" w:color="auto" w:sz="4" w:space="0"/>
              <w:bottom w:val="single" w:color="auto" w:sz="4" w:space="0"/>
              <w:right w:val="single" w:color="auto" w:sz="4" w:space="0"/>
            </w:tcBorders>
            <w:noWrap/>
            <w:vAlign w:val="center"/>
          </w:tcPr>
          <w:p w14:paraId="32500231">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云计算平台管理</w:t>
            </w:r>
          </w:p>
        </w:tc>
        <w:tc>
          <w:tcPr>
            <w:tcW w:w="851" w:type="dxa"/>
            <w:tcBorders>
              <w:top w:val="single" w:color="auto" w:sz="4" w:space="0"/>
              <w:left w:val="single" w:color="auto" w:sz="4" w:space="0"/>
              <w:bottom w:val="single" w:color="auto" w:sz="4" w:space="0"/>
              <w:right w:val="single" w:color="auto" w:sz="4" w:space="0"/>
            </w:tcBorders>
            <w:noWrap/>
            <w:vAlign w:val="center"/>
          </w:tcPr>
          <w:p w14:paraId="589B301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35" w:type="dxa"/>
            <w:tcBorders>
              <w:top w:val="single" w:color="auto" w:sz="4" w:space="0"/>
              <w:left w:val="single" w:color="auto" w:sz="4" w:space="0"/>
              <w:bottom w:val="single" w:color="auto" w:sz="4" w:space="0"/>
              <w:right w:val="single" w:color="auto" w:sz="4" w:space="0"/>
            </w:tcBorders>
            <w:noWrap/>
            <w:vAlign w:val="center"/>
          </w:tcPr>
          <w:p w14:paraId="0D5CB1F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820" w:type="dxa"/>
            <w:tcBorders>
              <w:top w:val="single" w:color="auto" w:sz="4" w:space="0"/>
              <w:left w:val="single" w:color="auto" w:sz="4" w:space="0"/>
              <w:bottom w:val="single" w:color="auto" w:sz="4" w:space="0"/>
              <w:right w:val="single" w:color="auto" w:sz="4" w:space="0"/>
            </w:tcBorders>
            <w:noWrap/>
            <w:vAlign w:val="center"/>
          </w:tcPr>
          <w:p w14:paraId="44B8AE2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783" w:type="dxa"/>
            <w:tcBorders>
              <w:top w:val="single" w:color="auto" w:sz="4" w:space="0"/>
              <w:left w:val="single" w:color="auto" w:sz="4" w:space="0"/>
              <w:bottom w:val="single" w:color="auto" w:sz="4" w:space="0"/>
              <w:right w:val="single" w:color="auto" w:sz="4" w:space="0"/>
            </w:tcBorders>
            <w:noWrap/>
            <w:vAlign w:val="center"/>
          </w:tcPr>
          <w:p w14:paraId="221E502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932" w:type="dxa"/>
            <w:tcBorders>
              <w:top w:val="single" w:color="auto" w:sz="4" w:space="0"/>
              <w:left w:val="single" w:color="auto" w:sz="4" w:space="0"/>
              <w:bottom w:val="single" w:color="auto" w:sz="4" w:space="0"/>
              <w:right w:val="single" w:color="auto" w:sz="4" w:space="0"/>
            </w:tcBorders>
            <w:noWrap/>
            <w:vAlign w:val="center"/>
          </w:tcPr>
          <w:p w14:paraId="2B9E228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820" w:type="dxa"/>
            <w:tcBorders>
              <w:top w:val="single" w:color="auto" w:sz="4" w:space="0"/>
              <w:left w:val="single" w:color="auto" w:sz="4" w:space="0"/>
              <w:bottom w:val="single" w:color="auto" w:sz="4" w:space="0"/>
              <w:right w:val="single" w:color="auto" w:sz="4" w:space="0"/>
            </w:tcBorders>
            <w:noWrap/>
            <w:vAlign w:val="center"/>
          </w:tcPr>
          <w:p w14:paraId="7F695A8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512</w:t>
            </w:r>
          </w:p>
        </w:tc>
        <w:tc>
          <w:tcPr>
            <w:tcW w:w="821" w:type="dxa"/>
            <w:tcBorders>
              <w:top w:val="single" w:color="auto" w:sz="4" w:space="0"/>
              <w:left w:val="single" w:color="auto" w:sz="4" w:space="0"/>
              <w:bottom w:val="single" w:color="auto" w:sz="4" w:space="0"/>
              <w:right w:val="single" w:color="auto" w:sz="4" w:space="0"/>
            </w:tcBorders>
            <w:noWrap/>
            <w:vAlign w:val="center"/>
          </w:tcPr>
          <w:p w14:paraId="2896B18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19840</w:t>
            </w:r>
          </w:p>
        </w:tc>
      </w:tr>
      <w:tr w14:paraId="7421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92D050"/>
            <w:noWrap/>
            <w:vAlign w:val="center"/>
          </w:tcPr>
          <w:p w14:paraId="0AE33895">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资源合计</w:t>
            </w:r>
          </w:p>
        </w:tc>
        <w:tc>
          <w:tcPr>
            <w:tcW w:w="932"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5BCE831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112</w:t>
            </w:r>
          </w:p>
        </w:tc>
        <w:tc>
          <w:tcPr>
            <w:tcW w:w="820"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5866190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896</w:t>
            </w:r>
          </w:p>
        </w:tc>
        <w:tc>
          <w:tcPr>
            <w:tcW w:w="821"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1B87185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46720</w:t>
            </w:r>
          </w:p>
        </w:tc>
      </w:tr>
      <w:tr w14:paraId="5643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F2F2F2"/>
            <w:noWrap/>
            <w:vAlign w:val="center"/>
          </w:tcPr>
          <w:p w14:paraId="2D97A813">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单台服务器资源</w:t>
            </w:r>
          </w:p>
        </w:tc>
        <w:tc>
          <w:tcPr>
            <w:tcW w:w="932"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2624CB6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7738C6B0">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128</w:t>
            </w:r>
          </w:p>
        </w:tc>
        <w:tc>
          <w:tcPr>
            <w:tcW w:w="821"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58F37D56">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4960</w:t>
            </w:r>
          </w:p>
        </w:tc>
      </w:tr>
      <w:tr w14:paraId="4BBA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66" w:type="dxa"/>
            <w:gridSpan w:val="6"/>
            <w:tcBorders>
              <w:top w:val="single" w:color="auto" w:sz="4" w:space="0"/>
              <w:left w:val="single" w:color="auto" w:sz="4" w:space="0"/>
              <w:bottom w:val="single" w:color="auto" w:sz="4" w:space="0"/>
              <w:right w:val="single" w:color="auto" w:sz="4" w:space="0"/>
            </w:tcBorders>
            <w:shd w:val="clear" w:color="000000" w:fill="95B3D7"/>
            <w:noWrap/>
            <w:vAlign w:val="center"/>
          </w:tcPr>
          <w:p w14:paraId="6E3482DE">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所服务器数目</w:t>
            </w:r>
          </w:p>
        </w:tc>
        <w:tc>
          <w:tcPr>
            <w:tcW w:w="932"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6D0BC03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7</w:t>
            </w:r>
          </w:p>
        </w:tc>
        <w:tc>
          <w:tcPr>
            <w:tcW w:w="820"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65365D8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7</w:t>
            </w:r>
          </w:p>
        </w:tc>
        <w:tc>
          <w:tcPr>
            <w:tcW w:w="821"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7AD4FF8F">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 xml:space="preserve">7 </w:t>
            </w:r>
          </w:p>
        </w:tc>
      </w:tr>
    </w:tbl>
    <w:p w14:paraId="12287C06">
      <w:pPr>
        <w:tabs>
          <w:tab w:val="left" w:pos="557"/>
        </w:tabs>
        <w:rPr>
          <w:rFonts w:hint="eastAsia" w:ascii="宋体" w:eastAsia="宋体" w:cs="宋体"/>
          <w:szCs w:val="24"/>
        </w:rPr>
      </w:pPr>
      <w:r>
        <w:rPr>
          <w:rFonts w:hint="eastAsia" w:ascii="宋体" w:eastAsia="宋体" w:cs="宋体"/>
          <w:szCs w:val="24"/>
        </w:rPr>
        <w:t>2、公安网云计算平台软硬件资源部署</w:t>
      </w:r>
    </w:p>
    <w:p w14:paraId="1A3F1D4E">
      <w:pPr>
        <w:rPr>
          <w:rFonts w:hint="eastAsia" w:ascii="宋体" w:eastAsia="宋体" w:cs="宋体"/>
          <w:szCs w:val="24"/>
        </w:rPr>
      </w:pPr>
      <w:r>
        <w:rPr>
          <w:rFonts w:hint="eastAsia" w:ascii="宋体" w:eastAsia="宋体" w:cs="宋体"/>
          <w:szCs w:val="24"/>
        </w:rPr>
        <w:t>公安网内云计算平台主要负责视频图像信息共享平台服务器、视频图像信息综合应用系统服务器、数据可视化呈现系统服务器及云存储设备的统一管理和集中调度。本次项目中公安网各业务系统配套的硬件资源部署如下：采用24套刀片服务器，6机框。这24套刀片服务器中，17套刀片的服务器作为虚拟机的资源集群，所有的业务用将运行在这17套刀片服务器集群构成的虚拟资源中。另外7台作为整个云计算平台管和的结构化数据库节点，采用物理机的方式提升相关业务的性能和可靠性。为了方便规划说明，均按照服务器物理资源能力进行描述，原资源规划如下：</w:t>
      </w:r>
    </w:p>
    <w:tbl>
      <w:tblPr>
        <w:tblStyle w:val="38"/>
        <w:tblW w:w="88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700"/>
        <w:gridCol w:w="840"/>
        <w:gridCol w:w="820"/>
        <w:gridCol w:w="922"/>
        <w:gridCol w:w="823"/>
        <w:gridCol w:w="959"/>
        <w:gridCol w:w="820"/>
        <w:gridCol w:w="820"/>
      </w:tblGrid>
      <w:tr w14:paraId="5066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23FBF48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业务类型</w:t>
            </w:r>
          </w:p>
        </w:tc>
        <w:tc>
          <w:tcPr>
            <w:tcW w:w="1700"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48EBA481">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虚拟机服务</w:t>
            </w:r>
          </w:p>
        </w:tc>
        <w:tc>
          <w:tcPr>
            <w:tcW w:w="840"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006D2C83">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CPU（核）</w:t>
            </w:r>
          </w:p>
        </w:tc>
        <w:tc>
          <w:tcPr>
            <w:tcW w:w="820"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01E97F0F">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内存（GB）</w:t>
            </w:r>
          </w:p>
        </w:tc>
        <w:tc>
          <w:tcPr>
            <w:tcW w:w="922"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68C36A3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硬盘（GB）</w:t>
            </w:r>
          </w:p>
        </w:tc>
        <w:tc>
          <w:tcPr>
            <w:tcW w:w="823"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0EC4EBD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配置数量(套)</w:t>
            </w:r>
          </w:p>
        </w:tc>
        <w:tc>
          <w:tcPr>
            <w:tcW w:w="959" w:type="dxa"/>
            <w:vMerge w:val="restart"/>
            <w:tcBorders>
              <w:top w:val="single" w:color="auto" w:sz="4" w:space="0"/>
              <w:left w:val="single" w:color="auto" w:sz="4" w:space="0"/>
              <w:bottom w:val="single" w:color="auto" w:sz="4" w:space="0"/>
              <w:right w:val="single" w:color="auto" w:sz="4" w:space="0"/>
            </w:tcBorders>
            <w:shd w:val="clear" w:color="000000" w:fill="D9D9D9"/>
            <w:noWrap/>
            <w:vAlign w:val="center"/>
          </w:tcPr>
          <w:p w14:paraId="70019353">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总CPU（核）</w:t>
            </w:r>
          </w:p>
        </w:tc>
        <w:tc>
          <w:tcPr>
            <w:tcW w:w="820"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5504E3F3">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总内存</w:t>
            </w:r>
          </w:p>
        </w:tc>
        <w:tc>
          <w:tcPr>
            <w:tcW w:w="820"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13BA4182">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总硬盘</w:t>
            </w:r>
          </w:p>
        </w:tc>
      </w:tr>
      <w:tr w14:paraId="4A3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54EBA2E"/>
        </w:tc>
        <w:tc>
          <w:tcPr>
            <w:tcW w:w="17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159CB8F"/>
        </w:tc>
        <w:tc>
          <w:tcPr>
            <w:tcW w:w="84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38BA6AE"/>
        </w:tc>
        <w:tc>
          <w:tcPr>
            <w:tcW w:w="8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F301CFA"/>
        </w:tc>
        <w:tc>
          <w:tcPr>
            <w:tcW w:w="9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8ACF15C"/>
        </w:tc>
        <w:tc>
          <w:tcPr>
            <w:tcW w:w="82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6671F5D"/>
        </w:tc>
        <w:tc>
          <w:tcPr>
            <w:tcW w:w="95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F5074FD"/>
        </w:tc>
        <w:tc>
          <w:tcPr>
            <w:tcW w:w="820"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4199C6D6">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（GB）</w:t>
            </w:r>
          </w:p>
        </w:tc>
        <w:tc>
          <w:tcPr>
            <w:tcW w:w="820" w:type="dxa"/>
            <w:tcBorders>
              <w:top w:val="single" w:color="auto" w:sz="4" w:space="0"/>
              <w:left w:val="single" w:color="auto" w:sz="4" w:space="0"/>
              <w:bottom w:val="single" w:color="auto" w:sz="4" w:space="0"/>
              <w:right w:val="single" w:color="auto" w:sz="4" w:space="0"/>
            </w:tcBorders>
            <w:shd w:val="clear" w:color="000000" w:fill="D9D9D9"/>
            <w:noWrap/>
            <w:vAlign w:val="center"/>
          </w:tcPr>
          <w:p w14:paraId="74F7D89B">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（GB）</w:t>
            </w:r>
          </w:p>
        </w:tc>
      </w:tr>
      <w:tr w14:paraId="3AE6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492B997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视频图像信息综合应用系统</w:t>
            </w:r>
          </w:p>
        </w:tc>
        <w:tc>
          <w:tcPr>
            <w:tcW w:w="1700" w:type="dxa"/>
            <w:tcBorders>
              <w:top w:val="single" w:color="auto" w:sz="4" w:space="0"/>
              <w:left w:val="single" w:color="auto" w:sz="4" w:space="0"/>
              <w:bottom w:val="single" w:color="auto" w:sz="4" w:space="0"/>
              <w:right w:val="single" w:color="auto" w:sz="4" w:space="0"/>
            </w:tcBorders>
            <w:noWrap/>
            <w:vAlign w:val="center"/>
          </w:tcPr>
          <w:p w14:paraId="4F20105D">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GIS服务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4261D76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33F284E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922" w:type="dxa"/>
            <w:tcBorders>
              <w:top w:val="single" w:color="auto" w:sz="4" w:space="0"/>
              <w:left w:val="single" w:color="auto" w:sz="4" w:space="0"/>
              <w:bottom w:val="single" w:color="auto" w:sz="4" w:space="0"/>
              <w:right w:val="single" w:color="auto" w:sz="4" w:space="0"/>
            </w:tcBorders>
            <w:noWrap/>
            <w:vAlign w:val="center"/>
          </w:tcPr>
          <w:p w14:paraId="7AC6622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734A84B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456329A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592C5D2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820" w:type="dxa"/>
            <w:tcBorders>
              <w:top w:val="single" w:color="auto" w:sz="4" w:space="0"/>
              <w:left w:val="single" w:color="auto" w:sz="4" w:space="0"/>
              <w:bottom w:val="single" w:color="auto" w:sz="4" w:space="0"/>
              <w:right w:val="single" w:color="auto" w:sz="4" w:space="0"/>
            </w:tcBorders>
            <w:noWrap/>
            <w:vAlign w:val="center"/>
          </w:tcPr>
          <w:p w14:paraId="4CD8D35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9920</w:t>
            </w:r>
          </w:p>
        </w:tc>
      </w:tr>
      <w:tr w14:paraId="3F1B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052B90D3"/>
        </w:tc>
        <w:tc>
          <w:tcPr>
            <w:tcW w:w="1700" w:type="dxa"/>
            <w:tcBorders>
              <w:top w:val="single" w:color="auto" w:sz="4" w:space="0"/>
              <w:left w:val="single" w:color="auto" w:sz="4" w:space="0"/>
              <w:bottom w:val="single" w:color="auto" w:sz="4" w:space="0"/>
              <w:right w:val="single" w:color="auto" w:sz="4" w:space="0"/>
            </w:tcBorders>
            <w:noWrap/>
            <w:vAlign w:val="center"/>
          </w:tcPr>
          <w:p w14:paraId="7EEC3F76">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Web服务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13FD811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11CD6E4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922" w:type="dxa"/>
            <w:tcBorders>
              <w:top w:val="single" w:color="auto" w:sz="4" w:space="0"/>
              <w:left w:val="single" w:color="auto" w:sz="4" w:space="0"/>
              <w:bottom w:val="single" w:color="auto" w:sz="4" w:space="0"/>
              <w:right w:val="single" w:color="auto" w:sz="4" w:space="0"/>
            </w:tcBorders>
            <w:noWrap/>
            <w:vAlign w:val="center"/>
          </w:tcPr>
          <w:p w14:paraId="4019B71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823" w:type="dxa"/>
            <w:tcBorders>
              <w:top w:val="single" w:color="auto" w:sz="4" w:space="0"/>
              <w:left w:val="single" w:color="auto" w:sz="4" w:space="0"/>
              <w:bottom w:val="single" w:color="auto" w:sz="4" w:space="0"/>
              <w:right w:val="single" w:color="auto" w:sz="4" w:space="0"/>
            </w:tcBorders>
            <w:noWrap/>
            <w:vAlign w:val="center"/>
          </w:tcPr>
          <w:p w14:paraId="6CA88DC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53FAE78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noWrap/>
            <w:vAlign w:val="center"/>
          </w:tcPr>
          <w:p w14:paraId="1C1F653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820" w:type="dxa"/>
            <w:tcBorders>
              <w:top w:val="single" w:color="auto" w:sz="4" w:space="0"/>
              <w:left w:val="single" w:color="auto" w:sz="4" w:space="0"/>
              <w:bottom w:val="single" w:color="auto" w:sz="4" w:space="0"/>
              <w:right w:val="single" w:color="auto" w:sz="4" w:space="0"/>
            </w:tcBorders>
            <w:noWrap/>
            <w:vAlign w:val="center"/>
          </w:tcPr>
          <w:p w14:paraId="4C0737C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3920</w:t>
            </w:r>
          </w:p>
        </w:tc>
      </w:tr>
      <w:tr w14:paraId="3951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078B9DB"/>
        </w:tc>
        <w:tc>
          <w:tcPr>
            <w:tcW w:w="1700" w:type="dxa"/>
            <w:tcBorders>
              <w:top w:val="single" w:color="auto" w:sz="4" w:space="0"/>
              <w:left w:val="single" w:color="auto" w:sz="4" w:space="0"/>
              <w:bottom w:val="single" w:color="auto" w:sz="4" w:space="0"/>
              <w:right w:val="single" w:color="auto" w:sz="4" w:space="0"/>
            </w:tcBorders>
            <w:noWrap/>
            <w:vAlign w:val="center"/>
          </w:tcPr>
          <w:p w14:paraId="5E58353E">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线索上传服务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58B8D61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820" w:type="dxa"/>
            <w:tcBorders>
              <w:top w:val="single" w:color="auto" w:sz="4" w:space="0"/>
              <w:left w:val="single" w:color="auto" w:sz="4" w:space="0"/>
              <w:bottom w:val="single" w:color="auto" w:sz="4" w:space="0"/>
              <w:right w:val="single" w:color="auto" w:sz="4" w:space="0"/>
            </w:tcBorders>
            <w:noWrap/>
            <w:vAlign w:val="center"/>
          </w:tcPr>
          <w:p w14:paraId="199F0D8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6943D2C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823" w:type="dxa"/>
            <w:tcBorders>
              <w:top w:val="single" w:color="auto" w:sz="4" w:space="0"/>
              <w:left w:val="single" w:color="auto" w:sz="4" w:space="0"/>
              <w:bottom w:val="single" w:color="auto" w:sz="4" w:space="0"/>
              <w:right w:val="single" w:color="auto" w:sz="4" w:space="0"/>
            </w:tcBorders>
            <w:noWrap/>
            <w:vAlign w:val="center"/>
          </w:tcPr>
          <w:p w14:paraId="15FBDFF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25EDE7C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20" w:type="dxa"/>
            <w:tcBorders>
              <w:top w:val="single" w:color="auto" w:sz="4" w:space="0"/>
              <w:left w:val="single" w:color="auto" w:sz="4" w:space="0"/>
              <w:bottom w:val="single" w:color="auto" w:sz="4" w:space="0"/>
              <w:right w:val="single" w:color="auto" w:sz="4" w:space="0"/>
            </w:tcBorders>
            <w:noWrap/>
            <w:vAlign w:val="center"/>
          </w:tcPr>
          <w:p w14:paraId="1C6EE7B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5037A6B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3920</w:t>
            </w:r>
          </w:p>
        </w:tc>
      </w:tr>
      <w:tr w14:paraId="11AC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B185DE5"/>
        </w:tc>
        <w:tc>
          <w:tcPr>
            <w:tcW w:w="1700" w:type="dxa"/>
            <w:tcBorders>
              <w:top w:val="single" w:color="auto" w:sz="4" w:space="0"/>
              <w:left w:val="single" w:color="auto" w:sz="4" w:space="0"/>
              <w:bottom w:val="single" w:color="auto" w:sz="4" w:space="0"/>
              <w:right w:val="single" w:color="auto" w:sz="4" w:space="0"/>
            </w:tcBorders>
            <w:noWrap/>
            <w:vAlign w:val="center"/>
          </w:tcPr>
          <w:p w14:paraId="433B4E18">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案事件管理服务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4C61F04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820" w:type="dxa"/>
            <w:tcBorders>
              <w:top w:val="single" w:color="auto" w:sz="4" w:space="0"/>
              <w:left w:val="single" w:color="auto" w:sz="4" w:space="0"/>
              <w:bottom w:val="single" w:color="auto" w:sz="4" w:space="0"/>
              <w:right w:val="single" w:color="auto" w:sz="4" w:space="0"/>
            </w:tcBorders>
            <w:noWrap/>
            <w:vAlign w:val="center"/>
          </w:tcPr>
          <w:p w14:paraId="19B154A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3BAC11D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823" w:type="dxa"/>
            <w:tcBorders>
              <w:top w:val="single" w:color="auto" w:sz="4" w:space="0"/>
              <w:left w:val="single" w:color="auto" w:sz="4" w:space="0"/>
              <w:bottom w:val="single" w:color="auto" w:sz="4" w:space="0"/>
              <w:right w:val="single" w:color="auto" w:sz="4" w:space="0"/>
            </w:tcBorders>
            <w:noWrap/>
            <w:vAlign w:val="center"/>
          </w:tcPr>
          <w:p w14:paraId="098895C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2B26F7B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20" w:type="dxa"/>
            <w:tcBorders>
              <w:top w:val="single" w:color="auto" w:sz="4" w:space="0"/>
              <w:left w:val="single" w:color="auto" w:sz="4" w:space="0"/>
              <w:bottom w:val="single" w:color="auto" w:sz="4" w:space="0"/>
              <w:right w:val="single" w:color="auto" w:sz="4" w:space="0"/>
            </w:tcBorders>
            <w:noWrap/>
            <w:vAlign w:val="center"/>
          </w:tcPr>
          <w:p w14:paraId="0FA123B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2296D71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3920</w:t>
            </w:r>
          </w:p>
        </w:tc>
      </w:tr>
      <w:tr w14:paraId="6212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7B469350"/>
        </w:tc>
        <w:tc>
          <w:tcPr>
            <w:tcW w:w="1700" w:type="dxa"/>
            <w:tcBorders>
              <w:top w:val="single" w:color="auto" w:sz="4" w:space="0"/>
              <w:left w:val="single" w:color="auto" w:sz="4" w:space="0"/>
              <w:bottom w:val="single" w:color="auto" w:sz="4" w:space="0"/>
              <w:right w:val="single" w:color="auto" w:sz="4" w:space="0"/>
            </w:tcBorders>
            <w:noWrap/>
            <w:vAlign w:val="center"/>
          </w:tcPr>
          <w:p w14:paraId="3623EA26">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智能工具服务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7B84B10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820" w:type="dxa"/>
            <w:tcBorders>
              <w:top w:val="single" w:color="auto" w:sz="4" w:space="0"/>
              <w:left w:val="single" w:color="auto" w:sz="4" w:space="0"/>
              <w:bottom w:val="single" w:color="auto" w:sz="4" w:space="0"/>
              <w:right w:val="single" w:color="auto" w:sz="4" w:space="0"/>
            </w:tcBorders>
            <w:noWrap/>
            <w:vAlign w:val="center"/>
          </w:tcPr>
          <w:p w14:paraId="731921E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6E25883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823" w:type="dxa"/>
            <w:tcBorders>
              <w:top w:val="single" w:color="auto" w:sz="4" w:space="0"/>
              <w:left w:val="single" w:color="auto" w:sz="4" w:space="0"/>
              <w:bottom w:val="single" w:color="auto" w:sz="4" w:space="0"/>
              <w:right w:val="single" w:color="auto" w:sz="4" w:space="0"/>
            </w:tcBorders>
            <w:noWrap/>
            <w:vAlign w:val="center"/>
          </w:tcPr>
          <w:p w14:paraId="781FBD8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0D956C5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20" w:type="dxa"/>
            <w:tcBorders>
              <w:top w:val="single" w:color="auto" w:sz="4" w:space="0"/>
              <w:left w:val="single" w:color="auto" w:sz="4" w:space="0"/>
              <w:bottom w:val="single" w:color="auto" w:sz="4" w:space="0"/>
              <w:right w:val="single" w:color="auto" w:sz="4" w:space="0"/>
            </w:tcBorders>
            <w:noWrap/>
            <w:vAlign w:val="center"/>
          </w:tcPr>
          <w:p w14:paraId="7F6942E7">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77CD037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3920</w:t>
            </w:r>
          </w:p>
        </w:tc>
      </w:tr>
      <w:tr w14:paraId="1C31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7CE20CB3"/>
        </w:tc>
        <w:tc>
          <w:tcPr>
            <w:tcW w:w="1700" w:type="dxa"/>
            <w:tcBorders>
              <w:top w:val="single" w:color="auto" w:sz="4" w:space="0"/>
              <w:left w:val="single" w:color="auto" w:sz="4" w:space="0"/>
              <w:bottom w:val="single" w:color="auto" w:sz="4" w:space="0"/>
              <w:right w:val="single" w:color="auto" w:sz="4" w:space="0"/>
            </w:tcBorders>
            <w:noWrap/>
            <w:vAlign w:val="center"/>
          </w:tcPr>
          <w:p w14:paraId="2EB882F5">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负载均衡服务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787CA4C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820" w:type="dxa"/>
            <w:tcBorders>
              <w:top w:val="single" w:color="auto" w:sz="4" w:space="0"/>
              <w:left w:val="single" w:color="auto" w:sz="4" w:space="0"/>
              <w:bottom w:val="single" w:color="auto" w:sz="4" w:space="0"/>
              <w:right w:val="single" w:color="auto" w:sz="4" w:space="0"/>
            </w:tcBorders>
            <w:noWrap/>
            <w:vAlign w:val="center"/>
          </w:tcPr>
          <w:p w14:paraId="7F4454D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358BF76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1960</w:t>
            </w:r>
          </w:p>
        </w:tc>
        <w:tc>
          <w:tcPr>
            <w:tcW w:w="823" w:type="dxa"/>
            <w:tcBorders>
              <w:top w:val="single" w:color="auto" w:sz="4" w:space="0"/>
              <w:left w:val="single" w:color="auto" w:sz="4" w:space="0"/>
              <w:bottom w:val="single" w:color="auto" w:sz="4" w:space="0"/>
              <w:right w:val="single" w:color="auto" w:sz="4" w:space="0"/>
            </w:tcBorders>
            <w:noWrap/>
            <w:vAlign w:val="center"/>
          </w:tcPr>
          <w:p w14:paraId="086FF85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366A1B9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20" w:type="dxa"/>
            <w:tcBorders>
              <w:top w:val="single" w:color="auto" w:sz="4" w:space="0"/>
              <w:left w:val="single" w:color="auto" w:sz="4" w:space="0"/>
              <w:bottom w:val="single" w:color="auto" w:sz="4" w:space="0"/>
              <w:right w:val="single" w:color="auto" w:sz="4" w:space="0"/>
            </w:tcBorders>
            <w:noWrap/>
            <w:vAlign w:val="center"/>
          </w:tcPr>
          <w:p w14:paraId="633C165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4330FD3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3920</w:t>
            </w:r>
          </w:p>
        </w:tc>
      </w:tr>
      <w:tr w14:paraId="5666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FD554BF"/>
        </w:tc>
        <w:tc>
          <w:tcPr>
            <w:tcW w:w="1700" w:type="dxa"/>
            <w:tcBorders>
              <w:top w:val="single" w:color="auto" w:sz="4" w:space="0"/>
              <w:left w:val="single" w:color="auto" w:sz="4" w:space="0"/>
              <w:bottom w:val="single" w:color="auto" w:sz="4" w:space="0"/>
              <w:right w:val="single" w:color="auto" w:sz="4" w:space="0"/>
            </w:tcBorders>
            <w:noWrap/>
            <w:vAlign w:val="center"/>
          </w:tcPr>
          <w:p w14:paraId="1BD87164">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技战法服务</w:t>
            </w:r>
          </w:p>
        </w:tc>
        <w:tc>
          <w:tcPr>
            <w:tcW w:w="840" w:type="dxa"/>
            <w:tcBorders>
              <w:top w:val="single" w:color="auto" w:sz="4" w:space="0"/>
              <w:left w:val="single" w:color="auto" w:sz="4" w:space="0"/>
              <w:bottom w:val="single" w:color="auto" w:sz="4" w:space="0"/>
              <w:right w:val="single" w:color="auto" w:sz="4" w:space="0"/>
            </w:tcBorders>
            <w:noWrap/>
            <w:vAlign w:val="center"/>
          </w:tcPr>
          <w:p w14:paraId="3BD054D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820" w:type="dxa"/>
            <w:tcBorders>
              <w:top w:val="single" w:color="auto" w:sz="4" w:space="0"/>
              <w:left w:val="single" w:color="auto" w:sz="4" w:space="0"/>
              <w:bottom w:val="single" w:color="auto" w:sz="4" w:space="0"/>
              <w:right w:val="single" w:color="auto" w:sz="4" w:space="0"/>
            </w:tcBorders>
            <w:noWrap/>
            <w:vAlign w:val="center"/>
          </w:tcPr>
          <w:p w14:paraId="124789E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28</w:t>
            </w:r>
          </w:p>
        </w:tc>
        <w:tc>
          <w:tcPr>
            <w:tcW w:w="922" w:type="dxa"/>
            <w:tcBorders>
              <w:top w:val="single" w:color="auto" w:sz="4" w:space="0"/>
              <w:left w:val="single" w:color="auto" w:sz="4" w:space="0"/>
              <w:bottom w:val="single" w:color="auto" w:sz="4" w:space="0"/>
              <w:right w:val="single" w:color="auto" w:sz="4" w:space="0"/>
            </w:tcBorders>
            <w:noWrap/>
            <w:vAlign w:val="center"/>
          </w:tcPr>
          <w:p w14:paraId="033DF2A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7C1BA12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0AD5822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20" w:type="dxa"/>
            <w:tcBorders>
              <w:top w:val="single" w:color="auto" w:sz="4" w:space="0"/>
              <w:left w:val="single" w:color="auto" w:sz="4" w:space="0"/>
              <w:bottom w:val="single" w:color="auto" w:sz="4" w:space="0"/>
              <w:right w:val="single" w:color="auto" w:sz="4" w:space="0"/>
            </w:tcBorders>
            <w:noWrap/>
            <w:vAlign w:val="center"/>
          </w:tcPr>
          <w:p w14:paraId="7D74F0D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56</w:t>
            </w:r>
          </w:p>
        </w:tc>
        <w:tc>
          <w:tcPr>
            <w:tcW w:w="820" w:type="dxa"/>
            <w:tcBorders>
              <w:top w:val="single" w:color="auto" w:sz="4" w:space="0"/>
              <w:left w:val="single" w:color="auto" w:sz="4" w:space="0"/>
              <w:bottom w:val="single" w:color="auto" w:sz="4" w:space="0"/>
              <w:right w:val="single" w:color="auto" w:sz="4" w:space="0"/>
            </w:tcBorders>
            <w:noWrap/>
            <w:vAlign w:val="center"/>
          </w:tcPr>
          <w:p w14:paraId="256ADAB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9920</w:t>
            </w:r>
          </w:p>
        </w:tc>
      </w:tr>
      <w:tr w14:paraId="2736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66F6E6E5">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59"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19C7800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164</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7010FE8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376</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7405D8D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39440</w:t>
            </w:r>
          </w:p>
        </w:tc>
      </w:tr>
      <w:tr w14:paraId="70C1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0FBD26D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视频图像信息共享平</w:t>
            </w:r>
          </w:p>
        </w:tc>
        <w:tc>
          <w:tcPr>
            <w:tcW w:w="1700" w:type="dxa"/>
            <w:tcBorders>
              <w:top w:val="single" w:color="auto" w:sz="4" w:space="0"/>
              <w:left w:val="single" w:color="auto" w:sz="4" w:space="0"/>
              <w:bottom w:val="single" w:color="auto" w:sz="4" w:space="0"/>
              <w:right w:val="single" w:color="auto" w:sz="4" w:space="0"/>
            </w:tcBorders>
            <w:noWrap/>
            <w:vAlign w:val="center"/>
          </w:tcPr>
          <w:p w14:paraId="10AC3370">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前端接入服务</w:t>
            </w:r>
          </w:p>
        </w:tc>
        <w:tc>
          <w:tcPr>
            <w:tcW w:w="840" w:type="dxa"/>
            <w:vMerge w:val="restart"/>
            <w:tcBorders>
              <w:top w:val="single" w:color="auto" w:sz="4" w:space="0"/>
              <w:left w:val="single" w:color="auto" w:sz="4" w:space="0"/>
              <w:bottom w:val="single" w:color="auto" w:sz="4" w:space="0"/>
              <w:right w:val="single" w:color="auto" w:sz="4" w:space="0"/>
            </w:tcBorders>
            <w:noWrap/>
            <w:vAlign w:val="center"/>
          </w:tcPr>
          <w:p w14:paraId="10CAD13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14:paraId="341C433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922" w:type="dxa"/>
            <w:vMerge w:val="restart"/>
            <w:tcBorders>
              <w:top w:val="single" w:color="auto" w:sz="4" w:space="0"/>
              <w:left w:val="single" w:color="auto" w:sz="4" w:space="0"/>
              <w:bottom w:val="single" w:color="auto" w:sz="4" w:space="0"/>
              <w:right w:val="single" w:color="auto" w:sz="4" w:space="0"/>
            </w:tcBorders>
            <w:noWrap/>
            <w:vAlign w:val="center"/>
          </w:tcPr>
          <w:p w14:paraId="1AF909E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823" w:type="dxa"/>
            <w:vMerge w:val="restart"/>
            <w:tcBorders>
              <w:top w:val="single" w:color="auto" w:sz="4" w:space="0"/>
              <w:left w:val="single" w:color="auto" w:sz="4" w:space="0"/>
              <w:bottom w:val="single" w:color="auto" w:sz="4" w:space="0"/>
              <w:right w:val="single" w:color="auto" w:sz="4" w:space="0"/>
            </w:tcBorders>
            <w:noWrap/>
            <w:vAlign w:val="center"/>
          </w:tcPr>
          <w:p w14:paraId="68C1229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vMerge w:val="restart"/>
            <w:tcBorders>
              <w:top w:val="single" w:color="auto" w:sz="4" w:space="0"/>
              <w:left w:val="single" w:color="auto" w:sz="4" w:space="0"/>
              <w:bottom w:val="single" w:color="auto" w:sz="4" w:space="0"/>
              <w:right w:val="single" w:color="auto" w:sz="4" w:space="0"/>
            </w:tcBorders>
            <w:noWrap/>
            <w:vAlign w:val="center"/>
          </w:tcPr>
          <w:p w14:paraId="1BB69AC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14:paraId="72FC037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14:paraId="29BE16B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5D30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3A073B1"/>
        </w:tc>
        <w:tc>
          <w:tcPr>
            <w:tcW w:w="1700" w:type="dxa"/>
            <w:tcBorders>
              <w:top w:val="single" w:color="auto" w:sz="4" w:space="0"/>
              <w:left w:val="single" w:color="auto" w:sz="4" w:space="0"/>
              <w:bottom w:val="single" w:color="auto" w:sz="4" w:space="0"/>
              <w:right w:val="single" w:color="auto" w:sz="4" w:space="0"/>
            </w:tcBorders>
            <w:noWrap/>
            <w:vAlign w:val="center"/>
          </w:tcPr>
          <w:p w14:paraId="64F19326">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客户端接入服务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2F1C73CF"/>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8D890BD"/>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626CA06A"/>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4DBD4DB4"/>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375DD27E"/>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314E52DF"/>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5F1B05BC"/>
        </w:tc>
      </w:tr>
      <w:tr w14:paraId="242A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32EADADB"/>
        </w:tc>
        <w:tc>
          <w:tcPr>
            <w:tcW w:w="1700" w:type="dxa"/>
            <w:tcBorders>
              <w:top w:val="single" w:color="auto" w:sz="4" w:space="0"/>
              <w:left w:val="single" w:color="auto" w:sz="4" w:space="0"/>
              <w:bottom w:val="single" w:color="auto" w:sz="4" w:space="0"/>
              <w:right w:val="single" w:color="auto" w:sz="4" w:space="0"/>
            </w:tcBorders>
            <w:noWrap/>
            <w:vAlign w:val="center"/>
          </w:tcPr>
          <w:p w14:paraId="7138D9F0">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中心管理服务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11F9FC7B"/>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0895D158"/>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43C7E650"/>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33A03AAC"/>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689C9C6D"/>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5ED5F706"/>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735D4AD9"/>
        </w:tc>
      </w:tr>
      <w:tr w14:paraId="5C00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2D8C076E"/>
        </w:tc>
        <w:tc>
          <w:tcPr>
            <w:tcW w:w="1700" w:type="dxa"/>
            <w:tcBorders>
              <w:top w:val="single" w:color="auto" w:sz="4" w:space="0"/>
              <w:left w:val="single" w:color="auto" w:sz="4" w:space="0"/>
              <w:bottom w:val="single" w:color="auto" w:sz="4" w:space="0"/>
              <w:right w:val="single" w:color="auto" w:sz="4" w:space="0"/>
            </w:tcBorders>
            <w:noWrap/>
            <w:vAlign w:val="center"/>
          </w:tcPr>
          <w:p w14:paraId="379BF9DB">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会话代理服务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72CBD740"/>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7C4CD40"/>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495E7814"/>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333629BE"/>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0E82ABE1"/>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371FD75C"/>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2036394A"/>
        </w:tc>
      </w:tr>
      <w:tr w14:paraId="754B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1313AD10"/>
        </w:tc>
        <w:tc>
          <w:tcPr>
            <w:tcW w:w="1700" w:type="dxa"/>
            <w:tcBorders>
              <w:top w:val="single" w:color="auto" w:sz="4" w:space="0"/>
              <w:left w:val="single" w:color="auto" w:sz="4" w:space="0"/>
              <w:bottom w:val="single" w:color="auto" w:sz="4" w:space="0"/>
              <w:right w:val="single" w:color="auto" w:sz="4" w:space="0"/>
            </w:tcBorders>
            <w:noWrap/>
            <w:vAlign w:val="center"/>
          </w:tcPr>
          <w:p w14:paraId="4B2AA1CC">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3AS认证服务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5E44FF92"/>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71029B0"/>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1DDC50C9"/>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0F2735A0"/>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2DCC17F5"/>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2E522B29"/>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0EE2F2B"/>
        </w:tc>
      </w:tr>
      <w:tr w14:paraId="5F2D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3E85495A"/>
        </w:tc>
        <w:tc>
          <w:tcPr>
            <w:tcW w:w="1700" w:type="dxa"/>
            <w:tcBorders>
              <w:top w:val="single" w:color="auto" w:sz="4" w:space="0"/>
              <w:left w:val="single" w:color="auto" w:sz="4" w:space="0"/>
              <w:bottom w:val="single" w:color="auto" w:sz="4" w:space="0"/>
              <w:right w:val="single" w:color="auto" w:sz="4" w:space="0"/>
            </w:tcBorders>
            <w:noWrap/>
            <w:vAlign w:val="center"/>
          </w:tcPr>
          <w:p w14:paraId="24CC5303">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用户用服务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05998D5B"/>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295A1671"/>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2B73BD21"/>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7B930274"/>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136BBFC2"/>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D81CF69"/>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2B5996C"/>
        </w:tc>
      </w:tr>
      <w:tr w14:paraId="23DB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D8C325C"/>
        </w:tc>
        <w:tc>
          <w:tcPr>
            <w:tcW w:w="1700" w:type="dxa"/>
            <w:tcBorders>
              <w:top w:val="single" w:color="auto" w:sz="4" w:space="0"/>
              <w:left w:val="single" w:color="auto" w:sz="4" w:space="0"/>
              <w:bottom w:val="single" w:color="auto" w:sz="4" w:space="0"/>
              <w:right w:val="single" w:color="auto" w:sz="4" w:space="0"/>
            </w:tcBorders>
            <w:noWrap/>
            <w:vAlign w:val="center"/>
          </w:tcPr>
          <w:p w14:paraId="44BEACCC">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告警业务服务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5B81F032"/>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161477F2"/>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12B6F8D3"/>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639C5432"/>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724A9370"/>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269A7260"/>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0CCE3684"/>
        </w:tc>
      </w:tr>
      <w:tr w14:paraId="3A16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5494B68D"/>
        </w:tc>
        <w:tc>
          <w:tcPr>
            <w:tcW w:w="1700" w:type="dxa"/>
            <w:tcBorders>
              <w:top w:val="single" w:color="auto" w:sz="4" w:space="0"/>
              <w:left w:val="single" w:color="auto" w:sz="4" w:space="0"/>
              <w:bottom w:val="single" w:color="auto" w:sz="4" w:space="0"/>
              <w:right w:val="single" w:color="auto" w:sz="4" w:space="0"/>
            </w:tcBorders>
            <w:noWrap/>
            <w:vAlign w:val="center"/>
          </w:tcPr>
          <w:p w14:paraId="448E02C1">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业务调度服务</w:t>
            </w: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0374FA1B"/>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58EF7DD2"/>
        </w:tc>
        <w:tc>
          <w:tcPr>
            <w:tcW w:w="922" w:type="dxa"/>
            <w:vMerge w:val="continue"/>
            <w:tcBorders>
              <w:top w:val="single" w:color="auto" w:sz="4" w:space="0"/>
              <w:left w:val="single" w:color="auto" w:sz="4" w:space="0"/>
              <w:bottom w:val="single" w:color="auto" w:sz="4" w:space="0"/>
              <w:right w:val="single" w:color="auto" w:sz="4" w:space="0"/>
            </w:tcBorders>
            <w:noWrap/>
            <w:vAlign w:val="center"/>
          </w:tcPr>
          <w:p w14:paraId="509267C6"/>
        </w:tc>
        <w:tc>
          <w:tcPr>
            <w:tcW w:w="823" w:type="dxa"/>
            <w:vMerge w:val="continue"/>
            <w:tcBorders>
              <w:top w:val="single" w:color="auto" w:sz="4" w:space="0"/>
              <w:left w:val="single" w:color="auto" w:sz="4" w:space="0"/>
              <w:bottom w:val="single" w:color="auto" w:sz="4" w:space="0"/>
              <w:right w:val="single" w:color="auto" w:sz="4" w:space="0"/>
            </w:tcBorders>
            <w:noWrap/>
            <w:vAlign w:val="center"/>
          </w:tcPr>
          <w:p w14:paraId="0552B3CD"/>
        </w:tc>
        <w:tc>
          <w:tcPr>
            <w:tcW w:w="959" w:type="dxa"/>
            <w:vMerge w:val="continue"/>
            <w:tcBorders>
              <w:top w:val="single" w:color="auto" w:sz="4" w:space="0"/>
              <w:left w:val="single" w:color="auto" w:sz="4" w:space="0"/>
              <w:bottom w:val="single" w:color="auto" w:sz="4" w:space="0"/>
              <w:right w:val="single" w:color="auto" w:sz="4" w:space="0"/>
            </w:tcBorders>
            <w:noWrap/>
            <w:vAlign w:val="center"/>
          </w:tcPr>
          <w:p w14:paraId="5271DE82"/>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6B82C6E1"/>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14:paraId="0988F0A0"/>
        </w:tc>
      </w:tr>
      <w:tr w14:paraId="7A90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A4B5117"/>
        </w:tc>
        <w:tc>
          <w:tcPr>
            <w:tcW w:w="1700" w:type="dxa"/>
            <w:tcBorders>
              <w:top w:val="single" w:color="auto" w:sz="4" w:space="0"/>
              <w:left w:val="single" w:color="auto" w:sz="4" w:space="0"/>
              <w:bottom w:val="single" w:color="auto" w:sz="4" w:space="0"/>
              <w:right w:val="single" w:color="auto" w:sz="4" w:space="0"/>
            </w:tcBorders>
            <w:noWrap/>
            <w:vAlign w:val="center"/>
          </w:tcPr>
          <w:p w14:paraId="268D2CB5">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媒体转发业务</w:t>
            </w:r>
          </w:p>
        </w:tc>
        <w:tc>
          <w:tcPr>
            <w:tcW w:w="840" w:type="dxa"/>
            <w:tcBorders>
              <w:top w:val="single" w:color="auto" w:sz="4" w:space="0"/>
              <w:left w:val="single" w:color="auto" w:sz="4" w:space="0"/>
              <w:bottom w:val="single" w:color="auto" w:sz="4" w:space="0"/>
              <w:right w:val="single" w:color="auto" w:sz="4" w:space="0"/>
            </w:tcBorders>
            <w:noWrap/>
            <w:vAlign w:val="center"/>
          </w:tcPr>
          <w:p w14:paraId="1984A69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820" w:type="dxa"/>
            <w:tcBorders>
              <w:top w:val="single" w:color="auto" w:sz="4" w:space="0"/>
              <w:left w:val="single" w:color="auto" w:sz="4" w:space="0"/>
              <w:bottom w:val="single" w:color="auto" w:sz="4" w:space="0"/>
              <w:right w:val="single" w:color="auto" w:sz="4" w:space="0"/>
            </w:tcBorders>
            <w:noWrap/>
            <w:vAlign w:val="center"/>
          </w:tcPr>
          <w:p w14:paraId="25D77D4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922" w:type="dxa"/>
            <w:tcBorders>
              <w:top w:val="single" w:color="auto" w:sz="4" w:space="0"/>
              <w:left w:val="single" w:color="auto" w:sz="4" w:space="0"/>
              <w:bottom w:val="single" w:color="auto" w:sz="4" w:space="0"/>
              <w:right w:val="single" w:color="auto" w:sz="4" w:space="0"/>
            </w:tcBorders>
            <w:noWrap/>
            <w:vAlign w:val="center"/>
          </w:tcPr>
          <w:p w14:paraId="6F41F56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2960</w:t>
            </w:r>
          </w:p>
        </w:tc>
        <w:tc>
          <w:tcPr>
            <w:tcW w:w="823" w:type="dxa"/>
            <w:tcBorders>
              <w:top w:val="single" w:color="auto" w:sz="4" w:space="0"/>
              <w:left w:val="single" w:color="auto" w:sz="4" w:space="0"/>
              <w:bottom w:val="single" w:color="auto" w:sz="4" w:space="0"/>
              <w:right w:val="single" w:color="auto" w:sz="4" w:space="0"/>
            </w:tcBorders>
            <w:noWrap/>
            <w:vAlign w:val="center"/>
          </w:tcPr>
          <w:p w14:paraId="16C411A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959" w:type="dxa"/>
            <w:tcBorders>
              <w:top w:val="single" w:color="auto" w:sz="4" w:space="0"/>
              <w:left w:val="single" w:color="auto" w:sz="4" w:space="0"/>
              <w:bottom w:val="single" w:color="auto" w:sz="4" w:space="0"/>
              <w:right w:val="single" w:color="auto" w:sz="4" w:space="0"/>
            </w:tcBorders>
            <w:noWrap/>
            <w:vAlign w:val="center"/>
          </w:tcPr>
          <w:p w14:paraId="119CD98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820" w:type="dxa"/>
            <w:tcBorders>
              <w:top w:val="single" w:color="auto" w:sz="4" w:space="0"/>
              <w:left w:val="single" w:color="auto" w:sz="4" w:space="0"/>
              <w:bottom w:val="single" w:color="auto" w:sz="4" w:space="0"/>
              <w:right w:val="single" w:color="auto" w:sz="4" w:space="0"/>
            </w:tcBorders>
            <w:noWrap/>
            <w:vAlign w:val="center"/>
          </w:tcPr>
          <w:p w14:paraId="2ED2072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820" w:type="dxa"/>
            <w:tcBorders>
              <w:top w:val="single" w:color="auto" w:sz="4" w:space="0"/>
              <w:left w:val="single" w:color="auto" w:sz="4" w:space="0"/>
              <w:bottom w:val="single" w:color="auto" w:sz="4" w:space="0"/>
              <w:right w:val="single" w:color="auto" w:sz="4" w:space="0"/>
            </w:tcBorders>
            <w:noWrap/>
            <w:vAlign w:val="center"/>
          </w:tcPr>
          <w:p w14:paraId="0ECD724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5920</w:t>
            </w:r>
          </w:p>
        </w:tc>
      </w:tr>
      <w:tr w14:paraId="7729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0786A619">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59"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25507EA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44</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6A90C15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88</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23E00B3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11840</w:t>
            </w:r>
          </w:p>
        </w:tc>
      </w:tr>
      <w:tr w14:paraId="284C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5FB9E16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数据可视化呈现系统</w:t>
            </w:r>
          </w:p>
        </w:tc>
        <w:tc>
          <w:tcPr>
            <w:tcW w:w="1700" w:type="dxa"/>
            <w:tcBorders>
              <w:top w:val="single" w:color="auto" w:sz="4" w:space="0"/>
              <w:left w:val="single" w:color="auto" w:sz="4" w:space="0"/>
              <w:bottom w:val="single" w:color="auto" w:sz="4" w:space="0"/>
              <w:right w:val="single" w:color="auto" w:sz="4" w:space="0"/>
            </w:tcBorders>
            <w:noWrap/>
            <w:vAlign w:val="center"/>
          </w:tcPr>
          <w:p w14:paraId="18AF758C">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人员数据可视化</w:t>
            </w:r>
          </w:p>
        </w:tc>
        <w:tc>
          <w:tcPr>
            <w:tcW w:w="840" w:type="dxa"/>
            <w:tcBorders>
              <w:top w:val="single" w:color="auto" w:sz="4" w:space="0"/>
              <w:left w:val="single" w:color="auto" w:sz="4" w:space="0"/>
              <w:bottom w:val="single" w:color="auto" w:sz="4" w:space="0"/>
              <w:right w:val="single" w:color="auto" w:sz="4" w:space="0"/>
            </w:tcBorders>
            <w:noWrap/>
            <w:vAlign w:val="center"/>
          </w:tcPr>
          <w:p w14:paraId="3F3FE02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72F21E0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6C3B9C2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1F45F85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59" w:type="dxa"/>
            <w:tcBorders>
              <w:top w:val="single" w:color="auto" w:sz="4" w:space="0"/>
              <w:left w:val="single" w:color="auto" w:sz="4" w:space="0"/>
              <w:bottom w:val="single" w:color="auto" w:sz="4" w:space="0"/>
              <w:right w:val="single" w:color="auto" w:sz="4" w:space="0"/>
            </w:tcBorders>
            <w:noWrap/>
            <w:vAlign w:val="center"/>
          </w:tcPr>
          <w:p w14:paraId="2F9EC34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5F55371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4E11F83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r>
      <w:tr w14:paraId="23CA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53FCAC48"/>
        </w:tc>
        <w:tc>
          <w:tcPr>
            <w:tcW w:w="1700" w:type="dxa"/>
            <w:tcBorders>
              <w:top w:val="single" w:color="auto" w:sz="4" w:space="0"/>
              <w:left w:val="single" w:color="auto" w:sz="4" w:space="0"/>
              <w:bottom w:val="single" w:color="auto" w:sz="4" w:space="0"/>
              <w:right w:val="single" w:color="auto" w:sz="4" w:space="0"/>
            </w:tcBorders>
            <w:noWrap/>
            <w:vAlign w:val="center"/>
          </w:tcPr>
          <w:p w14:paraId="32E1187E">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车辆数据可视化</w:t>
            </w:r>
          </w:p>
        </w:tc>
        <w:tc>
          <w:tcPr>
            <w:tcW w:w="840" w:type="dxa"/>
            <w:tcBorders>
              <w:top w:val="single" w:color="auto" w:sz="4" w:space="0"/>
              <w:left w:val="single" w:color="auto" w:sz="4" w:space="0"/>
              <w:bottom w:val="single" w:color="auto" w:sz="4" w:space="0"/>
              <w:right w:val="single" w:color="auto" w:sz="4" w:space="0"/>
            </w:tcBorders>
            <w:noWrap/>
            <w:vAlign w:val="center"/>
          </w:tcPr>
          <w:p w14:paraId="348E505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7800C0A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2A49032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7D80DA8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59" w:type="dxa"/>
            <w:tcBorders>
              <w:top w:val="single" w:color="auto" w:sz="4" w:space="0"/>
              <w:left w:val="single" w:color="auto" w:sz="4" w:space="0"/>
              <w:bottom w:val="single" w:color="auto" w:sz="4" w:space="0"/>
              <w:right w:val="single" w:color="auto" w:sz="4" w:space="0"/>
            </w:tcBorders>
            <w:noWrap/>
            <w:vAlign w:val="center"/>
          </w:tcPr>
          <w:p w14:paraId="0FE7C07C">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7E533B7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0E3C608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r>
      <w:tr w14:paraId="0781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358C78A8"/>
        </w:tc>
        <w:tc>
          <w:tcPr>
            <w:tcW w:w="1700" w:type="dxa"/>
            <w:tcBorders>
              <w:top w:val="single" w:color="auto" w:sz="4" w:space="0"/>
              <w:left w:val="single" w:color="auto" w:sz="4" w:space="0"/>
              <w:bottom w:val="single" w:color="auto" w:sz="4" w:space="0"/>
              <w:right w:val="single" w:color="auto" w:sz="4" w:space="0"/>
            </w:tcBorders>
            <w:noWrap/>
            <w:vAlign w:val="center"/>
          </w:tcPr>
          <w:p w14:paraId="3A626135">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案事件可视化</w:t>
            </w:r>
          </w:p>
        </w:tc>
        <w:tc>
          <w:tcPr>
            <w:tcW w:w="840" w:type="dxa"/>
            <w:tcBorders>
              <w:top w:val="single" w:color="auto" w:sz="4" w:space="0"/>
              <w:left w:val="single" w:color="auto" w:sz="4" w:space="0"/>
              <w:bottom w:val="single" w:color="auto" w:sz="4" w:space="0"/>
              <w:right w:val="single" w:color="auto" w:sz="4" w:space="0"/>
            </w:tcBorders>
            <w:noWrap/>
            <w:vAlign w:val="center"/>
          </w:tcPr>
          <w:p w14:paraId="6D58A57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290C7C3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311D3EF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1645B5C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59" w:type="dxa"/>
            <w:tcBorders>
              <w:top w:val="single" w:color="auto" w:sz="4" w:space="0"/>
              <w:left w:val="single" w:color="auto" w:sz="4" w:space="0"/>
              <w:bottom w:val="single" w:color="auto" w:sz="4" w:space="0"/>
              <w:right w:val="single" w:color="auto" w:sz="4" w:space="0"/>
            </w:tcBorders>
            <w:noWrap/>
            <w:vAlign w:val="center"/>
          </w:tcPr>
          <w:p w14:paraId="5E4EE8B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539D361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2936788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r>
      <w:tr w14:paraId="58F7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47EB71C5"/>
        </w:tc>
        <w:tc>
          <w:tcPr>
            <w:tcW w:w="1700" w:type="dxa"/>
            <w:tcBorders>
              <w:top w:val="single" w:color="auto" w:sz="4" w:space="0"/>
              <w:left w:val="single" w:color="auto" w:sz="4" w:space="0"/>
              <w:bottom w:val="single" w:color="auto" w:sz="4" w:space="0"/>
              <w:right w:val="single" w:color="auto" w:sz="4" w:space="0"/>
            </w:tcBorders>
            <w:noWrap/>
            <w:vAlign w:val="center"/>
          </w:tcPr>
          <w:p w14:paraId="531F2E19">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运维数据可视化</w:t>
            </w:r>
          </w:p>
        </w:tc>
        <w:tc>
          <w:tcPr>
            <w:tcW w:w="840" w:type="dxa"/>
            <w:tcBorders>
              <w:top w:val="single" w:color="auto" w:sz="4" w:space="0"/>
              <w:left w:val="single" w:color="auto" w:sz="4" w:space="0"/>
              <w:bottom w:val="single" w:color="auto" w:sz="4" w:space="0"/>
              <w:right w:val="single" w:color="auto" w:sz="4" w:space="0"/>
            </w:tcBorders>
            <w:noWrap/>
            <w:vAlign w:val="center"/>
          </w:tcPr>
          <w:p w14:paraId="06E1EEC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20275D1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922" w:type="dxa"/>
            <w:tcBorders>
              <w:top w:val="single" w:color="auto" w:sz="4" w:space="0"/>
              <w:left w:val="single" w:color="auto" w:sz="4" w:space="0"/>
              <w:bottom w:val="single" w:color="auto" w:sz="4" w:space="0"/>
              <w:right w:val="single" w:color="auto" w:sz="4" w:space="0"/>
            </w:tcBorders>
            <w:noWrap/>
            <w:vAlign w:val="center"/>
          </w:tcPr>
          <w:p w14:paraId="27D8B13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4729AD9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959" w:type="dxa"/>
            <w:tcBorders>
              <w:top w:val="single" w:color="auto" w:sz="4" w:space="0"/>
              <w:left w:val="single" w:color="auto" w:sz="4" w:space="0"/>
              <w:bottom w:val="single" w:color="auto" w:sz="4" w:space="0"/>
              <w:right w:val="single" w:color="auto" w:sz="4" w:space="0"/>
            </w:tcBorders>
            <w:noWrap/>
            <w:vAlign w:val="center"/>
          </w:tcPr>
          <w:p w14:paraId="3D6804A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820" w:type="dxa"/>
            <w:tcBorders>
              <w:top w:val="single" w:color="auto" w:sz="4" w:space="0"/>
              <w:left w:val="single" w:color="auto" w:sz="4" w:space="0"/>
              <w:bottom w:val="single" w:color="auto" w:sz="4" w:space="0"/>
              <w:right w:val="single" w:color="auto" w:sz="4" w:space="0"/>
            </w:tcBorders>
            <w:noWrap/>
            <w:vAlign w:val="center"/>
          </w:tcPr>
          <w:p w14:paraId="0EE341CA">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820" w:type="dxa"/>
            <w:tcBorders>
              <w:top w:val="single" w:color="auto" w:sz="4" w:space="0"/>
              <w:left w:val="single" w:color="auto" w:sz="4" w:space="0"/>
              <w:bottom w:val="single" w:color="auto" w:sz="4" w:space="0"/>
              <w:right w:val="single" w:color="auto" w:sz="4" w:space="0"/>
            </w:tcBorders>
            <w:noWrap/>
            <w:vAlign w:val="center"/>
          </w:tcPr>
          <w:p w14:paraId="2ACF944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r>
      <w:tr w14:paraId="6185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6132E228">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小计:</w:t>
            </w:r>
          </w:p>
        </w:tc>
        <w:tc>
          <w:tcPr>
            <w:tcW w:w="959"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4394C06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24</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759E797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273DA53B">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19840</w:t>
            </w:r>
          </w:p>
        </w:tc>
      </w:tr>
      <w:tr w14:paraId="3909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C5D9F1"/>
            <w:noWrap/>
            <w:vAlign w:val="center"/>
          </w:tcPr>
          <w:p w14:paraId="4209D417">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冗余备份资源</w:t>
            </w:r>
          </w:p>
        </w:tc>
        <w:tc>
          <w:tcPr>
            <w:tcW w:w="959"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12B9914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40</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69140AF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320</w:t>
            </w:r>
          </w:p>
        </w:tc>
        <w:tc>
          <w:tcPr>
            <w:tcW w:w="820" w:type="dxa"/>
            <w:tcBorders>
              <w:top w:val="single" w:color="auto" w:sz="4" w:space="0"/>
              <w:left w:val="single" w:color="auto" w:sz="4" w:space="0"/>
              <w:bottom w:val="single" w:color="auto" w:sz="4" w:space="0"/>
              <w:right w:val="single" w:color="auto" w:sz="4" w:space="0"/>
            </w:tcBorders>
            <w:shd w:val="clear" w:color="000000" w:fill="C5D9F1"/>
            <w:noWrap/>
            <w:vAlign w:val="center"/>
          </w:tcPr>
          <w:p w14:paraId="2EDD1C2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13210</w:t>
            </w:r>
          </w:p>
        </w:tc>
      </w:tr>
      <w:tr w14:paraId="6DFC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92D050"/>
            <w:noWrap/>
            <w:vAlign w:val="center"/>
          </w:tcPr>
          <w:p w14:paraId="62E9AF52">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资源合计</w:t>
            </w:r>
          </w:p>
        </w:tc>
        <w:tc>
          <w:tcPr>
            <w:tcW w:w="959"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2014CBB4">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272</w:t>
            </w:r>
          </w:p>
        </w:tc>
        <w:tc>
          <w:tcPr>
            <w:tcW w:w="820"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0795B873">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816</w:t>
            </w:r>
          </w:p>
        </w:tc>
        <w:tc>
          <w:tcPr>
            <w:tcW w:w="820"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43C89E4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84330</w:t>
            </w:r>
          </w:p>
        </w:tc>
      </w:tr>
      <w:tr w14:paraId="4FCD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F2F2F2"/>
            <w:noWrap/>
            <w:vAlign w:val="center"/>
          </w:tcPr>
          <w:p w14:paraId="5C8FE21F">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单台业务服务器资源</w:t>
            </w:r>
          </w:p>
        </w:tc>
        <w:tc>
          <w:tcPr>
            <w:tcW w:w="959"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50FC827F">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24A0367B">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48</w:t>
            </w:r>
          </w:p>
        </w:tc>
        <w:tc>
          <w:tcPr>
            <w:tcW w:w="820"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2C2F3B10">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4960</w:t>
            </w:r>
          </w:p>
        </w:tc>
      </w:tr>
      <w:tr w14:paraId="2B17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95B3D7"/>
            <w:noWrap/>
            <w:vAlign w:val="center"/>
          </w:tcPr>
          <w:p w14:paraId="5B2A8A78">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所服务器数目</w:t>
            </w:r>
          </w:p>
        </w:tc>
        <w:tc>
          <w:tcPr>
            <w:tcW w:w="959"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466566E0">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17</w:t>
            </w:r>
          </w:p>
        </w:tc>
        <w:tc>
          <w:tcPr>
            <w:tcW w:w="820"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1EDF85C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17</w:t>
            </w:r>
          </w:p>
        </w:tc>
        <w:tc>
          <w:tcPr>
            <w:tcW w:w="820"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41ADA0C9">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 xml:space="preserve">17 </w:t>
            </w:r>
          </w:p>
        </w:tc>
      </w:tr>
      <w:tr w14:paraId="650B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restart"/>
            <w:tcBorders>
              <w:top w:val="single" w:color="auto" w:sz="4" w:space="0"/>
              <w:left w:val="single" w:color="auto" w:sz="4" w:space="0"/>
              <w:bottom w:val="single" w:color="auto" w:sz="4" w:space="0"/>
              <w:right w:val="single" w:color="auto" w:sz="4" w:space="0"/>
            </w:tcBorders>
            <w:noWrap/>
            <w:vAlign w:val="center"/>
          </w:tcPr>
          <w:p w14:paraId="027EDB39">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物理机</w:t>
            </w:r>
          </w:p>
        </w:tc>
        <w:tc>
          <w:tcPr>
            <w:tcW w:w="1700" w:type="dxa"/>
            <w:tcBorders>
              <w:top w:val="single" w:color="auto" w:sz="4" w:space="0"/>
              <w:left w:val="single" w:color="auto" w:sz="4" w:space="0"/>
              <w:bottom w:val="single" w:color="auto" w:sz="4" w:space="0"/>
              <w:right w:val="single" w:color="auto" w:sz="4" w:space="0"/>
            </w:tcBorders>
            <w:noWrap/>
            <w:vAlign w:val="center"/>
          </w:tcPr>
          <w:p w14:paraId="079E5FE5">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数据库服务器</w:t>
            </w:r>
          </w:p>
        </w:tc>
        <w:tc>
          <w:tcPr>
            <w:tcW w:w="840" w:type="dxa"/>
            <w:tcBorders>
              <w:top w:val="single" w:color="auto" w:sz="4" w:space="0"/>
              <w:left w:val="single" w:color="auto" w:sz="4" w:space="0"/>
              <w:bottom w:val="single" w:color="auto" w:sz="4" w:space="0"/>
              <w:right w:val="single" w:color="auto" w:sz="4" w:space="0"/>
            </w:tcBorders>
            <w:noWrap/>
            <w:vAlign w:val="center"/>
          </w:tcPr>
          <w:p w14:paraId="491C6474">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05DFFC23">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922" w:type="dxa"/>
            <w:tcBorders>
              <w:top w:val="single" w:color="auto" w:sz="4" w:space="0"/>
              <w:left w:val="single" w:color="auto" w:sz="4" w:space="0"/>
              <w:bottom w:val="single" w:color="auto" w:sz="4" w:space="0"/>
              <w:right w:val="single" w:color="auto" w:sz="4" w:space="0"/>
            </w:tcBorders>
            <w:noWrap/>
            <w:vAlign w:val="center"/>
          </w:tcPr>
          <w:p w14:paraId="0997211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8960</w:t>
            </w:r>
          </w:p>
        </w:tc>
        <w:tc>
          <w:tcPr>
            <w:tcW w:w="823" w:type="dxa"/>
            <w:tcBorders>
              <w:top w:val="single" w:color="auto" w:sz="4" w:space="0"/>
              <w:left w:val="single" w:color="auto" w:sz="4" w:space="0"/>
              <w:bottom w:val="single" w:color="auto" w:sz="4" w:space="0"/>
              <w:right w:val="single" w:color="auto" w:sz="4" w:space="0"/>
            </w:tcBorders>
            <w:noWrap/>
            <w:vAlign w:val="center"/>
          </w:tcPr>
          <w:p w14:paraId="72D72F22">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959" w:type="dxa"/>
            <w:tcBorders>
              <w:top w:val="single" w:color="auto" w:sz="4" w:space="0"/>
              <w:left w:val="single" w:color="auto" w:sz="4" w:space="0"/>
              <w:bottom w:val="single" w:color="auto" w:sz="4" w:space="0"/>
              <w:right w:val="single" w:color="auto" w:sz="4" w:space="0"/>
            </w:tcBorders>
            <w:noWrap/>
            <w:vAlign w:val="center"/>
          </w:tcPr>
          <w:p w14:paraId="5A6293C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48</w:t>
            </w:r>
          </w:p>
        </w:tc>
        <w:tc>
          <w:tcPr>
            <w:tcW w:w="820" w:type="dxa"/>
            <w:tcBorders>
              <w:top w:val="single" w:color="auto" w:sz="4" w:space="0"/>
              <w:left w:val="single" w:color="auto" w:sz="4" w:space="0"/>
              <w:bottom w:val="single" w:color="auto" w:sz="4" w:space="0"/>
              <w:right w:val="single" w:color="auto" w:sz="4" w:space="0"/>
            </w:tcBorders>
            <w:noWrap/>
            <w:vAlign w:val="center"/>
          </w:tcPr>
          <w:p w14:paraId="0244E381">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384</w:t>
            </w:r>
          </w:p>
        </w:tc>
        <w:tc>
          <w:tcPr>
            <w:tcW w:w="820" w:type="dxa"/>
            <w:tcBorders>
              <w:top w:val="single" w:color="auto" w:sz="4" w:space="0"/>
              <w:left w:val="single" w:color="auto" w:sz="4" w:space="0"/>
              <w:bottom w:val="single" w:color="auto" w:sz="4" w:space="0"/>
              <w:right w:val="single" w:color="auto" w:sz="4" w:space="0"/>
            </w:tcBorders>
            <w:noWrap/>
            <w:vAlign w:val="center"/>
          </w:tcPr>
          <w:p w14:paraId="2E3E029E">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26880</w:t>
            </w:r>
          </w:p>
        </w:tc>
      </w:tr>
      <w:tr w14:paraId="76A0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vMerge w:val="continue"/>
            <w:tcBorders>
              <w:top w:val="single" w:color="auto" w:sz="4" w:space="0"/>
              <w:left w:val="single" w:color="auto" w:sz="4" w:space="0"/>
              <w:bottom w:val="single" w:color="auto" w:sz="4" w:space="0"/>
              <w:right w:val="single" w:color="auto" w:sz="4" w:space="0"/>
            </w:tcBorders>
            <w:noWrap/>
            <w:vAlign w:val="center"/>
          </w:tcPr>
          <w:p w14:paraId="68973130"/>
        </w:tc>
        <w:tc>
          <w:tcPr>
            <w:tcW w:w="1700" w:type="dxa"/>
            <w:tcBorders>
              <w:top w:val="single" w:color="auto" w:sz="4" w:space="0"/>
              <w:left w:val="single" w:color="auto" w:sz="4" w:space="0"/>
              <w:bottom w:val="single" w:color="auto" w:sz="4" w:space="0"/>
              <w:right w:val="single" w:color="auto" w:sz="4" w:space="0"/>
            </w:tcBorders>
            <w:noWrap/>
            <w:vAlign w:val="center"/>
          </w:tcPr>
          <w:p w14:paraId="4F71D763">
            <w:pPr>
              <w:widowControl/>
              <w:spacing w:line="240" w:lineRule="auto"/>
              <w:ind w:firstLine="0" w:firstLineChars="0"/>
              <w:jc w:val="left"/>
              <w:rPr>
                <w:rFonts w:hint="eastAsia" w:ascii="宋体" w:hAnsi="宋体" w:cs="宋体"/>
                <w:color w:val="000000"/>
                <w:kern w:val="0"/>
                <w:sz w:val="20"/>
                <w:szCs w:val="20"/>
              </w:rPr>
            </w:pPr>
            <w:r>
              <w:rPr>
                <w:rFonts w:hint="eastAsia" w:ascii="宋体" w:hAnsi="宋体" w:cs="宋体"/>
                <w:color w:val="000000"/>
                <w:kern w:val="0"/>
                <w:sz w:val="20"/>
                <w:szCs w:val="20"/>
              </w:rPr>
              <w:t>云计算平台管理</w:t>
            </w:r>
          </w:p>
        </w:tc>
        <w:tc>
          <w:tcPr>
            <w:tcW w:w="840" w:type="dxa"/>
            <w:tcBorders>
              <w:top w:val="single" w:color="auto" w:sz="4" w:space="0"/>
              <w:left w:val="single" w:color="auto" w:sz="4" w:space="0"/>
              <w:bottom w:val="single" w:color="auto" w:sz="4" w:space="0"/>
              <w:right w:val="single" w:color="auto" w:sz="4" w:space="0"/>
            </w:tcBorders>
            <w:noWrap/>
            <w:vAlign w:val="center"/>
          </w:tcPr>
          <w:p w14:paraId="626FD7F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noWrap/>
            <w:vAlign w:val="center"/>
          </w:tcPr>
          <w:p w14:paraId="1DD39530">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128</w:t>
            </w:r>
          </w:p>
        </w:tc>
        <w:tc>
          <w:tcPr>
            <w:tcW w:w="922" w:type="dxa"/>
            <w:tcBorders>
              <w:top w:val="single" w:color="auto" w:sz="4" w:space="0"/>
              <w:left w:val="single" w:color="auto" w:sz="4" w:space="0"/>
              <w:bottom w:val="single" w:color="auto" w:sz="4" w:space="0"/>
              <w:right w:val="single" w:color="auto" w:sz="4" w:space="0"/>
            </w:tcBorders>
            <w:noWrap/>
            <w:vAlign w:val="center"/>
          </w:tcPr>
          <w:p w14:paraId="05A87DD8">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4960</w:t>
            </w:r>
          </w:p>
        </w:tc>
        <w:tc>
          <w:tcPr>
            <w:tcW w:w="823" w:type="dxa"/>
            <w:tcBorders>
              <w:top w:val="single" w:color="auto" w:sz="4" w:space="0"/>
              <w:left w:val="single" w:color="auto" w:sz="4" w:space="0"/>
              <w:bottom w:val="single" w:color="auto" w:sz="4" w:space="0"/>
              <w:right w:val="single" w:color="auto" w:sz="4" w:space="0"/>
            </w:tcBorders>
            <w:noWrap/>
            <w:vAlign w:val="center"/>
          </w:tcPr>
          <w:p w14:paraId="3DF4E215">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959" w:type="dxa"/>
            <w:tcBorders>
              <w:top w:val="single" w:color="auto" w:sz="4" w:space="0"/>
              <w:left w:val="single" w:color="auto" w:sz="4" w:space="0"/>
              <w:bottom w:val="single" w:color="auto" w:sz="4" w:space="0"/>
              <w:right w:val="single" w:color="auto" w:sz="4" w:space="0"/>
            </w:tcBorders>
            <w:noWrap/>
            <w:vAlign w:val="center"/>
          </w:tcPr>
          <w:p w14:paraId="66840D06">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64</w:t>
            </w:r>
          </w:p>
        </w:tc>
        <w:tc>
          <w:tcPr>
            <w:tcW w:w="820" w:type="dxa"/>
            <w:tcBorders>
              <w:top w:val="single" w:color="auto" w:sz="4" w:space="0"/>
              <w:left w:val="single" w:color="auto" w:sz="4" w:space="0"/>
              <w:bottom w:val="single" w:color="auto" w:sz="4" w:space="0"/>
              <w:right w:val="single" w:color="auto" w:sz="4" w:space="0"/>
            </w:tcBorders>
            <w:noWrap/>
            <w:vAlign w:val="center"/>
          </w:tcPr>
          <w:p w14:paraId="36B93ABF">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512</w:t>
            </w:r>
          </w:p>
        </w:tc>
        <w:tc>
          <w:tcPr>
            <w:tcW w:w="820" w:type="dxa"/>
            <w:tcBorders>
              <w:top w:val="single" w:color="auto" w:sz="4" w:space="0"/>
              <w:left w:val="single" w:color="auto" w:sz="4" w:space="0"/>
              <w:bottom w:val="single" w:color="auto" w:sz="4" w:space="0"/>
              <w:right w:val="single" w:color="auto" w:sz="4" w:space="0"/>
            </w:tcBorders>
            <w:noWrap/>
            <w:vAlign w:val="center"/>
          </w:tcPr>
          <w:p w14:paraId="3FFC441D">
            <w:pPr>
              <w:widowControl/>
              <w:spacing w:line="240" w:lineRule="auto"/>
              <w:ind w:firstLine="0" w:firstLineChars="0"/>
              <w:jc w:val="center"/>
              <w:rPr>
                <w:rFonts w:hint="eastAsia" w:ascii="宋体" w:hAnsi="宋体" w:cs="宋体"/>
                <w:color w:val="000000"/>
                <w:kern w:val="0"/>
                <w:sz w:val="20"/>
                <w:szCs w:val="20"/>
              </w:rPr>
            </w:pPr>
            <w:r>
              <w:rPr>
                <w:rFonts w:hint="eastAsia" w:ascii="宋体" w:hAnsi="宋体" w:cs="宋体"/>
                <w:color w:val="000000"/>
                <w:kern w:val="0"/>
                <w:sz w:val="20"/>
                <w:szCs w:val="20"/>
              </w:rPr>
              <w:t>19840</w:t>
            </w:r>
          </w:p>
        </w:tc>
      </w:tr>
      <w:tr w14:paraId="1059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92D050"/>
            <w:noWrap/>
            <w:vAlign w:val="center"/>
          </w:tcPr>
          <w:p w14:paraId="4563B23F">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资源合计</w:t>
            </w:r>
          </w:p>
        </w:tc>
        <w:tc>
          <w:tcPr>
            <w:tcW w:w="959"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4817B047">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112</w:t>
            </w:r>
          </w:p>
        </w:tc>
        <w:tc>
          <w:tcPr>
            <w:tcW w:w="820"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269C74FE">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896</w:t>
            </w:r>
          </w:p>
        </w:tc>
        <w:tc>
          <w:tcPr>
            <w:tcW w:w="820" w:type="dxa"/>
            <w:tcBorders>
              <w:top w:val="single" w:color="auto" w:sz="4" w:space="0"/>
              <w:left w:val="single" w:color="auto" w:sz="4" w:space="0"/>
              <w:bottom w:val="single" w:color="auto" w:sz="4" w:space="0"/>
              <w:right w:val="single" w:color="auto" w:sz="4" w:space="0"/>
            </w:tcBorders>
            <w:shd w:val="clear" w:color="000000" w:fill="92D050"/>
            <w:noWrap/>
            <w:vAlign w:val="center"/>
          </w:tcPr>
          <w:p w14:paraId="56430306">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46720</w:t>
            </w:r>
          </w:p>
        </w:tc>
      </w:tr>
      <w:tr w14:paraId="0916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F2F2F2"/>
            <w:noWrap/>
            <w:vAlign w:val="center"/>
          </w:tcPr>
          <w:p w14:paraId="3A901293">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单台服务器资源</w:t>
            </w:r>
          </w:p>
        </w:tc>
        <w:tc>
          <w:tcPr>
            <w:tcW w:w="959"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199434D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16</w:t>
            </w:r>
          </w:p>
        </w:tc>
        <w:tc>
          <w:tcPr>
            <w:tcW w:w="820"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0C65DFD6">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128</w:t>
            </w:r>
          </w:p>
        </w:tc>
        <w:tc>
          <w:tcPr>
            <w:tcW w:w="820" w:type="dxa"/>
            <w:tcBorders>
              <w:top w:val="single" w:color="auto" w:sz="4" w:space="0"/>
              <w:left w:val="single" w:color="auto" w:sz="4" w:space="0"/>
              <w:bottom w:val="single" w:color="auto" w:sz="4" w:space="0"/>
              <w:right w:val="single" w:color="auto" w:sz="4" w:space="0"/>
            </w:tcBorders>
            <w:shd w:val="clear" w:color="000000" w:fill="F2F2F2"/>
            <w:noWrap/>
            <w:vAlign w:val="center"/>
          </w:tcPr>
          <w:p w14:paraId="5B5EDE36">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4960</w:t>
            </w:r>
          </w:p>
        </w:tc>
      </w:tr>
      <w:tr w14:paraId="7F42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40" w:type="dxa"/>
            <w:gridSpan w:val="6"/>
            <w:tcBorders>
              <w:top w:val="single" w:color="auto" w:sz="4" w:space="0"/>
              <w:left w:val="single" w:color="auto" w:sz="4" w:space="0"/>
              <w:bottom w:val="single" w:color="auto" w:sz="4" w:space="0"/>
              <w:right w:val="single" w:color="auto" w:sz="4" w:space="0"/>
            </w:tcBorders>
            <w:shd w:val="clear" w:color="000000" w:fill="95B3D7"/>
            <w:noWrap/>
            <w:vAlign w:val="center"/>
          </w:tcPr>
          <w:p w14:paraId="2A7B5737">
            <w:pPr>
              <w:widowControl/>
              <w:spacing w:line="240" w:lineRule="auto"/>
              <w:ind w:firstLine="0" w:firstLineChars="0"/>
              <w:jc w:val="right"/>
              <w:rPr>
                <w:rFonts w:hint="eastAsia" w:ascii="宋体" w:hAnsi="宋体" w:cs="宋体"/>
                <w:b/>
                <w:bCs/>
                <w:color w:val="000000"/>
                <w:kern w:val="0"/>
                <w:sz w:val="20"/>
                <w:szCs w:val="20"/>
              </w:rPr>
            </w:pPr>
            <w:r>
              <w:rPr>
                <w:rFonts w:hint="eastAsia" w:ascii="宋体" w:hAnsi="宋体" w:cs="宋体"/>
                <w:b/>
                <w:bCs/>
                <w:color w:val="000000"/>
                <w:kern w:val="0"/>
                <w:sz w:val="20"/>
                <w:szCs w:val="20"/>
              </w:rPr>
              <w:t>所服务器数目</w:t>
            </w:r>
          </w:p>
        </w:tc>
        <w:tc>
          <w:tcPr>
            <w:tcW w:w="959"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13A59340">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7</w:t>
            </w:r>
          </w:p>
        </w:tc>
        <w:tc>
          <w:tcPr>
            <w:tcW w:w="820"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35AE0169">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7</w:t>
            </w:r>
          </w:p>
        </w:tc>
        <w:tc>
          <w:tcPr>
            <w:tcW w:w="820" w:type="dxa"/>
            <w:tcBorders>
              <w:top w:val="single" w:color="auto" w:sz="4" w:space="0"/>
              <w:left w:val="single" w:color="auto" w:sz="4" w:space="0"/>
              <w:bottom w:val="single" w:color="auto" w:sz="4" w:space="0"/>
              <w:right w:val="single" w:color="auto" w:sz="4" w:space="0"/>
            </w:tcBorders>
            <w:shd w:val="clear" w:color="000000" w:fill="95B3D7"/>
            <w:noWrap/>
            <w:vAlign w:val="center"/>
          </w:tcPr>
          <w:p w14:paraId="35C8CEDD">
            <w:pPr>
              <w:widowControl/>
              <w:spacing w:line="240" w:lineRule="auto"/>
              <w:ind w:firstLine="0" w:firstLineChars="0"/>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 xml:space="preserve">7 </w:t>
            </w:r>
          </w:p>
        </w:tc>
      </w:tr>
    </w:tbl>
    <w:p w14:paraId="3CDB6897">
      <w:pPr>
        <w:rPr>
          <w:rFonts w:hint="eastAsia" w:ascii="宋体" w:eastAsia="宋体" w:cs="宋体"/>
          <w:szCs w:val="24"/>
        </w:rPr>
      </w:pPr>
      <w:r>
        <w:rPr>
          <w:rFonts w:hint="eastAsia" w:ascii="宋体" w:eastAsia="宋体" w:cs="宋体"/>
          <w:szCs w:val="24"/>
        </w:rPr>
        <w:t>3、滁州市公安局视频专网现有软件环境：滁州市“雪亮工程”项目中建设了视频监控共享平台、视图库系统、云存储系统、视频图像信息安全运维管理系统。</w:t>
      </w:r>
    </w:p>
    <w:p w14:paraId="72F4F29C">
      <w:pPr>
        <w:pStyle w:val="12"/>
        <w:jc w:val="center"/>
        <w:rPr>
          <w:rFonts w:hint="eastAsia" w:ascii="仿宋_GB2312" w:hAnsi="仿宋_GB2312" w:cs="仿宋_GB2312"/>
          <w:i/>
          <w:color w:val="0D0D0D"/>
          <w:sz w:val="32"/>
          <w:szCs w:val="32"/>
        </w:rPr>
      </w:pPr>
      <w:r>
        <w:rPr>
          <w:rFonts w:hint="eastAsia"/>
        </w:rPr>
        <w:t>表</w:t>
      </w:r>
      <w:r>
        <w:t xml:space="preserve"> </w:t>
      </w:r>
      <w:r>
        <w:fldChar w:fldCharType="begin"/>
      </w:r>
      <w:r>
        <w:instrText xml:space="preserve"> STYLEREF 2 \s </w:instrText>
      </w:r>
      <w:r>
        <w:fldChar w:fldCharType="separate"/>
      </w:r>
      <w:r>
        <w:t>3.2</w:t>
      </w:r>
      <w:r>
        <w:fldChar w:fldCharType="end"/>
      </w:r>
      <w:r>
        <w:rPr>
          <w:rFonts w:hint="eastAsia"/>
        </w:rPr>
        <w:t>–</w:t>
      </w:r>
      <w:r>
        <w:fldChar w:fldCharType="begin"/>
      </w:r>
      <w:r>
        <w:instrText xml:space="preserve"> SEQ 表 \* ARABIC \s 2 </w:instrText>
      </w:r>
      <w:r>
        <w:fldChar w:fldCharType="separate"/>
      </w:r>
      <w:r>
        <w:t>1</w:t>
      </w:r>
      <w:r>
        <w:fldChar w:fldCharType="end"/>
      </w:r>
      <w:r>
        <w:rPr>
          <w:rFonts w:hint="eastAsia"/>
        </w:rPr>
        <w:t xml:space="preserve"> 现有软件环境</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00"/>
        <w:gridCol w:w="1582"/>
        <w:gridCol w:w="3481"/>
        <w:gridCol w:w="1025"/>
        <w:gridCol w:w="661"/>
      </w:tblGrid>
      <w:tr w14:paraId="6E4B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tcBorders>
              <w:top w:val="single" w:color="auto" w:sz="4" w:space="0"/>
              <w:left w:val="single" w:color="auto" w:sz="4" w:space="0"/>
              <w:bottom w:val="single" w:color="auto" w:sz="4" w:space="0"/>
              <w:right w:val="single" w:color="auto" w:sz="4" w:space="0"/>
            </w:tcBorders>
            <w:noWrap/>
            <w:vAlign w:val="center"/>
          </w:tcPr>
          <w:p w14:paraId="1EE49DA3">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序号</w:t>
            </w:r>
          </w:p>
        </w:tc>
        <w:tc>
          <w:tcPr>
            <w:tcW w:w="1100" w:type="dxa"/>
            <w:tcBorders>
              <w:top w:val="single" w:color="auto" w:sz="4" w:space="0"/>
              <w:left w:val="single" w:color="auto" w:sz="4" w:space="0"/>
              <w:bottom w:val="single" w:color="auto" w:sz="4" w:space="0"/>
              <w:right w:val="single" w:color="auto" w:sz="4" w:space="0"/>
            </w:tcBorders>
            <w:noWrap/>
            <w:vAlign w:val="center"/>
          </w:tcPr>
          <w:p w14:paraId="4B08D95E">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名称</w:t>
            </w:r>
          </w:p>
        </w:tc>
        <w:tc>
          <w:tcPr>
            <w:tcW w:w="1582" w:type="dxa"/>
            <w:tcBorders>
              <w:top w:val="single" w:color="auto" w:sz="4" w:space="0"/>
              <w:left w:val="single" w:color="auto" w:sz="4" w:space="0"/>
              <w:bottom w:val="single" w:color="auto" w:sz="4" w:space="0"/>
              <w:right w:val="single" w:color="auto" w:sz="4" w:space="0"/>
            </w:tcBorders>
            <w:noWrap/>
            <w:vAlign w:val="center"/>
          </w:tcPr>
          <w:p w14:paraId="30F7AD08">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品牌型号</w:t>
            </w:r>
          </w:p>
        </w:tc>
        <w:tc>
          <w:tcPr>
            <w:tcW w:w="3481" w:type="dxa"/>
            <w:tcBorders>
              <w:top w:val="single" w:color="auto" w:sz="4" w:space="0"/>
              <w:left w:val="single" w:color="auto" w:sz="4" w:space="0"/>
              <w:bottom w:val="single" w:color="auto" w:sz="4" w:space="0"/>
              <w:right w:val="single" w:color="auto" w:sz="4" w:space="0"/>
            </w:tcBorders>
            <w:noWrap/>
            <w:vAlign w:val="center"/>
          </w:tcPr>
          <w:p w14:paraId="0D66054D">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系统功能</w:t>
            </w:r>
          </w:p>
        </w:tc>
        <w:tc>
          <w:tcPr>
            <w:tcW w:w="1025" w:type="dxa"/>
            <w:tcBorders>
              <w:top w:val="single" w:color="auto" w:sz="4" w:space="0"/>
              <w:left w:val="single" w:color="auto" w:sz="4" w:space="0"/>
              <w:bottom w:val="single" w:color="auto" w:sz="4" w:space="0"/>
              <w:right w:val="single" w:color="auto" w:sz="4" w:space="0"/>
            </w:tcBorders>
            <w:noWrap/>
            <w:vAlign w:val="center"/>
          </w:tcPr>
          <w:p w14:paraId="45885C0F">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年份</w:t>
            </w:r>
          </w:p>
        </w:tc>
        <w:tc>
          <w:tcPr>
            <w:tcW w:w="661" w:type="dxa"/>
            <w:tcBorders>
              <w:top w:val="single" w:color="auto" w:sz="4" w:space="0"/>
              <w:left w:val="single" w:color="auto" w:sz="4" w:space="0"/>
              <w:bottom w:val="single" w:color="auto" w:sz="4" w:space="0"/>
              <w:right w:val="single" w:color="auto" w:sz="4" w:space="0"/>
            </w:tcBorders>
            <w:noWrap/>
            <w:vAlign w:val="center"/>
          </w:tcPr>
          <w:p w14:paraId="1B64386F">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备注</w:t>
            </w:r>
          </w:p>
        </w:tc>
      </w:tr>
      <w:tr w14:paraId="008E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0F1BD056">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1</w:t>
            </w:r>
          </w:p>
        </w:tc>
        <w:tc>
          <w:tcPr>
            <w:tcW w:w="1100" w:type="dxa"/>
            <w:tcBorders>
              <w:top w:val="single" w:color="auto" w:sz="4" w:space="0"/>
              <w:left w:val="single" w:color="auto" w:sz="4" w:space="0"/>
              <w:bottom w:val="single" w:color="auto" w:sz="4" w:space="0"/>
              <w:right w:val="single" w:color="auto" w:sz="4" w:space="0"/>
            </w:tcBorders>
            <w:noWrap/>
            <w:vAlign w:val="center"/>
          </w:tcPr>
          <w:p w14:paraId="2975B468">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视频监控共享平台</w:t>
            </w:r>
          </w:p>
        </w:tc>
        <w:tc>
          <w:tcPr>
            <w:tcW w:w="1582" w:type="dxa"/>
            <w:tcBorders>
              <w:top w:val="single" w:color="auto" w:sz="4" w:space="0"/>
              <w:left w:val="single" w:color="auto" w:sz="4" w:space="0"/>
              <w:bottom w:val="single" w:color="auto" w:sz="4" w:space="0"/>
              <w:right w:val="single" w:color="auto" w:sz="4" w:space="0"/>
            </w:tcBorders>
            <w:noWrap/>
            <w:vAlign w:val="center"/>
          </w:tcPr>
          <w:p w14:paraId="38CF61E5">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KEDACOM、KDM2901-G2-H</w:t>
            </w:r>
          </w:p>
        </w:tc>
        <w:tc>
          <w:tcPr>
            <w:tcW w:w="3481" w:type="dxa"/>
            <w:tcBorders>
              <w:top w:val="single" w:color="auto" w:sz="4" w:space="0"/>
              <w:left w:val="single" w:color="auto" w:sz="4" w:space="0"/>
              <w:bottom w:val="single" w:color="auto" w:sz="4" w:space="0"/>
              <w:right w:val="single" w:color="auto" w:sz="4" w:space="0"/>
            </w:tcBorders>
            <w:noWrap/>
            <w:vAlign w:val="center"/>
          </w:tcPr>
          <w:p w14:paraId="2E2A0148">
            <w:pPr>
              <w:pStyle w:val="117"/>
              <w:widowControl/>
              <w:numPr>
                <w:ilvl w:val="0"/>
                <w:numId w:val="4"/>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平台授权路数：15000路，支持50万路前端管理能力。</w:t>
            </w:r>
          </w:p>
          <w:p w14:paraId="462774E8">
            <w:pPr>
              <w:pStyle w:val="117"/>
              <w:widowControl/>
              <w:numPr>
                <w:ilvl w:val="0"/>
                <w:numId w:val="4"/>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平台主要功能:用于滁州市雪亮工程点位接入、录像预览回放、平台间级联对接等，级联接入社会面平台，并向省厅共享平台、公安网联网平台推送前端资源。</w:t>
            </w:r>
          </w:p>
        </w:tc>
        <w:tc>
          <w:tcPr>
            <w:tcW w:w="1025" w:type="dxa"/>
            <w:tcBorders>
              <w:top w:val="single" w:color="auto" w:sz="4" w:space="0"/>
              <w:left w:val="single" w:color="auto" w:sz="4" w:space="0"/>
              <w:bottom w:val="single" w:color="auto" w:sz="4" w:space="0"/>
              <w:right w:val="single" w:color="auto" w:sz="4" w:space="0"/>
            </w:tcBorders>
            <w:noWrap/>
            <w:vAlign w:val="center"/>
          </w:tcPr>
          <w:p w14:paraId="62BD258C">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2C5DA107">
            <w:pPr>
              <w:pStyle w:val="117"/>
              <w:widowControl/>
              <w:spacing w:line="400" w:lineRule="exact"/>
              <w:ind w:firstLine="0" w:firstLineChars="0"/>
              <w:jc w:val="center"/>
              <w:rPr>
                <w:rFonts w:hint="eastAsia" w:ascii="宋体" w:eastAsia="宋体" w:cs="宋体"/>
                <w:iCs/>
                <w:color w:val="0D0D0D"/>
                <w:kern w:val="2"/>
                <w:sz w:val="21"/>
                <w:szCs w:val="21"/>
              </w:rPr>
            </w:pPr>
          </w:p>
        </w:tc>
      </w:tr>
      <w:tr w14:paraId="651C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0D49525B">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w:t>
            </w:r>
          </w:p>
        </w:tc>
        <w:tc>
          <w:tcPr>
            <w:tcW w:w="1100" w:type="dxa"/>
            <w:tcBorders>
              <w:top w:val="single" w:color="auto" w:sz="4" w:space="0"/>
              <w:left w:val="single" w:color="auto" w:sz="4" w:space="0"/>
              <w:bottom w:val="single" w:color="auto" w:sz="4" w:space="0"/>
              <w:right w:val="single" w:color="auto" w:sz="4" w:space="0"/>
            </w:tcBorders>
            <w:noWrap/>
            <w:vAlign w:val="center"/>
          </w:tcPr>
          <w:p w14:paraId="38780B74">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云存储系统</w:t>
            </w:r>
          </w:p>
        </w:tc>
        <w:tc>
          <w:tcPr>
            <w:tcW w:w="1582" w:type="dxa"/>
            <w:tcBorders>
              <w:top w:val="single" w:color="auto" w:sz="4" w:space="0"/>
              <w:left w:val="single" w:color="auto" w:sz="4" w:space="0"/>
              <w:bottom w:val="single" w:color="auto" w:sz="4" w:space="0"/>
              <w:right w:val="single" w:color="auto" w:sz="4" w:space="0"/>
            </w:tcBorders>
            <w:noWrap/>
            <w:vAlign w:val="center"/>
          </w:tcPr>
          <w:p w14:paraId="1F6A6B2C">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KEDACOM、KCloudStor 2100</w:t>
            </w:r>
          </w:p>
        </w:tc>
        <w:tc>
          <w:tcPr>
            <w:tcW w:w="3481" w:type="dxa"/>
            <w:tcBorders>
              <w:top w:val="single" w:color="auto" w:sz="4" w:space="0"/>
              <w:left w:val="single" w:color="auto" w:sz="4" w:space="0"/>
              <w:bottom w:val="single" w:color="auto" w:sz="4" w:space="0"/>
              <w:right w:val="single" w:color="auto" w:sz="4" w:space="0"/>
            </w:tcBorders>
            <w:noWrap/>
            <w:vAlign w:val="center"/>
          </w:tcPr>
          <w:p w14:paraId="79657584">
            <w:pPr>
              <w:pStyle w:val="117"/>
              <w:widowControl/>
              <w:numPr>
                <w:ilvl w:val="0"/>
                <w:numId w:val="5"/>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存储空间：31.97 PB。</w:t>
            </w:r>
          </w:p>
          <w:p w14:paraId="14FE1F57">
            <w:pPr>
              <w:pStyle w:val="117"/>
              <w:widowControl/>
              <w:numPr>
                <w:ilvl w:val="0"/>
                <w:numId w:val="5"/>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系统主要功能：用于视频专网所有前端视频录像、抓拍图片的集中存储。确保视频存储30天、反恐重点部位视频存储90天、图片存储180天。</w:t>
            </w:r>
          </w:p>
        </w:tc>
        <w:tc>
          <w:tcPr>
            <w:tcW w:w="1025" w:type="dxa"/>
            <w:tcBorders>
              <w:top w:val="single" w:color="auto" w:sz="4" w:space="0"/>
              <w:left w:val="single" w:color="auto" w:sz="4" w:space="0"/>
              <w:bottom w:val="single" w:color="auto" w:sz="4" w:space="0"/>
              <w:right w:val="single" w:color="auto" w:sz="4" w:space="0"/>
            </w:tcBorders>
            <w:noWrap/>
            <w:vAlign w:val="center"/>
          </w:tcPr>
          <w:p w14:paraId="293DC2EF">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1B3BC794">
            <w:pPr>
              <w:pStyle w:val="117"/>
              <w:widowControl/>
              <w:spacing w:line="400" w:lineRule="exact"/>
              <w:ind w:firstLine="0" w:firstLineChars="0"/>
              <w:rPr>
                <w:rFonts w:hint="eastAsia" w:ascii="宋体" w:eastAsia="宋体" w:cs="宋体"/>
                <w:iCs/>
                <w:color w:val="0D0D0D"/>
                <w:kern w:val="2"/>
                <w:sz w:val="21"/>
                <w:szCs w:val="21"/>
              </w:rPr>
            </w:pPr>
          </w:p>
        </w:tc>
      </w:tr>
      <w:tr w14:paraId="1DFB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6F3989E2">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3</w:t>
            </w:r>
          </w:p>
        </w:tc>
        <w:tc>
          <w:tcPr>
            <w:tcW w:w="1100" w:type="dxa"/>
            <w:tcBorders>
              <w:top w:val="single" w:color="auto" w:sz="4" w:space="0"/>
              <w:left w:val="single" w:color="auto" w:sz="4" w:space="0"/>
              <w:bottom w:val="single" w:color="auto" w:sz="4" w:space="0"/>
              <w:right w:val="single" w:color="auto" w:sz="4" w:space="0"/>
            </w:tcBorders>
            <w:noWrap/>
            <w:vAlign w:val="center"/>
          </w:tcPr>
          <w:p w14:paraId="0BBD6B40">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视图库系统</w:t>
            </w:r>
          </w:p>
        </w:tc>
        <w:tc>
          <w:tcPr>
            <w:tcW w:w="1582" w:type="dxa"/>
            <w:tcBorders>
              <w:top w:val="single" w:color="auto" w:sz="4" w:space="0"/>
              <w:left w:val="single" w:color="auto" w:sz="4" w:space="0"/>
              <w:bottom w:val="single" w:color="auto" w:sz="4" w:space="0"/>
              <w:right w:val="single" w:color="auto" w:sz="4" w:space="0"/>
            </w:tcBorders>
            <w:noWrap/>
            <w:vAlign w:val="center"/>
          </w:tcPr>
          <w:p w14:paraId="65672716">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KEDACOM、ezView1000-P01-M03C</w:t>
            </w:r>
          </w:p>
        </w:tc>
        <w:tc>
          <w:tcPr>
            <w:tcW w:w="3481" w:type="dxa"/>
            <w:tcBorders>
              <w:top w:val="single" w:color="auto" w:sz="4" w:space="0"/>
              <w:left w:val="single" w:color="auto" w:sz="4" w:space="0"/>
              <w:bottom w:val="single" w:color="auto" w:sz="4" w:space="0"/>
              <w:right w:val="single" w:color="auto" w:sz="4" w:space="0"/>
            </w:tcBorders>
            <w:noWrap/>
            <w:vAlign w:val="center"/>
          </w:tcPr>
          <w:p w14:paraId="69284404">
            <w:pPr>
              <w:pStyle w:val="117"/>
              <w:widowControl/>
              <w:numPr>
                <w:ilvl w:val="0"/>
                <w:numId w:val="6"/>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支持100亿数据量接入。</w:t>
            </w:r>
          </w:p>
          <w:p w14:paraId="2C368B35">
            <w:pPr>
              <w:pStyle w:val="117"/>
              <w:widowControl/>
              <w:numPr>
                <w:ilvl w:val="0"/>
                <w:numId w:val="6"/>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系统主要功能：用于接入和管理智能抓拍前端抓拍提取的人脸照、全身照、车辆照片、全场景照片及结构化数据；图片统一存储到云存储系统中图片集群中。</w:t>
            </w:r>
          </w:p>
        </w:tc>
        <w:tc>
          <w:tcPr>
            <w:tcW w:w="1025" w:type="dxa"/>
            <w:tcBorders>
              <w:top w:val="single" w:color="auto" w:sz="4" w:space="0"/>
              <w:left w:val="single" w:color="auto" w:sz="4" w:space="0"/>
              <w:bottom w:val="single" w:color="auto" w:sz="4" w:space="0"/>
              <w:right w:val="single" w:color="auto" w:sz="4" w:space="0"/>
            </w:tcBorders>
            <w:noWrap/>
            <w:vAlign w:val="center"/>
          </w:tcPr>
          <w:p w14:paraId="72797BB9">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6482159A">
            <w:pPr>
              <w:pStyle w:val="117"/>
              <w:widowControl/>
              <w:spacing w:line="400" w:lineRule="exact"/>
              <w:ind w:firstLine="0" w:firstLineChars="0"/>
              <w:rPr>
                <w:rFonts w:hint="eastAsia" w:ascii="宋体" w:eastAsia="宋体" w:cs="宋体"/>
                <w:iCs/>
                <w:color w:val="0D0D0D"/>
                <w:kern w:val="2"/>
                <w:sz w:val="21"/>
                <w:szCs w:val="21"/>
              </w:rPr>
            </w:pPr>
          </w:p>
        </w:tc>
      </w:tr>
      <w:tr w14:paraId="3F4E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0A5D88FC">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4</w:t>
            </w:r>
          </w:p>
        </w:tc>
        <w:tc>
          <w:tcPr>
            <w:tcW w:w="1100" w:type="dxa"/>
            <w:tcBorders>
              <w:top w:val="single" w:color="auto" w:sz="4" w:space="0"/>
              <w:left w:val="single" w:color="auto" w:sz="4" w:space="0"/>
              <w:bottom w:val="single" w:color="auto" w:sz="4" w:space="0"/>
              <w:right w:val="single" w:color="auto" w:sz="4" w:space="0"/>
            </w:tcBorders>
            <w:noWrap/>
            <w:vAlign w:val="center"/>
          </w:tcPr>
          <w:p w14:paraId="72E33710">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视频图像信息安全运维管理系统</w:t>
            </w:r>
          </w:p>
        </w:tc>
        <w:tc>
          <w:tcPr>
            <w:tcW w:w="1582" w:type="dxa"/>
            <w:tcBorders>
              <w:top w:val="single" w:color="auto" w:sz="4" w:space="0"/>
              <w:left w:val="single" w:color="auto" w:sz="4" w:space="0"/>
              <w:bottom w:val="single" w:color="auto" w:sz="4" w:space="0"/>
              <w:right w:val="single" w:color="auto" w:sz="4" w:space="0"/>
            </w:tcBorders>
            <w:noWrap/>
            <w:vAlign w:val="center"/>
          </w:tcPr>
          <w:p w14:paraId="7709067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KEDACOM、IOMS-50000-S</w:t>
            </w:r>
          </w:p>
        </w:tc>
        <w:tc>
          <w:tcPr>
            <w:tcW w:w="3481" w:type="dxa"/>
            <w:tcBorders>
              <w:top w:val="single" w:color="auto" w:sz="4" w:space="0"/>
              <w:left w:val="single" w:color="auto" w:sz="4" w:space="0"/>
              <w:bottom w:val="single" w:color="auto" w:sz="4" w:space="0"/>
              <w:right w:val="single" w:color="auto" w:sz="4" w:space="0"/>
            </w:tcBorders>
            <w:noWrap/>
            <w:vAlign w:val="center"/>
          </w:tcPr>
          <w:p w14:paraId="19F50B50">
            <w:pPr>
              <w:pStyle w:val="117"/>
              <w:widowControl/>
              <w:numPr>
                <w:ilvl w:val="0"/>
                <w:numId w:val="7"/>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支持不少于800台基础设备的监控管理能力； 具备100000路视频质量分析诊断能力。</w:t>
            </w:r>
          </w:p>
          <w:p w14:paraId="2CCCFEEF">
            <w:pPr>
              <w:pStyle w:val="117"/>
              <w:widowControl/>
              <w:numPr>
                <w:ilvl w:val="0"/>
                <w:numId w:val="7"/>
              </w:numPr>
              <w:spacing w:line="400" w:lineRule="exact"/>
              <w:ind w:left="0"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系统主要功能：用于各类监控前端、后端服务器、云存储系统等设备的巡检和状态分析，可自动发现设备故障，并形成故障报告和工单管理。</w:t>
            </w:r>
          </w:p>
        </w:tc>
        <w:tc>
          <w:tcPr>
            <w:tcW w:w="1025" w:type="dxa"/>
            <w:tcBorders>
              <w:top w:val="single" w:color="auto" w:sz="4" w:space="0"/>
              <w:left w:val="single" w:color="auto" w:sz="4" w:space="0"/>
              <w:bottom w:val="single" w:color="auto" w:sz="4" w:space="0"/>
              <w:right w:val="single" w:color="auto" w:sz="4" w:space="0"/>
            </w:tcBorders>
            <w:noWrap/>
            <w:vAlign w:val="center"/>
          </w:tcPr>
          <w:p w14:paraId="38B9D5A6">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7CCD3C6B">
            <w:pPr>
              <w:pStyle w:val="117"/>
              <w:widowControl/>
              <w:spacing w:line="400" w:lineRule="exact"/>
              <w:ind w:firstLine="0" w:firstLineChars="0"/>
              <w:rPr>
                <w:rFonts w:hint="eastAsia" w:ascii="宋体" w:eastAsia="宋体" w:cs="宋体"/>
                <w:iCs/>
                <w:color w:val="0D0D0D"/>
                <w:kern w:val="2"/>
                <w:sz w:val="21"/>
                <w:szCs w:val="21"/>
              </w:rPr>
            </w:pPr>
          </w:p>
        </w:tc>
      </w:tr>
      <w:tr w14:paraId="06B0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45BEE67B">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5</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C88075">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视频专网人像应用平台</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CC93FF">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海康、定制</w:t>
            </w:r>
          </w:p>
        </w:tc>
        <w:tc>
          <w:tcPr>
            <w:tcW w:w="3481" w:type="dxa"/>
            <w:tcBorders>
              <w:top w:val="single" w:color="auto" w:sz="4" w:space="0"/>
              <w:left w:val="single" w:color="auto" w:sz="4" w:space="0"/>
              <w:bottom w:val="single" w:color="auto" w:sz="4" w:space="0"/>
              <w:right w:val="single" w:color="auto" w:sz="4" w:space="0"/>
            </w:tcBorders>
            <w:noWrap/>
            <w:vAlign w:val="center"/>
          </w:tcPr>
          <w:p w14:paraId="14A6249E">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1.支持设置用户登录认证信息，包括登录认证密码、认证方式、在线策略及登录地址绑定等；</w:t>
            </w:r>
          </w:p>
          <w:p w14:paraId="23344954">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2.支持根据权限类型不同，依据应用角色及管理角色分别针对用户权限进行管理；</w:t>
            </w:r>
          </w:p>
          <w:p w14:paraId="3495E7F4">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3.支持人脸查询，人脸查询结果支持展示支持人脸抓拍信息，包括目标的抓拍点位及抓拍时间，同时支持针对目标对象进行查看详情、地图定位、添加到暂存架、一键查询（以图搜图）、视频回放、一键布控（跳转单人脸布控）；</w:t>
            </w:r>
          </w:p>
          <w:p w14:paraId="70C91DEE">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4.支持黑名单布控及单人脸布控两种布控类型；支持查看人脸布控详情及联动信息，在人脸布控告警记录中支持查看人脸布控报警详情、布控证件照及抓拍图对比情况以及报警地图定位，并支持查看人脸报警轨迹</w:t>
            </w:r>
          </w:p>
          <w:p w14:paraId="7E734DB4">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5.持根据上传图片、相似度、同行次数、间隔时间等新建、查看同行任务，并展示抓拍等相关详细信息；</w:t>
            </w:r>
          </w:p>
          <w:p w14:paraId="784986DD">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6.支持显示黑名单库的总人员数量、建模成功数量、建模失败数量；</w:t>
            </w:r>
          </w:p>
          <w:p w14:paraId="76732FA4">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7.支持按布控信息显示每个布控的分时段（月、日、时）预警数据；</w:t>
            </w:r>
          </w:p>
          <w:p w14:paraId="770192EB">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8.支持按抓拍机显示每个抓拍机的分时段（月、日、时）抓拍数据；</w:t>
            </w:r>
          </w:p>
          <w:p w14:paraId="1CD0996B">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9.支持人脸报警的实时展示，并展示大图详情；</w:t>
            </w:r>
          </w:p>
          <w:p w14:paraId="0190B77C">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10.支持以图搜图与属性查询结合，当属性查询类别与图片检索类别一致时，查询结果取两者的交集，当属性条件类别与图片检索内容不一致时，查询结果取并集；</w:t>
            </w:r>
          </w:p>
          <w:p w14:paraId="6CAE9485">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11.支持自定义检索时间及检索点位范围，同时支持设置在所选的智能任务结构化结果范围内进行查询；</w:t>
            </w:r>
          </w:p>
          <w:p w14:paraId="1D73B32A">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12.支持根据区域查看查今日新增告警、告警总量及分类别（状态、录像、视频质量及其他）的告警数量情况，支持查看告警详情，并支持针对告警进行解决、删除、导出、刷新等操作，支持根据告警状态、告警源名称及告警源等进行告警信息筛选</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6C3D56">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5BF8C">
            <w:pPr>
              <w:pStyle w:val="117"/>
              <w:widowControl/>
              <w:spacing w:line="400" w:lineRule="exact"/>
              <w:ind w:firstLine="0" w:firstLineChars="0"/>
              <w:rPr>
                <w:rFonts w:hint="eastAsia" w:ascii="宋体" w:eastAsia="宋体" w:cs="宋体"/>
                <w:iCs/>
                <w:color w:val="0D0D0D"/>
                <w:kern w:val="2"/>
                <w:sz w:val="21"/>
                <w:szCs w:val="21"/>
              </w:rPr>
            </w:pPr>
          </w:p>
        </w:tc>
      </w:tr>
      <w:tr w14:paraId="5269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F431F7">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6</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FC4E11">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人脸算法</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18C209">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海康、定制</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C54EB0">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1.提供不低于1400路人脸图片识别分析能力；</w:t>
            </w:r>
          </w:p>
          <w:p w14:paraId="1165411A">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2.支持一个画面中两眼瞳距18像素点以上的32张人脸同时进行检测，光线正常，人脸图片的检出率不低于99%，人脸检测后台响应时间不超过1秒；</w:t>
            </w:r>
          </w:p>
          <w:p w14:paraId="2AB0806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3.支持检出水平转动不超过60度，俯仰角度不超过45度的人脸；</w:t>
            </w:r>
          </w:p>
          <w:p w14:paraId="18052EB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4.支持对人脸图片识别人脸性别，人脸性别检出率不低于99%，人脸性别识别准确率不低于99%；</w:t>
            </w:r>
          </w:p>
          <w:p w14:paraId="4F7F2F40">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5.支持对人脸图片识别人脸年龄段(童年、少年、青年、中年、老年）；</w:t>
            </w:r>
          </w:p>
          <w:p w14:paraId="0622B9FF">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6.支持对人脸图片识别人脸是否戴眼镜，人脸图片戴眼镜检出率不低于99%，人脸图片戴眼镜识别准确率不低于99%；</w:t>
            </w:r>
          </w:p>
          <w:p w14:paraId="5B928AC6">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7.支持对人脸图片识别人脸是否微笑，人脸图片人脸是否微笑检出率不低于99%；</w:t>
            </w:r>
          </w:p>
          <w:p w14:paraId="20794A6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8.支持黑名单库容量200万张图片，支持将黑名单库分为16个库分别管理，每个库设置不同报警阈值或关联相机；</w:t>
            </w:r>
          </w:p>
          <w:p w14:paraId="04238E20">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9.黑名单实时报警首位命中准确率不低于99%，实时报警误报率不超过1%，实时报警漏报率不超过1%；</w:t>
            </w:r>
          </w:p>
          <w:p w14:paraId="69C52240">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10、人像识别算法需对标省厅，人像特征推送至省厅，省厅人像动态系统无需二次解析；</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082D76">
            <w:pPr>
              <w:pStyle w:val="117"/>
              <w:widowControl/>
              <w:spacing w:line="400" w:lineRule="exact"/>
              <w:ind w:firstLine="0" w:firstLineChars="0"/>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A6A4D">
            <w:pPr>
              <w:pStyle w:val="117"/>
              <w:widowControl/>
              <w:spacing w:line="400" w:lineRule="exact"/>
              <w:ind w:firstLine="0" w:firstLineChars="0"/>
              <w:rPr>
                <w:rFonts w:hint="eastAsia" w:ascii="宋体" w:eastAsia="宋体" w:cs="宋体"/>
                <w:iCs/>
                <w:color w:val="0D0D0D"/>
                <w:kern w:val="2"/>
                <w:sz w:val="21"/>
                <w:szCs w:val="21"/>
              </w:rPr>
            </w:pPr>
          </w:p>
        </w:tc>
      </w:tr>
    </w:tbl>
    <w:p w14:paraId="682DBA59">
      <w:pPr>
        <w:pStyle w:val="117"/>
        <w:widowControl/>
        <w:spacing w:line="400" w:lineRule="exact"/>
        <w:ind w:firstLine="0" w:firstLineChars="0"/>
        <w:rPr>
          <w:rFonts w:hint="eastAsia" w:ascii="仿宋_GB2312" w:eastAsia="仿宋_GB2312" w:cs="仿宋_GB2312"/>
          <w:i/>
          <w:color w:val="0D0D0D"/>
          <w:kern w:val="2"/>
          <w:sz w:val="32"/>
          <w:szCs w:val="32"/>
        </w:rPr>
      </w:pPr>
    </w:p>
    <w:p w14:paraId="3B13C6CF">
      <w:pPr>
        <w:pStyle w:val="6"/>
        <w:spacing w:before="0" w:after="0"/>
      </w:pPr>
      <w:bookmarkStart w:id="128" w:name="_Toc19062"/>
      <w:bookmarkStart w:id="129" w:name="_Toc15509"/>
      <w:bookmarkStart w:id="130" w:name="_Toc31066"/>
      <w:bookmarkStart w:id="131" w:name="_Toc30458"/>
      <w:bookmarkStart w:id="132" w:name="_Toc3820"/>
      <w:bookmarkStart w:id="133" w:name="_Toc138615706"/>
      <w:bookmarkStart w:id="134" w:name="_Toc23929"/>
      <w:bookmarkStart w:id="135" w:name="_Toc18335"/>
      <w:r>
        <w:rPr>
          <w:rFonts w:hint="eastAsia"/>
        </w:rPr>
        <w:t>现有硬件环境</w:t>
      </w:r>
      <w:bookmarkEnd w:id="128"/>
      <w:bookmarkEnd w:id="129"/>
      <w:bookmarkEnd w:id="130"/>
      <w:bookmarkEnd w:id="131"/>
      <w:bookmarkEnd w:id="132"/>
      <w:bookmarkEnd w:id="133"/>
      <w:bookmarkEnd w:id="134"/>
      <w:bookmarkEnd w:id="135"/>
    </w:p>
    <w:p w14:paraId="4FB2A172">
      <w:pPr>
        <w:rPr>
          <w:rFonts w:hint="eastAsia" w:ascii="宋体" w:eastAsia="宋体" w:cs="宋体"/>
          <w:szCs w:val="24"/>
        </w:rPr>
      </w:pPr>
      <w:r>
        <w:rPr>
          <w:rFonts w:hint="eastAsia" w:ascii="宋体" w:eastAsia="宋体" w:cs="宋体"/>
          <w:szCs w:val="24"/>
        </w:rPr>
        <w:t>1、滁州市“雪亮工程”系统原网络总体架构图如下图：</w:t>
      </w:r>
    </w:p>
    <w:p w14:paraId="57D64EA1">
      <w:pPr>
        <w:rPr>
          <w:rFonts w:hint="eastAsia"/>
        </w:rPr>
      </w:pPr>
      <w:r>
        <w:rPr>
          <w:rFonts w:hint="eastAsia"/>
        </w:rPr>
        <w:drawing>
          <wp:inline distT="0" distB="0" distL="114300" distR="114300">
            <wp:extent cx="5467350" cy="5114925"/>
            <wp:effectExtent l="0" t="0" r="0" b="9525"/>
            <wp:docPr id="10" name="图片 55" descr="2010组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descr="2010组网图"/>
                    <pic:cNvPicPr>
                      <a:picLocks noChangeAspect="1"/>
                    </pic:cNvPicPr>
                  </pic:nvPicPr>
                  <pic:blipFill>
                    <a:blip r:embed="rId9"/>
                    <a:stretch>
                      <a:fillRect/>
                    </a:stretch>
                  </pic:blipFill>
                  <pic:spPr>
                    <a:xfrm>
                      <a:off x="0" y="0"/>
                      <a:ext cx="5467350" cy="5114925"/>
                    </a:xfrm>
                    <a:prstGeom prst="rect">
                      <a:avLst/>
                    </a:prstGeom>
                    <a:noFill/>
                    <a:ln w="9525" cap="flat" cmpd="sng">
                      <a:noFill/>
                      <a:prstDash val="solid"/>
                      <a:round/>
                    </a:ln>
                  </pic:spPr>
                </pic:pic>
              </a:graphicData>
            </a:graphic>
          </wp:inline>
        </w:drawing>
      </w:r>
    </w:p>
    <w:p w14:paraId="1BC5E6E8">
      <w:pPr>
        <w:jc w:val="center"/>
        <w:rPr>
          <w:rFonts w:hint="eastAsia"/>
        </w:rPr>
      </w:pPr>
      <w:r>
        <w:rPr>
          <w:rFonts w:hint="eastAsia"/>
        </w:rPr>
        <w:t xml:space="preserve"> </w:t>
      </w:r>
      <w:r>
        <w:rPr>
          <w:rFonts w:hint="eastAsia" w:ascii="黑体" w:eastAsia="黑体" w:cs="黑体"/>
          <w:bCs/>
        </w:rPr>
        <w:t xml:space="preserve">图 </w:t>
      </w:r>
      <w:r>
        <w:rPr>
          <w:rFonts w:hint="eastAsia" w:ascii="黑体" w:eastAsia="黑体" w:cs="黑体"/>
          <w:bCs/>
        </w:rPr>
        <w:fldChar w:fldCharType="begin"/>
      </w:r>
      <w:r>
        <w:rPr>
          <w:rFonts w:hint="eastAsia" w:ascii="黑体" w:eastAsia="黑体" w:cs="黑体"/>
          <w:bCs/>
        </w:rPr>
        <w:instrText xml:space="preserve"> STYLEREF 2 \s </w:instrText>
      </w:r>
      <w:r>
        <w:rPr>
          <w:rFonts w:hint="eastAsia" w:ascii="黑体" w:eastAsia="黑体" w:cs="黑体"/>
          <w:bCs/>
        </w:rPr>
        <w:fldChar w:fldCharType="separate"/>
      </w:r>
      <w:r>
        <w:rPr>
          <w:rFonts w:hint="eastAsia" w:ascii="黑体" w:eastAsia="黑体" w:cs="黑体"/>
          <w:bCs/>
        </w:rPr>
        <w:t>3.2</w:t>
      </w:r>
      <w:r>
        <w:rPr>
          <w:rFonts w:hint="eastAsia" w:ascii="黑体" w:eastAsia="黑体" w:cs="黑体"/>
          <w:bCs/>
        </w:rPr>
        <w:fldChar w:fldCharType="end"/>
      </w:r>
      <w:r>
        <w:rPr>
          <w:rFonts w:hint="eastAsia" w:ascii="黑体" w:eastAsia="黑体" w:cs="黑体"/>
          <w:bCs/>
        </w:rPr>
        <w:t>-</w:t>
      </w:r>
      <w:r>
        <w:rPr>
          <w:rFonts w:hint="eastAsia" w:ascii="黑体" w:eastAsia="黑体" w:cs="黑体"/>
          <w:bCs/>
        </w:rPr>
        <w:fldChar w:fldCharType="begin"/>
      </w:r>
      <w:r>
        <w:rPr>
          <w:rFonts w:hint="eastAsia" w:ascii="黑体" w:eastAsia="黑体" w:cs="黑体"/>
          <w:bCs/>
        </w:rPr>
        <w:instrText xml:space="preserve"> SEQ 图 \* ARABIC \s 2 </w:instrText>
      </w:r>
      <w:r>
        <w:rPr>
          <w:rFonts w:hint="eastAsia" w:ascii="黑体" w:eastAsia="黑体" w:cs="黑体"/>
          <w:bCs/>
        </w:rPr>
        <w:fldChar w:fldCharType="separate"/>
      </w:r>
      <w:r>
        <w:rPr>
          <w:rFonts w:hint="eastAsia" w:ascii="黑体" w:eastAsia="黑体" w:cs="黑体"/>
          <w:bCs/>
        </w:rPr>
        <w:t>2</w:t>
      </w:r>
      <w:r>
        <w:rPr>
          <w:rFonts w:hint="eastAsia" w:ascii="黑体" w:eastAsia="黑体" w:cs="黑体"/>
          <w:bCs/>
        </w:rPr>
        <w:fldChar w:fldCharType="end"/>
      </w:r>
      <w:r>
        <w:rPr>
          <w:rFonts w:hint="eastAsia" w:ascii="黑体" w:eastAsia="黑体" w:cs="黑体"/>
          <w:bCs/>
        </w:rPr>
        <w:t>原网络架构图</w:t>
      </w:r>
    </w:p>
    <w:p w14:paraId="7678658F">
      <w:pPr>
        <w:rPr>
          <w:rFonts w:hint="eastAsia" w:ascii="宋体" w:eastAsia="宋体" w:cs="宋体"/>
          <w:szCs w:val="24"/>
        </w:rPr>
      </w:pPr>
      <w:r>
        <w:rPr>
          <w:rFonts w:hint="eastAsia" w:ascii="宋体" w:eastAsia="宋体" w:cs="宋体"/>
          <w:szCs w:val="24"/>
        </w:rPr>
        <w:t>为支撑滁州市“雪亮工程”系统部署，已建成专用网络，汇聚新建前端资源、联网接入各现有资源，构成一个为全市各政府部门服务的大型资源共享系统。</w:t>
      </w:r>
    </w:p>
    <w:p w14:paraId="7BBD0C6D">
      <w:pPr>
        <w:rPr>
          <w:rFonts w:hint="eastAsia" w:ascii="宋体" w:eastAsia="宋体" w:cs="宋体"/>
        </w:rPr>
      </w:pPr>
      <w:r>
        <w:rPr>
          <w:rFonts w:hint="eastAsia" w:ascii="宋体" w:eastAsia="宋体" w:cs="宋体"/>
        </w:rPr>
        <w:t>2、滁州市公安局“雪亮工程”系统组网图如下：</w:t>
      </w:r>
    </w:p>
    <w:p w14:paraId="14C344DD">
      <w:pPr>
        <w:jc w:val="center"/>
        <w:rPr>
          <w:rFonts w:hint="eastAsia" w:ascii="等线" w:hAnsi="等线"/>
          <w:sz w:val="24"/>
          <w:szCs w:val="24"/>
        </w:rPr>
      </w:pPr>
      <w:r>
        <w:rPr>
          <w:rFonts w:ascii="等线" w:hAnsi="等线"/>
          <w:sz w:val="24"/>
          <w:szCs w:val="24"/>
        </w:rPr>
        <w:drawing>
          <wp:inline distT="0" distB="0" distL="0" distR="0">
            <wp:extent cx="5274310" cy="2620645"/>
            <wp:effectExtent l="0" t="0" r="254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5274310" cy="2621279"/>
                    </a:xfrm>
                    <a:prstGeom prst="rect">
                      <a:avLst/>
                    </a:prstGeom>
                    <a:noFill/>
                    <a:ln w="9525" cap="flat" cmpd="sng">
                      <a:noFill/>
                      <a:prstDash val="solid"/>
                      <a:miter/>
                    </a:ln>
                  </pic:spPr>
                </pic:pic>
              </a:graphicData>
            </a:graphic>
          </wp:inline>
        </w:drawing>
      </w:r>
    </w:p>
    <w:p w14:paraId="4B849819">
      <w:pPr>
        <w:pStyle w:val="12"/>
        <w:jc w:val="center"/>
        <w:rPr>
          <w:rFonts w:hint="eastAsia" w:ascii="宋体" w:eastAsia="宋体"/>
          <w:szCs w:val="24"/>
        </w:rPr>
      </w:pPr>
      <w:r>
        <w:rPr>
          <w:rFonts w:hint="eastAsia" w:ascii="黑体" w:eastAsia="黑体" w:cs="黑体"/>
          <w:b w:val="0"/>
          <w:bCs/>
        </w:rPr>
        <w:t xml:space="preserve">图 </w:t>
      </w:r>
      <w:r>
        <w:rPr>
          <w:rFonts w:hint="eastAsia" w:ascii="黑体" w:eastAsia="黑体" w:cs="黑体"/>
          <w:b w:val="0"/>
          <w:bCs/>
        </w:rPr>
        <w:fldChar w:fldCharType="begin"/>
      </w:r>
      <w:r>
        <w:rPr>
          <w:rFonts w:hint="eastAsia" w:ascii="黑体" w:eastAsia="黑体" w:cs="黑体"/>
          <w:b w:val="0"/>
          <w:bCs/>
        </w:rPr>
        <w:instrText xml:space="preserve"> STYLEREF 2 \s </w:instrText>
      </w:r>
      <w:r>
        <w:rPr>
          <w:rFonts w:hint="eastAsia" w:ascii="黑体" w:eastAsia="黑体" w:cs="黑体"/>
          <w:b w:val="0"/>
          <w:bCs/>
        </w:rPr>
        <w:fldChar w:fldCharType="separate"/>
      </w:r>
      <w:r>
        <w:rPr>
          <w:rFonts w:hint="eastAsia" w:ascii="黑体" w:eastAsia="黑体" w:cs="黑体"/>
          <w:b w:val="0"/>
          <w:bCs/>
        </w:rPr>
        <w:t>3.2</w:t>
      </w:r>
      <w:r>
        <w:rPr>
          <w:rFonts w:hint="eastAsia" w:ascii="黑体" w:eastAsia="黑体" w:cs="黑体"/>
          <w:b w:val="0"/>
          <w:bCs/>
        </w:rPr>
        <w:fldChar w:fldCharType="end"/>
      </w:r>
      <w:r>
        <w:rPr>
          <w:rFonts w:hint="eastAsia" w:ascii="黑体" w:eastAsia="黑体" w:cs="黑体"/>
          <w:b w:val="0"/>
          <w:bCs/>
        </w:rPr>
        <w:t>-</w:t>
      </w:r>
      <w:r>
        <w:rPr>
          <w:rFonts w:hint="eastAsia" w:ascii="黑体" w:eastAsia="黑体" w:cs="黑体"/>
          <w:b w:val="0"/>
          <w:bCs/>
        </w:rPr>
        <w:fldChar w:fldCharType="begin"/>
      </w:r>
      <w:r>
        <w:rPr>
          <w:rFonts w:hint="eastAsia" w:ascii="黑体" w:eastAsia="黑体" w:cs="黑体"/>
          <w:b w:val="0"/>
          <w:bCs/>
        </w:rPr>
        <w:instrText xml:space="preserve"> SEQ 图 \* ARABIC \s 2 </w:instrText>
      </w:r>
      <w:r>
        <w:rPr>
          <w:rFonts w:hint="eastAsia" w:ascii="黑体" w:eastAsia="黑体" w:cs="黑体"/>
          <w:b w:val="0"/>
          <w:bCs/>
        </w:rPr>
        <w:fldChar w:fldCharType="separate"/>
      </w:r>
      <w:r>
        <w:rPr>
          <w:rFonts w:hint="eastAsia" w:ascii="黑体" w:eastAsia="黑体" w:cs="黑体"/>
          <w:b w:val="0"/>
          <w:bCs/>
        </w:rPr>
        <w:t>3</w:t>
      </w:r>
      <w:r>
        <w:rPr>
          <w:rFonts w:hint="eastAsia" w:ascii="黑体" w:eastAsia="黑体" w:cs="黑体"/>
          <w:b w:val="0"/>
          <w:bCs/>
        </w:rPr>
        <w:fldChar w:fldCharType="end"/>
      </w:r>
      <w:r>
        <w:rPr>
          <w:rFonts w:hint="eastAsia" w:ascii="黑体" w:eastAsia="黑体" w:cs="黑体"/>
          <w:b w:val="0"/>
          <w:bCs/>
        </w:rPr>
        <w:t>现有硬件部署图</w:t>
      </w:r>
    </w:p>
    <w:p w14:paraId="1A59B4EA">
      <w:pPr>
        <w:rPr>
          <w:rFonts w:hint="eastAsia" w:ascii="宋体" w:eastAsia="宋体" w:cs="宋体"/>
        </w:rPr>
      </w:pPr>
      <w:r>
        <w:rPr>
          <w:rFonts w:hint="eastAsia" w:ascii="宋体" w:eastAsia="宋体" w:cs="宋体"/>
        </w:rPr>
        <w:t>滁州市公安局视频图像共享平台级联汇聚其它区县已建的监控资源、市局社会面资源整合平台及雪亮视频资源，可实现在统一平台界面下全市监控资源的联网调度。</w:t>
      </w:r>
    </w:p>
    <w:p w14:paraId="28C9EC96">
      <w:pPr>
        <w:rPr>
          <w:rFonts w:hint="eastAsia" w:ascii="宋体" w:eastAsia="宋体" w:cs="宋体"/>
        </w:rPr>
      </w:pPr>
      <w:r>
        <w:rPr>
          <w:rFonts w:hint="eastAsia" w:ascii="宋体" w:eastAsia="宋体" w:cs="宋体"/>
        </w:rPr>
        <w:t>1、市局视频图像共享平台</w:t>
      </w:r>
    </w:p>
    <w:p w14:paraId="5171D957">
      <w:pPr>
        <w:rPr>
          <w:rFonts w:hint="eastAsia" w:ascii="宋体" w:eastAsia="宋体" w:cs="宋体"/>
        </w:rPr>
      </w:pPr>
      <w:r>
        <w:rPr>
          <w:rFonts w:hint="eastAsia" w:ascii="宋体" w:eastAsia="宋体" w:cs="宋体"/>
        </w:rPr>
        <w:t>采用科达KDM2901-G2-H软件平台，最大支持50万路前端管理。</w:t>
      </w:r>
    </w:p>
    <w:p w14:paraId="20AF7EAD">
      <w:pPr>
        <w:rPr>
          <w:rFonts w:hint="eastAsia" w:ascii="宋体" w:eastAsia="宋体" w:cs="宋体"/>
        </w:rPr>
      </w:pPr>
      <w:r>
        <w:rPr>
          <w:rFonts w:hint="eastAsia" w:ascii="宋体" w:eastAsia="宋体" w:cs="宋体"/>
        </w:rPr>
        <w:t>当前平台可支持：</w:t>
      </w:r>
    </w:p>
    <w:p w14:paraId="0769D37D">
      <w:pPr>
        <w:rPr>
          <w:rFonts w:hint="eastAsia" w:ascii="宋体" w:eastAsia="宋体" w:cs="宋体"/>
        </w:rPr>
      </w:pPr>
      <w:r>
        <w:rPr>
          <w:rFonts w:hint="eastAsia" w:ascii="宋体" w:eastAsia="宋体" w:cs="宋体"/>
        </w:rPr>
        <w:t>（1）300个CU客户端接入（目前同时在线数峰值为68个）。</w:t>
      </w:r>
    </w:p>
    <w:p w14:paraId="5CBE1FE4">
      <w:pPr>
        <w:rPr>
          <w:rFonts w:hint="eastAsia" w:ascii="宋体" w:eastAsia="宋体" w:cs="宋体"/>
        </w:rPr>
      </w:pPr>
      <w:r>
        <w:rPr>
          <w:rFonts w:hint="eastAsia" w:ascii="宋体" w:eastAsia="宋体" w:cs="宋体"/>
        </w:rPr>
        <w:t>（2）20个上级平台的国标级联（目前已对接上级平台6个）。</w:t>
      </w:r>
    </w:p>
    <w:p w14:paraId="01B902FC">
      <w:pPr>
        <w:rPr>
          <w:rFonts w:hint="eastAsia" w:ascii="宋体" w:eastAsia="宋体" w:cs="宋体"/>
        </w:rPr>
      </w:pPr>
      <w:r>
        <w:rPr>
          <w:rFonts w:hint="eastAsia" w:ascii="宋体" w:eastAsia="宋体" w:cs="宋体"/>
        </w:rPr>
        <w:t>（3）20个下级平台的国标级联（目前对接下级平台11个，累计前端共81289路）。</w:t>
      </w:r>
    </w:p>
    <w:p w14:paraId="1C754E51">
      <w:pPr>
        <w:rPr>
          <w:rFonts w:hint="eastAsia" w:ascii="宋体" w:eastAsia="宋体" w:cs="宋体"/>
        </w:rPr>
      </w:pPr>
      <w:r>
        <w:rPr>
          <w:rFonts w:hint="eastAsia" w:ascii="宋体" w:eastAsia="宋体" w:cs="宋体"/>
        </w:rPr>
        <w:t>（4）现雪亮视频监控接入平台共有接入许可15000路，平台接入前端已使用14672路，剩余328路接入许可可用。</w:t>
      </w:r>
    </w:p>
    <w:p w14:paraId="7D5569C6">
      <w:pPr>
        <w:rPr>
          <w:rFonts w:hint="eastAsia" w:ascii="宋体" w:eastAsia="宋体" w:cs="宋体"/>
        </w:rPr>
      </w:pPr>
      <w:r>
        <w:rPr>
          <w:rFonts w:hint="eastAsia" w:ascii="宋体" w:eastAsia="宋体" w:cs="宋体"/>
        </w:rPr>
        <w:t>（5）1400Mbps的转发能力（目前峰值码流转发路数为1300Mbps）。</w:t>
      </w:r>
    </w:p>
    <w:p w14:paraId="4AB8C0CB">
      <w:pPr>
        <w:rPr>
          <w:rFonts w:hint="eastAsia" w:ascii="宋体" w:eastAsia="宋体" w:cs="宋体"/>
        </w:rPr>
      </w:pPr>
      <w:r>
        <w:rPr>
          <w:rFonts w:hint="eastAsia" w:ascii="宋体" w:eastAsia="宋体" w:cs="宋体"/>
        </w:rPr>
        <w:t>建议后期增加硬件服务器部署转发模块、设备接入模块、级联接入模块、设备接入授权，来满足平台对外转发能力、级联能力和设备接入能力。</w:t>
      </w:r>
    </w:p>
    <w:p w14:paraId="68B13F2D">
      <w:pPr>
        <w:rPr>
          <w:rFonts w:hint="eastAsia" w:ascii="宋体" w:eastAsia="宋体" w:cs="宋体"/>
        </w:rPr>
      </w:pPr>
      <w:r>
        <w:rPr>
          <w:rFonts w:hint="eastAsia" w:ascii="宋体" w:eastAsia="宋体" w:cs="宋体"/>
        </w:rPr>
        <w:t xml:space="preserve">2、视图库 </w:t>
      </w:r>
    </w:p>
    <w:p w14:paraId="27279644">
      <w:pPr>
        <w:rPr>
          <w:rFonts w:hint="eastAsia" w:ascii="宋体" w:eastAsia="宋体" w:cs="宋体"/>
        </w:rPr>
      </w:pPr>
      <w:r>
        <w:rPr>
          <w:rFonts w:hint="eastAsia" w:ascii="宋体" w:eastAsia="宋体" w:cs="宋体"/>
        </w:rPr>
        <w:tab/>
      </w:r>
      <w:r>
        <w:rPr>
          <w:rFonts w:hint="eastAsia" w:ascii="宋体" w:eastAsia="宋体" w:cs="宋体"/>
        </w:rPr>
        <w:t>采用了5台接入转发服务器，3台CDB服务器，</w:t>
      </w:r>
    </w:p>
    <w:p w14:paraId="4838F2A3">
      <w:pPr>
        <w:rPr>
          <w:rFonts w:hint="eastAsia" w:ascii="宋体" w:eastAsia="宋体" w:cs="宋体"/>
        </w:rPr>
      </w:pPr>
      <w:r>
        <w:rPr>
          <w:rFonts w:hint="eastAsia" w:ascii="宋体" w:eastAsia="宋体" w:cs="宋体"/>
        </w:rPr>
        <w:tab/>
      </w:r>
      <w:r>
        <w:rPr>
          <w:rFonts w:hint="eastAsia" w:ascii="宋体" w:eastAsia="宋体" w:cs="宋体"/>
        </w:rPr>
        <w:t>当前可支持：</w:t>
      </w:r>
    </w:p>
    <w:p w14:paraId="6A8932DD">
      <w:pPr>
        <w:ind w:firstLine="630" w:firstLineChars="300"/>
        <w:rPr>
          <w:rFonts w:hint="eastAsia" w:ascii="宋体" w:eastAsia="宋体" w:cs="宋体"/>
        </w:rPr>
      </w:pPr>
      <w:r>
        <w:rPr>
          <w:rFonts w:hint="eastAsia" w:ascii="宋体" w:eastAsia="宋体" w:cs="宋体"/>
        </w:rPr>
        <w:t>支持100亿数据量接入（目前已有94亿数据量）。</w:t>
      </w:r>
    </w:p>
    <w:p w14:paraId="1B77230A">
      <w:pPr>
        <w:ind w:left="840" w:firstLine="0" w:firstLineChars="0"/>
        <w:rPr>
          <w:rFonts w:hint="eastAsia" w:ascii="宋体" w:eastAsia="宋体" w:cs="宋体"/>
        </w:rPr>
      </w:pPr>
      <w:r>
        <w:rPr>
          <w:rFonts w:hint="eastAsia" w:ascii="宋体" w:eastAsia="宋体" w:cs="宋体"/>
        </w:rPr>
        <w:t>现有视频专网视图库容量接近饱和状态。</w:t>
      </w:r>
    </w:p>
    <w:p w14:paraId="27684F54">
      <w:pPr>
        <w:rPr>
          <w:rFonts w:hint="eastAsia" w:ascii="宋体" w:eastAsia="宋体" w:cs="宋体"/>
        </w:rPr>
      </w:pPr>
      <w:r>
        <w:rPr>
          <w:rFonts w:hint="eastAsia" w:ascii="宋体" w:eastAsia="宋体" w:cs="宋体"/>
        </w:rPr>
        <w:t xml:space="preserve">3、云存储系统 </w:t>
      </w:r>
    </w:p>
    <w:p w14:paraId="3985EB9D">
      <w:pPr>
        <w:rPr>
          <w:rFonts w:hint="eastAsia" w:ascii="宋体" w:eastAsia="宋体" w:cs="宋体"/>
        </w:rPr>
      </w:pPr>
      <w:r>
        <w:rPr>
          <w:rFonts w:hint="eastAsia" w:ascii="宋体" w:eastAsia="宋体" w:cs="宋体"/>
        </w:rPr>
        <w:t>录像存储采用科达KCloudStor2100-F云存储，目前视频存储共计22.4PB，已使用21.2PB，剩余视频可用存储空间为1.2PB。</w:t>
      </w:r>
    </w:p>
    <w:p w14:paraId="20CF60DB">
      <w:pPr>
        <w:rPr>
          <w:rFonts w:hint="eastAsia"/>
        </w:rPr>
      </w:pPr>
      <w:r>
        <w:rPr>
          <w:rFonts w:hint="eastAsia" w:ascii="宋体" w:eastAsia="宋体" w:cs="宋体"/>
        </w:rPr>
        <w:t>图片存储采用科达KCloudStor2100-F云存储，目前图片存储共计9.31PB，已使用8.76PB，剩余图片可用存储空间为0.55PB。</w:t>
      </w:r>
    </w:p>
    <w:p w14:paraId="40258309">
      <w:pPr>
        <w:pStyle w:val="12"/>
        <w:jc w:val="center"/>
      </w:pPr>
      <w:r>
        <w:rPr>
          <w:rFonts w:hint="eastAsia"/>
        </w:rPr>
        <w:t>表</w:t>
      </w:r>
      <w:r>
        <w:t xml:space="preserve"> </w:t>
      </w:r>
      <w:r>
        <w:fldChar w:fldCharType="begin"/>
      </w:r>
      <w:r>
        <w:instrText xml:space="preserve"> STYLEREF 2 \s </w:instrText>
      </w:r>
      <w:r>
        <w:fldChar w:fldCharType="separate"/>
      </w:r>
      <w:r>
        <w:t>3.2</w:t>
      </w:r>
      <w:r>
        <w:fldChar w:fldCharType="end"/>
      </w:r>
      <w:r>
        <w:rPr>
          <w:rFonts w:hint="eastAsia"/>
        </w:rPr>
        <w:t>–</w:t>
      </w:r>
      <w:r>
        <w:fldChar w:fldCharType="begin"/>
      </w:r>
      <w:r>
        <w:instrText xml:space="preserve"> SEQ 表 \* ARABIC \s 2 </w:instrText>
      </w:r>
      <w:r>
        <w:fldChar w:fldCharType="separate"/>
      </w:r>
      <w:r>
        <w:t>2</w:t>
      </w:r>
      <w:r>
        <w:fldChar w:fldCharType="end"/>
      </w:r>
      <w:r>
        <w:rPr>
          <w:rFonts w:hint="eastAsia"/>
        </w:rPr>
        <w:t xml:space="preserve"> 现有硬件环境</w:t>
      </w:r>
    </w:p>
    <w:tbl>
      <w:tblPr>
        <w:tblStyle w:val="38"/>
        <w:tblW w:w="9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00"/>
        <w:gridCol w:w="1582"/>
        <w:gridCol w:w="3481"/>
        <w:gridCol w:w="1025"/>
        <w:gridCol w:w="661"/>
        <w:gridCol w:w="661"/>
      </w:tblGrid>
      <w:tr w14:paraId="595E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6278FBDF">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序号</w:t>
            </w:r>
          </w:p>
        </w:tc>
        <w:tc>
          <w:tcPr>
            <w:tcW w:w="1100" w:type="dxa"/>
            <w:tcBorders>
              <w:top w:val="single" w:color="auto" w:sz="4" w:space="0"/>
              <w:left w:val="single" w:color="auto" w:sz="4" w:space="0"/>
              <w:bottom w:val="single" w:color="auto" w:sz="4" w:space="0"/>
              <w:right w:val="single" w:color="auto" w:sz="4" w:space="0"/>
            </w:tcBorders>
            <w:noWrap/>
            <w:vAlign w:val="center"/>
          </w:tcPr>
          <w:p w14:paraId="5340ADE9">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名称</w:t>
            </w:r>
          </w:p>
        </w:tc>
        <w:tc>
          <w:tcPr>
            <w:tcW w:w="1582" w:type="dxa"/>
            <w:tcBorders>
              <w:top w:val="single" w:color="auto" w:sz="4" w:space="0"/>
              <w:left w:val="single" w:color="auto" w:sz="4" w:space="0"/>
              <w:bottom w:val="single" w:color="auto" w:sz="4" w:space="0"/>
              <w:right w:val="single" w:color="auto" w:sz="4" w:space="0"/>
            </w:tcBorders>
            <w:noWrap/>
            <w:vAlign w:val="center"/>
          </w:tcPr>
          <w:p w14:paraId="5B056835">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品牌型号</w:t>
            </w:r>
          </w:p>
        </w:tc>
        <w:tc>
          <w:tcPr>
            <w:tcW w:w="3481" w:type="dxa"/>
            <w:tcBorders>
              <w:top w:val="single" w:color="auto" w:sz="4" w:space="0"/>
              <w:left w:val="single" w:color="auto" w:sz="4" w:space="0"/>
              <w:bottom w:val="single" w:color="auto" w:sz="4" w:space="0"/>
              <w:right w:val="single" w:color="auto" w:sz="4" w:space="0"/>
            </w:tcBorders>
            <w:noWrap/>
            <w:vAlign w:val="center"/>
          </w:tcPr>
          <w:p w14:paraId="69205D8E">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系统功能</w:t>
            </w:r>
          </w:p>
        </w:tc>
        <w:tc>
          <w:tcPr>
            <w:tcW w:w="1025" w:type="dxa"/>
            <w:tcBorders>
              <w:top w:val="single" w:color="auto" w:sz="4" w:space="0"/>
              <w:left w:val="single" w:color="auto" w:sz="4" w:space="0"/>
              <w:bottom w:val="single" w:color="auto" w:sz="4" w:space="0"/>
              <w:right w:val="single" w:color="auto" w:sz="4" w:space="0"/>
            </w:tcBorders>
            <w:noWrap/>
            <w:vAlign w:val="center"/>
          </w:tcPr>
          <w:p w14:paraId="43020714">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年份</w:t>
            </w:r>
          </w:p>
        </w:tc>
        <w:tc>
          <w:tcPr>
            <w:tcW w:w="661" w:type="dxa"/>
            <w:tcBorders>
              <w:top w:val="single" w:color="auto" w:sz="4" w:space="0"/>
              <w:left w:val="single" w:color="auto" w:sz="4" w:space="0"/>
              <w:bottom w:val="single" w:color="auto" w:sz="4" w:space="0"/>
              <w:right w:val="single" w:color="auto" w:sz="4" w:space="0"/>
            </w:tcBorders>
            <w:noWrap/>
            <w:vAlign w:val="center"/>
          </w:tcPr>
          <w:p w14:paraId="78B296B0">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数量</w:t>
            </w:r>
          </w:p>
        </w:tc>
        <w:tc>
          <w:tcPr>
            <w:tcW w:w="661" w:type="dxa"/>
            <w:tcBorders>
              <w:top w:val="single" w:color="auto" w:sz="4" w:space="0"/>
              <w:left w:val="single" w:color="auto" w:sz="4" w:space="0"/>
              <w:bottom w:val="single" w:color="auto" w:sz="4" w:space="0"/>
              <w:right w:val="single" w:color="auto" w:sz="4" w:space="0"/>
            </w:tcBorders>
            <w:noWrap/>
            <w:vAlign w:val="center"/>
          </w:tcPr>
          <w:p w14:paraId="39968EEE">
            <w:pPr>
              <w:pStyle w:val="117"/>
              <w:widowControl/>
              <w:spacing w:line="400" w:lineRule="exact"/>
              <w:ind w:firstLine="0" w:firstLineChars="0"/>
              <w:jc w:val="center"/>
              <w:rPr>
                <w:rFonts w:hint="eastAsia" w:ascii="宋体" w:eastAsia="宋体" w:cs="宋体"/>
                <w:b/>
                <w:bCs/>
                <w:iCs/>
                <w:color w:val="0D0D0D"/>
                <w:kern w:val="2"/>
                <w:sz w:val="21"/>
                <w:szCs w:val="21"/>
              </w:rPr>
            </w:pPr>
            <w:r>
              <w:rPr>
                <w:rFonts w:hint="eastAsia" w:ascii="宋体" w:eastAsia="宋体" w:cs="宋体"/>
                <w:b/>
                <w:bCs/>
                <w:iCs/>
                <w:color w:val="0D0D0D"/>
                <w:kern w:val="2"/>
                <w:sz w:val="21"/>
                <w:szCs w:val="21"/>
              </w:rPr>
              <w:t>备注</w:t>
            </w:r>
          </w:p>
        </w:tc>
      </w:tr>
      <w:tr w14:paraId="1AC0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329D8672">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1</w:t>
            </w:r>
          </w:p>
        </w:tc>
        <w:tc>
          <w:tcPr>
            <w:tcW w:w="1100" w:type="dxa"/>
            <w:tcBorders>
              <w:top w:val="single" w:color="auto" w:sz="4" w:space="0"/>
              <w:left w:val="single" w:color="auto" w:sz="4" w:space="0"/>
              <w:bottom w:val="single" w:color="auto" w:sz="4" w:space="0"/>
              <w:right w:val="single" w:color="auto" w:sz="4" w:space="0"/>
            </w:tcBorders>
            <w:noWrap/>
            <w:vAlign w:val="center"/>
          </w:tcPr>
          <w:p w14:paraId="2497AFB9">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视频监控共享平台服务器</w:t>
            </w:r>
          </w:p>
        </w:tc>
        <w:tc>
          <w:tcPr>
            <w:tcW w:w="1582" w:type="dxa"/>
            <w:tcBorders>
              <w:top w:val="single" w:color="auto" w:sz="4" w:space="0"/>
              <w:left w:val="single" w:color="auto" w:sz="4" w:space="0"/>
              <w:bottom w:val="single" w:color="auto" w:sz="4" w:space="0"/>
              <w:right w:val="single" w:color="auto" w:sz="4" w:space="0"/>
            </w:tcBorders>
            <w:noWrap/>
            <w:vAlign w:val="center"/>
          </w:tcPr>
          <w:p w14:paraId="6B5F547C">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KEDACOM、KProServer-2000</w:t>
            </w:r>
          </w:p>
        </w:tc>
        <w:tc>
          <w:tcPr>
            <w:tcW w:w="3481" w:type="dxa"/>
            <w:tcBorders>
              <w:top w:val="single" w:color="auto" w:sz="4" w:space="0"/>
              <w:left w:val="single" w:color="auto" w:sz="4" w:space="0"/>
              <w:bottom w:val="single" w:color="auto" w:sz="4" w:space="0"/>
              <w:right w:val="single" w:color="auto" w:sz="4" w:space="0"/>
            </w:tcBorders>
            <w:noWrap/>
            <w:vAlign w:val="center"/>
          </w:tcPr>
          <w:p w14:paraId="439837E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配备2颗英特尔® 至强® 处理器E5-2620V3(6核/12线程，主频 2.4GHz,up to 3.2GHz，15MB 缓存)；128G内存；2*480GB SSD盘，SATA 2.5inch；2*4T硬盘, 7.2K RPM, 6Gb/s, 64MB cache, SATA, 3.5 inch；支持1+1电源冗余备份；支持独立散热风扇；具备2个千兆网口</w:t>
            </w:r>
          </w:p>
        </w:tc>
        <w:tc>
          <w:tcPr>
            <w:tcW w:w="1025" w:type="dxa"/>
            <w:tcBorders>
              <w:top w:val="single" w:color="auto" w:sz="4" w:space="0"/>
              <w:left w:val="single" w:color="auto" w:sz="4" w:space="0"/>
              <w:bottom w:val="single" w:color="auto" w:sz="4" w:space="0"/>
              <w:right w:val="single" w:color="auto" w:sz="4" w:space="0"/>
            </w:tcBorders>
            <w:noWrap/>
            <w:vAlign w:val="center"/>
          </w:tcPr>
          <w:p w14:paraId="028D9E66">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32C5D6C5">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22</w:t>
            </w:r>
          </w:p>
        </w:tc>
        <w:tc>
          <w:tcPr>
            <w:tcW w:w="661" w:type="dxa"/>
            <w:tcBorders>
              <w:top w:val="single" w:color="auto" w:sz="4" w:space="0"/>
              <w:left w:val="single" w:color="auto" w:sz="4" w:space="0"/>
              <w:bottom w:val="single" w:color="auto" w:sz="4" w:space="0"/>
              <w:right w:val="single" w:color="auto" w:sz="4" w:space="0"/>
            </w:tcBorders>
            <w:noWrap/>
            <w:vAlign w:val="center"/>
          </w:tcPr>
          <w:p w14:paraId="3DDBA8F9">
            <w:pPr>
              <w:pStyle w:val="117"/>
              <w:widowControl/>
              <w:spacing w:line="400" w:lineRule="exact"/>
              <w:ind w:firstLine="0" w:firstLineChars="0"/>
              <w:jc w:val="center"/>
              <w:rPr>
                <w:rFonts w:hint="eastAsia" w:ascii="宋体" w:eastAsia="宋体" w:cs="宋体"/>
                <w:iCs/>
                <w:color w:val="0D0D0D"/>
                <w:kern w:val="2"/>
                <w:sz w:val="21"/>
                <w:szCs w:val="21"/>
              </w:rPr>
            </w:pPr>
          </w:p>
        </w:tc>
      </w:tr>
      <w:tr w14:paraId="451E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54F20718">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w:t>
            </w:r>
          </w:p>
        </w:tc>
        <w:tc>
          <w:tcPr>
            <w:tcW w:w="1100" w:type="dxa"/>
            <w:tcBorders>
              <w:top w:val="single" w:color="auto" w:sz="4" w:space="0"/>
              <w:left w:val="single" w:color="auto" w:sz="4" w:space="0"/>
              <w:bottom w:val="single" w:color="auto" w:sz="4" w:space="0"/>
              <w:right w:val="single" w:color="auto" w:sz="4" w:space="0"/>
            </w:tcBorders>
            <w:noWrap/>
            <w:vAlign w:val="center"/>
          </w:tcPr>
          <w:p w14:paraId="1874FF25">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云存储系统主机</w:t>
            </w:r>
          </w:p>
        </w:tc>
        <w:tc>
          <w:tcPr>
            <w:tcW w:w="1582" w:type="dxa"/>
            <w:tcBorders>
              <w:top w:val="single" w:color="auto" w:sz="4" w:space="0"/>
              <w:left w:val="single" w:color="auto" w:sz="4" w:space="0"/>
              <w:bottom w:val="single" w:color="auto" w:sz="4" w:space="0"/>
              <w:right w:val="single" w:color="auto" w:sz="4" w:space="0"/>
            </w:tcBorders>
            <w:noWrap/>
            <w:vAlign w:val="center"/>
          </w:tcPr>
          <w:p w14:paraId="25E5257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KEDACOM、KCloudStor 2100-F-144T</w:t>
            </w:r>
          </w:p>
        </w:tc>
        <w:tc>
          <w:tcPr>
            <w:tcW w:w="3481" w:type="dxa"/>
            <w:tcBorders>
              <w:top w:val="single" w:color="auto" w:sz="4" w:space="0"/>
              <w:left w:val="single" w:color="auto" w:sz="4" w:space="0"/>
              <w:bottom w:val="single" w:color="auto" w:sz="4" w:space="0"/>
              <w:right w:val="single" w:color="auto" w:sz="4" w:space="0"/>
            </w:tcBorders>
            <w:noWrap/>
            <w:vAlign w:val="center"/>
          </w:tcPr>
          <w:p w14:paraId="6D482729">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1、主机提供24个硬盘位，具备2个万兆光口，支持端口链路聚合；</w:t>
            </w:r>
          </w:p>
          <w:p w14:paraId="6178E31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2、支持电源、风扇冗余设计，支持电池、主板、风扇、电源热插拔更换，电池模块支持异常掉电时自动启动供电，节点缓存数据不丢失；</w:t>
            </w:r>
          </w:p>
          <w:p w14:paraId="21C1265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3、采用企业级硬盘，转速：7200rpm，接口速率 SATA 6Gb/s；</w:t>
            </w:r>
          </w:p>
          <w:p w14:paraId="0175F6D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4、支持Windows/Linux/AIX/UNIX/等各种操作系统环境下业务端对云存储的读写访问；</w:t>
            </w:r>
          </w:p>
          <w:p w14:paraId="66811A9A">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5、支持N+M（跨节点，跨机柜）数据块冗余及副本冗余模式，支持在符合校验要求的情况下，集群中每个域均可允许至多M节点故障（M为设定的校验块数量），数据不丢失、业务不中断，读写不受影响；</w:t>
            </w:r>
          </w:p>
          <w:p w14:paraId="020A5D7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6、支持多台设备组建集群系统，可在线添加、删除节点设备，业务不中断；</w:t>
            </w:r>
          </w:p>
          <w:p w14:paraId="51291D1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7、单存储节点的读写性能16Gbps或1000路高清视频（码流4Mbps）；</w:t>
            </w:r>
          </w:p>
        </w:tc>
        <w:tc>
          <w:tcPr>
            <w:tcW w:w="1025" w:type="dxa"/>
            <w:tcBorders>
              <w:top w:val="single" w:color="auto" w:sz="4" w:space="0"/>
              <w:left w:val="single" w:color="auto" w:sz="4" w:space="0"/>
              <w:bottom w:val="single" w:color="auto" w:sz="4" w:space="0"/>
              <w:right w:val="single" w:color="auto" w:sz="4" w:space="0"/>
            </w:tcBorders>
            <w:noWrap/>
            <w:vAlign w:val="center"/>
          </w:tcPr>
          <w:p w14:paraId="6D1AFA8C">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2C1C7B9A">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228</w:t>
            </w:r>
          </w:p>
        </w:tc>
        <w:tc>
          <w:tcPr>
            <w:tcW w:w="661" w:type="dxa"/>
            <w:tcBorders>
              <w:top w:val="single" w:color="auto" w:sz="4" w:space="0"/>
              <w:left w:val="single" w:color="auto" w:sz="4" w:space="0"/>
              <w:bottom w:val="single" w:color="auto" w:sz="4" w:space="0"/>
              <w:right w:val="single" w:color="auto" w:sz="4" w:space="0"/>
            </w:tcBorders>
            <w:noWrap/>
            <w:vAlign w:val="center"/>
          </w:tcPr>
          <w:p w14:paraId="0B4FD948">
            <w:pPr>
              <w:pStyle w:val="117"/>
              <w:widowControl/>
              <w:spacing w:line="400" w:lineRule="exact"/>
              <w:ind w:firstLine="0" w:firstLineChars="0"/>
              <w:jc w:val="center"/>
              <w:rPr>
                <w:rFonts w:hint="eastAsia" w:ascii="宋体" w:eastAsia="宋体" w:cs="宋体"/>
                <w:iCs/>
                <w:color w:val="0D0D0D"/>
                <w:kern w:val="2"/>
                <w:sz w:val="21"/>
                <w:szCs w:val="21"/>
              </w:rPr>
            </w:pPr>
          </w:p>
        </w:tc>
      </w:tr>
      <w:tr w14:paraId="131A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08BE2F3A">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3</w:t>
            </w:r>
          </w:p>
        </w:tc>
        <w:tc>
          <w:tcPr>
            <w:tcW w:w="1100" w:type="dxa"/>
            <w:tcBorders>
              <w:top w:val="single" w:color="auto" w:sz="4" w:space="0"/>
              <w:left w:val="single" w:color="auto" w:sz="4" w:space="0"/>
              <w:bottom w:val="single" w:color="auto" w:sz="4" w:space="0"/>
              <w:right w:val="single" w:color="auto" w:sz="4" w:space="0"/>
            </w:tcBorders>
            <w:noWrap/>
            <w:vAlign w:val="center"/>
          </w:tcPr>
          <w:p w14:paraId="1A16F76C">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视图库系统服务器</w:t>
            </w:r>
          </w:p>
        </w:tc>
        <w:tc>
          <w:tcPr>
            <w:tcW w:w="1582" w:type="dxa"/>
            <w:tcBorders>
              <w:top w:val="single" w:color="auto" w:sz="4" w:space="0"/>
              <w:left w:val="single" w:color="auto" w:sz="4" w:space="0"/>
              <w:bottom w:val="single" w:color="auto" w:sz="4" w:space="0"/>
              <w:right w:val="single" w:color="auto" w:sz="4" w:space="0"/>
            </w:tcBorders>
            <w:noWrap/>
            <w:vAlign w:val="center"/>
          </w:tcPr>
          <w:p w14:paraId="65932E43">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KEDACOM、KProServer-2000</w:t>
            </w:r>
          </w:p>
        </w:tc>
        <w:tc>
          <w:tcPr>
            <w:tcW w:w="3481" w:type="dxa"/>
            <w:tcBorders>
              <w:top w:val="single" w:color="auto" w:sz="4" w:space="0"/>
              <w:left w:val="single" w:color="auto" w:sz="4" w:space="0"/>
              <w:bottom w:val="single" w:color="auto" w:sz="4" w:space="0"/>
              <w:right w:val="single" w:color="auto" w:sz="4" w:space="0"/>
            </w:tcBorders>
            <w:noWrap/>
            <w:vAlign w:val="center"/>
          </w:tcPr>
          <w:p w14:paraId="6A615BA3">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2颗英特尔® 至强® 处理器E5-2620V4(8核/16线程，主频2.1GHz,upto3.0GHz，20MB缓存)，128（8*16G）内存；3个RJ-45以太网接口(10/100/1000M自适应)，4T硬盘，4000GB, 7.2K RPM, 6Gb/s, 64MB cache, SATA, 3.5 inch</w:t>
            </w:r>
          </w:p>
        </w:tc>
        <w:tc>
          <w:tcPr>
            <w:tcW w:w="1025" w:type="dxa"/>
            <w:tcBorders>
              <w:top w:val="single" w:color="auto" w:sz="4" w:space="0"/>
              <w:left w:val="single" w:color="auto" w:sz="4" w:space="0"/>
              <w:bottom w:val="single" w:color="auto" w:sz="4" w:space="0"/>
              <w:right w:val="single" w:color="auto" w:sz="4" w:space="0"/>
            </w:tcBorders>
            <w:noWrap/>
            <w:vAlign w:val="center"/>
          </w:tcPr>
          <w:p w14:paraId="3D916909">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33891EDA">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8</w:t>
            </w:r>
          </w:p>
        </w:tc>
        <w:tc>
          <w:tcPr>
            <w:tcW w:w="661" w:type="dxa"/>
            <w:tcBorders>
              <w:top w:val="single" w:color="auto" w:sz="4" w:space="0"/>
              <w:left w:val="single" w:color="auto" w:sz="4" w:space="0"/>
              <w:bottom w:val="single" w:color="auto" w:sz="4" w:space="0"/>
              <w:right w:val="single" w:color="auto" w:sz="4" w:space="0"/>
            </w:tcBorders>
            <w:noWrap/>
            <w:vAlign w:val="center"/>
          </w:tcPr>
          <w:p w14:paraId="7390677D">
            <w:pPr>
              <w:pStyle w:val="117"/>
              <w:widowControl/>
              <w:spacing w:line="400" w:lineRule="exact"/>
              <w:ind w:firstLine="0" w:firstLineChars="0"/>
              <w:jc w:val="center"/>
              <w:rPr>
                <w:rFonts w:hint="eastAsia" w:ascii="宋体" w:eastAsia="宋体" w:cs="宋体"/>
                <w:iCs/>
                <w:color w:val="0D0D0D"/>
                <w:kern w:val="2"/>
                <w:sz w:val="21"/>
                <w:szCs w:val="21"/>
              </w:rPr>
            </w:pPr>
          </w:p>
        </w:tc>
      </w:tr>
      <w:tr w14:paraId="2388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2C6EB43B">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4</w:t>
            </w:r>
          </w:p>
        </w:tc>
        <w:tc>
          <w:tcPr>
            <w:tcW w:w="1100" w:type="dxa"/>
            <w:tcBorders>
              <w:top w:val="single" w:color="auto" w:sz="4" w:space="0"/>
              <w:left w:val="single" w:color="auto" w:sz="4" w:space="0"/>
              <w:bottom w:val="single" w:color="auto" w:sz="4" w:space="0"/>
              <w:right w:val="single" w:color="auto" w:sz="4" w:space="0"/>
            </w:tcBorders>
            <w:noWrap/>
            <w:vAlign w:val="center"/>
          </w:tcPr>
          <w:p w14:paraId="30993BC7">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视频图像信息安全运维管理系统服务器</w:t>
            </w:r>
          </w:p>
        </w:tc>
        <w:tc>
          <w:tcPr>
            <w:tcW w:w="1582" w:type="dxa"/>
            <w:tcBorders>
              <w:top w:val="single" w:color="auto" w:sz="4" w:space="0"/>
              <w:left w:val="single" w:color="auto" w:sz="4" w:space="0"/>
              <w:bottom w:val="single" w:color="auto" w:sz="4" w:space="0"/>
              <w:right w:val="single" w:color="auto" w:sz="4" w:space="0"/>
            </w:tcBorders>
            <w:noWrap/>
            <w:vAlign w:val="center"/>
          </w:tcPr>
          <w:p w14:paraId="120D1EF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KEDACOM、KProServer-2000</w:t>
            </w:r>
          </w:p>
        </w:tc>
        <w:tc>
          <w:tcPr>
            <w:tcW w:w="3481" w:type="dxa"/>
            <w:tcBorders>
              <w:top w:val="single" w:color="auto" w:sz="4" w:space="0"/>
              <w:left w:val="single" w:color="auto" w:sz="4" w:space="0"/>
              <w:bottom w:val="single" w:color="auto" w:sz="4" w:space="0"/>
              <w:right w:val="single" w:color="auto" w:sz="4" w:space="0"/>
            </w:tcBorders>
            <w:noWrap/>
            <w:vAlign w:val="center"/>
          </w:tcPr>
          <w:p w14:paraId="362D951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2颗英特尔® 至强® 处理器E5-2620V4(8核/16线程，主频2.1GHz,upto3.0GHz，20MB缓存)，128（8*16G）内存；3个RJ-45以太网接口(10/100/1000M自适应)，4T硬盘，4000GB, 7.2K RPM, 6Gb/s, 64MB cache, SATA, 3.5 inch</w:t>
            </w:r>
          </w:p>
        </w:tc>
        <w:tc>
          <w:tcPr>
            <w:tcW w:w="1025" w:type="dxa"/>
            <w:tcBorders>
              <w:top w:val="single" w:color="auto" w:sz="4" w:space="0"/>
              <w:left w:val="single" w:color="auto" w:sz="4" w:space="0"/>
              <w:bottom w:val="single" w:color="auto" w:sz="4" w:space="0"/>
              <w:right w:val="single" w:color="auto" w:sz="4" w:space="0"/>
            </w:tcBorders>
            <w:noWrap/>
            <w:vAlign w:val="center"/>
          </w:tcPr>
          <w:p w14:paraId="20BA21DC">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noWrap/>
            <w:vAlign w:val="center"/>
          </w:tcPr>
          <w:p w14:paraId="7EEAFAEB">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w:t>
            </w:r>
          </w:p>
        </w:tc>
        <w:tc>
          <w:tcPr>
            <w:tcW w:w="661" w:type="dxa"/>
            <w:tcBorders>
              <w:top w:val="single" w:color="auto" w:sz="4" w:space="0"/>
              <w:left w:val="single" w:color="auto" w:sz="4" w:space="0"/>
              <w:bottom w:val="single" w:color="auto" w:sz="4" w:space="0"/>
              <w:right w:val="single" w:color="auto" w:sz="4" w:space="0"/>
            </w:tcBorders>
            <w:noWrap/>
            <w:vAlign w:val="center"/>
          </w:tcPr>
          <w:p w14:paraId="2E4151EE">
            <w:pPr>
              <w:pStyle w:val="117"/>
              <w:widowControl/>
              <w:spacing w:line="400" w:lineRule="exact"/>
              <w:ind w:firstLine="0" w:firstLineChars="0"/>
              <w:jc w:val="center"/>
              <w:rPr>
                <w:rFonts w:hint="eastAsia" w:ascii="宋体" w:eastAsia="宋体" w:cs="宋体"/>
                <w:iCs/>
                <w:color w:val="0D0D0D"/>
                <w:kern w:val="2"/>
                <w:sz w:val="21"/>
                <w:szCs w:val="21"/>
              </w:rPr>
            </w:pPr>
          </w:p>
        </w:tc>
      </w:tr>
      <w:tr w14:paraId="6896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noWrap/>
            <w:vAlign w:val="center"/>
          </w:tcPr>
          <w:p w14:paraId="75B25C4E">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5</w:t>
            </w:r>
          </w:p>
        </w:tc>
        <w:tc>
          <w:tcPr>
            <w:tcW w:w="1100" w:type="dxa"/>
            <w:tcBorders>
              <w:top w:val="single" w:color="auto" w:sz="4" w:space="0"/>
              <w:left w:val="single" w:color="auto" w:sz="4" w:space="0"/>
              <w:bottom w:val="single" w:color="auto" w:sz="4" w:space="0"/>
              <w:right w:val="single" w:color="auto" w:sz="4" w:space="0"/>
            </w:tcBorders>
            <w:noWrap/>
            <w:vAlign w:val="center"/>
          </w:tcPr>
          <w:p w14:paraId="185861D2">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视频专网核心交换机</w:t>
            </w:r>
          </w:p>
        </w:tc>
        <w:tc>
          <w:tcPr>
            <w:tcW w:w="1582" w:type="dxa"/>
            <w:tcBorders>
              <w:top w:val="single" w:color="auto" w:sz="4" w:space="0"/>
              <w:left w:val="single" w:color="auto" w:sz="4" w:space="0"/>
              <w:bottom w:val="single" w:color="auto" w:sz="4" w:space="0"/>
              <w:right w:val="single" w:color="auto" w:sz="4" w:space="0"/>
            </w:tcBorders>
            <w:noWrap/>
            <w:vAlign w:val="center"/>
          </w:tcPr>
          <w:p w14:paraId="0862322A">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HUAWEI</w:t>
            </w:r>
          </w:p>
        </w:tc>
        <w:tc>
          <w:tcPr>
            <w:tcW w:w="3481" w:type="dxa"/>
            <w:tcBorders>
              <w:top w:val="single" w:color="auto" w:sz="4" w:space="0"/>
              <w:left w:val="single" w:color="auto" w:sz="4" w:space="0"/>
              <w:bottom w:val="single" w:color="auto" w:sz="4" w:space="0"/>
              <w:right w:val="single" w:color="auto" w:sz="4" w:space="0"/>
            </w:tcBorders>
            <w:noWrap/>
            <w:vAlign w:val="center"/>
          </w:tcPr>
          <w:p w14:paraId="487BA24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支持多级交换架构，交换网板与业务板垂直设计，业务板卡与交换网板采用完全正交设计(90度)；</w:t>
            </w:r>
          </w:p>
          <w:p w14:paraId="50D01A5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业务模块插槽数16个，交换网板槽位数6个，主控引擎槽2个，支持电源、风扇、交换网板和主控的冗余；</w:t>
            </w:r>
          </w:p>
          <w:p w14:paraId="66BFFF1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 交换容量1032T，包转发率230400Mpps；</w:t>
            </w:r>
          </w:p>
          <w:p w14:paraId="68B22EA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支持将四台物料设备虚拟化为一台逻辑设备，虚拟组内可以实现一致的转发表项，统一的管理，跨物理设备的链路聚合；</w:t>
            </w:r>
          </w:p>
          <w:p w14:paraId="3CBA3D69">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支持将一台物理交换机虚拟化成16台逻辑交换机，规格表项可叠加；</w:t>
            </w:r>
          </w:p>
          <w:p w14:paraId="091EC3AC">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 xml:space="preserve">6. 支持BFD，支持与OSPF、VRRP联动，收敛时间平均可达50ms以内； </w:t>
            </w:r>
          </w:p>
          <w:p w14:paraId="46E67FF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支持VxLAN二层网关能力，支持VxLAN路由交换能力；</w:t>
            </w:r>
          </w:p>
          <w:p w14:paraId="23D14B2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 支持RIP、OSPF、IS-IS、OSPFv3、IS-ISv6、BGP4等路由协议，支持策略路由；</w:t>
            </w:r>
          </w:p>
          <w:p w14:paraId="52640008">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9. 支持SNMP V1/V2/V3，SSHv2等管理方式；</w:t>
            </w:r>
          </w:p>
          <w:p w14:paraId="2120EA3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10. 单台设备可以提供2304个线速万兆端口或者576个线速40G端口，提供超高密度万兆和高密40G、100G能力，支持48端口万兆、36端口40G、36端口100G板卡。</w:t>
            </w:r>
          </w:p>
          <w:p w14:paraId="0EA3C8E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配置及维护：</w:t>
            </w:r>
          </w:p>
          <w:p w14:paraId="1EDB0DB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1．每台交换机满配电源、主控板、交换网板、软件及辅材；</w:t>
            </w:r>
          </w:p>
          <w:p w14:paraId="7A043A3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2．每台配置48个千兆以太网电接口，48个万兆光接口，含48个万兆多模光模块；</w:t>
            </w:r>
          </w:p>
          <w:p w14:paraId="2DE279E8">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3．设备配置满足系统建设需求、各接入节点双链路接入需求和性能要求；</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7D544D">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120F8">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w:t>
            </w:r>
          </w:p>
        </w:tc>
        <w:tc>
          <w:tcPr>
            <w:tcW w:w="661" w:type="dxa"/>
            <w:tcBorders>
              <w:top w:val="single" w:color="auto" w:sz="4" w:space="0"/>
              <w:left w:val="single" w:color="auto" w:sz="4" w:space="0"/>
              <w:bottom w:val="single" w:color="auto" w:sz="4" w:space="0"/>
              <w:right w:val="single" w:color="auto" w:sz="4" w:space="0"/>
            </w:tcBorders>
            <w:noWrap/>
            <w:vAlign w:val="center"/>
          </w:tcPr>
          <w:p w14:paraId="190AD176">
            <w:pPr>
              <w:pStyle w:val="117"/>
              <w:widowControl/>
              <w:spacing w:line="400" w:lineRule="exact"/>
              <w:ind w:firstLine="0" w:firstLineChars="0"/>
              <w:jc w:val="center"/>
              <w:rPr>
                <w:rFonts w:hint="eastAsia" w:ascii="宋体" w:eastAsia="宋体" w:cs="宋体"/>
                <w:iCs/>
                <w:color w:val="0D0D0D"/>
                <w:kern w:val="2"/>
                <w:sz w:val="21"/>
                <w:szCs w:val="21"/>
              </w:rPr>
            </w:pPr>
          </w:p>
        </w:tc>
      </w:tr>
      <w:tr w14:paraId="6A13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52F62">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6</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3E1AC9">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GPU解析 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974159">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694923">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2U双路标准机架式服务器；</w:t>
            </w:r>
          </w:p>
          <w:p w14:paraId="6A0A30A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CPU：不少于2颗Gold 6130 CPU（16核2.1Ghz）；</w:t>
            </w:r>
          </w:p>
          <w:p w14:paraId="63728E99">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 GPU：不低于4张NVIDIA® Tesla® T4卡；</w:t>
            </w:r>
          </w:p>
          <w:p w14:paraId="490B708C">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内存：不低于128G DDR4，24根 DDR4 ECC RDIMM插槽</w:t>
            </w:r>
          </w:p>
          <w:p w14:paraId="5D04B988">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硬盘：不少于1个480GB SSD，最大支持8块3.5/2.5寸SATA硬盘或SSD，支持热插拔；</w:t>
            </w:r>
          </w:p>
          <w:p w14:paraId="29764BA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 网口：不少于4个千兆自适应网络接口或2个万兆端口；</w:t>
            </w:r>
          </w:p>
          <w:p w14:paraId="326A496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其他接口：4个USB3.0接口，2个VGA接口；</w:t>
            </w:r>
          </w:p>
          <w:p w14:paraId="1823719F">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 电源：不低于标配550W（1+1）高效铂金CRPS冗余电源；</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C35882">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31B678">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 xml:space="preserve">1 </w:t>
            </w:r>
          </w:p>
        </w:tc>
        <w:tc>
          <w:tcPr>
            <w:tcW w:w="661" w:type="dxa"/>
            <w:tcBorders>
              <w:top w:val="single" w:color="auto" w:sz="4" w:space="0"/>
              <w:left w:val="single" w:color="auto" w:sz="4" w:space="0"/>
              <w:bottom w:val="single" w:color="auto" w:sz="4" w:space="0"/>
              <w:right w:val="single" w:color="auto" w:sz="4" w:space="0"/>
            </w:tcBorders>
            <w:noWrap/>
            <w:vAlign w:val="center"/>
          </w:tcPr>
          <w:p w14:paraId="5569C42E">
            <w:pPr>
              <w:pStyle w:val="117"/>
              <w:widowControl/>
              <w:spacing w:line="400" w:lineRule="exact"/>
              <w:ind w:firstLine="0" w:firstLineChars="0"/>
              <w:jc w:val="center"/>
              <w:rPr>
                <w:rFonts w:hint="eastAsia" w:ascii="宋体" w:eastAsia="宋体" w:cs="宋体"/>
                <w:iCs/>
                <w:color w:val="0D0D0D"/>
                <w:kern w:val="2"/>
                <w:sz w:val="21"/>
                <w:szCs w:val="21"/>
              </w:rPr>
            </w:pPr>
          </w:p>
        </w:tc>
      </w:tr>
      <w:tr w14:paraId="71A5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48B064">
            <w:pPr>
              <w:pStyle w:val="117"/>
              <w:widowControl/>
              <w:spacing w:line="400" w:lineRule="exact"/>
              <w:ind w:firstLine="0" w:firstLineChars="0"/>
              <w:jc w:val="center"/>
              <w:rPr>
                <w:rFonts w:hint="eastAsia" w:ascii="宋体" w:eastAsia="宋体" w:cs="宋体"/>
                <w:iCs/>
                <w:color w:val="0D0D0D"/>
                <w:kern w:val="2"/>
                <w:sz w:val="21"/>
                <w:szCs w:val="21"/>
              </w:rPr>
            </w:pPr>
            <w:bookmarkStart w:id="136" w:name="_Toc10197"/>
            <w:bookmarkStart w:id="137" w:name="_Toc27884"/>
            <w:bookmarkStart w:id="138" w:name="_Toc13235"/>
            <w:bookmarkStart w:id="139" w:name="_Toc138615707"/>
            <w:bookmarkStart w:id="140" w:name="_Toc4354"/>
            <w:bookmarkStart w:id="141" w:name="_Toc2075"/>
            <w:bookmarkStart w:id="142" w:name="_Toc31068"/>
            <w:r>
              <w:rPr>
                <w:rFonts w:hint="eastAsia" w:ascii="宋体" w:eastAsia="宋体" w:cs="宋体"/>
                <w:iCs/>
                <w:color w:val="0D0D0D"/>
                <w:kern w:val="2"/>
                <w:sz w:val="21"/>
                <w:szCs w:val="21"/>
              </w:rPr>
              <w:t>7</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2075C3">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GPU 人脸大数据服务器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C54D36">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9D5CA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2U双路标准机架式服务器；</w:t>
            </w:r>
          </w:p>
          <w:p w14:paraId="54207EE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CPU：不少于2颗Xeon® Gold 6130 （16核，2.1GHz）；</w:t>
            </w:r>
          </w:p>
          <w:p w14:paraId="315859B9">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3.GPU：不低于8张NVIDIA® Tesla® T4卡；</w:t>
            </w:r>
          </w:p>
          <w:p w14:paraId="19E4369A">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内存：不少于768G DDR4，24根内存插槽，最大支持扩展至3TB内存；</w:t>
            </w:r>
          </w:p>
          <w:p w14:paraId="3154D7A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硬盘：SSD 盘总容量不少于11.4T ， SATA硬盘不少于24T 7.2K 3.5 寸；</w:t>
            </w:r>
          </w:p>
          <w:p w14:paraId="4335F1A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 阵列卡：SAS_HBA卡，支持RAID 0/1/10；’</w:t>
            </w:r>
          </w:p>
          <w:p w14:paraId="0DF3C21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PCIE扩展：最大可支持10个PCIE扩展插槽；</w:t>
            </w:r>
          </w:p>
          <w:p w14:paraId="1AD8E788">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 网口：2个千兆电口，2个万兆光口；</w:t>
            </w:r>
          </w:p>
          <w:p w14:paraId="0D3D872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9. 其他接口：1个RJ45管理接口，4个USB 3.0接口，1个VGA接口；</w:t>
            </w:r>
          </w:p>
          <w:p w14:paraId="4FFF8A78">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10. 电源：不低于标配550W（1+1）高效铂金CRPS冗余电源；</w:t>
            </w:r>
          </w:p>
        </w:tc>
        <w:tc>
          <w:tcPr>
            <w:tcW w:w="1025" w:type="dxa"/>
            <w:tcBorders>
              <w:top w:val="single" w:color="auto" w:sz="4" w:space="0"/>
              <w:left w:val="single" w:color="auto" w:sz="4" w:space="0"/>
              <w:bottom w:val="single" w:color="auto" w:sz="4" w:space="0"/>
              <w:right w:val="single" w:color="auto" w:sz="4" w:space="0"/>
            </w:tcBorders>
            <w:noWrap/>
          </w:tcPr>
          <w:p w14:paraId="41A54841">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0E09CF">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1</w:t>
            </w:r>
          </w:p>
        </w:tc>
        <w:tc>
          <w:tcPr>
            <w:tcW w:w="661" w:type="dxa"/>
            <w:tcBorders>
              <w:top w:val="single" w:color="auto" w:sz="4" w:space="0"/>
              <w:left w:val="single" w:color="auto" w:sz="4" w:space="0"/>
              <w:bottom w:val="single" w:color="auto" w:sz="4" w:space="0"/>
              <w:right w:val="single" w:color="auto" w:sz="4" w:space="0"/>
            </w:tcBorders>
            <w:noWrap/>
          </w:tcPr>
          <w:p w14:paraId="22A00442">
            <w:pPr>
              <w:pStyle w:val="117"/>
              <w:widowControl/>
              <w:spacing w:line="400" w:lineRule="exact"/>
              <w:ind w:firstLine="0" w:firstLineChars="0"/>
              <w:jc w:val="center"/>
              <w:rPr>
                <w:rFonts w:hint="eastAsia" w:ascii="宋体" w:eastAsia="宋体" w:cs="宋体"/>
                <w:iCs/>
                <w:color w:val="0D0D0D"/>
                <w:kern w:val="2"/>
                <w:sz w:val="21"/>
                <w:szCs w:val="21"/>
              </w:rPr>
            </w:pPr>
          </w:p>
        </w:tc>
      </w:tr>
      <w:tr w14:paraId="577C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0C1EE">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8</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39B9C">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CPU人脸管理服务器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758D38">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2825C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2U双路标准机架式服务器</w:t>
            </w:r>
          </w:p>
          <w:p w14:paraId="1CC7968A">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CPU：不低于2颗Xeon® Silver 4210（10核，2.2GHz）</w:t>
            </w:r>
          </w:p>
          <w:p w14:paraId="0921EEA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 内存：不低于128G DDR4，16根内存插槽，最大支持扩展至2TB内存</w:t>
            </w:r>
          </w:p>
          <w:p w14:paraId="59DACE5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硬盘：不少于4块480G SSD 硬盘</w:t>
            </w:r>
          </w:p>
          <w:p w14:paraId="346513EC">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阵列卡：SAS_HBA卡, 支持RAID 0/1/10</w:t>
            </w:r>
          </w:p>
          <w:p w14:paraId="42FD4BF9">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 PCIE扩展：最大可支持6个PCIE扩展插槽</w:t>
            </w:r>
          </w:p>
          <w:p w14:paraId="69E271C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网口：不少于2个千兆电口，2个万兆光口</w:t>
            </w:r>
          </w:p>
          <w:p w14:paraId="1E0833B9">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 其他接口：1个RJ45管理接口，4个USB 3.0接口，1个VGA接口</w:t>
            </w:r>
          </w:p>
          <w:p w14:paraId="001EEAD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9. 电源：标配550W（1+1）高效铂金CRPS冗余电源</w:t>
            </w:r>
          </w:p>
        </w:tc>
        <w:tc>
          <w:tcPr>
            <w:tcW w:w="1025" w:type="dxa"/>
            <w:tcBorders>
              <w:top w:val="single" w:color="auto" w:sz="4" w:space="0"/>
              <w:left w:val="single" w:color="auto" w:sz="4" w:space="0"/>
              <w:bottom w:val="single" w:color="auto" w:sz="4" w:space="0"/>
              <w:right w:val="single" w:color="auto" w:sz="4" w:space="0"/>
            </w:tcBorders>
            <w:noWrap/>
          </w:tcPr>
          <w:p w14:paraId="616D7DAF">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EA3CB9">
            <w:pPr>
              <w:widowControl/>
              <w:spacing w:line="240" w:lineRule="auto"/>
              <w:ind w:firstLine="0" w:firstLineChars="0"/>
              <w:jc w:val="center"/>
              <w:rPr>
                <w:rFonts w:hint="eastAsia" w:ascii="宋体" w:eastAsia="宋体" w:cs="宋体"/>
                <w:color w:val="000000"/>
                <w:kern w:val="0"/>
                <w:sz w:val="18"/>
                <w:szCs w:val="18"/>
              </w:rPr>
            </w:pPr>
            <w:r>
              <w:rPr>
                <w:rFonts w:hint="eastAsia" w:ascii="宋体" w:eastAsia="宋体" w:cs="宋体"/>
                <w:color w:val="000000"/>
                <w:kern w:val="0"/>
                <w:sz w:val="18"/>
                <w:szCs w:val="18"/>
              </w:rPr>
              <w:t xml:space="preserve">2 </w:t>
            </w:r>
          </w:p>
        </w:tc>
        <w:tc>
          <w:tcPr>
            <w:tcW w:w="661" w:type="dxa"/>
            <w:tcBorders>
              <w:top w:val="single" w:color="auto" w:sz="4" w:space="0"/>
              <w:left w:val="single" w:color="auto" w:sz="4" w:space="0"/>
              <w:bottom w:val="single" w:color="auto" w:sz="4" w:space="0"/>
              <w:right w:val="single" w:color="auto" w:sz="4" w:space="0"/>
            </w:tcBorders>
            <w:noWrap/>
          </w:tcPr>
          <w:p w14:paraId="629CB641">
            <w:pPr>
              <w:pStyle w:val="117"/>
              <w:widowControl/>
              <w:spacing w:line="400" w:lineRule="exact"/>
              <w:ind w:firstLine="0" w:firstLineChars="0"/>
              <w:jc w:val="left"/>
              <w:rPr>
                <w:rFonts w:hint="eastAsia" w:ascii="宋体" w:eastAsia="宋体" w:cs="宋体"/>
                <w:iCs/>
                <w:color w:val="0D0D0D"/>
                <w:kern w:val="2"/>
                <w:sz w:val="21"/>
                <w:szCs w:val="21"/>
              </w:rPr>
            </w:pPr>
          </w:p>
        </w:tc>
      </w:tr>
      <w:tr w14:paraId="77A6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202722">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9</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33D64">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人像聚类比对服务器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76179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6097E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1、CPU ：1颗Intel Gold 6130（16核，32线程，2.10GHz）</w:t>
            </w:r>
          </w:p>
          <w:p w14:paraId="6A49C8C2">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2、GPU卡：1张T4卡</w:t>
            </w:r>
          </w:p>
          <w:p w14:paraId="7762AB3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3、内存：192GB DDR4</w:t>
            </w:r>
          </w:p>
          <w:p w14:paraId="7D10829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4、硬盘：240G SSD*1，4T STAT*1</w:t>
            </w:r>
          </w:p>
          <w:p w14:paraId="7092CB1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5、外部接口：4个千兆自适应网络接口； 2个前置USB接口,2个后置USB接口，2个内置USB接口；1个前置VGA接口，1个后置VGA接口；共8个PCIE插糟</w:t>
            </w:r>
          </w:p>
          <w:p w14:paraId="648AF46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6、机箱规格：2U机架式标准机箱</w:t>
            </w:r>
          </w:p>
          <w:p w14:paraId="5A016003">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7、含配套对比算法</w:t>
            </w:r>
          </w:p>
        </w:tc>
        <w:tc>
          <w:tcPr>
            <w:tcW w:w="1025" w:type="dxa"/>
            <w:tcBorders>
              <w:top w:val="single" w:color="auto" w:sz="4" w:space="0"/>
              <w:left w:val="single" w:color="auto" w:sz="4" w:space="0"/>
              <w:bottom w:val="single" w:color="auto" w:sz="4" w:space="0"/>
              <w:right w:val="single" w:color="auto" w:sz="4" w:space="0"/>
            </w:tcBorders>
            <w:noWrap/>
          </w:tcPr>
          <w:p w14:paraId="24B7F19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2F88F8">
            <w:pPr>
              <w:widowControl/>
              <w:spacing w:line="240" w:lineRule="auto"/>
              <w:ind w:firstLine="0" w:firstLineChars="0"/>
              <w:jc w:val="center"/>
              <w:rPr>
                <w:rFonts w:hint="eastAsia" w:ascii="宋体" w:eastAsia="宋体" w:cs="宋体"/>
                <w:color w:val="000000"/>
                <w:kern w:val="0"/>
                <w:sz w:val="18"/>
                <w:szCs w:val="18"/>
              </w:rPr>
            </w:pPr>
            <w:r>
              <w:rPr>
                <w:rFonts w:hint="eastAsia" w:ascii="宋体" w:eastAsia="宋体" w:cs="宋体"/>
                <w:color w:val="000000"/>
                <w:kern w:val="0"/>
                <w:sz w:val="18"/>
                <w:szCs w:val="18"/>
              </w:rPr>
              <w:t xml:space="preserve">1 </w:t>
            </w:r>
          </w:p>
        </w:tc>
        <w:tc>
          <w:tcPr>
            <w:tcW w:w="661" w:type="dxa"/>
            <w:tcBorders>
              <w:top w:val="single" w:color="auto" w:sz="4" w:space="0"/>
              <w:left w:val="single" w:color="auto" w:sz="4" w:space="0"/>
              <w:bottom w:val="single" w:color="auto" w:sz="4" w:space="0"/>
              <w:right w:val="single" w:color="auto" w:sz="4" w:space="0"/>
            </w:tcBorders>
            <w:noWrap/>
          </w:tcPr>
          <w:p w14:paraId="39C251B3">
            <w:pPr>
              <w:pStyle w:val="117"/>
              <w:widowControl/>
              <w:spacing w:line="400" w:lineRule="exact"/>
              <w:ind w:firstLine="0" w:firstLineChars="0"/>
              <w:jc w:val="left"/>
              <w:rPr>
                <w:rFonts w:hint="eastAsia" w:ascii="宋体" w:eastAsia="宋体" w:cs="宋体"/>
                <w:iCs/>
                <w:color w:val="0D0D0D"/>
                <w:kern w:val="2"/>
                <w:sz w:val="21"/>
                <w:szCs w:val="21"/>
              </w:rPr>
            </w:pPr>
          </w:p>
        </w:tc>
      </w:tr>
      <w:tr w14:paraId="386F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E0D5FC">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10</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C0F20A">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GPU解析服务器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E64F6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0BAF23">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2U双路标准机架式服务器</w:t>
            </w:r>
          </w:p>
          <w:p w14:paraId="58597CA0">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CPU：不少于1颗Gold 6130 CPU（16核2.1Ghz）</w:t>
            </w:r>
          </w:p>
          <w:p w14:paraId="5B41C056">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 GPU：不少于2张NVIDIA® Tesla® T4卡</w:t>
            </w:r>
          </w:p>
          <w:p w14:paraId="4C039116">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内存：不少于64G DDR4，24根 DDR4 ECC RDIMM插槽</w:t>
            </w:r>
          </w:p>
          <w:p w14:paraId="6E51EFEE">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硬盘：不少于1个480GB SSD，最大支持8块3.5/2.5寸SATA硬盘或SSD，支持热插拔</w:t>
            </w:r>
          </w:p>
          <w:p w14:paraId="224D644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 网口：不少于4个千兆自适应网络接口</w:t>
            </w:r>
          </w:p>
          <w:p w14:paraId="0B56CAF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其他接口：4个USB3.0接口，2个VGA接口</w:t>
            </w:r>
          </w:p>
          <w:p w14:paraId="2F16B142">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 xml:space="preserve">8. 电源：1600W热拔插高效1+1冗余电源模块 </w:t>
            </w:r>
          </w:p>
        </w:tc>
        <w:tc>
          <w:tcPr>
            <w:tcW w:w="1025" w:type="dxa"/>
            <w:tcBorders>
              <w:top w:val="single" w:color="auto" w:sz="4" w:space="0"/>
              <w:left w:val="single" w:color="auto" w:sz="4" w:space="0"/>
              <w:bottom w:val="single" w:color="auto" w:sz="4" w:space="0"/>
              <w:right w:val="single" w:color="auto" w:sz="4" w:space="0"/>
            </w:tcBorders>
            <w:noWrap/>
          </w:tcPr>
          <w:p w14:paraId="6ADB695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AC2804">
            <w:pPr>
              <w:widowControl/>
              <w:spacing w:line="240" w:lineRule="auto"/>
              <w:ind w:firstLine="0" w:firstLineChars="0"/>
              <w:jc w:val="center"/>
              <w:rPr>
                <w:rFonts w:hint="eastAsia" w:ascii="宋体" w:eastAsia="宋体" w:cs="宋体"/>
                <w:color w:val="000000"/>
                <w:kern w:val="0"/>
                <w:sz w:val="18"/>
                <w:szCs w:val="18"/>
              </w:rPr>
            </w:pPr>
            <w:r>
              <w:rPr>
                <w:rFonts w:hint="eastAsia" w:ascii="宋体" w:eastAsia="宋体" w:cs="宋体"/>
                <w:color w:val="000000"/>
                <w:kern w:val="0"/>
                <w:sz w:val="18"/>
                <w:szCs w:val="18"/>
              </w:rPr>
              <w:t xml:space="preserve">1 </w:t>
            </w:r>
          </w:p>
        </w:tc>
        <w:tc>
          <w:tcPr>
            <w:tcW w:w="661" w:type="dxa"/>
            <w:tcBorders>
              <w:top w:val="single" w:color="auto" w:sz="4" w:space="0"/>
              <w:left w:val="single" w:color="auto" w:sz="4" w:space="0"/>
              <w:bottom w:val="single" w:color="auto" w:sz="4" w:space="0"/>
              <w:right w:val="single" w:color="auto" w:sz="4" w:space="0"/>
            </w:tcBorders>
            <w:noWrap/>
          </w:tcPr>
          <w:p w14:paraId="0A7A5E76">
            <w:pPr>
              <w:pStyle w:val="117"/>
              <w:widowControl/>
              <w:spacing w:line="400" w:lineRule="exact"/>
              <w:ind w:firstLine="0" w:firstLineChars="0"/>
              <w:jc w:val="left"/>
              <w:rPr>
                <w:rFonts w:hint="eastAsia" w:ascii="宋体" w:eastAsia="宋体" w:cs="宋体"/>
                <w:iCs/>
                <w:color w:val="0D0D0D"/>
                <w:kern w:val="2"/>
                <w:sz w:val="21"/>
                <w:szCs w:val="21"/>
              </w:rPr>
            </w:pPr>
          </w:p>
        </w:tc>
      </w:tr>
      <w:tr w14:paraId="77E5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1A67F0">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11</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46841D">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GPU 人脸大数据服务器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C26D2">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4F0135">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2U双路标准机架式服务器；</w:t>
            </w:r>
          </w:p>
          <w:p w14:paraId="54551DC2">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CPU：不少于2颗Xeon® Gold 6130 （16核，2.1GHz）；</w:t>
            </w:r>
          </w:p>
          <w:p w14:paraId="19B5C22A">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3.GPU：不低于8张NVIDIA® Tesla® T4卡；</w:t>
            </w:r>
          </w:p>
          <w:p w14:paraId="65675886">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内存：不少于768G DDR4，24根内存插槽，最大支持扩展至3TB内存；</w:t>
            </w:r>
          </w:p>
          <w:p w14:paraId="7B04602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硬盘：SSD 盘总容量不少于11.4T ， SATA硬盘不少于24T 7.2K 3.5 寸；</w:t>
            </w:r>
          </w:p>
          <w:p w14:paraId="70C56672">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 阵列卡：SAS_HBA卡，支持RAID 0/1/10；’</w:t>
            </w:r>
          </w:p>
          <w:p w14:paraId="7E4331C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PCIE扩展：最大可支持10个PCIE扩展插槽；</w:t>
            </w:r>
          </w:p>
          <w:p w14:paraId="55C2137C">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 网口：2个千兆电口，2个万兆光口；</w:t>
            </w:r>
          </w:p>
          <w:p w14:paraId="3D75FAF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9. 其他接口：1个RJ45管理接口，4个USB 3.0接口，1个VGA接口；</w:t>
            </w:r>
          </w:p>
          <w:p w14:paraId="01BAC2C4">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10. 电源：不低于标配550W（1+1）高效铂金CRPS冗余电源；</w:t>
            </w:r>
          </w:p>
        </w:tc>
        <w:tc>
          <w:tcPr>
            <w:tcW w:w="1025" w:type="dxa"/>
            <w:tcBorders>
              <w:top w:val="single" w:color="auto" w:sz="4" w:space="0"/>
              <w:left w:val="single" w:color="auto" w:sz="4" w:space="0"/>
              <w:bottom w:val="single" w:color="auto" w:sz="4" w:space="0"/>
              <w:right w:val="single" w:color="auto" w:sz="4" w:space="0"/>
            </w:tcBorders>
            <w:noWrap/>
          </w:tcPr>
          <w:p w14:paraId="20C7BEC2">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972D8">
            <w:pPr>
              <w:widowControl/>
              <w:spacing w:line="240" w:lineRule="auto"/>
              <w:ind w:firstLine="0" w:firstLineChars="0"/>
              <w:jc w:val="center"/>
              <w:rPr>
                <w:rFonts w:hint="eastAsia" w:ascii="宋体" w:eastAsia="宋体" w:cs="宋体"/>
                <w:color w:val="000000"/>
                <w:kern w:val="0"/>
                <w:sz w:val="18"/>
                <w:szCs w:val="18"/>
              </w:rPr>
            </w:pPr>
            <w:r>
              <w:rPr>
                <w:rFonts w:hint="eastAsia" w:ascii="宋体" w:eastAsia="宋体" w:cs="宋体"/>
                <w:color w:val="000000"/>
                <w:kern w:val="0"/>
                <w:sz w:val="18"/>
                <w:szCs w:val="18"/>
              </w:rPr>
              <w:t xml:space="preserve">1 </w:t>
            </w:r>
          </w:p>
        </w:tc>
        <w:tc>
          <w:tcPr>
            <w:tcW w:w="661" w:type="dxa"/>
            <w:tcBorders>
              <w:top w:val="single" w:color="auto" w:sz="4" w:space="0"/>
              <w:left w:val="single" w:color="auto" w:sz="4" w:space="0"/>
              <w:bottom w:val="single" w:color="auto" w:sz="4" w:space="0"/>
              <w:right w:val="single" w:color="auto" w:sz="4" w:space="0"/>
            </w:tcBorders>
            <w:noWrap/>
          </w:tcPr>
          <w:p w14:paraId="44D72EA6">
            <w:pPr>
              <w:pStyle w:val="117"/>
              <w:widowControl/>
              <w:spacing w:line="400" w:lineRule="exact"/>
              <w:ind w:firstLine="0" w:firstLineChars="0"/>
              <w:jc w:val="left"/>
              <w:rPr>
                <w:rFonts w:hint="eastAsia" w:ascii="宋体" w:eastAsia="宋体" w:cs="宋体"/>
                <w:iCs/>
                <w:color w:val="0D0D0D"/>
                <w:kern w:val="2"/>
                <w:sz w:val="21"/>
                <w:szCs w:val="21"/>
              </w:rPr>
            </w:pPr>
          </w:p>
        </w:tc>
      </w:tr>
      <w:tr w14:paraId="4EFB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87A8D6">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12</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98BF47">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CPU人脸管理服务器</w:t>
            </w:r>
          </w:p>
        </w:tc>
        <w:tc>
          <w:tcPr>
            <w:tcW w:w="15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69E99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海康</w:t>
            </w:r>
          </w:p>
        </w:tc>
        <w:tc>
          <w:tcPr>
            <w:tcW w:w="34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7AD9FC">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1. 2U双路标准机架式服务器</w:t>
            </w:r>
          </w:p>
          <w:p w14:paraId="73DC1AEB">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2. CPU：不低于2颗Xeon® Silver 4210（10核，2.2GHz）</w:t>
            </w:r>
          </w:p>
          <w:p w14:paraId="367A4E46">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3. 内存：不低于128G DDR4，16根内存插槽，最大支持扩展至2TB内存</w:t>
            </w:r>
          </w:p>
          <w:p w14:paraId="142DA6B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4. 硬盘：不少于4块480G SSD 硬盘</w:t>
            </w:r>
          </w:p>
          <w:p w14:paraId="07333056">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5. 阵列卡：SAS_HBA卡, 支持RAID 0/1/10</w:t>
            </w:r>
          </w:p>
          <w:p w14:paraId="7EB73F7F">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6. PCIE扩展：最大可支持6个PCIE扩展插槽</w:t>
            </w:r>
          </w:p>
          <w:p w14:paraId="5B24C16D">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7. 网口：不少于2个千兆电口，2个万兆光口</w:t>
            </w:r>
          </w:p>
          <w:p w14:paraId="6CDCCD17">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8. 其他接口：1个RJ45管理接口，4个USB 3.0接口，1个VGA接口</w:t>
            </w:r>
          </w:p>
          <w:p w14:paraId="526A2CA1">
            <w:pPr>
              <w:pStyle w:val="117"/>
              <w:widowControl/>
              <w:spacing w:line="400" w:lineRule="exact"/>
              <w:ind w:firstLine="0" w:firstLineChars="0"/>
              <w:jc w:val="left"/>
              <w:rPr>
                <w:rFonts w:hint="eastAsia" w:ascii="宋体" w:eastAsia="宋体" w:cs="宋体"/>
                <w:iCs/>
                <w:color w:val="0D0D0D"/>
                <w:kern w:val="2"/>
                <w:sz w:val="21"/>
                <w:szCs w:val="21"/>
              </w:rPr>
            </w:pPr>
            <w:r>
              <w:rPr>
                <w:rFonts w:hint="eastAsia" w:ascii="宋体" w:eastAsia="宋体" w:cs="宋体"/>
                <w:iCs/>
                <w:color w:val="0D0D0D"/>
                <w:kern w:val="2"/>
                <w:sz w:val="21"/>
                <w:szCs w:val="21"/>
              </w:rPr>
              <w:t>9. 电源：标配550W（1+1）高效铂金CRPS冗余电源</w:t>
            </w:r>
          </w:p>
        </w:tc>
        <w:tc>
          <w:tcPr>
            <w:tcW w:w="1025" w:type="dxa"/>
            <w:tcBorders>
              <w:top w:val="single" w:color="auto" w:sz="4" w:space="0"/>
              <w:left w:val="single" w:color="auto" w:sz="4" w:space="0"/>
              <w:bottom w:val="single" w:color="auto" w:sz="4" w:space="0"/>
              <w:right w:val="single" w:color="auto" w:sz="4" w:space="0"/>
            </w:tcBorders>
            <w:noWrap/>
          </w:tcPr>
          <w:p w14:paraId="4C4EB610">
            <w:pPr>
              <w:pStyle w:val="117"/>
              <w:widowControl/>
              <w:spacing w:line="400" w:lineRule="exact"/>
              <w:ind w:firstLine="0" w:firstLineChars="0"/>
              <w:jc w:val="center"/>
              <w:rPr>
                <w:rFonts w:hint="eastAsia" w:ascii="宋体" w:eastAsia="宋体" w:cs="宋体"/>
                <w:iCs/>
                <w:color w:val="0D0D0D"/>
                <w:kern w:val="2"/>
                <w:sz w:val="21"/>
                <w:szCs w:val="21"/>
              </w:rPr>
            </w:pPr>
            <w:r>
              <w:rPr>
                <w:rFonts w:hint="eastAsia" w:ascii="宋体" w:eastAsia="宋体" w:cs="宋体"/>
                <w:iCs/>
                <w:color w:val="0D0D0D"/>
                <w:kern w:val="2"/>
                <w:sz w:val="21"/>
                <w:szCs w:val="21"/>
              </w:rPr>
              <w:t>2018年</w:t>
            </w:r>
          </w:p>
        </w:tc>
        <w:tc>
          <w:tcPr>
            <w:tcW w:w="6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9F8C0C">
            <w:pPr>
              <w:widowControl/>
              <w:spacing w:line="240" w:lineRule="auto"/>
              <w:ind w:firstLine="0" w:firstLineChars="0"/>
              <w:jc w:val="center"/>
              <w:rPr>
                <w:rFonts w:hint="eastAsia" w:ascii="宋体" w:eastAsia="宋体" w:cs="宋体"/>
                <w:color w:val="000000"/>
                <w:kern w:val="0"/>
                <w:sz w:val="18"/>
                <w:szCs w:val="18"/>
              </w:rPr>
            </w:pPr>
            <w:r>
              <w:rPr>
                <w:rFonts w:hint="eastAsia" w:ascii="宋体" w:eastAsia="宋体" w:cs="宋体"/>
                <w:color w:val="000000"/>
                <w:kern w:val="0"/>
                <w:sz w:val="18"/>
                <w:szCs w:val="18"/>
              </w:rPr>
              <w:t xml:space="preserve">2 </w:t>
            </w:r>
          </w:p>
        </w:tc>
        <w:tc>
          <w:tcPr>
            <w:tcW w:w="661" w:type="dxa"/>
            <w:tcBorders>
              <w:top w:val="single" w:color="auto" w:sz="4" w:space="0"/>
              <w:left w:val="single" w:color="auto" w:sz="4" w:space="0"/>
              <w:bottom w:val="single" w:color="auto" w:sz="4" w:space="0"/>
              <w:right w:val="single" w:color="auto" w:sz="4" w:space="0"/>
            </w:tcBorders>
            <w:noWrap/>
          </w:tcPr>
          <w:p w14:paraId="46817E84">
            <w:pPr>
              <w:pStyle w:val="117"/>
              <w:widowControl/>
              <w:spacing w:line="400" w:lineRule="exact"/>
              <w:ind w:firstLine="0" w:firstLineChars="0"/>
              <w:jc w:val="left"/>
              <w:rPr>
                <w:rFonts w:hint="eastAsia" w:ascii="宋体" w:eastAsia="宋体" w:cs="宋体"/>
                <w:iCs/>
                <w:color w:val="0D0D0D"/>
                <w:kern w:val="2"/>
                <w:sz w:val="21"/>
                <w:szCs w:val="21"/>
              </w:rPr>
            </w:pPr>
          </w:p>
        </w:tc>
      </w:tr>
    </w:tbl>
    <w:p w14:paraId="12C58484">
      <w:pPr>
        <w:pStyle w:val="6"/>
      </w:pPr>
      <w:bookmarkStart w:id="143" w:name="_Toc6062"/>
      <w:r>
        <w:rPr>
          <w:rFonts w:hint="eastAsia"/>
        </w:rPr>
        <w:t>现有机房环境</w:t>
      </w:r>
      <w:bookmarkEnd w:id="136"/>
      <w:bookmarkEnd w:id="137"/>
      <w:bookmarkEnd w:id="138"/>
      <w:bookmarkEnd w:id="139"/>
      <w:bookmarkEnd w:id="140"/>
      <w:bookmarkEnd w:id="141"/>
      <w:bookmarkEnd w:id="142"/>
      <w:bookmarkEnd w:id="143"/>
    </w:p>
    <w:p w14:paraId="45CC6FA4">
      <w:pPr>
        <w:rPr>
          <w:rFonts w:hint="eastAsia" w:ascii="宋体" w:eastAsia="宋体" w:cs="宋体"/>
        </w:rPr>
      </w:pPr>
      <w:r>
        <w:rPr>
          <w:rFonts w:hint="eastAsia" w:ascii="宋体" w:eastAsia="宋体" w:cs="宋体"/>
        </w:rPr>
        <w:t>现有雪亮机房依托运营商网络机房。</w:t>
      </w:r>
    </w:p>
    <w:p w14:paraId="30ECD7B3">
      <w:pPr>
        <w:pStyle w:val="3"/>
        <w:keepNext/>
        <w:keepLines/>
        <w:pageBreakBefore w:val="0"/>
        <w:widowControl w:val="0"/>
        <w:rPr>
          <w:rFonts w:ascii="Times New Roman" w:hAnsi="Times New Roman"/>
          <w:color w:val="000000"/>
        </w:rPr>
      </w:pPr>
      <w:bookmarkStart w:id="144" w:name="_Toc28269"/>
      <w:bookmarkStart w:id="145" w:name="_Toc5203"/>
      <w:bookmarkStart w:id="146" w:name="_Toc4967"/>
      <w:bookmarkStart w:id="147" w:name="_Toc7425"/>
      <w:bookmarkStart w:id="148" w:name="_Toc138615913"/>
      <w:bookmarkStart w:id="149" w:name="_Toc4993"/>
      <w:bookmarkStart w:id="150" w:name="_Toc5907"/>
      <w:bookmarkStart w:id="151" w:name="_Toc27085"/>
      <w:r>
        <w:rPr>
          <w:rFonts w:ascii="Times New Roman" w:hAnsi="Times New Roman"/>
          <w:color w:val="000000"/>
        </w:rPr>
        <w:t>需求分析</w:t>
      </w:r>
      <w:bookmarkEnd w:id="144"/>
      <w:bookmarkEnd w:id="145"/>
      <w:bookmarkEnd w:id="146"/>
      <w:bookmarkEnd w:id="147"/>
      <w:bookmarkEnd w:id="148"/>
      <w:bookmarkEnd w:id="149"/>
      <w:bookmarkEnd w:id="150"/>
      <w:bookmarkEnd w:id="151"/>
    </w:p>
    <w:p w14:paraId="438D910D">
      <w:pPr>
        <w:pStyle w:val="4"/>
        <w:rPr>
          <w:color w:val="000000"/>
        </w:rPr>
      </w:pPr>
      <w:bookmarkStart w:id="152" w:name="_Toc138615914"/>
      <w:bookmarkStart w:id="153" w:name="_Toc15579"/>
      <w:bookmarkStart w:id="154" w:name="_Toc18655"/>
      <w:bookmarkStart w:id="155" w:name="_Toc11280"/>
      <w:bookmarkStart w:id="156" w:name="_Toc30923"/>
      <w:bookmarkStart w:id="157" w:name="_Toc11015"/>
      <w:bookmarkStart w:id="158" w:name="_Toc5152"/>
      <w:bookmarkStart w:id="159" w:name="_Toc206"/>
      <w:r>
        <w:rPr>
          <w:color w:val="000000"/>
        </w:rPr>
        <w:t>业务需求</w:t>
      </w:r>
      <w:bookmarkEnd w:id="152"/>
      <w:bookmarkEnd w:id="153"/>
      <w:bookmarkEnd w:id="154"/>
      <w:bookmarkEnd w:id="155"/>
      <w:bookmarkEnd w:id="156"/>
      <w:bookmarkEnd w:id="157"/>
      <w:bookmarkEnd w:id="158"/>
      <w:bookmarkEnd w:id="159"/>
    </w:p>
    <w:p w14:paraId="1DFA046D">
      <w:pPr>
        <w:rPr>
          <w:rFonts w:hint="eastAsia" w:ascii="宋体" w:eastAsia="宋体" w:cs="宋体"/>
        </w:rPr>
      </w:pPr>
      <w:r>
        <w:rPr>
          <w:rFonts w:hint="eastAsia" w:ascii="宋体" w:eastAsia="宋体" w:cs="宋体"/>
        </w:rPr>
        <w:t>滁州市数据资源管理局和滁州市财政局联合下发滁数资滁数资〔2024〕8号关于申报2025年度市级政务信息化项目计划的通知，通知中关于申报材料关于公共场所视频监控类项目，应将项目计划申报表和建设需求及时报市公安局，由市公安局初审汇总后统一申报计划，公共场所视频监控类项目于2024年9月20日前通过邮箱报送公安局科技信息通信科。目前统计没有其他建设需求，本项目需求主要以公安业务为主。</w:t>
      </w:r>
    </w:p>
    <w:p w14:paraId="2C760E4A">
      <w:pPr>
        <w:rPr>
          <w:rFonts w:hint="eastAsia" w:ascii="宋体" w:eastAsia="宋体" w:cs="宋体"/>
        </w:rPr>
      </w:pPr>
      <w:r>
        <w:rPr>
          <w:rFonts w:hint="eastAsia" w:ascii="宋体" w:eastAsia="宋体" w:cs="宋体"/>
        </w:rPr>
        <w:t>随着公安机关各警种、各部门对视频监控深入应用需求的日益增长，视频监控已成为管理社会治安、打击违法犯罪、维护社会稳定、保障社会安全等方面重要技术手段之一。本次购买的公共安全视频监控服务是为了进一步加强滁州公安技术力量，提升各警种实战效率。</w:t>
      </w:r>
    </w:p>
    <w:p w14:paraId="5BCC7F12">
      <w:pPr>
        <w:pStyle w:val="121"/>
        <w:autoSpaceDE w:val="0"/>
        <w:autoSpaceDN w:val="0"/>
        <w:adjustRightInd w:val="0"/>
        <w:snapToGrid w:val="0"/>
        <w:ind w:left="0" w:firstLine="562"/>
        <w:jc w:val="left"/>
        <w:rPr>
          <w:rFonts w:hint="eastAsia" w:ascii="宋体" w:eastAsia="宋体" w:cs="宋体"/>
          <w:b/>
          <w:bCs/>
        </w:rPr>
      </w:pPr>
      <w:r>
        <w:rPr>
          <w:rFonts w:hint="eastAsia" w:ascii="宋体" w:eastAsia="宋体" w:cs="宋体"/>
          <w:b/>
          <w:bCs/>
        </w:rPr>
        <w:t>治安部门</w:t>
      </w:r>
    </w:p>
    <w:p w14:paraId="503B7A20">
      <w:pPr>
        <w:rPr>
          <w:rFonts w:hint="eastAsia" w:ascii="宋体" w:eastAsia="宋体" w:cs="宋体"/>
        </w:rPr>
      </w:pPr>
      <w:r>
        <w:rPr>
          <w:rFonts w:hint="eastAsia" w:ascii="宋体" w:eastAsia="宋体" w:cs="宋体"/>
        </w:rPr>
        <w:t>结合治安部门工作需要和不同地域实际治安状况，通过完善视频监控系统功能，提升全天候、无死角的社会治安防控能力，进一步加强对辖区治安环境和人口变化等异常情况的管控。</w:t>
      </w:r>
    </w:p>
    <w:p w14:paraId="18BD5084">
      <w:pPr>
        <w:pStyle w:val="121"/>
        <w:autoSpaceDE w:val="0"/>
        <w:autoSpaceDN w:val="0"/>
        <w:adjustRightInd w:val="0"/>
        <w:snapToGrid w:val="0"/>
        <w:ind w:left="0" w:firstLine="562"/>
        <w:jc w:val="left"/>
        <w:rPr>
          <w:rFonts w:hint="eastAsia" w:ascii="宋体" w:eastAsia="宋体" w:cs="宋体"/>
          <w:b/>
          <w:bCs/>
        </w:rPr>
      </w:pPr>
      <w:r>
        <w:rPr>
          <w:rFonts w:hint="eastAsia" w:ascii="宋体" w:eastAsia="宋体" w:cs="宋体"/>
          <w:b/>
          <w:bCs/>
        </w:rPr>
        <w:t>刑侦部门</w:t>
      </w:r>
    </w:p>
    <w:p w14:paraId="479E1D0D">
      <w:pPr>
        <w:rPr>
          <w:rFonts w:hint="eastAsia" w:ascii="宋体" w:eastAsia="宋体" w:cs="宋体"/>
        </w:rPr>
      </w:pPr>
      <w:r>
        <w:rPr>
          <w:rFonts w:hint="eastAsia" w:ascii="宋体" w:eastAsia="宋体" w:cs="宋体"/>
        </w:rPr>
        <w:t>结合刑侦部门工作需要，通过完善视频监控系统功能，强化现有视频图像、照片数据的采集、查询和深度挖掘应用，实现对犯罪嫌疑人、车辆特征和活动轨迹等进行全方位追踪分析，进一步提升破案率、保障人民群众的生命财产安全。</w:t>
      </w:r>
    </w:p>
    <w:p w14:paraId="1F1897E7">
      <w:pPr>
        <w:pStyle w:val="121"/>
        <w:autoSpaceDE w:val="0"/>
        <w:autoSpaceDN w:val="0"/>
        <w:adjustRightInd w:val="0"/>
        <w:snapToGrid w:val="0"/>
        <w:ind w:left="0" w:firstLine="562"/>
        <w:jc w:val="left"/>
        <w:rPr>
          <w:rFonts w:hint="eastAsia" w:ascii="宋体" w:eastAsia="宋体" w:cs="宋体"/>
          <w:b/>
          <w:bCs/>
        </w:rPr>
      </w:pPr>
      <w:r>
        <w:rPr>
          <w:rFonts w:hint="eastAsia" w:ascii="宋体" w:eastAsia="宋体" w:cs="宋体"/>
          <w:b/>
          <w:bCs/>
        </w:rPr>
        <w:t>反恐部门</w:t>
      </w:r>
    </w:p>
    <w:p w14:paraId="0364AF22">
      <w:pPr>
        <w:rPr>
          <w:rFonts w:hint="eastAsia" w:ascii="宋体" w:eastAsia="宋体" w:cs="宋体"/>
        </w:rPr>
      </w:pPr>
      <w:r>
        <w:rPr>
          <w:rFonts w:hint="eastAsia" w:ascii="宋体" w:eastAsia="宋体" w:cs="宋体"/>
        </w:rPr>
        <w:t>结合反恐部门工作需要，通过完善视频监控系统功能，提升对城市重要道路、车站、广场、政府机关等重点场所部门管控能力，实现对异常事件、人群态势的管控，进一步提高反恐部门对涉恐情报线索核查、涉恐信息搜集掌握、分析研判、风险评估等方面工作效率。</w:t>
      </w:r>
    </w:p>
    <w:p w14:paraId="3E24A807">
      <w:pPr>
        <w:pStyle w:val="121"/>
        <w:autoSpaceDE w:val="0"/>
        <w:autoSpaceDN w:val="0"/>
        <w:adjustRightInd w:val="0"/>
        <w:snapToGrid w:val="0"/>
        <w:ind w:left="0" w:firstLine="562"/>
        <w:jc w:val="left"/>
        <w:rPr>
          <w:rFonts w:hint="eastAsia" w:ascii="宋体" w:eastAsia="宋体" w:cs="宋体"/>
          <w:b/>
          <w:bCs/>
        </w:rPr>
      </w:pPr>
      <w:r>
        <w:rPr>
          <w:rFonts w:hint="eastAsia" w:ascii="宋体" w:eastAsia="宋体" w:cs="宋体"/>
          <w:b/>
          <w:bCs/>
        </w:rPr>
        <w:t xml:space="preserve">  交警部门</w:t>
      </w:r>
    </w:p>
    <w:p w14:paraId="42238A33">
      <w:pPr>
        <w:rPr>
          <w:rFonts w:hint="eastAsia" w:ascii="宋体" w:eastAsia="宋体" w:cs="宋体"/>
          <w:b/>
          <w:bCs/>
        </w:rPr>
      </w:pPr>
      <w:r>
        <w:rPr>
          <w:rFonts w:hint="eastAsia" w:ascii="宋体" w:eastAsia="宋体" w:cs="宋体"/>
        </w:rPr>
        <w:t>结合交警部门工作需要，通过完善视频监控系统功能，逐渐丰富多元化道路管理需求，按需解析并汇聚大量视频数据结构化数据、人脸识别数据和车辆识别数据，通过大数据分析人员、车辆行动轨迹，形成档案信息，实现重点人员、重点车辆以及特殊人群的全方位分析、发现、预警，为全市行业部门提供公共应用服务。</w:t>
      </w:r>
    </w:p>
    <w:p w14:paraId="06F27075">
      <w:pPr>
        <w:pStyle w:val="4"/>
        <w:rPr>
          <w:color w:val="000000"/>
        </w:rPr>
      </w:pPr>
      <w:bookmarkStart w:id="160" w:name="_Toc23946"/>
      <w:bookmarkStart w:id="161" w:name="_Toc14442"/>
      <w:bookmarkStart w:id="162" w:name="_Toc138615915"/>
      <w:bookmarkStart w:id="163" w:name="_Toc12827"/>
      <w:bookmarkStart w:id="164" w:name="_Toc21141"/>
      <w:bookmarkStart w:id="165" w:name="_Toc6129"/>
      <w:bookmarkStart w:id="166" w:name="_Toc819"/>
      <w:bookmarkStart w:id="167" w:name="_Toc16978"/>
      <w:r>
        <w:rPr>
          <w:color w:val="000000"/>
        </w:rPr>
        <w:t>功能需求</w:t>
      </w:r>
      <w:bookmarkEnd w:id="160"/>
      <w:bookmarkEnd w:id="161"/>
      <w:bookmarkEnd w:id="162"/>
      <w:bookmarkEnd w:id="163"/>
      <w:bookmarkEnd w:id="164"/>
      <w:bookmarkEnd w:id="165"/>
      <w:bookmarkEnd w:id="166"/>
      <w:bookmarkEnd w:id="167"/>
    </w:p>
    <w:p w14:paraId="3C85D259">
      <w:pPr>
        <w:pStyle w:val="6"/>
        <w:rPr>
          <w:rFonts w:hint="eastAsia" w:ascii="宋体" w:hAnsi="宋体" w:cs="宋体"/>
        </w:rPr>
      </w:pPr>
      <w:bookmarkStart w:id="168" w:name="_Toc11914"/>
      <w:bookmarkStart w:id="169" w:name="_Toc17304"/>
      <w:bookmarkStart w:id="170" w:name="_Toc6711"/>
      <w:bookmarkStart w:id="171" w:name="_Toc27698"/>
      <w:bookmarkStart w:id="172" w:name="_Toc15722"/>
      <w:r>
        <w:rPr>
          <w:rFonts w:hint="eastAsia" w:ascii="宋体" w:hAnsi="宋体" w:cs="宋体"/>
        </w:rPr>
        <w:t>前端感知采集需求分析</w:t>
      </w:r>
      <w:bookmarkEnd w:id="168"/>
      <w:bookmarkEnd w:id="169"/>
      <w:bookmarkEnd w:id="170"/>
      <w:bookmarkEnd w:id="171"/>
      <w:bookmarkEnd w:id="172"/>
    </w:p>
    <w:p w14:paraId="15DC044B">
      <w:pPr>
        <w:rPr>
          <w:rFonts w:hint="eastAsia" w:ascii="宋体" w:eastAsia="宋体" w:cs="宋体"/>
        </w:rPr>
      </w:pPr>
      <w:bookmarkStart w:id="173" w:name="_Toc359857979"/>
      <w:bookmarkStart w:id="174" w:name="_Toc359857535"/>
      <w:bookmarkStart w:id="175" w:name="_Toc359857827"/>
      <w:r>
        <w:rPr>
          <w:rFonts w:hint="eastAsia" w:ascii="宋体" w:eastAsia="宋体" w:cs="宋体"/>
        </w:rPr>
        <w:t>合理运用各类智能前端采集设备，全面覆盖重点行业、重点部位的公共场所区域，通过公共安全视频监控实现对人、地、车、事物、组织等全方位、多维度信息采集。</w:t>
      </w:r>
    </w:p>
    <w:p w14:paraId="16D2110C">
      <w:pPr>
        <w:rPr>
          <w:rFonts w:hint="eastAsia" w:ascii="宋体" w:eastAsia="宋体" w:cs="宋体"/>
        </w:rPr>
      </w:pPr>
      <w:r>
        <w:rPr>
          <w:rFonts w:hint="eastAsia" w:ascii="宋体" w:eastAsia="宋体" w:cs="宋体"/>
        </w:rPr>
        <w:t>（1）扩大前端摄像机覆盖范围</w:t>
      </w:r>
    </w:p>
    <w:p w14:paraId="561888E2">
      <w:pPr>
        <w:rPr>
          <w:rFonts w:hint="eastAsia" w:ascii="宋体" w:eastAsia="宋体" w:cs="宋体"/>
        </w:rPr>
      </w:pPr>
      <w:r>
        <w:rPr>
          <w:rFonts w:hint="eastAsia" w:ascii="宋体" w:eastAsia="宋体" w:cs="宋体"/>
        </w:rPr>
        <w:t>坚持“统一标准、科学推进，统筹规划、分步实施”工作原则合理优化点位布局，进一步扩大前端摄像机覆盖范围，提升滁州公安在治安防控、交通管理等实战应用能力，解决当前管理现状和需求的矛盾。</w:t>
      </w:r>
    </w:p>
    <w:p w14:paraId="3868CFBA">
      <w:pPr>
        <w:rPr>
          <w:rFonts w:hint="eastAsia" w:ascii="宋体" w:eastAsia="宋体" w:cs="宋体"/>
        </w:rPr>
      </w:pPr>
      <w:r>
        <w:rPr>
          <w:rFonts w:hint="eastAsia" w:ascii="宋体" w:eastAsia="宋体" w:cs="宋体"/>
        </w:rPr>
        <w:t>（2）提升前端摄像机智能化水平</w:t>
      </w:r>
    </w:p>
    <w:p w14:paraId="79F1257E">
      <w:pPr>
        <w:rPr>
          <w:rFonts w:hint="eastAsia" w:ascii="宋体" w:eastAsia="宋体" w:cs="宋体"/>
        </w:rPr>
      </w:pPr>
      <w:r>
        <w:rPr>
          <w:rFonts w:hint="eastAsia" w:ascii="宋体" w:eastAsia="宋体" w:cs="宋体"/>
        </w:rPr>
        <w:t>当前滁州市公共场所视频监控前端点位智能化占比较低，部分人流密集场所缺少智能化抓拍摄像机，视频监控系统的综合实战效益未能有效释放，加大智能化监控建设，进一步加强智慧应用成效及实战应用需求，实现要害部位、重要场所、案件高发区域、治安复杂场等重点区域智能化视频监控全覆盖。</w:t>
      </w:r>
      <w:bookmarkEnd w:id="173"/>
      <w:bookmarkEnd w:id="174"/>
      <w:bookmarkEnd w:id="175"/>
    </w:p>
    <w:p w14:paraId="36A9E049">
      <w:pPr>
        <w:pStyle w:val="6"/>
        <w:rPr>
          <w:rFonts w:hint="eastAsia" w:ascii="宋体" w:hAnsi="宋体" w:cs="宋体"/>
        </w:rPr>
      </w:pPr>
      <w:bookmarkStart w:id="176" w:name="_Toc12239"/>
      <w:bookmarkStart w:id="177" w:name="_Toc18282"/>
      <w:r>
        <w:rPr>
          <w:rFonts w:hint="eastAsia" w:ascii="宋体" w:hAnsi="宋体" w:cs="宋体"/>
        </w:rPr>
        <w:t>平台需求分析</w:t>
      </w:r>
      <w:bookmarkEnd w:id="176"/>
      <w:bookmarkEnd w:id="177"/>
    </w:p>
    <w:p w14:paraId="1EAAC8CD">
      <w:pPr>
        <w:rPr>
          <w:rFonts w:hint="eastAsia" w:ascii="宋体" w:eastAsia="宋体" w:cs="宋体"/>
        </w:rPr>
      </w:pPr>
      <w:r>
        <w:rPr>
          <w:rFonts w:hint="eastAsia" w:ascii="宋体" w:eastAsia="宋体" w:cs="宋体"/>
        </w:rPr>
        <w:t>视频专网的“视频监控共享平台”，已建平台具备1.5万路前端接入能力和支持50万路前端管理能力，目前已接入前端数量1.4万余路，本次需求2000路智能化设备，很多都是2-3个摄像机，需要大约4000路的视频通道，本次项目平台服务需要增加4000路授权。</w:t>
      </w:r>
    </w:p>
    <w:p w14:paraId="5177DE30">
      <w:pPr>
        <w:pStyle w:val="6"/>
        <w:rPr>
          <w:rFonts w:hint="eastAsia" w:ascii="宋体" w:hAnsi="宋体" w:cs="宋体"/>
        </w:rPr>
      </w:pPr>
      <w:bookmarkStart w:id="178" w:name="_Toc31842"/>
      <w:bookmarkStart w:id="179" w:name="_Toc10873"/>
      <w:bookmarkStart w:id="180" w:name="_Toc19477"/>
      <w:bookmarkStart w:id="181" w:name="_Toc32056"/>
      <w:bookmarkStart w:id="182" w:name="_Toc27455"/>
      <w:bookmarkStart w:id="183" w:name="_Toc15936"/>
      <w:bookmarkStart w:id="184" w:name="_Toc1833"/>
      <w:r>
        <w:rPr>
          <w:rFonts w:hint="eastAsia" w:ascii="宋体" w:hAnsi="宋体" w:cs="宋体"/>
        </w:rPr>
        <w:t>云存储需求分析</w:t>
      </w:r>
      <w:bookmarkEnd w:id="178"/>
      <w:bookmarkEnd w:id="179"/>
    </w:p>
    <w:p w14:paraId="051D15F8">
      <w:pPr>
        <w:pStyle w:val="123"/>
        <w:rPr>
          <w:rFonts w:hint="eastAsia" w:ascii="宋体" w:eastAsia="宋体" w:cs="宋体"/>
        </w:rPr>
      </w:pPr>
      <w:r>
        <w:rPr>
          <w:rFonts w:hint="eastAsia" w:ascii="宋体" w:eastAsia="宋体" w:cs="宋体"/>
        </w:rPr>
        <w:t>本次公共安全视频监控购买服务需充分考虑2000台前端摄像机视图数据存储，以及人脸抓拍、车辆抓拍、全结构化、双目结构化等多种抓拍类摄像机的结构化数据存储，按照相关文件规定，2000台前端摄像机的视频图像信息数据存储需满足“视频存储不少于30天、图片存储不少于180天、结构化数据不少于1年”的要求。</w:t>
      </w:r>
    </w:p>
    <w:p w14:paraId="6833DCF3">
      <w:pPr>
        <w:pStyle w:val="6"/>
        <w:rPr>
          <w:rFonts w:hint="eastAsia" w:ascii="宋体" w:hAnsi="宋体" w:cs="宋体"/>
        </w:rPr>
      </w:pPr>
      <w:bookmarkStart w:id="185" w:name="_Toc22050"/>
      <w:bookmarkStart w:id="186" w:name="_Toc6484"/>
      <w:r>
        <w:rPr>
          <w:rFonts w:hint="eastAsia" w:ascii="宋体" w:hAnsi="宋体" w:cs="宋体"/>
        </w:rPr>
        <w:t>视图库需求分析</w:t>
      </w:r>
      <w:bookmarkEnd w:id="180"/>
      <w:bookmarkEnd w:id="181"/>
      <w:bookmarkEnd w:id="185"/>
      <w:bookmarkEnd w:id="186"/>
    </w:p>
    <w:p w14:paraId="5053CB81">
      <w:pPr>
        <w:rPr>
          <w:rFonts w:hint="eastAsia" w:ascii="宋体" w:eastAsia="宋体" w:cs="宋体"/>
        </w:rPr>
      </w:pPr>
      <w:r>
        <w:rPr>
          <w:rFonts w:hint="eastAsia" w:ascii="宋体" w:eastAsia="宋体" w:cs="宋体"/>
        </w:rPr>
        <w:t>本次公共安全视频监控购买服务需充分考虑2000台前端摄像机的流媒体转发能力、结构化数据解析能力、视图库能力等，保证视频实时浏览不卡顿、历史录像回放不卡顿、抓拍图片不丢失，支持全量接收、传输、解析、查询包含人脸、人体、车辆等结构化数据。</w:t>
      </w:r>
    </w:p>
    <w:bookmarkEnd w:id="182"/>
    <w:bookmarkEnd w:id="183"/>
    <w:bookmarkEnd w:id="184"/>
    <w:p w14:paraId="48DB47C5">
      <w:pPr>
        <w:pStyle w:val="6"/>
        <w:rPr>
          <w:rFonts w:hint="eastAsia" w:ascii="宋体" w:hAnsi="宋体" w:cs="宋体"/>
        </w:rPr>
      </w:pPr>
      <w:bookmarkStart w:id="187" w:name="_Toc15530"/>
      <w:bookmarkStart w:id="188" w:name="_Toc14483"/>
      <w:r>
        <w:rPr>
          <w:rFonts w:hint="eastAsia" w:ascii="宋体" w:hAnsi="宋体" w:cs="宋体"/>
        </w:rPr>
        <w:t>视频图像解析中心需求分析</w:t>
      </w:r>
      <w:bookmarkEnd w:id="187"/>
      <w:bookmarkEnd w:id="188"/>
    </w:p>
    <w:p w14:paraId="7A92350D">
      <w:pPr>
        <w:pStyle w:val="7"/>
        <w:rPr>
          <w:rFonts w:hint="eastAsia" w:ascii="宋体" w:eastAsia="宋体" w:cs="宋体"/>
        </w:rPr>
      </w:pPr>
      <w:r>
        <w:rPr>
          <w:rFonts w:hint="eastAsia" w:ascii="宋体" w:eastAsia="宋体" w:cs="宋体"/>
        </w:rPr>
        <w:t>人像解析系统概述</w:t>
      </w:r>
    </w:p>
    <w:p w14:paraId="2BD9E299">
      <w:pPr>
        <w:rPr>
          <w:rFonts w:hint="eastAsia" w:ascii="宋体" w:eastAsia="宋体" w:cs="宋体"/>
        </w:rPr>
      </w:pPr>
      <w:r>
        <w:rPr>
          <w:rFonts w:hint="eastAsia" w:ascii="宋体" w:eastAsia="宋体" w:cs="宋体"/>
        </w:rPr>
        <w:t>人像解析系统在公安视频专网和公安信息网双网进行部署，双网的系统组成和功能侧重有所不同。</w:t>
      </w:r>
    </w:p>
    <w:p w14:paraId="15BA45F0">
      <w:pPr>
        <w:rPr>
          <w:rFonts w:hint="eastAsia" w:ascii="宋体" w:eastAsia="宋体" w:cs="宋体"/>
        </w:rPr>
      </w:pPr>
      <w:r>
        <w:rPr>
          <w:rFonts w:hint="eastAsia" w:ascii="宋体" w:eastAsia="宋体" w:cs="宋体"/>
        </w:rPr>
        <w:t>公安视频专网侧视频图像解析系统主要包括资源管理调度平台、分析引擎，侧重于对公安自建的一类点位以及整合接入的二、三类点位产生的原始视频、图片进行解析，获取大小图、结构化描述信息；提供本级智能任务、算力资源和智能算法的统一管理调度能力，支撑视频传输网的视频图像智能化应用。</w:t>
      </w:r>
    </w:p>
    <w:p w14:paraId="3BF734EC">
      <w:pPr>
        <w:rPr>
          <w:rFonts w:hint="eastAsia" w:ascii="宋体" w:eastAsia="宋体" w:cs="宋体"/>
        </w:rPr>
      </w:pPr>
      <w:r>
        <w:rPr>
          <w:rFonts w:hint="eastAsia" w:ascii="宋体" w:eastAsia="宋体" w:cs="宋体"/>
        </w:rPr>
        <w:t>公安信息网侧视频图像解析系统主要包括资源管理调度平台、分析引擎、比对引擎、搜图引擎、人员聚类平台，对公安视频专网摆渡过来的人脸、人体图片特征值进行比对、聚类，实现人脸黑名单布控比对，并提供长周期的抓拍图片GPU搜图以及本级智能任务、算力资源和智能算法的统一管理调度能力，跨网对接公安视频传输网侧视频图像解析系统实现智能任务的跨域调度，支撑公安信息网内的不同业务警种的视频大数据应用。</w:t>
      </w:r>
    </w:p>
    <w:p w14:paraId="5C988EC3">
      <w:pPr>
        <w:rPr>
          <w:rFonts w:hint="eastAsia" w:ascii="宋体" w:eastAsia="宋体" w:cs="宋体"/>
        </w:rPr>
      </w:pPr>
      <w:r>
        <w:rPr>
          <w:rFonts w:hint="eastAsia" w:ascii="宋体" w:eastAsia="宋体" w:cs="宋体"/>
        </w:rPr>
        <w:t>本次设计人像系统包含人脸解析、人体解析两大模块。</w:t>
      </w:r>
    </w:p>
    <w:p w14:paraId="43887FB6">
      <w:pPr>
        <w:pStyle w:val="8"/>
        <w:rPr>
          <w:rFonts w:hint="eastAsia" w:ascii="宋体" w:eastAsia="宋体" w:cs="宋体"/>
        </w:rPr>
      </w:pPr>
      <w:r>
        <w:rPr>
          <w:rFonts w:hint="eastAsia" w:ascii="宋体" w:eastAsia="宋体" w:cs="宋体"/>
        </w:rPr>
        <w:t>人脸解析服务要求</w:t>
      </w:r>
    </w:p>
    <w:p w14:paraId="2F93BEFC">
      <w:pPr>
        <w:rPr>
          <w:rFonts w:hint="eastAsia" w:ascii="宋体" w:eastAsia="宋体" w:cs="宋体"/>
          <w:lang w:val="zh-CN"/>
        </w:rPr>
      </w:pPr>
      <w:r>
        <w:rPr>
          <w:rFonts w:hint="eastAsia" w:ascii="宋体" w:eastAsia="宋体" w:cs="宋体"/>
          <w:lang w:val="zh-CN"/>
        </w:rPr>
        <w:t>人脸图片分析是对人脸图片进行属性提取、建模比对，提取的属性信息用于平台属性检索，建模特征用于模型智能搜索。</w:t>
      </w:r>
    </w:p>
    <w:p w14:paraId="63E8777C">
      <w:pPr>
        <w:rPr>
          <w:rFonts w:hint="eastAsia" w:ascii="宋体" w:eastAsia="宋体" w:cs="宋体"/>
          <w:lang w:val="zh-CN"/>
        </w:rPr>
      </w:pPr>
      <w:r>
        <w:rPr>
          <w:rFonts w:hint="eastAsia" w:ascii="宋体" w:eastAsia="宋体" w:cs="宋体"/>
          <w:lang w:val="zh-CN"/>
        </w:rPr>
        <w:t>本次项目购买服务需对2000台超清智能采集摄像机抓拍的人脸图片进行解析，按照现有单台设备抓拍人脸图片1500张/天计算，一天需要对产生的300万人脸照片进行解析，因人脸数据具有高时效性，考虑到上下班、上下学时峰值数据量大，需确保有足够的冗余空间保证系统的及时性。</w:t>
      </w:r>
    </w:p>
    <w:p w14:paraId="3C94DE43">
      <w:pPr>
        <w:pStyle w:val="8"/>
        <w:rPr>
          <w:rFonts w:hint="eastAsia" w:ascii="宋体" w:eastAsia="宋体" w:cs="宋体"/>
        </w:rPr>
      </w:pPr>
      <w:r>
        <w:rPr>
          <w:rFonts w:hint="eastAsia" w:ascii="宋体" w:eastAsia="宋体" w:cs="宋体"/>
        </w:rPr>
        <w:t>人体解析服务要求</w:t>
      </w:r>
    </w:p>
    <w:p w14:paraId="412311DE">
      <w:pPr>
        <w:rPr>
          <w:rFonts w:hint="eastAsia" w:ascii="宋体" w:eastAsia="宋体" w:cs="宋体"/>
          <w:lang w:val="zh-CN"/>
        </w:rPr>
      </w:pPr>
      <w:r>
        <w:rPr>
          <w:rFonts w:hint="eastAsia" w:ascii="宋体" w:eastAsia="宋体" w:cs="宋体"/>
          <w:lang w:val="zh-CN"/>
        </w:rPr>
        <w:t>人体图片分析是对全结构化摄像机等产生的人体等活动目标抓拍图片进行特征提取以及建模。</w:t>
      </w:r>
    </w:p>
    <w:p w14:paraId="0C6CC614">
      <w:pPr>
        <w:rPr>
          <w:rFonts w:hint="eastAsia" w:ascii="宋体" w:eastAsia="宋体" w:cs="宋体"/>
          <w:lang w:val="zh-CN"/>
        </w:rPr>
      </w:pPr>
      <w:r>
        <w:rPr>
          <w:rFonts w:hint="eastAsia" w:ascii="宋体" w:eastAsia="宋体" w:cs="宋体"/>
          <w:lang w:val="zh-CN"/>
        </w:rPr>
        <w:t xml:space="preserve">本次项目购买服务需对2000台超清智能采集摄像机抓拍的人体图片进行解析，按照现有单台设备抓拍人体图片3000张/天计算，需要对产生的600万张人体照片进行解析，为保证设计的先进性，本次留有一定的解析能力冗余，需要满足700万张人体照片解析性能。 </w:t>
      </w:r>
    </w:p>
    <w:p w14:paraId="461B84F6">
      <w:pPr>
        <w:pStyle w:val="6"/>
        <w:rPr>
          <w:rFonts w:hint="eastAsia" w:ascii="宋体" w:hAnsi="宋体" w:cs="宋体"/>
          <w:color w:val="FF0000"/>
        </w:rPr>
      </w:pPr>
      <w:bookmarkStart w:id="189" w:name="_Toc31865"/>
      <w:bookmarkStart w:id="190" w:name="_Toc7588"/>
      <w:bookmarkStart w:id="191" w:name="_Toc21322"/>
      <w:bookmarkStart w:id="192" w:name="_Toc29985"/>
      <w:bookmarkStart w:id="193" w:name="_Toc24444"/>
      <w:bookmarkStart w:id="194" w:name="_Toc29996"/>
      <w:bookmarkStart w:id="195" w:name="_Toc13925"/>
      <w:r>
        <w:rPr>
          <w:rFonts w:hint="eastAsia" w:ascii="宋体" w:hAnsi="宋体" w:cs="宋体"/>
        </w:rPr>
        <w:t>网络传输需求分析</w:t>
      </w:r>
      <w:bookmarkEnd w:id="189"/>
      <w:bookmarkEnd w:id="190"/>
      <w:bookmarkEnd w:id="191"/>
      <w:bookmarkEnd w:id="192"/>
    </w:p>
    <w:p w14:paraId="54C7ED85">
      <w:pPr>
        <w:rPr>
          <w:rFonts w:hint="eastAsia" w:ascii="宋体" w:eastAsia="宋体" w:cs="宋体"/>
        </w:rPr>
      </w:pPr>
      <w:r>
        <w:rPr>
          <w:rFonts w:hint="eastAsia" w:ascii="宋体" w:eastAsia="宋体" w:cs="宋体"/>
          <w:lang w:val="zh-CN"/>
        </w:rPr>
        <w:t>本次公共安全视频监控购买服务需充分考虑2000台前端摄像机和汇聚核心网络带宽需求，需按照实际情况保证本次服务中所有监控点位视频实时浏览不卡顿、历史录像回放不卡顿、抓拍图片不丢失；汇聚核心链路需按照实际情况保证本次服务中所有监控点位视频实时浏览不卡顿、历史录像回放不卡顿、抓拍图片不丢失。</w:t>
      </w:r>
      <w:r>
        <w:rPr>
          <w:rFonts w:hint="eastAsia" w:ascii="宋体" w:eastAsia="宋体" w:cs="宋体"/>
        </w:rPr>
        <w:t>视频专网到政务外网现有千兆传输链路，无法满足后期传输需求。</w:t>
      </w:r>
    </w:p>
    <w:p w14:paraId="2DF0DD6D">
      <w:pPr>
        <w:pStyle w:val="6"/>
        <w:rPr>
          <w:rFonts w:hint="eastAsia" w:ascii="宋体" w:hAnsi="宋体" w:cs="宋体"/>
        </w:rPr>
      </w:pPr>
      <w:bookmarkStart w:id="196" w:name="_Toc15110"/>
      <w:bookmarkStart w:id="197" w:name="_Toc2484"/>
      <w:r>
        <w:rPr>
          <w:rFonts w:hint="eastAsia" w:ascii="宋体" w:hAnsi="宋体" w:cs="宋体"/>
        </w:rPr>
        <w:t>机房环境需求分析</w:t>
      </w:r>
      <w:bookmarkEnd w:id="193"/>
      <w:bookmarkEnd w:id="194"/>
      <w:bookmarkEnd w:id="195"/>
      <w:bookmarkEnd w:id="196"/>
      <w:bookmarkEnd w:id="197"/>
    </w:p>
    <w:p w14:paraId="0541B9E6">
      <w:pPr>
        <w:rPr>
          <w:rFonts w:hint="eastAsia" w:ascii="宋体" w:eastAsia="宋体" w:cs="宋体"/>
          <w:lang w:val="zh-CN"/>
        </w:rPr>
      </w:pPr>
      <w:r>
        <w:rPr>
          <w:rFonts w:hint="eastAsia" w:ascii="宋体" w:eastAsia="宋体" w:cs="宋体"/>
          <w:lang w:val="zh-CN"/>
        </w:rPr>
        <w:t>本次公共安全视频监控购买服务需充分考虑设备存放环境，满足交换机、服务器以及云存储等设备安全存放和数据安全存储要求。</w:t>
      </w:r>
    </w:p>
    <w:p w14:paraId="58391728">
      <w:pPr>
        <w:rPr>
          <w:rFonts w:hint="eastAsia" w:ascii="宋体" w:eastAsia="宋体" w:cs="宋体"/>
          <w:lang w:val="zh-CN"/>
        </w:rPr>
      </w:pPr>
      <w:r>
        <w:rPr>
          <w:rFonts w:hint="eastAsia" w:ascii="宋体" w:eastAsia="宋体" w:cs="宋体"/>
          <w:lang w:val="zh-CN"/>
        </w:rPr>
        <w:t>本次项目机房环境需达到《数据中心设计规范》（GB50174--2017）标准中B级机房标准，并设置独立运行的物理防护空间。</w:t>
      </w:r>
    </w:p>
    <w:p w14:paraId="03ECCD0C">
      <w:pPr>
        <w:pStyle w:val="4"/>
        <w:rPr>
          <w:color w:val="000000"/>
        </w:rPr>
      </w:pPr>
      <w:bookmarkStart w:id="198" w:name="_Toc16665"/>
      <w:r>
        <w:rPr>
          <w:color w:val="000000"/>
        </w:rPr>
        <w:t>数据需求</w:t>
      </w:r>
      <w:bookmarkEnd w:id="198"/>
    </w:p>
    <w:p w14:paraId="48245B75">
      <w:pPr>
        <w:rPr>
          <w:rFonts w:hint="eastAsia"/>
        </w:rPr>
      </w:pPr>
      <w:r>
        <w:rPr>
          <w:rFonts w:hint="eastAsia" w:ascii="宋体" w:eastAsia="宋体" w:cs="宋体"/>
        </w:rPr>
        <w:t>数据共享服务需满足向安徽省公安厅推送新增点人脸小图和结构化数据；向车辆图像大数据解析系统推送车辆数据。根据新增的前端点位数量计算性能需求。</w:t>
      </w:r>
    </w:p>
    <w:p w14:paraId="0E2C9C76">
      <w:pPr>
        <w:pStyle w:val="4"/>
        <w:rPr>
          <w:color w:val="000000"/>
        </w:rPr>
      </w:pPr>
      <w:bookmarkStart w:id="199" w:name="_Toc138615916"/>
      <w:bookmarkStart w:id="200" w:name="_Toc2125"/>
      <w:bookmarkStart w:id="201" w:name="_Toc26080"/>
      <w:bookmarkStart w:id="202" w:name="_Toc18452"/>
      <w:bookmarkStart w:id="203" w:name="_Toc6673"/>
      <w:bookmarkStart w:id="204" w:name="_Toc27162"/>
      <w:bookmarkStart w:id="205" w:name="_Toc17788"/>
      <w:bookmarkStart w:id="206" w:name="_Toc9557"/>
      <w:r>
        <w:rPr>
          <w:color w:val="000000"/>
        </w:rPr>
        <w:t>性能需求</w:t>
      </w:r>
      <w:bookmarkEnd w:id="199"/>
      <w:bookmarkEnd w:id="200"/>
      <w:bookmarkEnd w:id="201"/>
      <w:bookmarkEnd w:id="202"/>
      <w:bookmarkEnd w:id="203"/>
      <w:bookmarkEnd w:id="204"/>
      <w:bookmarkEnd w:id="205"/>
      <w:bookmarkEnd w:id="206"/>
    </w:p>
    <w:p w14:paraId="4978A99B">
      <w:pPr>
        <w:numPr>
          <w:ilvl w:val="0"/>
          <w:numId w:val="8"/>
        </w:numPr>
        <w:ind w:left="0" w:firstLine="560" w:firstLineChars="0"/>
        <w:rPr>
          <w:rFonts w:hint="eastAsia" w:ascii="宋体" w:eastAsia="宋体" w:cs="宋体"/>
          <w:szCs w:val="16"/>
        </w:rPr>
      </w:pPr>
      <w:r>
        <w:rPr>
          <w:rFonts w:hint="eastAsia" w:ascii="宋体" w:eastAsia="宋体" w:cs="宋体"/>
          <w:szCs w:val="16"/>
        </w:rPr>
        <w:t>接入能力需求：满足4000路各类智能前端摄像机接入服务，均需接入</w:t>
      </w:r>
      <w:r>
        <w:rPr>
          <w:rFonts w:hint="eastAsia" w:ascii="宋体" w:eastAsia="宋体" w:cs="宋体"/>
        </w:rPr>
        <w:t>滁州市公安局现有视频专网市级雪亮平台</w:t>
      </w:r>
      <w:r>
        <w:rPr>
          <w:rFonts w:hint="eastAsia" w:ascii="宋体" w:eastAsia="宋体" w:cs="宋体"/>
          <w:szCs w:val="16"/>
        </w:rPr>
        <w:t>进行统一管理。</w:t>
      </w:r>
    </w:p>
    <w:p w14:paraId="3EDE3914">
      <w:pPr>
        <w:numPr>
          <w:ilvl w:val="0"/>
          <w:numId w:val="8"/>
        </w:numPr>
        <w:ind w:left="0" w:firstLine="560" w:firstLineChars="0"/>
        <w:rPr>
          <w:rFonts w:hint="eastAsia" w:ascii="宋体" w:eastAsia="宋体" w:cs="宋体"/>
          <w:szCs w:val="16"/>
        </w:rPr>
      </w:pPr>
      <w:r>
        <w:rPr>
          <w:rFonts w:hint="eastAsia" w:ascii="宋体" w:eastAsia="宋体" w:cs="宋体"/>
          <w:szCs w:val="16"/>
        </w:rPr>
        <w:t>存储能力需求：本次服务需提供2000台前端设备视频图像信息数据存储，要求满足“视频存储30天，图片存储180天、结构化数据存储1年”的要求，同时兼容滁州市公安局现有的云存储集群。</w:t>
      </w:r>
    </w:p>
    <w:p w14:paraId="14EFB841">
      <w:pPr>
        <w:numPr>
          <w:ilvl w:val="0"/>
          <w:numId w:val="8"/>
        </w:numPr>
        <w:ind w:left="0" w:firstLine="560" w:firstLineChars="0"/>
        <w:rPr>
          <w:rFonts w:hint="eastAsia" w:ascii="宋体" w:eastAsia="宋体" w:cs="宋体"/>
          <w:szCs w:val="16"/>
        </w:rPr>
      </w:pPr>
      <w:r>
        <w:rPr>
          <w:rFonts w:hint="eastAsia" w:ascii="宋体" w:eastAsia="宋体" w:cs="宋体"/>
          <w:szCs w:val="16"/>
        </w:rPr>
        <w:t>解析检索能力：本次项目购买人像解析系统服务需满足超清智能采集摄像机抓拍的人脸、人体数据解析和存储，即不少于2000 路人脸图片和2000路人体图片汇聚、解析以及结构化数据存储。</w:t>
      </w:r>
    </w:p>
    <w:p w14:paraId="6D04009C">
      <w:pPr>
        <w:numPr>
          <w:ilvl w:val="0"/>
          <w:numId w:val="8"/>
        </w:numPr>
        <w:ind w:left="0" w:firstLine="560" w:firstLineChars="0"/>
        <w:rPr>
          <w:rFonts w:hint="eastAsia" w:ascii="宋体" w:eastAsia="宋体" w:cs="宋体"/>
          <w:szCs w:val="16"/>
        </w:rPr>
      </w:pPr>
      <w:r>
        <w:rPr>
          <w:rFonts w:hint="eastAsia" w:ascii="宋体" w:eastAsia="宋体" w:cs="宋体"/>
          <w:szCs w:val="16"/>
        </w:rPr>
        <w:t>数据查询性能：平均响应时间不得超过5秒；查询涉及多表，且数据量小于10万条数据时，响应时间不超过3秒；查询涉及到多表，且数据量小于100万条数据时，响应时间不超过5秒；查询涉及到多表，且数据量小于1000万条数据时，响应时间不超过8秒。</w:t>
      </w:r>
    </w:p>
    <w:p w14:paraId="00A844E3">
      <w:pPr>
        <w:numPr>
          <w:ilvl w:val="0"/>
          <w:numId w:val="8"/>
        </w:numPr>
        <w:ind w:left="0" w:firstLine="560" w:firstLineChars="0"/>
        <w:rPr>
          <w:rFonts w:hint="eastAsia" w:ascii="宋体" w:eastAsia="宋体" w:cs="宋体"/>
        </w:rPr>
      </w:pPr>
      <w:r>
        <w:rPr>
          <w:rFonts w:hint="eastAsia" w:ascii="宋体" w:eastAsia="宋体" w:cs="宋体"/>
          <w:szCs w:val="16"/>
        </w:rPr>
        <w:t>系统可靠性：系统的服务是连续性和不间断性的，因此可靠性要求要严格，具体指标为系统能够7x24小时连续运行，系统可靠性达到99.9%，且不存在“单点故障”。</w:t>
      </w:r>
    </w:p>
    <w:p w14:paraId="51F74F36">
      <w:pPr>
        <w:pStyle w:val="4"/>
        <w:rPr>
          <w:color w:val="000000"/>
        </w:rPr>
      </w:pPr>
      <w:bookmarkStart w:id="207" w:name="_Toc2193"/>
      <w:bookmarkStart w:id="208" w:name="_Toc138615917"/>
      <w:bookmarkStart w:id="209" w:name="_Toc1036"/>
      <w:bookmarkStart w:id="210" w:name="_Toc17494"/>
      <w:bookmarkStart w:id="211" w:name="_Toc32586"/>
      <w:bookmarkStart w:id="212" w:name="_Toc15553"/>
      <w:bookmarkStart w:id="213" w:name="_Toc20380"/>
      <w:bookmarkStart w:id="214" w:name="_Toc7692"/>
      <w:r>
        <w:rPr>
          <w:color w:val="000000"/>
        </w:rPr>
        <w:t>安全需求</w:t>
      </w:r>
      <w:bookmarkEnd w:id="207"/>
      <w:bookmarkEnd w:id="208"/>
      <w:bookmarkEnd w:id="209"/>
      <w:bookmarkEnd w:id="210"/>
      <w:bookmarkEnd w:id="211"/>
      <w:bookmarkEnd w:id="212"/>
      <w:bookmarkEnd w:id="213"/>
      <w:bookmarkEnd w:id="214"/>
    </w:p>
    <w:p w14:paraId="3E39BA17">
      <w:pPr>
        <w:rPr>
          <w:rFonts w:hint="eastAsia" w:ascii="宋体" w:eastAsia="宋体" w:cs="宋体"/>
        </w:rPr>
      </w:pPr>
      <w:r>
        <w:rPr>
          <w:rFonts w:hint="eastAsia" w:ascii="宋体" w:eastAsia="宋体" w:cs="宋体"/>
        </w:rPr>
        <w:t>前端监控点位的接入应对前端设备进行安全准入管理，对与未通过准入管理的前端设备应及时阻断、告警。整合域与公安视频专网边界和公安视频专网与公安信息网边界部署数据交换链路，并在链路上需要横向安全交互系统，现需对边界上的数据链路补建数据边界系统。视频专网内部的系统应用区应确保视频图像信息应用安全、视频图像信息数据安全和运行环境安全，满足等保二级要求。</w:t>
      </w:r>
    </w:p>
    <w:p w14:paraId="3F16BBCF">
      <w:pPr>
        <w:pStyle w:val="4"/>
        <w:rPr>
          <w:color w:val="000000"/>
        </w:rPr>
      </w:pPr>
      <w:bookmarkStart w:id="215" w:name="_Toc16768"/>
      <w:r>
        <w:rPr>
          <w:color w:val="000000"/>
        </w:rPr>
        <w:t>其他需求</w:t>
      </w:r>
      <w:bookmarkEnd w:id="215"/>
    </w:p>
    <w:p w14:paraId="168B84AD">
      <w:pPr>
        <w:rPr>
          <w:rFonts w:hint="eastAsia" w:ascii="宋体" w:eastAsia="宋体" w:cs="宋体"/>
        </w:rPr>
      </w:pPr>
      <w:r>
        <w:rPr>
          <w:rFonts w:hint="eastAsia" w:ascii="宋体" w:eastAsia="宋体" w:cs="宋体"/>
        </w:rPr>
        <w:t>在保障总体原则要求的“先进性、全局性、实时性、兼容性、可靠性、便捷性、扩展性、安全性”基础上，按照“技术上的先进性，使用上的稳定性，产品的集成化，系统上的可拓展性，操作上的友好性”进行系统设计。</w:t>
      </w:r>
    </w:p>
    <w:p w14:paraId="3F48DDFD">
      <w:pPr>
        <w:rPr>
          <w:rFonts w:hint="eastAsia"/>
          <w:i/>
          <w:color w:val="0D0D0D"/>
          <w:sz w:val="24"/>
          <w:szCs w:val="21"/>
        </w:rPr>
      </w:pPr>
      <w:r>
        <w:rPr>
          <w:rFonts w:hint="eastAsia" w:ascii="宋体" w:eastAsia="宋体" w:cs="宋体"/>
        </w:rPr>
        <w:br w:type="page"/>
      </w:r>
    </w:p>
    <w:p w14:paraId="5BDD8159">
      <w:pPr>
        <w:pStyle w:val="3"/>
        <w:keepNext/>
        <w:keepLines/>
        <w:pageBreakBefore w:val="0"/>
        <w:widowControl w:val="0"/>
        <w:rPr>
          <w:rFonts w:ascii="Times New Roman" w:hAnsi="Times New Roman"/>
          <w:color w:val="000000"/>
        </w:rPr>
      </w:pPr>
      <w:bookmarkStart w:id="216" w:name="_Toc4281"/>
      <w:bookmarkStart w:id="217" w:name="_Toc4531"/>
      <w:bookmarkStart w:id="218" w:name="_Toc14503"/>
      <w:bookmarkStart w:id="219" w:name="_Toc23915"/>
      <w:bookmarkStart w:id="220" w:name="_Toc16121"/>
      <w:bookmarkStart w:id="221" w:name="_Toc17316"/>
      <w:bookmarkStart w:id="222" w:name="_Toc138615918"/>
      <w:bookmarkStart w:id="223" w:name="_Toc4140"/>
      <w:r>
        <w:rPr>
          <w:rFonts w:ascii="Times New Roman" w:hAnsi="Times New Roman"/>
          <w:color w:val="000000"/>
        </w:rPr>
        <w:t>建设方案</w:t>
      </w:r>
      <w:bookmarkEnd w:id="216"/>
      <w:bookmarkEnd w:id="217"/>
      <w:bookmarkEnd w:id="218"/>
      <w:bookmarkEnd w:id="219"/>
      <w:bookmarkEnd w:id="220"/>
      <w:bookmarkEnd w:id="221"/>
      <w:bookmarkEnd w:id="222"/>
    </w:p>
    <w:bookmarkEnd w:id="223"/>
    <w:p w14:paraId="170DA1C7">
      <w:pPr>
        <w:pStyle w:val="4"/>
        <w:rPr>
          <w:color w:val="000000"/>
        </w:rPr>
      </w:pPr>
      <w:bookmarkStart w:id="224" w:name="_Toc26624"/>
      <w:bookmarkStart w:id="225" w:name="_Toc24687"/>
      <w:bookmarkStart w:id="226" w:name="_Toc138615919"/>
      <w:bookmarkStart w:id="227" w:name="_Toc7323"/>
      <w:bookmarkStart w:id="228" w:name="_Toc27787"/>
      <w:bookmarkStart w:id="229" w:name="_Toc3147"/>
      <w:bookmarkStart w:id="230" w:name="_Toc17120"/>
      <w:bookmarkStart w:id="231" w:name="_Toc19813"/>
      <w:r>
        <w:rPr>
          <w:color w:val="000000"/>
        </w:rPr>
        <w:t>建设原则</w:t>
      </w:r>
      <w:bookmarkEnd w:id="224"/>
    </w:p>
    <w:p w14:paraId="6914BDEB">
      <w:pPr>
        <w:rPr>
          <w:rFonts w:hint="eastAsia" w:ascii="宋体" w:eastAsia="宋体" w:cs="宋体"/>
          <w:szCs w:val="28"/>
        </w:rPr>
      </w:pPr>
      <w:r>
        <w:rPr>
          <w:rFonts w:hint="eastAsia" w:ascii="宋体" w:eastAsia="宋体" w:cs="宋体"/>
          <w:szCs w:val="28"/>
        </w:rPr>
        <w:t>一、统一标准、统筹规划</w:t>
      </w:r>
    </w:p>
    <w:p w14:paraId="75189DBD">
      <w:pPr>
        <w:rPr>
          <w:rFonts w:hint="eastAsia" w:ascii="宋体" w:eastAsia="宋体" w:cs="宋体"/>
          <w:szCs w:val="28"/>
        </w:rPr>
      </w:pPr>
      <w:r>
        <w:rPr>
          <w:rFonts w:hint="eastAsia" w:ascii="宋体" w:eastAsia="宋体" w:cs="宋体"/>
          <w:szCs w:val="28"/>
        </w:rPr>
        <w:t>在滁州市雪亮工程总体架构的基础上整合治安监控资源、道路监控资源、市政监控资源、社会监控资源和已建视频资源，在统一标准框架下实现统一部署、业务协同、资源信息共享、平台共用。</w:t>
      </w:r>
    </w:p>
    <w:p w14:paraId="02AE9A17">
      <w:pPr>
        <w:rPr>
          <w:rFonts w:hint="eastAsia" w:ascii="宋体" w:eastAsia="宋体" w:cs="宋体"/>
          <w:szCs w:val="28"/>
        </w:rPr>
      </w:pPr>
      <w:r>
        <w:rPr>
          <w:rFonts w:hint="eastAsia" w:ascii="宋体" w:eastAsia="宋体" w:cs="宋体"/>
          <w:szCs w:val="28"/>
        </w:rPr>
        <w:t>二、全面覆盖、资源共享</w:t>
      </w:r>
    </w:p>
    <w:p w14:paraId="15EAF85E">
      <w:pPr>
        <w:rPr>
          <w:rFonts w:hint="eastAsia" w:ascii="宋体" w:eastAsia="宋体" w:cs="宋体"/>
          <w:szCs w:val="28"/>
        </w:rPr>
      </w:pPr>
      <w:r>
        <w:rPr>
          <w:rFonts w:hint="eastAsia" w:ascii="宋体" w:eastAsia="宋体" w:cs="宋体"/>
          <w:szCs w:val="28"/>
        </w:rPr>
        <w:t>以实现对“人、车、物”的轨迹覆盖为重点，以“点、线、面”的覆盖为手段，通过在重点场所、重要部位、热点地区设置监控“点”，将出入口、公交线路、铁路沿线监控点连成“线”，将每个监控中心的覆盖区域设置为“面”，实现网格化、层次化监控和管理，尽量满足各部门、各应用系统对监控图像共享的需求，为监控资源数字化整合共享提供支持。</w:t>
      </w:r>
    </w:p>
    <w:p w14:paraId="17026553">
      <w:pPr>
        <w:rPr>
          <w:rFonts w:hint="eastAsia" w:ascii="宋体" w:eastAsia="宋体" w:cs="宋体"/>
          <w:szCs w:val="28"/>
        </w:rPr>
      </w:pPr>
      <w:r>
        <w:rPr>
          <w:rFonts w:hint="eastAsia" w:ascii="宋体" w:eastAsia="宋体" w:cs="宋体"/>
          <w:szCs w:val="28"/>
        </w:rPr>
        <w:t>三、稳定可靠、创新发展</w:t>
      </w:r>
    </w:p>
    <w:p w14:paraId="5F85054B">
      <w:pPr>
        <w:rPr>
          <w:rFonts w:hint="eastAsia" w:ascii="宋体" w:eastAsia="宋体" w:cs="宋体"/>
          <w:szCs w:val="28"/>
        </w:rPr>
      </w:pPr>
      <w:r>
        <w:rPr>
          <w:rFonts w:hint="eastAsia" w:ascii="宋体" w:eastAsia="宋体" w:cs="宋体"/>
          <w:szCs w:val="28"/>
        </w:rPr>
        <w:t>系统涉及滁州市的多个部门和众多社会单位，要在充分考虑安全性、稳定性和应急备份系统建设的同时，充分考虑扩展性，采用标准化设计，严格遵循相关技术的国际、国内和行业标准，确保系统之间的透明性和互联互通。</w:t>
      </w:r>
    </w:p>
    <w:p w14:paraId="5DF4E098">
      <w:pPr>
        <w:rPr>
          <w:rFonts w:hint="eastAsia" w:ascii="宋体" w:eastAsia="宋体" w:cs="宋体"/>
          <w:szCs w:val="28"/>
        </w:rPr>
      </w:pPr>
      <w:r>
        <w:rPr>
          <w:rFonts w:hint="eastAsia" w:ascii="宋体" w:eastAsia="宋体" w:cs="宋体"/>
          <w:szCs w:val="28"/>
        </w:rPr>
        <w:t>四、建章立制、严格管理</w:t>
      </w:r>
    </w:p>
    <w:p w14:paraId="6D5C40CA">
      <w:pPr>
        <w:rPr>
          <w:rFonts w:hint="eastAsia" w:ascii="宋体" w:eastAsia="宋体" w:cs="宋体"/>
          <w:szCs w:val="28"/>
        </w:rPr>
      </w:pPr>
      <w:r>
        <w:rPr>
          <w:rFonts w:hint="eastAsia" w:ascii="宋体" w:eastAsia="宋体" w:cs="宋体"/>
          <w:szCs w:val="28"/>
        </w:rPr>
        <w:t>视频监控系统覆盖面广，投资巨大，为保证系统的正常运行，必须建立有效的运行维护和应用机制，在人员保障、资金保障、应用保障等方面合理划分各级、各部门的权限和职责，确保系统能有效服务于城市管理和打击、防控工作，不断提高城市管理水平和预防、打击犯罪、维护社会稳定的能力。</w:t>
      </w:r>
    </w:p>
    <w:p w14:paraId="7958912C">
      <w:pPr>
        <w:rPr>
          <w:rFonts w:hint="eastAsia" w:ascii="宋体" w:eastAsia="宋体" w:cs="宋体"/>
          <w:b/>
          <w:bCs/>
          <w:szCs w:val="28"/>
        </w:rPr>
      </w:pPr>
      <w:r>
        <w:rPr>
          <w:rFonts w:hint="eastAsia" w:ascii="宋体" w:eastAsia="宋体" w:cs="宋体"/>
          <w:b/>
          <w:bCs/>
          <w:szCs w:val="28"/>
        </w:rPr>
        <w:t>先进性原则</w:t>
      </w:r>
    </w:p>
    <w:p w14:paraId="4AA2C5E5">
      <w:pPr>
        <w:rPr>
          <w:rFonts w:hint="eastAsia" w:ascii="宋体" w:eastAsia="宋体" w:cs="宋体"/>
          <w:szCs w:val="28"/>
        </w:rPr>
      </w:pPr>
      <w:r>
        <w:rPr>
          <w:rFonts w:hint="eastAsia" w:ascii="宋体" w:eastAsia="宋体" w:cs="宋体"/>
          <w:szCs w:val="28"/>
        </w:rPr>
        <w:t>在系统总体方案设计时采用业界先进的方案和技术，严格遵循国际标准、国家标准和国内通信行业的规范要求，所有的系统处于先进的技术水平，确保较长时间内技术上不落伍。选择符合存储技术以及IT行业发展趋势的强实用性产品，模块化结构设计，具备动态扩容能力的系统，既可满足当前的需要又可实现今后系统发展平滑扩展。</w:t>
      </w:r>
    </w:p>
    <w:p w14:paraId="013576CD">
      <w:pPr>
        <w:rPr>
          <w:rFonts w:hint="eastAsia" w:ascii="宋体" w:eastAsia="宋体" w:cs="宋体"/>
          <w:b/>
          <w:bCs/>
          <w:szCs w:val="28"/>
        </w:rPr>
      </w:pPr>
      <w:r>
        <w:rPr>
          <w:rFonts w:hint="eastAsia" w:ascii="宋体" w:eastAsia="宋体" w:cs="宋体"/>
          <w:b/>
          <w:bCs/>
          <w:szCs w:val="28"/>
        </w:rPr>
        <w:t>可靠性原则</w:t>
      </w:r>
    </w:p>
    <w:p w14:paraId="4BADBDA6">
      <w:pPr>
        <w:rPr>
          <w:rFonts w:hint="eastAsia" w:ascii="宋体" w:eastAsia="宋体" w:cs="宋体"/>
          <w:szCs w:val="28"/>
        </w:rPr>
      </w:pPr>
      <w:r>
        <w:rPr>
          <w:rFonts w:hint="eastAsia" w:ascii="宋体" w:eastAsia="宋体" w:cs="宋体"/>
          <w:szCs w:val="28"/>
        </w:rPr>
        <w:t>数据是业务系统核心应用的最终保障，不但要保证整套系统能够7X24运行，而且存储系统必须支持从硬件层面、数据层面到业务层面高可用，满足可用性原则，以保证应用系统对数据的随时存取。云存储系统具备充分的数据冗余、数据容错能力，同时提供可靠冗余策略，对应用数据进行更加安全的数据保护，降低硬件故障、网络异常等给系统造成的数据丢失风险，存储节点异常掉电后不丢失数据，供电恢复后自动重新启动并自动恢复正常连接。</w:t>
      </w:r>
    </w:p>
    <w:p w14:paraId="27B4721C">
      <w:pPr>
        <w:rPr>
          <w:rFonts w:hint="eastAsia" w:ascii="宋体" w:eastAsia="宋体" w:cs="宋体"/>
          <w:szCs w:val="28"/>
        </w:rPr>
      </w:pPr>
      <w:r>
        <w:rPr>
          <w:rFonts w:hint="eastAsia" w:ascii="宋体" w:eastAsia="宋体" w:cs="宋体"/>
          <w:szCs w:val="28"/>
        </w:rPr>
        <w:t>在进行系统设计时，充分考虑数据高可靠存储，采用高度可靠的软硬件容错设计，进行有效的安全访问控制，实现故障屏蔽、冗余重建等智能化安全可靠措施，提供统一的系统管理和监控平台，进行有效的故障定位、预警确保系统具有高度的安全性，提供安全的登录和访问措施，防止系统被攻击。</w:t>
      </w:r>
    </w:p>
    <w:p w14:paraId="690AE47A">
      <w:pPr>
        <w:rPr>
          <w:rFonts w:hint="eastAsia" w:ascii="宋体" w:eastAsia="宋体" w:cs="宋体"/>
          <w:b/>
          <w:bCs/>
          <w:szCs w:val="28"/>
        </w:rPr>
      </w:pPr>
      <w:r>
        <w:rPr>
          <w:rFonts w:hint="eastAsia" w:ascii="宋体" w:eastAsia="宋体" w:cs="宋体"/>
          <w:b/>
          <w:bCs/>
          <w:szCs w:val="28"/>
        </w:rPr>
        <w:t>成熟性原则</w:t>
      </w:r>
    </w:p>
    <w:p w14:paraId="0E40EC98">
      <w:pPr>
        <w:rPr>
          <w:rFonts w:hint="eastAsia" w:ascii="宋体" w:eastAsia="宋体" w:cs="宋体"/>
          <w:szCs w:val="28"/>
        </w:rPr>
      </w:pPr>
      <w:r>
        <w:rPr>
          <w:rFonts w:hint="eastAsia" w:ascii="宋体" w:eastAsia="宋体" w:cs="宋体"/>
          <w:szCs w:val="28"/>
        </w:rPr>
        <w:t>为确保整个系统能够稳定工作，软件平台将使用先进、完善、易于管理和稳定可靠的云存储资源管理系统，对于与应用的集成接口，提供高效稳定统一的访问接口。</w:t>
      </w:r>
    </w:p>
    <w:p w14:paraId="50B867AD">
      <w:pPr>
        <w:rPr>
          <w:rFonts w:hint="eastAsia" w:ascii="宋体" w:eastAsia="宋体" w:cs="宋体"/>
          <w:b/>
          <w:bCs/>
          <w:szCs w:val="28"/>
        </w:rPr>
      </w:pPr>
      <w:r>
        <w:rPr>
          <w:rFonts w:hint="eastAsia" w:ascii="宋体" w:eastAsia="宋体" w:cs="宋体"/>
          <w:b/>
          <w:bCs/>
          <w:szCs w:val="28"/>
        </w:rPr>
        <w:t>开放性原则</w:t>
      </w:r>
    </w:p>
    <w:p w14:paraId="5BD2DE3D">
      <w:pPr>
        <w:rPr>
          <w:rFonts w:hint="eastAsia" w:ascii="宋体" w:eastAsia="宋体" w:cs="宋体"/>
          <w:szCs w:val="28"/>
        </w:rPr>
      </w:pPr>
      <w:r>
        <w:rPr>
          <w:rFonts w:hint="eastAsia" w:ascii="宋体" w:eastAsia="宋体" w:cs="宋体"/>
          <w:szCs w:val="28"/>
        </w:rPr>
        <w:t>系统必须支持国际上通用的标准网络存储协议、国际标准的应用开放协议；与主流服务器之间保持良好的兼容性；兼容各主流操作系统及应用程序；可以与第三方管理平台集成，提供给客户定制化的管理维护手段；满足今后的发展，留有充分的扩充余地；充分考虑系统的升级和维护问题，支持在线升级和维护。</w:t>
      </w:r>
    </w:p>
    <w:p w14:paraId="4928694A">
      <w:pPr>
        <w:pStyle w:val="4"/>
        <w:rPr>
          <w:color w:val="000000"/>
        </w:rPr>
      </w:pPr>
      <w:bookmarkStart w:id="232" w:name="_Toc29570"/>
      <w:r>
        <w:rPr>
          <w:rFonts w:hint="eastAsia"/>
          <w:color w:val="000000"/>
        </w:rPr>
        <w:t>建设目标</w:t>
      </w:r>
      <w:bookmarkEnd w:id="225"/>
      <w:bookmarkEnd w:id="226"/>
      <w:bookmarkEnd w:id="227"/>
      <w:bookmarkEnd w:id="228"/>
      <w:bookmarkEnd w:id="229"/>
      <w:bookmarkEnd w:id="230"/>
      <w:bookmarkEnd w:id="231"/>
      <w:bookmarkEnd w:id="232"/>
    </w:p>
    <w:p w14:paraId="1F1F96F1">
      <w:pPr>
        <w:pStyle w:val="123"/>
        <w:rPr>
          <w:rFonts w:hint="eastAsia" w:ascii="宋体" w:eastAsia="宋体" w:cs="宋体"/>
        </w:rPr>
      </w:pPr>
      <w:r>
        <w:rPr>
          <w:rFonts w:hint="eastAsia" w:ascii="宋体" w:eastAsia="宋体" w:cs="宋体"/>
        </w:rPr>
        <w:t>为构建适应滁州市经济社会发展需要的社会治安视频监控系统应用格局，根据经济建设和社会管理工作总体要求，在避免重复建设的同时确保系统满足当前社会发展和新形势下民警案件办案应用需求。</w:t>
      </w:r>
    </w:p>
    <w:p w14:paraId="469F4198">
      <w:pPr>
        <w:pStyle w:val="123"/>
        <w:rPr>
          <w:rFonts w:hint="eastAsia"/>
        </w:rPr>
      </w:pPr>
      <w:r>
        <w:rPr>
          <w:rFonts w:hint="eastAsia" w:ascii="宋体" w:eastAsia="宋体" w:cs="宋体"/>
        </w:rPr>
        <w:t xml:space="preserve"> 本次共购买2000台前端摄像机服务，</w:t>
      </w:r>
      <w:r>
        <w:rPr>
          <w:rFonts w:hint="eastAsia" w:ascii="宋体" w:eastAsia="宋体" w:cs="宋体"/>
          <w:szCs w:val="28"/>
        </w:rPr>
        <w:t>包括400万结构化枪机 150台、400万结构化双目枪机1244台、400万人像卡口摄像机100台、400万双目结构化球机450台、400万三目结构化球机20台、高倍球摄像机30台、900万环保卡口摄像机6台</w:t>
      </w:r>
      <w:r>
        <w:rPr>
          <w:rFonts w:hint="eastAsia" w:ascii="宋体" w:eastAsia="宋体" w:cs="宋体"/>
        </w:rPr>
        <w:t>，以及后端存储、数据应用、网络传输、机房租赁等多项公共安全视频监控服务。</w:t>
      </w:r>
    </w:p>
    <w:p w14:paraId="3ED8EEED">
      <w:pPr>
        <w:pStyle w:val="4"/>
        <w:rPr>
          <w:color w:val="000000"/>
        </w:rPr>
      </w:pPr>
      <w:bookmarkStart w:id="233" w:name="_Toc138615920"/>
      <w:bookmarkStart w:id="234" w:name="_Toc15472"/>
      <w:bookmarkStart w:id="235" w:name="_Toc17718"/>
      <w:bookmarkStart w:id="236" w:name="_Toc5980"/>
      <w:bookmarkStart w:id="237" w:name="_Toc10777"/>
      <w:r>
        <w:rPr>
          <w:color w:val="000000"/>
        </w:rPr>
        <w:t>建设内容</w:t>
      </w:r>
      <w:bookmarkEnd w:id="233"/>
      <w:bookmarkEnd w:id="234"/>
    </w:p>
    <w:p w14:paraId="13287E39">
      <w:pPr>
        <w:rPr>
          <w:rFonts w:hint="eastAsia" w:ascii="宋体" w:eastAsia="宋体" w:cs="宋体"/>
        </w:rPr>
      </w:pPr>
      <w:r>
        <w:rPr>
          <w:rFonts w:hint="eastAsia" w:ascii="宋体" w:eastAsia="宋体" w:cs="宋体"/>
        </w:rPr>
        <w:t>本次服务主要建设规模及内容如下：</w:t>
      </w:r>
    </w:p>
    <w:p w14:paraId="413B3950">
      <w:pPr>
        <w:rPr>
          <w:rFonts w:hint="eastAsia" w:ascii="宋体" w:eastAsia="宋体" w:cs="宋体"/>
          <w:b/>
          <w:bCs/>
        </w:rPr>
      </w:pPr>
      <w:r>
        <w:rPr>
          <w:rFonts w:hint="eastAsia" w:ascii="宋体" w:eastAsia="宋体" w:cs="宋体"/>
          <w:b/>
          <w:bCs/>
        </w:rPr>
        <w:t>一、视频监控前端服务</w:t>
      </w:r>
    </w:p>
    <w:p w14:paraId="7E0793BC">
      <w:pPr>
        <w:spacing w:before="120"/>
        <w:rPr>
          <w:rFonts w:hint="eastAsia" w:ascii="宋体" w:eastAsia="宋体" w:cs="宋体"/>
          <w:szCs w:val="28"/>
        </w:rPr>
      </w:pPr>
      <w:r>
        <w:rPr>
          <w:rFonts w:hint="eastAsia" w:ascii="宋体" w:eastAsia="宋体" w:cs="宋体"/>
          <w:szCs w:val="28"/>
        </w:rPr>
        <w:t>本次服务需提供2000台各类智能前端摄像机，包括400万结构化枪机 150台、400万结构化双目枪机1244台、400万人像卡口摄像机100台、400万双目结构化球机450台、400万三目结构化球机20台、高倍球摄像机30台、900万环保卡口摄像机6台，实现对重要道路、次干道、重点单位、人员密集区域、案件多发地等重点区域的覆盖。</w:t>
      </w:r>
    </w:p>
    <w:p w14:paraId="164007C2">
      <w:pPr>
        <w:rPr>
          <w:rFonts w:hint="eastAsia" w:ascii="宋体" w:eastAsia="宋体" w:cs="宋体"/>
          <w:b/>
          <w:bCs/>
        </w:rPr>
      </w:pPr>
      <w:r>
        <w:rPr>
          <w:rFonts w:hint="eastAsia" w:ascii="宋体" w:eastAsia="宋体" w:cs="宋体"/>
          <w:b/>
          <w:bCs/>
        </w:rPr>
        <w:t>二、平台及流媒体转发能力服务</w:t>
      </w:r>
    </w:p>
    <w:p w14:paraId="6BA0CC11">
      <w:pPr>
        <w:spacing w:before="120"/>
        <w:rPr>
          <w:rFonts w:hint="eastAsia" w:ascii="宋体" w:eastAsia="宋体" w:cs="宋体"/>
          <w:szCs w:val="28"/>
        </w:rPr>
      </w:pPr>
      <w:r>
        <w:rPr>
          <w:rFonts w:hint="eastAsia" w:ascii="宋体" w:eastAsia="宋体" w:cs="宋体"/>
          <w:szCs w:val="28"/>
        </w:rPr>
        <w:t>本次服务需</w:t>
      </w:r>
      <w:r>
        <w:rPr>
          <w:rFonts w:hint="eastAsia" w:ascii="宋体" w:eastAsia="宋体" w:cs="宋体"/>
          <w:szCs w:val="28"/>
          <w:lang w:eastAsia="zh-CN"/>
        </w:rPr>
        <w:t>满足</w:t>
      </w:r>
      <w:r>
        <w:rPr>
          <w:rFonts w:hint="eastAsia" w:ascii="宋体" w:eastAsia="宋体" w:cs="宋体"/>
          <w:szCs w:val="28"/>
        </w:rPr>
        <w:t>4000路摄像机视频监控接入需求，提供2400Mbps转发能力服务，同时需兼容滁州市公安局现有视频专网市级雪亮平台流媒体转发能力，满足视频实时浏览、录像回放。</w:t>
      </w:r>
    </w:p>
    <w:p w14:paraId="43E9316F">
      <w:pPr>
        <w:rPr>
          <w:rFonts w:hint="eastAsia" w:ascii="宋体" w:eastAsia="宋体" w:cs="宋体"/>
          <w:b/>
          <w:bCs/>
        </w:rPr>
      </w:pPr>
      <w:r>
        <w:rPr>
          <w:rFonts w:hint="eastAsia" w:ascii="宋体" w:eastAsia="宋体" w:cs="宋体"/>
          <w:b/>
          <w:bCs/>
        </w:rPr>
        <w:t>三、云存储资源服务</w:t>
      </w:r>
    </w:p>
    <w:p w14:paraId="0085CAF5">
      <w:pPr>
        <w:spacing w:before="120"/>
        <w:rPr>
          <w:rFonts w:hint="eastAsia" w:ascii="宋体" w:eastAsia="宋体" w:cs="宋体"/>
          <w:szCs w:val="28"/>
        </w:rPr>
      </w:pPr>
      <w:r>
        <w:rPr>
          <w:rFonts w:hint="eastAsia" w:ascii="宋体" w:eastAsia="宋体" w:cs="宋体"/>
          <w:szCs w:val="28"/>
        </w:rPr>
        <w:t>本次服务需</w:t>
      </w:r>
      <w:r>
        <w:rPr>
          <w:rFonts w:hint="eastAsia" w:ascii="宋体" w:eastAsia="宋体" w:cs="宋体"/>
          <w:szCs w:val="28"/>
          <w:lang w:eastAsia="zh-CN"/>
        </w:rPr>
        <w:t>满足</w:t>
      </w:r>
      <w:r>
        <w:rPr>
          <w:rFonts w:hint="eastAsia" w:ascii="宋体" w:eastAsia="宋体" w:cs="宋体"/>
          <w:szCs w:val="28"/>
        </w:rPr>
        <w:t>2000台前端设备视频图像数据存储，要求满足“视频存储30天，图片存储180天”的要求，同时兼容滁州市公安局现有的云存储集群，实现视频图像资源的统一存储、统一管理、统一调阅，解决海量高清视频图像数据的存储和管理需求，为应用平台提供视频数据高效检索、快速调取等服务功能，为视频图像的智能化应用提供有力支撑。</w:t>
      </w:r>
    </w:p>
    <w:p w14:paraId="5D8297AD">
      <w:pPr>
        <w:rPr>
          <w:rFonts w:hint="eastAsia" w:ascii="宋体" w:eastAsia="宋体" w:cs="宋体"/>
          <w:b/>
          <w:bCs/>
        </w:rPr>
      </w:pPr>
      <w:r>
        <w:rPr>
          <w:rFonts w:hint="eastAsia" w:ascii="宋体" w:eastAsia="宋体" w:cs="宋体"/>
          <w:b/>
          <w:bCs/>
        </w:rPr>
        <w:t>四、公安信息网、视频专网视图库服务</w:t>
      </w:r>
    </w:p>
    <w:p w14:paraId="6BDC44DD">
      <w:pPr>
        <w:spacing w:before="120"/>
        <w:rPr>
          <w:rFonts w:hint="eastAsia" w:ascii="宋体" w:eastAsia="宋体" w:cs="宋体"/>
          <w:szCs w:val="28"/>
        </w:rPr>
      </w:pPr>
      <w:r>
        <w:rPr>
          <w:rFonts w:hint="eastAsia" w:ascii="宋体" w:eastAsia="宋体" w:cs="宋体"/>
          <w:szCs w:val="28"/>
        </w:rPr>
        <w:t>本次服务需</w:t>
      </w:r>
      <w:r>
        <w:rPr>
          <w:rFonts w:hint="eastAsia" w:ascii="宋体" w:eastAsia="宋体" w:cs="宋体"/>
          <w:szCs w:val="28"/>
          <w:lang w:eastAsia="zh-CN"/>
        </w:rPr>
        <w:t>满足</w:t>
      </w:r>
      <w:r>
        <w:rPr>
          <w:rFonts w:hint="eastAsia" w:ascii="宋体" w:eastAsia="宋体" w:cs="宋体"/>
          <w:szCs w:val="28"/>
        </w:rPr>
        <w:t>2000台智能采集摄像机视图库存储服务需求，抓拍的人脸、人体、机动车、非机动车等图片数据存储到视频专网及公安信息网视图库中，同时需兼容滁州市公安局现有视频专网、公安信息网视图库。</w:t>
      </w:r>
    </w:p>
    <w:p w14:paraId="155FCEC1">
      <w:pPr>
        <w:rPr>
          <w:rFonts w:hint="eastAsia" w:ascii="宋体" w:eastAsia="宋体" w:cs="宋体"/>
          <w:b/>
          <w:bCs/>
        </w:rPr>
      </w:pPr>
      <w:r>
        <w:rPr>
          <w:rFonts w:hint="eastAsia" w:ascii="宋体" w:eastAsia="宋体" w:cs="宋体"/>
          <w:b/>
          <w:bCs/>
        </w:rPr>
        <w:t>五、视频图像解析中心服务</w:t>
      </w:r>
    </w:p>
    <w:p w14:paraId="4245F669">
      <w:pPr>
        <w:spacing w:before="120"/>
        <w:rPr>
          <w:rFonts w:hint="eastAsia" w:ascii="宋体" w:eastAsia="宋体" w:cs="宋体"/>
          <w:szCs w:val="28"/>
        </w:rPr>
      </w:pPr>
      <w:r>
        <w:rPr>
          <w:rFonts w:hint="eastAsia" w:ascii="宋体" w:eastAsia="宋体" w:cs="宋体"/>
          <w:szCs w:val="28"/>
        </w:rPr>
        <w:t>本次服务需</w:t>
      </w:r>
      <w:r>
        <w:rPr>
          <w:rFonts w:hint="eastAsia" w:ascii="宋体" w:eastAsia="宋体" w:cs="宋体"/>
          <w:szCs w:val="28"/>
          <w:lang w:eastAsia="zh-CN"/>
        </w:rPr>
        <w:t>满足</w:t>
      </w:r>
      <w:r>
        <w:rPr>
          <w:rFonts w:hint="eastAsia" w:ascii="宋体" w:eastAsia="宋体" w:cs="宋体"/>
          <w:szCs w:val="28"/>
        </w:rPr>
        <w:t>2000台智能摄像机人像解析、人体解析服务需求，兼容安徽省公安厅人像解析系统。</w:t>
      </w:r>
    </w:p>
    <w:p w14:paraId="49C43BD9">
      <w:pPr>
        <w:rPr>
          <w:rFonts w:hint="eastAsia" w:ascii="宋体" w:eastAsia="宋体" w:cs="宋体"/>
        </w:rPr>
      </w:pPr>
      <w:r>
        <w:rPr>
          <w:rFonts w:hint="eastAsia" w:ascii="宋体" w:eastAsia="宋体" w:cs="宋体"/>
        </w:rPr>
        <w:t>六、</w:t>
      </w:r>
      <w:r>
        <w:rPr>
          <w:rFonts w:hint="eastAsia" w:ascii="宋体" w:eastAsia="宋体" w:cs="宋体"/>
          <w:b/>
          <w:bCs/>
        </w:rPr>
        <w:t>网络服务</w:t>
      </w:r>
    </w:p>
    <w:p w14:paraId="41961E89">
      <w:pPr>
        <w:spacing w:before="120"/>
        <w:rPr>
          <w:rFonts w:hint="eastAsia" w:ascii="宋体" w:eastAsia="宋体" w:cs="宋体"/>
          <w:szCs w:val="28"/>
        </w:rPr>
      </w:pPr>
      <w:r>
        <w:rPr>
          <w:rFonts w:hint="eastAsia" w:ascii="宋体" w:eastAsia="宋体" w:cs="宋体"/>
          <w:szCs w:val="28"/>
        </w:rPr>
        <w:t>本次服务需提供2000台前端监控和汇聚核心网络带宽需求，按照实际情况保证本次服务中所有监控点位视频实时浏览不卡顿、历史录像不卡顿、抓拍图片不丢失。</w:t>
      </w:r>
    </w:p>
    <w:p w14:paraId="10FD91F9">
      <w:pPr>
        <w:rPr>
          <w:rFonts w:hint="eastAsia" w:ascii="宋体" w:eastAsia="宋体" w:cs="宋体"/>
          <w:b/>
          <w:bCs/>
        </w:rPr>
      </w:pPr>
      <w:r>
        <w:rPr>
          <w:rFonts w:hint="eastAsia" w:ascii="宋体" w:eastAsia="宋体" w:cs="宋体"/>
          <w:b/>
          <w:bCs/>
        </w:rPr>
        <w:t>七、其他类别及设备的三年维护内容</w:t>
      </w:r>
    </w:p>
    <w:p w14:paraId="425D600C">
      <w:pPr>
        <w:rPr>
          <w:rFonts w:hint="eastAsia" w:ascii="宋体" w:eastAsia="宋体" w:cs="宋体"/>
        </w:rPr>
      </w:pPr>
      <w:r>
        <w:rPr>
          <w:rFonts w:hint="eastAsia" w:ascii="宋体" w:eastAsia="宋体" w:cs="宋体"/>
        </w:rPr>
        <w:t>需保障三年内所有前端设备和后台应用系统正常运行。</w:t>
      </w:r>
    </w:p>
    <w:p w14:paraId="7265F367">
      <w:pPr>
        <w:pStyle w:val="4"/>
        <w:rPr>
          <w:color w:val="000000"/>
        </w:rPr>
      </w:pPr>
      <w:bookmarkStart w:id="238" w:name="_Toc138615921"/>
      <w:bookmarkStart w:id="239" w:name="_Toc24501"/>
      <w:r>
        <w:rPr>
          <w:rFonts w:hint="eastAsia"/>
          <w:color w:val="000000"/>
        </w:rPr>
        <w:t>总体设计</w:t>
      </w:r>
      <w:bookmarkEnd w:id="235"/>
      <w:bookmarkEnd w:id="236"/>
      <w:bookmarkEnd w:id="237"/>
      <w:bookmarkEnd w:id="238"/>
      <w:bookmarkEnd w:id="239"/>
    </w:p>
    <w:p w14:paraId="404A509E">
      <w:pPr>
        <w:pStyle w:val="6"/>
        <w:rPr>
          <w:color w:val="000000"/>
        </w:rPr>
      </w:pPr>
      <w:bookmarkStart w:id="240" w:name="_Toc31336"/>
      <w:bookmarkStart w:id="241" w:name="_Toc138615923"/>
      <w:bookmarkStart w:id="242" w:name="_Toc10384"/>
      <w:bookmarkStart w:id="243" w:name="_Toc23402"/>
      <w:bookmarkStart w:id="244" w:name="_Toc324"/>
      <w:r>
        <w:rPr>
          <w:color w:val="000000"/>
        </w:rPr>
        <w:t>业务架构</w:t>
      </w:r>
      <w:bookmarkEnd w:id="240"/>
    </w:p>
    <w:p w14:paraId="64887B3E">
      <w:pPr>
        <w:rPr>
          <w:rFonts w:hint="eastAsia" w:ascii="仿宋_GB2312" w:eastAsia="仿宋_GB2312" w:cs="仿宋_GB2312"/>
          <w:i/>
          <w:color w:val="0D0D0D"/>
          <w:sz w:val="32"/>
          <w:szCs w:val="32"/>
        </w:rPr>
      </w:pPr>
      <w:r>
        <w:rPr>
          <w:rFonts w:hint="eastAsia" w:ascii="宋体" w:eastAsia="宋体" w:cs="宋体"/>
        </w:rPr>
        <w:t>本次项目主要涉及的用户包括公安机关的民、辅警和各委办局单位用户，按照不同用户划分，公安用户的业务主要涉及打击犯罪、治安防控和目标管控等方面，各委办局单位的用户主要涉及城市治理中的各个业务，包括不限于街面治理、安全生产、水域监测、景区管理等。</w:t>
      </w:r>
    </w:p>
    <w:p w14:paraId="63F365EB">
      <w:pPr>
        <w:pStyle w:val="6"/>
        <w:rPr>
          <w:color w:val="000000"/>
        </w:rPr>
      </w:pPr>
      <w:bookmarkStart w:id="245" w:name="_Toc24765"/>
      <w:r>
        <w:rPr>
          <w:rFonts w:hint="eastAsia"/>
          <w:color w:val="000000"/>
        </w:rPr>
        <w:t>应用架构</w:t>
      </w:r>
      <w:bookmarkEnd w:id="241"/>
      <w:bookmarkEnd w:id="245"/>
    </w:p>
    <w:p w14:paraId="3FF2528D">
      <w:pPr>
        <w:pStyle w:val="12"/>
        <w:jc w:val="center"/>
        <w:rPr>
          <w:rFonts w:hint="eastAsia" w:ascii="黑体" w:eastAsia="黑体" w:cs="黑体"/>
          <w:b w:val="0"/>
          <w:bCs/>
        </w:rPr>
      </w:pPr>
      <w:r>
        <w:rPr>
          <w:rFonts w:hint="eastAsia" w:ascii="黑体" w:eastAsia="黑体" w:cs="黑体"/>
          <w:b w:val="0"/>
          <w:bCs/>
        </w:rPr>
        <w:drawing>
          <wp:inline distT="0" distB="0" distL="114300" distR="114300">
            <wp:extent cx="5728970" cy="3223895"/>
            <wp:effectExtent l="0" t="0" r="5080" b="14605"/>
            <wp:docPr id="16" name="图片 51" descr="36c17e6084ef513ddc2167368b02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descr="36c17e6084ef513ddc2167368b026c9"/>
                    <pic:cNvPicPr>
                      <a:picLocks noChangeAspect="1"/>
                    </pic:cNvPicPr>
                  </pic:nvPicPr>
                  <pic:blipFill>
                    <a:blip r:embed="rId11"/>
                    <a:stretch>
                      <a:fillRect/>
                    </a:stretch>
                  </pic:blipFill>
                  <pic:spPr>
                    <a:xfrm>
                      <a:off x="0" y="0"/>
                      <a:ext cx="5728970" cy="3223895"/>
                    </a:xfrm>
                    <a:prstGeom prst="rect">
                      <a:avLst/>
                    </a:prstGeom>
                    <a:noFill/>
                    <a:ln w="9525" cap="flat" cmpd="sng">
                      <a:noFill/>
                      <a:prstDash val="solid"/>
                      <a:miter/>
                    </a:ln>
                  </pic:spPr>
                </pic:pic>
              </a:graphicData>
            </a:graphic>
          </wp:inline>
        </w:drawing>
      </w:r>
    </w:p>
    <w:p w14:paraId="10747554">
      <w:pPr>
        <w:pStyle w:val="12"/>
        <w:jc w:val="center"/>
        <w:rPr>
          <w:rFonts w:hint="eastAsia" w:ascii="黑体" w:eastAsia="黑体" w:cs="黑体"/>
          <w:b w:val="0"/>
          <w:bCs/>
        </w:rPr>
      </w:pPr>
      <w:r>
        <w:rPr>
          <w:rFonts w:hint="eastAsia" w:ascii="黑体" w:eastAsia="黑体" w:cs="黑体"/>
          <w:b w:val="0"/>
          <w:bCs/>
        </w:rPr>
        <w:t xml:space="preserve">图 </w:t>
      </w:r>
      <w:r>
        <w:rPr>
          <w:rFonts w:hint="eastAsia" w:ascii="黑体" w:eastAsia="黑体" w:cs="黑体"/>
          <w:b w:val="0"/>
          <w:bCs/>
        </w:rPr>
        <w:fldChar w:fldCharType="begin"/>
      </w:r>
      <w:r>
        <w:rPr>
          <w:rFonts w:hint="eastAsia" w:ascii="黑体" w:eastAsia="黑体" w:cs="黑体"/>
          <w:b w:val="0"/>
          <w:bCs/>
        </w:rPr>
        <w:instrText xml:space="preserve"> STYLEREF 2 \s </w:instrText>
      </w:r>
      <w:r>
        <w:rPr>
          <w:rFonts w:hint="eastAsia" w:ascii="黑体" w:eastAsia="黑体" w:cs="黑体"/>
          <w:b w:val="0"/>
          <w:bCs/>
        </w:rPr>
        <w:fldChar w:fldCharType="separate"/>
      </w:r>
      <w:r>
        <w:rPr>
          <w:rFonts w:hint="eastAsia" w:ascii="黑体" w:eastAsia="黑体" w:cs="黑体"/>
          <w:b w:val="0"/>
          <w:bCs/>
        </w:rPr>
        <w:t>5.4</w:t>
      </w:r>
      <w:r>
        <w:rPr>
          <w:rFonts w:hint="eastAsia" w:ascii="黑体" w:eastAsia="黑体" w:cs="黑体"/>
          <w:b w:val="0"/>
          <w:bCs/>
        </w:rPr>
        <w:fldChar w:fldCharType="end"/>
      </w:r>
      <w:r>
        <w:rPr>
          <w:rFonts w:hint="eastAsia" w:ascii="黑体" w:eastAsia="黑体" w:cs="黑体"/>
          <w:b w:val="0"/>
          <w:bCs/>
        </w:rPr>
        <w:t>-</w:t>
      </w:r>
      <w:r>
        <w:rPr>
          <w:rFonts w:hint="eastAsia" w:ascii="黑体" w:eastAsia="黑体" w:cs="黑体"/>
          <w:b w:val="0"/>
          <w:bCs/>
        </w:rPr>
        <w:fldChar w:fldCharType="begin"/>
      </w:r>
      <w:r>
        <w:rPr>
          <w:rFonts w:hint="eastAsia" w:ascii="黑体" w:eastAsia="黑体" w:cs="黑体"/>
          <w:b w:val="0"/>
          <w:bCs/>
        </w:rPr>
        <w:instrText xml:space="preserve"> SEQ 图 \* ARABIC \s 2 </w:instrText>
      </w:r>
      <w:r>
        <w:rPr>
          <w:rFonts w:hint="eastAsia" w:ascii="黑体" w:eastAsia="黑体" w:cs="黑体"/>
          <w:b w:val="0"/>
          <w:bCs/>
        </w:rPr>
        <w:fldChar w:fldCharType="separate"/>
      </w:r>
      <w:r>
        <w:rPr>
          <w:rFonts w:hint="eastAsia" w:ascii="黑体" w:eastAsia="黑体" w:cs="黑体"/>
          <w:b w:val="0"/>
          <w:bCs/>
        </w:rPr>
        <w:t>2</w:t>
      </w:r>
      <w:r>
        <w:rPr>
          <w:rFonts w:hint="eastAsia" w:ascii="黑体" w:eastAsia="黑体" w:cs="黑体"/>
          <w:b w:val="0"/>
          <w:bCs/>
        </w:rPr>
        <w:fldChar w:fldCharType="end"/>
      </w:r>
      <w:r>
        <w:rPr>
          <w:rFonts w:hint="eastAsia" w:ascii="黑体" w:eastAsia="黑体" w:cs="黑体"/>
          <w:b w:val="0"/>
          <w:bCs/>
        </w:rPr>
        <w:t>应用系统图</w:t>
      </w:r>
    </w:p>
    <w:p w14:paraId="6F5D4D2D">
      <w:pPr>
        <w:rPr>
          <w:rFonts w:hint="eastAsia"/>
        </w:rPr>
      </w:pPr>
      <w:r>
        <w:rPr>
          <w:rFonts w:hint="eastAsia" w:ascii="宋体" w:eastAsia="宋体" w:cs="宋体"/>
          <w:snapToGrid w:val="0"/>
        </w:rPr>
        <w:t>本次应用不单独增加应用系统，基于已建滁州市视综应用平台，对应增加人像算法和人体算法，增加解析中台多算法仓中对应的算法资源和能力，应用展示均在已建视综业务界面，统一进行布控下发。</w:t>
      </w:r>
    </w:p>
    <w:p w14:paraId="36276EC8">
      <w:pPr>
        <w:pStyle w:val="6"/>
        <w:rPr>
          <w:color w:val="000000"/>
        </w:rPr>
      </w:pPr>
      <w:bookmarkStart w:id="246" w:name="_Toc32416"/>
      <w:bookmarkStart w:id="247" w:name="_Toc138615924"/>
      <w:r>
        <w:rPr>
          <w:rFonts w:hint="eastAsia"/>
          <w:color w:val="000000"/>
        </w:rPr>
        <w:t>技术</w:t>
      </w:r>
      <w:r>
        <w:rPr>
          <w:color w:val="000000"/>
        </w:rPr>
        <w:t>架构</w:t>
      </w:r>
      <w:bookmarkEnd w:id="246"/>
    </w:p>
    <w:p w14:paraId="25A6ADB4">
      <w:pPr>
        <w:pStyle w:val="7"/>
        <w:spacing w:before="156"/>
        <w:rPr>
          <w:rFonts w:hint="eastAsia"/>
          <w:color w:val="000000"/>
        </w:rPr>
      </w:pPr>
      <w:r>
        <w:rPr>
          <w:rFonts w:hint="eastAsia"/>
          <w:color w:val="000000"/>
        </w:rPr>
        <w:t>网络架构</w:t>
      </w:r>
    </w:p>
    <w:p w14:paraId="4CE9B5BF">
      <w:pPr>
        <w:spacing w:line="240" w:lineRule="auto"/>
        <w:rPr>
          <w:rFonts w:hint="eastAsia"/>
        </w:rPr>
      </w:pPr>
      <w:r>
        <w:rPr>
          <w:rFonts w:hint="eastAsia"/>
        </w:rPr>
        <w:drawing>
          <wp:inline distT="0" distB="0" distL="114300" distR="114300">
            <wp:extent cx="5266690" cy="2962910"/>
            <wp:effectExtent l="0" t="0" r="10160" b="8890"/>
            <wp:docPr id="19" name="图片 5" descr="滁州市局组网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滁州市局组网_06"/>
                    <pic:cNvPicPr>
                      <a:picLocks noChangeAspect="1"/>
                    </pic:cNvPicPr>
                  </pic:nvPicPr>
                  <pic:blipFill>
                    <a:blip r:embed="rId12"/>
                    <a:stretch>
                      <a:fillRect/>
                    </a:stretch>
                  </pic:blipFill>
                  <pic:spPr>
                    <a:xfrm>
                      <a:off x="0" y="0"/>
                      <a:ext cx="5266690" cy="2962910"/>
                    </a:xfrm>
                    <a:prstGeom prst="rect">
                      <a:avLst/>
                    </a:prstGeom>
                    <a:noFill/>
                    <a:ln w="9525" cap="flat" cmpd="sng">
                      <a:noFill/>
                      <a:prstDash val="solid"/>
                      <a:miter/>
                    </a:ln>
                  </pic:spPr>
                </pic:pic>
              </a:graphicData>
            </a:graphic>
          </wp:inline>
        </w:drawing>
      </w:r>
    </w:p>
    <w:p w14:paraId="4395F2AD">
      <w:pPr>
        <w:pStyle w:val="12"/>
        <w:jc w:val="center"/>
        <w:rPr>
          <w:rFonts w:hint="eastAsia" w:ascii="黑体" w:eastAsia="黑体" w:cs="黑体"/>
          <w:b w:val="0"/>
          <w:bCs/>
        </w:rPr>
      </w:pPr>
      <w:r>
        <w:rPr>
          <w:rFonts w:hint="eastAsia" w:ascii="黑体" w:eastAsia="黑体" w:cs="黑体"/>
          <w:b w:val="0"/>
          <w:bCs/>
        </w:rPr>
        <w:t xml:space="preserve">图 </w:t>
      </w:r>
      <w:r>
        <w:rPr>
          <w:rFonts w:hint="eastAsia" w:ascii="黑体" w:eastAsia="黑体" w:cs="黑体"/>
          <w:b w:val="0"/>
          <w:bCs/>
        </w:rPr>
        <w:fldChar w:fldCharType="begin"/>
      </w:r>
      <w:r>
        <w:rPr>
          <w:rFonts w:hint="eastAsia" w:ascii="黑体" w:eastAsia="黑体" w:cs="黑体"/>
          <w:b w:val="0"/>
          <w:bCs/>
        </w:rPr>
        <w:instrText xml:space="preserve"> STYLEREF 2 \s </w:instrText>
      </w:r>
      <w:r>
        <w:rPr>
          <w:rFonts w:hint="eastAsia" w:ascii="黑体" w:eastAsia="黑体" w:cs="黑体"/>
          <w:b w:val="0"/>
          <w:bCs/>
        </w:rPr>
        <w:fldChar w:fldCharType="separate"/>
      </w:r>
      <w:r>
        <w:rPr>
          <w:rFonts w:hint="eastAsia" w:ascii="黑体" w:eastAsia="黑体" w:cs="黑体"/>
          <w:b w:val="0"/>
          <w:bCs/>
        </w:rPr>
        <w:t>5.4</w:t>
      </w:r>
      <w:r>
        <w:rPr>
          <w:rFonts w:hint="eastAsia" w:ascii="黑体" w:eastAsia="黑体" w:cs="黑体"/>
          <w:b w:val="0"/>
          <w:bCs/>
        </w:rPr>
        <w:fldChar w:fldCharType="end"/>
      </w:r>
      <w:r>
        <w:rPr>
          <w:rFonts w:hint="eastAsia" w:ascii="黑体" w:eastAsia="黑体" w:cs="黑体"/>
          <w:b w:val="0"/>
          <w:bCs/>
        </w:rPr>
        <w:t>-</w:t>
      </w:r>
      <w:r>
        <w:rPr>
          <w:rFonts w:hint="eastAsia" w:ascii="黑体" w:eastAsia="黑体" w:cs="黑体"/>
          <w:b w:val="0"/>
          <w:bCs/>
        </w:rPr>
        <w:fldChar w:fldCharType="begin"/>
      </w:r>
      <w:r>
        <w:rPr>
          <w:rFonts w:hint="eastAsia" w:ascii="黑体" w:eastAsia="黑体" w:cs="黑体"/>
          <w:b w:val="0"/>
          <w:bCs/>
        </w:rPr>
        <w:instrText xml:space="preserve"> SEQ 图 \* ARABIC \s 2 </w:instrText>
      </w:r>
      <w:r>
        <w:rPr>
          <w:rFonts w:hint="eastAsia" w:ascii="黑体" w:eastAsia="黑体" w:cs="黑体"/>
          <w:b w:val="0"/>
          <w:bCs/>
        </w:rPr>
        <w:fldChar w:fldCharType="separate"/>
      </w:r>
      <w:r>
        <w:rPr>
          <w:rFonts w:hint="eastAsia" w:ascii="黑体" w:eastAsia="黑体" w:cs="黑体"/>
          <w:b w:val="0"/>
          <w:bCs/>
        </w:rPr>
        <w:t>3</w:t>
      </w:r>
      <w:r>
        <w:rPr>
          <w:rFonts w:hint="eastAsia" w:ascii="黑体" w:eastAsia="黑体" w:cs="黑体"/>
          <w:b w:val="0"/>
          <w:bCs/>
        </w:rPr>
        <w:fldChar w:fldCharType="end"/>
      </w:r>
      <w:r>
        <w:rPr>
          <w:rFonts w:hint="eastAsia" w:ascii="黑体" w:eastAsia="黑体" w:cs="黑体"/>
          <w:b w:val="0"/>
          <w:bCs/>
        </w:rPr>
        <w:t>网络系统图</w:t>
      </w:r>
    </w:p>
    <w:p w14:paraId="14D2AF61">
      <w:pPr>
        <w:numPr>
          <w:ilvl w:val="0"/>
          <w:numId w:val="9"/>
        </w:numPr>
        <w:ind w:left="0" w:firstLine="560" w:firstLineChars="0"/>
        <w:rPr>
          <w:rFonts w:hint="eastAsia"/>
        </w:rPr>
      </w:pPr>
      <w:r>
        <w:rPr>
          <w:rFonts w:hint="eastAsia" w:ascii="宋体" w:eastAsia="宋体" w:cs="宋体"/>
          <w:snapToGrid w:val="0"/>
        </w:rPr>
        <w:t>本项目的所有前端摄像机通过运营商网络直接进入运营商托管机房，由托管机房进行汇聚，并部署对应的云存储服务器、对应的人像、车辆解析设备，所有的网络交换设备部署在运营商托管机；</w:t>
      </w:r>
    </w:p>
    <w:p w14:paraId="35BE2EE3">
      <w:pPr>
        <w:numPr>
          <w:ilvl w:val="0"/>
          <w:numId w:val="9"/>
        </w:numPr>
        <w:ind w:left="0" w:firstLine="560" w:firstLineChars="0"/>
        <w:rPr>
          <w:rFonts w:hint="eastAsia" w:ascii="宋体" w:eastAsia="宋体" w:cs="宋体"/>
          <w:snapToGrid w:val="0"/>
        </w:rPr>
      </w:pPr>
      <w:r>
        <w:rPr>
          <w:rFonts w:hint="eastAsia" w:ascii="宋体" w:eastAsia="宋体" w:cs="宋体"/>
          <w:snapToGrid w:val="0"/>
        </w:rPr>
        <w:t>将汇聚的所有的数据上传至市级雪亮平台，涉及到视综应用设备部署在滁州市市局的核心机房。</w:t>
      </w:r>
    </w:p>
    <w:p w14:paraId="0D80556A">
      <w:pPr>
        <w:pStyle w:val="7"/>
        <w:spacing w:before="156"/>
        <w:rPr>
          <w:rFonts w:hint="eastAsia"/>
          <w:color w:val="000000"/>
        </w:rPr>
      </w:pPr>
      <w:r>
        <w:rPr>
          <w:rFonts w:hint="eastAsia"/>
          <w:color w:val="000000"/>
        </w:rPr>
        <w:t>功能架构</w:t>
      </w:r>
    </w:p>
    <w:p w14:paraId="639E77EE">
      <w:pPr>
        <w:rPr>
          <w:rFonts w:hint="eastAsia" w:ascii="宋体" w:eastAsia="宋体" w:cs="宋体"/>
          <w:snapToGrid w:val="0"/>
        </w:rPr>
      </w:pPr>
      <w:r>
        <w:rPr>
          <w:rFonts w:hint="eastAsia" w:ascii="宋体" w:eastAsia="宋体" w:cs="宋体"/>
          <w:snapToGrid w:val="0"/>
        </w:rPr>
        <w:t>本次系统功能主要集成在公安视频图像服务平台。</w:t>
      </w:r>
    </w:p>
    <w:p w14:paraId="186F6EBB">
      <w:pPr>
        <w:rPr>
          <w:rFonts w:hint="eastAsia" w:ascii="等线" w:hAnsi="等线" w:cs="等线"/>
          <w:szCs w:val="28"/>
        </w:rPr>
      </w:pPr>
      <w:r>
        <w:rPr>
          <w:rFonts w:ascii="等线" w:hAnsi="等线" w:cs="等线"/>
          <w:szCs w:val="28"/>
        </w:rPr>
        <w:drawing>
          <wp:inline distT="0" distB="0" distL="114300" distR="114300">
            <wp:extent cx="5199380" cy="2343150"/>
            <wp:effectExtent l="0" t="0" r="1270" b="0"/>
            <wp:docPr id="22" name="图片 60" descr="a3f89c7ecfb6b879c822321437d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0" descr="a3f89c7ecfb6b879c822321437d79d9"/>
                    <pic:cNvPicPr>
                      <a:picLocks noChangeAspect="1"/>
                    </pic:cNvPicPr>
                  </pic:nvPicPr>
                  <pic:blipFill>
                    <a:blip r:embed="rId13"/>
                    <a:stretch>
                      <a:fillRect/>
                    </a:stretch>
                  </pic:blipFill>
                  <pic:spPr>
                    <a:xfrm>
                      <a:off x="0" y="0"/>
                      <a:ext cx="5199380" cy="2343150"/>
                    </a:xfrm>
                    <a:prstGeom prst="rect">
                      <a:avLst/>
                    </a:prstGeom>
                    <a:noFill/>
                    <a:ln w="9525" cap="flat" cmpd="sng">
                      <a:noFill/>
                      <a:prstDash val="solid"/>
                      <a:miter/>
                    </a:ln>
                  </pic:spPr>
                </pic:pic>
              </a:graphicData>
            </a:graphic>
          </wp:inline>
        </w:drawing>
      </w:r>
    </w:p>
    <w:p w14:paraId="5BE89026">
      <w:pPr>
        <w:pStyle w:val="15"/>
        <w:jc w:val="center"/>
        <w:rPr>
          <w:rFonts w:hint="eastAsia"/>
        </w:rPr>
      </w:pPr>
      <w:r>
        <w:rPr>
          <w:rFonts w:hint="eastAsia" w:ascii="黑体" w:eastAsia="黑体" w:cs="黑体"/>
          <w:sz w:val="24"/>
          <w:szCs w:val="24"/>
        </w:rPr>
        <w:t>图</w:t>
      </w:r>
      <w:r>
        <w:rPr>
          <w:rFonts w:hint="eastAsia" w:ascii="黑体" w:eastAsia="黑体" w:cs="黑体"/>
          <w:sz w:val="24"/>
          <w:szCs w:val="24"/>
        </w:rPr>
        <w:fldChar w:fldCharType="begin"/>
      </w:r>
      <w:r>
        <w:rPr>
          <w:rFonts w:hint="eastAsia" w:ascii="黑体" w:eastAsia="黑体" w:cs="黑体"/>
          <w:sz w:val="24"/>
          <w:szCs w:val="24"/>
        </w:rPr>
        <w:instrText xml:space="preserve"> STYLEREF 2 \s </w:instrText>
      </w:r>
      <w:r>
        <w:rPr>
          <w:rFonts w:hint="eastAsia" w:ascii="黑体" w:eastAsia="黑体" w:cs="黑体"/>
          <w:sz w:val="24"/>
          <w:szCs w:val="24"/>
        </w:rPr>
        <w:fldChar w:fldCharType="separate"/>
      </w:r>
      <w:r>
        <w:rPr>
          <w:rFonts w:hint="eastAsia" w:ascii="黑体" w:eastAsia="黑体" w:cs="黑体"/>
          <w:sz w:val="24"/>
          <w:szCs w:val="24"/>
        </w:rPr>
        <w:t>5.4</w:t>
      </w:r>
      <w:r>
        <w:rPr>
          <w:rFonts w:hint="eastAsia" w:ascii="黑体" w:eastAsia="黑体" w:cs="黑体"/>
          <w:sz w:val="24"/>
          <w:szCs w:val="24"/>
        </w:rPr>
        <w:fldChar w:fldCharType="end"/>
      </w:r>
      <w:r>
        <w:rPr>
          <w:rFonts w:hint="eastAsia" w:ascii="黑体" w:eastAsia="黑体" w:cs="黑体"/>
          <w:sz w:val="24"/>
          <w:szCs w:val="24"/>
        </w:rPr>
        <w:t>-</w:t>
      </w:r>
      <w:r>
        <w:rPr>
          <w:rFonts w:hint="eastAsia" w:ascii="黑体" w:eastAsia="黑体" w:cs="黑体"/>
          <w:sz w:val="24"/>
          <w:szCs w:val="24"/>
        </w:rPr>
        <w:fldChar w:fldCharType="begin"/>
      </w:r>
      <w:r>
        <w:rPr>
          <w:rFonts w:hint="eastAsia" w:ascii="黑体" w:eastAsia="黑体" w:cs="黑体"/>
          <w:sz w:val="24"/>
          <w:szCs w:val="24"/>
        </w:rPr>
        <w:instrText xml:space="preserve"> SEQ 图 \* ARABIC \s 2 </w:instrText>
      </w:r>
      <w:r>
        <w:rPr>
          <w:rFonts w:hint="eastAsia" w:ascii="黑体" w:eastAsia="黑体" w:cs="黑体"/>
          <w:sz w:val="24"/>
          <w:szCs w:val="24"/>
        </w:rPr>
        <w:fldChar w:fldCharType="separate"/>
      </w:r>
      <w:r>
        <w:rPr>
          <w:rFonts w:hint="eastAsia" w:ascii="黑体" w:eastAsia="黑体" w:cs="黑体"/>
          <w:sz w:val="24"/>
          <w:szCs w:val="24"/>
        </w:rPr>
        <w:t>4</w:t>
      </w:r>
      <w:r>
        <w:rPr>
          <w:rFonts w:hint="eastAsia" w:ascii="黑体" w:eastAsia="黑体" w:cs="黑体"/>
          <w:sz w:val="24"/>
          <w:szCs w:val="24"/>
        </w:rPr>
        <w:fldChar w:fldCharType="end"/>
      </w:r>
      <w:r>
        <w:rPr>
          <w:rFonts w:hint="eastAsia" w:ascii="黑体" w:eastAsia="黑体" w:cs="黑体"/>
          <w:sz w:val="24"/>
          <w:szCs w:val="24"/>
        </w:rPr>
        <w:t>公安视频图像服务平台功能架构图</w:t>
      </w:r>
    </w:p>
    <w:bookmarkEnd w:id="247"/>
    <w:p w14:paraId="32ED6573">
      <w:pPr>
        <w:pStyle w:val="6"/>
        <w:rPr>
          <w:color w:val="000000"/>
        </w:rPr>
      </w:pPr>
      <w:bookmarkStart w:id="248" w:name="_Toc138615722"/>
      <w:bookmarkStart w:id="249" w:name="_Toc5570"/>
      <w:r>
        <w:rPr>
          <w:rFonts w:hint="eastAsia"/>
          <w:color w:val="000000"/>
        </w:rPr>
        <w:t>部署架构</w:t>
      </w:r>
      <w:bookmarkEnd w:id="248"/>
      <w:bookmarkEnd w:id="249"/>
    </w:p>
    <w:p w14:paraId="1C3A22DC">
      <w:pPr>
        <w:rPr>
          <w:rFonts w:hint="eastAsia" w:eastAsia="宋体" w:cs="宋体"/>
        </w:rPr>
      </w:pPr>
      <w:bookmarkStart w:id="250" w:name="_Toc138615925"/>
      <w:r>
        <w:rPr>
          <w:rFonts w:hint="eastAsia" w:ascii="宋体" w:eastAsia="宋体" w:cs="宋体"/>
        </w:rPr>
        <w:t>本此项目联网架构设计将满足横向联通和纵向级联的需求，主要涉及视频专网、公安信息网内的系统服务，以便实现全市视频图像资源跨地区、跨部门共享共用。联网架构设计如下：</w:t>
      </w:r>
    </w:p>
    <w:p w14:paraId="00995974">
      <w:pPr>
        <w:pStyle w:val="30"/>
        <w:ind w:left="0"/>
        <w:rPr>
          <w:rFonts w:hint="eastAsia" w:ascii="宋体" w:hAnsi="宋体" w:eastAsia="等线" w:cs="宋体"/>
          <w:sz w:val="24"/>
          <w:szCs w:val="24"/>
          <w:lang w:eastAsia="zh-CN"/>
        </w:rPr>
      </w:pPr>
      <w:r>
        <w:drawing>
          <wp:anchor distT="0" distB="0" distL="114300" distR="114300" simplePos="0" relativeHeight="251659264" behindDoc="0" locked="0" layoutInCell="1" allowOverlap="1">
            <wp:simplePos x="0" y="0"/>
            <wp:positionH relativeFrom="column">
              <wp:posOffset>-13970</wp:posOffset>
            </wp:positionH>
            <wp:positionV relativeFrom="paragraph">
              <wp:posOffset>205740</wp:posOffset>
            </wp:positionV>
            <wp:extent cx="5668645" cy="3005455"/>
            <wp:effectExtent l="0" t="0" r="8255" b="4445"/>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5668645" cy="3005455"/>
                    </a:xfrm>
                    <a:prstGeom prst="rect">
                      <a:avLst/>
                    </a:prstGeom>
                    <a:noFill/>
                    <a:ln w="9525" cap="flat" cmpd="sng">
                      <a:noFill/>
                      <a:prstDash val="solid"/>
                      <a:round/>
                    </a:ln>
                  </pic:spPr>
                </pic:pic>
              </a:graphicData>
            </a:graphic>
          </wp:anchor>
        </w:drawing>
      </w:r>
    </w:p>
    <w:p w14:paraId="1CA1F4C8">
      <w:pPr>
        <w:pStyle w:val="12"/>
        <w:jc w:val="center"/>
      </w:pPr>
      <w:r>
        <w:t xml:space="preserve">图 </w:t>
      </w:r>
      <w:r>
        <w:fldChar w:fldCharType="begin"/>
      </w:r>
      <w:r>
        <w:instrText xml:space="preserve"> STYLEREF 2 \s </w:instrText>
      </w:r>
      <w:r>
        <w:fldChar w:fldCharType="separate"/>
      </w:r>
      <w:r>
        <w:t>5.4</w:t>
      </w:r>
      <w:r>
        <w:fldChar w:fldCharType="end"/>
      </w:r>
      <w:r>
        <w:rPr>
          <w:rFonts w:hint="eastAsia"/>
        </w:rPr>
        <w:t>-</w:t>
      </w:r>
      <w:r>
        <w:fldChar w:fldCharType="begin"/>
      </w:r>
      <w:r>
        <w:instrText xml:space="preserve"> SEQ 图 \* ARABIC \s 2 </w:instrText>
      </w:r>
      <w:r>
        <w:fldChar w:fldCharType="separate"/>
      </w:r>
      <w:r>
        <w:t>5</w:t>
      </w:r>
      <w:r>
        <w:fldChar w:fldCharType="end"/>
      </w:r>
      <w:r>
        <w:rPr>
          <w:rFonts w:hint="eastAsia"/>
        </w:rPr>
        <w:t>部署架构图</w:t>
      </w:r>
    </w:p>
    <w:p w14:paraId="485249FF">
      <w:pPr>
        <w:rPr>
          <w:rFonts w:hint="eastAsia" w:ascii="宋体" w:eastAsia="宋体" w:cs="宋体"/>
        </w:rPr>
      </w:pPr>
      <w:r>
        <w:rPr>
          <w:rFonts w:hint="eastAsia" w:ascii="宋体" w:eastAsia="宋体" w:cs="宋体"/>
        </w:rPr>
        <w:t>公安视频专网：对现有雪亮平台系统进行提升，增加现有视频共享平台的接入及流媒体转发能力，增加现有云存储系统能力，增加现有视图库系统能力，以提升系统整体接入转发能力、数据处理能力和存储空间。同时需增加解析中心服务要求，包括人脸解析、车辆解析图片解析算法、视频解析。</w:t>
      </w:r>
    </w:p>
    <w:p w14:paraId="040EB3CE">
      <w:pPr>
        <w:rPr>
          <w:rFonts w:hint="eastAsia" w:ascii="宋体" w:eastAsia="宋体" w:cs="宋体"/>
        </w:rPr>
      </w:pPr>
      <w:r>
        <w:rPr>
          <w:rFonts w:hint="eastAsia" w:ascii="宋体" w:eastAsia="宋体" w:cs="宋体"/>
        </w:rPr>
        <w:t>公安信息网：同步增加现有公安网视图库系统能力，提升数据存储及检索能力，以满足数据的集中调用及省厅平台的对接。</w:t>
      </w:r>
    </w:p>
    <w:p w14:paraId="41471BCF">
      <w:pPr>
        <w:pStyle w:val="6"/>
        <w:rPr>
          <w:color w:val="000000"/>
        </w:rPr>
      </w:pPr>
      <w:bookmarkStart w:id="251" w:name="_Toc5038"/>
      <w:r>
        <w:rPr>
          <w:color w:val="000000"/>
        </w:rPr>
        <w:t>与存量系统数据关系</w:t>
      </w:r>
      <w:bookmarkEnd w:id="250"/>
      <w:bookmarkEnd w:id="251"/>
    </w:p>
    <w:p w14:paraId="72574CC9">
      <w:pPr>
        <w:rPr>
          <w:rFonts w:hint="eastAsia" w:ascii="宋体" w:eastAsia="宋体" w:cs="宋体"/>
        </w:rPr>
      </w:pPr>
      <w:r>
        <w:rPr>
          <w:rFonts w:hint="eastAsia" w:ascii="宋体" w:eastAsia="宋体" w:cs="宋体"/>
          <w:szCs w:val="28"/>
        </w:rPr>
        <w:t>滁州市公共安全视频监控服务项目</w:t>
      </w:r>
      <w:r>
        <w:rPr>
          <w:rFonts w:hint="eastAsia" w:ascii="宋体" w:eastAsia="宋体" w:cs="宋体"/>
        </w:rPr>
        <w:t>中前端点位直接接入雪亮工程公安平台统一管理和存储，统一在雪亮工程公安平台监看。</w:t>
      </w:r>
    </w:p>
    <w:p w14:paraId="09CE3BEB">
      <w:pPr>
        <w:pStyle w:val="6"/>
        <w:rPr>
          <w:color w:val="000000"/>
        </w:rPr>
      </w:pPr>
      <w:bookmarkStart w:id="252" w:name="_Toc20193"/>
      <w:r>
        <w:rPr>
          <w:color w:val="000000"/>
        </w:rPr>
        <w:t>运维运营规划</w:t>
      </w:r>
      <w:bookmarkEnd w:id="252"/>
    </w:p>
    <w:p w14:paraId="4BF45C2C">
      <w:pPr>
        <w:pStyle w:val="123"/>
        <w:rPr>
          <w:rFonts w:hint="eastAsia" w:ascii="宋体" w:eastAsia="宋体" w:cs="宋体"/>
        </w:rPr>
      </w:pPr>
      <w:r>
        <w:rPr>
          <w:rFonts w:hint="eastAsia" w:ascii="宋体" w:eastAsia="宋体" w:cs="宋体"/>
        </w:rPr>
        <w:t>服务期内积极保障前端点位的设备安全、供电稳定，确保前端完好率指标达到考核要求，保障前端设备图像质量满足实战应用、定期核查摄像机字符叠加、时钟同步、GIS 标注、录像回放、球机云台等功能，形成日常巡查记录；根据实际业务需求及市政道路建设积极开展前端点位迁建工作。</w:t>
      </w:r>
    </w:p>
    <w:p w14:paraId="1D43B06B">
      <w:pPr>
        <w:pStyle w:val="123"/>
        <w:rPr>
          <w:rFonts w:hint="eastAsia" w:ascii="宋体" w:eastAsia="宋体" w:cs="宋体"/>
        </w:rPr>
      </w:pPr>
      <w:r>
        <w:rPr>
          <w:rFonts w:hint="eastAsia" w:ascii="宋体" w:eastAsia="宋体" w:cs="宋体"/>
        </w:rPr>
        <w:t>在本次约定的运维服务费用期限内，将包含服务期内每年度重大活动期间的链路维护费用，以确保每年不超过十次的重大活动得到充分保障。重大活动保障内容包含覆盖现场人员值守、临时链路搭建以及与重大活动相关的维护保养工作。</w:t>
      </w:r>
    </w:p>
    <w:p w14:paraId="437BE26A">
      <w:pPr>
        <w:pStyle w:val="123"/>
        <w:rPr>
          <w:rFonts w:hint="eastAsia" w:ascii="宋体" w:eastAsia="宋体" w:cs="宋体"/>
        </w:rPr>
      </w:pPr>
      <w:r>
        <w:rPr>
          <w:rFonts w:hint="eastAsia" w:ascii="宋体" w:eastAsia="宋体" w:cs="宋体"/>
        </w:rPr>
        <w:t>服务受理：服务单位应提供应实行本地化维保，提供完善、专业、高质量的 维保服务；应提供不少于2部服务电话，实行7x24小时接听、及时响应购买服务单位的技术咨询、沟通、服务请求和故障申报处置，按照本合同约定的故障响应程序要求处理，并反馈维保服务信息。</w:t>
      </w:r>
    </w:p>
    <w:p w14:paraId="429020BD">
      <w:pPr>
        <w:pStyle w:val="123"/>
        <w:rPr>
          <w:rFonts w:hint="eastAsia" w:ascii="宋体" w:eastAsia="宋体" w:cs="宋体"/>
        </w:rPr>
      </w:pPr>
      <w:r>
        <w:rPr>
          <w:rFonts w:hint="eastAsia" w:ascii="宋体" w:eastAsia="宋体" w:cs="宋体"/>
        </w:rPr>
        <w:t>服务响应：在接到购买服务单位的技术咨询、沟通、服务请求和故障申报等服务请求后，按下列要求处理。</w:t>
      </w:r>
    </w:p>
    <w:p w14:paraId="23F2043A">
      <w:pPr>
        <w:pStyle w:val="123"/>
        <w:rPr>
          <w:rFonts w:hint="eastAsia" w:ascii="宋体" w:eastAsia="宋体" w:cs="宋体"/>
        </w:rPr>
      </w:pPr>
      <w:r>
        <w:rPr>
          <w:rFonts w:hint="eastAsia" w:ascii="宋体" w:eastAsia="宋体" w:cs="宋体"/>
        </w:rPr>
        <w:t>1、若为技术咨询、沟通等非故障申报类，服务单位应立即响应处理。</w:t>
      </w:r>
    </w:p>
    <w:p w14:paraId="5E4190F1">
      <w:pPr>
        <w:pStyle w:val="123"/>
        <w:rPr>
          <w:rFonts w:hint="eastAsia" w:ascii="宋体" w:eastAsia="宋体" w:cs="宋体"/>
        </w:rPr>
      </w:pPr>
      <w:r>
        <w:rPr>
          <w:rFonts w:hint="eastAsia" w:ascii="宋体" w:eastAsia="宋体" w:cs="宋体"/>
        </w:rPr>
        <w:t>2、若为故障申报，服务单位应立即响应，维保人员应及时赶赴故障现场，48小时内排除故障。（由不可抗力、人为损坏、市政建设、租用线路故障、停电等非维保单位控制的因素造成的故障除外。）故障处理过程中，维保人员应向故障申报单位及时反馈处理进展和状态；故障处理完毕后，向故障申报单位反馈确认。</w:t>
      </w:r>
    </w:p>
    <w:p w14:paraId="141B4F5C">
      <w:pPr>
        <w:pStyle w:val="123"/>
        <w:rPr>
          <w:rFonts w:hint="eastAsia" w:ascii="宋体" w:eastAsia="宋体" w:cs="宋体"/>
          <w:lang w:val="zh-CN"/>
        </w:rPr>
      </w:pPr>
      <w:r>
        <w:rPr>
          <w:rFonts w:hint="eastAsia" w:ascii="宋体" w:eastAsia="宋体" w:cs="宋体"/>
          <w:lang w:val="zh-CN"/>
        </w:rPr>
        <w:t>系统运维期内，</w:t>
      </w:r>
      <w:r>
        <w:rPr>
          <w:rFonts w:hint="eastAsia" w:ascii="宋体" w:eastAsia="宋体" w:cs="宋体"/>
        </w:rPr>
        <w:t>服务商应为购买方派驻专用驻点人员</w:t>
      </w:r>
      <w:r>
        <w:rPr>
          <w:rFonts w:hint="eastAsia" w:ascii="宋体" w:eastAsia="宋体" w:cs="宋体"/>
          <w:lang w:val="zh-CN"/>
        </w:rPr>
        <w:t>，确保运维响应迅速、高效。驻点人员应政治清白、无犯罪记录、无不良嗜好，其工作能力应经</w:t>
      </w:r>
      <w:r>
        <w:rPr>
          <w:rFonts w:hint="eastAsia" w:ascii="宋体" w:eastAsia="宋体" w:cs="宋体"/>
        </w:rPr>
        <w:t>购买</w:t>
      </w:r>
      <w:r>
        <w:rPr>
          <w:rFonts w:hint="eastAsia" w:ascii="宋体" w:eastAsia="宋体" w:cs="宋体"/>
          <w:lang w:val="zh-CN"/>
        </w:rPr>
        <w:t>方认可并审核批准，工作期间接受</w:t>
      </w:r>
      <w:r>
        <w:rPr>
          <w:rFonts w:hint="eastAsia" w:ascii="宋体" w:eastAsia="宋体" w:cs="宋体"/>
        </w:rPr>
        <w:t>购买</w:t>
      </w:r>
      <w:r>
        <w:rPr>
          <w:rFonts w:hint="eastAsia" w:ascii="宋体" w:eastAsia="宋体" w:cs="宋体"/>
          <w:lang w:val="zh-CN"/>
        </w:rPr>
        <w:t>方统一管理。</w:t>
      </w:r>
      <w:r>
        <w:rPr>
          <w:rFonts w:hint="eastAsia" w:ascii="宋体" w:eastAsia="宋体" w:cs="宋体"/>
        </w:rPr>
        <w:t>如驻点人员不能满足购买方服务需要，购买方有权要求中标服务商一周内予以更换，如遇驻点人员、生病、离职等不能继续服务的特殊情况，中标服务商应提前向购买方报备，经允许后在一周内提供新驻点人员。</w:t>
      </w:r>
    </w:p>
    <w:p w14:paraId="40CF73B1">
      <w:pPr>
        <w:pStyle w:val="123"/>
        <w:rPr>
          <w:rFonts w:hint="eastAsia" w:ascii="宋体" w:eastAsia="宋体" w:cs="宋体"/>
        </w:rPr>
      </w:pPr>
      <w:r>
        <w:rPr>
          <w:rFonts w:hint="eastAsia" w:ascii="宋体" w:eastAsia="宋体" w:cs="宋体"/>
        </w:rPr>
        <w:t>购买</w:t>
      </w:r>
      <w:r>
        <w:rPr>
          <w:rFonts w:hint="eastAsia" w:ascii="宋体" w:eastAsia="宋体" w:cs="宋体"/>
          <w:lang w:val="zh-CN"/>
        </w:rPr>
        <w:t>方提供办公场所，驻场人员按照每月不少于22天，每天不少于8小时的提供驻场保障服务，</w:t>
      </w:r>
      <w:r>
        <w:rPr>
          <w:rFonts w:hint="eastAsia" w:ascii="宋体" w:eastAsia="宋体" w:cs="宋体"/>
        </w:rPr>
        <w:t>周六、周日及</w:t>
      </w:r>
      <w:r>
        <w:rPr>
          <w:rFonts w:hint="eastAsia" w:ascii="宋体" w:eastAsia="宋体" w:cs="宋体"/>
          <w:lang w:val="zh-CN"/>
        </w:rPr>
        <w:t>国家法定节假日至少保证1名人员在岗值班。驻场时必须在</w:t>
      </w:r>
      <w:r>
        <w:rPr>
          <w:rFonts w:hint="eastAsia" w:ascii="宋体" w:eastAsia="宋体" w:cs="宋体"/>
        </w:rPr>
        <w:t>购买</w:t>
      </w:r>
      <w:r>
        <w:rPr>
          <w:rFonts w:hint="eastAsia" w:ascii="宋体" w:eastAsia="宋体" w:cs="宋体"/>
          <w:lang w:val="zh-CN"/>
        </w:rPr>
        <w:t>方提供的办公场所办公，按</w:t>
      </w:r>
      <w:r>
        <w:rPr>
          <w:rFonts w:hint="eastAsia" w:ascii="宋体" w:eastAsia="宋体" w:cs="宋体"/>
        </w:rPr>
        <w:t>购买</w:t>
      </w:r>
      <w:r>
        <w:rPr>
          <w:rFonts w:hint="eastAsia" w:ascii="宋体" w:eastAsia="宋体" w:cs="宋体"/>
          <w:lang w:val="zh-CN"/>
        </w:rPr>
        <w:t>方要求进行考勤并接受</w:t>
      </w:r>
      <w:r>
        <w:rPr>
          <w:rFonts w:hint="eastAsia" w:ascii="宋体" w:eastAsia="宋体" w:cs="宋体"/>
        </w:rPr>
        <w:t>购买</w:t>
      </w:r>
      <w:r>
        <w:rPr>
          <w:rFonts w:hint="eastAsia" w:ascii="宋体" w:eastAsia="宋体" w:cs="宋体"/>
          <w:lang w:val="zh-CN"/>
        </w:rPr>
        <w:t>方管理，法定假日和工作时间外，根据</w:t>
      </w:r>
      <w:r>
        <w:rPr>
          <w:rFonts w:hint="eastAsia" w:ascii="宋体" w:eastAsia="宋体" w:cs="宋体"/>
        </w:rPr>
        <w:t>购买</w:t>
      </w:r>
      <w:r>
        <w:rPr>
          <w:rFonts w:hint="eastAsia" w:ascii="宋体" w:eastAsia="宋体" w:cs="宋体"/>
          <w:lang w:val="zh-CN"/>
        </w:rPr>
        <w:t>方要求随时提供驻场服务，为</w:t>
      </w:r>
      <w:r>
        <w:rPr>
          <w:rFonts w:hint="eastAsia" w:ascii="宋体" w:eastAsia="宋体" w:cs="宋体"/>
        </w:rPr>
        <w:t>购买</w:t>
      </w:r>
      <w:r>
        <w:rPr>
          <w:rFonts w:hint="eastAsia" w:ascii="宋体" w:eastAsia="宋体" w:cs="宋体"/>
          <w:lang w:val="zh-CN"/>
        </w:rPr>
        <w:t>方提供日常巡检和故障诊断排查、技术保障等服务，并对设备日常情况及维修情况进行记录归档。同时，按实际要求，满足</w:t>
      </w:r>
      <w:r>
        <w:rPr>
          <w:rFonts w:hint="eastAsia" w:ascii="宋体" w:eastAsia="宋体" w:cs="宋体"/>
        </w:rPr>
        <w:t>购买</w:t>
      </w:r>
      <w:r>
        <w:rPr>
          <w:rFonts w:hint="eastAsia" w:ascii="宋体" w:eastAsia="宋体" w:cs="宋体"/>
          <w:lang w:val="zh-CN"/>
        </w:rPr>
        <w:t>方其他技术服务。</w:t>
      </w:r>
    </w:p>
    <w:p w14:paraId="68D88EF3">
      <w:pPr>
        <w:pStyle w:val="123"/>
        <w:rPr>
          <w:rFonts w:hint="eastAsia" w:ascii="宋体" w:eastAsia="宋体" w:cs="宋体"/>
          <w:lang w:val="zh-CN"/>
        </w:rPr>
      </w:pPr>
      <w:r>
        <w:rPr>
          <w:rFonts w:hint="eastAsia" w:ascii="宋体" w:eastAsia="宋体" w:cs="宋体"/>
          <w:lang w:val="zh-CN"/>
        </w:rPr>
        <w:t>维护保养分日常保养和</w:t>
      </w:r>
      <w:r>
        <w:rPr>
          <w:rFonts w:hint="eastAsia" w:ascii="宋体" w:eastAsia="宋体" w:cs="宋体"/>
        </w:rPr>
        <w:t>购买</w:t>
      </w:r>
      <w:r>
        <w:rPr>
          <w:rFonts w:hint="eastAsia" w:ascii="宋体" w:eastAsia="宋体" w:cs="宋体"/>
          <w:lang w:val="zh-CN"/>
        </w:rPr>
        <w:t>方工作指令。</w:t>
      </w:r>
    </w:p>
    <w:p w14:paraId="5F605E69">
      <w:pPr>
        <w:pStyle w:val="123"/>
        <w:rPr>
          <w:rFonts w:hint="eastAsia" w:ascii="宋体" w:eastAsia="宋体" w:cs="宋体"/>
          <w:lang w:val="zh-CN"/>
        </w:rPr>
      </w:pPr>
      <w:r>
        <w:rPr>
          <w:rFonts w:hint="eastAsia" w:ascii="宋体" w:eastAsia="宋体" w:cs="宋体"/>
          <w:lang w:val="zh-CN"/>
        </w:rPr>
        <w:t>1）日常保养包括前端：检查杆件是否存在、损坏和有障碍物，检查摄像头设备是否存在、损坏和球机外罩是否清洁、除尘,检查云台、护罩、控制箱是否存在、损坏；前端维修至少每季度1次。</w:t>
      </w:r>
    </w:p>
    <w:p w14:paraId="02B21024">
      <w:pPr>
        <w:pStyle w:val="123"/>
        <w:rPr>
          <w:rFonts w:hint="eastAsia" w:ascii="宋体" w:eastAsia="宋体" w:cs="宋体"/>
          <w:lang w:val="zh-CN"/>
        </w:rPr>
      </w:pPr>
      <w:r>
        <w:rPr>
          <w:rFonts w:hint="eastAsia" w:ascii="宋体" w:eastAsia="宋体" w:cs="宋体"/>
          <w:lang w:val="zh-CN"/>
        </w:rPr>
        <w:t xml:space="preserve">传输：电缆和光缆线路是否裸露、破损信号是否衰减；传输维修至少每季度1次。 </w:t>
      </w:r>
    </w:p>
    <w:p w14:paraId="205CA109">
      <w:pPr>
        <w:pStyle w:val="123"/>
        <w:rPr>
          <w:rFonts w:hint="eastAsia" w:ascii="宋体" w:eastAsia="宋体" w:cs="宋体"/>
          <w:lang w:val="zh-CN"/>
        </w:rPr>
      </w:pPr>
      <w:r>
        <w:rPr>
          <w:rFonts w:hint="eastAsia" w:ascii="宋体" w:eastAsia="宋体" w:cs="宋体"/>
          <w:lang w:val="zh-CN"/>
        </w:rPr>
        <w:t>2）指令包括：</w:t>
      </w:r>
      <w:r>
        <w:rPr>
          <w:rFonts w:hint="eastAsia" w:ascii="宋体" w:eastAsia="宋体" w:cs="宋体"/>
        </w:rPr>
        <w:t>购买</w:t>
      </w:r>
      <w:r>
        <w:rPr>
          <w:rFonts w:hint="eastAsia" w:ascii="宋体" w:eastAsia="宋体" w:cs="宋体"/>
          <w:lang w:val="zh-CN"/>
        </w:rPr>
        <w:t>方发现的指令包括服务方到现场维护的工作，如树枝遮挡、立杆横臂位移等。</w:t>
      </w:r>
    </w:p>
    <w:p w14:paraId="76AE7FEE">
      <w:pPr>
        <w:pStyle w:val="123"/>
        <w:rPr>
          <w:rFonts w:hint="eastAsia" w:ascii="宋体" w:eastAsia="宋体" w:cs="宋体"/>
        </w:rPr>
      </w:pPr>
      <w:r>
        <w:rPr>
          <w:rFonts w:hint="eastAsia" w:ascii="宋体" w:eastAsia="宋体" w:cs="宋体"/>
          <w:lang w:val="zh-CN"/>
        </w:rPr>
        <w:t>日常保养：由</w:t>
      </w:r>
      <w:r>
        <w:rPr>
          <w:rFonts w:hint="eastAsia" w:ascii="宋体" w:eastAsia="宋体" w:cs="宋体"/>
        </w:rPr>
        <w:t>购买</w:t>
      </w:r>
      <w:r>
        <w:rPr>
          <w:rFonts w:hint="eastAsia" w:ascii="宋体" w:eastAsia="宋体" w:cs="宋体"/>
          <w:lang w:val="zh-CN"/>
        </w:rPr>
        <w:t>方根据服务方提交的维护保养记录和现场检查情况</w:t>
      </w:r>
      <w:r>
        <w:rPr>
          <w:rFonts w:hint="eastAsia" w:ascii="宋体" w:eastAsia="宋体" w:cs="宋体"/>
        </w:rPr>
        <w:t>考核，发现一次与实际情况不符的扣除一个监控点当月付费金额。购买方指令一般情况下在48小时内完成，如果不能完成扣除一个监控点当月付费金额。</w:t>
      </w:r>
    </w:p>
    <w:p w14:paraId="0FDE49E0">
      <w:pPr>
        <w:rPr>
          <w:rFonts w:hint="eastAsia" w:ascii="宋体" w:eastAsia="宋体" w:cs="宋体"/>
        </w:rPr>
      </w:pPr>
      <w:r>
        <w:rPr>
          <w:rFonts w:hint="eastAsia" w:ascii="宋体" w:eastAsia="宋体" w:cs="宋体"/>
        </w:rPr>
        <w:t>点位迁移：由于城市建设、修路等原因导致点位无法正常使用，服务方需要按照购买方指定位置迁移点位，点位迁移期间，月服务费正常支付。</w:t>
      </w:r>
    </w:p>
    <w:p w14:paraId="68F0CB96">
      <w:pPr>
        <w:pStyle w:val="57"/>
        <w:widowControl w:val="0"/>
        <w:autoSpaceDE w:val="0"/>
        <w:autoSpaceDN w:val="0"/>
        <w:adjustRightInd w:val="0"/>
        <w:spacing w:before="0" w:after="0"/>
        <w:rPr>
          <w:rFonts w:hint="eastAsia" w:ascii="宋体" w:eastAsia="宋体" w:cs="宋体"/>
          <w:kern w:val="2"/>
          <w:sz w:val="28"/>
          <w:szCs w:val="22"/>
        </w:rPr>
      </w:pPr>
      <w:r>
        <w:rPr>
          <w:rFonts w:hint="eastAsia" w:ascii="宋体" w:eastAsia="宋体" w:cs="宋体"/>
          <w:kern w:val="2"/>
          <w:sz w:val="28"/>
          <w:szCs w:val="22"/>
        </w:rPr>
        <w:t>若视频监控范围内发生案件、交通事故等，租赁设备对案件、事故发生有过错，服务方依法承担过错赔偿责任。</w:t>
      </w:r>
    </w:p>
    <w:bookmarkEnd w:id="242"/>
    <w:bookmarkEnd w:id="243"/>
    <w:bookmarkEnd w:id="244"/>
    <w:p w14:paraId="1F1E5856">
      <w:pPr>
        <w:pStyle w:val="4"/>
        <w:rPr>
          <w:color w:val="000000"/>
        </w:rPr>
      </w:pPr>
      <w:bookmarkStart w:id="253" w:name="_Toc17627"/>
      <w:bookmarkStart w:id="254" w:name="_Toc13126"/>
      <w:bookmarkStart w:id="255" w:name="_Toc26016"/>
      <w:bookmarkStart w:id="256" w:name="_Toc138615926"/>
      <w:bookmarkStart w:id="257" w:name="_Toc16786"/>
      <w:bookmarkStart w:id="258" w:name="_Toc7308"/>
      <w:bookmarkStart w:id="259" w:name="_Toc9096"/>
      <w:bookmarkStart w:id="260" w:name="_Toc1572"/>
      <w:r>
        <w:rPr>
          <w:color w:val="000000"/>
        </w:rPr>
        <w:t>技术方案</w:t>
      </w:r>
      <w:bookmarkEnd w:id="253"/>
      <w:bookmarkEnd w:id="254"/>
      <w:bookmarkEnd w:id="255"/>
      <w:bookmarkEnd w:id="256"/>
      <w:bookmarkEnd w:id="257"/>
      <w:bookmarkEnd w:id="258"/>
      <w:bookmarkEnd w:id="259"/>
      <w:bookmarkEnd w:id="260"/>
    </w:p>
    <w:p w14:paraId="5F384AF8">
      <w:pPr>
        <w:pStyle w:val="6"/>
        <w:rPr>
          <w:rFonts w:hint="eastAsia" w:ascii="宋体" w:hAnsi="宋体" w:cs="宋体"/>
        </w:rPr>
      </w:pPr>
      <w:bookmarkStart w:id="261" w:name="_Toc19698"/>
      <w:bookmarkStart w:id="262" w:name="_Toc29456"/>
      <w:r>
        <w:rPr>
          <w:rFonts w:hint="eastAsia" w:ascii="宋体" w:hAnsi="宋体" w:cs="宋体"/>
        </w:rPr>
        <w:t>前端感知采集服务</w:t>
      </w:r>
      <w:bookmarkEnd w:id="261"/>
      <w:bookmarkEnd w:id="262"/>
    </w:p>
    <w:p w14:paraId="03397671">
      <w:pPr>
        <w:rPr>
          <w:rFonts w:hint="eastAsia" w:ascii="宋体" w:eastAsia="宋体" w:cs="宋体"/>
          <w:snapToGrid w:val="0"/>
        </w:rPr>
      </w:pPr>
      <w:r>
        <w:rPr>
          <w:rFonts w:hint="eastAsia" w:ascii="宋体" w:eastAsia="宋体" w:cs="宋体"/>
          <w:snapToGrid w:val="0"/>
        </w:rPr>
        <w:t>本次公共安全视频监控服务在综合考虑已建视频监控资源的前提下，合理设置前端监控点位，并依旧场景不同选择不同类型的前端采集设备，实现人、车、物信息的全量采集。本次共购买2000台前端摄像机服务，</w:t>
      </w:r>
      <w:r>
        <w:rPr>
          <w:rFonts w:hint="eastAsia" w:ascii="宋体" w:eastAsia="宋体" w:cs="宋体"/>
          <w:szCs w:val="28"/>
        </w:rPr>
        <w:t>包括400万结构化枪机 150台、400万结构化双目枪机1244台、400万人像卡口摄像机100台、400万双目结构化球机450台、400万三目结构化球机20台、高倍球摄像机30台、900万环保卡口摄像机6台</w:t>
      </w:r>
      <w:r>
        <w:rPr>
          <w:rFonts w:hint="eastAsia" w:ascii="宋体" w:eastAsia="宋体" w:cs="宋体"/>
        </w:rPr>
        <w:t>，</w:t>
      </w:r>
      <w:r>
        <w:rPr>
          <w:rFonts w:hint="eastAsia" w:ascii="宋体" w:eastAsia="宋体" w:cs="宋体"/>
          <w:snapToGrid w:val="0"/>
        </w:rPr>
        <w:t>均需要兼容接入滁州市公安局现有视频共享平台。</w:t>
      </w:r>
    </w:p>
    <w:p w14:paraId="6D6ABF4A">
      <w:pPr>
        <w:pStyle w:val="7"/>
        <w:rPr>
          <w:rFonts w:hint="eastAsia" w:ascii="宋体" w:eastAsia="宋体" w:cs="宋体"/>
        </w:rPr>
      </w:pPr>
      <w:r>
        <w:rPr>
          <w:rFonts w:hint="eastAsia" w:ascii="宋体" w:eastAsia="宋体" w:cs="宋体"/>
        </w:rPr>
        <w:t>前端布点规范及原则</w:t>
      </w:r>
    </w:p>
    <w:p w14:paraId="460FF8D9">
      <w:pPr>
        <w:pStyle w:val="8"/>
        <w:rPr>
          <w:rFonts w:hint="eastAsia" w:ascii="宋体" w:eastAsia="宋体" w:cs="宋体"/>
        </w:rPr>
      </w:pPr>
      <w:bookmarkStart w:id="263" w:name="_Toc23189"/>
      <w:bookmarkStart w:id="264" w:name="_Toc27057"/>
      <w:bookmarkStart w:id="265" w:name="_Toc9798"/>
      <w:r>
        <w:rPr>
          <w:rFonts w:hint="eastAsia" w:ascii="宋体" w:eastAsia="宋体" w:cs="宋体"/>
        </w:rPr>
        <w:t>前端布点规范</w:t>
      </w:r>
      <w:bookmarkEnd w:id="263"/>
      <w:bookmarkEnd w:id="264"/>
      <w:bookmarkEnd w:id="265"/>
    </w:p>
    <w:p w14:paraId="4A99B5C1">
      <w:pPr>
        <w:pStyle w:val="123"/>
        <w:rPr>
          <w:rFonts w:hint="eastAsia" w:ascii="宋体" w:eastAsia="宋体" w:cs="宋体"/>
        </w:rPr>
      </w:pPr>
      <w:r>
        <w:rPr>
          <w:rFonts w:hint="eastAsia" w:ascii="宋体" w:eastAsia="宋体" w:cs="宋体"/>
        </w:rPr>
        <w:t>1）重点单位、重要场所、人员密集地点等的视频监控镜头一般设置于绿化带内，没有绿化带的可设置于人行道边或公路边；</w:t>
      </w:r>
    </w:p>
    <w:p w14:paraId="7DAED2F5">
      <w:pPr>
        <w:pStyle w:val="123"/>
        <w:rPr>
          <w:rFonts w:hint="eastAsia" w:ascii="宋体" w:eastAsia="宋体" w:cs="宋体"/>
        </w:rPr>
      </w:pPr>
      <w:r>
        <w:rPr>
          <w:rFonts w:hint="eastAsia" w:ascii="宋体" w:eastAsia="宋体" w:cs="宋体"/>
        </w:rPr>
        <w:t>2）主要路口（十字路口或丁字路口）的视频监控镜头宜设置于人行道/非机动车道；</w:t>
      </w:r>
    </w:p>
    <w:p w14:paraId="15CFC219">
      <w:pPr>
        <w:pStyle w:val="123"/>
        <w:rPr>
          <w:rFonts w:hint="eastAsia" w:ascii="宋体" w:eastAsia="宋体" w:cs="宋体"/>
        </w:rPr>
      </w:pPr>
      <w:r>
        <w:rPr>
          <w:rFonts w:hint="eastAsia" w:ascii="宋体" w:eastAsia="宋体" w:cs="宋体"/>
        </w:rPr>
        <w:t>3）视频监控镜头安装位置上部应尽量避开各种线缆，以减少干扰和确保施工顺利；</w:t>
      </w:r>
    </w:p>
    <w:p w14:paraId="40198230">
      <w:pPr>
        <w:pStyle w:val="123"/>
        <w:rPr>
          <w:rFonts w:hint="eastAsia" w:ascii="宋体" w:eastAsia="宋体" w:cs="宋体"/>
        </w:rPr>
      </w:pPr>
      <w:r>
        <w:rPr>
          <w:rFonts w:hint="eastAsia" w:ascii="宋体" w:eastAsia="宋体" w:cs="宋体"/>
        </w:rPr>
        <w:t>4）视频监控镜头安装位置下部应尽量避开高压电缆、通信光缆和其他管道。确实不能避开的，应在点位部署表中说明，建设时应特别注意；</w:t>
      </w:r>
    </w:p>
    <w:p w14:paraId="6AE976A1">
      <w:pPr>
        <w:pStyle w:val="123"/>
        <w:rPr>
          <w:rFonts w:hint="eastAsia" w:ascii="宋体" w:eastAsia="宋体" w:cs="宋体"/>
        </w:rPr>
      </w:pPr>
      <w:r>
        <w:rPr>
          <w:rFonts w:hint="eastAsia" w:ascii="宋体" w:eastAsia="宋体" w:cs="宋体"/>
        </w:rPr>
        <w:t>5）视频监控镜头安装位置应适宜取电；</w:t>
      </w:r>
    </w:p>
    <w:p w14:paraId="28311127">
      <w:pPr>
        <w:pStyle w:val="123"/>
        <w:rPr>
          <w:rFonts w:hint="eastAsia" w:ascii="宋体" w:eastAsia="宋体" w:cs="宋体"/>
        </w:rPr>
      </w:pPr>
      <w:r>
        <w:rPr>
          <w:rFonts w:hint="eastAsia" w:ascii="宋体" w:eastAsia="宋体" w:cs="宋体"/>
        </w:rPr>
        <w:t>6）视频监控镜头安装位置应靠近网络传输和供电管道，尽量避免水泥或沥青公路开挖；</w:t>
      </w:r>
    </w:p>
    <w:p w14:paraId="792A8EBD">
      <w:pPr>
        <w:pStyle w:val="123"/>
        <w:rPr>
          <w:rFonts w:hint="eastAsia" w:ascii="宋体" w:eastAsia="宋体" w:cs="宋体"/>
        </w:rPr>
      </w:pPr>
      <w:r>
        <w:rPr>
          <w:rFonts w:hint="eastAsia" w:ascii="宋体" w:eastAsia="宋体" w:cs="宋体"/>
        </w:rPr>
        <w:t>7）视频监控镜头安装位置应避免选择在低洼地带，避免机柜被水淹没；</w:t>
      </w:r>
    </w:p>
    <w:p w14:paraId="67694655">
      <w:pPr>
        <w:pStyle w:val="123"/>
        <w:rPr>
          <w:rFonts w:hint="eastAsia" w:ascii="宋体" w:eastAsia="宋体" w:cs="宋体"/>
        </w:rPr>
      </w:pPr>
      <w:r>
        <w:rPr>
          <w:rFonts w:hint="eastAsia" w:ascii="宋体" w:eastAsia="宋体" w:cs="宋体"/>
        </w:rPr>
        <w:t>8）视频监控镜头安装位置应避免镜头被路边的路牌或树木枝叶遮挡，影响监控效果；</w:t>
      </w:r>
    </w:p>
    <w:p w14:paraId="124BD0E4">
      <w:pPr>
        <w:pStyle w:val="123"/>
        <w:rPr>
          <w:rFonts w:hint="eastAsia" w:ascii="宋体" w:eastAsia="宋体" w:cs="宋体"/>
        </w:rPr>
      </w:pPr>
      <w:r>
        <w:rPr>
          <w:rFonts w:hint="eastAsia" w:ascii="宋体" w:eastAsia="宋体" w:cs="宋体"/>
        </w:rPr>
        <w:t>9）摄像机的安装位置应能覆盖需要监控的区域，尽可能选在路灯处，提高照度，以获得较好质量的图像。</w:t>
      </w:r>
    </w:p>
    <w:p w14:paraId="25664098">
      <w:pPr>
        <w:pStyle w:val="123"/>
        <w:rPr>
          <w:rFonts w:hint="eastAsia" w:ascii="宋体" w:eastAsia="宋体" w:cs="宋体"/>
        </w:rPr>
      </w:pPr>
      <w:r>
        <w:rPr>
          <w:rFonts w:hint="eastAsia" w:ascii="宋体" w:eastAsia="宋体" w:cs="宋体"/>
        </w:rPr>
        <w:t>10）省际国省道交界路段，进出城区的国省道及重要干道交界路段；</w:t>
      </w:r>
    </w:p>
    <w:p w14:paraId="380182D7">
      <w:pPr>
        <w:pStyle w:val="123"/>
        <w:rPr>
          <w:rFonts w:hint="eastAsia" w:ascii="宋体" w:eastAsia="宋体" w:cs="宋体"/>
        </w:rPr>
      </w:pPr>
      <w:r>
        <w:rPr>
          <w:rFonts w:hint="eastAsia" w:ascii="宋体" w:eastAsia="宋体" w:cs="宋体"/>
        </w:rPr>
        <w:t>11）城区重要党政机关附近路段；</w:t>
      </w:r>
    </w:p>
    <w:p w14:paraId="223725A6">
      <w:pPr>
        <w:pStyle w:val="123"/>
        <w:rPr>
          <w:rFonts w:hint="eastAsia" w:ascii="宋体" w:eastAsia="宋体" w:cs="宋体"/>
        </w:rPr>
      </w:pPr>
      <w:r>
        <w:rPr>
          <w:rFonts w:hint="eastAsia" w:ascii="宋体" w:eastAsia="宋体" w:cs="宋体"/>
        </w:rPr>
        <w:t>12）城区重要干道，城区主要出入口；</w:t>
      </w:r>
    </w:p>
    <w:p w14:paraId="3719BFB7">
      <w:pPr>
        <w:pStyle w:val="123"/>
        <w:rPr>
          <w:rFonts w:hint="eastAsia" w:ascii="宋体" w:eastAsia="宋体" w:cs="宋体"/>
        </w:rPr>
      </w:pPr>
      <w:r>
        <w:rPr>
          <w:rFonts w:hint="eastAsia" w:ascii="宋体" w:eastAsia="宋体" w:cs="宋体"/>
        </w:rPr>
        <w:t>13）县际重要干道及国省道交界路段；</w:t>
      </w:r>
    </w:p>
    <w:p w14:paraId="22DA74A7">
      <w:pPr>
        <w:pStyle w:val="123"/>
        <w:rPr>
          <w:rFonts w:hint="eastAsia" w:ascii="宋体" w:eastAsia="宋体" w:cs="宋体"/>
        </w:rPr>
      </w:pPr>
      <w:r>
        <w:rPr>
          <w:rFonts w:hint="eastAsia" w:ascii="宋体" w:eastAsia="宋体" w:cs="宋体"/>
        </w:rPr>
        <w:t>14）点位置应尽量避开民宅、商店等私人用地，以免建设时有人为干扰；</w:t>
      </w:r>
    </w:p>
    <w:p w14:paraId="58EB0F36">
      <w:pPr>
        <w:pStyle w:val="123"/>
        <w:rPr>
          <w:rFonts w:hint="eastAsia" w:ascii="宋体" w:eastAsia="宋体" w:cs="宋体"/>
        </w:rPr>
      </w:pPr>
      <w:r>
        <w:rPr>
          <w:rFonts w:hint="eastAsia" w:ascii="宋体" w:eastAsia="宋体" w:cs="宋体"/>
        </w:rPr>
        <w:t>15) 尽量避开树枝、通讯塔及其他障碍物。</w:t>
      </w:r>
    </w:p>
    <w:p w14:paraId="3CC9E4BB">
      <w:pPr>
        <w:pStyle w:val="8"/>
        <w:rPr>
          <w:rFonts w:hint="eastAsia" w:ascii="宋体" w:eastAsia="宋体" w:cs="宋体"/>
        </w:rPr>
      </w:pPr>
      <w:bookmarkStart w:id="266" w:name="_Toc339"/>
      <w:bookmarkStart w:id="267" w:name="_Toc28324"/>
      <w:bookmarkStart w:id="268" w:name="_Toc5164"/>
      <w:r>
        <w:rPr>
          <w:rFonts w:hint="eastAsia" w:ascii="宋体" w:eastAsia="宋体" w:cs="宋体"/>
        </w:rPr>
        <w:t>前端布点原则</w:t>
      </w:r>
      <w:bookmarkEnd w:id="266"/>
      <w:bookmarkEnd w:id="267"/>
      <w:bookmarkEnd w:id="268"/>
    </w:p>
    <w:p w14:paraId="67EAA848">
      <w:pPr>
        <w:pStyle w:val="123"/>
        <w:rPr>
          <w:rFonts w:hint="eastAsia" w:ascii="宋体" w:eastAsia="宋体" w:cs="宋体"/>
          <w:lang w:val="zh-CN"/>
        </w:rPr>
      </w:pPr>
      <w:r>
        <w:rPr>
          <w:rFonts w:hint="eastAsia" w:ascii="宋体" w:eastAsia="宋体" w:cs="宋体"/>
          <w:lang w:val="zh-CN"/>
        </w:rPr>
        <w:t>前端监控点是视频监控系统的信号采集单元，前端视频监控点位置的选取直接影响整个监控实战的成效，本次</w:t>
      </w:r>
      <w:r>
        <w:rPr>
          <w:rFonts w:hint="eastAsia" w:ascii="宋体" w:eastAsia="宋体" w:cs="宋体"/>
        </w:rPr>
        <w:t>购买</w:t>
      </w:r>
      <w:r>
        <w:rPr>
          <w:rFonts w:hint="eastAsia" w:ascii="宋体" w:eastAsia="宋体" w:cs="宋体"/>
          <w:lang w:val="zh-CN"/>
        </w:rPr>
        <w:t>的滁州市公安局公共安全视频监控服务要以满足实际业务应用为目标，结合监控现场和目标范围的具体情况，科学合理地选择摄像机种类。</w:t>
      </w:r>
    </w:p>
    <w:p w14:paraId="10DCFEA9">
      <w:pPr>
        <w:pStyle w:val="123"/>
        <w:rPr>
          <w:rFonts w:hint="eastAsia" w:ascii="宋体" w:eastAsia="宋体" w:cs="宋体"/>
          <w:lang w:val="zh-CN"/>
        </w:rPr>
      </w:pPr>
    </w:p>
    <w:p w14:paraId="09D5A29F">
      <w:pPr>
        <w:pStyle w:val="12"/>
        <w:jc w:val="center"/>
        <w:rPr>
          <w:rFonts w:hint="eastAsia" w:ascii="宋体" w:eastAsia="宋体" w:cs="宋体"/>
          <w:color w:val="FF0000"/>
        </w:rPr>
      </w:pPr>
      <w:r>
        <w:t xml:space="preserve">表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表 \* ARABIC \s 2 </w:instrText>
      </w:r>
      <w:r>
        <w:fldChar w:fldCharType="separate"/>
      </w:r>
      <w:r>
        <w:t>1</w:t>
      </w:r>
      <w:r>
        <w:fldChar w:fldCharType="end"/>
      </w:r>
      <w:r>
        <w:rPr>
          <w:rFonts w:hint="eastAsia"/>
        </w:rPr>
        <w:t xml:space="preserve"> </w:t>
      </w:r>
      <w:r>
        <w:rPr>
          <w:rFonts w:hint="eastAsia" w:ascii="宋体" w:eastAsia="宋体" w:cs="宋体"/>
        </w:rPr>
        <w:t>重点公共区域的采集部位</w:t>
      </w:r>
      <w:r>
        <w:rPr>
          <w:rFonts w:hint="eastAsia"/>
        </w:rPr>
        <w:t>表</w:t>
      </w:r>
    </w:p>
    <w:tbl>
      <w:tblPr>
        <w:tblStyle w:val="38"/>
        <w:tblW w:w="8653"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7859"/>
      </w:tblGrid>
      <w:tr w14:paraId="2AB5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94" w:type="dxa"/>
            <w:tcBorders>
              <w:top w:val="single" w:color="000000" w:sz="6" w:space="0"/>
              <w:left w:val="single" w:color="000000" w:sz="6" w:space="0"/>
              <w:bottom w:val="single" w:color="000000" w:sz="6" w:space="0"/>
              <w:right w:val="single" w:color="000000" w:sz="2" w:space="0"/>
            </w:tcBorders>
            <w:noWrap/>
          </w:tcPr>
          <w:p w14:paraId="62821C57">
            <w:pPr>
              <w:pStyle w:val="85"/>
              <w:widowControl w:val="0"/>
              <w:spacing w:before="91" w:line="185" w:lineRule="auto"/>
              <w:jc w:val="center"/>
              <w:rPr>
                <w:rFonts w:hint="eastAsia" w:ascii="宋体" w:cs="宋体"/>
                <w:snapToGrid w:val="0"/>
                <w:kern w:val="0"/>
                <w:sz w:val="24"/>
                <w:szCs w:val="21"/>
                <w:lang w:eastAsia="zh-CN"/>
              </w:rPr>
            </w:pPr>
            <w:r>
              <w:rPr>
                <w:rFonts w:hint="eastAsia" w:ascii="宋体" w:cs="宋体"/>
                <w:snapToGrid w:val="0"/>
                <w:kern w:val="0"/>
                <w:sz w:val="24"/>
                <w:szCs w:val="21"/>
                <w:lang w:eastAsia="zh-CN"/>
              </w:rPr>
              <w:t>序号</w:t>
            </w:r>
          </w:p>
        </w:tc>
        <w:tc>
          <w:tcPr>
            <w:tcW w:w="7859" w:type="dxa"/>
            <w:tcBorders>
              <w:top w:val="single" w:color="000000" w:sz="6" w:space="0"/>
              <w:left w:val="single" w:color="000000" w:sz="2" w:space="0"/>
              <w:bottom w:val="single" w:color="000000" w:sz="6" w:space="0"/>
              <w:right w:val="single" w:color="000000" w:sz="6" w:space="0"/>
            </w:tcBorders>
            <w:noWrap/>
          </w:tcPr>
          <w:p w14:paraId="73707716">
            <w:pPr>
              <w:pStyle w:val="85"/>
              <w:widowControl w:val="0"/>
              <w:spacing w:before="91" w:line="185" w:lineRule="auto"/>
              <w:jc w:val="center"/>
              <w:rPr>
                <w:rFonts w:hint="eastAsia" w:ascii="宋体" w:cs="宋体"/>
                <w:snapToGrid w:val="0"/>
                <w:kern w:val="0"/>
                <w:sz w:val="24"/>
                <w:szCs w:val="21"/>
                <w:lang w:eastAsia="zh-CN"/>
              </w:rPr>
            </w:pPr>
            <w:r>
              <w:rPr>
                <w:rFonts w:hint="eastAsia" w:ascii="宋体" w:cs="宋体"/>
                <w:snapToGrid w:val="0"/>
                <w:kern w:val="0"/>
                <w:sz w:val="24"/>
                <w:szCs w:val="21"/>
                <w:lang w:eastAsia="zh-CN"/>
              </w:rPr>
              <w:t>重点公共区域的采集部位</w:t>
            </w:r>
          </w:p>
        </w:tc>
      </w:tr>
      <w:tr w14:paraId="30C7D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6" w:space="0"/>
              <w:left w:val="single" w:color="000000" w:sz="6" w:space="0"/>
              <w:bottom w:val="single" w:color="000000" w:sz="2" w:space="0"/>
              <w:right w:val="single" w:color="000000" w:sz="2" w:space="0"/>
            </w:tcBorders>
            <w:noWrap/>
            <w:vAlign w:val="center"/>
          </w:tcPr>
          <w:p w14:paraId="27E0468A">
            <w:pPr>
              <w:spacing w:before="238" w:after="200" w:line="204" w:lineRule="auto"/>
              <w:jc w:val="center"/>
              <w:rPr>
                <w:rFonts w:hint="eastAsia" w:ascii="宋体" w:eastAsia="宋体" w:cs="宋体"/>
                <w:snapToGrid w:val="0"/>
                <w:sz w:val="24"/>
                <w:szCs w:val="21"/>
              </w:rPr>
            </w:pPr>
            <w:r>
              <w:rPr>
                <w:rFonts w:hint="eastAsia" w:ascii="宋体" w:eastAsia="宋体" w:cs="宋体"/>
                <w:snapToGrid w:val="0"/>
                <w:sz w:val="24"/>
                <w:szCs w:val="21"/>
              </w:rPr>
              <w:t>1</w:t>
            </w:r>
          </w:p>
        </w:tc>
        <w:tc>
          <w:tcPr>
            <w:tcW w:w="7859" w:type="dxa"/>
            <w:tcBorders>
              <w:top w:val="single" w:color="000000" w:sz="6" w:space="0"/>
              <w:left w:val="single" w:color="000000" w:sz="2" w:space="0"/>
              <w:bottom w:val="single" w:color="000000" w:sz="2" w:space="0"/>
              <w:right w:val="single" w:color="000000" w:sz="6" w:space="0"/>
            </w:tcBorders>
            <w:noWrap/>
            <w:vAlign w:val="center"/>
          </w:tcPr>
          <w:p w14:paraId="0B34B382">
            <w:pPr>
              <w:pStyle w:val="85"/>
              <w:widowControl w:val="0"/>
              <w:spacing w:before="76" w:line="223" w:lineRule="auto"/>
              <w:ind w:left="121" w:right="104" w:hanging="14"/>
              <w:jc w:val="both"/>
              <w:rPr>
                <w:rFonts w:hint="eastAsia" w:ascii="宋体" w:cs="宋体"/>
                <w:snapToGrid w:val="0"/>
                <w:sz w:val="24"/>
                <w:szCs w:val="21"/>
                <w:lang w:eastAsia="zh-CN"/>
              </w:rPr>
            </w:pPr>
            <w:r>
              <w:rPr>
                <w:rFonts w:hint="eastAsia" w:ascii="宋体" w:cs="宋体"/>
                <w:snapToGrid w:val="0"/>
                <w:sz w:val="24"/>
                <w:szCs w:val="21"/>
                <w:lang w:eastAsia="zh-CN"/>
              </w:rPr>
              <w:t>具有政治历史意义、经常性举办重大群众性集会、商业服务、文化宣传、宗教活动等公共活动的露天广场 的主要区域、周边重要路段、路口</w:t>
            </w:r>
          </w:p>
        </w:tc>
      </w:tr>
      <w:tr w14:paraId="3232C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2" w:space="0"/>
              <w:right w:val="single" w:color="000000" w:sz="2" w:space="0"/>
            </w:tcBorders>
            <w:noWrap/>
            <w:vAlign w:val="center"/>
          </w:tcPr>
          <w:p w14:paraId="1C00A562">
            <w:pPr>
              <w:spacing w:before="115" w:after="200" w:line="204" w:lineRule="auto"/>
              <w:jc w:val="center"/>
              <w:rPr>
                <w:rFonts w:hint="eastAsia" w:ascii="宋体" w:eastAsia="宋体" w:cs="宋体"/>
                <w:snapToGrid w:val="0"/>
                <w:sz w:val="24"/>
                <w:szCs w:val="21"/>
              </w:rPr>
            </w:pPr>
            <w:r>
              <w:rPr>
                <w:rFonts w:hint="eastAsia" w:ascii="宋体" w:eastAsia="宋体" w:cs="宋体"/>
                <w:snapToGrid w:val="0"/>
                <w:sz w:val="24"/>
                <w:szCs w:val="21"/>
              </w:rPr>
              <w:t>2</w:t>
            </w:r>
          </w:p>
        </w:tc>
        <w:tc>
          <w:tcPr>
            <w:tcW w:w="7859" w:type="dxa"/>
            <w:tcBorders>
              <w:top w:val="single" w:color="000000" w:sz="2" w:space="0"/>
              <w:left w:val="single" w:color="000000" w:sz="2" w:space="0"/>
              <w:bottom w:val="single" w:color="000000" w:sz="2" w:space="0"/>
              <w:right w:val="single" w:color="000000" w:sz="6" w:space="0"/>
            </w:tcBorders>
            <w:noWrap/>
            <w:vAlign w:val="center"/>
          </w:tcPr>
          <w:p w14:paraId="6E727B9D">
            <w:pPr>
              <w:pStyle w:val="85"/>
              <w:widowControl w:val="0"/>
              <w:spacing w:before="97" w:line="197" w:lineRule="auto"/>
              <w:ind w:left="108"/>
              <w:jc w:val="both"/>
              <w:rPr>
                <w:rFonts w:hint="eastAsia" w:ascii="宋体" w:cs="宋体"/>
                <w:snapToGrid w:val="0"/>
                <w:sz w:val="24"/>
                <w:szCs w:val="21"/>
                <w:lang w:eastAsia="zh-CN"/>
              </w:rPr>
            </w:pPr>
            <w:r>
              <w:rPr>
                <w:rFonts w:hint="eastAsia" w:ascii="宋体" w:cs="宋体"/>
                <w:snapToGrid w:val="0"/>
                <w:sz w:val="24"/>
                <w:szCs w:val="21"/>
                <w:lang w:eastAsia="zh-CN"/>
              </w:rPr>
              <w:t>城市、乡镇主要路段、路口、立交桥，城市地下人行通道、隧道、过街天桥等主要通行区域</w:t>
            </w:r>
          </w:p>
        </w:tc>
      </w:tr>
      <w:tr w14:paraId="5619B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2" w:space="0"/>
              <w:right w:val="single" w:color="000000" w:sz="2" w:space="0"/>
            </w:tcBorders>
            <w:noWrap/>
            <w:vAlign w:val="center"/>
          </w:tcPr>
          <w:p w14:paraId="465BE39F">
            <w:pPr>
              <w:spacing w:before="121" w:after="200" w:line="199" w:lineRule="auto"/>
              <w:jc w:val="center"/>
              <w:rPr>
                <w:rFonts w:hint="eastAsia" w:ascii="宋体" w:eastAsia="宋体" w:cs="宋体"/>
                <w:snapToGrid w:val="0"/>
                <w:sz w:val="24"/>
                <w:szCs w:val="21"/>
              </w:rPr>
            </w:pPr>
            <w:r>
              <w:rPr>
                <w:rFonts w:hint="eastAsia" w:ascii="宋体" w:eastAsia="宋体" w:cs="宋体"/>
                <w:snapToGrid w:val="0"/>
                <w:sz w:val="24"/>
                <w:szCs w:val="21"/>
              </w:rPr>
              <w:t>3</w:t>
            </w:r>
          </w:p>
        </w:tc>
        <w:tc>
          <w:tcPr>
            <w:tcW w:w="7859" w:type="dxa"/>
            <w:tcBorders>
              <w:top w:val="single" w:color="000000" w:sz="2" w:space="0"/>
              <w:left w:val="single" w:color="000000" w:sz="2" w:space="0"/>
              <w:bottom w:val="single" w:color="000000" w:sz="2" w:space="0"/>
              <w:right w:val="single" w:color="000000" w:sz="6" w:space="0"/>
            </w:tcBorders>
            <w:noWrap/>
            <w:vAlign w:val="center"/>
          </w:tcPr>
          <w:p w14:paraId="4D80113C">
            <w:pPr>
              <w:pStyle w:val="85"/>
              <w:widowControl w:val="0"/>
              <w:spacing w:before="99" w:line="197" w:lineRule="auto"/>
              <w:ind w:left="111"/>
              <w:jc w:val="both"/>
              <w:rPr>
                <w:rFonts w:hint="eastAsia" w:ascii="宋体" w:cs="宋体"/>
                <w:snapToGrid w:val="0"/>
                <w:sz w:val="24"/>
                <w:szCs w:val="21"/>
                <w:lang w:eastAsia="zh-CN"/>
              </w:rPr>
            </w:pPr>
            <w:r>
              <w:rPr>
                <w:rFonts w:hint="eastAsia" w:ascii="宋体" w:cs="宋体"/>
                <w:snapToGrid w:val="0"/>
                <w:sz w:val="24"/>
                <w:szCs w:val="21"/>
                <w:lang w:eastAsia="zh-CN"/>
              </w:rPr>
              <w:t>高速公路、国道、省市县际、城镇道路主要出入口、卡口、公安检查站、收费站通道、高速公路服务区</w:t>
            </w:r>
          </w:p>
        </w:tc>
      </w:tr>
      <w:tr w14:paraId="733E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2" w:space="0"/>
              <w:right w:val="single" w:color="000000" w:sz="2" w:space="0"/>
            </w:tcBorders>
            <w:noWrap/>
            <w:vAlign w:val="center"/>
          </w:tcPr>
          <w:p w14:paraId="62F93706">
            <w:pPr>
              <w:spacing w:before="121" w:after="200" w:line="202" w:lineRule="auto"/>
              <w:jc w:val="center"/>
              <w:rPr>
                <w:rFonts w:hint="eastAsia" w:ascii="宋体" w:eastAsia="宋体" w:cs="宋体"/>
                <w:snapToGrid w:val="0"/>
                <w:sz w:val="24"/>
                <w:szCs w:val="21"/>
              </w:rPr>
            </w:pPr>
            <w:r>
              <w:rPr>
                <w:rFonts w:hint="eastAsia" w:ascii="宋体" w:eastAsia="宋体" w:cs="宋体"/>
                <w:snapToGrid w:val="0"/>
                <w:sz w:val="24"/>
                <w:szCs w:val="21"/>
              </w:rPr>
              <w:t>4</w:t>
            </w:r>
          </w:p>
        </w:tc>
        <w:tc>
          <w:tcPr>
            <w:tcW w:w="7859" w:type="dxa"/>
            <w:tcBorders>
              <w:top w:val="single" w:color="000000" w:sz="2" w:space="0"/>
              <w:left w:val="single" w:color="000000" w:sz="2" w:space="0"/>
              <w:bottom w:val="single" w:color="000000" w:sz="2" w:space="0"/>
              <w:right w:val="single" w:color="000000" w:sz="6" w:space="0"/>
            </w:tcBorders>
            <w:noWrap/>
            <w:vAlign w:val="center"/>
          </w:tcPr>
          <w:p w14:paraId="1FD94520">
            <w:pPr>
              <w:pStyle w:val="85"/>
              <w:widowControl w:val="0"/>
              <w:spacing w:before="101" w:line="197" w:lineRule="auto"/>
              <w:ind w:left="111"/>
              <w:jc w:val="both"/>
              <w:rPr>
                <w:rFonts w:hint="eastAsia" w:ascii="宋体" w:cs="宋体"/>
                <w:snapToGrid w:val="0"/>
                <w:sz w:val="24"/>
                <w:szCs w:val="21"/>
                <w:lang w:eastAsia="zh-CN"/>
              </w:rPr>
            </w:pPr>
            <w:r>
              <w:rPr>
                <w:rFonts w:hint="eastAsia" w:ascii="宋体" w:cs="宋体"/>
                <w:snapToGrid w:val="0"/>
                <w:sz w:val="24"/>
                <w:szCs w:val="21"/>
                <w:lang w:eastAsia="zh-CN"/>
              </w:rPr>
              <w:t>大型桥梁、隧道主要通行区域</w:t>
            </w:r>
          </w:p>
        </w:tc>
      </w:tr>
      <w:tr w14:paraId="0A71D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2" w:space="0"/>
              <w:right w:val="single" w:color="000000" w:sz="2" w:space="0"/>
            </w:tcBorders>
            <w:noWrap/>
            <w:vAlign w:val="center"/>
          </w:tcPr>
          <w:p w14:paraId="260C5000">
            <w:pPr>
              <w:spacing w:before="122" w:after="200" w:line="202" w:lineRule="auto"/>
              <w:jc w:val="center"/>
              <w:rPr>
                <w:rFonts w:hint="eastAsia" w:ascii="宋体" w:eastAsia="宋体" w:cs="宋体"/>
                <w:snapToGrid w:val="0"/>
                <w:sz w:val="24"/>
                <w:szCs w:val="21"/>
              </w:rPr>
            </w:pPr>
            <w:r>
              <w:rPr>
                <w:rFonts w:hint="eastAsia" w:ascii="宋体" w:eastAsia="宋体" w:cs="宋体"/>
                <w:snapToGrid w:val="0"/>
                <w:sz w:val="24"/>
                <w:szCs w:val="21"/>
              </w:rPr>
              <w:t>5</w:t>
            </w:r>
          </w:p>
        </w:tc>
        <w:tc>
          <w:tcPr>
            <w:tcW w:w="7859" w:type="dxa"/>
            <w:tcBorders>
              <w:top w:val="single" w:color="000000" w:sz="2" w:space="0"/>
              <w:left w:val="single" w:color="000000" w:sz="2" w:space="0"/>
              <w:bottom w:val="single" w:color="000000" w:sz="2" w:space="0"/>
              <w:right w:val="single" w:color="000000" w:sz="6" w:space="0"/>
            </w:tcBorders>
            <w:noWrap/>
            <w:vAlign w:val="center"/>
          </w:tcPr>
          <w:p w14:paraId="3FB0DC05">
            <w:pPr>
              <w:pStyle w:val="85"/>
              <w:widowControl w:val="0"/>
              <w:spacing w:before="103" w:line="197" w:lineRule="auto"/>
              <w:ind w:left="108"/>
              <w:jc w:val="both"/>
              <w:rPr>
                <w:rFonts w:hint="eastAsia" w:ascii="宋体" w:cs="宋体"/>
                <w:snapToGrid w:val="0"/>
                <w:sz w:val="24"/>
                <w:szCs w:val="21"/>
                <w:lang w:eastAsia="zh-CN"/>
              </w:rPr>
            </w:pPr>
            <w:r>
              <w:rPr>
                <w:rFonts w:hint="eastAsia" w:ascii="宋体" w:cs="宋体"/>
                <w:snapToGrid w:val="0"/>
                <w:sz w:val="24"/>
                <w:szCs w:val="21"/>
                <w:lang w:eastAsia="zh-CN"/>
              </w:rPr>
              <w:t>城镇商业金融聚集区主要出入口、周边主要路段、路口</w:t>
            </w:r>
          </w:p>
        </w:tc>
      </w:tr>
      <w:tr w14:paraId="1DA4B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2" w:space="0"/>
              <w:right w:val="single" w:color="000000" w:sz="2" w:space="0"/>
            </w:tcBorders>
            <w:noWrap/>
            <w:vAlign w:val="center"/>
          </w:tcPr>
          <w:p w14:paraId="4E96C923">
            <w:pPr>
              <w:spacing w:before="124" w:after="200" w:line="202" w:lineRule="auto"/>
              <w:jc w:val="center"/>
              <w:rPr>
                <w:rFonts w:hint="eastAsia" w:ascii="宋体" w:eastAsia="宋体" w:cs="宋体"/>
                <w:snapToGrid w:val="0"/>
                <w:sz w:val="24"/>
                <w:szCs w:val="21"/>
              </w:rPr>
            </w:pPr>
            <w:r>
              <w:rPr>
                <w:rFonts w:hint="eastAsia" w:ascii="宋体" w:eastAsia="宋体" w:cs="宋体"/>
                <w:snapToGrid w:val="0"/>
                <w:sz w:val="24"/>
                <w:szCs w:val="21"/>
              </w:rPr>
              <w:t>6</w:t>
            </w:r>
          </w:p>
        </w:tc>
        <w:tc>
          <w:tcPr>
            <w:tcW w:w="7859" w:type="dxa"/>
            <w:tcBorders>
              <w:top w:val="single" w:color="000000" w:sz="2" w:space="0"/>
              <w:left w:val="single" w:color="000000" w:sz="2" w:space="0"/>
              <w:bottom w:val="single" w:color="000000" w:sz="2" w:space="0"/>
              <w:right w:val="single" w:color="000000" w:sz="6" w:space="0"/>
            </w:tcBorders>
            <w:noWrap/>
            <w:vAlign w:val="center"/>
          </w:tcPr>
          <w:p w14:paraId="5E55646D">
            <w:pPr>
              <w:pStyle w:val="85"/>
              <w:widowControl w:val="0"/>
              <w:spacing w:before="105" w:line="194" w:lineRule="auto"/>
              <w:ind w:left="122"/>
              <w:jc w:val="both"/>
              <w:rPr>
                <w:rFonts w:hint="eastAsia" w:ascii="宋体" w:cs="宋体"/>
                <w:snapToGrid w:val="0"/>
                <w:sz w:val="24"/>
                <w:szCs w:val="21"/>
                <w:lang w:eastAsia="zh-CN"/>
              </w:rPr>
            </w:pPr>
            <w:r>
              <w:rPr>
                <w:rFonts w:hint="eastAsia" w:ascii="宋体" w:cs="宋体"/>
                <w:snapToGrid w:val="0"/>
                <w:sz w:val="24"/>
                <w:szCs w:val="21"/>
                <w:lang w:eastAsia="zh-CN"/>
              </w:rPr>
              <w:t>民用机场、铁路车站、港口、码头、长途汽车站等场所外的露天广场主要区域、重要通道、周边路段、路口</w:t>
            </w:r>
          </w:p>
        </w:tc>
      </w:tr>
      <w:tr w14:paraId="2C95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2" w:space="0"/>
              <w:right w:val="single" w:color="000000" w:sz="2" w:space="0"/>
            </w:tcBorders>
            <w:noWrap/>
            <w:vAlign w:val="center"/>
          </w:tcPr>
          <w:p w14:paraId="5894BAC2">
            <w:pPr>
              <w:spacing w:before="125" w:after="200" w:line="202" w:lineRule="auto"/>
              <w:jc w:val="center"/>
              <w:rPr>
                <w:rFonts w:hint="eastAsia" w:ascii="宋体" w:eastAsia="宋体" w:cs="宋体"/>
                <w:snapToGrid w:val="0"/>
                <w:sz w:val="24"/>
                <w:szCs w:val="21"/>
              </w:rPr>
            </w:pPr>
            <w:r>
              <w:rPr>
                <w:rFonts w:hint="eastAsia" w:ascii="宋体" w:eastAsia="宋体" w:cs="宋体"/>
                <w:snapToGrid w:val="0"/>
                <w:sz w:val="24"/>
                <w:szCs w:val="21"/>
              </w:rPr>
              <w:t>7</w:t>
            </w:r>
          </w:p>
        </w:tc>
        <w:tc>
          <w:tcPr>
            <w:tcW w:w="7859" w:type="dxa"/>
            <w:tcBorders>
              <w:top w:val="single" w:color="000000" w:sz="2" w:space="0"/>
              <w:left w:val="single" w:color="000000" w:sz="2" w:space="0"/>
              <w:bottom w:val="single" w:color="000000" w:sz="2" w:space="0"/>
              <w:right w:val="single" w:color="000000" w:sz="6" w:space="0"/>
            </w:tcBorders>
            <w:noWrap/>
          </w:tcPr>
          <w:p w14:paraId="39355C95">
            <w:pPr>
              <w:pStyle w:val="85"/>
              <w:widowControl w:val="0"/>
              <w:spacing w:before="105" w:line="197" w:lineRule="auto"/>
              <w:ind w:left="108"/>
              <w:rPr>
                <w:rFonts w:hint="eastAsia" w:ascii="宋体" w:cs="宋体"/>
                <w:snapToGrid w:val="0"/>
                <w:sz w:val="24"/>
                <w:szCs w:val="21"/>
                <w:lang w:eastAsia="zh-CN"/>
              </w:rPr>
            </w:pPr>
            <w:r>
              <w:rPr>
                <w:rFonts w:hint="eastAsia" w:ascii="宋体" w:cs="宋体"/>
                <w:snapToGrid w:val="0"/>
                <w:sz w:val="24"/>
                <w:szCs w:val="21"/>
                <w:lang w:eastAsia="zh-CN"/>
              </w:rPr>
              <w:t>城市轨道交通车站周边路段、路口</w:t>
            </w:r>
          </w:p>
        </w:tc>
      </w:tr>
      <w:tr w14:paraId="098A3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94" w:type="dxa"/>
            <w:tcBorders>
              <w:top w:val="single" w:color="000000" w:sz="2" w:space="0"/>
              <w:left w:val="single" w:color="000000" w:sz="6" w:space="0"/>
              <w:bottom w:val="single" w:color="000000" w:sz="6" w:space="0"/>
              <w:right w:val="single" w:color="000000" w:sz="2" w:space="0"/>
            </w:tcBorders>
            <w:noWrap/>
            <w:vAlign w:val="center"/>
          </w:tcPr>
          <w:p w14:paraId="0E3C4E6D">
            <w:pPr>
              <w:spacing w:before="125" w:after="200" w:line="204" w:lineRule="auto"/>
              <w:jc w:val="center"/>
              <w:rPr>
                <w:rFonts w:hint="eastAsia" w:ascii="宋体" w:eastAsia="宋体" w:cs="宋体"/>
                <w:snapToGrid w:val="0"/>
                <w:sz w:val="24"/>
                <w:szCs w:val="21"/>
              </w:rPr>
            </w:pPr>
            <w:r>
              <w:rPr>
                <w:rFonts w:hint="eastAsia" w:ascii="宋体" w:eastAsia="宋体" w:cs="宋体"/>
                <w:snapToGrid w:val="0"/>
                <w:sz w:val="24"/>
                <w:szCs w:val="21"/>
              </w:rPr>
              <w:t>8</w:t>
            </w:r>
          </w:p>
        </w:tc>
        <w:tc>
          <w:tcPr>
            <w:tcW w:w="7859" w:type="dxa"/>
            <w:tcBorders>
              <w:top w:val="single" w:color="000000" w:sz="2" w:space="0"/>
              <w:left w:val="single" w:color="000000" w:sz="2" w:space="0"/>
              <w:bottom w:val="single" w:color="000000" w:sz="6" w:space="0"/>
              <w:right w:val="single" w:color="000000" w:sz="6" w:space="0"/>
            </w:tcBorders>
            <w:noWrap/>
          </w:tcPr>
          <w:p w14:paraId="39AEA05E">
            <w:pPr>
              <w:pStyle w:val="85"/>
              <w:widowControl w:val="0"/>
              <w:spacing w:before="108" w:line="185" w:lineRule="auto"/>
              <w:ind w:left="107"/>
              <w:rPr>
                <w:rFonts w:hint="eastAsia" w:ascii="宋体" w:cs="宋体"/>
                <w:snapToGrid w:val="0"/>
                <w:sz w:val="24"/>
                <w:szCs w:val="21"/>
                <w:lang w:eastAsia="zh-CN"/>
              </w:rPr>
            </w:pPr>
            <w:r>
              <w:rPr>
                <w:rFonts w:hint="eastAsia" w:ascii="宋体" w:cs="宋体"/>
                <w:snapToGrid w:val="0"/>
                <w:sz w:val="24"/>
                <w:szCs w:val="21"/>
                <w:lang w:eastAsia="zh-CN"/>
              </w:rPr>
              <w:t>其他重点公共区域</w:t>
            </w:r>
          </w:p>
        </w:tc>
      </w:tr>
    </w:tbl>
    <w:p w14:paraId="7B5FA0F4">
      <w:pPr>
        <w:pStyle w:val="12"/>
        <w:jc w:val="center"/>
        <w:rPr>
          <w:rFonts w:hint="eastAsia" w:ascii="宋体" w:eastAsia="宋体" w:cs="宋体"/>
        </w:rPr>
      </w:pPr>
      <w:r>
        <w:t xml:space="preserve">表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表 \* ARABIC \s 2 </w:instrText>
      </w:r>
      <w:r>
        <w:fldChar w:fldCharType="separate"/>
      </w:r>
      <w:r>
        <w:t>2</w:t>
      </w:r>
      <w:r>
        <w:fldChar w:fldCharType="end"/>
      </w:r>
      <w:r>
        <w:rPr>
          <w:rFonts w:hint="eastAsia"/>
        </w:rPr>
        <w:t xml:space="preserve"> </w:t>
      </w:r>
      <w:r>
        <w:rPr>
          <w:rFonts w:hint="eastAsia" w:ascii="宋体" w:eastAsia="宋体" w:cs="宋体"/>
        </w:rPr>
        <w:t>重点行业、领域涉及公共区域的采集部位</w:t>
      </w:r>
      <w:r>
        <w:rPr>
          <w:rFonts w:hint="eastAsia"/>
        </w:rPr>
        <w:t>表</w:t>
      </w:r>
    </w:p>
    <w:tbl>
      <w:tblPr>
        <w:tblStyle w:val="38"/>
        <w:tblW w:w="8711"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2257"/>
        <w:gridCol w:w="5672"/>
      </w:tblGrid>
      <w:tr w14:paraId="2815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782" w:type="dxa"/>
            <w:tcBorders>
              <w:top w:val="single" w:color="000000" w:sz="6" w:space="0"/>
              <w:left w:val="single" w:color="000000" w:sz="6" w:space="0"/>
              <w:bottom w:val="single" w:color="000000" w:sz="6" w:space="0"/>
              <w:right w:val="single" w:color="000000" w:sz="2" w:space="0"/>
            </w:tcBorders>
            <w:noWrap/>
          </w:tcPr>
          <w:p w14:paraId="13457D21">
            <w:pPr>
              <w:pStyle w:val="85"/>
              <w:widowControl w:val="0"/>
              <w:spacing w:before="101" w:line="197" w:lineRule="auto"/>
              <w:ind w:left="111"/>
              <w:jc w:val="both"/>
              <w:rPr>
                <w:rFonts w:hint="eastAsia" w:ascii="宋体" w:cs="宋体"/>
                <w:snapToGrid w:val="0"/>
                <w:sz w:val="24"/>
                <w:szCs w:val="21"/>
                <w:lang w:eastAsia="zh-CN"/>
              </w:rPr>
            </w:pPr>
            <w:r>
              <w:rPr>
                <w:rFonts w:hint="eastAsia" w:ascii="宋体" w:cs="宋体"/>
                <w:snapToGrid w:val="0"/>
                <w:sz w:val="24"/>
                <w:szCs w:val="21"/>
                <w:lang w:eastAsia="zh-CN"/>
              </w:rPr>
              <w:t>序号</w:t>
            </w:r>
          </w:p>
        </w:tc>
        <w:tc>
          <w:tcPr>
            <w:tcW w:w="2257" w:type="dxa"/>
            <w:tcBorders>
              <w:top w:val="single" w:color="000000" w:sz="6" w:space="0"/>
              <w:left w:val="single" w:color="000000" w:sz="2" w:space="0"/>
              <w:bottom w:val="single" w:color="000000" w:sz="6" w:space="0"/>
              <w:right w:val="single" w:color="000000" w:sz="2" w:space="0"/>
            </w:tcBorders>
            <w:noWrap/>
          </w:tcPr>
          <w:p w14:paraId="2727D99F">
            <w:pPr>
              <w:pStyle w:val="85"/>
              <w:widowControl w:val="0"/>
              <w:spacing w:before="101" w:line="197" w:lineRule="auto"/>
              <w:ind w:left="111"/>
              <w:rPr>
                <w:rFonts w:hint="eastAsia" w:ascii="宋体" w:cs="宋体"/>
                <w:snapToGrid w:val="0"/>
                <w:sz w:val="24"/>
                <w:szCs w:val="21"/>
                <w:lang w:eastAsia="zh-CN"/>
              </w:rPr>
            </w:pPr>
            <w:r>
              <w:rPr>
                <w:rFonts w:hint="eastAsia" w:ascii="宋体" w:cs="宋体"/>
                <w:snapToGrid w:val="0"/>
                <w:sz w:val="24"/>
                <w:szCs w:val="21"/>
                <w:lang w:eastAsia="zh-CN"/>
              </w:rPr>
              <w:t>重点行业、领域</w:t>
            </w:r>
          </w:p>
        </w:tc>
        <w:tc>
          <w:tcPr>
            <w:tcW w:w="5672" w:type="dxa"/>
            <w:tcBorders>
              <w:top w:val="single" w:color="000000" w:sz="6" w:space="0"/>
              <w:left w:val="single" w:color="000000" w:sz="2" w:space="0"/>
              <w:bottom w:val="single" w:color="000000" w:sz="6" w:space="0"/>
              <w:right w:val="single" w:color="000000" w:sz="6" w:space="0"/>
            </w:tcBorders>
            <w:noWrap/>
          </w:tcPr>
          <w:p w14:paraId="57C24A97">
            <w:pPr>
              <w:pStyle w:val="85"/>
              <w:widowControl w:val="0"/>
              <w:spacing w:before="101" w:line="197" w:lineRule="auto"/>
              <w:ind w:left="111"/>
              <w:rPr>
                <w:rFonts w:hint="eastAsia" w:ascii="宋体" w:cs="宋体"/>
                <w:snapToGrid w:val="0"/>
                <w:sz w:val="24"/>
                <w:szCs w:val="21"/>
                <w:lang w:eastAsia="zh-CN"/>
              </w:rPr>
            </w:pPr>
            <w:r>
              <w:rPr>
                <w:rFonts w:hint="eastAsia" w:ascii="宋体" w:cs="宋体"/>
                <w:snapToGrid w:val="0"/>
                <w:sz w:val="24"/>
                <w:szCs w:val="21"/>
                <w:lang w:eastAsia="zh-CN"/>
              </w:rPr>
              <w:t>涉及公共区域的采集部位</w:t>
            </w:r>
          </w:p>
        </w:tc>
      </w:tr>
      <w:tr w14:paraId="0928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782" w:type="dxa"/>
            <w:tcBorders>
              <w:top w:val="single" w:color="000000" w:sz="6" w:space="0"/>
              <w:left w:val="single" w:color="000000" w:sz="6" w:space="0"/>
              <w:bottom w:val="single" w:color="000000" w:sz="2" w:space="0"/>
              <w:right w:val="single" w:color="000000" w:sz="2" w:space="0"/>
            </w:tcBorders>
            <w:noWrap/>
            <w:vAlign w:val="center"/>
          </w:tcPr>
          <w:p w14:paraId="51042B9C">
            <w:pPr>
              <w:spacing w:before="237" w:after="200" w:line="204"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1</w:t>
            </w:r>
          </w:p>
        </w:tc>
        <w:tc>
          <w:tcPr>
            <w:tcW w:w="2257" w:type="dxa"/>
            <w:tcBorders>
              <w:top w:val="single" w:color="000000" w:sz="6" w:space="0"/>
              <w:left w:val="single" w:color="000000" w:sz="2" w:space="0"/>
              <w:bottom w:val="single" w:color="000000" w:sz="2" w:space="0"/>
              <w:right w:val="single" w:color="000000" w:sz="2" w:space="0"/>
            </w:tcBorders>
            <w:noWrap/>
            <w:vAlign w:val="center"/>
          </w:tcPr>
          <w:p w14:paraId="1A4AC960">
            <w:pPr>
              <w:pStyle w:val="85"/>
              <w:widowControl w:val="0"/>
              <w:spacing w:before="220" w:line="182" w:lineRule="auto"/>
              <w:ind w:left="107"/>
              <w:rPr>
                <w:rFonts w:hint="eastAsia" w:ascii="宋体" w:cs="宋体"/>
                <w:snapToGrid w:val="0"/>
                <w:sz w:val="24"/>
                <w:szCs w:val="21"/>
                <w:lang w:eastAsia="zh-CN"/>
              </w:rPr>
            </w:pPr>
            <w:r>
              <w:rPr>
                <w:rFonts w:hint="eastAsia" w:ascii="宋体" w:cs="宋体"/>
                <w:snapToGrid w:val="0"/>
                <w:sz w:val="24"/>
                <w:szCs w:val="21"/>
                <w:lang w:eastAsia="zh-CN"/>
              </w:rPr>
              <w:t>党政机关</w:t>
            </w:r>
          </w:p>
        </w:tc>
        <w:tc>
          <w:tcPr>
            <w:tcW w:w="5672" w:type="dxa"/>
            <w:tcBorders>
              <w:top w:val="single" w:color="000000" w:sz="6" w:space="0"/>
              <w:left w:val="single" w:color="000000" w:sz="2" w:space="0"/>
              <w:bottom w:val="single" w:color="000000" w:sz="2" w:space="0"/>
              <w:right w:val="single" w:color="000000" w:sz="6" w:space="0"/>
            </w:tcBorders>
            <w:noWrap/>
          </w:tcPr>
          <w:p w14:paraId="03ACF2A9">
            <w:pPr>
              <w:pStyle w:val="85"/>
              <w:widowControl w:val="0"/>
              <w:spacing w:before="76" w:line="216" w:lineRule="auto"/>
              <w:ind w:left="111" w:right="104"/>
              <w:rPr>
                <w:rFonts w:hint="eastAsia" w:ascii="宋体" w:cs="宋体"/>
                <w:snapToGrid w:val="0"/>
                <w:sz w:val="24"/>
                <w:szCs w:val="21"/>
                <w:lang w:eastAsia="zh-CN"/>
              </w:rPr>
            </w:pPr>
            <w:r>
              <w:rPr>
                <w:rFonts w:hint="eastAsia" w:ascii="宋体" w:cs="宋体"/>
                <w:snapToGrid w:val="0"/>
                <w:sz w:val="24"/>
                <w:szCs w:val="21"/>
                <w:lang w:eastAsia="zh-CN"/>
              </w:rPr>
              <w:t>单位主出入口及采集的图像能够覆盖到单位外围一定范围的部位</w:t>
            </w:r>
          </w:p>
        </w:tc>
      </w:tr>
      <w:tr w14:paraId="7559F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7B6D167F">
            <w:pPr>
              <w:spacing w:before="43" w:after="200" w:line="204"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2</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03CDEF51">
            <w:pPr>
              <w:pStyle w:val="85"/>
              <w:widowControl w:val="0"/>
              <w:spacing w:before="69" w:line="230" w:lineRule="auto"/>
              <w:ind w:right="110"/>
              <w:rPr>
                <w:rFonts w:hint="eastAsia" w:ascii="宋体" w:cs="宋体"/>
                <w:snapToGrid w:val="0"/>
                <w:sz w:val="24"/>
                <w:szCs w:val="21"/>
                <w:lang w:eastAsia="zh-CN"/>
              </w:rPr>
            </w:pPr>
            <w:r>
              <w:rPr>
                <w:rFonts w:hint="eastAsia" w:ascii="宋体" w:cs="宋体"/>
                <w:snapToGrid w:val="0"/>
                <w:sz w:val="24"/>
                <w:szCs w:val="21"/>
                <w:lang w:eastAsia="zh-CN"/>
              </w:rPr>
              <w:t>民用机场、铁路车站、港口、码头、城 市 轨道交通车站 及 列 车、长 途 汽 车 站、城 市公共汽电车站、加油（气）站等</w:t>
            </w:r>
          </w:p>
        </w:tc>
        <w:tc>
          <w:tcPr>
            <w:tcW w:w="5672" w:type="dxa"/>
            <w:tcBorders>
              <w:top w:val="single" w:color="000000" w:sz="2" w:space="0"/>
              <w:left w:val="single" w:color="000000" w:sz="2" w:space="0"/>
              <w:bottom w:val="single" w:color="000000" w:sz="2" w:space="0"/>
              <w:right w:val="single" w:color="000000" w:sz="6" w:space="0"/>
            </w:tcBorders>
            <w:noWrap/>
          </w:tcPr>
          <w:p w14:paraId="1AF2841C">
            <w:pPr>
              <w:pStyle w:val="85"/>
              <w:widowControl w:val="0"/>
              <w:spacing w:before="141" w:line="276" w:lineRule="auto"/>
              <w:ind w:left="111" w:right="37" w:firstLine="16"/>
              <w:rPr>
                <w:rFonts w:hint="eastAsia" w:ascii="宋体" w:cs="宋体"/>
                <w:snapToGrid w:val="0"/>
                <w:sz w:val="24"/>
                <w:szCs w:val="21"/>
                <w:lang w:eastAsia="zh-CN"/>
              </w:rPr>
            </w:pPr>
            <w:r>
              <w:rPr>
                <w:rFonts w:hint="eastAsia" w:ascii="宋体" w:cs="宋体"/>
                <w:snapToGrid w:val="0"/>
                <w:sz w:val="24"/>
                <w:szCs w:val="21"/>
                <w:lang w:eastAsia="zh-CN"/>
              </w:rPr>
              <w:t>民用机场航站楼安检区以外开放区域和航站楼周边区域的人员聚集部位；铁路车站、港口的出入口、售票大厅、候车大厅等开放区域的人员聚集部位；城市轨道交通列车及车站出入口、车站通道、安检区、车站站厅、站台等开放区域；长途汽车站的出入口、售票大厅、候车大厅等开放区域的人员聚集部位；城市公共汽电车站区及周边一定范围；加油（气）站车辆出入口、服务区</w:t>
            </w:r>
          </w:p>
        </w:tc>
      </w:tr>
      <w:tr w14:paraId="2CC2D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42B05C4D">
            <w:pPr>
              <w:spacing w:before="255" w:after="200" w:line="199"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3</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35673FEE">
            <w:pPr>
              <w:pStyle w:val="85"/>
              <w:widowControl w:val="0"/>
              <w:spacing w:before="233" w:line="185" w:lineRule="auto"/>
              <w:ind w:left="106"/>
              <w:rPr>
                <w:rFonts w:hint="eastAsia" w:ascii="宋体" w:cs="宋体"/>
                <w:snapToGrid w:val="0"/>
                <w:sz w:val="24"/>
                <w:szCs w:val="21"/>
                <w:lang w:eastAsia="zh-CN"/>
              </w:rPr>
            </w:pPr>
            <w:r>
              <w:rPr>
                <w:rFonts w:hint="eastAsia" w:ascii="宋体" w:cs="宋体"/>
                <w:snapToGrid w:val="0"/>
                <w:sz w:val="24"/>
                <w:szCs w:val="21"/>
                <w:lang w:eastAsia="zh-CN"/>
              </w:rPr>
              <w:t>银行营业场所等金融机构</w:t>
            </w:r>
          </w:p>
        </w:tc>
        <w:tc>
          <w:tcPr>
            <w:tcW w:w="5672" w:type="dxa"/>
            <w:tcBorders>
              <w:top w:val="single" w:color="000000" w:sz="2" w:space="0"/>
              <w:left w:val="single" w:color="000000" w:sz="2" w:space="0"/>
              <w:bottom w:val="single" w:color="000000" w:sz="2" w:space="0"/>
              <w:right w:val="single" w:color="000000" w:sz="6" w:space="0"/>
            </w:tcBorders>
            <w:noWrap/>
          </w:tcPr>
          <w:p w14:paraId="213FC8F0">
            <w:pPr>
              <w:pStyle w:val="85"/>
              <w:widowControl w:val="0"/>
              <w:spacing w:before="92" w:line="216" w:lineRule="auto"/>
              <w:ind w:left="119" w:right="37"/>
              <w:rPr>
                <w:rFonts w:hint="eastAsia" w:ascii="宋体" w:cs="宋体"/>
                <w:snapToGrid w:val="0"/>
                <w:sz w:val="24"/>
                <w:szCs w:val="21"/>
                <w:lang w:eastAsia="zh-CN"/>
              </w:rPr>
            </w:pPr>
            <w:r>
              <w:rPr>
                <w:rFonts w:hint="eastAsia" w:ascii="宋体" w:cs="宋体"/>
                <w:snapToGrid w:val="0"/>
                <w:sz w:val="24"/>
                <w:szCs w:val="21"/>
                <w:lang w:eastAsia="zh-CN"/>
              </w:rPr>
              <w:t>营业网点、自助网点主出入口及其外部一 定区域，运钞交接区、营业大厅</w:t>
            </w:r>
          </w:p>
        </w:tc>
      </w:tr>
      <w:tr w14:paraId="15FBB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2EF80F80">
            <w:pPr>
              <w:spacing w:before="254" w:after="200" w:line="202"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4</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590546E9">
            <w:pPr>
              <w:pStyle w:val="85"/>
              <w:widowControl w:val="0"/>
              <w:spacing w:before="234" w:line="197" w:lineRule="auto"/>
              <w:ind w:left="110"/>
              <w:rPr>
                <w:rFonts w:hint="eastAsia" w:ascii="宋体" w:cs="宋体"/>
                <w:snapToGrid w:val="0"/>
                <w:sz w:val="24"/>
                <w:szCs w:val="21"/>
                <w:lang w:eastAsia="zh-CN"/>
              </w:rPr>
            </w:pPr>
            <w:r>
              <w:rPr>
                <w:rFonts w:hint="eastAsia" w:ascii="宋体" w:cs="宋体"/>
                <w:snapToGrid w:val="0"/>
                <w:sz w:val="24"/>
                <w:szCs w:val="21"/>
                <w:lang w:eastAsia="zh-CN"/>
              </w:rPr>
              <w:t>寄递单位、物流工业园区等</w:t>
            </w:r>
          </w:p>
        </w:tc>
        <w:tc>
          <w:tcPr>
            <w:tcW w:w="5672" w:type="dxa"/>
            <w:tcBorders>
              <w:top w:val="single" w:color="000000" w:sz="2" w:space="0"/>
              <w:left w:val="single" w:color="000000" w:sz="2" w:space="0"/>
              <w:bottom w:val="single" w:color="000000" w:sz="2" w:space="0"/>
              <w:right w:val="single" w:color="000000" w:sz="6" w:space="0"/>
            </w:tcBorders>
            <w:noWrap/>
          </w:tcPr>
          <w:p w14:paraId="05228F7B">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寄递单位营业场所主出入口、营业大厅交寄接收区，物流工业园区 主出入口</w:t>
            </w:r>
          </w:p>
        </w:tc>
      </w:tr>
      <w:tr w14:paraId="5073D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4509541B">
            <w:pPr>
              <w:spacing w:before="104" w:after="200" w:line="202"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5</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05635FC8">
            <w:pPr>
              <w:pStyle w:val="85"/>
              <w:widowControl w:val="0"/>
              <w:spacing w:before="85" w:line="197" w:lineRule="auto"/>
              <w:ind w:left="122"/>
              <w:rPr>
                <w:rFonts w:hint="eastAsia" w:ascii="宋体" w:cs="宋体"/>
                <w:snapToGrid w:val="0"/>
                <w:sz w:val="24"/>
                <w:szCs w:val="21"/>
                <w:lang w:eastAsia="zh-CN"/>
              </w:rPr>
            </w:pPr>
            <w:r>
              <w:rPr>
                <w:rFonts w:hint="eastAsia" w:ascii="宋体" w:cs="宋体"/>
                <w:snapToGrid w:val="0"/>
                <w:sz w:val="24"/>
                <w:szCs w:val="21"/>
                <w:lang w:eastAsia="zh-CN"/>
              </w:rPr>
              <w:t>电力、电信、广电、油气、水利等行业</w:t>
            </w:r>
          </w:p>
        </w:tc>
        <w:tc>
          <w:tcPr>
            <w:tcW w:w="5672" w:type="dxa"/>
            <w:tcBorders>
              <w:top w:val="single" w:color="000000" w:sz="2" w:space="0"/>
              <w:left w:val="single" w:color="000000" w:sz="2" w:space="0"/>
              <w:bottom w:val="single" w:color="000000" w:sz="2" w:space="0"/>
              <w:right w:val="single" w:color="000000" w:sz="6" w:space="0"/>
            </w:tcBorders>
            <w:noWrap/>
          </w:tcPr>
          <w:p w14:paraId="23A0C10D">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重点单位周边一定区域、重点线路沿线</w:t>
            </w:r>
          </w:p>
        </w:tc>
      </w:tr>
      <w:tr w14:paraId="00EDB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2E56FC84">
            <w:pPr>
              <w:spacing w:before="43" w:after="200" w:line="202"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6</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3BAF1B52">
            <w:pPr>
              <w:pStyle w:val="85"/>
              <w:widowControl w:val="0"/>
              <w:spacing w:before="277" w:line="185" w:lineRule="auto"/>
              <w:ind w:left="110"/>
              <w:rPr>
                <w:rFonts w:hint="eastAsia" w:ascii="宋体" w:cs="宋体"/>
                <w:snapToGrid w:val="0"/>
                <w:sz w:val="24"/>
                <w:szCs w:val="21"/>
                <w:lang w:eastAsia="zh-CN"/>
              </w:rPr>
            </w:pPr>
            <w:r>
              <w:rPr>
                <w:rFonts w:hint="eastAsia" w:ascii="宋体" w:cs="宋体"/>
                <w:snapToGrid w:val="0"/>
                <w:sz w:val="24"/>
                <w:szCs w:val="21"/>
                <w:lang w:eastAsia="zh-CN"/>
              </w:rPr>
              <w:t>大型商贸中心和大型农贸市场等</w:t>
            </w:r>
          </w:p>
        </w:tc>
        <w:tc>
          <w:tcPr>
            <w:tcW w:w="5672" w:type="dxa"/>
            <w:tcBorders>
              <w:top w:val="single" w:color="000000" w:sz="2" w:space="0"/>
              <w:left w:val="single" w:color="000000" w:sz="2" w:space="0"/>
              <w:bottom w:val="single" w:color="000000" w:sz="2" w:space="0"/>
              <w:right w:val="single" w:color="000000" w:sz="6" w:space="0"/>
            </w:tcBorders>
            <w:noWrap/>
          </w:tcPr>
          <w:p w14:paraId="05F197D0">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单位主出入 口、营业场所人员聚集部位、运 钞交接区及押运通道</w:t>
            </w:r>
          </w:p>
        </w:tc>
      </w:tr>
      <w:tr w14:paraId="7FA5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1F184E4B">
            <w:pPr>
              <w:spacing w:before="117" w:after="200" w:line="202"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7</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389D23BB">
            <w:pPr>
              <w:pStyle w:val="85"/>
              <w:widowControl w:val="0"/>
              <w:spacing w:before="97" w:line="197" w:lineRule="auto"/>
              <w:ind w:left="108"/>
              <w:rPr>
                <w:rFonts w:hint="eastAsia" w:ascii="宋体" w:cs="宋体"/>
                <w:snapToGrid w:val="0"/>
                <w:sz w:val="24"/>
                <w:szCs w:val="21"/>
                <w:lang w:eastAsia="zh-CN"/>
              </w:rPr>
            </w:pPr>
            <w:r>
              <w:rPr>
                <w:rFonts w:hint="eastAsia" w:ascii="宋体" w:cs="宋体"/>
                <w:snapToGrid w:val="0"/>
                <w:sz w:val="24"/>
                <w:szCs w:val="21"/>
                <w:lang w:eastAsia="zh-CN"/>
              </w:rPr>
              <w:t>学校、幼儿园等教育单位</w:t>
            </w:r>
          </w:p>
        </w:tc>
        <w:tc>
          <w:tcPr>
            <w:tcW w:w="5672" w:type="dxa"/>
            <w:tcBorders>
              <w:top w:val="single" w:color="000000" w:sz="2" w:space="0"/>
              <w:left w:val="single" w:color="000000" w:sz="2" w:space="0"/>
              <w:bottom w:val="single" w:color="000000" w:sz="2" w:space="0"/>
              <w:right w:val="single" w:color="000000" w:sz="6" w:space="0"/>
            </w:tcBorders>
            <w:noWrap/>
          </w:tcPr>
          <w:p w14:paraId="710610DA">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单位主出入口及其外部一定区域</w:t>
            </w:r>
          </w:p>
        </w:tc>
      </w:tr>
      <w:tr w14:paraId="67702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32CC0A90">
            <w:pPr>
              <w:spacing w:before="43" w:after="200" w:line="204"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8</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3D6EBD7F">
            <w:pPr>
              <w:pStyle w:val="85"/>
              <w:widowControl w:val="0"/>
              <w:spacing w:before="279" w:line="185" w:lineRule="auto"/>
              <w:ind w:left="117"/>
              <w:rPr>
                <w:rFonts w:hint="eastAsia" w:ascii="宋体" w:cs="宋体"/>
                <w:snapToGrid w:val="0"/>
                <w:sz w:val="24"/>
                <w:szCs w:val="21"/>
                <w:lang w:eastAsia="zh-CN"/>
              </w:rPr>
            </w:pPr>
            <w:r>
              <w:rPr>
                <w:rFonts w:hint="eastAsia" w:ascii="宋体" w:cs="宋体"/>
                <w:snapToGrid w:val="0"/>
                <w:sz w:val="24"/>
                <w:szCs w:val="21"/>
                <w:lang w:eastAsia="zh-CN"/>
              </w:rPr>
              <w:t>医院</w:t>
            </w:r>
          </w:p>
        </w:tc>
        <w:tc>
          <w:tcPr>
            <w:tcW w:w="5672" w:type="dxa"/>
            <w:tcBorders>
              <w:top w:val="single" w:color="000000" w:sz="2" w:space="0"/>
              <w:left w:val="single" w:color="000000" w:sz="2" w:space="0"/>
              <w:bottom w:val="single" w:color="000000" w:sz="2" w:space="0"/>
              <w:right w:val="single" w:color="000000" w:sz="6" w:space="0"/>
            </w:tcBorders>
            <w:noWrap/>
          </w:tcPr>
          <w:p w14:paraId="4B8D8816">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医院主出入口，挂号大厅、候诊大厅等开放区域的人员聚集部 位及采集的图像能够覆盖到单位外围一定范围的部位</w:t>
            </w:r>
          </w:p>
        </w:tc>
      </w:tr>
      <w:tr w14:paraId="0540D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49ED8835">
            <w:pPr>
              <w:pStyle w:val="85"/>
              <w:widowControl w:val="0"/>
              <w:spacing w:before="279" w:line="185" w:lineRule="auto"/>
              <w:ind w:left="117"/>
              <w:jc w:val="center"/>
              <w:rPr>
                <w:rFonts w:hint="eastAsia" w:ascii="宋体" w:cs="宋体"/>
                <w:snapToGrid w:val="0"/>
                <w:sz w:val="24"/>
                <w:szCs w:val="21"/>
                <w:lang w:eastAsia="zh-CN"/>
              </w:rPr>
            </w:pPr>
            <w:r>
              <w:rPr>
                <w:rFonts w:hint="eastAsia" w:ascii="宋体" w:cs="宋体"/>
                <w:snapToGrid w:val="0"/>
                <w:sz w:val="24"/>
                <w:szCs w:val="21"/>
                <w:lang w:eastAsia="zh-CN"/>
              </w:rPr>
              <w:t>9</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3EC3BC20">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歌舞娱乐厅、电子游戏厅、互联网上网服务营业场所等场所</w:t>
            </w:r>
          </w:p>
        </w:tc>
        <w:tc>
          <w:tcPr>
            <w:tcW w:w="5672" w:type="dxa"/>
            <w:tcBorders>
              <w:top w:val="single" w:color="000000" w:sz="2" w:space="0"/>
              <w:left w:val="single" w:color="000000" w:sz="2" w:space="0"/>
              <w:bottom w:val="single" w:color="000000" w:sz="2" w:space="0"/>
              <w:right w:val="single" w:color="000000" w:sz="6" w:space="0"/>
            </w:tcBorders>
            <w:noWrap/>
            <w:vAlign w:val="center"/>
          </w:tcPr>
          <w:p w14:paraId="1DFDFC36">
            <w:pPr>
              <w:pStyle w:val="85"/>
              <w:widowControl w:val="0"/>
              <w:spacing w:before="91" w:line="218" w:lineRule="auto"/>
              <w:ind w:right="104"/>
              <w:rPr>
                <w:rFonts w:hint="eastAsia" w:ascii="宋体" w:cs="宋体"/>
                <w:snapToGrid w:val="0"/>
                <w:sz w:val="24"/>
                <w:szCs w:val="21"/>
                <w:lang w:eastAsia="zh-CN"/>
              </w:rPr>
            </w:pPr>
            <w:r>
              <w:rPr>
                <w:rFonts w:hint="eastAsia" w:ascii="宋体" w:cs="宋体"/>
                <w:snapToGrid w:val="0"/>
                <w:sz w:val="24"/>
                <w:szCs w:val="21"/>
                <w:lang w:eastAsia="zh-CN"/>
              </w:rPr>
              <w:t>场所出入口及采集的图像能够覆盖到场所外围一定范围的部位</w:t>
            </w:r>
          </w:p>
        </w:tc>
      </w:tr>
      <w:tr w14:paraId="61F71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0207D35F">
            <w:pPr>
              <w:spacing w:after="200" w:line="257" w:lineRule="auto"/>
              <w:jc w:val="center"/>
              <w:rPr>
                <w:rFonts w:hint="eastAsia" w:ascii="宋体" w:eastAsia="宋体" w:cs="宋体"/>
                <w:snapToGrid w:val="0"/>
                <w:sz w:val="24"/>
                <w:szCs w:val="21"/>
                <w:lang w:eastAsia="zh-CN"/>
              </w:rPr>
            </w:pPr>
            <w:r>
              <w:rPr>
                <w:rFonts w:hint="eastAsia" w:ascii="宋体" w:eastAsia="宋体" w:cs="宋体"/>
                <w:snapToGrid w:val="0"/>
                <w:sz w:val="24"/>
                <w:szCs w:val="21"/>
              </w:rPr>
              <mc:AlternateContent>
                <mc:Choice Requires="wps">
                  <w:drawing>
                    <wp:anchor distT="0" distB="0" distL="90805" distR="90805" simplePos="0" relativeHeight="251659264" behindDoc="0" locked="0" layoutInCell="1" allowOverlap="1">
                      <wp:simplePos x="0" y="0"/>
                      <wp:positionH relativeFrom="page">
                        <wp:posOffset>-6041390</wp:posOffset>
                      </wp:positionH>
                      <wp:positionV relativeFrom="page">
                        <wp:posOffset>13970</wp:posOffset>
                      </wp:positionV>
                      <wp:extent cx="190500" cy="190500"/>
                      <wp:effectExtent l="0" t="0" r="0" b="0"/>
                      <wp:wrapNone/>
                      <wp:docPr id="28" name="矩形 2"/>
                      <wp:cNvGraphicFramePr/>
                      <a:graphic xmlns:a="http://schemas.openxmlformats.org/drawingml/2006/main">
                        <a:graphicData uri="http://schemas.microsoft.com/office/word/2010/wordprocessingShape">
                          <wps:wsp>
                            <wps:cNvSpPr/>
                            <wps:spPr>
                              <a:xfrm>
                                <a:off x="0" y="0"/>
                                <a:ext cx="190499" cy="190500"/>
                              </a:xfrm>
                              <a:prstGeom prst="rect">
                                <a:avLst/>
                              </a:prstGeom>
                              <a:solidFill>
                                <a:srgbClr val="3CA4DD">
                                  <a:alpha val="7000"/>
                                </a:srgbClr>
                              </a:solidFill>
                              <a:ln w="9525" cap="flat" cmpd="sng">
                                <a:noFill/>
                                <a:prstDash val="solid"/>
                                <a:round/>
                              </a:ln>
                            </wps:spPr>
                            <wps:bodyPr vert="horz" wrap="square" lIns="91440" tIns="45720" rIns="91440" bIns="45720" anchor="t" anchorCtr="0" upright="1">
                              <a:noAutofit/>
                            </wps:bodyPr>
                          </wps:wsp>
                        </a:graphicData>
                      </a:graphic>
                    </wp:anchor>
                  </w:drawing>
                </mc:Choice>
                <mc:Fallback>
                  <w:pict>
                    <v:rect id="矩形 2" o:spid="_x0000_s1026" o:spt="1" style="position:absolute;left:0pt;margin-left:-475.7pt;margin-top:1.1pt;height:15pt;width:15pt;mso-position-horizontal-relative:page;mso-position-vertical-relative:page;z-index:251659264;mso-width-relative:page;mso-height-relative:page;" fillcolor="#3CA4DD" filled="t" stroked="f" coordsize="21600,21600" o:gfxdata="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p9D&#10;INgAAAAKAQAADwAAAAAAAAABACAAAAAiAAAAZHJzL2Rvd25yZXYueG1sUEsBAhQAFAAAAAgAh07i&#10;QPbrolwiAgAAQgQAAA4AAAAAAAAAAQAgAAAAJwEAAGRycy9lMm9Eb2MueG1sUEsFBgAAAAAGAAYA&#10;WQEAALsFAAAAAA==&#10;">
                      <v:fill on="t" opacity="4587f" focussize="0,0"/>
                      <v:stroke on="f" joinstyle="round"/>
                      <v:imagedata o:title=""/>
                      <o:lock v:ext="edit" aspectratio="f"/>
                    </v:rect>
                  </w:pict>
                </mc:Fallback>
              </mc:AlternateContent>
            </w:r>
          </w:p>
          <w:p w14:paraId="1CE05EE3">
            <w:pPr>
              <w:spacing w:after="200" w:line="276" w:lineRule="auto"/>
              <w:ind w:firstLine="240" w:firstLineChars="100"/>
              <w:rPr>
                <w:rFonts w:hint="eastAsia" w:ascii="宋体" w:eastAsia="宋体" w:cs="宋体"/>
                <w:snapToGrid w:val="0"/>
                <w:sz w:val="24"/>
                <w:szCs w:val="21"/>
              </w:rPr>
            </w:pPr>
            <w:r>
              <w:rPr>
                <w:rFonts w:hint="eastAsia" w:ascii="宋体" w:eastAsia="宋体" w:cs="宋体"/>
                <w:snapToGrid w:val="0"/>
                <w:sz w:val="24"/>
                <w:szCs w:val="21"/>
              </w:rPr>
              <w:t>10</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554BD838">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旅馆业、洗浴中心</w:t>
            </w:r>
          </w:p>
        </w:tc>
        <w:tc>
          <w:tcPr>
            <w:tcW w:w="5672" w:type="dxa"/>
            <w:tcBorders>
              <w:top w:val="single" w:color="000000" w:sz="2" w:space="0"/>
              <w:left w:val="single" w:color="000000" w:sz="2" w:space="0"/>
              <w:bottom w:val="single" w:color="000000" w:sz="2" w:space="0"/>
              <w:right w:val="single" w:color="000000" w:sz="6" w:space="0"/>
            </w:tcBorders>
            <w:noWrap/>
          </w:tcPr>
          <w:p w14:paraId="07448CB9">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宾馆、酒店等旅馆业营业场所及洗浴中心的主出入口、大厅、前 台及采集的图像能够覆盖到场所外围 一定范围的部位</w:t>
            </w:r>
          </w:p>
        </w:tc>
      </w:tr>
      <w:tr w14:paraId="1527F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7A35F646">
            <w:pPr>
              <w:spacing w:before="44" w:after="200" w:line="204"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11</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3E711F5D">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展览场馆、大型文化、体育场所和其他大型群众性活动举办场所等</w:t>
            </w:r>
          </w:p>
        </w:tc>
        <w:tc>
          <w:tcPr>
            <w:tcW w:w="5672" w:type="dxa"/>
            <w:tcBorders>
              <w:top w:val="single" w:color="000000" w:sz="2" w:space="0"/>
              <w:left w:val="single" w:color="000000" w:sz="2" w:space="0"/>
              <w:bottom w:val="single" w:color="000000" w:sz="2" w:space="0"/>
              <w:right w:val="single" w:color="000000" w:sz="6" w:space="0"/>
            </w:tcBorders>
            <w:noWrap/>
          </w:tcPr>
          <w:p w14:paraId="430675C6">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活动场所的出入口、安检区、室外人员聚集区域（部位）</w:t>
            </w:r>
          </w:p>
        </w:tc>
      </w:tr>
      <w:tr w14:paraId="3F9CF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639A9527">
            <w:pPr>
              <w:spacing w:before="124" w:after="200" w:line="204"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12</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2F832861">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旅游景区</w:t>
            </w:r>
          </w:p>
        </w:tc>
        <w:tc>
          <w:tcPr>
            <w:tcW w:w="5672" w:type="dxa"/>
            <w:tcBorders>
              <w:top w:val="single" w:color="000000" w:sz="2" w:space="0"/>
              <w:left w:val="single" w:color="000000" w:sz="2" w:space="0"/>
              <w:bottom w:val="single" w:color="000000" w:sz="2" w:space="0"/>
              <w:right w:val="single" w:color="000000" w:sz="6" w:space="0"/>
            </w:tcBorders>
            <w:noWrap/>
          </w:tcPr>
          <w:p w14:paraId="340D41D0">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旅游景区主出入口、人员聚集区域（部位）</w:t>
            </w:r>
          </w:p>
        </w:tc>
      </w:tr>
      <w:tr w14:paraId="2D5DA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2" w:type="dxa"/>
            <w:tcBorders>
              <w:top w:val="single" w:color="000000" w:sz="2" w:space="0"/>
              <w:left w:val="single" w:color="000000" w:sz="6" w:space="0"/>
              <w:bottom w:val="single" w:color="000000" w:sz="2" w:space="0"/>
              <w:right w:val="single" w:color="000000" w:sz="2" w:space="0"/>
            </w:tcBorders>
            <w:noWrap/>
            <w:vAlign w:val="center"/>
          </w:tcPr>
          <w:p w14:paraId="09BBCB74">
            <w:pPr>
              <w:spacing w:before="43" w:after="200" w:line="206" w:lineRule="auto"/>
              <w:ind w:firstLine="0" w:firstLineChars="0"/>
              <w:jc w:val="center"/>
              <w:rPr>
                <w:rFonts w:hint="eastAsia" w:ascii="宋体" w:eastAsia="宋体" w:cs="宋体"/>
                <w:snapToGrid w:val="0"/>
                <w:sz w:val="24"/>
                <w:szCs w:val="21"/>
              </w:rPr>
            </w:pPr>
            <w:r>
              <w:rPr>
                <w:rFonts w:hint="eastAsia" w:ascii="宋体" w:eastAsia="宋体" w:cs="宋体"/>
                <w:snapToGrid w:val="0"/>
                <w:sz w:val="24"/>
                <w:szCs w:val="21"/>
              </w:rPr>
              <w:t>13</w:t>
            </w:r>
          </w:p>
        </w:tc>
        <w:tc>
          <w:tcPr>
            <w:tcW w:w="2257" w:type="dxa"/>
            <w:tcBorders>
              <w:top w:val="single" w:color="000000" w:sz="2" w:space="0"/>
              <w:left w:val="single" w:color="000000" w:sz="2" w:space="0"/>
              <w:bottom w:val="single" w:color="000000" w:sz="2" w:space="0"/>
              <w:right w:val="single" w:color="000000" w:sz="2" w:space="0"/>
            </w:tcBorders>
            <w:noWrap/>
            <w:vAlign w:val="center"/>
          </w:tcPr>
          <w:p w14:paraId="49BF8A32">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其他治安保卫重点单位</w:t>
            </w:r>
          </w:p>
        </w:tc>
        <w:tc>
          <w:tcPr>
            <w:tcW w:w="5672" w:type="dxa"/>
            <w:tcBorders>
              <w:top w:val="single" w:color="000000" w:sz="2" w:space="0"/>
              <w:left w:val="single" w:color="000000" w:sz="2" w:space="0"/>
              <w:bottom w:val="single" w:color="000000" w:sz="2" w:space="0"/>
              <w:right w:val="single" w:color="000000" w:sz="6" w:space="0"/>
            </w:tcBorders>
            <w:noWrap/>
          </w:tcPr>
          <w:p w14:paraId="531FABD8">
            <w:pPr>
              <w:pStyle w:val="85"/>
              <w:widowControl w:val="0"/>
              <w:spacing w:before="91" w:line="218" w:lineRule="auto"/>
              <w:ind w:left="118" w:right="104" w:hanging="2"/>
              <w:rPr>
                <w:rFonts w:hint="eastAsia" w:ascii="宋体" w:cs="宋体"/>
                <w:snapToGrid w:val="0"/>
                <w:sz w:val="24"/>
                <w:szCs w:val="21"/>
                <w:lang w:eastAsia="zh-CN"/>
              </w:rPr>
            </w:pPr>
            <w:r>
              <w:rPr>
                <w:rFonts w:hint="eastAsia" w:ascii="宋体" w:cs="宋体"/>
                <w:snapToGrid w:val="0"/>
                <w:sz w:val="24"/>
                <w:szCs w:val="21"/>
                <w:lang w:eastAsia="zh-CN"/>
              </w:rPr>
              <w:t>单位出入口及采集的图像能够覆盖到单位 外围一定范围的部位</w:t>
            </w:r>
          </w:p>
        </w:tc>
      </w:tr>
    </w:tbl>
    <w:p w14:paraId="584050B3">
      <w:pPr>
        <w:pStyle w:val="7"/>
        <w:rPr>
          <w:rFonts w:hint="eastAsia" w:ascii="宋体" w:eastAsia="宋体" w:cs="宋体"/>
        </w:rPr>
      </w:pPr>
      <w:bookmarkStart w:id="269" w:name="_Toc4495"/>
      <w:bookmarkStart w:id="270" w:name="_Toc2982"/>
      <w:bookmarkStart w:id="271" w:name="_Toc1106"/>
      <w:r>
        <w:rPr>
          <w:rFonts w:hint="eastAsia" w:ascii="宋体" w:eastAsia="宋体" w:cs="宋体"/>
        </w:rPr>
        <w:t>前端配套</w:t>
      </w:r>
      <w:bookmarkEnd w:id="269"/>
      <w:bookmarkEnd w:id="270"/>
      <w:r>
        <w:rPr>
          <w:rFonts w:hint="eastAsia" w:ascii="宋体" w:eastAsia="宋体" w:cs="宋体"/>
        </w:rPr>
        <w:t>安装设计</w:t>
      </w:r>
      <w:bookmarkEnd w:id="271"/>
    </w:p>
    <w:p w14:paraId="2A16B87F">
      <w:pPr>
        <w:pStyle w:val="8"/>
        <w:rPr>
          <w:rFonts w:hint="eastAsia" w:ascii="宋体" w:eastAsia="宋体" w:cs="宋体"/>
        </w:rPr>
      </w:pPr>
      <w:bookmarkStart w:id="272" w:name="_Toc16099"/>
      <w:bookmarkStart w:id="273" w:name="_Toc2240"/>
      <w:bookmarkStart w:id="274" w:name="_Toc20748"/>
      <w:r>
        <w:rPr>
          <w:rFonts w:hint="eastAsia" w:ascii="宋体" w:eastAsia="宋体" w:cs="宋体"/>
        </w:rPr>
        <w:t>前端摄像机</w:t>
      </w:r>
      <w:bookmarkEnd w:id="272"/>
      <w:bookmarkEnd w:id="273"/>
      <w:r>
        <w:rPr>
          <w:rFonts w:hint="eastAsia" w:ascii="宋体" w:eastAsia="宋体" w:cs="宋体"/>
        </w:rPr>
        <w:t>安装要求</w:t>
      </w:r>
      <w:bookmarkEnd w:id="274"/>
    </w:p>
    <w:p w14:paraId="4EBED050">
      <w:pPr>
        <w:pStyle w:val="123"/>
        <w:rPr>
          <w:rFonts w:hint="eastAsia" w:ascii="宋体" w:eastAsia="宋体" w:cs="宋体"/>
        </w:rPr>
      </w:pPr>
      <w:r>
        <w:rPr>
          <w:rFonts w:hint="eastAsia" w:ascii="宋体" w:eastAsia="宋体" w:cs="宋体"/>
        </w:rPr>
        <w:t>本次购买的2000台前端摄像机服务安装均需要满足滁州市公安局对视频图像质量、拍摄角度、拍摄范围等方面的要求，具体要求如下：</w:t>
      </w:r>
    </w:p>
    <w:p w14:paraId="4E71F964">
      <w:pPr>
        <w:pStyle w:val="121"/>
        <w:autoSpaceDE w:val="0"/>
        <w:autoSpaceDN w:val="0"/>
        <w:adjustRightInd w:val="0"/>
        <w:snapToGrid w:val="0"/>
        <w:ind w:left="0" w:firstLine="560"/>
        <w:rPr>
          <w:rFonts w:hint="eastAsia" w:ascii="宋体" w:eastAsia="宋体" w:cs="宋体"/>
        </w:rPr>
      </w:pPr>
      <w:r>
        <w:rPr>
          <w:rFonts w:hint="eastAsia" w:ascii="宋体" w:eastAsia="宋体" w:cs="宋体"/>
        </w:rPr>
        <w:t>全结构化枪型摄像机</w:t>
      </w:r>
    </w:p>
    <w:p w14:paraId="745146E6">
      <w:pPr>
        <w:pStyle w:val="123"/>
        <w:rPr>
          <w:rFonts w:hint="eastAsia" w:ascii="宋体" w:eastAsia="宋体" w:cs="宋体"/>
        </w:rPr>
      </w:pPr>
      <w:r>
        <w:rPr>
          <w:rFonts w:hint="eastAsia" w:ascii="宋体" w:eastAsia="宋体" w:cs="宋体"/>
        </w:rPr>
        <w:t>全结构化枪型摄像机安装前，需对设备安装的环境进行点位勘察，安装高度建议为3.5-4.5m。</w:t>
      </w:r>
    </w:p>
    <w:p w14:paraId="7146A8C4">
      <w:pPr>
        <w:pStyle w:val="123"/>
        <w:rPr>
          <w:rFonts w:hint="eastAsia" w:ascii="宋体" w:eastAsia="宋体" w:cs="宋体"/>
        </w:rPr>
      </w:pPr>
      <w:r>
        <w:rPr>
          <w:rFonts w:hint="eastAsia" w:ascii="宋体" w:eastAsia="宋体" w:cs="宋体"/>
        </w:rPr>
        <w:t>安装高度与监控距离详见如下：</w:t>
      </w:r>
    </w:p>
    <w:p w14:paraId="6E2335FE">
      <w:pPr>
        <w:pStyle w:val="123"/>
        <w:ind w:firstLine="0" w:firstLineChars="0"/>
        <w:rPr>
          <w:rFonts w:hint="eastAsia" w:ascii="宋体" w:eastAsia="宋体" w:cs="宋体"/>
        </w:rPr>
      </w:pPr>
      <w:r>
        <w:rPr>
          <w:rFonts w:hint="eastAsia" w:ascii="宋体" w:eastAsia="宋体" w:cs="宋体"/>
        </w:rPr>
        <w:drawing>
          <wp:inline distT="0" distB="0" distL="0" distR="0">
            <wp:extent cx="5274310" cy="1951355"/>
            <wp:effectExtent l="0" t="0" r="2540" b="1079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5"/>
                    <a:stretch>
                      <a:fillRect/>
                    </a:stretch>
                  </pic:blipFill>
                  <pic:spPr>
                    <a:xfrm>
                      <a:off x="0" y="0"/>
                      <a:ext cx="5274310" cy="1951989"/>
                    </a:xfrm>
                    <a:prstGeom prst="rect">
                      <a:avLst/>
                    </a:prstGeom>
                    <a:noFill/>
                    <a:ln w="9525" cap="flat" cmpd="sng">
                      <a:noFill/>
                      <a:prstDash val="solid"/>
                      <a:miter/>
                    </a:ln>
                  </pic:spPr>
                </pic:pic>
              </a:graphicData>
            </a:graphic>
          </wp:inline>
        </w:drawing>
      </w:r>
    </w:p>
    <w:p w14:paraId="6CB756FF">
      <w:pPr>
        <w:pStyle w:val="123"/>
        <w:ind w:firstLine="0" w:firstLineChars="0"/>
        <w:rPr>
          <w:rFonts w:hint="eastAsia" w:ascii="宋体" w:eastAsia="宋体" w:cs="宋体"/>
        </w:rPr>
      </w:pPr>
      <w:r>
        <w:rPr>
          <w:rFonts w:hint="eastAsia" w:ascii="宋体" w:eastAsia="宋体" w:cs="宋体"/>
        </w:rPr>
        <w:drawing>
          <wp:inline distT="0" distB="0" distL="0" distR="0">
            <wp:extent cx="5274310" cy="2207260"/>
            <wp:effectExtent l="0" t="0" r="2540" b="254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6"/>
                    <a:stretch>
                      <a:fillRect/>
                    </a:stretch>
                  </pic:blipFill>
                  <pic:spPr>
                    <a:xfrm>
                      <a:off x="0" y="0"/>
                      <a:ext cx="5274310" cy="2207260"/>
                    </a:xfrm>
                    <a:prstGeom prst="rect">
                      <a:avLst/>
                    </a:prstGeom>
                    <a:noFill/>
                    <a:ln w="9525" cap="flat" cmpd="sng">
                      <a:noFill/>
                      <a:prstDash val="solid"/>
                      <a:miter/>
                    </a:ln>
                  </pic:spPr>
                </pic:pic>
              </a:graphicData>
            </a:graphic>
          </wp:inline>
        </w:drawing>
      </w:r>
    </w:p>
    <w:p w14:paraId="3654E71E">
      <w:pPr>
        <w:pStyle w:val="123"/>
        <w:rPr>
          <w:rFonts w:hint="eastAsia" w:ascii="宋体" w:eastAsia="宋体" w:cs="宋体"/>
        </w:rPr>
      </w:pPr>
      <w:r>
        <w:rPr>
          <w:rFonts w:hint="eastAsia" w:ascii="宋体" w:eastAsia="宋体" w:cs="宋体"/>
        </w:rPr>
        <w:t>摄像机安装不同高度，对于监控距离范围不同，需根据现场勘查情况，结合实际现场情况进行摄像机安装高度及角度评定。</w:t>
      </w:r>
    </w:p>
    <w:p w14:paraId="5DDBF858">
      <w:pPr>
        <w:pStyle w:val="121"/>
        <w:autoSpaceDE w:val="0"/>
        <w:autoSpaceDN w:val="0"/>
        <w:adjustRightInd w:val="0"/>
        <w:snapToGrid w:val="0"/>
        <w:ind w:left="0" w:firstLine="560"/>
        <w:rPr>
          <w:rFonts w:hint="eastAsia" w:ascii="宋体" w:eastAsia="宋体" w:cs="宋体"/>
        </w:rPr>
      </w:pPr>
      <w:r>
        <w:rPr>
          <w:rFonts w:hint="eastAsia" w:ascii="宋体" w:eastAsia="宋体" w:cs="宋体"/>
        </w:rPr>
        <w:t>人脸卡口摄像机</w:t>
      </w:r>
    </w:p>
    <w:p w14:paraId="115F47AB">
      <w:pPr>
        <w:pStyle w:val="123"/>
        <w:rPr>
          <w:rFonts w:hint="eastAsia" w:ascii="宋体" w:eastAsia="宋体" w:cs="宋体"/>
        </w:rPr>
      </w:pPr>
      <w:r>
        <w:rPr>
          <w:rFonts w:hint="eastAsia" w:ascii="宋体" w:eastAsia="宋体" w:cs="宋体"/>
        </w:rPr>
        <w:t>需保证人脸在镜头中为正面，俯冲角尽量不超过15度，并选择合适的水平安装距离和垂直安装高度，一般建议架设高度H大约为3.5-4.5米左右。正对人脸的方向，不宜过于偏左或偏右，左右不能超过30度，上下不能超过25度。人脸在画面中的尺寸最小80*80个像素，建议大于100*100像素。</w:t>
      </w:r>
    </w:p>
    <w:p w14:paraId="0201EC27">
      <w:pPr>
        <w:pStyle w:val="123"/>
        <w:rPr>
          <w:rFonts w:hint="eastAsia" w:ascii="宋体" w:eastAsia="宋体" w:cs="宋体"/>
        </w:rPr>
      </w:pPr>
      <w:r>
        <w:rPr>
          <w:rFonts w:hint="eastAsia" w:ascii="宋体" w:eastAsia="宋体" w:cs="宋体"/>
        </w:rPr>
        <w:t>安装角度详见如下：</w:t>
      </w:r>
    </w:p>
    <w:p w14:paraId="70F1769C">
      <w:pPr>
        <w:pStyle w:val="123"/>
        <w:rPr>
          <w:rFonts w:hint="eastAsia" w:ascii="宋体" w:eastAsia="宋体" w:cs="宋体"/>
        </w:rPr>
      </w:pPr>
      <w:r>
        <w:rPr>
          <w:rFonts w:hint="eastAsia" w:ascii="宋体" w:eastAsia="宋体" w:cs="宋体"/>
        </w:rPr>
        <w:drawing>
          <wp:inline distT="0" distB="0" distL="0" distR="0">
            <wp:extent cx="5274310" cy="2275840"/>
            <wp:effectExtent l="0" t="0" r="2540" b="1016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7"/>
                    <a:stretch>
                      <a:fillRect/>
                    </a:stretch>
                  </pic:blipFill>
                  <pic:spPr>
                    <a:xfrm>
                      <a:off x="0" y="0"/>
                      <a:ext cx="5274310" cy="2275840"/>
                    </a:xfrm>
                    <a:prstGeom prst="rect">
                      <a:avLst/>
                    </a:prstGeom>
                    <a:noFill/>
                    <a:ln w="9525" cap="flat" cmpd="sng">
                      <a:noFill/>
                      <a:prstDash val="solid"/>
                      <a:miter/>
                    </a:ln>
                  </pic:spPr>
                </pic:pic>
              </a:graphicData>
            </a:graphic>
          </wp:inline>
        </w:drawing>
      </w:r>
    </w:p>
    <w:p w14:paraId="7F3DC713">
      <w:pPr>
        <w:pStyle w:val="121"/>
        <w:autoSpaceDE w:val="0"/>
        <w:autoSpaceDN w:val="0"/>
        <w:adjustRightInd w:val="0"/>
        <w:snapToGrid w:val="0"/>
        <w:ind w:left="0" w:firstLine="560"/>
        <w:rPr>
          <w:rFonts w:hint="eastAsia" w:ascii="宋体" w:eastAsia="宋体" w:cs="宋体"/>
        </w:rPr>
      </w:pPr>
      <w:r>
        <w:rPr>
          <w:rFonts w:hint="eastAsia" w:ascii="宋体" w:eastAsia="宋体" w:cs="宋体"/>
        </w:rPr>
        <w:t>全结构化摄像机</w:t>
      </w:r>
    </w:p>
    <w:p w14:paraId="4E3468C7">
      <w:pPr>
        <w:pStyle w:val="123"/>
        <w:rPr>
          <w:rFonts w:hint="eastAsia" w:ascii="宋体" w:eastAsia="宋体" w:cs="宋体"/>
        </w:rPr>
      </w:pPr>
      <w:r>
        <w:rPr>
          <w:rFonts w:hint="eastAsia" w:ascii="宋体" w:eastAsia="宋体" w:cs="宋体"/>
        </w:rPr>
        <w:t>人脸识别对监控画面成像的要求，满足摄像机安装高度需与检测距离匹配，确保俯视角度在10°左右，过低前后人脸遮挡，过高低头、戴帽人脸细节丢失，摄像机应安装在通道正中间位置，兼顾左右边缘侧人脸，水平方向偏转角度应≤15°；混合目标检测在人脸抓拍的基础上，增加了人体抓拍和机动车抓拍，由于人脸抓拍分析要求大于人体，为保证人脸效果，因此，安装勘测及选点要求与人脸相似，但检测区域需完全覆盖人脸人体。</w:t>
      </w:r>
    </w:p>
    <w:p w14:paraId="19714F77">
      <w:pPr>
        <w:pStyle w:val="123"/>
        <w:rPr>
          <w:rFonts w:hint="eastAsia" w:ascii="宋体" w:eastAsia="宋体" w:cs="宋体"/>
        </w:rPr>
      </w:pPr>
      <w:r>
        <w:rPr>
          <w:rFonts w:hint="eastAsia" w:ascii="宋体" w:eastAsia="宋体" w:cs="宋体"/>
        </w:rPr>
        <w:t>车牌识别对监控画面成像的要求，号牌高度25-40像素，号牌宽度100-160像素，号牌倾斜角度：0-15度，清晰度应能满足人工对车辆号牌信息认定的要求以及自动识别条件。相机架设高度在3.5～4.5m，俯仰角在10~15度是比较理想的架设方案，俯仰角不宜过大，否则会导致检测率偏低。摄像机位置根据实际环境和需求进行调整，通过调整俯仰角和焦距，尽量减少前后车辆之间相互遮挡的情况。为确保车辆检测率和车牌识别率，尽量保证居中架设；如果实际环境不允许居中架设，可以适当小角度倾斜，尽量保证车辆抓拍和车牌识别效果。</w:t>
      </w:r>
    </w:p>
    <w:p w14:paraId="05F35546">
      <w:pPr>
        <w:pStyle w:val="123"/>
        <w:rPr>
          <w:rFonts w:hint="eastAsia" w:ascii="宋体" w:eastAsia="宋体" w:cs="宋体"/>
        </w:rPr>
      </w:pPr>
      <w:r>
        <w:rPr>
          <w:rFonts w:hint="eastAsia" w:ascii="宋体" w:eastAsia="宋体" w:cs="宋体"/>
        </w:rPr>
        <w:t>安装角度详见如下：</w:t>
      </w:r>
    </w:p>
    <w:p w14:paraId="4634E7B7">
      <w:pPr>
        <w:pStyle w:val="123"/>
        <w:ind w:firstLine="0" w:firstLineChars="0"/>
        <w:rPr>
          <w:rFonts w:hint="eastAsia" w:ascii="宋体" w:eastAsia="宋体" w:cs="宋体"/>
        </w:rPr>
      </w:pPr>
      <w:r>
        <w:rPr>
          <w:rFonts w:hint="eastAsia" w:ascii="宋体" w:eastAsia="宋体" w:cs="宋体"/>
        </w:rPr>
        <w:drawing>
          <wp:inline distT="0" distB="0" distL="114300" distR="114300">
            <wp:extent cx="5267325" cy="1529080"/>
            <wp:effectExtent l="0" t="0" r="9525" b="1397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8"/>
                    <a:stretch>
                      <a:fillRect/>
                    </a:stretch>
                  </pic:blipFill>
                  <pic:spPr>
                    <a:xfrm>
                      <a:off x="0" y="0"/>
                      <a:ext cx="5267959" cy="1529080"/>
                    </a:xfrm>
                    <a:prstGeom prst="rect">
                      <a:avLst/>
                    </a:prstGeom>
                    <a:noFill/>
                    <a:ln w="9525" cap="flat" cmpd="sng">
                      <a:noFill/>
                      <a:prstDash val="solid"/>
                      <a:round/>
                    </a:ln>
                  </pic:spPr>
                </pic:pic>
              </a:graphicData>
            </a:graphic>
          </wp:inline>
        </w:drawing>
      </w:r>
    </w:p>
    <w:p w14:paraId="4212E227">
      <w:pPr>
        <w:pStyle w:val="123"/>
        <w:ind w:firstLine="0" w:firstLineChars="0"/>
        <w:rPr>
          <w:rFonts w:hint="eastAsia" w:ascii="宋体" w:eastAsia="宋体" w:cs="宋体"/>
        </w:rPr>
      </w:pPr>
      <w:r>
        <w:rPr>
          <w:rFonts w:hint="eastAsia" w:ascii="宋体" w:eastAsia="宋体" w:cs="宋体"/>
        </w:rPr>
        <w:drawing>
          <wp:inline distT="0" distB="0" distL="114300" distR="114300">
            <wp:extent cx="5269865" cy="3550920"/>
            <wp:effectExtent l="0" t="0" r="6985" b="1143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9"/>
                    <a:stretch>
                      <a:fillRect/>
                    </a:stretch>
                  </pic:blipFill>
                  <pic:spPr>
                    <a:xfrm>
                      <a:off x="0" y="0"/>
                      <a:ext cx="5269865" cy="3550920"/>
                    </a:xfrm>
                    <a:prstGeom prst="rect">
                      <a:avLst/>
                    </a:prstGeom>
                    <a:noFill/>
                    <a:ln w="9525" cap="flat" cmpd="sng">
                      <a:noFill/>
                      <a:prstDash val="solid"/>
                      <a:round/>
                    </a:ln>
                  </pic:spPr>
                </pic:pic>
              </a:graphicData>
            </a:graphic>
          </wp:inline>
        </w:drawing>
      </w:r>
    </w:p>
    <w:p w14:paraId="3026EC59">
      <w:pPr>
        <w:pStyle w:val="121"/>
        <w:autoSpaceDE w:val="0"/>
        <w:autoSpaceDN w:val="0"/>
        <w:adjustRightInd w:val="0"/>
        <w:snapToGrid w:val="0"/>
        <w:ind w:left="0" w:firstLine="560"/>
        <w:rPr>
          <w:rFonts w:hint="eastAsia" w:ascii="宋体" w:eastAsia="宋体" w:cs="宋体"/>
        </w:rPr>
      </w:pPr>
      <w:r>
        <w:rPr>
          <w:rFonts w:hint="eastAsia" w:ascii="宋体" w:eastAsia="宋体" w:cs="宋体"/>
        </w:rPr>
        <w:t>车辆卡口摄像机</w:t>
      </w:r>
    </w:p>
    <w:p w14:paraId="3B3582C5">
      <w:pPr>
        <w:pStyle w:val="123"/>
        <w:rPr>
          <w:rFonts w:hint="eastAsia" w:ascii="宋体" w:eastAsia="宋体" w:cs="宋体"/>
        </w:rPr>
      </w:pPr>
      <w:bookmarkStart w:id="275" w:name="_Hlk53657975"/>
      <w:r>
        <w:rPr>
          <w:rFonts w:hint="eastAsia" w:ascii="宋体" w:eastAsia="宋体" w:cs="宋体"/>
        </w:rPr>
        <w:t>车牌识别对监控画面成像的要求，号牌高度25-40像素，号牌宽度100-160像素，清晰度应能满足人工对车辆号牌信息认定的要求以及自动识别条件，全画面检测要求驾乘人员目标(50cm宽)进入画面的大小至少为100像素，建议车辆卡口摄像机架设高度不低于6m，俯仰角在10~15度是比较理想的架设方案，俯仰角不宜过大，否则会导致检测率偏低。通过调整俯仰角和焦距，尽量减少前后车辆之间相互遮挡的情况。</w:t>
      </w:r>
    </w:p>
    <w:p w14:paraId="1F7DDE56">
      <w:pPr>
        <w:pStyle w:val="121"/>
        <w:autoSpaceDE w:val="0"/>
        <w:autoSpaceDN w:val="0"/>
        <w:adjustRightInd w:val="0"/>
        <w:snapToGrid w:val="0"/>
        <w:ind w:left="0" w:firstLine="560"/>
        <w:rPr>
          <w:rFonts w:hint="eastAsia" w:ascii="宋体" w:eastAsia="宋体" w:cs="宋体"/>
        </w:rPr>
      </w:pPr>
      <w:r>
        <w:rPr>
          <w:rFonts w:hint="eastAsia" w:ascii="宋体" w:eastAsia="宋体" w:cs="宋体"/>
        </w:rPr>
        <w:t>其他类型摄像机</w:t>
      </w:r>
    </w:p>
    <w:p w14:paraId="0B318010">
      <w:pPr>
        <w:pStyle w:val="123"/>
        <w:rPr>
          <w:rFonts w:hint="eastAsia" w:ascii="宋体" w:eastAsia="宋体" w:cs="宋体"/>
        </w:rPr>
      </w:pPr>
      <w:r>
        <w:rPr>
          <w:rFonts w:hint="eastAsia" w:ascii="宋体" w:eastAsia="宋体" w:cs="宋体"/>
        </w:rPr>
        <w:t>本次购买的高倍球摄像机服务，需根据滁州市公安局市局工作要求在实际的点位上进行部署。</w:t>
      </w:r>
    </w:p>
    <w:p w14:paraId="18339E6F">
      <w:pPr>
        <w:pStyle w:val="8"/>
        <w:rPr>
          <w:rFonts w:hint="eastAsia" w:ascii="宋体" w:eastAsia="宋体" w:cs="宋体"/>
        </w:rPr>
      </w:pPr>
      <w:bookmarkStart w:id="276" w:name="_Toc12924"/>
      <w:bookmarkStart w:id="277" w:name="_Toc12739"/>
      <w:bookmarkStart w:id="278" w:name="_Toc30605"/>
      <w:r>
        <w:rPr>
          <w:rFonts w:hint="eastAsia" w:ascii="宋体" w:eastAsia="宋体" w:cs="宋体"/>
        </w:rPr>
        <w:t>前端摄像机施工</w:t>
      </w:r>
      <w:bookmarkEnd w:id="276"/>
      <w:bookmarkEnd w:id="277"/>
      <w:r>
        <w:rPr>
          <w:rFonts w:hint="eastAsia" w:ascii="宋体" w:eastAsia="宋体" w:cs="宋体"/>
        </w:rPr>
        <w:t>要求</w:t>
      </w:r>
      <w:bookmarkEnd w:id="278"/>
    </w:p>
    <w:p w14:paraId="2C9B0D1D">
      <w:pPr>
        <w:widowControl/>
        <w:rPr>
          <w:rFonts w:hint="eastAsia" w:ascii="宋体" w:eastAsia="宋体" w:cs="宋体"/>
        </w:rPr>
      </w:pPr>
      <w:r>
        <w:rPr>
          <w:rFonts w:hint="eastAsia" w:ascii="宋体" w:eastAsia="宋体" w:cs="宋体"/>
        </w:rPr>
        <w:t>根据全市已建视频监控情况，在充分利用现有资源以及保证市容建设美观的情况下，前端监控摄像机设备的安装可按照现场实际情况，利用电力杆、路灯杆、墙壁等周边建筑设施安装；部分摄像机的安装需考虑单独立杆，所有施工均需符合GB50348-2018等相关文件技术要求。</w:t>
      </w:r>
    </w:p>
    <w:p w14:paraId="3F4EAF8C">
      <w:pPr>
        <w:widowControl/>
        <w:rPr>
          <w:rFonts w:hint="eastAsia" w:ascii="宋体" w:eastAsia="宋体" w:cs="宋体"/>
        </w:rPr>
      </w:pPr>
      <w:r>
        <w:rPr>
          <w:rFonts w:hint="eastAsia" w:ascii="宋体" w:eastAsia="宋体" w:cs="宋体"/>
        </w:rPr>
        <w:t>本次设计的安装方式可分三种：立杆、壁挂、借杆。</w:t>
      </w:r>
    </w:p>
    <w:p w14:paraId="5418961F">
      <w:pPr>
        <w:widowControl/>
        <w:rPr>
          <w:rFonts w:hint="eastAsia" w:ascii="宋体" w:eastAsia="宋体" w:cs="宋体"/>
          <w:b/>
          <w:bCs/>
        </w:rPr>
      </w:pPr>
      <w:r>
        <w:rPr>
          <w:rFonts w:hint="eastAsia" w:ascii="宋体" w:eastAsia="宋体" w:cs="宋体"/>
          <w:b/>
          <w:bCs/>
          <w:color w:val="000000"/>
          <w:szCs w:val="24"/>
        </w:rPr>
        <w:t>1、前端摄像机</w:t>
      </w:r>
      <w:r>
        <w:rPr>
          <w:rFonts w:hint="eastAsia" w:ascii="宋体" w:eastAsia="宋体" w:cs="宋体"/>
          <w:b/>
          <w:bCs/>
        </w:rPr>
        <w:t>立杆安装方式服务要求：</w:t>
      </w:r>
    </w:p>
    <w:p w14:paraId="63B009DD">
      <w:pPr>
        <w:widowControl/>
        <w:rPr>
          <w:rFonts w:hint="eastAsia" w:ascii="宋体" w:eastAsia="宋体" w:cs="宋体"/>
        </w:rPr>
      </w:pPr>
      <w:r>
        <w:rPr>
          <w:rFonts w:hint="eastAsia" w:ascii="宋体" w:eastAsia="宋体" w:cs="宋体"/>
        </w:rPr>
        <w:t>（1）采用立杆安装方式的前端摄像机，整体</w:t>
      </w:r>
      <w:r>
        <w:rPr>
          <w:rFonts w:hint="eastAsia" w:ascii="宋体" w:eastAsia="宋体" w:cs="宋体"/>
          <w:color w:val="000000"/>
          <w:szCs w:val="24"/>
        </w:rPr>
        <w:t>立杆有较高的安装强度</w:t>
      </w:r>
      <w:r>
        <w:rPr>
          <w:rFonts w:hint="eastAsia" w:ascii="宋体" w:eastAsia="宋体" w:cs="宋体"/>
        </w:rPr>
        <w:t>，要求杆在装好摄像</w:t>
      </w:r>
      <w:r>
        <w:rPr>
          <w:rFonts w:hint="eastAsia" w:ascii="宋体" w:eastAsia="宋体" w:cs="宋体"/>
          <w:spacing w:val="-1"/>
        </w:rPr>
        <w:t>机后在≤6</w:t>
      </w:r>
      <w:r>
        <w:rPr>
          <w:rFonts w:hint="eastAsia" w:ascii="宋体" w:eastAsia="宋体" w:cs="宋体"/>
          <w:spacing w:val="-9"/>
        </w:rPr>
        <w:t xml:space="preserve"> 级风时不晃动，摄像机的输出图像不抖动；</w:t>
      </w:r>
    </w:p>
    <w:p w14:paraId="23B7B715">
      <w:pPr>
        <w:widowControl/>
        <w:rPr>
          <w:rFonts w:hint="eastAsia" w:ascii="宋体" w:eastAsia="宋体" w:cs="宋体"/>
          <w:color w:val="000000"/>
          <w:szCs w:val="24"/>
        </w:rPr>
      </w:pPr>
      <w:r>
        <w:rPr>
          <w:rFonts w:hint="eastAsia" w:ascii="宋体" w:eastAsia="宋体" w:cs="宋体"/>
          <w:color w:val="000000"/>
          <w:szCs w:val="24"/>
        </w:rPr>
        <w:t>（2）立杆做水泥基础底座，采取现场浇铸砼基础的方法制作，遵守《钢筋混凝土施工规范》，立杆与地面垂直无倾斜；</w:t>
      </w:r>
    </w:p>
    <w:p w14:paraId="473684A5">
      <w:pPr>
        <w:widowControl/>
        <w:rPr>
          <w:rFonts w:hint="eastAsia" w:ascii="宋体" w:eastAsia="宋体" w:cs="宋体"/>
          <w:color w:val="000000"/>
          <w:szCs w:val="24"/>
        </w:rPr>
      </w:pPr>
      <w:r>
        <w:rPr>
          <w:rFonts w:hint="eastAsia" w:ascii="宋体" w:eastAsia="宋体" w:cs="宋体"/>
          <w:color w:val="000000"/>
          <w:szCs w:val="24"/>
        </w:rPr>
        <w:t>（3）监控前端立杆样式美观，立杆外观与城市景观配套，符合市政设施规范颜色，采用表面蓝白喷塑处理。</w:t>
      </w:r>
    </w:p>
    <w:p w14:paraId="0EF91EF0">
      <w:pPr>
        <w:widowControl/>
        <w:autoSpaceDE w:val="0"/>
        <w:autoSpaceDN w:val="0"/>
        <w:adjustRightInd w:val="0"/>
        <w:snapToGrid w:val="0"/>
        <w:rPr>
          <w:rFonts w:hint="eastAsia" w:ascii="宋体" w:eastAsia="宋体" w:cs="宋体"/>
          <w:b/>
          <w:bCs/>
          <w:color w:val="000000"/>
          <w:szCs w:val="24"/>
        </w:rPr>
      </w:pPr>
      <w:r>
        <w:rPr>
          <w:rFonts w:hint="eastAsia" w:ascii="宋体" w:eastAsia="宋体" w:cs="宋体"/>
          <w:b/>
          <w:bCs/>
          <w:color w:val="000000"/>
          <w:szCs w:val="24"/>
        </w:rPr>
        <w:t>2、前端摄像机借杆安装方式服务要求：</w:t>
      </w:r>
    </w:p>
    <w:p w14:paraId="4E54AA28">
      <w:pPr>
        <w:widowControl/>
        <w:rPr>
          <w:rFonts w:hint="eastAsia" w:ascii="宋体" w:eastAsia="宋体" w:cs="宋体"/>
          <w:color w:val="000000"/>
          <w:szCs w:val="24"/>
        </w:rPr>
      </w:pPr>
      <w:r>
        <w:rPr>
          <w:rFonts w:hint="eastAsia" w:ascii="宋体" w:eastAsia="宋体" w:cs="宋体"/>
        </w:rPr>
        <w:t>采用借杆安装的摄像机，需按标准杆件横臂的标准定制与摄像机对应的横臂，</w:t>
      </w:r>
      <w:r>
        <w:rPr>
          <w:rFonts w:hint="eastAsia" w:ascii="宋体" w:eastAsia="宋体" w:cs="宋体"/>
          <w:color w:val="000000"/>
          <w:szCs w:val="24"/>
        </w:rPr>
        <w:t>以提高整体安装刚度，避免出现因风吹产生震动导致图像抖动现象。</w:t>
      </w:r>
    </w:p>
    <w:p w14:paraId="656392D3">
      <w:pPr>
        <w:widowControl/>
        <w:rPr>
          <w:rFonts w:hint="eastAsia" w:ascii="宋体" w:eastAsia="宋体" w:cs="宋体"/>
        </w:rPr>
      </w:pPr>
      <w:r>
        <w:rPr>
          <w:rFonts w:hint="eastAsia" w:ascii="宋体" w:eastAsia="宋体" w:cs="宋体"/>
          <w:b/>
          <w:bCs/>
          <w:color w:val="000000"/>
          <w:szCs w:val="24"/>
        </w:rPr>
        <w:t>3、前端摄像机壁挂</w:t>
      </w:r>
      <w:r>
        <w:rPr>
          <w:rFonts w:hint="eastAsia" w:ascii="宋体" w:eastAsia="宋体" w:cs="宋体"/>
          <w:b/>
          <w:bCs/>
        </w:rPr>
        <w:t>安装方式服务要求</w:t>
      </w:r>
      <w:r>
        <w:rPr>
          <w:rFonts w:hint="eastAsia" w:ascii="宋体" w:eastAsia="宋体" w:cs="宋体"/>
        </w:rPr>
        <w:t>：</w:t>
      </w:r>
    </w:p>
    <w:p w14:paraId="090383A5">
      <w:pPr>
        <w:widowControl/>
        <w:rPr>
          <w:rFonts w:hint="eastAsia" w:ascii="宋体" w:eastAsia="宋体" w:cs="宋体"/>
          <w:color w:val="000000"/>
          <w:szCs w:val="24"/>
        </w:rPr>
      </w:pPr>
      <w:r>
        <w:rPr>
          <w:rFonts w:hint="eastAsia" w:ascii="宋体" w:eastAsia="宋体" w:cs="宋体"/>
        </w:rPr>
        <w:t>采用壁挂安装的摄像机，需按标准定制支架、抱箍，</w:t>
      </w:r>
      <w:r>
        <w:rPr>
          <w:rFonts w:hint="eastAsia" w:ascii="宋体" w:eastAsia="宋体" w:cs="宋体"/>
          <w:color w:val="000000"/>
          <w:szCs w:val="24"/>
        </w:rPr>
        <w:t>以提高整体安装强度，避免出现因风吹产生震动导致图像抖动现象。</w:t>
      </w:r>
    </w:p>
    <w:p w14:paraId="4FB08ED0">
      <w:pPr>
        <w:pStyle w:val="8"/>
        <w:rPr>
          <w:rFonts w:hint="eastAsia" w:ascii="宋体" w:eastAsia="宋体" w:cs="宋体"/>
        </w:rPr>
      </w:pPr>
      <w:bookmarkStart w:id="279" w:name="_Toc32035"/>
      <w:bookmarkStart w:id="280" w:name="_Toc28204"/>
      <w:bookmarkStart w:id="281" w:name="_Toc29040"/>
      <w:r>
        <w:rPr>
          <w:rFonts w:hint="eastAsia" w:ascii="宋体" w:eastAsia="宋体" w:cs="宋体"/>
        </w:rPr>
        <w:t>接地防雷</w:t>
      </w:r>
      <w:bookmarkEnd w:id="279"/>
      <w:bookmarkEnd w:id="280"/>
      <w:r>
        <w:rPr>
          <w:rFonts w:hint="eastAsia" w:ascii="宋体" w:eastAsia="宋体" w:cs="宋体"/>
        </w:rPr>
        <w:t>服务要求</w:t>
      </w:r>
      <w:bookmarkEnd w:id="281"/>
    </w:p>
    <w:p w14:paraId="52E9D27E">
      <w:pPr>
        <w:pStyle w:val="123"/>
        <w:autoSpaceDE w:val="0"/>
        <w:autoSpaceDN w:val="0"/>
        <w:adjustRightInd w:val="0"/>
        <w:snapToGrid w:val="0"/>
        <w:rPr>
          <w:rFonts w:hint="eastAsia" w:ascii="宋体" w:eastAsia="宋体" w:cs="宋体"/>
        </w:rPr>
      </w:pPr>
      <w:r>
        <w:rPr>
          <w:rFonts w:hint="eastAsia" w:ascii="宋体" w:eastAsia="宋体" w:cs="宋体"/>
        </w:rPr>
        <w:t>滁州市地处江南丘陵地带，是雷击多发地区，视频监控设备都是高精密电子设备且监控点位分布广、网络传输距离长，若遭受雷击，对全市治安管控、交通管理等方面将产生巨大影响。本次购买的视频监控服务要求前端监控设备的安装满足防雷和接地需求，室外监控点位的电源线路和网络线路上需加装防雷设备，同时按标准做好接地要求，用技术手段来尽量减少雷击带来的损失。</w:t>
      </w:r>
    </w:p>
    <w:p w14:paraId="6CE71B21">
      <w:pPr>
        <w:widowControl/>
        <w:autoSpaceDE w:val="0"/>
        <w:autoSpaceDN w:val="0"/>
        <w:adjustRightInd w:val="0"/>
        <w:snapToGrid w:val="0"/>
        <w:rPr>
          <w:rFonts w:hint="eastAsia" w:ascii="宋体" w:eastAsia="宋体" w:cs="宋体"/>
        </w:rPr>
      </w:pPr>
      <w:r>
        <w:rPr>
          <w:rFonts w:hint="eastAsia" w:ascii="宋体" w:eastAsia="宋体" w:cs="宋体"/>
          <w:color w:val="000000"/>
          <w:szCs w:val="24"/>
        </w:rPr>
        <w:t>本次服务中，所有设备的防雷接地要求需严格按照</w:t>
      </w:r>
      <w:r>
        <w:rPr>
          <w:rFonts w:hint="eastAsia" w:ascii="宋体" w:eastAsia="宋体" w:cs="宋体"/>
        </w:rPr>
        <w:t>国家有关标准和规范执行，立杆防雷接地电阻应≤10Ω，接地网布置依据地形进行设计，城区立杆防雷接地电阻≦4Ω，郊区≦10Ω。当土壤电阻率太高而不能满足要求时，可采用垂直接地极＋减阻剂的方法使地网接地电阻符合要求，确保接地电阻≤10Ω。</w:t>
      </w:r>
    </w:p>
    <w:p w14:paraId="56FCFEF5">
      <w:pPr>
        <w:widowControl/>
        <w:autoSpaceDE w:val="0"/>
        <w:autoSpaceDN w:val="0"/>
        <w:adjustRightInd w:val="0"/>
        <w:snapToGrid w:val="0"/>
        <w:rPr>
          <w:rFonts w:hint="eastAsia" w:ascii="宋体" w:eastAsia="宋体" w:cs="宋体"/>
          <w:shd w:val="clear" w:color="auto" w:fill="FFFFFF"/>
        </w:rPr>
      </w:pPr>
      <w:r>
        <w:rPr>
          <w:rFonts w:hint="eastAsia" w:ascii="宋体" w:eastAsia="宋体" w:cs="宋体"/>
          <w:shd w:val="clear" w:color="auto" w:fill="FFFFFF"/>
        </w:rPr>
        <w:t>如采用壁挂或借杆安装摄像机的点位（包含借路灯杆、电力杆、光缆杆等）应制作接地系统。</w:t>
      </w:r>
      <w:r>
        <w:rPr>
          <w:rFonts w:hint="eastAsia" w:ascii="宋体" w:eastAsia="宋体" w:cs="宋体"/>
        </w:rPr>
        <w:t>所有施工均需符合GB50348-2018等相关文件技术要求。</w:t>
      </w:r>
    </w:p>
    <w:p w14:paraId="56068780">
      <w:pPr>
        <w:pStyle w:val="8"/>
        <w:rPr>
          <w:rFonts w:hint="eastAsia" w:ascii="宋体" w:eastAsia="宋体" w:cs="宋体"/>
        </w:rPr>
      </w:pPr>
      <w:bookmarkStart w:id="282" w:name="_Toc27185"/>
      <w:bookmarkStart w:id="283" w:name="_Toc16710"/>
      <w:r>
        <w:rPr>
          <w:rFonts w:hint="eastAsia" w:ascii="宋体" w:eastAsia="宋体" w:cs="宋体"/>
        </w:rPr>
        <w:t>电缆</w:t>
      </w:r>
      <w:bookmarkEnd w:id="282"/>
      <w:r>
        <w:rPr>
          <w:rFonts w:hint="eastAsia" w:ascii="宋体" w:eastAsia="宋体" w:cs="宋体"/>
        </w:rPr>
        <w:t>服务要求</w:t>
      </w:r>
      <w:bookmarkEnd w:id="283"/>
    </w:p>
    <w:p w14:paraId="150D1F17">
      <w:pPr>
        <w:widowControl/>
        <w:autoSpaceDE w:val="0"/>
        <w:autoSpaceDN w:val="0"/>
        <w:adjustRightInd w:val="0"/>
        <w:snapToGrid w:val="0"/>
        <w:rPr>
          <w:rFonts w:hint="eastAsia" w:ascii="宋体" w:eastAsia="宋体" w:cs="宋体"/>
        </w:rPr>
      </w:pPr>
      <w:r>
        <w:rPr>
          <w:rFonts w:hint="eastAsia" w:ascii="宋体" w:eastAsia="宋体" w:cs="宋体"/>
        </w:rPr>
        <w:t>本次项目监控点位数量多、分布广、站点环境差异大，供电难度较大。本次前端监控点供电根据实际情况采取分散式就近取电，结合路灯及监控点附近施工条件，就近取220V交流电为摄像机提供电源，同时通过变压器进行稳压和滤波。</w:t>
      </w:r>
    </w:p>
    <w:p w14:paraId="76CB5907">
      <w:pPr>
        <w:widowControl/>
        <w:autoSpaceDE w:val="0"/>
        <w:autoSpaceDN w:val="0"/>
        <w:adjustRightInd w:val="0"/>
        <w:snapToGrid w:val="0"/>
        <w:rPr>
          <w:rFonts w:hint="eastAsia" w:ascii="宋体" w:eastAsia="宋体" w:cs="宋体"/>
        </w:rPr>
      </w:pPr>
      <w:r>
        <w:rPr>
          <w:rFonts w:hint="eastAsia" w:ascii="宋体" w:eastAsia="宋体" w:cs="宋体"/>
        </w:rPr>
        <w:t>空开漏保接地端子，线缆屏蔽层均可靠连接到设备箱的接地极上，施工时确保设备箱的接地极与接地体有效紧固连接。</w:t>
      </w:r>
    </w:p>
    <w:p w14:paraId="56B9459D">
      <w:pPr>
        <w:widowControl/>
        <w:autoSpaceDE w:val="0"/>
        <w:autoSpaceDN w:val="0"/>
        <w:adjustRightInd w:val="0"/>
        <w:snapToGrid w:val="0"/>
        <w:rPr>
          <w:rFonts w:hint="eastAsia" w:ascii="宋体" w:eastAsia="宋体" w:cs="宋体"/>
        </w:rPr>
      </w:pPr>
      <w:r>
        <w:rPr>
          <w:rFonts w:hint="eastAsia" w:ascii="宋体" w:eastAsia="宋体" w:cs="宋体"/>
        </w:rPr>
        <w:t>原则上市电、电缆引入采用地埋的方式，如前端点位现场安装环境较为恶劣可采取架空走线的方式，同时需满足前端设备输入电源的稳定性，前端取电及安装规程应符合《电气装置安装工程电缆线路施工及验收规范》。</w:t>
      </w:r>
    </w:p>
    <w:p w14:paraId="7B629A70">
      <w:pPr>
        <w:rPr>
          <w:rFonts w:hint="eastAsia" w:ascii="宋体" w:eastAsia="宋体" w:cs="宋体"/>
        </w:rPr>
      </w:pPr>
      <w:r>
        <w:rPr>
          <w:rFonts w:hint="eastAsia" w:ascii="宋体" w:eastAsia="宋体" w:cs="宋体"/>
        </w:rPr>
        <w:t>所有施工均需符合GB50348-2018等相关文件技术要求。</w:t>
      </w:r>
    </w:p>
    <w:p w14:paraId="21355CCE">
      <w:pPr>
        <w:pStyle w:val="8"/>
        <w:rPr>
          <w:rFonts w:hint="eastAsia" w:ascii="宋体" w:eastAsia="宋体" w:cs="宋体"/>
        </w:rPr>
      </w:pPr>
      <w:bookmarkStart w:id="284" w:name="_Toc25577"/>
      <w:bookmarkStart w:id="285" w:name="_Toc28407"/>
      <w:bookmarkStart w:id="286" w:name="_Toc18487"/>
      <w:r>
        <w:rPr>
          <w:rFonts w:hint="eastAsia" w:ascii="宋体" w:eastAsia="宋体" w:cs="宋体"/>
        </w:rPr>
        <w:t>机箱</w:t>
      </w:r>
      <w:bookmarkEnd w:id="284"/>
      <w:bookmarkEnd w:id="285"/>
      <w:r>
        <w:rPr>
          <w:rFonts w:hint="eastAsia" w:ascii="宋体" w:eastAsia="宋体" w:cs="宋体"/>
        </w:rPr>
        <w:t>服务要求</w:t>
      </w:r>
      <w:bookmarkEnd w:id="286"/>
    </w:p>
    <w:p w14:paraId="17A8E639">
      <w:pPr>
        <w:pStyle w:val="123"/>
        <w:rPr>
          <w:rFonts w:hint="eastAsia" w:ascii="宋体" w:eastAsia="宋体" w:cs="宋体"/>
        </w:rPr>
      </w:pPr>
      <w:r>
        <w:rPr>
          <w:rFonts w:hint="eastAsia" w:ascii="宋体" w:eastAsia="宋体" w:cs="宋体"/>
        </w:rPr>
        <w:t>监控点前端采用方形机箱，采取底部进线设计，需离地3米高度（可根据实际情况灵活掌握）落地安装。所有施工均需符合GB50348-2018等相关文件技术要求。</w:t>
      </w:r>
    </w:p>
    <w:p w14:paraId="1CD28213">
      <w:pPr>
        <w:pStyle w:val="123"/>
        <w:rPr>
          <w:rFonts w:hint="eastAsia" w:ascii="宋体" w:eastAsia="宋体" w:cs="宋体"/>
        </w:rPr>
      </w:pPr>
      <w:r>
        <w:rPr>
          <w:rFonts w:hint="eastAsia" w:ascii="宋体" w:eastAsia="宋体" w:cs="宋体"/>
        </w:rPr>
        <w:t>1、保证箱体内部充足空间方便设备安装和维护，同时应与杆体大小协调；</w:t>
      </w:r>
    </w:p>
    <w:p w14:paraId="0004491A">
      <w:pPr>
        <w:rPr>
          <w:rFonts w:hint="eastAsia" w:ascii="宋体" w:eastAsia="宋体" w:cs="宋体"/>
          <w:shd w:val="clear" w:color="auto" w:fill="FFFFFF"/>
        </w:rPr>
      </w:pPr>
      <w:r>
        <w:rPr>
          <w:rFonts w:hint="eastAsia" w:ascii="宋体" w:eastAsia="宋体" w:cs="宋体"/>
          <w:shd w:val="clear" w:color="auto" w:fill="FFFFFF"/>
        </w:rPr>
        <w:t>2、箱体采用不锈钢材质；</w:t>
      </w:r>
    </w:p>
    <w:p w14:paraId="4D20276C">
      <w:pPr>
        <w:rPr>
          <w:rFonts w:hint="eastAsia" w:ascii="宋体" w:eastAsia="宋体" w:cs="宋体"/>
          <w:shd w:val="clear" w:color="auto" w:fill="FFFFFF"/>
        </w:rPr>
      </w:pPr>
      <w:r>
        <w:rPr>
          <w:rFonts w:hint="eastAsia" w:ascii="宋体" w:eastAsia="宋体" w:cs="宋体"/>
        </w:rPr>
        <w:t>3、箱体需</w:t>
      </w:r>
      <w:r>
        <w:rPr>
          <w:rFonts w:hint="eastAsia" w:ascii="宋体" w:eastAsia="宋体" w:cs="宋体"/>
          <w:shd w:val="clear" w:color="auto" w:fill="FFFFFF"/>
        </w:rPr>
        <w:t>满足防水、防锈、防尘等功能；</w:t>
      </w:r>
    </w:p>
    <w:p w14:paraId="1A8F32CD">
      <w:pPr>
        <w:rPr>
          <w:rFonts w:hint="eastAsia" w:ascii="宋体" w:eastAsia="宋体" w:cs="宋体"/>
          <w:shd w:val="clear" w:color="auto" w:fill="FFFFFF"/>
        </w:rPr>
      </w:pPr>
      <w:r>
        <w:rPr>
          <w:rFonts w:hint="eastAsia" w:ascii="宋体" w:eastAsia="宋体" w:cs="宋体"/>
          <w:shd w:val="clear" w:color="auto" w:fill="FFFFFF"/>
        </w:rPr>
        <w:t>4、防雷器、空开、插座、网络设备、电源适配器等设备需安装在同一个设备箱内；</w:t>
      </w:r>
    </w:p>
    <w:p w14:paraId="30060C40">
      <w:pPr>
        <w:rPr>
          <w:rFonts w:hint="eastAsia" w:ascii="宋体" w:eastAsia="宋体" w:cs="宋体"/>
        </w:rPr>
      </w:pPr>
      <w:r>
        <w:rPr>
          <w:rFonts w:hint="eastAsia" w:ascii="宋体" w:eastAsia="宋体" w:cs="宋体"/>
        </w:rPr>
        <w:t>5、机箱统一喷塑标识编号，要求蓝底白字，大小式样统一。</w:t>
      </w:r>
    </w:p>
    <w:bookmarkEnd w:id="275"/>
    <w:p w14:paraId="5FA02470">
      <w:pPr>
        <w:pStyle w:val="7"/>
        <w:rPr>
          <w:rFonts w:hint="eastAsia" w:ascii="宋体" w:eastAsia="宋体" w:cs="宋体"/>
        </w:rPr>
      </w:pPr>
      <w:bookmarkStart w:id="287" w:name="4.2.2_网络协议设计"/>
      <w:bookmarkEnd w:id="287"/>
      <w:bookmarkStart w:id="288" w:name="bookmark68"/>
      <w:bookmarkEnd w:id="288"/>
      <w:bookmarkStart w:id="289" w:name="_Toc827"/>
      <w:r>
        <w:rPr>
          <w:rFonts w:hint="eastAsia" w:ascii="宋体" w:eastAsia="宋体" w:cs="宋体"/>
        </w:rPr>
        <w:t>前端设备服务要求</w:t>
      </w:r>
      <w:bookmarkEnd w:id="289"/>
    </w:p>
    <w:p w14:paraId="5C4FA923">
      <w:pPr>
        <w:pStyle w:val="8"/>
        <w:rPr>
          <w:rFonts w:hint="eastAsia" w:ascii="宋体" w:eastAsia="宋体" w:cs="宋体"/>
        </w:rPr>
      </w:pPr>
      <w:bookmarkStart w:id="290" w:name="_Toc3311"/>
      <w:bookmarkStart w:id="291" w:name="_Toc27831"/>
      <w:bookmarkStart w:id="292" w:name="_Toc161331617"/>
      <w:bookmarkStart w:id="293" w:name="_Toc16033"/>
      <w:bookmarkStart w:id="294" w:name="_Toc31478"/>
      <w:r>
        <w:rPr>
          <w:rFonts w:hint="eastAsia" w:ascii="宋体" w:eastAsia="宋体" w:cs="宋体"/>
        </w:rPr>
        <w:t>全结构化枪机</w:t>
      </w:r>
      <w:bookmarkEnd w:id="290"/>
      <w:r>
        <w:rPr>
          <w:rFonts w:hint="eastAsia" w:ascii="宋体" w:eastAsia="宋体" w:cs="宋体"/>
        </w:rPr>
        <w:t>服务</w:t>
      </w:r>
      <w:bookmarkEnd w:id="291"/>
    </w:p>
    <w:p w14:paraId="0B339044">
      <w:pPr>
        <w:pStyle w:val="9"/>
        <w:tabs>
          <w:tab w:val="left" w:pos="360"/>
        </w:tabs>
        <w:rPr>
          <w:rFonts w:hint="eastAsia" w:ascii="宋体" w:eastAsia="宋体" w:cs="宋体"/>
        </w:rPr>
      </w:pPr>
      <w:bookmarkStart w:id="295" w:name="_Toc7544"/>
      <w:r>
        <w:rPr>
          <w:rFonts w:hint="eastAsia" w:ascii="宋体" w:eastAsia="宋体" w:cs="宋体"/>
        </w:rPr>
        <w:t>设备概述</w:t>
      </w:r>
      <w:bookmarkEnd w:id="295"/>
    </w:p>
    <w:p w14:paraId="560E6A3C">
      <w:pPr>
        <w:pStyle w:val="123"/>
        <w:snapToGrid w:val="0"/>
        <w:rPr>
          <w:rFonts w:hint="eastAsia" w:ascii="宋体" w:eastAsia="宋体" w:cs="宋体"/>
        </w:rPr>
      </w:pPr>
      <w:r>
        <w:rPr>
          <w:rFonts w:hint="eastAsia" w:ascii="宋体" w:eastAsia="宋体" w:cs="宋体"/>
        </w:rPr>
        <w:t>全结构化枪机摄像机能够实现视频结构化处理，实现人员与车辆自动抓拍、车牌自动识别、人员车辆的结构化描述等功能，同时将结构化信息存入后端平台系统，为后端平台查询检索、轨迹回放等功能提供数据基础。</w:t>
      </w:r>
    </w:p>
    <w:p w14:paraId="7EEC9090">
      <w:pPr>
        <w:pStyle w:val="123"/>
        <w:snapToGrid w:val="0"/>
        <w:rPr>
          <w:rFonts w:hint="eastAsia" w:ascii="宋体" w:eastAsia="宋体" w:cs="宋体"/>
        </w:rPr>
      </w:pPr>
      <w:r>
        <w:rPr>
          <w:rFonts w:hint="eastAsia" w:ascii="宋体" w:eastAsia="宋体" w:cs="宋体"/>
        </w:rPr>
        <w:t>本次项目购买全结构化枪机服务，实现人、车等目标的抓拍、分离、结构化描述。</w:t>
      </w:r>
    </w:p>
    <w:p w14:paraId="1DE9E309">
      <w:pPr>
        <w:pStyle w:val="9"/>
        <w:tabs>
          <w:tab w:val="left" w:pos="360"/>
        </w:tabs>
        <w:rPr>
          <w:rFonts w:hint="eastAsia" w:ascii="宋体" w:eastAsia="宋体" w:cs="宋体"/>
        </w:rPr>
      </w:pPr>
      <w:bookmarkStart w:id="296" w:name="_Toc14192"/>
      <w:r>
        <w:rPr>
          <w:rFonts w:hint="eastAsia" w:ascii="宋体" w:eastAsia="宋体" w:cs="宋体"/>
        </w:rPr>
        <w:t>应用场景</w:t>
      </w:r>
      <w:bookmarkEnd w:id="296"/>
    </w:p>
    <w:p w14:paraId="34894559">
      <w:pPr>
        <w:pStyle w:val="123"/>
        <w:snapToGrid w:val="0"/>
        <w:rPr>
          <w:rFonts w:hint="eastAsia" w:ascii="宋体" w:eastAsia="宋体" w:cs="宋体"/>
        </w:rPr>
      </w:pPr>
      <w:r>
        <w:rPr>
          <w:rFonts w:hint="eastAsia" w:ascii="宋体" w:eastAsia="宋体" w:cs="宋体"/>
        </w:rPr>
        <w:t>全结构化枪机主要对公交站台、工业园区、人车混行的非机动车道等场景进行重点管控，密切结合公安实战应用需求，充分运用超清监控技术、视频分析技术、人员检测、车辆检测及相关的识别技术，解决在城市人员、车辆管控中碰到的难题。</w:t>
      </w:r>
    </w:p>
    <w:p w14:paraId="746E7823">
      <w:pPr>
        <w:pStyle w:val="9"/>
        <w:tabs>
          <w:tab w:val="left" w:pos="360"/>
        </w:tabs>
        <w:rPr>
          <w:rFonts w:hint="eastAsia" w:ascii="宋体" w:eastAsia="宋体" w:cs="宋体"/>
        </w:rPr>
      </w:pPr>
      <w:bookmarkStart w:id="297" w:name="_Toc24509"/>
      <w:r>
        <w:rPr>
          <w:rFonts w:hint="eastAsia" w:ascii="宋体" w:eastAsia="宋体" w:cs="宋体"/>
        </w:rPr>
        <w:t>服务要求</w:t>
      </w:r>
      <w:bookmarkEnd w:id="297"/>
    </w:p>
    <w:p w14:paraId="3F9A9A69">
      <w:pPr>
        <w:pStyle w:val="123"/>
        <w:snapToGrid w:val="0"/>
        <w:rPr>
          <w:rFonts w:hint="eastAsia" w:ascii="宋体" w:eastAsia="宋体" w:cs="宋体"/>
        </w:rPr>
      </w:pPr>
      <w:r>
        <w:rPr>
          <w:rFonts w:hint="eastAsia" w:ascii="宋体" w:eastAsia="宋体" w:cs="宋体"/>
          <w:lang w:val="en-US" w:eastAsia="zh-CN"/>
        </w:rPr>
        <w:t>1、</w:t>
      </w:r>
      <w:r>
        <w:rPr>
          <w:rFonts w:hint="eastAsia" w:ascii="宋体" w:eastAsia="宋体" w:cs="宋体"/>
        </w:rPr>
        <w:t>采用1/1.8英寸高性能逐行扫描图像传感器，支持电动变焦镜头；</w:t>
      </w:r>
    </w:p>
    <w:p w14:paraId="66DAA931">
      <w:pPr>
        <w:pStyle w:val="123"/>
        <w:snapToGrid w:val="0"/>
        <w:rPr>
          <w:rFonts w:hint="eastAsia" w:ascii="宋体" w:eastAsia="宋体" w:cs="宋体"/>
          <w:lang w:val="en-US" w:eastAsia="zh-CN"/>
        </w:rPr>
      </w:pPr>
      <w:r>
        <w:rPr>
          <w:rFonts w:hint="eastAsia" w:ascii="宋体" w:eastAsia="宋体" w:cs="宋体"/>
          <w:lang w:val="en-US" w:eastAsia="zh-CN"/>
        </w:rPr>
        <w:t>2、不低于</w:t>
      </w:r>
      <w:r>
        <w:rPr>
          <w:rFonts w:hint="eastAsia" w:ascii="宋体" w:eastAsia="宋体" w:cs="宋体"/>
        </w:rPr>
        <w:t>400万像素</w:t>
      </w:r>
      <w:r>
        <w:rPr>
          <w:rFonts w:hint="eastAsia" w:ascii="宋体" w:eastAsia="宋体" w:cs="宋体"/>
          <w:lang w:eastAsia="zh-CN"/>
        </w:rPr>
        <w:t>，</w:t>
      </w:r>
      <w:r>
        <w:rPr>
          <w:rFonts w:hint="eastAsia" w:ascii="宋体" w:eastAsia="宋体" w:cs="宋体"/>
          <w:lang w:val="en-US" w:eastAsia="zh-CN"/>
        </w:rPr>
        <w:t>不低于2560x1440；</w:t>
      </w:r>
    </w:p>
    <w:p w14:paraId="7648AC6E">
      <w:pPr>
        <w:pStyle w:val="123"/>
        <w:snapToGrid w:val="0"/>
        <w:rPr>
          <w:rFonts w:ascii="宋体" w:eastAsia="宋体" w:cs="宋体"/>
          <w:lang w:val="en-US" w:eastAsia="zh-CN"/>
        </w:rPr>
      </w:pPr>
      <w:r>
        <w:rPr>
          <w:rFonts w:hint="eastAsia" w:ascii="宋体" w:eastAsia="宋体" w:cs="宋体"/>
          <w:lang w:val="en-US" w:eastAsia="zh-CN"/>
        </w:rPr>
        <w:t>3、</w:t>
      </w:r>
      <w:r>
        <w:rPr>
          <w:rFonts w:hint="eastAsia" w:ascii="宋体" w:eastAsia="宋体" w:cs="宋体"/>
        </w:rPr>
        <w:t>帧率</w:t>
      </w:r>
      <w:r>
        <w:rPr>
          <w:rFonts w:hint="eastAsia" w:ascii="宋体" w:eastAsia="宋体" w:cs="宋体"/>
          <w:lang w:val="en-US" w:eastAsia="zh-CN"/>
        </w:rPr>
        <w:t>不低于</w:t>
      </w:r>
      <w:r>
        <w:rPr>
          <w:rFonts w:hint="eastAsia" w:ascii="宋体" w:eastAsia="宋体" w:cs="宋体"/>
        </w:rPr>
        <w:t>25fps，支持32kbps~10Mbps视频编码，支持三码流输出；</w:t>
      </w:r>
    </w:p>
    <w:p w14:paraId="7A316E03">
      <w:pPr>
        <w:pStyle w:val="123"/>
        <w:snapToGrid w:val="0"/>
        <w:rPr>
          <w:rFonts w:hint="eastAsia" w:ascii="宋体" w:eastAsia="宋体" w:cs="宋体"/>
        </w:rPr>
      </w:pPr>
      <w:r>
        <w:rPr>
          <w:rFonts w:hint="eastAsia" w:ascii="宋体" w:eastAsia="宋体" w:cs="宋体"/>
          <w:lang w:val="en-US" w:eastAsia="zh-CN"/>
        </w:rPr>
        <w:t>4</w:t>
      </w:r>
      <w:r>
        <w:rPr>
          <w:rFonts w:hint="eastAsia" w:ascii="宋体" w:eastAsia="宋体" w:cs="宋体"/>
        </w:rPr>
        <w:t>、最低照度：0.0005Lux（彩色）， 0.0001Lux（黑白）；</w:t>
      </w:r>
    </w:p>
    <w:p w14:paraId="39ACD3A9">
      <w:pPr>
        <w:pStyle w:val="123"/>
        <w:snapToGrid w:val="0"/>
        <w:rPr>
          <w:rFonts w:hint="eastAsia" w:ascii="宋体" w:eastAsia="宋体" w:cs="宋体"/>
        </w:rPr>
      </w:pPr>
      <w:r>
        <w:rPr>
          <w:rFonts w:hint="eastAsia" w:ascii="宋体" w:eastAsia="宋体" w:cs="宋体"/>
          <w:lang w:val="en-US" w:eastAsia="zh-CN"/>
        </w:rPr>
        <w:t>5</w:t>
      </w:r>
      <w:r>
        <w:rPr>
          <w:rFonts w:hint="eastAsia" w:ascii="宋体" w:eastAsia="宋体" w:cs="宋体"/>
        </w:rPr>
        <w:t>、采用高效补光灯，补光距离最远可达30米；</w:t>
      </w:r>
    </w:p>
    <w:p w14:paraId="5BA5CFFB">
      <w:pPr>
        <w:pStyle w:val="123"/>
        <w:snapToGrid w:val="0"/>
        <w:rPr>
          <w:rFonts w:hint="eastAsia" w:ascii="宋体" w:eastAsia="宋体" w:cs="宋体"/>
        </w:rPr>
      </w:pPr>
      <w:r>
        <w:rPr>
          <w:rFonts w:hint="eastAsia" w:ascii="宋体" w:eastAsia="宋体" w:cs="宋体"/>
          <w:lang w:val="en-US" w:eastAsia="zh-CN"/>
        </w:rPr>
        <w:t>6</w:t>
      </w:r>
      <w:r>
        <w:rPr>
          <w:rFonts w:hint="eastAsia" w:ascii="宋体" w:eastAsia="宋体" w:cs="宋体"/>
        </w:rPr>
        <w:t>、视频编码标准：H.265、H.264、MJPEG；</w:t>
      </w:r>
    </w:p>
    <w:p w14:paraId="78FAB544">
      <w:pPr>
        <w:pStyle w:val="123"/>
        <w:snapToGrid w:val="0"/>
        <w:rPr>
          <w:rFonts w:hint="eastAsia" w:ascii="宋体" w:eastAsia="宋体" w:cs="宋体"/>
        </w:rPr>
      </w:pPr>
      <w:r>
        <w:rPr>
          <w:rFonts w:hint="eastAsia" w:ascii="宋体" w:eastAsia="宋体" w:cs="宋体"/>
          <w:lang w:val="en-US" w:eastAsia="zh-CN"/>
        </w:rPr>
        <w:t>7</w:t>
      </w:r>
      <w:r>
        <w:rPr>
          <w:rFonts w:hint="eastAsia" w:ascii="宋体" w:eastAsia="宋体" w:cs="宋体"/>
        </w:rPr>
        <w:t>、音频编码格式支持G.711A、PCM、G.711、AAC音频编码标准，支持8kHz/16kHz/32kHz/48kHz采样率；</w:t>
      </w:r>
    </w:p>
    <w:p w14:paraId="4D0C1067">
      <w:pPr>
        <w:pStyle w:val="123"/>
        <w:snapToGrid w:val="0"/>
        <w:rPr>
          <w:rFonts w:hint="eastAsia" w:ascii="宋体" w:eastAsia="宋体" w:cs="宋体"/>
        </w:rPr>
      </w:pPr>
      <w:r>
        <w:rPr>
          <w:rFonts w:hint="eastAsia" w:ascii="宋体" w:eastAsia="宋体" w:cs="宋体"/>
          <w:lang w:val="en-US" w:eastAsia="zh-CN"/>
        </w:rPr>
        <w:t>8</w:t>
      </w:r>
      <w:r>
        <w:rPr>
          <w:rFonts w:hint="eastAsia" w:ascii="宋体" w:eastAsia="宋体" w:cs="宋体"/>
        </w:rPr>
        <w:t>、支持音频录像，可将麦克风采集的声音保存至录像文件；</w:t>
      </w:r>
    </w:p>
    <w:p w14:paraId="321D48BE">
      <w:pPr>
        <w:pStyle w:val="123"/>
        <w:snapToGrid w:val="0"/>
        <w:rPr>
          <w:rFonts w:hint="eastAsia" w:ascii="宋体" w:eastAsia="宋体" w:cs="宋体"/>
        </w:rPr>
      </w:pPr>
      <w:r>
        <w:rPr>
          <w:rFonts w:hint="eastAsia" w:ascii="宋体" w:eastAsia="宋体" w:cs="宋体"/>
          <w:lang w:val="en-US" w:eastAsia="zh-CN"/>
        </w:rPr>
        <w:t>9</w:t>
      </w:r>
      <w:r>
        <w:rPr>
          <w:rFonts w:hint="eastAsia" w:ascii="宋体" w:eastAsia="宋体" w:cs="宋体"/>
        </w:rPr>
        <w:t>、支持结构化分析，支持人体抓拍、人脸抓拍、非机动车及车上人员抓拍、支持车身、车牌等抓拍；</w:t>
      </w:r>
    </w:p>
    <w:p w14:paraId="75AE1B38">
      <w:pPr>
        <w:pStyle w:val="123"/>
        <w:snapToGrid w:val="0"/>
        <w:rPr>
          <w:rFonts w:hint="eastAsia" w:ascii="宋体" w:eastAsia="宋体" w:cs="宋体"/>
        </w:rPr>
      </w:pPr>
      <w:r>
        <w:rPr>
          <w:rFonts w:hint="eastAsia" w:ascii="宋体" w:eastAsia="宋体" w:cs="宋体"/>
          <w:lang w:val="en-US" w:eastAsia="zh-CN"/>
        </w:rPr>
        <w:t>10</w:t>
      </w:r>
      <w:r>
        <w:rPr>
          <w:rFonts w:hint="eastAsia" w:ascii="宋体" w:eastAsia="宋体" w:cs="宋体"/>
        </w:rPr>
        <w:t>、支持对人脸目标进行检测、跟踪、抓拍并实时上报，支持检测同时出现在画面中的70个目标，支持检测输出两眼瞳距为20像素以上的人脸目标；</w:t>
      </w:r>
    </w:p>
    <w:p w14:paraId="18B65E15">
      <w:pPr>
        <w:pStyle w:val="123"/>
        <w:snapToGrid w:val="0"/>
        <w:rPr>
          <w:rFonts w:hint="eastAsia" w:ascii="宋体" w:eastAsia="宋体" w:cs="宋体"/>
        </w:rPr>
      </w:pPr>
      <w:r>
        <w:rPr>
          <w:rFonts w:hint="eastAsia" w:ascii="宋体" w:eastAsia="宋体" w:cs="宋体"/>
        </w:rPr>
        <w:t>1</w:t>
      </w:r>
      <w:r>
        <w:rPr>
          <w:rFonts w:hint="eastAsia" w:ascii="宋体" w:eastAsia="宋体" w:cs="宋体"/>
          <w:lang w:val="en-US" w:eastAsia="zh-CN"/>
        </w:rPr>
        <w:t>1</w:t>
      </w:r>
      <w:r>
        <w:rPr>
          <w:rFonts w:hint="eastAsia" w:ascii="宋体" w:eastAsia="宋体" w:cs="宋体"/>
        </w:rPr>
        <w:t>、具备1*RJ45、1*RS485、1*开关量报警输入、1*开关量报警输出接口；</w:t>
      </w:r>
    </w:p>
    <w:p w14:paraId="32FAF3C9">
      <w:pPr>
        <w:pStyle w:val="123"/>
        <w:snapToGrid w:val="0"/>
        <w:rPr>
          <w:rFonts w:hint="eastAsia" w:ascii="宋体" w:eastAsia="宋体" w:cs="宋体"/>
        </w:rPr>
      </w:pPr>
      <w:r>
        <w:rPr>
          <w:rFonts w:hint="eastAsia" w:ascii="宋体" w:eastAsia="宋体" w:cs="宋体"/>
        </w:rPr>
        <w:t>1</w:t>
      </w:r>
      <w:r>
        <w:rPr>
          <w:rFonts w:hint="eastAsia" w:ascii="宋体" w:eastAsia="宋体" w:cs="宋体"/>
          <w:lang w:val="en-US" w:eastAsia="zh-CN"/>
        </w:rPr>
        <w:t>2</w:t>
      </w:r>
      <w:r>
        <w:rPr>
          <w:rFonts w:hint="eastAsia" w:ascii="宋体" w:eastAsia="宋体" w:cs="宋体"/>
        </w:rPr>
        <w:t>、符合IP67级防护要求，工作温度：-40℃~70℃，工作电：DC12V±</w:t>
      </w:r>
      <w:r>
        <w:rPr>
          <w:rFonts w:hint="eastAsia" w:ascii="宋体" w:eastAsia="宋体" w:cs="宋体"/>
          <w:lang w:val="en-US" w:eastAsia="zh-CN"/>
        </w:rPr>
        <w:t>2</w:t>
      </w:r>
      <w:r>
        <w:rPr>
          <w:rFonts w:hint="eastAsia" w:ascii="宋体" w:eastAsia="宋体" w:cs="宋体"/>
        </w:rPr>
        <w:t>0%或AC24V±</w:t>
      </w:r>
      <w:r>
        <w:rPr>
          <w:rFonts w:hint="eastAsia" w:ascii="宋体" w:eastAsia="宋体" w:cs="宋体"/>
          <w:lang w:val="en-US" w:eastAsia="zh-CN"/>
        </w:rPr>
        <w:t>2</w:t>
      </w:r>
      <w:r>
        <w:rPr>
          <w:rFonts w:hint="eastAsia" w:ascii="宋体" w:eastAsia="宋体" w:cs="宋体"/>
        </w:rPr>
        <w:t>0%；</w:t>
      </w:r>
    </w:p>
    <w:p w14:paraId="615CA3FB">
      <w:pPr>
        <w:pStyle w:val="123"/>
        <w:snapToGrid w:val="0"/>
        <w:rPr>
          <w:rFonts w:hint="eastAsia" w:ascii="宋体" w:eastAsia="宋体" w:cs="宋体"/>
          <w:lang w:eastAsia="zh-CN"/>
        </w:rPr>
      </w:pPr>
      <w:r>
        <w:rPr>
          <w:rFonts w:hint="eastAsia" w:ascii="宋体" w:eastAsia="宋体" w:cs="宋体"/>
        </w:rPr>
        <w:t>1</w:t>
      </w:r>
      <w:r>
        <w:rPr>
          <w:rFonts w:hint="eastAsia" w:ascii="宋体" w:eastAsia="宋体" w:cs="宋体"/>
          <w:lang w:val="en-US" w:eastAsia="zh-CN"/>
        </w:rPr>
        <w:t>3</w:t>
      </w:r>
      <w:r>
        <w:rPr>
          <w:rFonts w:hint="eastAsia" w:ascii="宋体" w:eastAsia="宋体" w:cs="宋体"/>
        </w:rPr>
        <w:t>、符合GB/T 28181、GA/T 1400、GB/T 35114标准要求</w:t>
      </w:r>
      <w:r>
        <w:rPr>
          <w:rFonts w:hint="eastAsia" w:ascii="宋体" w:eastAsia="宋体" w:cs="宋体"/>
          <w:lang w:eastAsia="zh-CN"/>
        </w:rPr>
        <w:t>。</w:t>
      </w:r>
    </w:p>
    <w:p w14:paraId="4D10799C">
      <w:pPr>
        <w:pStyle w:val="8"/>
        <w:rPr>
          <w:rFonts w:hint="eastAsia" w:ascii="宋体" w:eastAsia="宋体" w:cs="宋体"/>
        </w:rPr>
      </w:pPr>
      <w:bookmarkStart w:id="298" w:name="_Toc21546"/>
      <w:bookmarkStart w:id="299" w:name="_Toc8434"/>
      <w:bookmarkStart w:id="300" w:name="_Toc26802"/>
      <w:r>
        <w:rPr>
          <w:rFonts w:hint="eastAsia" w:ascii="宋体" w:eastAsia="宋体" w:cs="宋体"/>
        </w:rPr>
        <w:t>双目结构化枪机</w:t>
      </w:r>
      <w:bookmarkEnd w:id="298"/>
      <w:bookmarkEnd w:id="299"/>
      <w:r>
        <w:rPr>
          <w:rFonts w:hint="eastAsia" w:ascii="宋体" w:eastAsia="宋体" w:cs="宋体"/>
        </w:rPr>
        <w:t>服务</w:t>
      </w:r>
      <w:bookmarkEnd w:id="300"/>
    </w:p>
    <w:p w14:paraId="51ADA5FB">
      <w:pPr>
        <w:pStyle w:val="9"/>
        <w:tabs>
          <w:tab w:val="left" w:pos="360"/>
        </w:tabs>
        <w:rPr>
          <w:rFonts w:hint="eastAsia" w:ascii="宋体" w:eastAsia="宋体" w:cs="宋体"/>
        </w:rPr>
      </w:pPr>
      <w:bookmarkStart w:id="301" w:name="_Toc32529"/>
      <w:r>
        <w:rPr>
          <w:rFonts w:hint="eastAsia" w:ascii="宋体" w:eastAsia="宋体" w:cs="宋体"/>
        </w:rPr>
        <w:t>设备概述</w:t>
      </w:r>
      <w:bookmarkEnd w:id="301"/>
    </w:p>
    <w:p w14:paraId="3F4E433E">
      <w:pPr>
        <w:pStyle w:val="123"/>
        <w:snapToGrid w:val="0"/>
        <w:rPr>
          <w:rFonts w:hint="eastAsia" w:ascii="宋体" w:eastAsia="宋体" w:cs="宋体"/>
        </w:rPr>
      </w:pPr>
      <w:r>
        <w:rPr>
          <w:rFonts w:hint="eastAsia" w:ascii="宋体" w:eastAsia="宋体" w:cs="宋体"/>
        </w:rPr>
        <w:t>双目结构化枪机摄像机能够实现全景拍摄和视频结构化处理，其中全景摄像机实现大场景、全景图像实时监测等功能，特写摄像机实现对人员与车辆自动抓拍、车牌自动识别、人员车辆的结构化描述等功能，同时将结构化信息存入后端平台系统，为后端平台查询检索、轨迹回放等功能提供数据基础。</w:t>
      </w:r>
    </w:p>
    <w:p w14:paraId="30DDCAB2">
      <w:pPr>
        <w:pStyle w:val="123"/>
        <w:snapToGrid w:val="0"/>
        <w:rPr>
          <w:rFonts w:hint="eastAsia" w:ascii="宋体" w:eastAsia="宋体" w:cs="宋体"/>
        </w:rPr>
      </w:pPr>
      <w:r>
        <w:rPr>
          <w:rFonts w:hint="eastAsia" w:ascii="宋体" w:eastAsia="宋体" w:cs="宋体"/>
        </w:rPr>
        <w:t>本次项目购买双目结构化枪机服务；实现人、机动车、非机动车等目标的抓拍、分离、结构化描述及实时大场景的检测功能。</w:t>
      </w:r>
    </w:p>
    <w:p w14:paraId="26E79C57">
      <w:pPr>
        <w:pStyle w:val="9"/>
        <w:tabs>
          <w:tab w:val="left" w:pos="360"/>
        </w:tabs>
        <w:rPr>
          <w:rFonts w:hint="eastAsia" w:ascii="宋体" w:eastAsia="宋体" w:cs="宋体"/>
        </w:rPr>
      </w:pPr>
      <w:bookmarkStart w:id="302" w:name="_Toc13636"/>
      <w:r>
        <w:rPr>
          <w:rFonts w:hint="eastAsia" w:ascii="宋体" w:eastAsia="宋体" w:cs="宋体"/>
        </w:rPr>
        <w:t>应用场景</w:t>
      </w:r>
      <w:bookmarkEnd w:id="302"/>
    </w:p>
    <w:p w14:paraId="69BF5FB1">
      <w:pPr>
        <w:pStyle w:val="123"/>
        <w:snapToGrid w:val="0"/>
        <w:rPr>
          <w:rFonts w:hint="eastAsia" w:ascii="宋体" w:eastAsia="宋体" w:cs="宋体"/>
        </w:rPr>
      </w:pPr>
      <w:r>
        <w:rPr>
          <w:rFonts w:hint="eastAsia" w:ascii="宋体" w:eastAsia="宋体" w:cs="宋体"/>
        </w:rPr>
        <w:t>双目结构化枪机抓拍包含多个大型场景，在大场景中需要满足场景中全景监看，同时可对全景中人员、车辆等进行特写抓拍。</w:t>
      </w:r>
    </w:p>
    <w:p w14:paraId="643E129A">
      <w:pPr>
        <w:pStyle w:val="123"/>
        <w:snapToGrid w:val="0"/>
        <w:rPr>
          <w:rFonts w:hint="eastAsia" w:ascii="宋体" w:eastAsia="宋体" w:cs="宋体"/>
        </w:rPr>
      </w:pPr>
      <w:r>
        <w:rPr>
          <w:rFonts w:hint="eastAsia" w:ascii="宋体" w:eastAsia="宋体" w:cs="宋体"/>
        </w:rPr>
        <w:t>双目结构化枪机摄像机对公交站台、工业园区、人车混行的非机动车道进行重点管控，密切结合公安实战应用需求，充分运用超清监控技术、视频分析技术、人员检测、车辆检测及相关的识别技术，解决在城市人员、车辆管控中碰到的难题。</w:t>
      </w:r>
    </w:p>
    <w:p w14:paraId="2DE015BE">
      <w:pPr>
        <w:pStyle w:val="9"/>
        <w:tabs>
          <w:tab w:val="left" w:pos="360"/>
        </w:tabs>
        <w:rPr>
          <w:rFonts w:hint="eastAsia" w:ascii="宋体" w:eastAsia="宋体" w:cs="宋体"/>
        </w:rPr>
      </w:pPr>
      <w:r>
        <w:rPr>
          <w:rFonts w:hint="eastAsia" w:ascii="宋体" w:eastAsia="宋体" w:cs="宋体"/>
        </w:rPr>
        <w:t>双目结构化枪机服务</w:t>
      </w:r>
    </w:p>
    <w:p w14:paraId="48FED897">
      <w:pPr>
        <w:pStyle w:val="123"/>
        <w:snapToGrid w:val="0"/>
        <w:rPr>
          <w:rFonts w:hint="eastAsia" w:ascii="宋体" w:eastAsia="宋体" w:cs="宋体"/>
          <w:lang w:val="en-US" w:eastAsia="zh-CN"/>
        </w:rPr>
      </w:pPr>
      <w:r>
        <w:rPr>
          <w:rFonts w:hint="eastAsia" w:ascii="宋体" w:eastAsia="宋体" w:cs="宋体"/>
          <w:lang w:val="en-US" w:eastAsia="zh-CN"/>
        </w:rPr>
        <w:t>1、双镜头均应采用1/1.8英寸CMOS，支持多智能功能，内置GPU芯片，设备尺寸不小于254mm*116mm*100mm；</w:t>
      </w:r>
    </w:p>
    <w:p w14:paraId="57B74730">
      <w:pPr>
        <w:pStyle w:val="123"/>
        <w:snapToGrid w:val="0"/>
        <w:rPr>
          <w:rFonts w:hint="eastAsia" w:ascii="宋体" w:eastAsia="宋体" w:cs="宋体"/>
          <w:lang w:val="en-US" w:eastAsia="zh-CN"/>
        </w:rPr>
      </w:pPr>
      <w:r>
        <w:rPr>
          <w:rFonts w:hint="eastAsia" w:ascii="宋体" w:eastAsia="宋体" w:cs="宋体"/>
          <w:lang w:val="en-US" w:eastAsia="zh-CN"/>
        </w:rPr>
        <w:t>2、双通道至少满足一个具有8mm～32mm电动变焦镜头；</w:t>
      </w:r>
    </w:p>
    <w:p w14:paraId="087AE6BC">
      <w:pPr>
        <w:pStyle w:val="123"/>
        <w:snapToGrid w:val="0"/>
        <w:rPr>
          <w:rFonts w:hint="eastAsia" w:ascii="宋体" w:eastAsia="宋体" w:cs="宋体"/>
          <w:lang w:val="en-US" w:eastAsia="zh-CN"/>
        </w:rPr>
      </w:pPr>
      <w:r>
        <w:rPr>
          <w:rFonts w:hint="eastAsia" w:ascii="宋体" w:eastAsia="宋体" w:cs="宋体"/>
          <w:lang w:val="en-US" w:eastAsia="zh-CN"/>
        </w:rPr>
        <w:t>3、双镜头均不低于400万像素，不低于2560x1440；</w:t>
      </w:r>
    </w:p>
    <w:p w14:paraId="442830CF">
      <w:pPr>
        <w:pStyle w:val="123"/>
        <w:snapToGrid w:val="0"/>
        <w:rPr>
          <w:rFonts w:hint="eastAsia" w:ascii="宋体" w:eastAsia="宋体" w:cs="宋体"/>
          <w:lang w:val="en-US" w:eastAsia="zh-CN"/>
        </w:rPr>
      </w:pPr>
      <w:r>
        <w:rPr>
          <w:rFonts w:hint="eastAsia" w:ascii="宋体" w:eastAsia="宋体" w:cs="宋体"/>
          <w:lang w:val="en-US" w:eastAsia="zh-CN"/>
        </w:rPr>
        <w:t>4、应内置不低于3颗高效补光灯，最大补光距离100米，人脸检测距离15米；</w:t>
      </w:r>
    </w:p>
    <w:p w14:paraId="017FEDEA">
      <w:pPr>
        <w:pStyle w:val="123"/>
        <w:snapToGrid w:val="0"/>
        <w:rPr>
          <w:rFonts w:hint="eastAsia" w:ascii="宋体" w:eastAsia="宋体" w:cs="宋体"/>
          <w:lang w:val="en-US" w:eastAsia="zh-CN"/>
        </w:rPr>
      </w:pPr>
      <w:r>
        <w:rPr>
          <w:rFonts w:hint="eastAsia" w:ascii="宋体" w:eastAsia="宋体" w:cs="宋体"/>
          <w:lang w:val="en-US" w:eastAsia="zh-CN"/>
        </w:rPr>
        <w:t>5、应支持人脸检测：支持跟踪，支持优选，支持抓拍，支持上报最优的人脸抓图；</w:t>
      </w:r>
    </w:p>
    <w:p w14:paraId="2267E4F9">
      <w:pPr>
        <w:pStyle w:val="123"/>
        <w:snapToGrid w:val="0"/>
        <w:rPr>
          <w:rFonts w:hint="eastAsia" w:ascii="宋体" w:eastAsia="宋体" w:cs="宋体"/>
          <w:lang w:val="en-US" w:eastAsia="zh-CN"/>
        </w:rPr>
      </w:pPr>
      <w:r>
        <w:rPr>
          <w:rFonts w:hint="eastAsia" w:ascii="宋体" w:eastAsia="宋体" w:cs="宋体"/>
          <w:lang w:val="en-US" w:eastAsia="zh-CN"/>
        </w:rPr>
        <w:t>6、应支持ROI，SMART H.264/H.265，灵活编码，适用不同带宽和存储环境；</w:t>
      </w:r>
    </w:p>
    <w:p w14:paraId="73A37CC2">
      <w:pPr>
        <w:pStyle w:val="123"/>
        <w:snapToGrid w:val="0"/>
        <w:rPr>
          <w:rFonts w:hint="eastAsia" w:ascii="宋体" w:eastAsia="宋体" w:cs="宋体"/>
          <w:lang w:val="en-US" w:eastAsia="zh-CN"/>
        </w:rPr>
      </w:pPr>
      <w:r>
        <w:rPr>
          <w:rFonts w:hint="eastAsia" w:ascii="宋体" w:eastAsia="宋体" w:cs="宋体"/>
          <w:lang w:val="en-US" w:eastAsia="zh-CN"/>
        </w:rPr>
        <w:t>7、应支持多种智能资源切换：支持视频结构化、人脸检测；</w:t>
      </w:r>
    </w:p>
    <w:p w14:paraId="4BBA2961">
      <w:pPr>
        <w:pStyle w:val="123"/>
        <w:snapToGrid w:val="0"/>
        <w:rPr>
          <w:rFonts w:hint="eastAsia" w:ascii="宋体" w:eastAsia="宋体" w:cs="宋体"/>
          <w:lang w:val="en-US" w:eastAsia="zh-CN"/>
        </w:rPr>
      </w:pPr>
      <w:r>
        <w:rPr>
          <w:rFonts w:hint="eastAsia" w:ascii="宋体" w:eastAsia="宋体" w:cs="宋体"/>
          <w:lang w:val="en-US" w:eastAsia="zh-CN"/>
        </w:rPr>
        <w:t>8、应支持视频结构化：支持机动车、非机动车、人脸、人员等目标的抓拍和属性识别；</w:t>
      </w:r>
    </w:p>
    <w:p w14:paraId="457F356A">
      <w:pPr>
        <w:pStyle w:val="123"/>
        <w:snapToGrid w:val="0"/>
        <w:rPr>
          <w:rFonts w:hint="eastAsia" w:ascii="宋体" w:eastAsia="宋体" w:cs="宋体"/>
          <w:lang w:val="en-US" w:eastAsia="zh-CN"/>
        </w:rPr>
      </w:pPr>
      <w:r>
        <w:rPr>
          <w:rFonts w:hint="eastAsia" w:ascii="宋体" w:eastAsia="宋体" w:cs="宋体"/>
          <w:lang w:val="en-US" w:eastAsia="zh-CN"/>
        </w:rPr>
        <w:t>9、设备应具有扬声器和MIC，最大支持512G Micro SD卡；</w:t>
      </w:r>
    </w:p>
    <w:p w14:paraId="30CF32AA">
      <w:pPr>
        <w:pStyle w:val="123"/>
        <w:snapToGrid w:val="0"/>
        <w:rPr>
          <w:rFonts w:hint="eastAsia" w:ascii="宋体" w:eastAsia="宋体" w:cs="宋体"/>
          <w:lang w:val="en-US" w:eastAsia="zh-CN"/>
        </w:rPr>
      </w:pPr>
      <w:r>
        <w:rPr>
          <w:rFonts w:hint="eastAsia" w:ascii="宋体" w:eastAsia="宋体" w:cs="宋体"/>
          <w:lang w:val="en-US" w:eastAsia="zh-CN"/>
        </w:rPr>
        <w:t>10、应支持不低于IP67防护等级；</w:t>
      </w:r>
    </w:p>
    <w:p w14:paraId="7E9CDC28">
      <w:pPr>
        <w:pStyle w:val="123"/>
        <w:snapToGrid w:val="0"/>
        <w:rPr>
          <w:rFonts w:hint="eastAsia" w:ascii="宋体" w:eastAsia="宋体" w:cs="宋体"/>
          <w:lang w:val="en-US" w:eastAsia="zh-CN"/>
        </w:rPr>
      </w:pPr>
      <w:r>
        <w:rPr>
          <w:rFonts w:hint="eastAsia" w:ascii="宋体" w:eastAsia="宋体" w:cs="宋体"/>
          <w:lang w:val="en-US" w:eastAsia="zh-CN"/>
        </w:rPr>
        <w:t>11、符合GB/T 28181、GA/T 1400、GB/35114。</w:t>
      </w:r>
    </w:p>
    <w:p w14:paraId="31BF1FC0">
      <w:pPr>
        <w:pStyle w:val="8"/>
        <w:rPr>
          <w:rFonts w:hint="eastAsia" w:ascii="宋体" w:eastAsia="宋体" w:cs="宋体"/>
        </w:rPr>
      </w:pPr>
      <w:r>
        <w:rPr>
          <w:rFonts w:hint="eastAsia" w:ascii="宋体" w:eastAsia="宋体" w:cs="宋体"/>
        </w:rPr>
        <w:t>人像卡口摄像机</w:t>
      </w:r>
      <w:bookmarkEnd w:id="292"/>
      <w:r>
        <w:rPr>
          <w:rFonts w:hint="eastAsia" w:ascii="宋体" w:eastAsia="宋体" w:cs="宋体"/>
        </w:rPr>
        <w:t>服务</w:t>
      </w:r>
      <w:bookmarkEnd w:id="293"/>
    </w:p>
    <w:p w14:paraId="0B32F96A">
      <w:pPr>
        <w:pStyle w:val="9"/>
        <w:tabs>
          <w:tab w:val="left" w:pos="360"/>
        </w:tabs>
        <w:rPr>
          <w:rFonts w:hint="eastAsia" w:ascii="宋体" w:eastAsia="宋体" w:cs="宋体"/>
        </w:rPr>
      </w:pPr>
      <w:r>
        <w:rPr>
          <w:rFonts w:hint="eastAsia" w:ascii="宋体" w:eastAsia="宋体" w:cs="宋体"/>
        </w:rPr>
        <w:t>设备概述</w:t>
      </w:r>
    </w:p>
    <w:p w14:paraId="455E9E7E">
      <w:pPr>
        <w:pStyle w:val="123"/>
        <w:rPr>
          <w:rFonts w:hint="eastAsia" w:ascii="宋体" w:eastAsia="宋体" w:cs="宋体"/>
        </w:rPr>
      </w:pPr>
      <w:r>
        <w:rPr>
          <w:rFonts w:hint="eastAsia" w:ascii="宋体" w:eastAsia="宋体" w:cs="宋体"/>
        </w:rPr>
        <w:t>人像卡口摄像机实现对进出人员的人脸进行自动捕获、跟踪、抓拍，采集性别、年龄段、年龄、种族、是否戴眼镜、是否戴口罩、上下颜色、下衣纹理等人员属性信息。</w:t>
      </w:r>
    </w:p>
    <w:p w14:paraId="7CB8D865">
      <w:pPr>
        <w:pStyle w:val="123"/>
        <w:rPr>
          <w:rFonts w:hint="eastAsia" w:ascii="宋体" w:eastAsia="宋体" w:cs="宋体"/>
        </w:rPr>
      </w:pPr>
      <w:r>
        <w:rPr>
          <w:rFonts w:hint="eastAsia" w:ascii="宋体" w:eastAsia="宋体" w:cs="宋体"/>
        </w:rPr>
        <w:t>本次项目购买人像卡口摄像机服务，实现对重点场所出入人员的管控。</w:t>
      </w:r>
    </w:p>
    <w:p w14:paraId="7D6FF557">
      <w:pPr>
        <w:pStyle w:val="9"/>
        <w:tabs>
          <w:tab w:val="left" w:pos="360"/>
        </w:tabs>
        <w:rPr>
          <w:rFonts w:hint="eastAsia" w:ascii="宋体" w:eastAsia="宋体" w:cs="宋体"/>
        </w:rPr>
      </w:pPr>
      <w:r>
        <w:rPr>
          <w:rFonts w:hint="eastAsia" w:ascii="宋体" w:eastAsia="宋体" w:cs="宋体"/>
        </w:rPr>
        <w:t>应用场景</w:t>
      </w:r>
    </w:p>
    <w:p w14:paraId="202FB371">
      <w:pPr>
        <w:pStyle w:val="123"/>
        <w:rPr>
          <w:rFonts w:hint="eastAsia" w:ascii="宋体" w:eastAsia="宋体" w:cs="宋体"/>
        </w:rPr>
      </w:pPr>
      <w:r>
        <w:rPr>
          <w:rFonts w:hint="eastAsia" w:ascii="宋体" w:eastAsia="宋体" w:cs="宋体"/>
        </w:rPr>
        <w:t>应充分考虑各部门应用需求，采用科学、合理的点位布局，对人像卡口进行统一规划，实现对重点区域、重点场所、重要部位人员进出通道的全覆盖，构建严密的卡口防控体系。</w:t>
      </w:r>
    </w:p>
    <w:p w14:paraId="120972F8">
      <w:pPr>
        <w:pStyle w:val="123"/>
        <w:rPr>
          <w:rFonts w:hint="eastAsia" w:ascii="宋体" w:eastAsia="宋体" w:cs="宋体"/>
        </w:rPr>
      </w:pPr>
      <w:r>
        <w:rPr>
          <w:rFonts w:hint="eastAsia" w:ascii="宋体" w:eastAsia="宋体" w:cs="宋体"/>
        </w:rPr>
        <w:t>人像卡口前端点位分布在城市的各个角落，一般是重点场所的人员入口通道或者大门位置。实际点位的选取工作非常重要，直接关系到抓拍的实际效果，因此充分考虑布局选点的针对性、关联性以及整体效果。</w:t>
      </w:r>
    </w:p>
    <w:p w14:paraId="64E3D0C9">
      <w:pPr>
        <w:pStyle w:val="123"/>
        <w:rPr>
          <w:rFonts w:hint="eastAsia" w:ascii="宋体" w:eastAsia="宋体" w:cs="宋体"/>
        </w:rPr>
      </w:pPr>
      <w:r>
        <w:rPr>
          <w:rFonts w:hint="eastAsia" w:ascii="宋体" w:eastAsia="宋体" w:cs="宋体"/>
        </w:rPr>
        <w:t>人像卡口相机主要采集人员的脸部细节，并对人脸尺寸、清晰度、姿态角度有一定要求，所以尽量：</w:t>
      </w:r>
    </w:p>
    <w:p w14:paraId="467CFB66">
      <w:pPr>
        <w:pStyle w:val="123"/>
        <w:rPr>
          <w:rFonts w:hint="eastAsia" w:ascii="宋体" w:eastAsia="宋体" w:cs="宋体"/>
        </w:rPr>
      </w:pPr>
      <w:r>
        <w:rPr>
          <w:rFonts w:hint="eastAsia" w:ascii="宋体" w:eastAsia="宋体" w:cs="宋体"/>
        </w:rPr>
        <w:t>尽量选择通道式场景安装，比如重点场合的出入口、人员经常出入或者事件频发的重要场所，比如小区、车站、宾馆、网吧等。</w:t>
      </w:r>
    </w:p>
    <w:p w14:paraId="19B93CD2">
      <w:pPr>
        <w:pStyle w:val="123"/>
        <w:rPr>
          <w:rFonts w:hint="eastAsia" w:ascii="宋体" w:eastAsia="宋体" w:cs="宋体"/>
        </w:rPr>
      </w:pPr>
      <w:r>
        <w:rPr>
          <w:rFonts w:hint="eastAsia" w:ascii="宋体" w:eastAsia="宋体" w:cs="宋体"/>
        </w:rPr>
        <w:t>选择大多数情况下能正对人脸的方向，不宜过于偏左或偏右，左右不能超过30度，上下不能超过25度。人脸在画面中的尺寸最小80*80个像素，建议大于100*100像素；</w:t>
      </w:r>
    </w:p>
    <w:p w14:paraId="7E4CC9AD">
      <w:pPr>
        <w:pStyle w:val="123"/>
        <w:rPr>
          <w:rFonts w:hint="eastAsia" w:ascii="宋体" w:eastAsia="宋体" w:cs="宋体"/>
        </w:rPr>
      </w:pPr>
      <w:r>
        <w:rPr>
          <w:rFonts w:hint="eastAsia" w:ascii="宋体" w:eastAsia="宋体" w:cs="宋体"/>
        </w:rPr>
        <w:t>保证人脸在镜头中为正面，故俯冲角要小，尽量不超过15度；并选择合适的水平安装距离和垂直安装高度，一般建议架设高度H大约为3.5-4.5米左右。</w:t>
      </w:r>
    </w:p>
    <w:p w14:paraId="1B575211">
      <w:pPr>
        <w:pStyle w:val="9"/>
        <w:tabs>
          <w:tab w:val="left" w:pos="360"/>
        </w:tabs>
        <w:rPr>
          <w:rFonts w:hint="eastAsia" w:ascii="宋体" w:eastAsia="宋体" w:cs="宋体"/>
        </w:rPr>
      </w:pPr>
      <w:r>
        <w:rPr>
          <w:rFonts w:hint="eastAsia" w:ascii="宋体" w:eastAsia="宋体" w:cs="宋体"/>
        </w:rPr>
        <w:t>服务要求</w:t>
      </w:r>
    </w:p>
    <w:p w14:paraId="45506AED">
      <w:pPr>
        <w:pStyle w:val="123"/>
        <w:snapToGrid w:val="0"/>
        <w:rPr>
          <w:rFonts w:hint="eastAsia" w:ascii="宋体" w:eastAsia="宋体" w:cs="宋体"/>
          <w:lang w:val="en-US" w:eastAsia="zh-CN"/>
        </w:rPr>
      </w:pPr>
      <w:r>
        <w:rPr>
          <w:rFonts w:hint="eastAsia" w:ascii="宋体" w:eastAsia="宋体" w:cs="宋体"/>
          <w:lang w:val="en-US" w:eastAsia="zh-CN"/>
        </w:rPr>
        <w:t>1、采用1/1.8英寸高性能逐行扫描图像传感器；</w:t>
      </w:r>
    </w:p>
    <w:p w14:paraId="3B585A14">
      <w:pPr>
        <w:pStyle w:val="123"/>
        <w:snapToGrid w:val="0"/>
        <w:rPr>
          <w:rFonts w:hint="eastAsia" w:ascii="宋体" w:eastAsia="宋体" w:cs="宋体"/>
          <w:lang w:val="en-US" w:eastAsia="zh-CN"/>
        </w:rPr>
      </w:pPr>
      <w:r>
        <w:rPr>
          <w:rFonts w:hint="eastAsia" w:ascii="宋体" w:eastAsia="宋体" w:cs="宋体"/>
          <w:lang w:val="en-US" w:eastAsia="zh-CN"/>
        </w:rPr>
        <w:t>2、不低于400万像素，不低于2560x1440；</w:t>
      </w:r>
    </w:p>
    <w:p w14:paraId="7F53FFA7">
      <w:pPr>
        <w:pStyle w:val="123"/>
        <w:snapToGrid w:val="0"/>
        <w:rPr>
          <w:rFonts w:hint="eastAsia" w:ascii="宋体" w:eastAsia="宋体" w:cs="宋体"/>
          <w:lang w:val="en-US" w:eastAsia="zh-CN"/>
        </w:rPr>
      </w:pPr>
      <w:r>
        <w:rPr>
          <w:rFonts w:hint="eastAsia" w:ascii="宋体" w:eastAsia="宋体" w:cs="宋体"/>
          <w:lang w:val="en-US" w:eastAsia="zh-CN"/>
        </w:rPr>
        <w:t>3、帧率不低于25fps，支持32kbps~16Mbps视频编码，支持三码流输出；</w:t>
      </w:r>
    </w:p>
    <w:p w14:paraId="286CF353">
      <w:pPr>
        <w:pStyle w:val="123"/>
        <w:snapToGrid w:val="0"/>
        <w:rPr>
          <w:rFonts w:hint="eastAsia" w:ascii="宋体" w:eastAsia="宋体" w:cs="宋体"/>
          <w:lang w:val="en-US" w:eastAsia="zh-CN"/>
        </w:rPr>
      </w:pPr>
      <w:r>
        <w:rPr>
          <w:rFonts w:hint="eastAsia" w:ascii="宋体" w:eastAsia="宋体" w:cs="宋体"/>
          <w:lang w:val="en-US" w:eastAsia="zh-CN"/>
        </w:rPr>
        <w:t>4、最低照度：0.0005Lux（彩色）， 0.0001Lux（黑白）；</w:t>
      </w:r>
    </w:p>
    <w:p w14:paraId="44F2C0D8">
      <w:pPr>
        <w:pStyle w:val="123"/>
        <w:snapToGrid w:val="0"/>
        <w:rPr>
          <w:rFonts w:hint="eastAsia" w:ascii="宋体" w:eastAsia="宋体" w:cs="宋体"/>
          <w:lang w:val="en-US" w:eastAsia="zh-CN"/>
        </w:rPr>
      </w:pPr>
      <w:r>
        <w:rPr>
          <w:rFonts w:hint="eastAsia" w:ascii="宋体" w:eastAsia="宋体" w:cs="宋体"/>
          <w:lang w:val="en-US" w:eastAsia="zh-CN"/>
        </w:rPr>
        <w:t>5、视频编码标准：SVAC\H.265\H.264；</w:t>
      </w:r>
    </w:p>
    <w:p w14:paraId="215AF495">
      <w:pPr>
        <w:pStyle w:val="123"/>
        <w:snapToGrid w:val="0"/>
        <w:rPr>
          <w:rFonts w:hint="eastAsia" w:ascii="宋体" w:eastAsia="宋体" w:cs="宋体"/>
          <w:lang w:val="en-US" w:eastAsia="zh-CN"/>
        </w:rPr>
      </w:pPr>
      <w:r>
        <w:rPr>
          <w:rFonts w:hint="eastAsia" w:ascii="宋体" w:eastAsia="宋体" w:cs="宋体"/>
          <w:lang w:val="en-US" w:eastAsia="zh-CN"/>
        </w:rPr>
        <w:t>6、音频编码格式支持G.711A/U、ADPCM、G722、G726、AAC_LC音频编码标准；</w:t>
      </w:r>
    </w:p>
    <w:p w14:paraId="083CF3F3">
      <w:pPr>
        <w:pStyle w:val="123"/>
        <w:snapToGrid w:val="0"/>
        <w:rPr>
          <w:rFonts w:hint="eastAsia" w:ascii="宋体" w:eastAsia="宋体" w:cs="宋体"/>
          <w:lang w:val="en-US" w:eastAsia="zh-CN"/>
        </w:rPr>
      </w:pPr>
      <w:r>
        <w:rPr>
          <w:rFonts w:hint="eastAsia" w:ascii="宋体" w:eastAsia="宋体" w:cs="宋体"/>
          <w:lang w:val="en-US" w:eastAsia="zh-CN"/>
        </w:rPr>
        <w:t>7、支持针对人脸区域进行智能曝光，提升人脸区域的亮度、对比度，提升输出人脸目标图片的质量，支持对人脸局部最佳图片进行筛选，上报最佳人脸图片，支持在人脸检测模式下设置最佳人脸抓拍和连续人脸抓拍两种模式；</w:t>
      </w:r>
    </w:p>
    <w:p w14:paraId="57E3CD31">
      <w:pPr>
        <w:pStyle w:val="123"/>
        <w:snapToGrid w:val="0"/>
        <w:rPr>
          <w:rFonts w:hint="eastAsia" w:ascii="宋体" w:eastAsia="宋体" w:cs="宋体"/>
          <w:lang w:val="en-US" w:eastAsia="zh-CN"/>
        </w:rPr>
      </w:pPr>
      <w:r>
        <w:rPr>
          <w:rFonts w:hint="eastAsia" w:ascii="宋体" w:eastAsia="宋体" w:cs="宋体"/>
          <w:lang w:val="en-US" w:eastAsia="zh-CN"/>
        </w:rPr>
        <w:t>8、支持检测同时出现在画面中的20个人员目标，支持检测输出两眼瞳距为20像素以上的人员目标；</w:t>
      </w:r>
    </w:p>
    <w:p w14:paraId="45CBD782">
      <w:pPr>
        <w:pStyle w:val="123"/>
        <w:snapToGrid w:val="0"/>
        <w:rPr>
          <w:rFonts w:hint="eastAsia" w:ascii="宋体" w:eastAsia="宋体" w:cs="宋体"/>
          <w:lang w:val="en-US" w:eastAsia="zh-CN"/>
        </w:rPr>
      </w:pPr>
      <w:r>
        <w:rPr>
          <w:rFonts w:hint="eastAsia" w:ascii="宋体" w:eastAsia="宋体" w:cs="宋体"/>
          <w:lang w:val="en-US" w:eastAsia="zh-CN"/>
        </w:rPr>
        <w:t>9、支持对人像全身最佳图片进行筛选，上报最佳人像全身图片，支持多个人员目标出现在同一画面中且相互粘连、交错、局部遮挡时，支持同时独立检测到所有人员目标，并上报独立的人员全身快照；</w:t>
      </w:r>
    </w:p>
    <w:p w14:paraId="74AC237C">
      <w:pPr>
        <w:pStyle w:val="123"/>
        <w:snapToGrid w:val="0"/>
        <w:rPr>
          <w:rFonts w:hint="eastAsia" w:ascii="宋体" w:eastAsia="宋体" w:cs="宋体"/>
          <w:lang w:val="en-US" w:eastAsia="zh-CN"/>
        </w:rPr>
      </w:pPr>
      <w:r>
        <w:rPr>
          <w:rFonts w:hint="eastAsia" w:ascii="宋体" w:eastAsia="宋体" w:cs="宋体"/>
          <w:lang w:val="en-US" w:eastAsia="zh-CN"/>
        </w:rPr>
        <w:t>10、具备1*RJ45、1*TF卡、1*LineIn、1*LineOut、1*开关量报警输入、1*开关量报警输出接口；</w:t>
      </w:r>
    </w:p>
    <w:p w14:paraId="6B8877A1">
      <w:pPr>
        <w:pStyle w:val="123"/>
        <w:snapToGrid w:val="0"/>
        <w:rPr>
          <w:rFonts w:hint="eastAsia" w:ascii="宋体" w:eastAsia="宋体" w:cs="宋体"/>
          <w:lang w:val="en-US" w:eastAsia="zh-CN"/>
        </w:rPr>
      </w:pPr>
      <w:r>
        <w:rPr>
          <w:rFonts w:hint="eastAsia" w:ascii="宋体" w:eastAsia="宋体" w:cs="宋体"/>
          <w:lang w:val="en-US" w:eastAsia="zh-CN"/>
        </w:rPr>
        <w:t>11、符合IP67级防护要求；工作温度：-40℃~70℃，支持AC24V±20%或DC12V±20%供电或POE供电，支持红外补光，红外距离≥30米；</w:t>
      </w:r>
    </w:p>
    <w:p w14:paraId="4B79F8B1">
      <w:pPr>
        <w:pStyle w:val="123"/>
        <w:snapToGrid w:val="0"/>
        <w:rPr>
          <w:rFonts w:hint="eastAsia" w:ascii="宋体" w:eastAsia="宋体" w:cs="宋体"/>
          <w:lang w:val="en-US" w:eastAsia="zh-CN"/>
        </w:rPr>
      </w:pPr>
      <w:r>
        <w:rPr>
          <w:rFonts w:hint="eastAsia" w:ascii="宋体" w:eastAsia="宋体" w:cs="宋体"/>
          <w:lang w:val="en-US" w:eastAsia="zh-CN"/>
        </w:rPr>
        <w:t>12、符合GB/T 28181、GA/T 1400、GB/35114标准要求。</w:t>
      </w:r>
    </w:p>
    <w:bookmarkEnd w:id="294"/>
    <w:p w14:paraId="07497132">
      <w:pPr>
        <w:pStyle w:val="8"/>
        <w:rPr>
          <w:rFonts w:hint="eastAsia" w:ascii="宋体" w:eastAsia="宋体" w:cs="宋体"/>
        </w:rPr>
      </w:pPr>
      <w:bookmarkStart w:id="303" w:name="_Toc12942"/>
      <w:bookmarkStart w:id="304" w:name="_Toc8042"/>
      <w:bookmarkStart w:id="305" w:name="_Toc5492"/>
      <w:bookmarkStart w:id="306" w:name="_Toc6100"/>
      <w:bookmarkStart w:id="307" w:name="_Toc20647"/>
      <w:r>
        <w:rPr>
          <w:rFonts w:hint="eastAsia" w:ascii="宋体" w:eastAsia="宋体" w:cs="宋体"/>
        </w:rPr>
        <w:t>双目及三目结构化球机</w:t>
      </w:r>
      <w:bookmarkEnd w:id="303"/>
      <w:r>
        <w:rPr>
          <w:rFonts w:hint="eastAsia" w:ascii="宋体" w:eastAsia="宋体" w:cs="宋体"/>
        </w:rPr>
        <w:t>服务</w:t>
      </w:r>
      <w:bookmarkEnd w:id="304"/>
    </w:p>
    <w:p w14:paraId="1D1ED68E">
      <w:pPr>
        <w:pStyle w:val="9"/>
        <w:tabs>
          <w:tab w:val="left" w:pos="360"/>
        </w:tabs>
        <w:rPr>
          <w:rFonts w:hint="eastAsia" w:ascii="宋体" w:eastAsia="宋体" w:cs="宋体"/>
        </w:rPr>
      </w:pPr>
      <w:r>
        <w:rPr>
          <w:rFonts w:hint="eastAsia" w:ascii="宋体" w:eastAsia="宋体" w:cs="宋体"/>
        </w:rPr>
        <w:t>设备概述</w:t>
      </w:r>
    </w:p>
    <w:p w14:paraId="17856455">
      <w:pPr>
        <w:pStyle w:val="123"/>
        <w:snapToGrid w:val="0"/>
        <w:rPr>
          <w:rFonts w:hint="eastAsia" w:ascii="宋体" w:eastAsia="宋体" w:cs="宋体"/>
        </w:rPr>
      </w:pPr>
      <w:r>
        <w:rPr>
          <w:rFonts w:hint="eastAsia" w:ascii="宋体" w:eastAsia="宋体" w:cs="宋体"/>
        </w:rPr>
        <w:t>双目结构化球机对小区出入口、工业园区、沿街商铺、重点单位进行重点管控，密切结合公安实战应用需求，充分运用超清监控技术、视频分析技术、人员检测、车辆检测及相关的识别技术，可实现在部分空旷场景中进行</w:t>
      </w:r>
      <w:r>
        <w:rPr>
          <w:rFonts w:hint="eastAsia" w:ascii="宋体" w:eastAsia="宋体" w:cs="宋体"/>
          <w:lang w:eastAsia="zh-CN"/>
        </w:rPr>
        <w:t>不少于</w:t>
      </w:r>
      <w:r>
        <w:rPr>
          <w:rFonts w:hint="eastAsia" w:ascii="宋体" w:eastAsia="宋体" w:cs="宋体"/>
        </w:rPr>
        <w:t>30</w:t>
      </w:r>
      <w:r>
        <w:rPr>
          <w:rFonts w:hint="eastAsia" w:ascii="宋体" w:eastAsia="宋体" w:cs="宋体"/>
          <w:lang w:val="en-US" w:eastAsia="zh-CN"/>
        </w:rPr>
        <w:t>5</w:t>
      </w:r>
      <w:r>
        <w:rPr>
          <w:rFonts w:hint="eastAsia" w:ascii="宋体" w:eastAsia="宋体" w:cs="宋体"/>
        </w:rPr>
        <w:t>°高速旋转，快速进行多方位、多角度的场景监视、抓拍，解决在城市人员、车辆管控中碰到的难题。选型需要充分考虑开阔的广角、巷道的景深、低照度、宽动态、自清洁等不同环境的实际采集需求，结合实际情况采用普通高清晰度球机进一步提高实战应用能力。本次项目购买双目结构化球机服务，三目结构化球机服务满足对市区部分公共场所视频监控覆盖需求。</w:t>
      </w:r>
    </w:p>
    <w:p w14:paraId="0FAD43E1">
      <w:pPr>
        <w:pStyle w:val="9"/>
        <w:tabs>
          <w:tab w:val="left" w:pos="360"/>
        </w:tabs>
        <w:rPr>
          <w:rFonts w:hint="eastAsia" w:ascii="宋体" w:eastAsia="宋体" w:cs="宋体"/>
        </w:rPr>
      </w:pPr>
      <w:r>
        <w:rPr>
          <w:rFonts w:hint="eastAsia" w:ascii="宋体" w:eastAsia="宋体" w:cs="宋体"/>
        </w:rPr>
        <w:t>应用场景</w:t>
      </w:r>
    </w:p>
    <w:p w14:paraId="4DE0B03C">
      <w:pPr>
        <w:pStyle w:val="123"/>
        <w:snapToGrid w:val="0"/>
        <w:rPr>
          <w:rFonts w:hint="eastAsia" w:ascii="宋体" w:eastAsia="宋体" w:cs="宋体"/>
        </w:rPr>
      </w:pPr>
      <w:r>
        <w:rPr>
          <w:rFonts w:hint="eastAsia" w:ascii="宋体" w:eastAsia="宋体" w:cs="宋体"/>
        </w:rPr>
        <w:t>根据应用场景的不同，主要部署在人员出入聚集和活动的场所、区域，包括广场、公园、体育场馆、繁华街道等公共场所人员活动区域；党政机关周边、金融网点、校园周边和市级国计民生企事业单位周边等重点、要害部位的人群活动区域和主要通道；以及客运公交车、有路车、火车等交通站点等。</w:t>
      </w:r>
    </w:p>
    <w:p w14:paraId="56C3BB01">
      <w:pPr>
        <w:pStyle w:val="9"/>
        <w:tabs>
          <w:tab w:val="left" w:pos="360"/>
        </w:tabs>
        <w:rPr>
          <w:rFonts w:hint="eastAsia" w:ascii="宋体" w:eastAsia="宋体" w:cs="宋体"/>
        </w:rPr>
      </w:pPr>
      <w:r>
        <w:rPr>
          <w:rFonts w:hint="eastAsia" w:ascii="宋体" w:eastAsia="宋体" w:cs="宋体"/>
        </w:rPr>
        <w:t>双目结构化球机服务要求</w:t>
      </w:r>
    </w:p>
    <w:p w14:paraId="705D6FAB">
      <w:pPr>
        <w:pStyle w:val="123"/>
        <w:snapToGrid w:val="0"/>
        <w:rPr>
          <w:rFonts w:hint="eastAsia" w:ascii="宋体" w:eastAsia="宋体" w:cs="宋体"/>
        </w:rPr>
      </w:pPr>
      <w:r>
        <w:rPr>
          <w:rFonts w:hint="eastAsia" w:ascii="宋体" w:eastAsia="宋体" w:cs="宋体"/>
          <w:lang w:val="en-US" w:eastAsia="zh-CN"/>
        </w:rPr>
        <w:t>1、</w:t>
      </w:r>
      <w:r>
        <w:rPr>
          <w:rFonts w:hint="eastAsia" w:ascii="宋体" w:eastAsia="宋体" w:cs="宋体"/>
        </w:rPr>
        <w:t>摄像机内置不少于2个镜头，可输出至少1路全景视频和1路细节视频</w:t>
      </w:r>
      <w:r>
        <w:rPr>
          <w:rFonts w:hint="eastAsia" w:ascii="宋体" w:eastAsia="宋体" w:cs="宋体"/>
          <w:lang w:eastAsia="zh-CN"/>
        </w:rPr>
        <w:t>，</w:t>
      </w:r>
      <w:r>
        <w:rPr>
          <w:rFonts w:hint="eastAsia" w:ascii="宋体" w:eastAsia="宋体" w:cs="宋体"/>
        </w:rPr>
        <w:t>内置GPU芯片；</w:t>
      </w:r>
    </w:p>
    <w:p w14:paraId="0253BD9C">
      <w:pPr>
        <w:pStyle w:val="123"/>
        <w:snapToGrid w:val="0"/>
        <w:rPr>
          <w:rFonts w:hint="eastAsia" w:ascii="宋体" w:eastAsia="宋体" w:cs="宋体"/>
          <w:lang w:eastAsia="zh-CN"/>
        </w:rPr>
      </w:pPr>
      <w:r>
        <w:rPr>
          <w:rFonts w:hint="eastAsia" w:ascii="宋体" w:eastAsia="宋体" w:cs="宋体"/>
          <w:lang w:val="en-US" w:eastAsia="zh-CN"/>
        </w:rPr>
        <w:t>2、</w:t>
      </w:r>
      <w:r>
        <w:rPr>
          <w:rFonts w:hint="eastAsia" w:ascii="宋体" w:eastAsia="宋体" w:cs="宋体"/>
        </w:rPr>
        <w:t>细节视频图像内置镜头，支持不小于25倍光学变倍,全景通道内置镜头，焦距不小于2.8mm</w:t>
      </w:r>
      <w:r>
        <w:rPr>
          <w:rFonts w:hint="eastAsia" w:ascii="宋体" w:eastAsia="宋体" w:cs="宋体"/>
          <w:lang w:eastAsia="zh-CN"/>
        </w:rPr>
        <w:t>；</w:t>
      </w:r>
    </w:p>
    <w:p w14:paraId="39636D8C">
      <w:pPr>
        <w:pStyle w:val="123"/>
        <w:snapToGrid w:val="0"/>
        <w:rPr>
          <w:rFonts w:hint="eastAsia" w:ascii="宋体" w:eastAsia="宋体" w:cs="宋体"/>
        </w:rPr>
      </w:pPr>
      <w:r>
        <w:rPr>
          <w:rFonts w:hint="eastAsia" w:ascii="宋体" w:eastAsia="宋体" w:cs="宋体"/>
          <w:lang w:val="en-US" w:eastAsia="zh-CN"/>
        </w:rPr>
        <w:t>3、</w:t>
      </w:r>
      <w:r>
        <w:rPr>
          <w:rFonts w:hint="eastAsia" w:ascii="宋体" w:eastAsia="宋体" w:cs="宋体"/>
        </w:rPr>
        <w:t>全景视频图像</w:t>
      </w:r>
      <w:r>
        <w:rPr>
          <w:rFonts w:hint="eastAsia" w:ascii="宋体" w:eastAsia="宋体" w:cs="宋体"/>
          <w:lang w:val="en-US" w:eastAsia="zh-CN"/>
        </w:rPr>
        <w:t>及</w:t>
      </w:r>
      <w:r>
        <w:rPr>
          <w:rFonts w:hint="eastAsia" w:ascii="宋体" w:eastAsia="宋体" w:cs="宋体"/>
        </w:rPr>
        <w:t>细节视频图像</w:t>
      </w:r>
      <w:r>
        <w:rPr>
          <w:rFonts w:hint="eastAsia" w:ascii="宋体" w:eastAsia="宋体" w:cs="宋体"/>
          <w:lang w:val="en-US" w:eastAsia="zh-CN"/>
        </w:rPr>
        <w:t>均不低于</w:t>
      </w:r>
      <w:r>
        <w:rPr>
          <w:rFonts w:hint="eastAsia" w:ascii="宋体" w:eastAsia="宋体" w:cs="宋体"/>
        </w:rPr>
        <w:t>400万像素</w:t>
      </w:r>
      <w:r>
        <w:rPr>
          <w:rFonts w:hint="eastAsia" w:ascii="宋体" w:eastAsia="宋体" w:cs="宋体"/>
          <w:lang w:eastAsia="zh-CN"/>
        </w:rPr>
        <w:t>，</w:t>
      </w:r>
      <w:r>
        <w:rPr>
          <w:rFonts w:hint="eastAsia" w:ascii="宋体" w:eastAsia="宋体" w:cs="宋体"/>
          <w:lang w:val="en-US" w:eastAsia="zh-CN"/>
        </w:rPr>
        <w:t>双镜头均不低于2560x1440；</w:t>
      </w:r>
    </w:p>
    <w:p w14:paraId="06F5B514">
      <w:pPr>
        <w:pStyle w:val="123"/>
        <w:snapToGrid w:val="0"/>
        <w:rPr>
          <w:rFonts w:hint="eastAsia" w:ascii="宋体" w:eastAsia="宋体" w:cs="宋体"/>
          <w:lang w:eastAsia="zh-CN"/>
        </w:rPr>
      </w:pPr>
      <w:r>
        <w:rPr>
          <w:rFonts w:hint="eastAsia" w:ascii="宋体" w:eastAsia="宋体" w:cs="宋体"/>
          <w:lang w:val="en-US" w:eastAsia="zh-CN"/>
        </w:rPr>
        <w:t>4、检测</w:t>
      </w:r>
      <w:r>
        <w:rPr>
          <w:rFonts w:hint="eastAsia" w:ascii="宋体" w:eastAsia="宋体" w:cs="宋体"/>
        </w:rPr>
        <w:t>距离不小于200米；</w:t>
      </w:r>
    </w:p>
    <w:p w14:paraId="67C7D661">
      <w:pPr>
        <w:pStyle w:val="123"/>
        <w:snapToGrid w:val="0"/>
        <w:rPr>
          <w:rFonts w:hint="eastAsia" w:ascii="宋体" w:eastAsia="宋体" w:cs="宋体"/>
        </w:rPr>
      </w:pPr>
      <w:r>
        <w:rPr>
          <w:rFonts w:hint="eastAsia" w:ascii="宋体" w:eastAsia="宋体" w:cs="宋体"/>
          <w:lang w:val="en-US" w:eastAsia="zh-CN"/>
        </w:rPr>
        <w:t>5、</w:t>
      </w:r>
      <w:r>
        <w:rPr>
          <w:rFonts w:hint="eastAsia" w:ascii="宋体" w:eastAsia="宋体" w:cs="宋体"/>
        </w:rPr>
        <w:t>支持水平旋转范围</w:t>
      </w:r>
      <w:r>
        <w:rPr>
          <w:rFonts w:hint="eastAsia" w:ascii="宋体" w:eastAsia="宋体" w:cs="宋体"/>
          <w:lang w:val="en-US" w:eastAsia="zh-CN"/>
        </w:rPr>
        <w:t>不低于</w:t>
      </w:r>
      <w:r>
        <w:rPr>
          <w:rFonts w:hint="eastAsia" w:ascii="宋体" w:eastAsia="宋体" w:cs="宋体"/>
        </w:rPr>
        <w:t>3</w:t>
      </w:r>
      <w:r>
        <w:rPr>
          <w:rFonts w:hint="eastAsia" w:ascii="宋体" w:eastAsia="宋体" w:cs="宋体"/>
          <w:lang w:val="en-US" w:eastAsia="zh-CN"/>
        </w:rPr>
        <w:t>05</w:t>
      </w:r>
      <w:r>
        <w:rPr>
          <w:rFonts w:hint="eastAsia" w:ascii="宋体" w:eastAsia="宋体" w:cs="宋体"/>
        </w:rPr>
        <w:t>°连续旋转，垂直旋转范围-</w:t>
      </w:r>
      <w:r>
        <w:rPr>
          <w:rFonts w:hint="eastAsia" w:ascii="宋体" w:eastAsia="宋体" w:cs="宋体"/>
          <w:lang w:val="en-US" w:eastAsia="zh-CN"/>
        </w:rPr>
        <w:t>1</w:t>
      </w:r>
      <w:r>
        <w:rPr>
          <w:rFonts w:hint="eastAsia" w:ascii="宋体" w:eastAsia="宋体" w:cs="宋体"/>
        </w:rPr>
        <w:t>0°~90°；</w:t>
      </w:r>
    </w:p>
    <w:p w14:paraId="551C7432">
      <w:pPr>
        <w:pStyle w:val="123"/>
        <w:snapToGrid w:val="0"/>
        <w:rPr>
          <w:rFonts w:hint="eastAsia" w:ascii="宋体" w:eastAsia="宋体" w:cs="宋体"/>
        </w:rPr>
      </w:pPr>
      <w:r>
        <w:rPr>
          <w:rFonts w:hint="eastAsia" w:ascii="宋体" w:eastAsia="宋体" w:cs="宋体"/>
          <w:lang w:val="en-US" w:eastAsia="zh-CN"/>
        </w:rPr>
        <w:t>6</w:t>
      </w:r>
      <w:r>
        <w:rPr>
          <w:rFonts w:hint="eastAsia" w:ascii="宋体" w:eastAsia="宋体" w:cs="宋体"/>
        </w:rPr>
        <w:t>. 支持300个预置点，可设置8条巡航路径</w:t>
      </w:r>
      <w:r>
        <w:rPr>
          <w:rFonts w:hint="eastAsia" w:ascii="宋体" w:eastAsia="宋体" w:cs="宋体"/>
          <w:lang w:eastAsia="zh-CN"/>
        </w:rPr>
        <w:t>；</w:t>
      </w:r>
      <w:r>
        <w:rPr>
          <w:rFonts w:hint="eastAsia" w:ascii="宋体" w:eastAsia="宋体" w:cs="宋体"/>
        </w:rPr>
        <w:t>支持预置位视频冻结功能；</w:t>
      </w:r>
    </w:p>
    <w:p w14:paraId="0B158742">
      <w:pPr>
        <w:pStyle w:val="123"/>
        <w:snapToGrid w:val="0"/>
        <w:rPr>
          <w:rFonts w:hint="eastAsia" w:ascii="宋体" w:eastAsia="宋体" w:cs="宋体"/>
        </w:rPr>
      </w:pPr>
      <w:r>
        <w:rPr>
          <w:rFonts w:hint="eastAsia" w:ascii="宋体" w:eastAsia="宋体" w:cs="宋体"/>
          <w:lang w:val="en-US" w:eastAsia="zh-CN"/>
        </w:rPr>
        <w:t>7</w:t>
      </w:r>
      <w:r>
        <w:rPr>
          <w:rFonts w:hint="eastAsia" w:ascii="宋体" w:eastAsia="宋体" w:cs="宋体"/>
        </w:rPr>
        <w:t>. 设备具有 H.265、H.264、MJPEG设置选项；</w:t>
      </w:r>
    </w:p>
    <w:p w14:paraId="1D5094A4">
      <w:pPr>
        <w:pStyle w:val="123"/>
        <w:snapToGrid w:val="0"/>
        <w:rPr>
          <w:rFonts w:hint="eastAsia" w:ascii="宋体" w:eastAsia="宋体" w:cs="宋体"/>
        </w:rPr>
      </w:pPr>
      <w:r>
        <w:rPr>
          <w:rFonts w:hint="eastAsia" w:ascii="宋体" w:eastAsia="宋体" w:cs="宋体"/>
          <w:lang w:val="en-US" w:eastAsia="zh-CN"/>
        </w:rPr>
        <w:t>8</w:t>
      </w:r>
      <w:r>
        <w:rPr>
          <w:rFonts w:hint="eastAsia" w:ascii="宋体" w:eastAsia="宋体" w:cs="宋体"/>
        </w:rPr>
        <w:t xml:space="preserve">.支持同时检测监控场景内出现的不少于30张人脸，并可进行抓拍；可对监控范围内出现的行人、机动车、非机动车进行抓拍； </w:t>
      </w:r>
    </w:p>
    <w:p w14:paraId="21942309">
      <w:pPr>
        <w:pStyle w:val="123"/>
        <w:snapToGrid w:val="0"/>
        <w:rPr>
          <w:rFonts w:hint="eastAsia" w:ascii="宋体" w:eastAsia="宋体" w:cs="宋体"/>
        </w:rPr>
      </w:pPr>
      <w:r>
        <w:rPr>
          <w:rFonts w:hint="eastAsia" w:ascii="宋体" w:eastAsia="宋体" w:cs="宋体"/>
          <w:lang w:val="en-US" w:eastAsia="zh-CN"/>
        </w:rPr>
        <w:t>9</w:t>
      </w:r>
      <w:r>
        <w:rPr>
          <w:rFonts w:hint="eastAsia" w:ascii="宋体" w:eastAsia="宋体" w:cs="宋体"/>
        </w:rPr>
        <w:t>.支持≥2路报警输入接口，1路报警输出接口，支持1路音频输入和输出接口。</w:t>
      </w:r>
    </w:p>
    <w:p w14:paraId="71F2430B">
      <w:pPr>
        <w:pStyle w:val="123"/>
        <w:snapToGrid w:val="0"/>
        <w:rPr>
          <w:rFonts w:hint="eastAsia" w:ascii="宋体" w:eastAsia="宋体" w:cs="宋体"/>
          <w:lang w:eastAsia="zh-CN"/>
        </w:rPr>
      </w:pPr>
      <w:r>
        <w:rPr>
          <w:rFonts w:hint="eastAsia" w:ascii="宋体" w:eastAsia="宋体" w:cs="宋体"/>
        </w:rPr>
        <w:t>1</w:t>
      </w:r>
      <w:r>
        <w:rPr>
          <w:rFonts w:hint="eastAsia" w:ascii="宋体" w:eastAsia="宋体" w:cs="宋体"/>
          <w:lang w:val="en-US" w:eastAsia="zh-CN"/>
        </w:rPr>
        <w:t>0</w:t>
      </w:r>
      <w:r>
        <w:rPr>
          <w:rFonts w:hint="eastAsia" w:ascii="宋体" w:eastAsia="宋体" w:cs="宋体"/>
        </w:rPr>
        <w:t>.符合GB/T 28181、GA/T 1400、GB/35114标准</w:t>
      </w:r>
      <w:r>
        <w:rPr>
          <w:rFonts w:hint="eastAsia" w:ascii="宋体" w:eastAsia="宋体" w:cs="宋体"/>
          <w:lang w:eastAsia="zh-CN"/>
        </w:rPr>
        <w:t>。</w:t>
      </w:r>
    </w:p>
    <w:p w14:paraId="09E920AE">
      <w:pPr>
        <w:pStyle w:val="9"/>
        <w:tabs>
          <w:tab w:val="left" w:pos="360"/>
        </w:tabs>
        <w:rPr>
          <w:rFonts w:hint="eastAsia" w:ascii="宋体" w:eastAsia="宋体" w:cs="宋体"/>
        </w:rPr>
      </w:pPr>
      <w:r>
        <w:rPr>
          <w:rFonts w:hint="eastAsia" w:ascii="宋体" w:eastAsia="宋体" w:cs="宋体"/>
        </w:rPr>
        <w:t>三目结构化球机服务要求</w:t>
      </w:r>
    </w:p>
    <w:p w14:paraId="4B5E2791">
      <w:pPr>
        <w:pStyle w:val="123"/>
        <w:snapToGrid w:val="0"/>
        <w:rPr>
          <w:rFonts w:hint="eastAsia" w:ascii="宋体" w:eastAsia="宋体" w:cs="宋体"/>
        </w:rPr>
      </w:pPr>
      <w:r>
        <w:rPr>
          <w:rFonts w:hint="eastAsia" w:ascii="宋体" w:eastAsia="宋体" w:cs="宋体"/>
        </w:rPr>
        <w:t>1、三镜头均采用 1/1.8英寸 CMOS传感器，全景镜头采用大光圈全彩镜头，可输出</w:t>
      </w:r>
      <w:r>
        <w:rPr>
          <w:rFonts w:hint="eastAsia" w:ascii="宋体" w:eastAsia="宋体" w:cs="宋体"/>
          <w:lang w:val="en-US" w:eastAsia="zh-CN"/>
        </w:rPr>
        <w:t>不低于</w:t>
      </w:r>
      <w:r>
        <w:rPr>
          <w:rFonts w:hint="eastAsia" w:ascii="宋体" w:eastAsia="宋体" w:cs="宋体"/>
        </w:rPr>
        <w:t>1</w:t>
      </w:r>
      <w:r>
        <w:rPr>
          <w:rFonts w:hint="eastAsia" w:ascii="宋体" w:eastAsia="宋体" w:cs="宋体"/>
          <w:lang w:val="en-US" w:eastAsia="zh-CN"/>
        </w:rPr>
        <w:t>7</w:t>
      </w:r>
      <w:r>
        <w:rPr>
          <w:rFonts w:hint="eastAsia" w:ascii="宋体" w:eastAsia="宋体" w:cs="宋体"/>
        </w:rPr>
        <w:t>0°拼接大场景画面；</w:t>
      </w:r>
    </w:p>
    <w:p w14:paraId="5BE90524">
      <w:pPr>
        <w:pStyle w:val="123"/>
        <w:snapToGrid w:val="0"/>
        <w:rPr>
          <w:rFonts w:hint="eastAsia" w:ascii="宋体" w:eastAsia="宋体" w:cs="宋体"/>
        </w:rPr>
      </w:pPr>
      <w:r>
        <w:rPr>
          <w:rFonts w:hint="eastAsia" w:ascii="宋体" w:eastAsia="宋体" w:cs="宋体"/>
          <w:lang w:val="en-US" w:eastAsia="zh-CN"/>
        </w:rPr>
        <w:t>2、</w:t>
      </w:r>
      <w:r>
        <w:rPr>
          <w:rFonts w:hint="eastAsia" w:ascii="宋体" w:eastAsia="宋体" w:cs="宋体"/>
        </w:rPr>
        <w:t>全景镜头焦距≥2.8mm</w:t>
      </w:r>
      <w:r>
        <w:rPr>
          <w:rFonts w:hint="eastAsia" w:ascii="宋体" w:eastAsia="宋体" w:cs="宋体"/>
          <w:lang w:eastAsia="zh-CN"/>
        </w:rPr>
        <w:t>，</w:t>
      </w:r>
      <w:r>
        <w:rPr>
          <w:rFonts w:hint="eastAsia" w:ascii="宋体" w:eastAsia="宋体" w:cs="宋体"/>
        </w:rPr>
        <w:t>特写镜头支持不低于</w:t>
      </w:r>
      <w:r>
        <w:rPr>
          <w:rFonts w:hint="eastAsia" w:ascii="宋体" w:eastAsia="宋体" w:cs="宋体"/>
          <w:lang w:val="en-US" w:eastAsia="zh-CN"/>
        </w:rPr>
        <w:t>25</w:t>
      </w:r>
      <w:r>
        <w:rPr>
          <w:rFonts w:hint="eastAsia" w:ascii="宋体" w:eastAsia="宋体" w:cs="宋体"/>
        </w:rPr>
        <w:t>倍光学变焦，16倍数字变焦；</w:t>
      </w:r>
    </w:p>
    <w:p w14:paraId="47AACE0F">
      <w:pPr>
        <w:pStyle w:val="123"/>
        <w:snapToGrid w:val="0"/>
        <w:rPr>
          <w:rFonts w:hint="eastAsia" w:ascii="宋体" w:eastAsia="宋体" w:cs="宋体"/>
        </w:rPr>
      </w:pPr>
      <w:r>
        <w:rPr>
          <w:rFonts w:hint="eastAsia" w:ascii="宋体" w:eastAsia="宋体" w:cs="宋体"/>
          <w:lang w:val="en-US" w:eastAsia="zh-CN"/>
        </w:rPr>
        <w:t>3、</w:t>
      </w:r>
      <w:r>
        <w:rPr>
          <w:rFonts w:hint="eastAsia" w:ascii="宋体" w:eastAsia="宋体" w:cs="宋体"/>
        </w:rPr>
        <w:t>采用内置三镜头一体化设计，支持单ip访问和登录管理设备。全景通道内置2个定焦镜头，特写通道内置1个一体化电动变焦镜头；</w:t>
      </w:r>
    </w:p>
    <w:p w14:paraId="417825B4">
      <w:pPr>
        <w:pStyle w:val="123"/>
        <w:snapToGrid w:val="0"/>
        <w:rPr>
          <w:rFonts w:hint="eastAsia" w:ascii="宋体" w:eastAsia="宋体" w:cs="宋体"/>
        </w:rPr>
      </w:pPr>
      <w:r>
        <w:rPr>
          <w:rFonts w:hint="eastAsia" w:ascii="宋体" w:eastAsia="宋体" w:cs="宋体"/>
          <w:lang w:val="en-US" w:eastAsia="zh-CN"/>
        </w:rPr>
        <w:t>4、</w:t>
      </w:r>
      <w:r>
        <w:rPr>
          <w:rFonts w:hint="eastAsia" w:ascii="宋体" w:eastAsia="宋体" w:cs="宋体"/>
        </w:rPr>
        <w:t>全景视频图像</w:t>
      </w:r>
      <w:r>
        <w:rPr>
          <w:rFonts w:hint="eastAsia" w:ascii="宋体" w:eastAsia="宋体" w:cs="宋体"/>
          <w:lang w:val="en-US" w:eastAsia="zh-CN"/>
        </w:rPr>
        <w:t>及</w:t>
      </w:r>
      <w:r>
        <w:rPr>
          <w:rFonts w:hint="eastAsia" w:ascii="宋体" w:eastAsia="宋体" w:cs="宋体"/>
        </w:rPr>
        <w:t>细节视频图像</w:t>
      </w:r>
      <w:r>
        <w:rPr>
          <w:rFonts w:hint="eastAsia" w:ascii="宋体" w:eastAsia="宋体" w:cs="宋体"/>
          <w:lang w:val="en-US" w:eastAsia="zh-CN"/>
        </w:rPr>
        <w:t>均不低于</w:t>
      </w:r>
      <w:r>
        <w:rPr>
          <w:rFonts w:hint="eastAsia" w:ascii="宋体" w:eastAsia="宋体" w:cs="宋体"/>
        </w:rPr>
        <w:t>400万像素</w:t>
      </w:r>
      <w:r>
        <w:rPr>
          <w:rFonts w:hint="eastAsia" w:ascii="宋体" w:eastAsia="宋体" w:cs="宋体"/>
          <w:lang w:eastAsia="zh-CN"/>
        </w:rPr>
        <w:t>，</w:t>
      </w:r>
      <w:r>
        <w:rPr>
          <w:rFonts w:hint="eastAsia" w:ascii="宋体" w:eastAsia="宋体" w:cs="宋体"/>
          <w:lang w:val="en-US" w:eastAsia="zh-CN"/>
        </w:rPr>
        <w:t>全景和细节分辨率均不低于2560x1440；</w:t>
      </w:r>
    </w:p>
    <w:p w14:paraId="1D0D358A">
      <w:pPr>
        <w:pStyle w:val="123"/>
        <w:snapToGrid w:val="0"/>
        <w:rPr>
          <w:rFonts w:hint="eastAsia" w:ascii="宋体" w:eastAsia="宋体" w:cs="宋体"/>
        </w:rPr>
      </w:pPr>
      <w:r>
        <w:rPr>
          <w:rFonts w:hint="eastAsia" w:ascii="宋体" w:eastAsia="宋体" w:cs="宋体"/>
          <w:lang w:val="en-US" w:eastAsia="zh-CN"/>
        </w:rPr>
        <w:t>5</w:t>
      </w:r>
      <w:r>
        <w:rPr>
          <w:rFonts w:hint="eastAsia" w:ascii="宋体" w:eastAsia="宋体" w:cs="宋体"/>
        </w:rPr>
        <w:t>、最低照≤0.0002lux（彩色），0.0001lux（黑白）；</w:t>
      </w:r>
    </w:p>
    <w:p w14:paraId="22B421E1">
      <w:pPr>
        <w:pStyle w:val="123"/>
        <w:snapToGrid w:val="0"/>
        <w:rPr>
          <w:rFonts w:hint="eastAsia" w:ascii="宋体" w:eastAsia="宋体" w:cs="宋体"/>
        </w:rPr>
      </w:pPr>
      <w:r>
        <w:rPr>
          <w:rFonts w:hint="eastAsia" w:ascii="宋体" w:eastAsia="宋体" w:cs="宋体"/>
          <w:lang w:val="en-US" w:eastAsia="zh-CN"/>
        </w:rPr>
        <w:t>6</w:t>
      </w:r>
      <w:r>
        <w:rPr>
          <w:rFonts w:hint="eastAsia" w:ascii="宋体" w:eastAsia="宋体" w:cs="宋体"/>
        </w:rPr>
        <w:t>、支持H.265、H.264/MJPEG编码格式；可将H.265、H.264格式设置为Baseline/Main/High Profile；</w:t>
      </w:r>
    </w:p>
    <w:p w14:paraId="77424F23">
      <w:pPr>
        <w:pStyle w:val="123"/>
        <w:snapToGrid w:val="0"/>
        <w:rPr>
          <w:rFonts w:hint="eastAsia" w:ascii="宋体" w:eastAsia="宋体" w:cs="宋体"/>
        </w:rPr>
      </w:pPr>
      <w:r>
        <w:rPr>
          <w:rFonts w:hint="eastAsia" w:ascii="宋体" w:eastAsia="宋体" w:cs="宋体"/>
          <w:lang w:val="en-US" w:eastAsia="zh-CN"/>
        </w:rPr>
        <w:t>7</w:t>
      </w:r>
      <w:r>
        <w:rPr>
          <w:rFonts w:hint="eastAsia" w:ascii="宋体" w:eastAsia="宋体" w:cs="宋体"/>
        </w:rPr>
        <w:t>、支持预置点设置跟踪类型，对监控画面中出现人、机动车、非机动车目标进行检测分类，并联动云台特写变倍跟踪;</w:t>
      </w:r>
    </w:p>
    <w:p w14:paraId="56FC6F27">
      <w:pPr>
        <w:pStyle w:val="123"/>
        <w:snapToGrid w:val="0"/>
        <w:rPr>
          <w:rFonts w:hint="eastAsia" w:ascii="宋体" w:eastAsia="宋体" w:cs="宋体"/>
        </w:rPr>
      </w:pPr>
      <w:r>
        <w:rPr>
          <w:rFonts w:hint="eastAsia" w:ascii="宋体" w:eastAsia="宋体" w:cs="宋体"/>
          <w:lang w:val="en-US" w:eastAsia="zh-CN"/>
        </w:rPr>
        <w:t>8</w:t>
      </w:r>
      <w:r>
        <w:rPr>
          <w:rFonts w:hint="eastAsia" w:ascii="宋体" w:eastAsia="宋体" w:cs="宋体"/>
        </w:rPr>
        <w:t>、支持全景细节联动，细节摄像机可对全景摄像机监控范围内出现的行人、机动车、非机动车进行检测、跟踪、抓拍；</w:t>
      </w:r>
    </w:p>
    <w:p w14:paraId="3B1DD8BA">
      <w:pPr>
        <w:pStyle w:val="123"/>
        <w:snapToGrid w:val="0"/>
        <w:rPr>
          <w:rFonts w:hint="eastAsia" w:ascii="宋体" w:eastAsia="宋体" w:cs="宋体"/>
        </w:rPr>
      </w:pPr>
      <w:r>
        <w:rPr>
          <w:rFonts w:hint="eastAsia" w:ascii="宋体" w:eastAsia="宋体" w:cs="宋体"/>
          <w:lang w:val="en-US" w:eastAsia="zh-CN"/>
        </w:rPr>
        <w:t>9</w:t>
      </w:r>
      <w:r>
        <w:rPr>
          <w:rFonts w:hint="eastAsia" w:ascii="宋体" w:eastAsia="宋体" w:cs="宋体"/>
        </w:rPr>
        <w:t>、支持最佳人脸抓拍和连续人脸抓拍，支持检测同时出现在画面中的40个人脸目标；</w:t>
      </w:r>
    </w:p>
    <w:p w14:paraId="14738D35">
      <w:pPr>
        <w:pStyle w:val="123"/>
        <w:snapToGrid w:val="0"/>
        <w:rPr>
          <w:rFonts w:hint="eastAsia" w:ascii="宋体" w:eastAsia="宋体" w:cs="宋体"/>
        </w:rPr>
      </w:pPr>
      <w:r>
        <w:rPr>
          <w:rFonts w:hint="eastAsia" w:ascii="宋体" w:eastAsia="宋体" w:cs="宋体"/>
          <w:lang w:val="en-US" w:eastAsia="zh-CN"/>
        </w:rPr>
        <w:t>10</w:t>
      </w:r>
      <w:r>
        <w:rPr>
          <w:rFonts w:hint="eastAsia" w:ascii="宋体" w:eastAsia="宋体" w:cs="宋体"/>
        </w:rPr>
        <w:t>、支持全景细节联动，全景目标触发事件告警，联动细节摄像机，云台快速变倍聚焦，对全景摄像机监控范围内出现的行人、机动车、非机动车进行检测、跟踪、抓拍；有效检测距离不低于100M；</w:t>
      </w:r>
    </w:p>
    <w:p w14:paraId="0EA4A234">
      <w:pPr>
        <w:pStyle w:val="123"/>
        <w:snapToGrid w:val="0"/>
        <w:rPr>
          <w:rFonts w:hint="eastAsia" w:ascii="宋体" w:eastAsia="宋体" w:cs="宋体"/>
        </w:rPr>
      </w:pPr>
      <w:r>
        <w:rPr>
          <w:rFonts w:hint="eastAsia" w:ascii="宋体" w:eastAsia="宋体" w:cs="宋体"/>
        </w:rPr>
        <w:t>1</w:t>
      </w:r>
      <w:r>
        <w:rPr>
          <w:rFonts w:hint="eastAsia" w:ascii="宋体" w:eastAsia="宋体" w:cs="宋体"/>
          <w:lang w:val="en-US" w:eastAsia="zh-CN"/>
        </w:rPr>
        <w:t>1</w:t>
      </w:r>
      <w:r>
        <w:rPr>
          <w:rFonts w:hint="eastAsia" w:ascii="宋体" w:eastAsia="宋体" w:cs="宋体"/>
        </w:rPr>
        <w:t>、支持人脸/人体/机动车/非机动车抓拍功能，支持人脸和人体关联、车辆和车牌关联等功能；</w:t>
      </w:r>
    </w:p>
    <w:p w14:paraId="1E514ECE">
      <w:pPr>
        <w:pStyle w:val="123"/>
        <w:snapToGrid w:val="0"/>
        <w:rPr>
          <w:rFonts w:hint="eastAsia" w:ascii="宋体" w:eastAsia="宋体" w:cs="宋体"/>
        </w:rPr>
      </w:pPr>
      <w:r>
        <w:rPr>
          <w:rFonts w:hint="eastAsia" w:ascii="宋体" w:eastAsia="宋体" w:cs="宋体"/>
        </w:rPr>
        <w:t>1</w:t>
      </w:r>
      <w:r>
        <w:rPr>
          <w:rFonts w:hint="eastAsia" w:ascii="宋体" w:eastAsia="宋体" w:cs="宋体"/>
          <w:lang w:val="en-US" w:eastAsia="zh-CN"/>
        </w:rPr>
        <w:t>2</w:t>
      </w:r>
      <w:r>
        <w:rPr>
          <w:rFonts w:hint="eastAsia" w:ascii="宋体" w:eastAsia="宋体" w:cs="宋体"/>
        </w:rPr>
        <w:t>、符合GB/T 28181、GA/T 1400、GB/35114标准</w:t>
      </w:r>
      <w:r>
        <w:rPr>
          <w:rFonts w:hint="eastAsia" w:ascii="宋体" w:eastAsia="宋体" w:cs="宋体"/>
          <w:lang w:val="en-US" w:eastAsia="zh-CN"/>
        </w:rPr>
        <w:t>。</w:t>
      </w:r>
    </w:p>
    <w:p w14:paraId="4932A611">
      <w:pPr>
        <w:pStyle w:val="8"/>
        <w:rPr>
          <w:rFonts w:hint="eastAsia" w:ascii="宋体" w:eastAsia="宋体" w:cs="宋体"/>
        </w:rPr>
      </w:pPr>
      <w:r>
        <w:rPr>
          <w:rFonts w:hint="eastAsia" w:ascii="宋体" w:eastAsia="宋体" w:cs="宋体"/>
        </w:rPr>
        <w:t>高倍球摄像机</w:t>
      </w:r>
      <w:bookmarkEnd w:id="305"/>
      <w:bookmarkEnd w:id="306"/>
      <w:r>
        <w:rPr>
          <w:rFonts w:hint="eastAsia" w:ascii="宋体" w:eastAsia="宋体" w:cs="宋体"/>
        </w:rPr>
        <w:t>服务</w:t>
      </w:r>
      <w:bookmarkEnd w:id="307"/>
    </w:p>
    <w:p w14:paraId="358811DB">
      <w:pPr>
        <w:pStyle w:val="9"/>
        <w:tabs>
          <w:tab w:val="left" w:pos="360"/>
        </w:tabs>
        <w:rPr>
          <w:rFonts w:hint="eastAsia" w:ascii="宋体" w:eastAsia="宋体" w:cs="宋体"/>
        </w:rPr>
      </w:pPr>
      <w:bookmarkStart w:id="308" w:name="_Toc12131"/>
      <w:r>
        <w:rPr>
          <w:rFonts w:hint="eastAsia" w:ascii="宋体" w:eastAsia="宋体" w:cs="宋体"/>
        </w:rPr>
        <w:t>设备概述</w:t>
      </w:r>
      <w:bookmarkEnd w:id="308"/>
    </w:p>
    <w:p w14:paraId="2492EA7A">
      <w:pPr>
        <w:pStyle w:val="123"/>
        <w:snapToGrid w:val="0"/>
        <w:rPr>
          <w:rFonts w:hint="eastAsia" w:ascii="宋体" w:eastAsia="宋体" w:cs="宋体"/>
        </w:rPr>
      </w:pPr>
      <w:r>
        <w:rPr>
          <w:rFonts w:hint="eastAsia" w:ascii="宋体" w:eastAsia="宋体" w:cs="宋体"/>
        </w:rPr>
        <w:t>高倍球不同于普通高清摄像机，它是普遍安装在较高位置的远距离超清摄像机，实现大范围全天候的图像精准动态监控，采集智能分析和预警技术，对道路拥堵等情况做出识别预警，并联动后管理系统实现统一管理统一指挥调度。</w:t>
      </w:r>
    </w:p>
    <w:p w14:paraId="49B20FB7">
      <w:pPr>
        <w:pStyle w:val="123"/>
        <w:snapToGrid w:val="0"/>
        <w:rPr>
          <w:rFonts w:hint="eastAsia" w:ascii="宋体" w:eastAsia="宋体" w:cs="宋体"/>
        </w:rPr>
      </w:pPr>
      <w:r>
        <w:rPr>
          <w:rFonts w:hint="eastAsia" w:ascii="宋体" w:eastAsia="宋体" w:cs="宋体"/>
        </w:rPr>
        <w:t>本次项目购买高倍球摄像机服务，满足立体化防控要求。</w:t>
      </w:r>
    </w:p>
    <w:p w14:paraId="1E4F4A8C">
      <w:pPr>
        <w:pStyle w:val="9"/>
        <w:tabs>
          <w:tab w:val="left" w:pos="360"/>
        </w:tabs>
        <w:rPr>
          <w:rFonts w:hint="eastAsia" w:ascii="宋体" w:eastAsia="宋体" w:cs="宋体"/>
        </w:rPr>
      </w:pPr>
      <w:bookmarkStart w:id="309" w:name="_Toc10531"/>
      <w:r>
        <w:rPr>
          <w:rFonts w:hint="eastAsia" w:ascii="宋体" w:eastAsia="宋体" w:cs="宋体"/>
        </w:rPr>
        <w:t>应用场景</w:t>
      </w:r>
      <w:bookmarkEnd w:id="309"/>
    </w:p>
    <w:p w14:paraId="3E9E98D6">
      <w:pPr>
        <w:pStyle w:val="123"/>
        <w:snapToGrid w:val="0"/>
        <w:rPr>
          <w:rFonts w:hint="eastAsia" w:ascii="宋体" w:eastAsia="宋体" w:cs="宋体"/>
        </w:rPr>
      </w:pPr>
      <w:r>
        <w:rPr>
          <w:rFonts w:hint="eastAsia" w:ascii="宋体" w:eastAsia="宋体" w:cs="宋体"/>
        </w:rPr>
        <w:t>随着城市规模日益发展扩大，城市环境越来越复杂，特别是超高层建筑等不断出现，普通高清摄像机由于环境阻挡以及摄像机本身的局限性。高倍球摄像机利用其足够的高度，配合摄像机云台的性能，可以轻而易举地实现大范围的精确监控，以利于早发现、早出警，最大限度地减少灾情带来的损失。</w:t>
      </w:r>
    </w:p>
    <w:p w14:paraId="214BF67B">
      <w:pPr>
        <w:pStyle w:val="123"/>
        <w:snapToGrid w:val="0"/>
        <w:rPr>
          <w:rFonts w:hint="eastAsia" w:ascii="宋体" w:eastAsia="宋体" w:cs="宋体"/>
        </w:rPr>
      </w:pPr>
      <w:r>
        <w:rPr>
          <w:rFonts w:hint="eastAsia" w:ascii="宋体" w:eastAsia="宋体" w:cs="宋体"/>
        </w:rPr>
        <w:t>高倍球摄像机就是针对城市重点目标全局监控的需要，在高点部署高倍球摄像机，避免周边建筑物遮挡，对周边监控目标进行全局覆盖，形成高空立体监控。其主要应用于城市反恐防暴监测、城市重点目标监控、城市治安监控、核心枢纽监控、交通疏导监控、自然灾害应急监控等。</w:t>
      </w:r>
    </w:p>
    <w:p w14:paraId="645B9546">
      <w:pPr>
        <w:pStyle w:val="9"/>
        <w:tabs>
          <w:tab w:val="left" w:pos="360"/>
        </w:tabs>
        <w:rPr>
          <w:rFonts w:hint="eastAsia" w:ascii="宋体" w:eastAsia="宋体" w:cs="宋体"/>
        </w:rPr>
      </w:pPr>
      <w:bookmarkStart w:id="310" w:name="_Toc29003"/>
      <w:r>
        <w:rPr>
          <w:rFonts w:hint="eastAsia" w:ascii="宋体" w:eastAsia="宋体" w:cs="宋体"/>
        </w:rPr>
        <w:t>服务要求</w:t>
      </w:r>
      <w:bookmarkEnd w:id="310"/>
    </w:p>
    <w:p w14:paraId="14398AFB">
      <w:pPr>
        <w:pStyle w:val="123"/>
        <w:numPr>
          <w:ilvl w:val="0"/>
          <w:numId w:val="10"/>
        </w:numPr>
        <w:snapToGrid w:val="0"/>
        <w:ind w:left="0" w:firstLine="560" w:firstLineChars="0"/>
        <w:rPr>
          <w:rFonts w:hint="eastAsia" w:ascii="宋体" w:eastAsia="宋体" w:cs="宋体"/>
        </w:rPr>
      </w:pPr>
      <w:r>
        <w:rPr>
          <w:rFonts w:hint="eastAsia" w:ascii="宋体" w:eastAsia="宋体" w:cs="宋体"/>
        </w:rPr>
        <w:t>采用不低于1/1.8英寸高性能传感器；</w:t>
      </w:r>
    </w:p>
    <w:p w14:paraId="0407A6A2">
      <w:pPr>
        <w:pStyle w:val="123"/>
        <w:numPr>
          <w:ilvl w:val="0"/>
          <w:numId w:val="10"/>
        </w:numPr>
        <w:snapToGrid w:val="0"/>
        <w:ind w:left="0" w:firstLine="560" w:firstLineChars="0"/>
        <w:rPr>
          <w:rFonts w:hint="eastAsia" w:ascii="宋体" w:eastAsia="宋体" w:cs="宋体"/>
          <w:lang w:val="en-US" w:eastAsia="zh-CN"/>
        </w:rPr>
      </w:pPr>
      <w:r>
        <w:rPr>
          <w:rFonts w:hint="eastAsia" w:ascii="宋体" w:eastAsia="宋体" w:cs="宋体"/>
        </w:rPr>
        <w:t>支持≥50倍光学变倍；</w:t>
      </w:r>
    </w:p>
    <w:p w14:paraId="47B9F96A">
      <w:pPr>
        <w:pStyle w:val="123"/>
        <w:snapToGrid w:val="0"/>
        <w:rPr>
          <w:rFonts w:hint="eastAsia" w:ascii="宋体" w:eastAsia="宋体" w:cs="宋体"/>
          <w:lang w:val="en-US" w:eastAsia="zh-CN"/>
        </w:rPr>
      </w:pPr>
      <w:r>
        <w:rPr>
          <w:rFonts w:hint="eastAsia" w:ascii="宋体" w:eastAsia="宋体" w:cs="宋体"/>
          <w:lang w:val="en-US" w:eastAsia="zh-CN"/>
        </w:rPr>
        <w:t>3、不低于</w:t>
      </w:r>
      <w:r>
        <w:rPr>
          <w:rFonts w:hint="eastAsia" w:ascii="宋体" w:eastAsia="宋体" w:cs="宋体"/>
        </w:rPr>
        <w:t>400万像素</w:t>
      </w:r>
      <w:r>
        <w:rPr>
          <w:rFonts w:hint="eastAsia" w:ascii="宋体" w:eastAsia="宋体" w:cs="宋体"/>
          <w:lang w:eastAsia="zh-CN"/>
        </w:rPr>
        <w:t>，</w:t>
      </w:r>
      <w:r>
        <w:rPr>
          <w:rFonts w:hint="eastAsia" w:ascii="宋体" w:eastAsia="宋体" w:cs="宋体"/>
          <w:lang w:val="en-US" w:eastAsia="zh-CN"/>
        </w:rPr>
        <w:t>不低于2560x144；</w:t>
      </w:r>
    </w:p>
    <w:p w14:paraId="31CE2885">
      <w:pPr>
        <w:pStyle w:val="123"/>
        <w:snapToGrid w:val="0"/>
        <w:rPr>
          <w:rFonts w:hint="eastAsia" w:ascii="宋体" w:eastAsia="宋体" w:cs="宋体"/>
        </w:rPr>
      </w:pPr>
      <w:r>
        <w:rPr>
          <w:rFonts w:hint="eastAsia" w:ascii="宋体" w:eastAsia="宋体" w:cs="宋体"/>
          <w:lang w:val="en-US" w:eastAsia="zh-CN"/>
        </w:rPr>
        <w:t>4</w:t>
      </w:r>
      <w:r>
        <w:rPr>
          <w:rFonts w:hint="eastAsia" w:ascii="宋体" w:eastAsia="宋体" w:cs="宋体"/>
        </w:rPr>
        <w:t>、帧率</w:t>
      </w:r>
      <w:r>
        <w:rPr>
          <w:rFonts w:hint="eastAsia" w:ascii="宋体" w:eastAsia="宋体" w:cs="宋体"/>
          <w:lang w:val="en-US" w:eastAsia="zh-CN"/>
        </w:rPr>
        <w:t>不低于25</w:t>
      </w:r>
      <w:r>
        <w:rPr>
          <w:rFonts w:hint="eastAsia" w:ascii="宋体" w:eastAsia="宋体" w:cs="宋体"/>
        </w:rPr>
        <w:t>fps</w:t>
      </w:r>
      <w:r>
        <w:rPr>
          <w:rFonts w:hint="eastAsia" w:ascii="宋体" w:eastAsia="宋体" w:cs="宋体"/>
          <w:lang w:eastAsia="zh-CN"/>
        </w:rPr>
        <w:t>；</w:t>
      </w:r>
      <w:r>
        <w:rPr>
          <w:rFonts w:hint="eastAsia" w:ascii="宋体" w:eastAsia="宋体" w:cs="宋体"/>
        </w:rPr>
        <w:t>支持H.265、H.264、MJPEG编码格式；</w:t>
      </w:r>
    </w:p>
    <w:p w14:paraId="56BE8166">
      <w:pPr>
        <w:pStyle w:val="123"/>
        <w:snapToGrid w:val="0"/>
        <w:rPr>
          <w:rFonts w:hint="eastAsia" w:ascii="宋体" w:eastAsia="宋体" w:cs="宋体"/>
        </w:rPr>
      </w:pPr>
      <w:r>
        <w:rPr>
          <w:rFonts w:hint="eastAsia" w:ascii="宋体" w:eastAsia="宋体" w:cs="宋体"/>
          <w:lang w:val="en-US" w:eastAsia="zh-CN"/>
        </w:rPr>
        <w:t>5</w:t>
      </w:r>
      <w:r>
        <w:rPr>
          <w:rFonts w:hint="eastAsia" w:ascii="宋体" w:eastAsia="宋体" w:cs="宋体"/>
        </w:rPr>
        <w:t>、支持最低照度不低于0.003Lux（彩色），0.0001Lux（黑白）；</w:t>
      </w:r>
    </w:p>
    <w:p w14:paraId="5CDD8CAB">
      <w:pPr>
        <w:pStyle w:val="123"/>
        <w:snapToGrid w:val="0"/>
        <w:rPr>
          <w:rFonts w:hint="eastAsia" w:ascii="宋体" w:eastAsia="宋体" w:cs="宋体"/>
        </w:rPr>
      </w:pPr>
      <w:r>
        <w:rPr>
          <w:rFonts w:hint="eastAsia" w:ascii="宋体" w:eastAsia="宋体" w:cs="宋体"/>
        </w:rPr>
        <w:t>6、图像水平分辨力≥1500TVL，信噪比≥52dB，灰度等级≥11级，延时≤160ms，动态范围≥97dB；</w:t>
      </w:r>
    </w:p>
    <w:p w14:paraId="3C8B14F7">
      <w:pPr>
        <w:pStyle w:val="123"/>
        <w:snapToGrid w:val="0"/>
        <w:rPr>
          <w:rFonts w:hint="eastAsia" w:ascii="宋体" w:eastAsia="宋体" w:cs="宋体"/>
        </w:rPr>
      </w:pPr>
      <w:r>
        <w:rPr>
          <w:rFonts w:hint="eastAsia" w:ascii="宋体" w:eastAsia="宋体" w:cs="宋体"/>
        </w:rPr>
        <w:t>7、支持G.711、G.722、AAC_LC、G.726音频编码；</w:t>
      </w:r>
    </w:p>
    <w:p w14:paraId="68059E05">
      <w:pPr>
        <w:pStyle w:val="123"/>
        <w:snapToGrid w:val="0"/>
        <w:rPr>
          <w:rFonts w:hint="eastAsia" w:ascii="宋体" w:eastAsia="宋体" w:cs="宋体"/>
        </w:rPr>
      </w:pPr>
      <w:r>
        <w:rPr>
          <w:rFonts w:hint="eastAsia" w:ascii="宋体" w:eastAsia="宋体" w:cs="宋体"/>
        </w:rPr>
        <w:t>8、支持水平范围360°连续旋转，水平手控速度不小于300°/s，垂直范围-20°~90°，云台定位精准度偏差不大于±0.1°；</w:t>
      </w:r>
    </w:p>
    <w:p w14:paraId="2EB9476C">
      <w:pPr>
        <w:pStyle w:val="123"/>
        <w:snapToGrid w:val="0"/>
        <w:rPr>
          <w:rFonts w:hint="eastAsia" w:ascii="宋体" w:eastAsia="宋体" w:cs="宋体"/>
        </w:rPr>
      </w:pPr>
      <w:r>
        <w:rPr>
          <w:rFonts w:hint="eastAsia" w:ascii="宋体" w:eastAsia="宋体" w:cs="宋体"/>
        </w:rPr>
        <w:t>9、支持手动或自动的方式开启雨刷</w:t>
      </w:r>
      <w:r>
        <w:rPr>
          <w:rFonts w:hint="eastAsia" w:ascii="宋体" w:eastAsia="宋体" w:cs="宋体"/>
          <w:lang w:eastAsia="zh-CN"/>
        </w:rPr>
        <w:t>，</w:t>
      </w:r>
      <w:r>
        <w:rPr>
          <w:rFonts w:hint="eastAsia" w:ascii="宋体" w:eastAsia="宋体" w:cs="宋体"/>
        </w:rPr>
        <w:t>支持字符叠加及区域遮盖功能；</w:t>
      </w:r>
    </w:p>
    <w:p w14:paraId="09FE1E6E">
      <w:pPr>
        <w:pStyle w:val="123"/>
        <w:snapToGrid w:val="0"/>
        <w:rPr>
          <w:rFonts w:hint="eastAsia" w:ascii="宋体" w:eastAsia="宋体" w:cs="宋体"/>
        </w:rPr>
      </w:pPr>
      <w:r>
        <w:rPr>
          <w:rFonts w:hint="eastAsia" w:ascii="宋体" w:eastAsia="宋体" w:cs="宋体"/>
        </w:rPr>
        <w:t>1</w:t>
      </w:r>
      <w:r>
        <w:rPr>
          <w:rFonts w:hint="eastAsia" w:ascii="宋体" w:eastAsia="宋体" w:cs="宋体"/>
          <w:lang w:val="en-US" w:eastAsia="zh-CN"/>
        </w:rPr>
        <w:t>0</w:t>
      </w:r>
      <w:r>
        <w:rPr>
          <w:rFonts w:hint="eastAsia" w:ascii="宋体" w:eastAsia="宋体" w:cs="宋体"/>
        </w:rPr>
        <w:t>、具备不少于1×RJ45、1×开关量报警输入、1×开关量报警输出、1×RS485、TF卡接口。</w:t>
      </w:r>
    </w:p>
    <w:p w14:paraId="351656C7">
      <w:pPr>
        <w:pStyle w:val="123"/>
        <w:snapToGrid w:val="0"/>
        <w:rPr>
          <w:rFonts w:hint="eastAsia" w:ascii="宋体" w:eastAsia="宋体" w:cs="宋体"/>
        </w:rPr>
      </w:pPr>
      <w:r>
        <w:rPr>
          <w:rFonts w:hint="eastAsia" w:ascii="宋体" w:eastAsia="宋体" w:cs="宋体"/>
        </w:rPr>
        <w:t>1</w:t>
      </w:r>
      <w:r>
        <w:rPr>
          <w:rFonts w:hint="eastAsia" w:ascii="宋体" w:eastAsia="宋体" w:cs="宋体"/>
          <w:lang w:val="en-US" w:eastAsia="zh-CN"/>
        </w:rPr>
        <w:t>1</w:t>
      </w:r>
      <w:r>
        <w:rPr>
          <w:rFonts w:hint="eastAsia" w:ascii="宋体" w:eastAsia="宋体" w:cs="宋体"/>
        </w:rPr>
        <w:t>、支持IP66防护等级；</w:t>
      </w:r>
    </w:p>
    <w:p w14:paraId="0A96CCD3">
      <w:pPr>
        <w:pStyle w:val="123"/>
        <w:snapToGrid w:val="0"/>
        <w:rPr>
          <w:rFonts w:hint="eastAsia" w:ascii="宋体" w:eastAsia="宋体" w:cs="宋体"/>
        </w:rPr>
      </w:pPr>
      <w:r>
        <w:rPr>
          <w:rFonts w:hint="eastAsia" w:ascii="宋体" w:eastAsia="宋体" w:cs="宋体"/>
        </w:rPr>
        <w:t>12、符合GB/T 28181、GB/35114标准</w:t>
      </w:r>
      <w:r>
        <w:rPr>
          <w:rFonts w:hint="eastAsia" w:ascii="宋体" w:eastAsia="宋体" w:cs="宋体"/>
          <w:lang w:val="en-US" w:eastAsia="zh-CN"/>
        </w:rPr>
        <w:t>。</w:t>
      </w:r>
    </w:p>
    <w:p w14:paraId="726229D9">
      <w:pPr>
        <w:pStyle w:val="8"/>
        <w:rPr>
          <w:rFonts w:hint="eastAsia" w:ascii="宋体" w:eastAsia="宋体" w:cs="宋体"/>
        </w:rPr>
      </w:pPr>
      <w:bookmarkStart w:id="311" w:name="_Toc16674"/>
      <w:bookmarkStart w:id="312" w:name="_Toc22139"/>
      <w:bookmarkStart w:id="313" w:name="_Toc18193"/>
      <w:r>
        <w:rPr>
          <w:rFonts w:hint="eastAsia" w:ascii="宋体" w:eastAsia="宋体" w:cs="宋体"/>
        </w:rPr>
        <w:t>车辆卡口摄像机</w:t>
      </w:r>
      <w:bookmarkEnd w:id="311"/>
      <w:bookmarkEnd w:id="312"/>
      <w:r>
        <w:rPr>
          <w:rFonts w:hint="eastAsia" w:ascii="宋体" w:eastAsia="宋体" w:cs="宋体"/>
        </w:rPr>
        <w:t>服务</w:t>
      </w:r>
      <w:bookmarkEnd w:id="313"/>
    </w:p>
    <w:p w14:paraId="33C09FDE">
      <w:pPr>
        <w:pStyle w:val="9"/>
        <w:tabs>
          <w:tab w:val="left" w:pos="360"/>
        </w:tabs>
        <w:rPr>
          <w:rFonts w:hint="eastAsia" w:ascii="宋体" w:eastAsia="宋体" w:cs="宋体"/>
        </w:rPr>
      </w:pPr>
      <w:bookmarkStart w:id="314" w:name="_Toc27164"/>
      <w:r>
        <w:rPr>
          <w:rFonts w:hint="eastAsia" w:ascii="宋体" w:eastAsia="宋体" w:cs="宋体"/>
        </w:rPr>
        <w:t>设备概述</w:t>
      </w:r>
      <w:bookmarkEnd w:id="314"/>
    </w:p>
    <w:p w14:paraId="446EC47B">
      <w:pPr>
        <w:pStyle w:val="123"/>
        <w:adjustRightInd w:val="0"/>
        <w:snapToGrid w:val="0"/>
        <w:rPr>
          <w:rFonts w:hint="eastAsia" w:ascii="宋体" w:eastAsia="宋体" w:cs="宋体"/>
        </w:rPr>
      </w:pPr>
      <w:r>
        <w:rPr>
          <w:rFonts w:hint="eastAsia" w:ascii="宋体" w:eastAsia="宋体" w:cs="宋体"/>
        </w:rPr>
        <w:t>车辆卡口抓拍摄像机通过利用星光级成像技术实现全截面、全天候的视频监控，实现车辆号牌信息、车辆通过信息、路口交通流量信息、路口交通状态视频图像等数据的采集。通过网络链接接入已建平台，实现后端平台系统的网络浏览、数据查询、轨迹跟踪、分析研判、车辆布控等主要功能。</w:t>
      </w:r>
    </w:p>
    <w:p w14:paraId="465B7810">
      <w:pPr>
        <w:pStyle w:val="123"/>
        <w:adjustRightInd w:val="0"/>
        <w:snapToGrid w:val="0"/>
        <w:rPr>
          <w:rFonts w:hint="eastAsia" w:ascii="宋体" w:eastAsia="宋体" w:cs="宋体"/>
        </w:rPr>
      </w:pPr>
      <w:r>
        <w:rPr>
          <w:rFonts w:hint="eastAsia" w:ascii="宋体" w:eastAsia="宋体" w:cs="宋体"/>
        </w:rPr>
        <w:t>本次项目购买车辆卡口摄像机服务，实现前端车辆牌照、车辆照片等基础数据的采集，为后端系统平台提供基础数据。</w:t>
      </w:r>
    </w:p>
    <w:p w14:paraId="09626FE5">
      <w:pPr>
        <w:pStyle w:val="9"/>
        <w:tabs>
          <w:tab w:val="left" w:pos="360"/>
        </w:tabs>
        <w:rPr>
          <w:rFonts w:hint="eastAsia" w:ascii="宋体" w:eastAsia="宋体" w:cs="宋体"/>
        </w:rPr>
      </w:pPr>
      <w:bookmarkStart w:id="315" w:name="_Toc24527"/>
      <w:r>
        <w:rPr>
          <w:rFonts w:hint="eastAsia" w:ascii="宋体" w:eastAsia="宋体" w:cs="宋体"/>
        </w:rPr>
        <w:t>应用场景</w:t>
      </w:r>
      <w:bookmarkEnd w:id="315"/>
    </w:p>
    <w:p w14:paraId="1927FA6A">
      <w:pPr>
        <w:pStyle w:val="123"/>
        <w:adjustRightInd w:val="0"/>
        <w:snapToGrid w:val="0"/>
        <w:rPr>
          <w:rFonts w:hint="eastAsia" w:ascii="宋体" w:eastAsia="宋体" w:cs="宋体"/>
        </w:rPr>
      </w:pPr>
      <w:r>
        <w:rPr>
          <w:rFonts w:hint="eastAsia" w:ascii="宋体" w:eastAsia="宋体" w:cs="宋体"/>
        </w:rPr>
        <w:t>车辆卡口摄像机主要部署在重点路段、重点部位以及城市辅道、乡镇道路等城市主干道，通过采集控制软件实现全天候不间断的机动车和非机动车的图片抓拍和信息处理、通信等功能，对抓拍的机动车、驾乘人员人脸图片实现号牌自动识别和非机动车的检测识别、不戴头盔的检测识别等功能。</w:t>
      </w:r>
    </w:p>
    <w:p w14:paraId="4284A8D4">
      <w:pPr>
        <w:pStyle w:val="9"/>
        <w:tabs>
          <w:tab w:val="left" w:pos="360"/>
        </w:tabs>
        <w:rPr>
          <w:rFonts w:hint="eastAsia" w:ascii="宋体" w:eastAsia="宋体" w:cs="宋体"/>
        </w:rPr>
      </w:pPr>
      <w:bookmarkStart w:id="316" w:name="_Toc30856"/>
      <w:r>
        <w:rPr>
          <w:rFonts w:hint="eastAsia" w:ascii="宋体" w:eastAsia="宋体" w:cs="宋体"/>
        </w:rPr>
        <w:t>服务要求</w:t>
      </w:r>
      <w:bookmarkEnd w:id="316"/>
    </w:p>
    <w:p w14:paraId="56FA0627">
      <w:pPr>
        <w:pStyle w:val="123"/>
        <w:rPr>
          <w:rFonts w:hint="eastAsia" w:ascii="宋体" w:eastAsia="宋体" w:cs="宋体"/>
        </w:rPr>
      </w:pPr>
      <w:r>
        <w:rPr>
          <w:rFonts w:hint="eastAsia" w:ascii="宋体" w:eastAsia="宋体" w:cs="宋体"/>
        </w:rPr>
        <w:t>1、一体化交付设计，摄像单元包含防护罩、高清摄像机、防雷模块、电源模块、安装支架、存储卡、视窗玻璃等部件；</w:t>
      </w:r>
    </w:p>
    <w:p w14:paraId="6B761CA0">
      <w:pPr>
        <w:pStyle w:val="123"/>
        <w:rPr>
          <w:rFonts w:hint="eastAsia" w:ascii="宋体" w:eastAsia="宋体" w:cs="宋体"/>
          <w:lang w:eastAsia="zh-CN"/>
        </w:rPr>
      </w:pPr>
      <w:r>
        <w:rPr>
          <w:rFonts w:hint="eastAsia" w:ascii="宋体" w:eastAsia="宋体" w:cs="宋体"/>
        </w:rPr>
        <w:t>2、</w:t>
      </w:r>
      <w:r>
        <w:rPr>
          <w:rFonts w:hint="eastAsia" w:ascii="宋体" w:eastAsia="宋体" w:cs="宋体"/>
          <w:lang w:val="en-US" w:eastAsia="zh-CN"/>
        </w:rPr>
        <w:t>不低于9</w:t>
      </w:r>
      <w:r>
        <w:rPr>
          <w:rFonts w:hint="eastAsia" w:ascii="宋体" w:eastAsia="宋体" w:cs="宋体"/>
        </w:rPr>
        <w:t>00万像素</w:t>
      </w:r>
      <w:r>
        <w:rPr>
          <w:rFonts w:hint="eastAsia" w:ascii="宋体" w:eastAsia="宋体" w:cs="宋体"/>
          <w:lang w:eastAsia="zh-CN"/>
        </w:rPr>
        <w:t>，</w:t>
      </w:r>
      <w:r>
        <w:rPr>
          <w:rFonts w:hint="eastAsia" w:ascii="宋体" w:eastAsia="宋体" w:cs="宋体"/>
          <w:lang w:val="en-US" w:eastAsia="zh-CN"/>
        </w:rPr>
        <w:t>不低于4096x2160或3840x2336；</w:t>
      </w:r>
    </w:p>
    <w:p w14:paraId="2FE24208">
      <w:pPr>
        <w:pStyle w:val="123"/>
        <w:rPr>
          <w:rFonts w:hint="eastAsia" w:ascii="宋体" w:eastAsia="宋体" w:cs="宋体"/>
        </w:rPr>
      </w:pPr>
      <w:r>
        <w:rPr>
          <w:rFonts w:hint="eastAsia" w:ascii="宋体" w:eastAsia="宋体" w:cs="宋体"/>
        </w:rPr>
        <w:t>3、靶面尺寸≥1英寸，帧率</w:t>
      </w:r>
      <w:r>
        <w:rPr>
          <w:rFonts w:hint="eastAsia" w:ascii="宋体" w:eastAsia="宋体" w:cs="宋体"/>
          <w:lang w:val="en-US" w:eastAsia="zh-CN"/>
        </w:rPr>
        <w:t>不低于2</w:t>
      </w:r>
      <w:r>
        <w:rPr>
          <w:rFonts w:hint="eastAsia" w:ascii="宋体" w:eastAsia="宋体" w:cs="宋体"/>
        </w:rPr>
        <w:t>5fps；支持H.264、H.265、MJPEG视频编码格式，支持32Kbps～16Mbps码率；</w:t>
      </w:r>
    </w:p>
    <w:p w14:paraId="3D32E394">
      <w:pPr>
        <w:pStyle w:val="123"/>
        <w:rPr>
          <w:rFonts w:hint="eastAsia" w:ascii="宋体" w:eastAsia="宋体" w:cs="宋体"/>
          <w:lang w:eastAsia="zh-CN"/>
        </w:rPr>
      </w:pPr>
      <w:r>
        <w:rPr>
          <w:rFonts w:hint="eastAsia" w:ascii="宋体" w:eastAsia="宋体" w:cs="宋体"/>
          <w:lang w:val="en-US" w:eastAsia="zh-CN"/>
        </w:rPr>
        <w:t>4、</w:t>
      </w:r>
      <w:r>
        <w:rPr>
          <w:rFonts w:hint="eastAsia" w:ascii="宋体" w:eastAsia="宋体" w:cs="宋体"/>
        </w:rPr>
        <w:t>最低照度：0.00</w:t>
      </w:r>
      <w:r>
        <w:rPr>
          <w:rFonts w:hint="eastAsia" w:ascii="宋体" w:eastAsia="宋体" w:cs="宋体"/>
          <w:lang w:val="en-US" w:eastAsia="zh-CN"/>
        </w:rPr>
        <w:t>2</w:t>
      </w:r>
      <w:r>
        <w:rPr>
          <w:rFonts w:hint="eastAsia" w:ascii="宋体" w:eastAsia="宋体" w:cs="宋体"/>
        </w:rPr>
        <w:t>lx（彩色），0.00</w:t>
      </w:r>
      <w:r>
        <w:rPr>
          <w:rFonts w:hint="eastAsia" w:ascii="宋体" w:eastAsia="宋体" w:cs="宋体"/>
          <w:lang w:val="en-US" w:eastAsia="zh-CN"/>
        </w:rPr>
        <w:t>1</w:t>
      </w:r>
      <w:r>
        <w:rPr>
          <w:rFonts w:hint="eastAsia" w:ascii="宋体" w:eastAsia="宋体" w:cs="宋体"/>
        </w:rPr>
        <w:t>lx（黑白）；</w:t>
      </w:r>
    </w:p>
    <w:p w14:paraId="2CE7C956">
      <w:pPr>
        <w:pStyle w:val="123"/>
        <w:rPr>
          <w:rFonts w:hint="eastAsia" w:ascii="宋体" w:eastAsia="宋体" w:cs="宋体"/>
        </w:rPr>
      </w:pPr>
      <w:r>
        <w:rPr>
          <w:rFonts w:hint="eastAsia" w:ascii="宋体" w:eastAsia="宋体" w:cs="宋体"/>
        </w:rPr>
        <w:t>5、实现视频检测、车辆抓拍、补光控制、数据传输对联等功能；</w:t>
      </w:r>
    </w:p>
    <w:p w14:paraId="7CA7ACA2">
      <w:pPr>
        <w:pStyle w:val="123"/>
        <w:rPr>
          <w:rFonts w:hint="eastAsia" w:ascii="宋体" w:eastAsia="宋体" w:cs="宋体"/>
        </w:rPr>
      </w:pPr>
      <w:r>
        <w:rPr>
          <w:rFonts w:hint="eastAsia" w:ascii="宋体" w:eastAsia="宋体" w:cs="宋体"/>
          <w:lang w:val="en-US" w:eastAsia="zh-CN"/>
        </w:rPr>
        <w:t>6</w:t>
      </w:r>
      <w:r>
        <w:rPr>
          <w:rFonts w:hint="eastAsia" w:ascii="宋体" w:eastAsia="宋体" w:cs="宋体"/>
        </w:rPr>
        <w:t>、可将录像或图片存储至TF卡或客户端，内置存储卡不小于64GB；</w:t>
      </w:r>
    </w:p>
    <w:p w14:paraId="06B68E59">
      <w:pPr>
        <w:pStyle w:val="123"/>
        <w:rPr>
          <w:rFonts w:hint="eastAsia" w:ascii="宋体" w:eastAsia="宋体" w:cs="宋体"/>
        </w:rPr>
      </w:pPr>
      <w:r>
        <w:rPr>
          <w:rFonts w:hint="eastAsia" w:ascii="宋体" w:eastAsia="宋体" w:cs="宋体"/>
          <w:lang w:val="en-US" w:eastAsia="zh-CN"/>
        </w:rPr>
        <w:t>7</w:t>
      </w:r>
      <w:r>
        <w:rPr>
          <w:rFonts w:hint="eastAsia" w:ascii="宋体" w:eastAsia="宋体" w:cs="宋体"/>
        </w:rPr>
        <w:t>、水平中心分辨力≥2000TVL ，灰度等级≥11级；</w:t>
      </w:r>
    </w:p>
    <w:p w14:paraId="7B13FDA3">
      <w:pPr>
        <w:pStyle w:val="123"/>
        <w:rPr>
          <w:rFonts w:hint="eastAsia" w:ascii="宋体" w:eastAsia="宋体" w:cs="宋体"/>
        </w:rPr>
      </w:pPr>
      <w:r>
        <w:rPr>
          <w:rFonts w:hint="eastAsia" w:ascii="宋体" w:eastAsia="宋体" w:cs="宋体"/>
        </w:rPr>
        <w:t>8、支持抓拍并</w:t>
      </w:r>
      <w:r>
        <w:rPr>
          <w:rFonts w:hint="eastAsia" w:ascii="宋体" w:eastAsia="宋体" w:cs="宋体"/>
          <w:lang w:val="en-US" w:eastAsia="zh-CN"/>
        </w:rPr>
        <w:t>抠</w:t>
      </w:r>
      <w:r>
        <w:rPr>
          <w:rFonts w:hint="eastAsia" w:ascii="宋体" w:eastAsia="宋体" w:cs="宋体"/>
        </w:rPr>
        <w:t>取车内前排司乘人员人脸图片，在抓拍图片可看清人脸有无遮挡，人脸抠图可叠加在全景图上，也可独立保存，人脸抠图的像素大小、边框放大倍数进行调节；</w:t>
      </w:r>
    </w:p>
    <w:p w14:paraId="38EFD29B">
      <w:pPr>
        <w:pStyle w:val="123"/>
        <w:rPr>
          <w:rFonts w:hint="eastAsia" w:ascii="宋体" w:eastAsia="宋体" w:cs="宋体"/>
        </w:rPr>
      </w:pPr>
      <w:r>
        <w:rPr>
          <w:rFonts w:hint="eastAsia" w:ascii="宋体" w:eastAsia="宋体" w:cs="宋体"/>
        </w:rPr>
        <w:t>9、支持车牌识别、车型识别、车身颜色识别、车标识别、司乘员人脸抓拍、驾驶员打手机识别、前排乘员安全带识别、前排遮阳板识别、异常号牌识别等；</w:t>
      </w:r>
    </w:p>
    <w:p w14:paraId="6E5D0E28">
      <w:pPr>
        <w:pStyle w:val="123"/>
        <w:rPr>
          <w:rFonts w:hint="eastAsia" w:ascii="宋体" w:eastAsia="宋体" w:cs="宋体"/>
          <w:lang w:eastAsia="zh-CN"/>
        </w:rPr>
      </w:pPr>
      <w:r>
        <w:rPr>
          <w:rFonts w:hint="eastAsia" w:ascii="宋体" w:eastAsia="宋体" w:cs="宋体"/>
        </w:rPr>
        <w:t>10、车辆捕获率≥99%；车辆号牌识别率≥99%，包含GA 36规定的号牌字符，包含新能源汽车号牌</w:t>
      </w:r>
      <w:r>
        <w:rPr>
          <w:rFonts w:hint="eastAsia" w:ascii="宋体" w:eastAsia="宋体" w:cs="宋体"/>
          <w:lang w:eastAsia="zh-CN"/>
        </w:rPr>
        <w:t>；</w:t>
      </w:r>
    </w:p>
    <w:p w14:paraId="344887B2">
      <w:pPr>
        <w:pStyle w:val="123"/>
        <w:rPr>
          <w:rFonts w:hint="eastAsia" w:ascii="宋体" w:eastAsia="宋体" w:cs="宋体"/>
        </w:rPr>
      </w:pPr>
      <w:r>
        <w:rPr>
          <w:rFonts w:hint="eastAsia" w:ascii="宋体" w:eastAsia="宋体" w:cs="宋体"/>
        </w:rPr>
        <w:t>11、支持配置抓拍规则区域，可配置机动车、非机动车或行人违法图片的抓拍位置和触发位置；可对非机动车进行检测识别，不戴头盔的检测识别；</w:t>
      </w:r>
    </w:p>
    <w:p w14:paraId="3080A7E6">
      <w:pPr>
        <w:pStyle w:val="123"/>
        <w:rPr>
          <w:rFonts w:hint="eastAsia" w:ascii="宋体" w:eastAsia="宋体" w:cs="宋体"/>
        </w:rPr>
      </w:pPr>
      <w:r>
        <w:rPr>
          <w:rFonts w:hint="eastAsia" w:ascii="宋体" w:eastAsia="宋体" w:cs="宋体"/>
          <w:lang w:val="en-US" w:eastAsia="zh-CN"/>
        </w:rPr>
        <w:t>12、</w:t>
      </w:r>
      <w:r>
        <w:rPr>
          <w:rFonts w:hint="eastAsia" w:ascii="宋体" w:eastAsia="宋体" w:cs="宋体"/>
        </w:rPr>
        <w:t>应支持对低光照条件下的车牌图像增强，车牌号码清晰可见；</w:t>
      </w:r>
    </w:p>
    <w:p w14:paraId="48F5EDDB">
      <w:pPr>
        <w:pStyle w:val="123"/>
        <w:rPr>
          <w:rFonts w:hint="eastAsia" w:ascii="宋体" w:eastAsia="宋体" w:cs="宋体"/>
        </w:rPr>
      </w:pPr>
      <w:r>
        <w:rPr>
          <w:rFonts w:hint="eastAsia" w:ascii="宋体" w:eastAsia="宋体" w:cs="宋体"/>
        </w:rPr>
        <w:t>1</w:t>
      </w:r>
      <w:r>
        <w:rPr>
          <w:rFonts w:hint="eastAsia" w:ascii="宋体" w:eastAsia="宋体" w:cs="宋体"/>
          <w:lang w:val="en-US" w:eastAsia="zh-CN"/>
        </w:rPr>
        <w:t>3</w:t>
      </w:r>
      <w:r>
        <w:rPr>
          <w:rFonts w:hint="eastAsia" w:ascii="宋体" w:eastAsia="宋体" w:cs="宋体"/>
        </w:rPr>
        <w:t>、支持北斗定位，定位的经纬度信息支持OSD字符叠加；</w:t>
      </w:r>
    </w:p>
    <w:p w14:paraId="34847F24">
      <w:pPr>
        <w:pStyle w:val="123"/>
        <w:rPr>
          <w:rFonts w:hint="eastAsia" w:ascii="宋体" w:eastAsia="宋体" w:cs="宋体"/>
        </w:rPr>
      </w:pPr>
      <w:r>
        <w:rPr>
          <w:rFonts w:hint="eastAsia" w:ascii="宋体" w:eastAsia="宋体" w:cs="宋体"/>
        </w:rPr>
        <w:t>1</w:t>
      </w:r>
      <w:r>
        <w:rPr>
          <w:rFonts w:hint="eastAsia" w:ascii="宋体" w:eastAsia="宋体" w:cs="宋体"/>
          <w:lang w:val="en-US" w:eastAsia="zh-CN"/>
        </w:rPr>
        <w:t>4</w:t>
      </w:r>
      <w:r>
        <w:rPr>
          <w:rFonts w:hint="eastAsia" w:ascii="宋体" w:eastAsia="宋体" w:cs="宋体"/>
        </w:rPr>
        <w:t>、至少提供1个电源接口、2个RJ45、2个RS485、1个告警输入、1个告警输出、1个存储卡槽等；</w:t>
      </w:r>
    </w:p>
    <w:p w14:paraId="05F03E41">
      <w:pPr>
        <w:pStyle w:val="123"/>
        <w:rPr>
          <w:rFonts w:hint="eastAsia" w:ascii="宋体" w:eastAsia="宋体" w:cs="宋体"/>
        </w:rPr>
      </w:pPr>
      <w:r>
        <w:rPr>
          <w:rFonts w:hint="eastAsia" w:ascii="宋体" w:eastAsia="宋体" w:cs="宋体"/>
        </w:rPr>
        <w:t>1</w:t>
      </w:r>
      <w:r>
        <w:rPr>
          <w:rFonts w:hint="eastAsia" w:ascii="宋体" w:eastAsia="宋体" w:cs="宋体"/>
          <w:lang w:val="en-US" w:eastAsia="zh-CN"/>
        </w:rPr>
        <w:t>5</w:t>
      </w:r>
      <w:r>
        <w:rPr>
          <w:rFonts w:hint="eastAsia" w:ascii="宋体" w:eastAsia="宋体" w:cs="宋体"/>
        </w:rPr>
        <w:t>、符合GB/T28181、GA/T 497、GA/T 833、GA/T 1400、GB/35114标准要求</w:t>
      </w:r>
      <w:r>
        <w:rPr>
          <w:rFonts w:hint="eastAsia" w:ascii="宋体" w:eastAsia="宋体" w:cs="宋体"/>
          <w:lang w:val="en-US" w:eastAsia="zh-CN"/>
        </w:rPr>
        <w:t>。</w:t>
      </w:r>
    </w:p>
    <w:p w14:paraId="57CD15B4">
      <w:pPr>
        <w:pStyle w:val="6"/>
        <w:rPr>
          <w:rFonts w:hint="eastAsia" w:ascii="宋体" w:hAnsi="宋体" w:cs="宋体"/>
        </w:rPr>
      </w:pPr>
      <w:bookmarkStart w:id="317" w:name="_Toc12386"/>
      <w:bookmarkStart w:id="318" w:name="_Toc9879"/>
      <w:bookmarkStart w:id="319" w:name="_Toc22416"/>
      <w:bookmarkStart w:id="320" w:name="_Toc7831"/>
      <w:bookmarkStart w:id="321" w:name="_Toc24046"/>
      <w:bookmarkStart w:id="322" w:name="_Toc15418"/>
      <w:r>
        <w:rPr>
          <w:rFonts w:hint="eastAsia" w:ascii="宋体" w:hAnsi="宋体" w:cs="宋体"/>
        </w:rPr>
        <w:t>基础支撑</w:t>
      </w:r>
      <w:bookmarkEnd w:id="317"/>
      <w:bookmarkEnd w:id="318"/>
      <w:bookmarkEnd w:id="319"/>
      <w:r>
        <w:rPr>
          <w:rFonts w:hint="eastAsia" w:ascii="宋体" w:hAnsi="宋体" w:cs="宋体"/>
        </w:rPr>
        <w:t>服务</w:t>
      </w:r>
      <w:bookmarkEnd w:id="320"/>
      <w:bookmarkEnd w:id="321"/>
    </w:p>
    <w:p w14:paraId="6F8EB637">
      <w:pPr>
        <w:pStyle w:val="7"/>
        <w:rPr>
          <w:rFonts w:hint="eastAsia" w:ascii="宋体" w:eastAsia="宋体" w:cs="宋体"/>
        </w:rPr>
      </w:pPr>
      <w:bookmarkStart w:id="323" w:name="_Toc12567"/>
      <w:bookmarkStart w:id="324" w:name="_Toc29285"/>
      <w:bookmarkStart w:id="325" w:name="_Toc24453"/>
      <w:r>
        <w:rPr>
          <w:rFonts w:hint="eastAsia" w:ascii="宋体" w:eastAsia="宋体" w:cs="宋体"/>
        </w:rPr>
        <w:t>流媒体服务要求</w:t>
      </w:r>
      <w:bookmarkEnd w:id="323"/>
      <w:bookmarkEnd w:id="324"/>
      <w:bookmarkEnd w:id="325"/>
    </w:p>
    <w:p w14:paraId="186491BD">
      <w:pPr>
        <w:pStyle w:val="123"/>
        <w:rPr>
          <w:rFonts w:hint="eastAsia" w:ascii="宋体" w:eastAsia="宋体" w:cs="宋体"/>
        </w:rPr>
      </w:pPr>
      <w:bookmarkStart w:id="326" w:name="_Toc31673"/>
      <w:bookmarkStart w:id="327" w:name="_Toc24295"/>
      <w:bookmarkStart w:id="328" w:name="_Toc27190"/>
      <w:bookmarkStart w:id="329" w:name="_Toc17543"/>
      <w:r>
        <w:rPr>
          <w:rFonts w:hint="eastAsia" w:ascii="宋体" w:eastAsia="宋体" w:cs="宋体"/>
        </w:rPr>
        <w:t>滁州市公安局视频专网视频共享平台现有流媒体转发能力为1400 Mbps，峰值使用统计约为1300Mbps，本次新增前端接入后，将不能完全满足后续各委办局及公安应用需求；为进一步满足各实战应用单位监控图像调用需求，本次基于现有视频共享平台提高服务能力，增加2400Mbps的流媒体转发能力，提升现有媒体接入和转发能力。</w:t>
      </w:r>
    </w:p>
    <w:p w14:paraId="77484E71">
      <w:pPr>
        <w:pStyle w:val="123"/>
        <w:autoSpaceDE w:val="0"/>
        <w:autoSpaceDN w:val="0"/>
        <w:adjustRightInd w:val="0"/>
        <w:snapToGrid w:val="0"/>
        <w:rPr>
          <w:rFonts w:hint="eastAsia" w:ascii="宋体" w:eastAsia="宋体" w:cs="宋体"/>
          <w:b/>
          <w:bCs/>
          <w:snapToGrid w:val="0"/>
        </w:rPr>
      </w:pPr>
      <w:r>
        <w:rPr>
          <w:rFonts w:hint="eastAsia" w:ascii="宋体" w:eastAsia="宋体" w:cs="宋体"/>
          <w:b/>
          <w:bCs/>
          <w:snapToGrid w:val="0"/>
        </w:rPr>
        <w:t>流媒体技术要求如下：</w:t>
      </w:r>
    </w:p>
    <w:p w14:paraId="420EF1DF">
      <w:pPr>
        <w:pStyle w:val="123"/>
        <w:autoSpaceDE w:val="0"/>
        <w:autoSpaceDN w:val="0"/>
        <w:adjustRightInd w:val="0"/>
        <w:snapToGrid w:val="0"/>
        <w:rPr>
          <w:rFonts w:hint="eastAsia" w:ascii="宋体" w:eastAsia="宋体" w:cs="宋体"/>
        </w:rPr>
      </w:pPr>
      <w:r>
        <w:rPr>
          <w:rFonts w:hint="eastAsia" w:ascii="宋体" w:eastAsia="宋体" w:cs="宋体"/>
        </w:rPr>
        <w:t>需接入现有视频共享平台，须与现有平台融为一体，共同分担系统的接入和流媒体转发压力，同时配置系统运行所必需的操作系统，数据库及系统组件。</w:t>
      </w:r>
    </w:p>
    <w:p w14:paraId="785BEAB4">
      <w:pPr>
        <w:pStyle w:val="123"/>
        <w:autoSpaceDE w:val="0"/>
        <w:autoSpaceDN w:val="0"/>
        <w:adjustRightInd w:val="0"/>
        <w:snapToGrid w:val="0"/>
        <w:rPr>
          <w:rFonts w:hint="eastAsia" w:ascii="宋体" w:eastAsia="宋体" w:cs="宋体"/>
        </w:rPr>
      </w:pPr>
      <w:r>
        <w:rPr>
          <w:rFonts w:hint="eastAsia" w:ascii="宋体" w:eastAsia="宋体" w:cs="宋体"/>
        </w:rPr>
        <w:t>需满足2400Mbps的视频转发，单个服务器节点性能要求：</w:t>
      </w:r>
    </w:p>
    <w:p w14:paraId="4C992E8D">
      <w:pPr>
        <w:pStyle w:val="123"/>
        <w:autoSpaceDE w:val="0"/>
        <w:autoSpaceDN w:val="0"/>
        <w:adjustRightInd w:val="0"/>
        <w:snapToGrid w:val="0"/>
        <w:rPr>
          <w:rFonts w:hint="eastAsia" w:ascii="宋体" w:eastAsia="宋体" w:cs="宋体"/>
        </w:rPr>
      </w:pPr>
      <w:r>
        <w:rPr>
          <w:rFonts w:hint="eastAsia" w:ascii="宋体" w:eastAsia="宋体" w:cs="宋体"/>
        </w:rPr>
        <w:t>1、CPU：采用国产化中央处理单元器（CPU）性能不低于主频≥2.1G，2*CPU，单颗CPU核数≥24核；</w:t>
      </w:r>
    </w:p>
    <w:p w14:paraId="6BB414ED">
      <w:pPr>
        <w:pStyle w:val="123"/>
        <w:autoSpaceDE w:val="0"/>
        <w:autoSpaceDN w:val="0"/>
        <w:adjustRightInd w:val="0"/>
        <w:snapToGrid w:val="0"/>
        <w:rPr>
          <w:rFonts w:hint="eastAsia" w:ascii="宋体" w:eastAsia="宋体" w:cs="宋体"/>
        </w:rPr>
      </w:pPr>
      <w:r>
        <w:rPr>
          <w:rFonts w:hint="eastAsia" w:ascii="宋体" w:eastAsia="宋体" w:cs="宋体"/>
        </w:rPr>
        <w:t>2、内存：≥128 GB DDR4 内存；</w:t>
      </w:r>
    </w:p>
    <w:p w14:paraId="05A73A2D">
      <w:pPr>
        <w:pStyle w:val="123"/>
        <w:autoSpaceDE w:val="0"/>
        <w:autoSpaceDN w:val="0"/>
        <w:adjustRightInd w:val="0"/>
        <w:snapToGrid w:val="0"/>
        <w:rPr>
          <w:rFonts w:hint="eastAsia" w:ascii="宋体" w:eastAsia="宋体" w:cs="宋体"/>
        </w:rPr>
      </w:pPr>
      <w:r>
        <w:rPr>
          <w:rFonts w:hint="eastAsia" w:ascii="宋体" w:eastAsia="宋体" w:cs="宋体"/>
        </w:rPr>
        <w:t>3、网口：2个SFP+光接口，含光模块；</w:t>
      </w:r>
    </w:p>
    <w:p w14:paraId="08CF8662">
      <w:pPr>
        <w:pStyle w:val="123"/>
        <w:autoSpaceDE w:val="0"/>
        <w:autoSpaceDN w:val="0"/>
        <w:adjustRightInd w:val="0"/>
        <w:snapToGrid w:val="0"/>
        <w:rPr>
          <w:rFonts w:hint="eastAsia" w:ascii="宋体" w:eastAsia="宋体" w:cs="宋体"/>
        </w:rPr>
      </w:pPr>
      <w:r>
        <w:rPr>
          <w:rFonts w:hint="eastAsia" w:ascii="宋体" w:eastAsia="宋体" w:cs="宋体"/>
        </w:rPr>
        <w:t>4、硬盘：支持12块3.5寸/2.5寸SATA硬盘，支持企业级和固态硬盘，支持热插拔，本次配置不低于1块2.4T企业级硬盘，1块960GB SSD硬盘。</w:t>
      </w:r>
    </w:p>
    <w:bookmarkEnd w:id="326"/>
    <w:p w14:paraId="301513B3">
      <w:pPr>
        <w:pStyle w:val="7"/>
        <w:rPr>
          <w:rFonts w:hint="eastAsia" w:ascii="宋体" w:eastAsia="宋体" w:cs="宋体"/>
        </w:rPr>
      </w:pPr>
      <w:r>
        <w:rPr>
          <w:rFonts w:hint="eastAsia" w:ascii="宋体" w:eastAsia="宋体" w:cs="宋体"/>
        </w:rPr>
        <w:t>视图库服务要求</w:t>
      </w:r>
      <w:bookmarkEnd w:id="327"/>
      <w:bookmarkEnd w:id="328"/>
      <w:bookmarkEnd w:id="329"/>
    </w:p>
    <w:p w14:paraId="15426D02">
      <w:pPr>
        <w:pStyle w:val="123"/>
        <w:rPr>
          <w:rFonts w:hint="eastAsia" w:ascii="宋体" w:eastAsia="宋体" w:cs="宋体"/>
        </w:rPr>
      </w:pPr>
      <w:r>
        <w:rPr>
          <w:rFonts w:hint="eastAsia" w:ascii="宋体" w:eastAsia="宋体" w:cs="宋体"/>
        </w:rPr>
        <w:t>本次采购2000台超清智能采集摄像机服务，其中包括400万结构化枪机 150台、400万结构化双目枪机1244台、400万人像卡口摄像机100台、400万双目结构化球机450台、400万三目结构化球机20台、高倍球摄像机30台、900万环保卡口摄像机6台</w:t>
      </w:r>
      <w:bookmarkStart w:id="330" w:name="_Toc19775"/>
      <w:r>
        <w:rPr>
          <w:rFonts w:hint="eastAsia" w:ascii="宋体" w:eastAsia="宋体" w:cs="宋体"/>
        </w:rPr>
        <w:t>。后端系统需满足人脸、车辆图片及结构化数据的接入、集中存储及检索应用需要，需对现有视频专网及公安网中的视图库提高服务能力，数据规模测算如下：</w:t>
      </w:r>
    </w:p>
    <w:p w14:paraId="2DFEA95F">
      <w:pPr>
        <w:pStyle w:val="123"/>
        <w:rPr>
          <w:rFonts w:hint="eastAsia" w:ascii="宋体" w:eastAsia="宋体" w:cs="宋体"/>
        </w:rPr>
      </w:pPr>
      <w:r>
        <w:rPr>
          <w:rFonts w:hint="eastAsia" w:ascii="宋体" w:eastAsia="宋体" w:cs="宋体"/>
        </w:rPr>
        <w:t>本项目采购2000路各类智能化前端摄像机服务，单台摄像机日均抓拍数据量为4000张/天，结构化数据存储周期为360天，则年数据量为摄像机数量*日均抓拍数量*存储周期，约需28.8亿年数据量，考虑一定冗余，本次需满足30亿数据服务要求。</w:t>
      </w:r>
    </w:p>
    <w:p w14:paraId="594C8E45">
      <w:pPr>
        <w:pStyle w:val="123"/>
        <w:adjustRightInd w:val="0"/>
        <w:snapToGrid w:val="0"/>
        <w:rPr>
          <w:rFonts w:hint="eastAsia" w:ascii="宋体" w:eastAsia="宋体" w:cs="宋体"/>
          <w:b/>
          <w:bCs/>
          <w:snapToGrid w:val="0"/>
        </w:rPr>
      </w:pPr>
      <w:r>
        <w:rPr>
          <w:rFonts w:hint="eastAsia" w:ascii="宋体" w:eastAsia="宋体" w:cs="宋体"/>
          <w:b/>
          <w:bCs/>
          <w:snapToGrid w:val="0"/>
        </w:rPr>
        <w:t>视图库技术要求</w:t>
      </w:r>
      <w:bookmarkEnd w:id="330"/>
      <w:r>
        <w:rPr>
          <w:rFonts w:hint="eastAsia" w:ascii="宋体" w:eastAsia="宋体" w:cs="宋体"/>
          <w:b/>
          <w:bCs/>
          <w:snapToGrid w:val="0"/>
        </w:rPr>
        <w:t>如下：</w:t>
      </w:r>
    </w:p>
    <w:p w14:paraId="4661409D">
      <w:pPr>
        <w:pStyle w:val="123"/>
        <w:rPr>
          <w:rFonts w:hint="eastAsia" w:ascii="宋体" w:eastAsia="宋体" w:cs="宋体"/>
        </w:rPr>
      </w:pPr>
      <w:r>
        <w:rPr>
          <w:rFonts w:hint="eastAsia" w:ascii="宋体" w:eastAsia="宋体" w:cs="宋体"/>
        </w:rPr>
        <w:t>1、需接入现有视频专网及公安局视频专网视图库系统，须与现有系统融为一体，共同分担图像信息数据的集中接入、存储和检索压力；同时满足公安部视图库采集接口，可按照视图库标准协议接收视频图像分析设备/系统采集的视频图像信息数据，支持2000路智能前端接入，支持30亿条数据规模管理；</w:t>
      </w:r>
    </w:p>
    <w:p w14:paraId="0176FB37">
      <w:pPr>
        <w:pStyle w:val="123"/>
        <w:rPr>
          <w:rFonts w:hint="eastAsia" w:ascii="宋体" w:eastAsia="宋体" w:cs="宋体"/>
        </w:rPr>
      </w:pPr>
      <w:r>
        <w:rPr>
          <w:rFonts w:hint="eastAsia" w:ascii="宋体" w:eastAsia="宋体" w:cs="宋体"/>
        </w:rPr>
        <w:t>2、支持视图库信息数据的汇聚以及级联传输，级联传输满足公安部标准协议接口；</w:t>
      </w:r>
    </w:p>
    <w:p w14:paraId="62E92FB2">
      <w:pPr>
        <w:pStyle w:val="123"/>
        <w:rPr>
          <w:rFonts w:hint="eastAsia" w:ascii="宋体" w:eastAsia="宋体" w:cs="宋体"/>
        </w:rPr>
      </w:pPr>
      <w:r>
        <w:rPr>
          <w:rFonts w:hint="eastAsia" w:ascii="宋体" w:eastAsia="宋体" w:cs="宋体"/>
        </w:rPr>
        <w:t>3、支持视图库数据服务接口，支撑上层视图库业务服务应用；</w:t>
      </w:r>
    </w:p>
    <w:p w14:paraId="59D92A8B">
      <w:pPr>
        <w:pStyle w:val="123"/>
        <w:rPr>
          <w:rFonts w:hint="eastAsia" w:ascii="宋体" w:eastAsia="宋体" w:cs="宋体"/>
        </w:rPr>
      </w:pPr>
      <w:r>
        <w:rPr>
          <w:rFonts w:hint="eastAsia" w:ascii="宋体" w:eastAsia="宋体" w:cs="宋体"/>
        </w:rPr>
        <w:t>4、提供用户管理，权限管理，日志管理等系统功能；</w:t>
      </w:r>
    </w:p>
    <w:p w14:paraId="42F0104E">
      <w:pPr>
        <w:pStyle w:val="123"/>
        <w:rPr>
          <w:rFonts w:hint="eastAsia" w:ascii="宋体" w:eastAsia="宋体" w:cs="宋体"/>
        </w:rPr>
      </w:pPr>
      <w:r>
        <w:rPr>
          <w:rFonts w:hint="eastAsia" w:ascii="宋体" w:eastAsia="宋体" w:cs="宋体"/>
        </w:rPr>
        <w:t>5、支持分布式数据管理和并行数据分析，支持通过增加数据存储节点横向便捷扩展；</w:t>
      </w:r>
    </w:p>
    <w:p w14:paraId="509D201B">
      <w:pPr>
        <w:pStyle w:val="123"/>
        <w:rPr>
          <w:rFonts w:hint="eastAsia" w:ascii="宋体" w:eastAsia="宋体" w:cs="宋体"/>
        </w:rPr>
      </w:pPr>
      <w:r>
        <w:rPr>
          <w:rFonts w:hint="eastAsia" w:ascii="宋体" w:eastAsia="宋体" w:cs="宋体"/>
        </w:rPr>
        <w:t>6、支持数据分布式冗余存储，单节点故障不会丢失数据；</w:t>
      </w:r>
    </w:p>
    <w:p w14:paraId="550BC3CC">
      <w:pPr>
        <w:pStyle w:val="123"/>
        <w:rPr>
          <w:rFonts w:hint="eastAsia" w:ascii="宋体" w:eastAsia="宋体" w:cs="宋体"/>
        </w:rPr>
      </w:pPr>
      <w:r>
        <w:rPr>
          <w:rFonts w:hint="eastAsia" w:ascii="宋体" w:eastAsia="宋体" w:cs="宋体"/>
        </w:rPr>
        <w:t>7、提供数据进行流转、处理以及存储服务的核心引擎；</w:t>
      </w:r>
    </w:p>
    <w:p w14:paraId="4C12B213">
      <w:pPr>
        <w:pStyle w:val="123"/>
        <w:rPr>
          <w:rFonts w:hint="eastAsia" w:ascii="宋体" w:eastAsia="宋体" w:cs="宋体"/>
        </w:rPr>
      </w:pPr>
      <w:r>
        <w:rPr>
          <w:rFonts w:hint="eastAsia" w:ascii="宋体" w:eastAsia="宋体" w:cs="宋体"/>
        </w:rPr>
        <w:t>8、支持数据接收处理服务系统的集群化的管理和调度；</w:t>
      </w:r>
    </w:p>
    <w:p w14:paraId="121D6C95">
      <w:pPr>
        <w:pStyle w:val="123"/>
        <w:rPr>
          <w:rFonts w:hint="eastAsia" w:ascii="宋体" w:eastAsia="宋体" w:cs="宋体"/>
        </w:rPr>
      </w:pPr>
      <w:r>
        <w:rPr>
          <w:rFonts w:hint="eastAsia" w:ascii="宋体" w:eastAsia="宋体" w:cs="宋体"/>
        </w:rPr>
        <w:t>9、支持数据的标准格式化存储以及人、车、物等不同对象的分类存储；</w:t>
      </w:r>
    </w:p>
    <w:p w14:paraId="3AB9C671">
      <w:pPr>
        <w:pStyle w:val="123"/>
        <w:rPr>
          <w:rFonts w:hint="eastAsia" w:ascii="宋体" w:eastAsia="宋体" w:cs="宋体"/>
        </w:rPr>
      </w:pPr>
      <w:r>
        <w:rPr>
          <w:rFonts w:hint="eastAsia" w:ascii="宋体" w:eastAsia="宋体" w:cs="宋体"/>
        </w:rPr>
        <w:t>10、支持构建人脸库、人像库、人员黑名单库、人员布控库以及相关联的一人一档信息库、人脸特征库等；</w:t>
      </w:r>
    </w:p>
    <w:p w14:paraId="49527CB3">
      <w:pPr>
        <w:pStyle w:val="123"/>
        <w:rPr>
          <w:rFonts w:hint="eastAsia" w:ascii="宋体" w:eastAsia="宋体" w:cs="宋体"/>
        </w:rPr>
      </w:pPr>
      <w:r>
        <w:rPr>
          <w:rFonts w:hint="eastAsia" w:ascii="宋体" w:eastAsia="宋体" w:cs="宋体"/>
        </w:rPr>
        <w:t>11、支持构建车辆库、车辆黑名单库、车辆布控库以及相关联的一车一档信息库、车辆特征库等；</w:t>
      </w:r>
    </w:p>
    <w:p w14:paraId="1EA98A00">
      <w:pPr>
        <w:pStyle w:val="123"/>
        <w:rPr>
          <w:rFonts w:hint="eastAsia" w:ascii="宋体" w:eastAsia="宋体" w:cs="宋体"/>
        </w:rPr>
      </w:pPr>
      <w:r>
        <w:rPr>
          <w:rFonts w:hint="eastAsia" w:ascii="宋体" w:eastAsia="宋体" w:cs="宋体"/>
        </w:rPr>
        <w:t>12、支持资源目录库，包括原始采集的人脸数据、人像数据、车辆数据、视频结构化分析信息数据、其他多维感知信息等各种视频图像信息数据资源。</w:t>
      </w:r>
    </w:p>
    <w:p w14:paraId="35C1170B">
      <w:pPr>
        <w:pStyle w:val="6"/>
        <w:rPr>
          <w:rFonts w:hint="eastAsia" w:ascii="宋体" w:hAnsi="宋体" w:cs="宋体"/>
        </w:rPr>
      </w:pPr>
      <w:bookmarkStart w:id="331" w:name="_Toc13760"/>
      <w:bookmarkStart w:id="332" w:name="_Toc28374"/>
      <w:bookmarkStart w:id="333" w:name="_Toc240"/>
      <w:bookmarkStart w:id="334" w:name="_Toc1517"/>
      <w:bookmarkStart w:id="335" w:name="_Toc19407"/>
      <w:r>
        <w:rPr>
          <w:rFonts w:hint="eastAsia" w:ascii="宋体" w:hAnsi="宋体" w:cs="宋体"/>
        </w:rPr>
        <w:t>云存储</w:t>
      </w:r>
      <w:bookmarkEnd w:id="331"/>
      <w:bookmarkEnd w:id="332"/>
      <w:r>
        <w:rPr>
          <w:rFonts w:hint="eastAsia" w:ascii="宋体" w:hAnsi="宋体" w:cs="宋体"/>
        </w:rPr>
        <w:t>系统</w:t>
      </w:r>
      <w:bookmarkEnd w:id="333"/>
      <w:r>
        <w:rPr>
          <w:rFonts w:hint="eastAsia" w:ascii="宋体" w:hAnsi="宋体" w:cs="宋体"/>
        </w:rPr>
        <w:t>服务</w:t>
      </w:r>
      <w:bookmarkEnd w:id="334"/>
      <w:bookmarkEnd w:id="335"/>
    </w:p>
    <w:p w14:paraId="63AA2CD8">
      <w:pPr>
        <w:pStyle w:val="7"/>
        <w:rPr>
          <w:rFonts w:hint="eastAsia" w:ascii="宋体" w:eastAsia="宋体" w:cs="宋体"/>
        </w:rPr>
      </w:pPr>
      <w:bookmarkStart w:id="336" w:name="_Toc23276"/>
      <w:bookmarkStart w:id="337" w:name="_Toc26478"/>
      <w:r>
        <w:rPr>
          <w:rFonts w:hint="eastAsia" w:ascii="宋体" w:eastAsia="宋体" w:cs="宋体"/>
        </w:rPr>
        <w:t>视频存储空间服务要求</w:t>
      </w:r>
      <w:bookmarkEnd w:id="336"/>
      <w:bookmarkEnd w:id="337"/>
    </w:p>
    <w:p w14:paraId="5C12AEF5">
      <w:pPr>
        <w:pStyle w:val="123"/>
        <w:autoSpaceDE w:val="0"/>
        <w:autoSpaceDN w:val="0"/>
        <w:adjustRightInd w:val="0"/>
        <w:snapToGrid w:val="0"/>
        <w:rPr>
          <w:rFonts w:hint="eastAsia" w:ascii="宋体" w:eastAsia="宋体" w:cs="宋体"/>
        </w:rPr>
      </w:pPr>
      <w:bookmarkStart w:id="338" w:name="_Toc27965"/>
      <w:bookmarkStart w:id="339" w:name="_Toc20112"/>
      <w:r>
        <w:rPr>
          <w:rFonts w:hint="eastAsia" w:ascii="宋体" w:eastAsia="宋体" w:cs="宋体"/>
        </w:rPr>
        <w:t>单路视频的存储空间（T）=摄像机（路）×码流（单位为 Mbps）×3600 秒×24 小时×存储天数÷（8bit×1024×1024）。</w:t>
      </w:r>
    </w:p>
    <w:p w14:paraId="4CBCA107">
      <w:pPr>
        <w:pStyle w:val="123"/>
        <w:rPr>
          <w:rFonts w:hint="eastAsia" w:ascii="宋体" w:eastAsia="宋体" w:cs="宋体"/>
        </w:rPr>
      </w:pPr>
      <w:r>
        <w:rPr>
          <w:rFonts w:hint="eastAsia" w:ascii="宋体" w:eastAsia="宋体" w:cs="宋体"/>
        </w:rPr>
        <w:t>本项目含2000台超清智能采集摄像机服务，具体为：包括400万结构化枪机 150台、400万结构化双目枪机1244台、400万人像卡口摄像机100台、400万双目结构化球机450台、400万三目结构化球机20台、高倍球摄像机30台、900万环保卡口摄像机6台，按 H.264 标准，2000台超清智能采集摄像机每路视频码流按照6Mbps计算，存储天数需满足30天。</w:t>
      </w:r>
    </w:p>
    <w:p w14:paraId="2E298491">
      <w:pPr>
        <w:pStyle w:val="123"/>
        <w:rPr>
          <w:rFonts w:hint="eastAsia" w:ascii="宋体" w:eastAsia="宋体" w:cs="宋体"/>
        </w:rPr>
      </w:pPr>
      <w:r>
        <w:rPr>
          <w:rFonts w:hint="eastAsia" w:ascii="宋体" w:eastAsia="宋体" w:cs="宋体"/>
        </w:rPr>
        <w:t>按 H.265 标准，2000台智能采集摄像机存储天数需满足30天。</w:t>
      </w:r>
    </w:p>
    <w:p w14:paraId="01971A5E">
      <w:pPr>
        <w:pStyle w:val="123"/>
        <w:rPr>
          <w:rFonts w:hint="eastAsia" w:ascii="宋体" w:eastAsia="宋体" w:cs="宋体"/>
        </w:rPr>
      </w:pPr>
      <w:r>
        <w:rPr>
          <w:rFonts w:hint="eastAsia" w:ascii="宋体" w:eastAsia="宋体" w:cs="宋体"/>
        </w:rPr>
        <w:t>150台全结构化枪机摄像机每路视频码流按照4Mbps计算视频存储=150*4*3600*24*30/8/1024/1024。</w:t>
      </w:r>
    </w:p>
    <w:p w14:paraId="00CA8F5E">
      <w:pPr>
        <w:pStyle w:val="123"/>
        <w:rPr>
          <w:rFonts w:hint="eastAsia" w:ascii="宋体" w:eastAsia="宋体" w:cs="宋体"/>
        </w:rPr>
      </w:pPr>
      <w:r>
        <w:rPr>
          <w:rFonts w:hint="eastAsia" w:ascii="宋体" w:eastAsia="宋体" w:cs="宋体"/>
        </w:rPr>
        <w:t>1244台400万结构化双目枪机每路视频码流按照6Mbps计算视频存储=1244*6*3600*24*30/8/1024/1024。</w:t>
      </w:r>
    </w:p>
    <w:p w14:paraId="1FBABCF0">
      <w:pPr>
        <w:pStyle w:val="123"/>
        <w:rPr>
          <w:rFonts w:hint="eastAsia" w:ascii="宋体" w:eastAsia="宋体" w:cs="宋体"/>
        </w:rPr>
      </w:pPr>
      <w:r>
        <w:rPr>
          <w:rFonts w:hint="eastAsia" w:ascii="宋体" w:eastAsia="宋体" w:cs="宋体"/>
        </w:rPr>
        <w:t>100台400万人像卡口摄像机每路视频码流按照4Mbps计算视频存储=100*4*3600*24*30/8/1024/1024。</w:t>
      </w:r>
    </w:p>
    <w:p w14:paraId="7B54D858">
      <w:pPr>
        <w:pStyle w:val="123"/>
        <w:rPr>
          <w:rFonts w:hint="eastAsia" w:ascii="宋体" w:eastAsia="宋体" w:cs="宋体"/>
        </w:rPr>
      </w:pPr>
      <w:r>
        <w:rPr>
          <w:rFonts w:hint="eastAsia" w:ascii="宋体" w:eastAsia="宋体" w:cs="宋体"/>
        </w:rPr>
        <w:t>450台400万双目结构化球机每路视频码流按照8Mbps计算视频存储=450*8*3600*24*30/8/1024/1024。</w:t>
      </w:r>
    </w:p>
    <w:p w14:paraId="6206472E">
      <w:pPr>
        <w:pStyle w:val="123"/>
        <w:rPr>
          <w:rFonts w:hint="eastAsia" w:ascii="宋体" w:eastAsia="宋体" w:cs="宋体"/>
        </w:rPr>
      </w:pPr>
      <w:r>
        <w:rPr>
          <w:rFonts w:hint="eastAsia" w:ascii="宋体" w:eastAsia="宋体" w:cs="宋体"/>
        </w:rPr>
        <w:t>20台400万三目结构化球机每路视频码流按照8Mbps计算视频存储=20*8*3600*24*30/8/1024/1024。</w:t>
      </w:r>
    </w:p>
    <w:p w14:paraId="480CC32B">
      <w:pPr>
        <w:pStyle w:val="123"/>
        <w:rPr>
          <w:rFonts w:hint="eastAsia" w:ascii="宋体" w:eastAsia="宋体" w:cs="宋体"/>
        </w:rPr>
      </w:pPr>
      <w:r>
        <w:rPr>
          <w:rFonts w:hint="eastAsia" w:ascii="宋体" w:eastAsia="宋体" w:cs="宋体"/>
        </w:rPr>
        <w:t>30台高倍球摄像机每路视频码流按照8Mbps计算视频存储=30*4*3600*24*30/8/1024/1024。</w:t>
      </w:r>
    </w:p>
    <w:p w14:paraId="35256CFB">
      <w:pPr>
        <w:pStyle w:val="123"/>
        <w:rPr>
          <w:rFonts w:hint="eastAsia" w:ascii="宋体" w:eastAsia="宋体" w:cs="宋体"/>
        </w:rPr>
      </w:pPr>
      <w:r>
        <w:rPr>
          <w:rFonts w:hint="eastAsia" w:ascii="宋体" w:eastAsia="宋体" w:cs="宋体"/>
        </w:rPr>
        <w:t>6台900万环保卡口摄像机每路视频码流按照9Mbps计算视频存储=6*9*3600*24*30/8/1024/1024。</w:t>
      </w:r>
    </w:p>
    <w:p w14:paraId="12C73356">
      <w:pPr>
        <w:pStyle w:val="123"/>
        <w:rPr>
          <w:rFonts w:hint="eastAsia" w:ascii="宋体" w:eastAsia="宋体" w:cs="宋体"/>
        </w:rPr>
      </w:pPr>
      <w:r>
        <w:rPr>
          <w:rFonts w:hint="eastAsia" w:ascii="宋体" w:eastAsia="宋体" w:cs="宋体"/>
        </w:rPr>
        <w:t>考虑到存储系统冗余5%存储空间，本次需要视频存储可用空间为：</w:t>
      </w:r>
    </w:p>
    <w:p w14:paraId="34D7BC72">
      <w:pPr>
        <w:pStyle w:val="123"/>
        <w:rPr>
          <w:rFonts w:hint="eastAsia" w:ascii="宋体" w:eastAsia="宋体" w:cs="宋体"/>
        </w:rPr>
      </w:pPr>
      <w:r>
        <w:rPr>
          <w:rFonts w:hint="eastAsia" w:ascii="宋体" w:eastAsia="宋体" w:cs="宋体"/>
        </w:rPr>
        <w:t>计算如下表：</w:t>
      </w:r>
    </w:p>
    <w:p w14:paraId="6D139A4F">
      <w:pPr>
        <w:pStyle w:val="123"/>
        <w:rPr>
          <w:rFonts w:hint="eastAsia" w:ascii="宋体" w:eastAsia="宋体" w:cs="宋体"/>
        </w:rPr>
      </w:pPr>
      <w:r>
        <w:rPr>
          <w:rFonts w:hint="eastAsia" w:ascii="宋体" w:eastAsia="宋体" w:cs="宋体"/>
        </w:rPr>
        <w:t>计算公式：A路相机每天视频存储容量（TB）=A（路数）*BMbps（码流）*3600*24/8/1024/1024。</w:t>
      </w:r>
    </w:p>
    <w:p w14:paraId="33BDD6CF">
      <w:pPr>
        <w:pStyle w:val="12"/>
        <w:jc w:val="center"/>
        <w:rPr>
          <w:rFonts w:hint="eastAsia" w:ascii="宋体" w:eastAsia="宋体" w:cs="宋体"/>
        </w:rPr>
      </w:pPr>
      <w:r>
        <w:t xml:space="preserve">表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表 \* ARABIC \s 2 </w:instrText>
      </w:r>
      <w:r>
        <w:fldChar w:fldCharType="separate"/>
      </w:r>
      <w:r>
        <w:t>3</w:t>
      </w:r>
      <w:r>
        <w:fldChar w:fldCharType="end"/>
      </w:r>
      <w:r>
        <w:rPr>
          <w:rFonts w:hint="eastAsia"/>
        </w:rPr>
        <w:t xml:space="preserve"> 视频存储明细表</w:t>
      </w:r>
    </w:p>
    <w:tbl>
      <w:tblPr>
        <w:tblStyle w:val="3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989"/>
        <w:gridCol w:w="1125"/>
        <w:gridCol w:w="1011"/>
        <w:gridCol w:w="1125"/>
        <w:gridCol w:w="897"/>
        <w:gridCol w:w="866"/>
        <w:gridCol w:w="897"/>
        <w:gridCol w:w="1056"/>
      </w:tblGrid>
      <w:tr w14:paraId="17A0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2676D1">
            <w:pPr>
              <w:rPr>
                <w:rFonts w:hint="eastAsia" w:ascii="宋体" w:eastAsia="宋体" w:cs="宋体"/>
                <w:color w:val="000000"/>
                <w:sz w:val="22"/>
              </w:rPr>
            </w:pP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915EA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400万结构化枪机</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36781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400万结构化双目枪机</w:t>
            </w:r>
          </w:p>
        </w:tc>
        <w:tc>
          <w:tcPr>
            <w:tcW w:w="10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28860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400万人像卡口摄像机</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E2815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400万双目结构化球机</w:t>
            </w:r>
          </w:p>
        </w:tc>
        <w:tc>
          <w:tcPr>
            <w:tcW w:w="8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EE79D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400万三目结构化球机</w:t>
            </w:r>
          </w:p>
        </w:tc>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08548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高空瞭望摄像机</w:t>
            </w:r>
          </w:p>
        </w:tc>
        <w:tc>
          <w:tcPr>
            <w:tcW w:w="8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F7FC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900万环保卡口摄像机</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63903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合计</w:t>
            </w:r>
          </w:p>
        </w:tc>
      </w:tr>
      <w:tr w14:paraId="06F1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B0820F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前端数量</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85075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150</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7ACA5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1244</w:t>
            </w:r>
          </w:p>
        </w:tc>
        <w:tc>
          <w:tcPr>
            <w:tcW w:w="10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D96DE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100</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BB748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450</w:t>
            </w:r>
          </w:p>
        </w:tc>
        <w:tc>
          <w:tcPr>
            <w:tcW w:w="8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C87E4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20</w:t>
            </w:r>
          </w:p>
        </w:tc>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184D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30</w:t>
            </w:r>
          </w:p>
        </w:tc>
        <w:tc>
          <w:tcPr>
            <w:tcW w:w="8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FCEAD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0846A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2000</w:t>
            </w:r>
          </w:p>
        </w:tc>
      </w:tr>
      <w:tr w14:paraId="6833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0CC116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相机像素（W）</w:t>
            </w:r>
          </w:p>
        </w:tc>
        <w:tc>
          <w:tcPr>
            <w:tcW w:w="98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D1E31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F9745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w:t>
            </w:r>
          </w:p>
        </w:tc>
        <w:tc>
          <w:tcPr>
            <w:tcW w:w="10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95FF1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154A6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E2B56A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w:t>
            </w:r>
          </w:p>
        </w:tc>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05686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1600</w:t>
            </w:r>
          </w:p>
        </w:tc>
        <w:tc>
          <w:tcPr>
            <w:tcW w:w="8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10709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900</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A746DF">
            <w:pPr>
              <w:pStyle w:val="125"/>
              <w:spacing w:line="520" w:lineRule="exact"/>
              <w:ind w:firstLine="0" w:firstLineChars="0"/>
              <w:jc w:val="left"/>
              <w:rPr>
                <w:rFonts w:hint="eastAsia" w:ascii="宋体" w:eastAsia="宋体" w:cs="宋体"/>
                <w:sz w:val="24"/>
                <w:szCs w:val="24"/>
              </w:rPr>
            </w:pPr>
          </w:p>
        </w:tc>
      </w:tr>
      <w:tr w14:paraId="30EF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20DF9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码流（Mbps）</w:t>
            </w:r>
          </w:p>
        </w:tc>
        <w:tc>
          <w:tcPr>
            <w:tcW w:w="98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E92B2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96ACED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w:t>
            </w:r>
          </w:p>
        </w:tc>
        <w:tc>
          <w:tcPr>
            <w:tcW w:w="10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18A95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0B8E24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F54BB3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w:t>
            </w:r>
          </w:p>
        </w:tc>
        <w:tc>
          <w:tcPr>
            <w:tcW w:w="86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4020F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B6C91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0D7CCF">
            <w:pPr>
              <w:pStyle w:val="125"/>
              <w:spacing w:line="520" w:lineRule="exact"/>
              <w:ind w:firstLine="0" w:firstLineChars="0"/>
              <w:jc w:val="left"/>
              <w:rPr>
                <w:rFonts w:hint="eastAsia" w:ascii="宋体" w:eastAsia="宋体" w:cs="宋体"/>
                <w:sz w:val="24"/>
                <w:szCs w:val="24"/>
              </w:rPr>
            </w:pPr>
          </w:p>
        </w:tc>
      </w:tr>
      <w:tr w14:paraId="2BE5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F33D1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每路每天视频存储容量（TB）</w:t>
            </w:r>
          </w:p>
        </w:tc>
        <w:tc>
          <w:tcPr>
            <w:tcW w:w="98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E479A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0.04 </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9FD280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0.06 </w:t>
            </w:r>
          </w:p>
        </w:tc>
        <w:tc>
          <w:tcPr>
            <w:tcW w:w="10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E1C7E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0.04 </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CA2C7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0.08 </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361E5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0.08 </w:t>
            </w:r>
          </w:p>
        </w:tc>
        <w:tc>
          <w:tcPr>
            <w:tcW w:w="86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761CE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0.04 </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57416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0.09 </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2E976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0.50 </w:t>
            </w:r>
          </w:p>
        </w:tc>
      </w:tr>
      <w:tr w14:paraId="79C3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252E7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视频点位存储总容量（TB）</w:t>
            </w:r>
          </w:p>
        </w:tc>
        <w:tc>
          <w:tcPr>
            <w:tcW w:w="98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054AE0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185.39 </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B2F07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2306.30 </w:t>
            </w:r>
          </w:p>
        </w:tc>
        <w:tc>
          <w:tcPr>
            <w:tcW w:w="10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5572B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123.60 </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FCA61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1112.37 </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EA8A7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49.44 </w:t>
            </w:r>
          </w:p>
        </w:tc>
        <w:tc>
          <w:tcPr>
            <w:tcW w:w="86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DDD42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37.08 </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50C01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16.69 </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20758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3830.86 </w:t>
            </w:r>
          </w:p>
        </w:tc>
      </w:tr>
      <w:tr w14:paraId="6AD0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7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2D455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冗余后视频存储总容量（TB）</w:t>
            </w:r>
          </w:p>
        </w:tc>
        <w:tc>
          <w:tcPr>
            <w:tcW w:w="98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F17FB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194.66 </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A08A3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2421.62 </w:t>
            </w:r>
          </w:p>
        </w:tc>
        <w:tc>
          <w:tcPr>
            <w:tcW w:w="10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AF628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129.78 </w:t>
            </w:r>
          </w:p>
        </w:tc>
        <w:tc>
          <w:tcPr>
            <w:tcW w:w="11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5A258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1167.98 </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807F5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51.91 </w:t>
            </w:r>
          </w:p>
        </w:tc>
        <w:tc>
          <w:tcPr>
            <w:tcW w:w="86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B7F7A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38.93 </w:t>
            </w:r>
          </w:p>
        </w:tc>
        <w:tc>
          <w:tcPr>
            <w:tcW w:w="89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6EA888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17.52 </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903A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4022.41 </w:t>
            </w:r>
          </w:p>
        </w:tc>
      </w:tr>
    </w:tbl>
    <w:p w14:paraId="3247FAC3">
      <w:pPr>
        <w:pStyle w:val="123"/>
        <w:rPr>
          <w:rFonts w:hint="eastAsia" w:ascii="宋体" w:eastAsia="宋体" w:cs="宋体"/>
        </w:rPr>
      </w:pPr>
      <w:r>
        <w:rPr>
          <w:rFonts w:hint="eastAsia" w:ascii="宋体" w:eastAsia="宋体" w:cs="宋体"/>
        </w:rPr>
        <w:t>本次项目视频存储可用数据容量需要不低于4022.41TB。</w:t>
      </w:r>
    </w:p>
    <w:p w14:paraId="31B325AF">
      <w:pPr>
        <w:pStyle w:val="7"/>
        <w:rPr>
          <w:rFonts w:hint="eastAsia" w:ascii="宋体" w:eastAsia="宋体" w:cs="宋体"/>
        </w:rPr>
      </w:pPr>
      <w:r>
        <w:rPr>
          <w:rFonts w:hint="eastAsia" w:ascii="宋体" w:eastAsia="宋体" w:cs="宋体"/>
        </w:rPr>
        <w:t>图片存储空间服务要求</w:t>
      </w:r>
      <w:bookmarkEnd w:id="338"/>
      <w:bookmarkEnd w:id="339"/>
      <w:bookmarkStart w:id="340" w:name="_Toc13824"/>
      <w:bookmarkStart w:id="341" w:name="_Toc8473"/>
    </w:p>
    <w:p w14:paraId="15F11E44">
      <w:pPr>
        <w:pStyle w:val="123"/>
        <w:rPr>
          <w:rFonts w:hint="eastAsia"/>
          <w:b/>
          <w:bCs/>
        </w:rPr>
      </w:pPr>
      <w:r>
        <w:rPr>
          <w:rFonts w:hint="eastAsia"/>
          <w:b/>
          <w:bCs/>
        </w:rPr>
        <w:t>结构化数据存储计算</w:t>
      </w:r>
    </w:p>
    <w:p w14:paraId="50CDE9D3">
      <w:pPr>
        <w:pStyle w:val="123"/>
        <w:rPr>
          <w:rFonts w:hint="eastAsia" w:ascii="宋体" w:eastAsia="宋体" w:cs="宋体"/>
        </w:rPr>
      </w:pPr>
      <w:r>
        <w:rPr>
          <w:rFonts w:hint="eastAsia" w:ascii="宋体" w:eastAsia="宋体" w:cs="宋体"/>
        </w:rPr>
        <w:t>本次购买1894台超清结构化摄像机服务（除去车辆卡口摄像机、人脸卡口摄像机），针对抓拍人脸、车辆图片存储天数为 180 天，每台超清结构化摄像机每天预计抓拍人脸图片1500张，人体图片4000张，非机动车图片2500张，机动车图片2000张，共计单台超清结构化摄像机每天抓拍 10000 张图片，每组图片（包含人像照大小图、机动车照大小图、非机动车照大小图）按照 1.0MB 进行计算。</w:t>
      </w:r>
    </w:p>
    <w:p w14:paraId="6E241244">
      <w:pPr>
        <w:pStyle w:val="123"/>
        <w:rPr>
          <w:rFonts w:hint="eastAsia" w:ascii="宋体" w:eastAsia="宋体" w:cs="宋体"/>
        </w:rPr>
      </w:pPr>
      <w:r>
        <w:rPr>
          <w:rFonts w:hint="eastAsia" w:ascii="宋体" w:eastAsia="宋体" w:cs="宋体"/>
        </w:rPr>
        <w:t>超清智能采集摄像机存储空间（TB）=超清智能采集摄像机（路）×1.0MB×数量（张）×存储天数÷（1024×1024）。</w:t>
      </w:r>
    </w:p>
    <w:p w14:paraId="153EA8E6">
      <w:pPr>
        <w:pStyle w:val="123"/>
        <w:rPr>
          <w:rFonts w:hint="eastAsia" w:ascii="宋体" w:eastAsia="宋体" w:cs="宋体"/>
        </w:rPr>
      </w:pPr>
      <w:r>
        <w:rPr>
          <w:rFonts w:hint="eastAsia" w:ascii="宋体" w:eastAsia="宋体" w:cs="宋体"/>
        </w:rPr>
        <w:t>超清智能采集摄像机存储空间（TB）=1894*1*10000*180/1024/1024≈3251.27 TB。</w:t>
      </w:r>
    </w:p>
    <w:p w14:paraId="15F0E774">
      <w:pPr>
        <w:pStyle w:val="123"/>
        <w:rPr>
          <w:rFonts w:hint="eastAsia"/>
          <w:b/>
          <w:bCs/>
        </w:rPr>
      </w:pPr>
      <w:r>
        <w:rPr>
          <w:rFonts w:hint="eastAsia"/>
          <w:b/>
          <w:bCs/>
        </w:rPr>
        <w:t>车辆卡口摄像机图片存储计算</w:t>
      </w:r>
    </w:p>
    <w:p w14:paraId="1B7BCFDB">
      <w:pPr>
        <w:pStyle w:val="123"/>
        <w:rPr>
          <w:rFonts w:hint="eastAsia" w:ascii="宋体" w:eastAsia="宋体" w:cs="宋体"/>
        </w:rPr>
      </w:pPr>
      <w:r>
        <w:rPr>
          <w:rFonts w:hint="eastAsia" w:ascii="宋体" w:eastAsia="宋体" w:cs="宋体"/>
        </w:rPr>
        <w:t>本次购买6台车辆卡口摄像机服务，每台车辆卡口摄像机每天预计抓拍 3000 张图片， 每组图片（包含车全景照、车牌照、人脸照）按照 1 MB 进行计算。</w:t>
      </w:r>
    </w:p>
    <w:p w14:paraId="4C9C6DE1">
      <w:pPr>
        <w:pStyle w:val="123"/>
        <w:rPr>
          <w:rFonts w:hint="eastAsia" w:ascii="宋体" w:eastAsia="宋体" w:cs="宋体"/>
        </w:rPr>
      </w:pPr>
      <w:r>
        <w:rPr>
          <w:rFonts w:hint="eastAsia" w:ascii="宋体" w:eastAsia="宋体" w:cs="宋体"/>
        </w:rPr>
        <w:t>车辆卡口摄像机存储容量（TB）=车辆卡口摄像机（路）×1MB×数量（张）×存储天数÷（1024×1024）。</w:t>
      </w:r>
    </w:p>
    <w:p w14:paraId="7E492400">
      <w:pPr>
        <w:pStyle w:val="123"/>
        <w:rPr>
          <w:rFonts w:hint="eastAsia" w:ascii="宋体" w:eastAsia="宋体" w:cs="宋体"/>
        </w:rPr>
      </w:pPr>
      <w:r>
        <w:rPr>
          <w:rFonts w:hint="eastAsia" w:ascii="宋体" w:eastAsia="宋体" w:cs="宋体"/>
        </w:rPr>
        <w:t>车辆卡口摄像机存储容量（TB）=6*1*180*3000/1024/1024≈3.09 TB。</w:t>
      </w:r>
    </w:p>
    <w:p w14:paraId="6FF48D4E">
      <w:pPr>
        <w:pStyle w:val="123"/>
        <w:rPr>
          <w:rFonts w:hint="eastAsia"/>
          <w:b/>
          <w:bCs/>
        </w:rPr>
      </w:pPr>
      <w:r>
        <w:rPr>
          <w:rFonts w:hint="eastAsia"/>
          <w:b/>
          <w:bCs/>
        </w:rPr>
        <w:t>人像卡口摄像机图片存储计算</w:t>
      </w:r>
    </w:p>
    <w:p w14:paraId="691EC7FE">
      <w:pPr>
        <w:pStyle w:val="123"/>
        <w:rPr>
          <w:rFonts w:hint="eastAsia" w:ascii="宋体" w:eastAsia="宋体" w:cs="宋体"/>
        </w:rPr>
      </w:pPr>
      <w:r>
        <w:rPr>
          <w:rFonts w:hint="eastAsia" w:ascii="宋体" w:eastAsia="宋体" w:cs="宋体"/>
        </w:rPr>
        <w:t>本次购买100台400万人像卡口摄像机服务，每台人像卡口摄像机每天预计抓拍 2500 张图片，每组图片（包含人像全景照、人脸照、人体照）按照 1 MB 进行计算。</w:t>
      </w:r>
    </w:p>
    <w:p w14:paraId="233AA859">
      <w:pPr>
        <w:pStyle w:val="123"/>
        <w:rPr>
          <w:rFonts w:hint="eastAsia" w:ascii="宋体" w:eastAsia="宋体" w:cs="宋体"/>
        </w:rPr>
      </w:pPr>
      <w:r>
        <w:rPr>
          <w:rFonts w:hint="eastAsia" w:ascii="宋体" w:eastAsia="宋体" w:cs="宋体"/>
        </w:rPr>
        <w:t>人像卡口摄像机抓拍图片存储容量（TB）=人像卡口摄像机（路）×1MB×数量（张）×存储天数÷（1024×1024）。</w:t>
      </w:r>
    </w:p>
    <w:p w14:paraId="41061B4A">
      <w:pPr>
        <w:pStyle w:val="123"/>
        <w:rPr>
          <w:rFonts w:hint="eastAsia" w:ascii="宋体" w:eastAsia="宋体" w:cs="宋体"/>
        </w:rPr>
      </w:pPr>
      <w:r>
        <w:rPr>
          <w:rFonts w:hint="eastAsia" w:ascii="宋体" w:eastAsia="宋体" w:cs="宋体"/>
        </w:rPr>
        <w:t>人像卡口摄像机卡口存储容量（TB）=100*1*180*2500/1024/1024≈42.92TB。</w:t>
      </w:r>
    </w:p>
    <w:p w14:paraId="4CA2C22F">
      <w:pPr>
        <w:pStyle w:val="123"/>
        <w:rPr>
          <w:rFonts w:hint="eastAsia" w:ascii="宋体" w:eastAsia="宋体" w:cs="宋体"/>
        </w:rPr>
      </w:pPr>
      <w:r>
        <w:rPr>
          <w:rFonts w:hint="eastAsia" w:ascii="宋体" w:eastAsia="宋体" w:cs="宋体"/>
        </w:rPr>
        <w:t>总需图片存储空间≈3251.27+3.09+42.92＝3297.28TB。</w:t>
      </w:r>
    </w:p>
    <w:p w14:paraId="7414952E">
      <w:pPr>
        <w:pStyle w:val="123"/>
        <w:rPr>
          <w:rFonts w:hint="eastAsia" w:ascii="宋体" w:eastAsia="宋体" w:cs="宋体"/>
        </w:rPr>
      </w:pPr>
      <w:r>
        <w:rPr>
          <w:rFonts w:hint="eastAsia" w:ascii="宋体" w:eastAsia="宋体" w:cs="宋体"/>
        </w:rPr>
        <w:t>为考虑到项目存储空间冗余，本次按照5%的冗余计算，共需3297.28*1.05≈3462.144TB。</w:t>
      </w:r>
    </w:p>
    <w:p w14:paraId="13C494BF">
      <w:pPr>
        <w:pStyle w:val="7"/>
        <w:rPr>
          <w:rFonts w:hint="eastAsia" w:ascii="宋体" w:eastAsia="宋体" w:cs="宋体"/>
        </w:rPr>
      </w:pPr>
      <w:r>
        <w:rPr>
          <w:rFonts w:hint="eastAsia" w:ascii="宋体" w:eastAsia="宋体" w:cs="宋体"/>
        </w:rPr>
        <w:t>云存储总空间服务要求</w:t>
      </w:r>
      <w:bookmarkEnd w:id="340"/>
      <w:bookmarkEnd w:id="341"/>
    </w:p>
    <w:p w14:paraId="54BD45E0">
      <w:pPr>
        <w:pStyle w:val="123"/>
        <w:rPr>
          <w:rFonts w:hint="eastAsia" w:ascii="宋体" w:eastAsia="宋体" w:cs="宋体"/>
        </w:rPr>
      </w:pPr>
      <w:bookmarkStart w:id="342" w:name="_Toc4696"/>
      <w:r>
        <w:rPr>
          <w:rFonts w:hint="eastAsia" w:ascii="宋体" w:eastAsia="宋体" w:cs="宋体"/>
        </w:rPr>
        <w:t>本次购买2000台智能前端摄像机服务存储主要分为视频存储及图片存储，本次存储裸容量总量为视频图像所需存储裸容量+图片所需存储裸容量。</w:t>
      </w:r>
    </w:p>
    <w:p w14:paraId="1B6CF309">
      <w:pPr>
        <w:pStyle w:val="123"/>
        <w:rPr>
          <w:rFonts w:hint="eastAsia" w:ascii="宋体" w:eastAsia="宋体" w:cs="宋体"/>
        </w:rPr>
      </w:pPr>
      <w:r>
        <w:rPr>
          <w:rFonts w:hint="eastAsia" w:ascii="宋体" w:eastAsia="宋体" w:cs="宋体"/>
        </w:rPr>
        <w:t>2000台智能前端摄像机视频及图片可用数据容量需要不低于（TB）=4022.41 TB+3462.144 TB=7484.554 TB。</w:t>
      </w:r>
    </w:p>
    <w:p w14:paraId="0F8A0F7B">
      <w:pPr>
        <w:pStyle w:val="123"/>
        <w:rPr>
          <w:rFonts w:hint="eastAsia" w:ascii="宋体" w:eastAsia="宋体" w:cs="宋体"/>
        </w:rPr>
      </w:pPr>
      <w:r>
        <w:rPr>
          <w:rFonts w:hint="eastAsia" w:ascii="宋体" w:eastAsia="宋体" w:cs="宋体"/>
          <w:b/>
          <w:bCs/>
        </w:rPr>
        <w:t>云存储系统技术要求</w:t>
      </w:r>
      <w:bookmarkEnd w:id="342"/>
      <w:r>
        <w:rPr>
          <w:rFonts w:hint="eastAsia" w:ascii="宋体" w:eastAsia="宋体" w:cs="宋体"/>
          <w:b/>
          <w:bCs/>
        </w:rPr>
        <w:t>如下</w:t>
      </w:r>
      <w:r>
        <w:rPr>
          <w:rFonts w:hint="eastAsia" w:ascii="宋体" w:eastAsia="宋体" w:cs="宋体"/>
        </w:rPr>
        <w:t>：</w:t>
      </w:r>
    </w:p>
    <w:p w14:paraId="3B62353A">
      <w:pPr>
        <w:pStyle w:val="123"/>
        <w:rPr>
          <w:rFonts w:hint="eastAsia" w:ascii="宋体" w:eastAsia="宋体" w:cs="宋体"/>
        </w:rPr>
      </w:pPr>
      <w:r>
        <w:rPr>
          <w:rFonts w:hint="eastAsia" w:ascii="宋体" w:eastAsia="宋体" w:cs="宋体"/>
        </w:rPr>
        <w:t>本次新增的云存储主机需与现有云存储系统无缝对接，须与现有云存储系统融为一体，可实现统一管理和集中调度，共同分担录像存取压力；须对接现有视频监控共享平台和视图库系统，方便录像、图片信息数据存储及转发，本次存储服务需提供可用容量需不低于7484.554TB。</w:t>
      </w:r>
    </w:p>
    <w:p w14:paraId="2906BEB0">
      <w:pPr>
        <w:pStyle w:val="123"/>
        <w:rPr>
          <w:rFonts w:hint="eastAsia" w:ascii="宋体" w:eastAsia="宋体" w:cs="宋体"/>
        </w:rPr>
      </w:pPr>
      <w:r>
        <w:rPr>
          <w:rFonts w:hint="eastAsia" w:ascii="宋体" w:eastAsia="宋体" w:cs="宋体"/>
        </w:rPr>
        <w:t>1、控制节点支持单个以及多个节点集群，可在不同控制节点进行元数据备份，在控制节点全部损坏情况下，可从完好的存储节点中恢复系统源数据；</w:t>
      </w:r>
    </w:p>
    <w:p w14:paraId="4A217969">
      <w:pPr>
        <w:pStyle w:val="123"/>
        <w:rPr>
          <w:rFonts w:hint="eastAsia" w:ascii="宋体" w:eastAsia="宋体" w:cs="宋体"/>
        </w:rPr>
      </w:pPr>
      <w:r>
        <w:rPr>
          <w:rFonts w:hint="eastAsia" w:ascii="宋体" w:eastAsia="宋体" w:cs="宋体"/>
        </w:rPr>
        <w:t>2、存储系统启动后,支持从视频监控服务平台自动更新升级存储系统上的媒体服务。</w:t>
      </w:r>
    </w:p>
    <w:p w14:paraId="41EAE039">
      <w:pPr>
        <w:pStyle w:val="123"/>
        <w:rPr>
          <w:rFonts w:hint="eastAsia" w:ascii="宋体" w:eastAsia="宋体" w:cs="宋体"/>
        </w:rPr>
      </w:pPr>
      <w:r>
        <w:rPr>
          <w:rFonts w:hint="eastAsia" w:ascii="宋体" w:eastAsia="宋体" w:cs="宋体"/>
        </w:rPr>
        <w:t>3、集群中每个域均可允许至多M节点故障（M为设定的校验块数量），数据不丢失、业务不中断，读写不受影响；</w:t>
      </w:r>
    </w:p>
    <w:p w14:paraId="3956DEFA">
      <w:pPr>
        <w:pStyle w:val="123"/>
        <w:rPr>
          <w:rFonts w:hint="eastAsia" w:ascii="宋体" w:eastAsia="宋体" w:cs="宋体"/>
        </w:rPr>
      </w:pPr>
      <w:r>
        <w:rPr>
          <w:rFonts w:hint="eastAsia" w:ascii="宋体" w:eastAsia="宋体" w:cs="宋体"/>
        </w:rPr>
        <w:t>4、支持硬盘出现故障时在系统全局空闲空间内自动恢复数据，3节点集群数据恢复速度最高可达到2GB/s，数据恢复过程中业务不中断；数据恢重构复以文件或数据块为单位，无需全硬盘恢复；</w:t>
      </w:r>
    </w:p>
    <w:p w14:paraId="425023FB">
      <w:pPr>
        <w:pStyle w:val="123"/>
        <w:rPr>
          <w:rFonts w:hint="eastAsia" w:ascii="宋体" w:eastAsia="宋体" w:cs="宋体"/>
        </w:rPr>
      </w:pPr>
      <w:r>
        <w:rPr>
          <w:rFonts w:hint="eastAsia" w:ascii="宋体" w:eastAsia="宋体" w:cs="宋体"/>
        </w:rPr>
        <w:t>5、数据恢重构复以文件或数据块为单位，无需全硬盘恢复；</w:t>
      </w:r>
    </w:p>
    <w:p w14:paraId="151EB090">
      <w:pPr>
        <w:pStyle w:val="123"/>
        <w:rPr>
          <w:rFonts w:hint="eastAsia" w:ascii="宋体" w:eastAsia="宋体" w:cs="宋体"/>
        </w:rPr>
      </w:pPr>
      <w:r>
        <w:rPr>
          <w:rFonts w:hint="eastAsia" w:ascii="宋体" w:eastAsia="宋体" w:cs="宋体"/>
        </w:rPr>
        <w:t>6、支持硬盘出现故障时在系统空闲空间内自动回复数据，3节点集群的数据恢复速度可达2GB/s，数据恢复过程中业务不中断；</w:t>
      </w:r>
    </w:p>
    <w:p w14:paraId="32919BE2">
      <w:pPr>
        <w:pStyle w:val="123"/>
        <w:rPr>
          <w:rFonts w:hint="eastAsia" w:ascii="宋体" w:eastAsia="宋体" w:cs="宋体"/>
        </w:rPr>
      </w:pPr>
      <w:r>
        <w:rPr>
          <w:rFonts w:hint="eastAsia" w:ascii="宋体" w:eastAsia="宋体" w:cs="宋体"/>
        </w:rPr>
        <w:t>7、支持通过部署分布式存储系统软件(KCloudStor)或者虚拟化镜像的方式接入其他硬件设备实现扩容；支持N+M数据块冗余、副本冗余、多副本冗余模式，支持对每个文件或对象选择不同的冗余保护模式；</w:t>
      </w:r>
    </w:p>
    <w:p w14:paraId="4D6B970F">
      <w:pPr>
        <w:pStyle w:val="123"/>
        <w:rPr>
          <w:rFonts w:hint="eastAsia" w:ascii="宋体" w:eastAsia="宋体" w:cs="宋体"/>
        </w:rPr>
      </w:pPr>
      <w:r>
        <w:rPr>
          <w:rFonts w:hint="eastAsia" w:ascii="宋体" w:eastAsia="宋体" w:cs="宋体"/>
        </w:rPr>
        <w:t>8、支持数据存储到 IP 磁盘存储阵列的不同介质中,支持元数据以高速 SSD 为介质进行存储，其他数据以机械硬盘介质进行存储；</w:t>
      </w:r>
    </w:p>
    <w:p w14:paraId="3F083CDD">
      <w:pPr>
        <w:pStyle w:val="123"/>
        <w:rPr>
          <w:rFonts w:hint="eastAsia" w:ascii="宋体" w:eastAsia="宋体" w:cs="宋体"/>
        </w:rPr>
      </w:pPr>
      <w:r>
        <w:rPr>
          <w:rFonts w:hint="eastAsia" w:ascii="宋体" w:eastAsia="宋体" w:cs="宋体"/>
        </w:rPr>
        <w:t>9、支持元数据和数据分离存储，数据存储不依赖文件系统，不会产生磁盘碎片，存储空间快速回收，支持单数据文件切分成数据块，由多台存储节点并发完成读、写；</w:t>
      </w:r>
    </w:p>
    <w:p w14:paraId="320FB479">
      <w:pPr>
        <w:pStyle w:val="123"/>
        <w:rPr>
          <w:rFonts w:hint="eastAsia" w:ascii="宋体" w:eastAsia="宋体" w:cs="宋体"/>
        </w:rPr>
      </w:pPr>
      <w:r>
        <w:rPr>
          <w:rFonts w:hint="eastAsia" w:ascii="宋体" w:eastAsia="宋体" w:cs="宋体"/>
        </w:rPr>
        <w:t>10、支持在线扩/缩容；扩容模式下，直接添加硬盘或者添加存储节点的IP地址，系统存储空间即可快速自动扩容，扩容过程中业务不中断；</w:t>
      </w:r>
    </w:p>
    <w:p w14:paraId="1B5026CB">
      <w:pPr>
        <w:pStyle w:val="123"/>
        <w:rPr>
          <w:rFonts w:hint="eastAsia" w:ascii="宋体" w:eastAsia="宋体" w:cs="宋体"/>
        </w:rPr>
      </w:pPr>
      <w:r>
        <w:rPr>
          <w:rFonts w:hint="eastAsia" w:ascii="宋体" w:eastAsia="宋体" w:cs="宋体"/>
        </w:rPr>
        <w:t>11、支持选择数据均衡迁移或者不迁移策略，迁移策略下支持业务负载均衡；</w:t>
      </w:r>
    </w:p>
    <w:p w14:paraId="4A237419">
      <w:pPr>
        <w:pStyle w:val="123"/>
        <w:rPr>
          <w:rFonts w:hint="eastAsia" w:ascii="宋体" w:eastAsia="宋体" w:cs="宋体"/>
        </w:rPr>
      </w:pPr>
      <w:r>
        <w:rPr>
          <w:rFonts w:hint="eastAsia" w:ascii="宋体" w:eastAsia="宋体" w:cs="宋体"/>
        </w:rPr>
        <w:t>12、支持视频、图片及各类文件的混合存储，支持设置存储视频不可直接修改、删除；</w:t>
      </w:r>
    </w:p>
    <w:p w14:paraId="6432CF30">
      <w:pPr>
        <w:pStyle w:val="123"/>
        <w:rPr>
          <w:rFonts w:hint="eastAsia" w:ascii="宋体" w:eastAsia="宋体" w:cs="宋体"/>
        </w:rPr>
      </w:pPr>
      <w:r>
        <w:rPr>
          <w:rFonts w:hint="eastAsia" w:ascii="宋体" w:eastAsia="宋体" w:cs="宋体"/>
        </w:rPr>
        <w:t>13、支持不小于 10000 路视频并发直播(转发)/录像；单个存储节点写入性能可达 16Gbps，读取性能可达 16Gpbs，转发性能可达 12Gbps,录像下载性能可达12Gbps；</w:t>
      </w:r>
    </w:p>
    <w:p w14:paraId="7E535536">
      <w:pPr>
        <w:pStyle w:val="123"/>
        <w:rPr>
          <w:rFonts w:hint="eastAsia" w:ascii="宋体" w:eastAsia="宋体" w:cs="宋体"/>
        </w:rPr>
      </w:pPr>
      <w:r>
        <w:rPr>
          <w:rFonts w:hint="eastAsia" w:ascii="宋体" w:eastAsia="宋体" w:cs="宋体"/>
        </w:rPr>
        <w:t>14、支持容器化部署业务，每个容器提供独立的虚拟操作系统运行环境和接口。</w:t>
      </w:r>
    </w:p>
    <w:p w14:paraId="76F8A5C5">
      <w:pPr>
        <w:pStyle w:val="123"/>
        <w:rPr>
          <w:rFonts w:hint="eastAsia" w:ascii="宋体" w:eastAsia="宋体" w:cs="宋体"/>
        </w:rPr>
      </w:pPr>
      <w:r>
        <w:rPr>
          <w:rFonts w:hint="eastAsia" w:ascii="宋体" w:eastAsia="宋体" w:cs="宋体"/>
        </w:rPr>
        <w:t>单台硬件能力要求如下：</w:t>
      </w:r>
    </w:p>
    <w:p w14:paraId="66D29639">
      <w:pPr>
        <w:pStyle w:val="123"/>
        <w:rPr>
          <w:rFonts w:hint="eastAsia" w:ascii="宋体" w:eastAsia="宋体" w:cs="宋体"/>
        </w:rPr>
      </w:pPr>
      <w:r>
        <w:rPr>
          <w:rFonts w:hint="eastAsia" w:ascii="宋体" w:eastAsia="宋体" w:cs="宋体"/>
        </w:rPr>
        <w:t>1、支持双路处理器，处理器采用国产化芯片，主频不低于2.0GHz</w:t>
      </w:r>
    </w:p>
    <w:p w14:paraId="26DF13CF">
      <w:pPr>
        <w:pStyle w:val="123"/>
        <w:rPr>
          <w:rFonts w:hint="eastAsia" w:ascii="宋体" w:eastAsia="宋体" w:cs="宋体"/>
        </w:rPr>
      </w:pPr>
      <w:r>
        <w:rPr>
          <w:rFonts w:hint="eastAsia" w:ascii="宋体" w:eastAsia="宋体" w:cs="宋体"/>
        </w:rPr>
        <w:t>2、支持双冗余电源，冗余风扇，支持电源、风扇直接插拔。</w:t>
      </w:r>
    </w:p>
    <w:p w14:paraId="1F343AF4">
      <w:pPr>
        <w:pStyle w:val="123"/>
        <w:rPr>
          <w:rFonts w:hint="eastAsia" w:ascii="宋体" w:eastAsia="宋体" w:cs="宋体"/>
        </w:rPr>
      </w:pPr>
      <w:r>
        <w:rPr>
          <w:rFonts w:hint="eastAsia" w:ascii="宋体" w:eastAsia="宋体" w:cs="宋体"/>
        </w:rPr>
        <w:t>3、支持不少于8个内存槽位，配置不少于128GB DDR4内存</w:t>
      </w:r>
    </w:p>
    <w:p w14:paraId="411DF674">
      <w:pPr>
        <w:pStyle w:val="123"/>
        <w:rPr>
          <w:rFonts w:hint="eastAsia" w:ascii="宋体" w:eastAsia="宋体" w:cs="宋体"/>
        </w:rPr>
      </w:pPr>
      <w:r>
        <w:rPr>
          <w:rFonts w:hint="eastAsia" w:ascii="宋体" w:eastAsia="宋体" w:cs="宋体"/>
        </w:rPr>
        <w:t>4、支持不少于2个PCIE 4.0可扩展槽位；</w:t>
      </w:r>
    </w:p>
    <w:p w14:paraId="7FCB3156">
      <w:pPr>
        <w:pStyle w:val="123"/>
        <w:rPr>
          <w:rFonts w:hint="eastAsia" w:ascii="宋体" w:eastAsia="宋体" w:cs="宋体"/>
        </w:rPr>
      </w:pPr>
      <w:r>
        <w:rPr>
          <w:rFonts w:hint="eastAsia" w:ascii="宋体" w:eastAsia="宋体" w:cs="宋体"/>
        </w:rPr>
        <w:t>5、支持36个2.5寸/3.5寸兼容硬盘插槽，支持SAS,SATA磁盘，可配置4T/6T/8T/14T/16T等不同容量规格的3.5寸 SATA企业级硬盘；</w:t>
      </w:r>
    </w:p>
    <w:p w14:paraId="5EAE8944">
      <w:pPr>
        <w:pStyle w:val="123"/>
        <w:rPr>
          <w:rFonts w:hint="eastAsia" w:ascii="宋体" w:eastAsia="宋体" w:cs="宋体"/>
        </w:rPr>
      </w:pPr>
      <w:r>
        <w:rPr>
          <w:rFonts w:hint="eastAsia" w:ascii="宋体" w:eastAsia="宋体" w:cs="宋体"/>
        </w:rPr>
        <w:t>6、不少于2个千兆RJ45以太网口，不少于2个SFP+万兆以太网光口，含光模块；</w:t>
      </w:r>
    </w:p>
    <w:p w14:paraId="4333F4C0">
      <w:pPr>
        <w:pStyle w:val="123"/>
        <w:rPr>
          <w:rFonts w:hint="eastAsia" w:ascii="宋体" w:eastAsia="宋体" w:cs="宋体"/>
        </w:rPr>
      </w:pPr>
      <w:r>
        <w:rPr>
          <w:rFonts w:hint="eastAsia" w:ascii="宋体" w:eastAsia="宋体" w:cs="宋体"/>
        </w:rPr>
        <w:t>7、不少于1个VGA接口，不少于2个USB3.0接口；</w:t>
      </w:r>
    </w:p>
    <w:p w14:paraId="09987FD8">
      <w:pPr>
        <w:pStyle w:val="123"/>
        <w:rPr>
          <w:rFonts w:hint="eastAsia" w:ascii="宋体" w:eastAsia="宋体" w:cs="宋体"/>
        </w:rPr>
      </w:pPr>
      <w:r>
        <w:rPr>
          <w:rFonts w:hint="eastAsia" w:ascii="宋体" w:eastAsia="宋体" w:cs="宋体"/>
        </w:rPr>
        <w:t>8、具备BMC远程管理功能，具备硬盘故障灯，系统运行指示灯。</w:t>
      </w:r>
    </w:p>
    <w:p w14:paraId="4E846D06">
      <w:pPr>
        <w:pStyle w:val="6"/>
        <w:rPr>
          <w:rFonts w:hint="eastAsia" w:ascii="宋体" w:hAnsi="宋体" w:cs="宋体"/>
        </w:rPr>
      </w:pPr>
      <w:bookmarkStart w:id="343" w:name="_Toc13916"/>
      <w:bookmarkStart w:id="344" w:name="_Toc21595"/>
      <w:r>
        <w:rPr>
          <w:rFonts w:hint="eastAsia" w:ascii="宋体" w:hAnsi="宋体" w:cs="宋体"/>
        </w:rPr>
        <w:t>视频图像解析中心服务</w:t>
      </w:r>
      <w:bookmarkEnd w:id="343"/>
      <w:bookmarkEnd w:id="344"/>
    </w:p>
    <w:p w14:paraId="357331F5">
      <w:pPr>
        <w:pStyle w:val="7"/>
        <w:rPr>
          <w:rFonts w:hint="eastAsia" w:ascii="宋体" w:eastAsia="宋体" w:cs="宋体"/>
        </w:rPr>
      </w:pPr>
      <w:r>
        <w:rPr>
          <w:rFonts w:hint="eastAsia" w:ascii="宋体" w:eastAsia="宋体" w:cs="宋体"/>
        </w:rPr>
        <w:t>人像解析系统概述</w:t>
      </w:r>
    </w:p>
    <w:p w14:paraId="04BD19B3">
      <w:pPr>
        <w:pStyle w:val="123"/>
        <w:rPr>
          <w:rFonts w:hint="eastAsia" w:ascii="宋体" w:eastAsia="宋体" w:cs="宋体"/>
        </w:rPr>
      </w:pPr>
      <w:r>
        <w:rPr>
          <w:rFonts w:hint="eastAsia" w:ascii="宋体" w:eastAsia="宋体" w:cs="宋体"/>
        </w:rPr>
        <w:t>人像解析系统在公安视频专网和公安信息网双网进行部署，双网的系统组成和功能侧重有所不同。</w:t>
      </w:r>
    </w:p>
    <w:p w14:paraId="63F07B17">
      <w:pPr>
        <w:pStyle w:val="123"/>
        <w:rPr>
          <w:rFonts w:hint="eastAsia" w:ascii="宋体" w:eastAsia="宋体" w:cs="宋体"/>
        </w:rPr>
      </w:pPr>
      <w:r>
        <w:rPr>
          <w:rFonts w:hint="eastAsia" w:ascii="宋体" w:eastAsia="宋体" w:cs="宋体"/>
        </w:rPr>
        <w:t>公安视频专网侧视频图像解析系统主要包括资源管理调度平台、算法仓库、分析引擎、搜图引擎，侧重于对公安自建的一类点位以及整合接入的二、三类点位产生的原始视频、图片进行解析，获取大小图、结构化描述信息、特征值并推送至视频图像信息数据库进行存储，提供短周期的抓拍图片GPU搜图以及本级智能任务、算力资源和智能算法的统一管理调度能力，实现场景化智能算法的按需训练，支撑视频传输网的视频图像智能化应用。</w:t>
      </w:r>
    </w:p>
    <w:p w14:paraId="17FED112">
      <w:pPr>
        <w:pStyle w:val="123"/>
        <w:rPr>
          <w:rFonts w:hint="eastAsia" w:ascii="宋体" w:eastAsia="宋体" w:cs="宋体"/>
        </w:rPr>
      </w:pPr>
      <w:r>
        <w:rPr>
          <w:rFonts w:hint="eastAsia" w:ascii="宋体" w:eastAsia="宋体" w:cs="宋体"/>
        </w:rPr>
        <w:t>公安信息网侧视频图像解析系统主要包括资源管理调度平台、算法仓库、分析引擎、比对引擎、搜图引擎、人员聚类平台，侧重于对常口、暂口等静态名单库图片进行建模并提供静态库身份检索比对能力，对公安视频专网摆渡过来的人脸、人体图片特征值进行比对、聚类，实现人脸黑名单布控比对、人脸打标签，并提供长周期的抓拍图片GPU搜图以及本级智能任务、算力资源和智能算法的统一管理调度能力，跨网对接公安视频传输网侧视频图像解析系统实现智能任务的跨域调度，支撑公安信息网内的不同业务警种的视频大数据应用。</w:t>
      </w:r>
    </w:p>
    <w:p w14:paraId="37DA4275">
      <w:pPr>
        <w:pStyle w:val="123"/>
        <w:rPr>
          <w:rFonts w:hint="eastAsia" w:ascii="宋体" w:eastAsia="宋体" w:cs="宋体"/>
        </w:rPr>
      </w:pPr>
      <w:r>
        <w:rPr>
          <w:rFonts w:hint="eastAsia" w:ascii="宋体" w:eastAsia="宋体" w:cs="宋体"/>
        </w:rPr>
        <w:t>本次设计人像系统包含人脸解析、人体解析两大模块。</w:t>
      </w:r>
    </w:p>
    <w:p w14:paraId="0210A611">
      <w:pPr>
        <w:pStyle w:val="8"/>
        <w:rPr>
          <w:rFonts w:hint="eastAsia" w:ascii="宋体" w:eastAsia="宋体" w:cs="宋体"/>
        </w:rPr>
      </w:pPr>
      <w:r>
        <w:rPr>
          <w:rFonts w:hint="eastAsia" w:ascii="宋体" w:eastAsia="宋体" w:cs="宋体"/>
        </w:rPr>
        <w:t>人脸解析服务要求</w:t>
      </w:r>
    </w:p>
    <w:p w14:paraId="60697B00">
      <w:pPr>
        <w:pStyle w:val="123"/>
        <w:rPr>
          <w:rFonts w:hint="eastAsia" w:ascii="宋体" w:eastAsia="宋体" w:cs="宋体"/>
        </w:rPr>
      </w:pPr>
      <w:r>
        <w:rPr>
          <w:rFonts w:hint="eastAsia" w:ascii="宋体" w:eastAsia="宋体" w:cs="宋体"/>
        </w:rPr>
        <w:t>人脸图片分析是对人脸图片进行属性提取、建模比对，提取的属性信息用于平台属性检索，建模特征用于模型智能搜索。</w:t>
      </w:r>
    </w:p>
    <w:p w14:paraId="7E31DE0F">
      <w:pPr>
        <w:pStyle w:val="123"/>
        <w:rPr>
          <w:rFonts w:hint="eastAsia" w:ascii="宋体" w:eastAsia="宋体" w:cs="宋体"/>
          <w:lang w:val="zh-CN"/>
        </w:rPr>
      </w:pPr>
      <w:r>
        <w:rPr>
          <w:rFonts w:hint="eastAsia" w:ascii="宋体" w:eastAsia="宋体" w:cs="宋体"/>
          <w:lang w:val="zh-CN"/>
        </w:rPr>
        <w:t>本次</w:t>
      </w:r>
      <w:r>
        <w:rPr>
          <w:rFonts w:hint="eastAsia" w:ascii="宋体" w:eastAsia="宋体" w:cs="宋体"/>
        </w:rPr>
        <w:t>项目</w:t>
      </w:r>
      <w:r>
        <w:rPr>
          <w:rFonts w:hint="eastAsia" w:ascii="宋体" w:eastAsia="宋体" w:cs="宋体"/>
          <w:lang w:val="zh-CN"/>
        </w:rPr>
        <w:t>购买服务需</w:t>
      </w:r>
      <w:r>
        <w:rPr>
          <w:rFonts w:hint="eastAsia" w:ascii="宋体" w:eastAsia="宋体" w:cs="宋体"/>
        </w:rPr>
        <w:t>对2000</w:t>
      </w:r>
      <w:r>
        <w:rPr>
          <w:rFonts w:hint="eastAsia" w:ascii="宋体" w:eastAsia="宋体" w:cs="宋体"/>
          <w:lang w:val="zh-CN"/>
        </w:rPr>
        <w:t>台</w:t>
      </w:r>
      <w:r>
        <w:rPr>
          <w:rFonts w:hint="eastAsia" w:ascii="宋体" w:eastAsia="宋体" w:cs="宋体"/>
        </w:rPr>
        <w:t>超清智能采集摄像机抓拍的</w:t>
      </w:r>
      <w:r>
        <w:rPr>
          <w:rFonts w:hint="eastAsia" w:ascii="宋体" w:eastAsia="宋体" w:cs="宋体"/>
          <w:lang w:val="zh-CN"/>
        </w:rPr>
        <w:t>人脸图片</w:t>
      </w:r>
      <w:r>
        <w:rPr>
          <w:rFonts w:hint="eastAsia" w:ascii="宋体" w:eastAsia="宋体" w:cs="宋体"/>
        </w:rPr>
        <w:t>进行</w:t>
      </w:r>
      <w:r>
        <w:rPr>
          <w:rFonts w:hint="eastAsia" w:ascii="宋体" w:eastAsia="宋体" w:cs="宋体"/>
          <w:lang w:val="zh-CN"/>
        </w:rPr>
        <w:t>解析，按照现有单台设备抓拍人脸图片1500张/天计算，一天需要对产生的</w:t>
      </w:r>
      <w:r>
        <w:rPr>
          <w:rFonts w:hint="eastAsia" w:ascii="宋体" w:eastAsia="宋体" w:cs="宋体"/>
        </w:rPr>
        <w:t>300</w:t>
      </w:r>
      <w:r>
        <w:rPr>
          <w:rFonts w:hint="eastAsia" w:ascii="宋体" w:eastAsia="宋体" w:cs="宋体"/>
          <w:lang w:val="zh-CN"/>
        </w:rPr>
        <w:t>万人脸照片进行解析，因人脸数据具有高时效性，考虑到上下班、上下学时峰值数据量大，需确保有足够的冗余空间保证系统的及时性，本次设计共需解析不低于</w:t>
      </w:r>
      <w:r>
        <w:rPr>
          <w:rFonts w:hint="eastAsia" w:ascii="宋体" w:eastAsia="宋体" w:cs="宋体"/>
        </w:rPr>
        <w:t>350</w:t>
      </w:r>
      <w:r>
        <w:rPr>
          <w:rFonts w:hint="eastAsia" w:ascii="宋体" w:eastAsia="宋体" w:cs="宋体"/>
          <w:lang w:val="zh-CN"/>
        </w:rPr>
        <w:t>万张人脸照片每天。</w:t>
      </w:r>
    </w:p>
    <w:p w14:paraId="4C727AC0">
      <w:pPr>
        <w:pStyle w:val="123"/>
        <w:rPr>
          <w:rFonts w:hint="eastAsia" w:ascii="宋体" w:eastAsia="宋体" w:cs="宋体"/>
        </w:rPr>
      </w:pPr>
      <w:r>
        <w:rPr>
          <w:rFonts w:hint="eastAsia" w:ascii="宋体" w:eastAsia="宋体" w:cs="宋体"/>
        </w:rPr>
        <w:t xml:space="preserve">人脸解析技术要求如下： </w:t>
      </w:r>
    </w:p>
    <w:p w14:paraId="787BEDB9">
      <w:pPr>
        <w:pStyle w:val="123"/>
        <w:rPr>
          <w:rFonts w:hint="eastAsia" w:ascii="宋体" w:eastAsia="宋体" w:cs="宋体"/>
        </w:rPr>
      </w:pPr>
      <w:r>
        <w:rPr>
          <w:rFonts w:hint="eastAsia" w:ascii="宋体" w:eastAsia="宋体" w:cs="宋体"/>
        </w:rPr>
        <w:t>满足安徽省公安厅对滁州市公安局算法的考核要求，人脸解析结果通过GA1400协议传输至安徽省公安厅，无需安徽省公安厅二次解析，本次人脸解析路数不低于2000路。</w:t>
      </w:r>
    </w:p>
    <w:p w14:paraId="16373EFF">
      <w:pPr>
        <w:pStyle w:val="123"/>
        <w:rPr>
          <w:rFonts w:hint="eastAsia" w:ascii="宋体" w:eastAsia="宋体" w:cs="宋体"/>
        </w:rPr>
      </w:pPr>
      <w:r>
        <w:rPr>
          <w:rFonts w:ascii="宋体" w:eastAsia="宋体" w:cs="宋体"/>
        </w:rPr>
        <w:t>1、具备对人脸图片分析功能；</w:t>
      </w:r>
    </w:p>
    <w:p w14:paraId="7B5D4A86">
      <w:pPr>
        <w:pStyle w:val="123"/>
        <w:rPr>
          <w:rFonts w:hint="eastAsia" w:ascii="宋体" w:eastAsia="宋体" w:cs="宋体"/>
        </w:rPr>
      </w:pPr>
      <w:r>
        <w:rPr>
          <w:rFonts w:ascii="宋体" w:eastAsia="宋体" w:cs="宋体"/>
        </w:rPr>
        <w:t>2、光线正常，人脸图片的检出率不低于99%；</w:t>
      </w:r>
    </w:p>
    <w:p w14:paraId="08594620">
      <w:pPr>
        <w:pStyle w:val="123"/>
        <w:rPr>
          <w:rFonts w:hint="eastAsia" w:ascii="宋体" w:eastAsia="宋体" w:cs="宋体"/>
        </w:rPr>
      </w:pPr>
      <w:r>
        <w:rPr>
          <w:rFonts w:ascii="宋体" w:eastAsia="宋体" w:cs="宋体"/>
        </w:rPr>
        <w:t>3、支持对人脸图片在人脸被遮挡住半边脸的情况下，可正确检测人脸，检出率不小于99%；</w:t>
      </w:r>
    </w:p>
    <w:p w14:paraId="7CD868A6">
      <w:pPr>
        <w:pStyle w:val="123"/>
        <w:rPr>
          <w:rFonts w:hint="eastAsia" w:ascii="宋体" w:eastAsia="宋体" w:cs="宋体"/>
        </w:rPr>
      </w:pPr>
      <w:r>
        <w:rPr>
          <w:rFonts w:ascii="宋体" w:eastAsia="宋体" w:cs="宋体"/>
        </w:rPr>
        <w:t>4、支持对人脸图片识别人脸性别，检出率不低于99%。</w:t>
      </w:r>
    </w:p>
    <w:p w14:paraId="1A10242B">
      <w:pPr>
        <w:pStyle w:val="8"/>
        <w:rPr>
          <w:rFonts w:hint="eastAsia" w:ascii="宋体" w:eastAsia="宋体" w:cs="宋体"/>
        </w:rPr>
      </w:pPr>
      <w:r>
        <w:rPr>
          <w:rFonts w:hint="eastAsia" w:ascii="宋体" w:eastAsia="宋体" w:cs="宋体"/>
        </w:rPr>
        <w:t>人体解析服务要求</w:t>
      </w:r>
    </w:p>
    <w:p w14:paraId="3F31F319">
      <w:pPr>
        <w:pStyle w:val="123"/>
        <w:rPr>
          <w:rFonts w:hint="eastAsia" w:ascii="宋体" w:eastAsia="宋体" w:cs="宋体"/>
        </w:rPr>
      </w:pPr>
      <w:r>
        <w:rPr>
          <w:rFonts w:hint="eastAsia" w:ascii="宋体" w:eastAsia="宋体" w:cs="宋体"/>
        </w:rPr>
        <w:t>人体图片分析是对全结构化摄像机等产生的人体等活动目标抓拍图片进行特征提取以及建模。</w:t>
      </w:r>
    </w:p>
    <w:p w14:paraId="675F386C">
      <w:pPr>
        <w:pStyle w:val="123"/>
        <w:rPr>
          <w:rFonts w:hint="eastAsia" w:ascii="宋体" w:eastAsia="宋体" w:cs="宋体"/>
        </w:rPr>
      </w:pPr>
      <w:r>
        <w:rPr>
          <w:rFonts w:hint="eastAsia" w:ascii="宋体" w:eastAsia="宋体" w:cs="宋体"/>
        </w:rPr>
        <w:t xml:space="preserve">本次项目购买服务需对2000台超清智能采集摄像机抓拍的人体图片进行解析，按照现有单台设备抓拍人体图片4000张/天计算，需要对产生的800万张人体照片进行解析，为保证设计的先进性，本次留有一定的解析能力冗余，按照900万张人体照片解析性能进行设计。 </w:t>
      </w:r>
    </w:p>
    <w:p w14:paraId="07658A73">
      <w:pPr>
        <w:pStyle w:val="123"/>
        <w:rPr>
          <w:rFonts w:hint="eastAsia" w:ascii="宋体" w:eastAsia="宋体" w:cs="宋体"/>
        </w:rPr>
      </w:pPr>
      <w:r>
        <w:rPr>
          <w:rFonts w:hint="eastAsia" w:ascii="宋体" w:eastAsia="宋体" w:cs="宋体"/>
        </w:rPr>
        <w:t xml:space="preserve">人体解析技术要求如下： </w:t>
      </w:r>
    </w:p>
    <w:p w14:paraId="534D9722">
      <w:pPr>
        <w:pStyle w:val="123"/>
        <w:rPr>
          <w:rFonts w:hint="eastAsia" w:ascii="宋体" w:eastAsia="宋体" w:cs="宋体"/>
        </w:rPr>
      </w:pPr>
      <w:r>
        <w:rPr>
          <w:rFonts w:hint="eastAsia" w:ascii="宋体" w:eastAsia="宋体" w:cs="宋体"/>
        </w:rPr>
        <w:t>1、人体误检率不大于1%时，检出率不低于95% ；</w:t>
      </w:r>
    </w:p>
    <w:p w14:paraId="4673D56B">
      <w:pPr>
        <w:pStyle w:val="123"/>
        <w:rPr>
          <w:rFonts w:hint="eastAsia" w:ascii="宋体" w:eastAsia="宋体" w:cs="宋体"/>
        </w:rPr>
      </w:pPr>
      <w:r>
        <w:rPr>
          <w:rFonts w:hint="eastAsia" w:ascii="宋体" w:eastAsia="宋体" w:cs="宋体"/>
        </w:rPr>
        <w:t>2、支持 jpg、jpeg、png、gif、bmp、tiff图片格式；</w:t>
      </w:r>
    </w:p>
    <w:p w14:paraId="25DB7FA6">
      <w:pPr>
        <w:pStyle w:val="123"/>
        <w:rPr>
          <w:rFonts w:hint="eastAsia" w:ascii="宋体" w:eastAsia="宋体" w:cs="宋体"/>
        </w:rPr>
      </w:pPr>
      <w:r>
        <w:rPr>
          <w:rFonts w:hint="eastAsia" w:ascii="宋体" w:eastAsia="宋体" w:cs="宋体"/>
        </w:rPr>
        <w:t>3、支持对人体图片进行结构化分析处理；</w:t>
      </w:r>
    </w:p>
    <w:p w14:paraId="2E4F3BD5">
      <w:pPr>
        <w:pStyle w:val="123"/>
        <w:rPr>
          <w:rFonts w:hint="eastAsia" w:ascii="宋体" w:eastAsia="宋体" w:cs="宋体"/>
        </w:rPr>
      </w:pPr>
      <w:r>
        <w:rPr>
          <w:rFonts w:hint="eastAsia" w:ascii="宋体" w:eastAsia="宋体" w:cs="宋体"/>
        </w:rPr>
        <w:t>4、支持人体年龄段、 性别、发型（长发、短发）、是否戴眼镜、是否打伞、是否背包（单肩包、手提包、双肩包、腰包、手拉箱 ）、是否戴帽子、是否戴口罩等识别；</w:t>
      </w:r>
    </w:p>
    <w:p w14:paraId="2EA50837">
      <w:pPr>
        <w:pStyle w:val="123"/>
        <w:rPr>
          <w:rFonts w:hint="eastAsia" w:ascii="宋体" w:eastAsia="宋体" w:cs="宋体"/>
        </w:rPr>
      </w:pPr>
      <w:r>
        <w:rPr>
          <w:rFonts w:hint="eastAsia" w:ascii="宋体" w:eastAsia="宋体" w:cs="宋体"/>
        </w:rPr>
        <w:t>5、人体属性平均识别准确率不低于90%；</w:t>
      </w:r>
    </w:p>
    <w:p w14:paraId="4705BD23">
      <w:pPr>
        <w:pStyle w:val="123"/>
        <w:rPr>
          <w:rFonts w:hint="eastAsia" w:ascii="宋体" w:eastAsia="宋体" w:cs="宋体"/>
        </w:rPr>
      </w:pPr>
      <w:r>
        <w:rPr>
          <w:rFonts w:hint="eastAsia" w:ascii="宋体" w:eastAsia="宋体" w:cs="宋体"/>
        </w:rPr>
        <w:t>6、人体解析路数不低于2000路。</w:t>
      </w:r>
    </w:p>
    <w:p w14:paraId="77D61EAE">
      <w:pPr>
        <w:pStyle w:val="8"/>
        <w:rPr>
          <w:rFonts w:hint="eastAsia" w:ascii="宋体" w:eastAsia="宋体" w:cs="宋体"/>
        </w:rPr>
      </w:pPr>
      <w:r>
        <w:rPr>
          <w:rFonts w:hint="eastAsia" w:ascii="宋体" w:eastAsia="宋体" w:cs="宋体"/>
        </w:rPr>
        <w:t xml:space="preserve"> 解析资源设计说明</w:t>
      </w:r>
    </w:p>
    <w:p w14:paraId="4C6D7395">
      <w:pPr>
        <w:pStyle w:val="123"/>
        <w:rPr>
          <w:rFonts w:hint="eastAsia" w:ascii="宋体" w:eastAsia="宋体" w:cs="宋体"/>
        </w:rPr>
      </w:pPr>
      <w:r>
        <w:rPr>
          <w:rFonts w:hint="eastAsia" w:ascii="宋体" w:eastAsia="宋体" w:cs="宋体"/>
        </w:rPr>
        <w:t>根据项目中视频图像分析业务需求及数据规模，计算不同业务场景下所需的GPU卡数，累加对应的卡数得出最终需要的GPU卡总数。本次人像系统共计涉及到人脸、人体两种数据类型；</w:t>
      </w:r>
    </w:p>
    <w:p w14:paraId="744978B3">
      <w:pPr>
        <w:pStyle w:val="123"/>
        <w:rPr>
          <w:rFonts w:hint="eastAsia" w:ascii="宋体" w:eastAsia="宋体" w:cs="宋体"/>
          <w:b/>
          <w:bCs/>
        </w:rPr>
      </w:pPr>
      <w:r>
        <w:rPr>
          <w:rFonts w:hint="eastAsia" w:ascii="宋体" w:eastAsia="宋体" w:cs="宋体"/>
          <w:b/>
          <w:bCs/>
        </w:rPr>
        <w:t>人脸图片分析：</w:t>
      </w:r>
    </w:p>
    <w:p w14:paraId="7A054DE4">
      <w:pPr>
        <w:pStyle w:val="123"/>
        <w:rPr>
          <w:rFonts w:hint="eastAsia" w:ascii="宋体" w:eastAsia="宋体" w:cs="宋体"/>
        </w:rPr>
      </w:pPr>
      <w:r>
        <w:rPr>
          <w:rFonts w:hint="eastAsia" w:ascii="宋体" w:eastAsia="宋体" w:cs="宋体"/>
        </w:rPr>
        <w:t>人脸图片分析所需GPU卡数= 350（人脸图片并发分析量）/ 120（人脸图片分析单卡性能）≈ 3 张。</w:t>
      </w:r>
    </w:p>
    <w:p w14:paraId="579991A0">
      <w:pPr>
        <w:pStyle w:val="123"/>
        <w:rPr>
          <w:rFonts w:hint="eastAsia" w:ascii="宋体" w:eastAsia="宋体" w:cs="宋体"/>
          <w:b/>
          <w:bCs/>
        </w:rPr>
      </w:pPr>
      <w:r>
        <w:rPr>
          <w:rFonts w:hint="eastAsia" w:ascii="宋体" w:eastAsia="宋体" w:cs="宋体"/>
          <w:b/>
          <w:bCs/>
        </w:rPr>
        <w:t>人体图片分析：</w:t>
      </w:r>
    </w:p>
    <w:p w14:paraId="4DEE38F8">
      <w:pPr>
        <w:pStyle w:val="123"/>
        <w:rPr>
          <w:rFonts w:hint="eastAsia" w:ascii="宋体" w:eastAsia="宋体" w:cs="宋体"/>
          <w:lang w:val="zh-CN"/>
        </w:rPr>
      </w:pPr>
      <w:r>
        <w:rPr>
          <w:rFonts w:hint="eastAsia" w:ascii="宋体" w:eastAsia="宋体" w:cs="宋体"/>
        </w:rPr>
        <w:t>人体图片分析所需GPU卡数= 900万（治安人体抓拍大图图片单日抓拍总量）/100（治安人体抓拍大图分析单卡性能）≈ 9 张</w:t>
      </w:r>
      <w:r>
        <w:rPr>
          <w:rFonts w:hint="eastAsia" w:ascii="宋体" w:eastAsia="宋体" w:cs="宋体"/>
          <w:lang w:val="zh-CN"/>
        </w:rPr>
        <w:t>。</w:t>
      </w:r>
    </w:p>
    <w:p w14:paraId="514BC0CF">
      <w:pPr>
        <w:pStyle w:val="7"/>
        <w:rPr>
          <w:rFonts w:hint="eastAsia" w:ascii="宋体" w:eastAsia="宋体" w:cs="宋体"/>
        </w:rPr>
      </w:pPr>
      <w:r>
        <w:rPr>
          <w:rFonts w:hint="eastAsia" w:ascii="宋体" w:eastAsia="宋体" w:cs="宋体"/>
        </w:rPr>
        <w:t>人脸聚类归档服务要求</w:t>
      </w:r>
    </w:p>
    <w:p w14:paraId="3A6D426D">
      <w:pPr>
        <w:pStyle w:val="123"/>
        <w:rPr>
          <w:rFonts w:hint="eastAsia" w:ascii="宋体" w:eastAsia="宋体" w:cs="宋体"/>
        </w:rPr>
      </w:pPr>
      <w:r>
        <w:rPr>
          <w:rFonts w:hint="eastAsia" w:ascii="宋体" w:eastAsia="宋体" w:cs="宋体"/>
        </w:rPr>
        <w:t>城市中大量的视频监控，每天产生海量抓拍图片，大量信息没有被充分挖掘。通过人脸聚类技术，可以实现对人像数据的深化应用。</w:t>
      </w:r>
    </w:p>
    <w:p w14:paraId="28206545">
      <w:pPr>
        <w:pStyle w:val="123"/>
        <w:rPr>
          <w:rFonts w:hint="eastAsia" w:ascii="宋体" w:eastAsia="宋体" w:cs="宋体"/>
        </w:rPr>
      </w:pPr>
      <w:r>
        <w:rPr>
          <w:rFonts w:hint="eastAsia" w:ascii="宋体" w:eastAsia="宋体" w:cs="宋体"/>
        </w:rPr>
        <w:t>人脸聚类归档服务是将人脸时空库中达到一定相似度的特征（可理解为同一人的特征），判定为认为是高维空间中的一个点，同一个人的多张照片存在相似性，那么这些照片提取出的人脸特征对应在这个高维空间中的点会相对接近。聚类就是在高维空间中通过连续的距离计算，把相近的点逐渐归拢成一个个的类的过程，从而达到按人聚类的效果。实现人脸聚类归档后，可以通过与身份库的碰撞，实现人员档案的实名化。实名后，档案系统可查看人员的身份信息、标签信息、轨迹信息的查询等，也可以基于人脸档案的结构化数据，对人员同行、频次等行为进行建模分析，并应用到与各类实战场景。</w:t>
      </w:r>
    </w:p>
    <w:p w14:paraId="11446E54">
      <w:pPr>
        <w:pStyle w:val="123"/>
        <w:rPr>
          <w:rFonts w:hint="eastAsia" w:ascii="宋体" w:eastAsia="宋体" w:cs="宋体"/>
        </w:rPr>
      </w:pPr>
      <w:r>
        <w:rPr>
          <w:rFonts w:hint="eastAsia" w:ascii="宋体" w:eastAsia="宋体" w:cs="宋体"/>
        </w:rPr>
        <w:t>本次服务，支持不低于2000路人脸特征数据的聚类归档，并可支持滁州市常驻人口的解析入库置信。系统同时包含考虑滁州全市人脸抓拍数据的聚类归档服务，聚类完成的人脸档案可以实现秒级别的搜档应用。</w:t>
      </w:r>
    </w:p>
    <w:p w14:paraId="3E080139">
      <w:pPr>
        <w:pStyle w:val="8"/>
        <w:rPr>
          <w:rFonts w:hint="eastAsia" w:ascii="宋体" w:eastAsia="宋体" w:cs="宋体"/>
        </w:rPr>
      </w:pPr>
      <w:r>
        <w:rPr>
          <w:rFonts w:hint="eastAsia" w:ascii="宋体" w:eastAsia="宋体" w:cs="宋体"/>
        </w:rPr>
        <w:t>存储资源配置说明</w:t>
      </w:r>
    </w:p>
    <w:p w14:paraId="7E976A0F">
      <w:pPr>
        <w:pStyle w:val="123"/>
        <w:rPr>
          <w:rFonts w:hint="eastAsia" w:ascii="宋体" w:eastAsia="宋体" w:cs="宋体"/>
        </w:rPr>
      </w:pPr>
      <w:r>
        <w:rPr>
          <w:rFonts w:hint="eastAsia" w:ascii="宋体" w:eastAsia="宋体" w:cs="宋体"/>
        </w:rPr>
        <w:t>存储资源主要考虑人脸、人体感知数据及相关碰撞数据按照数据处理流程组织形成原始库、资源库所需的存储空间。</w:t>
      </w:r>
    </w:p>
    <w:p w14:paraId="53B1495F">
      <w:pPr>
        <w:pStyle w:val="123"/>
        <w:rPr>
          <w:rFonts w:hint="eastAsia" w:ascii="宋体" w:eastAsia="宋体" w:cs="宋体"/>
        </w:rPr>
      </w:pPr>
      <w:r>
        <w:rPr>
          <w:rFonts w:hint="eastAsia" w:ascii="宋体" w:eastAsia="宋体" w:cs="宋体"/>
        </w:rPr>
        <w:t>根据项目服务需求，按照人脸数据日增350万条，热搜图30天，图片存储180天；人体数据日增900万条，热搜图30天，图片存储180天。</w:t>
      </w:r>
    </w:p>
    <w:p w14:paraId="671EDF79">
      <w:pPr>
        <w:pStyle w:val="123"/>
        <w:rPr>
          <w:rFonts w:hint="eastAsia" w:ascii="宋体" w:eastAsia="宋体" w:cs="宋体"/>
        </w:rPr>
      </w:pPr>
      <w:r>
        <w:rPr>
          <w:rFonts w:hint="eastAsia" w:ascii="宋体" w:eastAsia="宋体" w:cs="宋体"/>
        </w:rPr>
        <w:t>（1）原始库</w:t>
      </w:r>
    </w:p>
    <w:p w14:paraId="1EF74FD5">
      <w:pPr>
        <w:pStyle w:val="123"/>
        <w:rPr>
          <w:rFonts w:hint="eastAsia" w:ascii="宋体" w:eastAsia="宋体" w:cs="宋体"/>
        </w:rPr>
      </w:pPr>
      <w:r>
        <w:rPr>
          <w:rFonts w:hint="eastAsia" w:ascii="宋体" w:eastAsia="宋体" w:cs="宋体"/>
        </w:rPr>
        <w:t>资源库中主要存储各类感知数据之间的关联数据、关系数据、要素分布数据等，存储介质为SATA盘或SSD硬盘。</w:t>
      </w:r>
    </w:p>
    <w:p w14:paraId="54C6DAA3">
      <w:pPr>
        <w:pStyle w:val="123"/>
        <w:rPr>
          <w:rFonts w:hint="eastAsia" w:ascii="宋体" w:eastAsia="宋体" w:cs="宋体"/>
        </w:rPr>
      </w:pPr>
      <w:r>
        <w:rPr>
          <w:rFonts w:hint="eastAsia" w:ascii="宋体" w:eastAsia="宋体" w:cs="宋体"/>
        </w:rPr>
        <w:t>存储到消息队列中的原始库数据所需存储资源计算原理为：∑各类感知数据单日入库量（1250万条）*存储周期（7天）*单条数据大小（20KB）*备份数（2个）*Topic数（18个）*10000/存储水位线（0.85）/1024/1024，共需70685 GB。</w:t>
      </w:r>
    </w:p>
    <w:p w14:paraId="30072CC6">
      <w:pPr>
        <w:pStyle w:val="123"/>
        <w:rPr>
          <w:rFonts w:hint="eastAsia" w:ascii="宋体" w:eastAsia="宋体" w:cs="宋体"/>
        </w:rPr>
      </w:pPr>
      <w:r>
        <w:rPr>
          <w:rFonts w:hint="eastAsia" w:ascii="宋体" w:eastAsia="宋体" w:cs="宋体"/>
        </w:rPr>
        <w:t>存储到分析型数据库中的原始库数据所需存储资源计算原理为：∑各类感知数据单日入库量（1250万条）*存储周期（7天）*单条数据大小（20KB）*备份数（2）*10000/存储水位线（0.85）/1024/1024，共需3926GB。</w:t>
      </w:r>
    </w:p>
    <w:p w14:paraId="761DB570">
      <w:pPr>
        <w:pStyle w:val="123"/>
        <w:rPr>
          <w:rFonts w:hint="eastAsia" w:ascii="宋体" w:eastAsia="宋体" w:cs="宋体"/>
        </w:rPr>
      </w:pPr>
      <w:r>
        <w:rPr>
          <w:rFonts w:hint="eastAsia" w:ascii="宋体" w:eastAsia="宋体" w:cs="宋体"/>
        </w:rPr>
        <w:t>同理，存储到全文检索中的原始库数据所需存储资源共需3926GB。</w:t>
      </w:r>
    </w:p>
    <w:p w14:paraId="4FE56554">
      <w:pPr>
        <w:pStyle w:val="123"/>
        <w:rPr>
          <w:rFonts w:hint="eastAsia" w:ascii="宋体" w:eastAsia="宋体" w:cs="宋体"/>
        </w:rPr>
      </w:pPr>
      <w:r>
        <w:rPr>
          <w:rFonts w:hint="eastAsia" w:ascii="宋体" w:eastAsia="宋体" w:cs="宋体"/>
        </w:rPr>
        <w:t>综上所述，原始库所需SATA存储空间为74611 GB，所需SSD存储空间为3926GB。</w:t>
      </w:r>
    </w:p>
    <w:p w14:paraId="6E2BBB89">
      <w:pPr>
        <w:pStyle w:val="123"/>
        <w:rPr>
          <w:rFonts w:hint="eastAsia" w:ascii="宋体" w:eastAsia="宋体" w:cs="宋体"/>
        </w:rPr>
      </w:pPr>
      <w:r>
        <w:rPr>
          <w:rFonts w:hint="eastAsia" w:ascii="宋体" w:eastAsia="宋体" w:cs="宋体"/>
        </w:rPr>
        <w:t>（2）资源库</w:t>
      </w:r>
    </w:p>
    <w:p w14:paraId="6C1E01D2">
      <w:pPr>
        <w:pStyle w:val="123"/>
        <w:rPr>
          <w:rFonts w:hint="eastAsia" w:ascii="宋体" w:eastAsia="宋体" w:cs="宋体"/>
        </w:rPr>
      </w:pPr>
      <w:r>
        <w:rPr>
          <w:rFonts w:hint="eastAsia" w:ascii="宋体" w:eastAsia="宋体" w:cs="宋体"/>
        </w:rPr>
        <w:t>资源库中主要存储各类感知数据之间的关联数据、关系数据、要素分布数据等，存储介质为SATA盘或SSD硬盘。</w:t>
      </w:r>
    </w:p>
    <w:p w14:paraId="5172ADB6">
      <w:pPr>
        <w:pStyle w:val="123"/>
        <w:rPr>
          <w:rFonts w:hint="eastAsia" w:ascii="宋体" w:eastAsia="宋体" w:cs="宋体"/>
        </w:rPr>
      </w:pPr>
      <w:r>
        <w:rPr>
          <w:rFonts w:hint="eastAsia" w:ascii="宋体" w:eastAsia="宋体" w:cs="宋体"/>
        </w:rPr>
        <w:t>资源库中的数据类型包括人脸人体关联数据、人人同行关系数据等，数据量均较小，本次按照原始数据库数据量的30%进行计算考虑，即：</w:t>
      </w:r>
    </w:p>
    <w:p w14:paraId="74BAAA1B">
      <w:pPr>
        <w:pStyle w:val="123"/>
        <w:rPr>
          <w:rFonts w:hint="eastAsia" w:ascii="宋体" w:eastAsia="宋体" w:cs="宋体"/>
        </w:rPr>
      </w:pPr>
      <w:r>
        <w:rPr>
          <w:rFonts w:hint="eastAsia" w:ascii="宋体" w:eastAsia="宋体" w:cs="宋体"/>
        </w:rPr>
        <w:t>存储到消息队列中的原始库数据所需存储资源约21206GB；</w:t>
      </w:r>
    </w:p>
    <w:p w14:paraId="2F412BB1">
      <w:pPr>
        <w:pStyle w:val="123"/>
        <w:rPr>
          <w:rFonts w:hint="eastAsia" w:ascii="宋体" w:eastAsia="宋体" w:cs="宋体"/>
        </w:rPr>
      </w:pPr>
      <w:r>
        <w:rPr>
          <w:rFonts w:hint="eastAsia" w:ascii="宋体" w:eastAsia="宋体" w:cs="宋体"/>
        </w:rPr>
        <w:t>存储到分析型数据库中的原始库数据所需存储资源约1178GB；</w:t>
      </w:r>
    </w:p>
    <w:p w14:paraId="449272CD">
      <w:pPr>
        <w:pStyle w:val="123"/>
        <w:rPr>
          <w:rFonts w:hint="eastAsia" w:ascii="宋体" w:eastAsia="宋体" w:cs="宋体"/>
        </w:rPr>
      </w:pPr>
      <w:r>
        <w:rPr>
          <w:rFonts w:hint="eastAsia" w:ascii="宋体" w:eastAsia="宋体" w:cs="宋体"/>
        </w:rPr>
        <w:t>存储到全文检索中的原始库数据所需存储资源约1178GB；</w:t>
      </w:r>
    </w:p>
    <w:p w14:paraId="4003838C">
      <w:pPr>
        <w:pStyle w:val="123"/>
        <w:rPr>
          <w:rFonts w:hint="eastAsia" w:ascii="宋体" w:eastAsia="宋体" w:cs="宋体"/>
        </w:rPr>
      </w:pPr>
      <w:r>
        <w:rPr>
          <w:rFonts w:hint="eastAsia" w:ascii="宋体" w:eastAsia="宋体" w:cs="宋体"/>
        </w:rPr>
        <w:t>综上所述，本次大数据总存储裸空间需求约：5102GB SSD，90995GB SATA。</w:t>
      </w:r>
    </w:p>
    <w:p w14:paraId="359468B2">
      <w:pPr>
        <w:pStyle w:val="8"/>
        <w:rPr>
          <w:rFonts w:hint="eastAsia" w:ascii="宋体" w:eastAsia="宋体" w:cs="宋体"/>
        </w:rPr>
      </w:pPr>
      <w:r>
        <w:rPr>
          <w:rFonts w:hint="eastAsia" w:ascii="宋体" w:eastAsia="宋体" w:cs="宋体"/>
        </w:rPr>
        <w:t>计算资源配置说明</w:t>
      </w:r>
    </w:p>
    <w:p w14:paraId="1B53E6F3">
      <w:pPr>
        <w:pStyle w:val="123"/>
        <w:rPr>
          <w:rFonts w:hint="eastAsia" w:ascii="宋体" w:eastAsia="宋体" w:cs="宋体"/>
        </w:rPr>
      </w:pPr>
      <w:r>
        <w:rPr>
          <w:rFonts w:hint="eastAsia" w:ascii="宋体" w:eastAsia="宋体" w:cs="宋体"/>
        </w:rPr>
        <w:t>数据资源池的计算资源需求主要考虑各类感知分析模型所需计算资源，这些分析模型的队列加载至处理引擎中，需占用内存资源。</w:t>
      </w:r>
    </w:p>
    <w:p w14:paraId="018E3CEF">
      <w:pPr>
        <w:pStyle w:val="123"/>
        <w:rPr>
          <w:rFonts w:hint="eastAsia" w:ascii="宋体" w:eastAsia="宋体" w:cs="宋体"/>
        </w:rPr>
      </w:pPr>
      <w:r>
        <w:rPr>
          <w:rFonts w:hint="eastAsia" w:ascii="宋体" w:eastAsia="宋体" w:cs="宋体"/>
        </w:rPr>
        <w:t>根据本项目配置的人脸等技战法应用以及人脸、人体数据的日增量，本项目服务器单台需要内存资源512G,公安信息网内存资源应配置单台为512G。</w:t>
      </w:r>
    </w:p>
    <w:p w14:paraId="3C3ECF45">
      <w:pPr>
        <w:pStyle w:val="123"/>
        <w:rPr>
          <w:rFonts w:hint="eastAsia" w:ascii="宋体" w:eastAsia="宋体" w:cs="宋体"/>
        </w:rPr>
      </w:pPr>
      <w:r>
        <w:rPr>
          <w:rFonts w:hint="eastAsia" w:ascii="宋体" w:eastAsia="宋体" w:cs="宋体"/>
        </w:rPr>
        <w:t>本次采用服务器方式，配置视图解析服务器2台，视图特征库服务器1台。</w:t>
      </w:r>
    </w:p>
    <w:p w14:paraId="46162756">
      <w:pPr>
        <w:pStyle w:val="123"/>
        <w:rPr>
          <w:rFonts w:hint="eastAsia" w:ascii="宋体" w:eastAsia="宋体" w:cs="宋体"/>
        </w:rPr>
      </w:pPr>
      <w:r>
        <w:rPr>
          <w:rFonts w:hint="eastAsia" w:ascii="宋体" w:eastAsia="宋体" w:cs="宋体"/>
        </w:rPr>
        <w:t>单台视图解析服务器服务性能要求：</w:t>
      </w:r>
    </w:p>
    <w:p w14:paraId="78C8913C">
      <w:pPr>
        <w:pStyle w:val="123"/>
        <w:rPr>
          <w:rFonts w:hint="eastAsia" w:ascii="宋体" w:eastAsia="宋体" w:cs="宋体"/>
        </w:rPr>
      </w:pPr>
      <w:r>
        <w:rPr>
          <w:rFonts w:hint="eastAsia" w:ascii="宋体" w:eastAsia="宋体" w:cs="宋体"/>
        </w:rPr>
        <w:t>1、CPU:配置2颗国产化处理器(C86架构 单颗CPU≥24核，≥2.1GHz或 ARM架构单颗CPU≥32核，≥2.6GHz)</w:t>
      </w:r>
    </w:p>
    <w:p w14:paraId="0926CCBC">
      <w:pPr>
        <w:pStyle w:val="123"/>
        <w:rPr>
          <w:rFonts w:hint="eastAsia" w:ascii="宋体" w:eastAsia="宋体" w:cs="宋体"/>
        </w:rPr>
      </w:pPr>
      <w:r>
        <w:rPr>
          <w:rFonts w:hint="eastAsia" w:ascii="宋体" w:eastAsia="宋体" w:cs="宋体"/>
        </w:rPr>
        <w:t>2、GPU:智能解析卡*4，需满足本次解析需求；</w:t>
      </w:r>
    </w:p>
    <w:p w14:paraId="74E496EF">
      <w:pPr>
        <w:pStyle w:val="123"/>
        <w:rPr>
          <w:rFonts w:hint="eastAsia" w:ascii="宋体" w:eastAsia="宋体" w:cs="宋体"/>
        </w:rPr>
      </w:pPr>
      <w:r>
        <w:rPr>
          <w:rFonts w:hint="eastAsia" w:ascii="宋体" w:eastAsia="宋体" w:cs="宋体"/>
        </w:rPr>
        <w:t>3、内存:≥512GB DDR4;</w:t>
      </w:r>
    </w:p>
    <w:p w14:paraId="4B04CDC2">
      <w:pPr>
        <w:pStyle w:val="123"/>
        <w:rPr>
          <w:rFonts w:hint="eastAsia" w:ascii="宋体" w:eastAsia="宋体" w:cs="宋体"/>
        </w:rPr>
      </w:pPr>
      <w:r>
        <w:rPr>
          <w:rFonts w:hint="eastAsia" w:ascii="宋体" w:eastAsia="宋体" w:cs="宋体"/>
        </w:rPr>
        <w:t>4、RAID:支持硬盘组RAID 2G+bbu 或 1块独立RAID卡,4GCache或以上,端口数≥8,端口速率:12Gb/s,配置电池或者电容</w:t>
      </w:r>
    </w:p>
    <w:p w14:paraId="6FD22616">
      <w:pPr>
        <w:pStyle w:val="123"/>
        <w:rPr>
          <w:rFonts w:hint="eastAsia" w:ascii="宋体" w:eastAsia="宋体" w:cs="宋体"/>
        </w:rPr>
      </w:pPr>
      <w:r>
        <w:rPr>
          <w:rFonts w:hint="eastAsia" w:ascii="宋体" w:eastAsia="宋体" w:cs="宋体"/>
        </w:rPr>
        <w:t>5、硬盘规格不低于以下:硬盘:240G SATASSD≥2+SATA SSD 3.8TB(单盘Raid0)*10支持热插拔 或 2*480G SATA SSD + 6*7.6TB SATA SSD（组RAID5）</w:t>
      </w:r>
    </w:p>
    <w:p w14:paraId="510CCBA5">
      <w:pPr>
        <w:pStyle w:val="123"/>
        <w:rPr>
          <w:rFonts w:hint="eastAsia" w:ascii="宋体" w:eastAsia="宋体" w:cs="宋体"/>
        </w:rPr>
      </w:pPr>
      <w:r>
        <w:rPr>
          <w:rFonts w:hint="eastAsia" w:ascii="宋体" w:eastAsia="宋体" w:cs="宋体"/>
        </w:rPr>
        <w:t>6、网卡：万兆光口(≥2个)+千兆电口(≥2)，USB≥1个，1个RJ45管理口或1×四口GbE网卡+2*双口25GE网卡(SFP28,配4个25GE多模光模块，支持虚拟机多队列技术、SRIOV和DPDK,按NUMA平衡配置);</w:t>
      </w:r>
    </w:p>
    <w:p w14:paraId="19327053">
      <w:pPr>
        <w:pStyle w:val="123"/>
        <w:rPr>
          <w:rFonts w:hint="eastAsia" w:ascii="宋体" w:eastAsia="宋体" w:cs="宋体"/>
        </w:rPr>
      </w:pPr>
      <w:r>
        <w:rPr>
          <w:rFonts w:hint="eastAsia" w:ascii="宋体" w:eastAsia="宋体" w:cs="宋体"/>
        </w:rPr>
        <w:t>7、电源模块:双电源，冗余配置</w:t>
      </w:r>
    </w:p>
    <w:p w14:paraId="20351274">
      <w:pPr>
        <w:pStyle w:val="123"/>
        <w:rPr>
          <w:rFonts w:hint="eastAsia" w:ascii="宋体" w:eastAsia="宋体" w:cs="宋体"/>
        </w:rPr>
      </w:pPr>
      <w:r>
        <w:rPr>
          <w:rFonts w:hint="eastAsia" w:ascii="宋体" w:eastAsia="宋体" w:cs="宋体"/>
        </w:rPr>
        <w:t>单台视图特征服务器性能要求：</w:t>
      </w:r>
    </w:p>
    <w:p w14:paraId="459F596B">
      <w:pPr>
        <w:pStyle w:val="123"/>
        <w:rPr>
          <w:rFonts w:hint="eastAsia" w:ascii="宋体" w:eastAsia="宋体" w:cs="宋体"/>
        </w:rPr>
      </w:pPr>
      <w:r>
        <w:rPr>
          <w:rFonts w:hint="eastAsia" w:ascii="宋体" w:eastAsia="宋体" w:cs="宋体"/>
        </w:rPr>
        <w:t>1、CPU:配置2颗国产化处理器(C86架构 单颗CPU≥24核，≥2.1GHz或 ARM架构单颗CPU≥32核，≥2.6GHz)</w:t>
      </w:r>
    </w:p>
    <w:p w14:paraId="027CDB4D">
      <w:pPr>
        <w:pStyle w:val="123"/>
        <w:rPr>
          <w:rFonts w:hint="eastAsia" w:ascii="宋体" w:eastAsia="宋体" w:cs="宋体"/>
        </w:rPr>
      </w:pPr>
      <w:r>
        <w:rPr>
          <w:rFonts w:hint="eastAsia" w:ascii="宋体" w:eastAsia="宋体" w:cs="宋体"/>
        </w:rPr>
        <w:t>2、GPU: 智能解析卡*4，需满足本次解析需求;</w:t>
      </w:r>
    </w:p>
    <w:p w14:paraId="43814C9B">
      <w:pPr>
        <w:pStyle w:val="123"/>
        <w:rPr>
          <w:rFonts w:hint="eastAsia" w:ascii="宋体" w:eastAsia="宋体" w:cs="宋体"/>
        </w:rPr>
      </w:pPr>
      <w:r>
        <w:rPr>
          <w:rFonts w:hint="eastAsia" w:ascii="宋体" w:eastAsia="宋体" w:cs="宋体"/>
        </w:rPr>
        <w:t>3、内存:≥512GB DDR4;</w:t>
      </w:r>
    </w:p>
    <w:p w14:paraId="2E23371A">
      <w:pPr>
        <w:pStyle w:val="123"/>
        <w:rPr>
          <w:rFonts w:hint="eastAsia" w:ascii="宋体" w:eastAsia="宋体" w:cs="宋体"/>
        </w:rPr>
      </w:pPr>
      <w:r>
        <w:rPr>
          <w:rFonts w:hint="eastAsia" w:ascii="宋体" w:eastAsia="宋体" w:cs="宋体"/>
        </w:rPr>
        <w:t>4、RAID:支持硬盘组RAID 2G+bbu 或 1块独立RAID卡,4GCache或以上,端口数≥8,端口速率:12Gb/s,配置电池或者电容</w:t>
      </w:r>
    </w:p>
    <w:p w14:paraId="3EB3D0BE">
      <w:pPr>
        <w:pStyle w:val="123"/>
        <w:rPr>
          <w:rFonts w:hint="eastAsia" w:ascii="宋体" w:eastAsia="宋体" w:cs="宋体"/>
        </w:rPr>
      </w:pPr>
      <w:r>
        <w:rPr>
          <w:rFonts w:hint="eastAsia" w:ascii="宋体" w:eastAsia="宋体" w:cs="宋体"/>
        </w:rPr>
        <w:t>5、硬盘规格不低于以下:硬盘::SATA SSD 240GB*2+SATA SSD 1.9TB *8 +SATA SSD 960GB*2+600G SAS*2 或 2*480G SATA SSD + 6*3.8TB SAS SSD（组RAID5）</w:t>
      </w:r>
    </w:p>
    <w:p w14:paraId="2885641E">
      <w:pPr>
        <w:pStyle w:val="123"/>
        <w:rPr>
          <w:rFonts w:hint="eastAsia" w:ascii="宋体" w:eastAsia="宋体" w:cs="宋体"/>
        </w:rPr>
      </w:pPr>
      <w:r>
        <w:rPr>
          <w:rFonts w:hint="eastAsia" w:ascii="宋体" w:eastAsia="宋体" w:cs="宋体"/>
        </w:rPr>
        <w:t>6、网卡：万兆光口(≥2个)+ 千兆电口(≥2个):USB≥1个 或 1×四口GbE网卡+2*双口25GE网卡(SFP28,配4个25GE多模光模块，支持虚拟机多队列技术、SRIOV和DPDK,按NUMA平衡配置);</w:t>
      </w:r>
    </w:p>
    <w:p w14:paraId="42B952F6">
      <w:pPr>
        <w:pStyle w:val="123"/>
        <w:rPr>
          <w:rFonts w:hint="eastAsia" w:ascii="宋体" w:eastAsia="宋体" w:cs="宋体"/>
        </w:rPr>
      </w:pPr>
      <w:r>
        <w:rPr>
          <w:rFonts w:hint="eastAsia" w:ascii="宋体" w:eastAsia="宋体" w:cs="宋体"/>
        </w:rPr>
        <w:t>7、电源模块:双电源，冗余配置。</w:t>
      </w:r>
    </w:p>
    <w:p w14:paraId="07A06B37">
      <w:pPr>
        <w:pStyle w:val="6"/>
        <w:rPr>
          <w:rFonts w:hint="eastAsia" w:ascii="宋体" w:hAnsi="宋体" w:cs="宋体"/>
        </w:rPr>
      </w:pPr>
      <w:bookmarkStart w:id="345" w:name="_Toc21809"/>
      <w:bookmarkStart w:id="346" w:name="_Toc22042"/>
      <w:r>
        <w:rPr>
          <w:rFonts w:hint="eastAsia" w:ascii="宋体" w:hAnsi="宋体" w:cs="宋体"/>
        </w:rPr>
        <w:t>网络系统服务</w:t>
      </w:r>
      <w:bookmarkEnd w:id="322"/>
      <w:bookmarkEnd w:id="345"/>
      <w:bookmarkEnd w:id="346"/>
    </w:p>
    <w:p w14:paraId="7B18EA5D">
      <w:pPr>
        <w:rPr>
          <w:rFonts w:hint="eastAsia" w:ascii="宋体" w:eastAsia="宋体" w:cs="宋体"/>
        </w:rPr>
      </w:pPr>
      <w:r>
        <w:rPr>
          <w:rFonts w:hint="eastAsia" w:ascii="宋体" w:eastAsia="宋体" w:cs="宋体"/>
        </w:rPr>
        <w:t>本次公共安全视频监控购买服务需充分考虑2000台前端摄像机和汇聚核心网络带宽需求，服务商需按照实际情况保证本次服务中所有监控点位视频实时浏览不卡顿、历史录像回放不卡顿、抓拍图片不丢失；汇聚核心链路需按照实际情况保证本次服务中所有监控点位视频实时浏览不卡顿、历史录像回放不卡顿、抓拍图片不丢失。</w:t>
      </w:r>
    </w:p>
    <w:p w14:paraId="47D13384">
      <w:pPr>
        <w:pStyle w:val="7"/>
        <w:rPr>
          <w:rFonts w:hint="eastAsia" w:ascii="宋体" w:eastAsia="宋体" w:cs="宋体"/>
        </w:rPr>
      </w:pPr>
      <w:bookmarkStart w:id="347" w:name="_Toc24721"/>
      <w:bookmarkStart w:id="348" w:name="_Toc2231"/>
      <w:bookmarkStart w:id="349" w:name="_Toc15166"/>
      <w:bookmarkStart w:id="350" w:name="_Toc15733"/>
      <w:r>
        <w:rPr>
          <w:rFonts w:hint="eastAsia" w:ascii="宋体" w:eastAsia="宋体" w:cs="宋体"/>
        </w:rPr>
        <w:t>网络性能</w:t>
      </w:r>
      <w:bookmarkEnd w:id="347"/>
      <w:bookmarkEnd w:id="348"/>
      <w:bookmarkEnd w:id="349"/>
      <w:bookmarkEnd w:id="350"/>
      <w:r>
        <w:rPr>
          <w:rFonts w:hint="eastAsia" w:ascii="宋体" w:eastAsia="宋体" w:cs="宋体"/>
        </w:rPr>
        <w:t>要求</w:t>
      </w:r>
    </w:p>
    <w:p w14:paraId="2B9E1126">
      <w:pPr>
        <w:pStyle w:val="123"/>
        <w:autoSpaceDE w:val="0"/>
        <w:autoSpaceDN w:val="0"/>
        <w:adjustRightInd w:val="0"/>
        <w:snapToGrid w:val="0"/>
        <w:rPr>
          <w:rFonts w:hint="eastAsia" w:ascii="宋体" w:eastAsia="宋体" w:cs="宋体"/>
          <w:b/>
          <w:bCs/>
        </w:rPr>
      </w:pPr>
      <w:r>
        <w:rPr>
          <w:rFonts w:hint="eastAsia" w:ascii="宋体" w:eastAsia="宋体" w:cs="宋体"/>
          <w:b/>
          <w:bCs/>
        </w:rPr>
        <w:t>（一）《GAT669.1-2008城市监控报警联网系统技术标准》</w:t>
      </w:r>
    </w:p>
    <w:p w14:paraId="490D20AE">
      <w:pPr>
        <w:pStyle w:val="123"/>
        <w:autoSpaceDE w:val="0"/>
        <w:autoSpaceDN w:val="0"/>
        <w:adjustRightInd w:val="0"/>
        <w:snapToGrid w:val="0"/>
        <w:rPr>
          <w:rFonts w:hint="eastAsia" w:ascii="宋体" w:eastAsia="宋体" w:cs="宋体"/>
        </w:rPr>
      </w:pPr>
      <w:r>
        <w:rPr>
          <w:rFonts w:hint="eastAsia" w:ascii="宋体" w:eastAsia="宋体" w:cs="宋体"/>
        </w:rPr>
        <w:t>根据《GAT669.1-2008城市监控报警联网系统技术标准》第一部分：通用技术要求：监控中心内部及监控中心间互联的网络性能应符合YD/T1171-2011中规定的一级及一级以上的服务等级，具体指标如下：</w:t>
      </w:r>
    </w:p>
    <w:p w14:paraId="7A71AB9F">
      <w:pPr>
        <w:pStyle w:val="123"/>
        <w:autoSpaceDE w:val="0"/>
        <w:autoSpaceDN w:val="0"/>
        <w:adjustRightInd w:val="0"/>
        <w:snapToGrid w:val="0"/>
        <w:rPr>
          <w:rFonts w:hint="eastAsia" w:ascii="宋体" w:eastAsia="宋体" w:cs="宋体"/>
        </w:rPr>
      </w:pPr>
      <w:r>
        <w:rPr>
          <w:rFonts w:hint="eastAsia" w:ascii="宋体" w:eastAsia="宋体" w:cs="宋体"/>
        </w:rPr>
        <w:t>1、网络时延上限值为400ms；</w:t>
      </w:r>
    </w:p>
    <w:p w14:paraId="23D4A805">
      <w:pPr>
        <w:pStyle w:val="123"/>
        <w:autoSpaceDE w:val="0"/>
        <w:autoSpaceDN w:val="0"/>
        <w:adjustRightInd w:val="0"/>
        <w:snapToGrid w:val="0"/>
        <w:rPr>
          <w:rFonts w:hint="eastAsia" w:ascii="宋体" w:eastAsia="宋体" w:cs="宋体"/>
        </w:rPr>
      </w:pPr>
      <w:r>
        <w:rPr>
          <w:rFonts w:hint="eastAsia" w:ascii="宋体" w:eastAsia="宋体" w:cs="宋体"/>
        </w:rPr>
        <w:t>2、时延抖动上限值为50ms；</w:t>
      </w:r>
    </w:p>
    <w:p w14:paraId="1838C55C">
      <w:pPr>
        <w:pStyle w:val="123"/>
        <w:autoSpaceDE w:val="0"/>
        <w:autoSpaceDN w:val="0"/>
        <w:adjustRightInd w:val="0"/>
        <w:snapToGrid w:val="0"/>
        <w:rPr>
          <w:rFonts w:hint="eastAsia" w:ascii="宋体" w:eastAsia="宋体" w:cs="宋体"/>
        </w:rPr>
      </w:pPr>
      <w:r>
        <w:rPr>
          <w:rFonts w:hint="eastAsia" w:ascii="宋体" w:eastAsia="宋体" w:cs="宋体"/>
        </w:rPr>
        <w:t>3、丢包率上限值为1*10-3。</w:t>
      </w:r>
    </w:p>
    <w:p w14:paraId="2360FDF0">
      <w:pPr>
        <w:pStyle w:val="123"/>
        <w:autoSpaceDE w:val="0"/>
        <w:autoSpaceDN w:val="0"/>
        <w:adjustRightInd w:val="0"/>
        <w:snapToGrid w:val="0"/>
        <w:rPr>
          <w:rFonts w:hint="eastAsia" w:ascii="宋体" w:eastAsia="宋体" w:cs="宋体"/>
          <w:b/>
          <w:bCs/>
        </w:rPr>
      </w:pPr>
      <w:r>
        <w:rPr>
          <w:rFonts w:hint="eastAsia" w:ascii="宋体" w:eastAsia="宋体" w:cs="宋体"/>
          <w:b/>
          <w:bCs/>
        </w:rPr>
        <w:t>（二）《GB/T21671-2008基于以太网技术的局域网系统验收评测规范》</w:t>
      </w:r>
    </w:p>
    <w:p w14:paraId="28B5EC0D">
      <w:pPr>
        <w:pStyle w:val="123"/>
        <w:autoSpaceDE w:val="0"/>
        <w:autoSpaceDN w:val="0"/>
        <w:adjustRightInd w:val="0"/>
        <w:snapToGrid w:val="0"/>
        <w:rPr>
          <w:rFonts w:hint="eastAsia" w:ascii="宋体" w:eastAsia="宋体" w:cs="宋体"/>
        </w:rPr>
      </w:pPr>
      <w:r>
        <w:rPr>
          <w:rFonts w:hint="eastAsia" w:ascii="宋体" w:eastAsia="宋体" w:cs="宋体"/>
        </w:rPr>
        <w:t>根据《GBT21671-2008基于以太网技术的局域网系统验收评测规范》，内部网络性能指标标准如下：</w:t>
      </w:r>
    </w:p>
    <w:p w14:paraId="34EA2BD2">
      <w:pPr>
        <w:pStyle w:val="123"/>
        <w:numPr>
          <w:ilvl w:val="0"/>
          <w:numId w:val="11"/>
        </w:numPr>
        <w:autoSpaceDE w:val="0"/>
        <w:autoSpaceDN w:val="0"/>
        <w:adjustRightInd w:val="0"/>
        <w:snapToGrid w:val="0"/>
        <w:ind w:left="0" w:firstLine="562" w:firstLineChars="0"/>
        <w:rPr>
          <w:rFonts w:hint="eastAsia" w:ascii="宋体" w:eastAsia="宋体" w:cs="宋体"/>
          <w:b/>
          <w:bCs/>
        </w:rPr>
      </w:pPr>
      <w:r>
        <w:rPr>
          <w:rFonts w:hint="eastAsia" w:ascii="宋体" w:eastAsia="宋体" w:cs="宋体"/>
          <w:b/>
          <w:bCs/>
        </w:rPr>
        <w:t>丢包率要求：</w:t>
      </w:r>
    </w:p>
    <w:p w14:paraId="2982714E">
      <w:pPr>
        <w:pStyle w:val="12"/>
        <w:jc w:val="center"/>
        <w:rPr>
          <w:rFonts w:hint="eastAsia" w:ascii="宋体" w:eastAsia="宋体" w:cs="宋体"/>
          <w:shd w:val="clear" w:color="auto" w:fill="FFFFFF"/>
        </w:rPr>
      </w:pPr>
      <w:r>
        <w:rPr>
          <w:rFonts w:hint="eastAsia"/>
        </w:rPr>
        <w:t xml:space="preserve"> 表</w:t>
      </w:r>
      <w:r>
        <w:t xml:space="preserve">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表 \* ARABIC \s 2 </w:instrText>
      </w:r>
      <w:r>
        <w:fldChar w:fldCharType="separate"/>
      </w:r>
      <w:r>
        <w:t>4</w:t>
      </w:r>
      <w:r>
        <w:fldChar w:fldCharType="end"/>
      </w:r>
      <w:r>
        <w:rPr>
          <w:rFonts w:hint="eastAsia"/>
        </w:rPr>
        <w:t xml:space="preserve"> </w:t>
      </w:r>
      <w:r>
        <w:rPr>
          <w:rFonts w:hint="eastAsia" w:ascii="宋体" w:eastAsia="宋体" w:cs="宋体"/>
          <w:shd w:val="clear" w:color="auto" w:fill="FFFFFF"/>
        </w:rPr>
        <w:t>以太网丢包率统计</w:t>
      </w:r>
      <w:r>
        <w:rPr>
          <w:rFonts w:hint="eastAsia"/>
        </w:rPr>
        <w:t>表</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771"/>
        <w:gridCol w:w="1752"/>
        <w:gridCol w:w="1418"/>
        <w:gridCol w:w="1629"/>
      </w:tblGrid>
      <w:tr w14:paraId="2BFD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95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F85EDEB">
            <w:pPr>
              <w:jc w:val="center"/>
              <w:rPr>
                <w:rFonts w:hint="eastAsia" w:ascii="宋体" w:eastAsia="宋体" w:cs="宋体"/>
                <w:b/>
                <w:shd w:val="clear" w:color="auto" w:fill="FFFFFF"/>
              </w:rPr>
            </w:pPr>
            <w:r>
              <w:rPr>
                <w:rFonts w:hint="eastAsia" w:ascii="宋体" w:eastAsia="宋体" w:cs="宋体"/>
                <w:b/>
                <w:shd w:val="clear" w:color="auto" w:fill="FFFFFF"/>
              </w:rPr>
              <w:t>测试帧长（Byte）</w:t>
            </w:r>
          </w:p>
        </w:tc>
        <w:tc>
          <w:tcPr>
            <w:tcW w:w="352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4DE72BC">
            <w:pPr>
              <w:jc w:val="center"/>
              <w:rPr>
                <w:rFonts w:hint="eastAsia" w:ascii="宋体" w:eastAsia="宋体" w:cs="宋体"/>
                <w:b/>
                <w:shd w:val="clear" w:color="auto" w:fill="FFFFFF"/>
              </w:rPr>
            </w:pPr>
            <w:r>
              <w:rPr>
                <w:rFonts w:hint="eastAsia" w:ascii="宋体" w:eastAsia="宋体" w:cs="宋体"/>
                <w:b/>
                <w:shd w:val="clear" w:color="auto" w:fill="FFFFFF"/>
              </w:rPr>
              <w:t>1000M以太网</w:t>
            </w:r>
          </w:p>
        </w:tc>
        <w:tc>
          <w:tcPr>
            <w:tcW w:w="304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F72A4AF">
            <w:pPr>
              <w:jc w:val="center"/>
              <w:rPr>
                <w:rFonts w:hint="eastAsia" w:ascii="宋体" w:eastAsia="宋体" w:cs="宋体"/>
                <w:b/>
                <w:shd w:val="clear" w:color="auto" w:fill="FFFFFF"/>
              </w:rPr>
            </w:pPr>
            <w:r>
              <w:rPr>
                <w:rFonts w:hint="eastAsia" w:ascii="宋体" w:eastAsia="宋体" w:cs="宋体"/>
                <w:b/>
                <w:shd w:val="clear" w:color="auto" w:fill="FFFFFF"/>
              </w:rPr>
              <w:t>万兆以上以太网</w:t>
            </w:r>
          </w:p>
        </w:tc>
      </w:tr>
      <w:tr w14:paraId="4758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952" w:type="dxa"/>
            <w:vMerge w:val="continue"/>
            <w:tcBorders>
              <w:top w:val="single" w:color="auto" w:sz="4" w:space="0"/>
              <w:left w:val="single" w:color="auto" w:sz="4" w:space="0"/>
              <w:bottom w:val="single" w:color="auto" w:sz="4" w:space="0"/>
              <w:right w:val="single" w:color="auto" w:sz="4" w:space="0"/>
            </w:tcBorders>
            <w:noWrap/>
            <w:vAlign w:val="center"/>
          </w:tcPr>
          <w:p w14:paraId="71B290FF"/>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C76983">
            <w:pPr>
              <w:jc w:val="center"/>
              <w:rPr>
                <w:rFonts w:hint="eastAsia" w:ascii="宋体" w:eastAsia="宋体" w:cs="宋体"/>
                <w:b/>
                <w:shd w:val="clear" w:color="auto" w:fill="FFFFFF"/>
              </w:rPr>
            </w:pPr>
            <w:r>
              <w:rPr>
                <w:rFonts w:hint="eastAsia" w:ascii="宋体" w:eastAsia="宋体" w:cs="宋体"/>
                <w:b/>
                <w:shd w:val="clear" w:color="auto" w:fill="FFFFFF"/>
              </w:rPr>
              <w:t>流量负荷</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67E774">
            <w:pPr>
              <w:jc w:val="center"/>
              <w:rPr>
                <w:rFonts w:hint="eastAsia" w:ascii="宋体" w:eastAsia="宋体" w:cs="宋体"/>
                <w:b/>
                <w:shd w:val="clear" w:color="auto" w:fill="FFFFFF"/>
              </w:rPr>
            </w:pPr>
            <w:r>
              <w:rPr>
                <w:rFonts w:hint="eastAsia" w:ascii="宋体" w:eastAsia="宋体" w:cs="宋体"/>
                <w:b/>
                <w:shd w:val="clear" w:color="auto" w:fill="FFFFFF"/>
              </w:rPr>
              <w:t>丢包率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23300">
            <w:pPr>
              <w:jc w:val="center"/>
              <w:rPr>
                <w:rFonts w:hint="eastAsia" w:ascii="宋体" w:eastAsia="宋体" w:cs="宋体"/>
                <w:b/>
                <w:shd w:val="clear" w:color="auto" w:fill="FFFFFF"/>
              </w:rPr>
            </w:pPr>
            <w:r>
              <w:rPr>
                <w:rFonts w:hint="eastAsia" w:ascii="宋体" w:eastAsia="宋体" w:cs="宋体"/>
                <w:b/>
                <w:shd w:val="clear" w:color="auto" w:fill="FFFFFF"/>
              </w:rPr>
              <w:t>流量负荷</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579887">
            <w:pPr>
              <w:jc w:val="center"/>
              <w:rPr>
                <w:rFonts w:hint="eastAsia" w:ascii="宋体" w:eastAsia="宋体" w:cs="宋体"/>
                <w:b/>
                <w:shd w:val="clear" w:color="auto" w:fill="FFFFFF"/>
              </w:rPr>
            </w:pPr>
            <w:r>
              <w:rPr>
                <w:rFonts w:hint="eastAsia" w:ascii="宋体" w:eastAsia="宋体" w:cs="宋体"/>
                <w:b/>
                <w:shd w:val="clear" w:color="auto" w:fill="FFFFFF"/>
              </w:rPr>
              <w:t>丢包率</w:t>
            </w:r>
          </w:p>
        </w:tc>
      </w:tr>
      <w:tr w14:paraId="0A88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98EFBF">
            <w:pPr>
              <w:jc w:val="center"/>
              <w:rPr>
                <w:rFonts w:hint="eastAsia" w:ascii="宋体" w:eastAsia="宋体" w:cs="宋体"/>
                <w:shd w:val="clear" w:color="auto" w:fill="FFFFFF"/>
              </w:rPr>
            </w:pPr>
            <w:r>
              <w:rPr>
                <w:rFonts w:hint="eastAsia" w:ascii="宋体" w:eastAsia="宋体" w:cs="宋体"/>
                <w:shd w:val="clear" w:color="auto" w:fill="FFFFFF"/>
              </w:rPr>
              <w:t>64</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E01ED2">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5E6A9A">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03410">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3B4B2A">
            <w:pPr>
              <w:jc w:val="center"/>
              <w:rPr>
                <w:rFonts w:hint="eastAsia" w:ascii="宋体" w:eastAsia="宋体" w:cs="宋体"/>
                <w:shd w:val="clear" w:color="auto" w:fill="FFFFFF"/>
              </w:rPr>
            </w:pPr>
            <w:r>
              <w:rPr>
                <w:rFonts w:hint="eastAsia" w:ascii="宋体" w:eastAsia="宋体" w:cs="宋体"/>
                <w:shd w:val="clear" w:color="auto" w:fill="FFFFFF"/>
              </w:rPr>
              <w:t>≤0.1%</w:t>
            </w:r>
          </w:p>
        </w:tc>
      </w:tr>
      <w:tr w14:paraId="29AC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DFA57E">
            <w:pPr>
              <w:jc w:val="center"/>
              <w:rPr>
                <w:rFonts w:hint="eastAsia" w:ascii="宋体" w:eastAsia="宋体" w:cs="宋体"/>
                <w:shd w:val="clear" w:color="auto" w:fill="FFFFFF"/>
              </w:rPr>
            </w:pPr>
            <w:r>
              <w:rPr>
                <w:rFonts w:hint="eastAsia" w:ascii="宋体" w:eastAsia="宋体" w:cs="宋体"/>
                <w:shd w:val="clear" w:color="auto" w:fill="FFFFFF"/>
              </w:rPr>
              <w:t>128</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799A00">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756B4">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17C738">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F43F08">
            <w:pPr>
              <w:jc w:val="center"/>
              <w:rPr>
                <w:rFonts w:hint="eastAsia" w:ascii="宋体" w:eastAsia="宋体" w:cs="宋体"/>
                <w:shd w:val="clear" w:color="auto" w:fill="FFFFFF"/>
              </w:rPr>
            </w:pPr>
            <w:r>
              <w:rPr>
                <w:rFonts w:hint="eastAsia" w:ascii="宋体" w:eastAsia="宋体" w:cs="宋体"/>
                <w:shd w:val="clear" w:color="auto" w:fill="FFFFFF"/>
              </w:rPr>
              <w:t>≤0.1%</w:t>
            </w:r>
          </w:p>
        </w:tc>
      </w:tr>
      <w:tr w14:paraId="4C24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6BFBBB">
            <w:pPr>
              <w:jc w:val="center"/>
              <w:rPr>
                <w:rFonts w:hint="eastAsia" w:ascii="宋体" w:eastAsia="宋体" w:cs="宋体"/>
                <w:shd w:val="clear" w:color="auto" w:fill="FFFFFF"/>
              </w:rPr>
            </w:pPr>
            <w:r>
              <w:rPr>
                <w:rFonts w:hint="eastAsia" w:ascii="宋体" w:eastAsia="宋体" w:cs="宋体"/>
                <w:shd w:val="clear" w:color="auto" w:fill="FFFFFF"/>
              </w:rPr>
              <w:t>256</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4ACF2F">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5B750E">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784036">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55251F">
            <w:pPr>
              <w:jc w:val="center"/>
              <w:rPr>
                <w:rFonts w:hint="eastAsia" w:ascii="宋体" w:eastAsia="宋体" w:cs="宋体"/>
                <w:shd w:val="clear" w:color="auto" w:fill="FFFFFF"/>
              </w:rPr>
            </w:pPr>
            <w:r>
              <w:rPr>
                <w:rFonts w:hint="eastAsia" w:ascii="宋体" w:eastAsia="宋体" w:cs="宋体"/>
                <w:shd w:val="clear" w:color="auto" w:fill="FFFFFF"/>
              </w:rPr>
              <w:t>≤0.1%</w:t>
            </w:r>
          </w:p>
        </w:tc>
      </w:tr>
      <w:tr w14:paraId="079D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CA3A0B">
            <w:pPr>
              <w:jc w:val="center"/>
              <w:rPr>
                <w:rFonts w:hint="eastAsia" w:ascii="宋体" w:eastAsia="宋体" w:cs="宋体"/>
                <w:shd w:val="clear" w:color="auto" w:fill="FFFFFF"/>
              </w:rPr>
            </w:pPr>
            <w:r>
              <w:rPr>
                <w:rFonts w:hint="eastAsia" w:ascii="宋体" w:eastAsia="宋体" w:cs="宋体"/>
                <w:shd w:val="clear" w:color="auto" w:fill="FFFFFF"/>
              </w:rPr>
              <w:t>512</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C7EBF3">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1A04E6">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EEB4E3">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7E59F0">
            <w:pPr>
              <w:jc w:val="center"/>
              <w:rPr>
                <w:rFonts w:hint="eastAsia" w:ascii="宋体" w:eastAsia="宋体" w:cs="宋体"/>
                <w:shd w:val="clear" w:color="auto" w:fill="FFFFFF"/>
              </w:rPr>
            </w:pPr>
            <w:r>
              <w:rPr>
                <w:rFonts w:hint="eastAsia" w:ascii="宋体" w:eastAsia="宋体" w:cs="宋体"/>
                <w:shd w:val="clear" w:color="auto" w:fill="FFFFFF"/>
              </w:rPr>
              <w:t>≤0.1%</w:t>
            </w:r>
          </w:p>
        </w:tc>
      </w:tr>
      <w:tr w14:paraId="791C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54373E">
            <w:pPr>
              <w:jc w:val="center"/>
              <w:rPr>
                <w:rFonts w:hint="eastAsia" w:ascii="宋体" w:eastAsia="宋体" w:cs="宋体"/>
                <w:shd w:val="clear" w:color="auto" w:fill="FFFFFF"/>
              </w:rPr>
            </w:pPr>
            <w:r>
              <w:rPr>
                <w:rFonts w:hint="eastAsia" w:ascii="宋体" w:eastAsia="宋体" w:cs="宋体"/>
                <w:shd w:val="clear" w:color="auto" w:fill="FFFFFF"/>
              </w:rPr>
              <w:t>1024</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9FBCA2">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333744">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1723B1">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479743">
            <w:pPr>
              <w:jc w:val="center"/>
              <w:rPr>
                <w:rFonts w:hint="eastAsia" w:ascii="宋体" w:eastAsia="宋体" w:cs="宋体"/>
                <w:shd w:val="clear" w:color="auto" w:fill="FFFFFF"/>
              </w:rPr>
            </w:pPr>
            <w:r>
              <w:rPr>
                <w:rFonts w:hint="eastAsia" w:ascii="宋体" w:eastAsia="宋体" w:cs="宋体"/>
                <w:shd w:val="clear" w:color="auto" w:fill="FFFFFF"/>
              </w:rPr>
              <w:t>≤0.1%</w:t>
            </w:r>
          </w:p>
        </w:tc>
      </w:tr>
      <w:tr w14:paraId="3DE8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0EF8DC">
            <w:pPr>
              <w:jc w:val="center"/>
              <w:rPr>
                <w:rFonts w:hint="eastAsia" w:ascii="宋体" w:eastAsia="宋体" w:cs="宋体"/>
                <w:shd w:val="clear" w:color="auto" w:fill="FFFFFF"/>
              </w:rPr>
            </w:pPr>
            <w:r>
              <w:rPr>
                <w:rFonts w:hint="eastAsia" w:ascii="宋体" w:eastAsia="宋体" w:cs="宋体"/>
                <w:shd w:val="clear" w:color="auto" w:fill="FFFFFF"/>
              </w:rPr>
              <w:t>1280</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D6C72">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D2BDB">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8371FA">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4B8295">
            <w:pPr>
              <w:jc w:val="center"/>
              <w:rPr>
                <w:rFonts w:hint="eastAsia" w:ascii="宋体" w:eastAsia="宋体" w:cs="宋体"/>
                <w:shd w:val="clear" w:color="auto" w:fill="FFFFFF"/>
              </w:rPr>
            </w:pPr>
            <w:r>
              <w:rPr>
                <w:rFonts w:hint="eastAsia" w:ascii="宋体" w:eastAsia="宋体" w:cs="宋体"/>
                <w:shd w:val="clear" w:color="auto" w:fill="FFFFFF"/>
              </w:rPr>
              <w:t>≤0.1%</w:t>
            </w:r>
          </w:p>
        </w:tc>
      </w:tr>
      <w:tr w14:paraId="6427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2416F8">
            <w:pPr>
              <w:jc w:val="center"/>
              <w:rPr>
                <w:rFonts w:hint="eastAsia" w:ascii="宋体" w:eastAsia="宋体" w:cs="宋体"/>
                <w:shd w:val="clear" w:color="auto" w:fill="FFFFFF"/>
              </w:rPr>
            </w:pPr>
            <w:r>
              <w:rPr>
                <w:rFonts w:hint="eastAsia" w:ascii="宋体" w:eastAsia="宋体" w:cs="宋体"/>
                <w:shd w:val="clear" w:color="auto" w:fill="FFFFFF"/>
              </w:rPr>
              <w:t>1518</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5DBF4F">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7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9CEB95">
            <w:pPr>
              <w:jc w:val="center"/>
              <w:rPr>
                <w:rFonts w:hint="eastAsia" w:ascii="宋体" w:eastAsia="宋体" w:cs="宋体"/>
                <w:shd w:val="clear" w:color="auto" w:fill="FFFFFF"/>
              </w:rPr>
            </w:pPr>
            <w:r>
              <w:rPr>
                <w:rFonts w:hint="eastAsia" w:ascii="宋体" w:eastAsia="宋体" w:cs="宋体"/>
                <w:shd w:val="clear" w:color="auto" w:fill="FFFFFF"/>
              </w:rPr>
              <w:t>≤0.1%</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651A6E">
            <w:pPr>
              <w:jc w:val="center"/>
              <w:rPr>
                <w:rFonts w:hint="eastAsia" w:ascii="宋体" w:eastAsia="宋体" w:cs="宋体"/>
                <w:shd w:val="clear" w:color="auto" w:fill="FFFFFF"/>
              </w:rPr>
            </w:pPr>
            <w:r>
              <w:rPr>
                <w:rFonts w:hint="eastAsia" w:ascii="宋体" w:eastAsia="宋体" w:cs="宋体"/>
                <w:shd w:val="clear" w:color="auto" w:fill="FFFFFF"/>
              </w:rPr>
              <w:t>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D6BE84">
            <w:pPr>
              <w:jc w:val="center"/>
              <w:rPr>
                <w:rFonts w:hint="eastAsia" w:ascii="宋体" w:eastAsia="宋体" w:cs="宋体"/>
                <w:shd w:val="clear" w:color="auto" w:fill="FFFFFF"/>
              </w:rPr>
            </w:pPr>
            <w:r>
              <w:rPr>
                <w:rFonts w:hint="eastAsia" w:ascii="宋体" w:eastAsia="宋体" w:cs="宋体"/>
                <w:shd w:val="clear" w:color="auto" w:fill="FFFFFF"/>
              </w:rPr>
              <w:t>≤0.1%</w:t>
            </w:r>
          </w:p>
        </w:tc>
      </w:tr>
    </w:tbl>
    <w:p w14:paraId="34736090">
      <w:pPr>
        <w:pStyle w:val="7"/>
        <w:rPr>
          <w:rFonts w:hint="eastAsia" w:ascii="宋体" w:eastAsia="宋体" w:cs="宋体"/>
        </w:rPr>
      </w:pPr>
      <w:bookmarkStart w:id="351" w:name="_Toc10311"/>
      <w:bookmarkStart w:id="352" w:name="_Toc29899"/>
      <w:bookmarkStart w:id="353" w:name="_Toc31788"/>
      <w:r>
        <w:rPr>
          <w:rFonts w:hint="eastAsia" w:ascii="宋体" w:eastAsia="宋体" w:cs="宋体"/>
        </w:rPr>
        <w:t>网络协议</w:t>
      </w:r>
      <w:bookmarkEnd w:id="351"/>
      <w:bookmarkEnd w:id="352"/>
      <w:bookmarkEnd w:id="353"/>
    </w:p>
    <w:p w14:paraId="3E8F3197">
      <w:pPr>
        <w:pStyle w:val="8"/>
        <w:rPr>
          <w:rFonts w:hint="eastAsia" w:ascii="宋体" w:eastAsia="宋体" w:cs="宋体"/>
        </w:rPr>
      </w:pPr>
      <w:bookmarkStart w:id="354" w:name="_Toc3662"/>
      <w:bookmarkStart w:id="355" w:name="_Toc30758"/>
      <w:r>
        <w:rPr>
          <w:rFonts w:hint="eastAsia" w:ascii="宋体" w:eastAsia="宋体" w:cs="宋体"/>
        </w:rPr>
        <w:t>IP规划要求</w:t>
      </w:r>
      <w:bookmarkEnd w:id="354"/>
      <w:bookmarkEnd w:id="355"/>
    </w:p>
    <w:p w14:paraId="03435187">
      <w:pPr>
        <w:pStyle w:val="123"/>
        <w:adjustRightInd w:val="0"/>
        <w:snapToGrid w:val="0"/>
        <w:rPr>
          <w:rFonts w:hint="eastAsia" w:ascii="宋体" w:eastAsia="宋体" w:cs="宋体"/>
        </w:rPr>
      </w:pPr>
      <w:r>
        <w:rPr>
          <w:rFonts w:hint="eastAsia" w:ascii="宋体" w:eastAsia="宋体" w:cs="宋体"/>
        </w:rPr>
        <w:t>传输网的IP 地址规划应从全局考虑，通常选用整块并且连续的IP 地址，IP 地址使用连续地址，便于路由聚合和计算，降低维护难度，从而可以降低整网络路由数量。</w:t>
      </w:r>
    </w:p>
    <w:p w14:paraId="61E82553">
      <w:pPr>
        <w:pStyle w:val="8"/>
        <w:rPr>
          <w:rFonts w:hint="eastAsia" w:ascii="宋体" w:eastAsia="宋体" w:cs="宋体"/>
        </w:rPr>
      </w:pPr>
      <w:bookmarkStart w:id="356" w:name="_Toc26907"/>
      <w:bookmarkStart w:id="357" w:name="_Toc5299"/>
      <w:r>
        <w:rPr>
          <w:rFonts w:hint="eastAsia" w:ascii="宋体" w:eastAsia="宋体" w:cs="宋体"/>
        </w:rPr>
        <w:t>IP地址使用规范</w:t>
      </w:r>
      <w:bookmarkEnd w:id="356"/>
      <w:bookmarkEnd w:id="357"/>
    </w:p>
    <w:p w14:paraId="6563B691">
      <w:pPr>
        <w:pStyle w:val="123"/>
        <w:adjustRightInd w:val="0"/>
        <w:snapToGrid w:val="0"/>
        <w:rPr>
          <w:rFonts w:hint="eastAsia" w:ascii="宋体" w:eastAsia="宋体" w:cs="宋体"/>
        </w:rPr>
      </w:pPr>
      <w:r>
        <w:rPr>
          <w:rFonts w:hint="eastAsia" w:ascii="宋体" w:eastAsia="宋体" w:cs="宋体"/>
        </w:rPr>
        <w:t>本次项目严格按《公共安全视频监控联网信息安全技术要求》进行 IP 地址规划。</w:t>
      </w:r>
    </w:p>
    <w:p w14:paraId="4A93EEC9">
      <w:pPr>
        <w:pStyle w:val="123"/>
        <w:adjustRightInd w:val="0"/>
        <w:snapToGrid w:val="0"/>
        <w:rPr>
          <w:rFonts w:hint="eastAsia" w:ascii="宋体" w:eastAsia="宋体" w:cs="宋体"/>
          <w:spacing w:val="4"/>
        </w:rPr>
      </w:pPr>
      <w:r>
        <w:rPr>
          <w:rFonts w:hint="eastAsia" w:ascii="宋体" w:eastAsia="宋体" w:cs="宋体"/>
        </w:rPr>
        <w:t>视频监控承载网络 IP 地址规划主要包括交换机等网络设备之间的互联地址、各监控点终端的 IP 地址、服务器及存储的地址、各监控中心用户终端等的IP 地址分配，具体分配时遵循以下原则：</w:t>
      </w:r>
    </w:p>
    <w:p w14:paraId="7F8C10FD">
      <w:pPr>
        <w:pStyle w:val="121"/>
        <w:adjustRightInd w:val="0"/>
        <w:snapToGrid w:val="0"/>
        <w:ind w:left="0" w:firstLine="560"/>
        <w:rPr>
          <w:rFonts w:hint="eastAsia" w:ascii="宋体" w:eastAsia="宋体" w:cs="宋体"/>
        </w:rPr>
      </w:pPr>
      <w:r>
        <w:rPr>
          <w:rFonts w:hint="eastAsia" w:ascii="宋体" w:eastAsia="宋体" w:cs="宋体"/>
        </w:rPr>
        <w:t>唯一性：一个 IP 网络中不能有两台主机采用相同的 IP 地址；</w:t>
      </w:r>
    </w:p>
    <w:p w14:paraId="48D9324D">
      <w:pPr>
        <w:pStyle w:val="121"/>
        <w:adjustRightInd w:val="0"/>
        <w:snapToGrid w:val="0"/>
        <w:ind w:left="0" w:firstLine="560"/>
        <w:rPr>
          <w:rFonts w:hint="eastAsia" w:ascii="宋体" w:eastAsia="宋体" w:cs="宋体"/>
        </w:rPr>
      </w:pPr>
      <w:r>
        <w:rPr>
          <w:rFonts w:hint="eastAsia" w:ascii="宋体" w:eastAsia="宋体" w:cs="宋体"/>
        </w:rPr>
        <w:t>简单性：地址分配应简单易于管理，降低网络扩展的复杂性，简化路由表项；</w:t>
      </w:r>
    </w:p>
    <w:p w14:paraId="61A69CCA">
      <w:pPr>
        <w:pStyle w:val="121"/>
        <w:adjustRightInd w:val="0"/>
        <w:snapToGrid w:val="0"/>
        <w:ind w:left="0" w:firstLine="560"/>
        <w:rPr>
          <w:rFonts w:hint="eastAsia" w:ascii="宋体" w:eastAsia="宋体" w:cs="宋体"/>
        </w:rPr>
      </w:pPr>
      <w:r>
        <w:rPr>
          <w:rFonts w:hint="eastAsia" w:ascii="宋体" w:eastAsia="宋体" w:cs="宋体"/>
        </w:rPr>
        <w:t>连续性：连续地址在层次结构网络中易于进行路径叠合，大大缩减路由表，提高路由算法的效率；</w:t>
      </w:r>
    </w:p>
    <w:p w14:paraId="091BE16A">
      <w:pPr>
        <w:pStyle w:val="121"/>
        <w:adjustRightInd w:val="0"/>
        <w:snapToGrid w:val="0"/>
        <w:ind w:left="0" w:firstLine="560"/>
        <w:rPr>
          <w:rFonts w:hint="eastAsia" w:ascii="宋体" w:eastAsia="宋体" w:cs="宋体"/>
        </w:rPr>
      </w:pPr>
      <w:r>
        <w:rPr>
          <w:rFonts w:hint="eastAsia" w:ascii="宋体" w:eastAsia="宋体" w:cs="宋体"/>
        </w:rPr>
        <w:t>可扩展性：地址分配在每一层次上都要留有余量，在网络规模扩展时能保证地址叠合所需的连续性；</w:t>
      </w:r>
    </w:p>
    <w:p w14:paraId="345B140D">
      <w:pPr>
        <w:pStyle w:val="121"/>
        <w:adjustRightInd w:val="0"/>
        <w:snapToGrid w:val="0"/>
        <w:ind w:left="0" w:firstLine="560"/>
        <w:rPr>
          <w:rFonts w:hint="eastAsia" w:ascii="宋体" w:eastAsia="宋体" w:cs="宋体"/>
        </w:rPr>
      </w:pPr>
      <w:r>
        <w:rPr>
          <w:rFonts w:hint="eastAsia" w:ascii="宋体" w:eastAsia="宋体" w:cs="宋体"/>
        </w:rPr>
        <w:t>灵活性：地址分配应具有灵活性，以满足多种路由策略的优化，充分利用地址空间。</w:t>
      </w:r>
    </w:p>
    <w:p w14:paraId="375052B1">
      <w:pPr>
        <w:pStyle w:val="8"/>
        <w:rPr>
          <w:rFonts w:hint="eastAsia" w:ascii="宋体" w:eastAsia="宋体" w:cs="宋体"/>
        </w:rPr>
      </w:pPr>
      <w:bookmarkStart w:id="358" w:name="_Toc22628"/>
      <w:bookmarkStart w:id="359" w:name="_Toc28607"/>
      <w:r>
        <w:rPr>
          <w:rFonts w:hint="eastAsia" w:ascii="宋体" w:eastAsia="宋体" w:cs="宋体"/>
        </w:rPr>
        <w:t>IP地址规划</w:t>
      </w:r>
      <w:bookmarkEnd w:id="358"/>
      <w:bookmarkEnd w:id="359"/>
    </w:p>
    <w:p w14:paraId="17A00F95">
      <w:pPr>
        <w:pStyle w:val="121"/>
        <w:adjustRightInd w:val="0"/>
        <w:snapToGrid w:val="0"/>
        <w:ind w:left="0" w:firstLine="560"/>
        <w:jc w:val="left"/>
        <w:rPr>
          <w:rFonts w:hint="eastAsia" w:ascii="宋体" w:eastAsia="宋体" w:cs="宋体"/>
        </w:rPr>
      </w:pPr>
      <w:r>
        <w:rPr>
          <w:rFonts w:hint="eastAsia" w:ascii="宋体" w:eastAsia="宋体" w:cs="宋体"/>
        </w:rPr>
        <w:t>本期滁州市公安局公共安全视频监控购买服务中，IP地址的分配按照市公安局为视频专网划分的IP地址区间：34.64.100.0-34.64.110.0进行规划。按照以下方案进行IP地址的分配（具体以实施方案为准）。详细IP地址规划如下表所示：</w:t>
      </w:r>
    </w:p>
    <w:p w14:paraId="13ED489D">
      <w:pPr>
        <w:pStyle w:val="12"/>
        <w:jc w:val="center"/>
        <w:rPr>
          <w:rFonts w:hint="eastAsia" w:ascii="宋体" w:eastAsia="宋体" w:cs="宋体"/>
          <w:shd w:val="clear" w:color="auto" w:fill="FFFFFF"/>
        </w:rPr>
      </w:pPr>
      <w:r>
        <w:rPr>
          <w:rFonts w:hint="eastAsia"/>
        </w:rPr>
        <w:t>表</w:t>
      </w:r>
      <w:r>
        <w:t xml:space="preserve">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表 \* ARABIC \s 2 </w:instrText>
      </w:r>
      <w:r>
        <w:fldChar w:fldCharType="separate"/>
      </w:r>
      <w:r>
        <w:t>5</w:t>
      </w:r>
      <w:r>
        <w:fldChar w:fldCharType="end"/>
      </w:r>
      <w:r>
        <w:rPr>
          <w:rFonts w:hint="eastAsia"/>
        </w:rPr>
        <w:t xml:space="preserve"> </w:t>
      </w:r>
      <w:r>
        <w:rPr>
          <w:rFonts w:hint="eastAsia" w:ascii="宋体" w:eastAsia="宋体" w:cs="宋体"/>
          <w:shd w:val="clear" w:color="auto" w:fill="FFFFFF"/>
        </w:rPr>
        <w:t>IP地址规划</w:t>
      </w:r>
      <w:r>
        <w:rPr>
          <w:rFonts w:hint="eastAsia"/>
        </w:rPr>
        <w:t>表</w:t>
      </w:r>
    </w:p>
    <w:tbl>
      <w:tblPr>
        <w:tblStyle w:val="38"/>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4199"/>
        <w:gridCol w:w="2404"/>
      </w:tblGrid>
      <w:tr w14:paraId="182E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BA59E7">
            <w:pPr>
              <w:widowControl/>
              <w:ind w:firstLine="0" w:firstLineChars="0"/>
              <w:jc w:val="center"/>
              <w:rPr>
                <w:rFonts w:hint="eastAsia" w:ascii="宋体" w:eastAsia="宋体" w:cs="宋体"/>
                <w:b/>
                <w:bCs/>
                <w:kern w:val="0"/>
                <w:szCs w:val="21"/>
              </w:rPr>
            </w:pPr>
            <w:r>
              <w:rPr>
                <w:rFonts w:hint="eastAsia" w:ascii="宋体" w:eastAsia="宋体" w:cs="宋体"/>
                <w:b/>
                <w:bCs/>
                <w:kern w:val="0"/>
                <w:szCs w:val="21"/>
              </w:rPr>
              <w:t>派出所</w:t>
            </w:r>
          </w:p>
        </w:tc>
        <w:tc>
          <w:tcPr>
            <w:tcW w:w="4199" w:type="dxa"/>
            <w:tcBorders>
              <w:top w:val="single" w:color="auto" w:sz="4" w:space="0"/>
              <w:left w:val="single" w:color="auto" w:sz="4" w:space="0"/>
              <w:bottom w:val="single" w:color="auto" w:sz="4" w:space="0"/>
              <w:right w:val="single" w:color="auto" w:sz="4" w:space="0"/>
            </w:tcBorders>
            <w:noWrap/>
            <w:vAlign w:val="center"/>
          </w:tcPr>
          <w:p w14:paraId="72BBF1BA">
            <w:pPr>
              <w:widowControl/>
              <w:ind w:firstLine="0" w:firstLineChars="0"/>
              <w:jc w:val="center"/>
              <w:rPr>
                <w:rFonts w:hint="eastAsia" w:ascii="宋体" w:eastAsia="宋体" w:cs="宋体"/>
                <w:b/>
                <w:bCs/>
                <w:kern w:val="0"/>
                <w:szCs w:val="21"/>
              </w:rPr>
            </w:pPr>
            <w:r>
              <w:rPr>
                <w:rFonts w:hint="eastAsia" w:ascii="宋体" w:eastAsia="宋体" w:cs="宋体"/>
                <w:b/>
                <w:bCs/>
                <w:kern w:val="0"/>
                <w:szCs w:val="21"/>
              </w:rPr>
              <w:t>地址段</w:t>
            </w:r>
          </w:p>
        </w:tc>
        <w:tc>
          <w:tcPr>
            <w:tcW w:w="2404" w:type="dxa"/>
            <w:tcBorders>
              <w:top w:val="single" w:color="auto" w:sz="4" w:space="0"/>
              <w:left w:val="single" w:color="auto" w:sz="4" w:space="0"/>
              <w:bottom w:val="single" w:color="auto" w:sz="4" w:space="0"/>
              <w:right w:val="single" w:color="auto" w:sz="4" w:space="0"/>
            </w:tcBorders>
            <w:noWrap/>
            <w:vAlign w:val="center"/>
          </w:tcPr>
          <w:p w14:paraId="21525FB9">
            <w:pPr>
              <w:widowControl/>
              <w:ind w:firstLine="0" w:firstLineChars="0"/>
              <w:jc w:val="center"/>
              <w:rPr>
                <w:rFonts w:hint="eastAsia" w:ascii="宋体" w:eastAsia="宋体" w:cs="宋体"/>
                <w:b/>
                <w:bCs/>
                <w:kern w:val="0"/>
                <w:szCs w:val="21"/>
              </w:rPr>
            </w:pPr>
            <w:r>
              <w:rPr>
                <w:rFonts w:hint="eastAsia" w:ascii="宋体" w:eastAsia="宋体" w:cs="宋体"/>
                <w:b/>
                <w:bCs/>
                <w:kern w:val="0"/>
                <w:szCs w:val="21"/>
              </w:rPr>
              <w:t>可用地址</w:t>
            </w:r>
          </w:p>
        </w:tc>
      </w:tr>
      <w:tr w14:paraId="3F08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18884D">
            <w:pPr>
              <w:widowControl/>
              <w:ind w:firstLine="0" w:firstLineChars="0"/>
              <w:jc w:val="center"/>
              <w:rPr>
                <w:rFonts w:hint="eastAsia" w:ascii="宋体" w:eastAsia="宋体" w:cs="宋体"/>
                <w:kern w:val="0"/>
                <w:szCs w:val="21"/>
              </w:rPr>
            </w:pPr>
            <w:r>
              <w:rPr>
                <w:rFonts w:hint="eastAsia" w:ascii="宋体" w:eastAsia="宋体" w:cs="宋体"/>
                <w:kern w:val="0"/>
                <w:szCs w:val="21"/>
              </w:rPr>
              <w:t>丰乐所</w:t>
            </w:r>
          </w:p>
        </w:tc>
        <w:tc>
          <w:tcPr>
            <w:tcW w:w="4199" w:type="dxa"/>
            <w:tcBorders>
              <w:top w:val="single" w:color="auto" w:sz="4" w:space="0"/>
              <w:left w:val="single" w:color="auto" w:sz="4" w:space="0"/>
              <w:bottom w:val="single" w:color="auto" w:sz="4" w:space="0"/>
              <w:right w:val="single" w:color="auto" w:sz="4" w:space="0"/>
            </w:tcBorders>
            <w:noWrap/>
            <w:vAlign w:val="center"/>
          </w:tcPr>
          <w:p w14:paraId="0D6790A8">
            <w:pPr>
              <w:widowControl/>
              <w:ind w:firstLine="0" w:firstLineChars="0"/>
              <w:jc w:val="center"/>
              <w:rPr>
                <w:rFonts w:hint="eastAsia" w:ascii="宋体" w:eastAsia="宋体" w:cs="宋体"/>
                <w:kern w:val="0"/>
                <w:szCs w:val="21"/>
              </w:rPr>
            </w:pPr>
            <w:r>
              <w:rPr>
                <w:rFonts w:hint="eastAsia" w:ascii="宋体" w:eastAsia="宋体" w:cs="宋体"/>
                <w:szCs w:val="21"/>
              </w:rPr>
              <w:t>34.64.100.0/24</w:t>
            </w:r>
          </w:p>
        </w:tc>
        <w:tc>
          <w:tcPr>
            <w:tcW w:w="2404" w:type="dxa"/>
            <w:tcBorders>
              <w:top w:val="single" w:color="auto" w:sz="4" w:space="0"/>
              <w:left w:val="single" w:color="auto" w:sz="4" w:space="0"/>
              <w:bottom w:val="single" w:color="auto" w:sz="4" w:space="0"/>
              <w:right w:val="single" w:color="auto" w:sz="4" w:space="0"/>
            </w:tcBorders>
            <w:noWrap/>
            <w:vAlign w:val="center"/>
          </w:tcPr>
          <w:p w14:paraId="72129CA0">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127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E906D">
            <w:pPr>
              <w:widowControl/>
              <w:ind w:firstLine="0" w:firstLineChars="0"/>
              <w:jc w:val="center"/>
              <w:rPr>
                <w:rFonts w:hint="eastAsia" w:ascii="宋体" w:eastAsia="宋体" w:cs="宋体"/>
                <w:kern w:val="0"/>
                <w:szCs w:val="21"/>
              </w:rPr>
            </w:pPr>
            <w:r>
              <w:rPr>
                <w:rFonts w:hint="eastAsia" w:ascii="宋体" w:eastAsia="宋体" w:cs="宋体"/>
                <w:kern w:val="0"/>
                <w:szCs w:val="21"/>
              </w:rPr>
              <w:t>西涧所</w:t>
            </w:r>
          </w:p>
        </w:tc>
        <w:tc>
          <w:tcPr>
            <w:tcW w:w="4199" w:type="dxa"/>
            <w:vMerge w:val="restart"/>
            <w:tcBorders>
              <w:top w:val="single" w:color="auto" w:sz="4" w:space="0"/>
              <w:left w:val="single" w:color="auto" w:sz="4" w:space="0"/>
              <w:bottom w:val="single" w:color="auto" w:sz="4" w:space="0"/>
              <w:right w:val="single" w:color="auto" w:sz="4" w:space="0"/>
            </w:tcBorders>
            <w:noWrap/>
            <w:vAlign w:val="center"/>
          </w:tcPr>
          <w:p w14:paraId="657F46AF">
            <w:pPr>
              <w:widowControl/>
              <w:ind w:firstLine="0" w:firstLineChars="0"/>
              <w:jc w:val="center"/>
              <w:rPr>
                <w:rFonts w:hint="eastAsia" w:ascii="宋体" w:eastAsia="宋体" w:cs="宋体"/>
                <w:kern w:val="0"/>
                <w:szCs w:val="21"/>
              </w:rPr>
            </w:pPr>
            <w:r>
              <w:rPr>
                <w:rFonts w:hint="eastAsia" w:ascii="宋体" w:eastAsia="宋体" w:cs="宋体"/>
                <w:szCs w:val="21"/>
              </w:rPr>
              <w:t>34.64.101.0/24</w:t>
            </w:r>
          </w:p>
        </w:tc>
        <w:tc>
          <w:tcPr>
            <w:tcW w:w="2404" w:type="dxa"/>
            <w:vMerge w:val="restart"/>
            <w:tcBorders>
              <w:top w:val="single" w:color="auto" w:sz="4" w:space="0"/>
              <w:left w:val="single" w:color="auto" w:sz="4" w:space="0"/>
              <w:bottom w:val="single" w:color="auto" w:sz="4" w:space="0"/>
              <w:right w:val="single" w:color="auto" w:sz="4" w:space="0"/>
            </w:tcBorders>
            <w:noWrap/>
            <w:vAlign w:val="center"/>
          </w:tcPr>
          <w:p w14:paraId="232F3A80">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161D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FB2ADE">
            <w:pPr>
              <w:widowControl/>
              <w:ind w:firstLine="0" w:firstLineChars="0"/>
              <w:jc w:val="center"/>
              <w:rPr>
                <w:rFonts w:hint="eastAsia" w:ascii="宋体" w:eastAsia="宋体" w:cs="宋体"/>
                <w:kern w:val="0"/>
                <w:szCs w:val="21"/>
              </w:rPr>
            </w:pPr>
            <w:r>
              <w:rPr>
                <w:rFonts w:hint="eastAsia" w:ascii="宋体" w:eastAsia="宋体" w:cs="宋体"/>
                <w:kern w:val="0"/>
                <w:szCs w:val="21"/>
              </w:rPr>
              <w:t>扬子所</w:t>
            </w:r>
          </w:p>
        </w:tc>
        <w:tc>
          <w:tcPr>
            <w:tcW w:w="4199" w:type="dxa"/>
            <w:vMerge w:val="continue"/>
            <w:tcBorders>
              <w:top w:val="single" w:color="auto" w:sz="4" w:space="0"/>
              <w:left w:val="single" w:color="auto" w:sz="4" w:space="0"/>
              <w:bottom w:val="single" w:color="auto" w:sz="4" w:space="0"/>
              <w:right w:val="single" w:color="auto" w:sz="4" w:space="0"/>
            </w:tcBorders>
            <w:noWrap/>
            <w:vAlign w:val="center"/>
          </w:tcPr>
          <w:p w14:paraId="009AA00F"/>
        </w:tc>
        <w:tc>
          <w:tcPr>
            <w:tcW w:w="2404" w:type="dxa"/>
            <w:vMerge w:val="continue"/>
            <w:tcBorders>
              <w:top w:val="single" w:color="auto" w:sz="4" w:space="0"/>
              <w:left w:val="single" w:color="auto" w:sz="4" w:space="0"/>
              <w:bottom w:val="single" w:color="auto" w:sz="4" w:space="0"/>
              <w:right w:val="single" w:color="auto" w:sz="4" w:space="0"/>
            </w:tcBorders>
            <w:noWrap/>
            <w:vAlign w:val="center"/>
          </w:tcPr>
          <w:p w14:paraId="43403DB8"/>
        </w:tc>
      </w:tr>
      <w:tr w14:paraId="2476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F5EE4F">
            <w:pPr>
              <w:widowControl/>
              <w:ind w:firstLine="0" w:firstLineChars="0"/>
              <w:jc w:val="center"/>
              <w:rPr>
                <w:rFonts w:hint="eastAsia" w:ascii="宋体" w:eastAsia="宋体" w:cs="宋体"/>
                <w:kern w:val="0"/>
                <w:szCs w:val="21"/>
              </w:rPr>
            </w:pPr>
            <w:r>
              <w:rPr>
                <w:rFonts w:hint="eastAsia" w:ascii="宋体" w:eastAsia="宋体" w:cs="宋体"/>
                <w:kern w:val="0"/>
                <w:szCs w:val="21"/>
              </w:rPr>
              <w:t>琅琊所</w:t>
            </w:r>
          </w:p>
        </w:tc>
        <w:tc>
          <w:tcPr>
            <w:tcW w:w="4199" w:type="dxa"/>
            <w:vMerge w:val="restart"/>
            <w:tcBorders>
              <w:top w:val="single" w:color="auto" w:sz="4" w:space="0"/>
              <w:left w:val="single" w:color="auto" w:sz="4" w:space="0"/>
              <w:bottom w:val="single" w:color="auto" w:sz="4" w:space="0"/>
              <w:right w:val="single" w:color="auto" w:sz="4" w:space="0"/>
            </w:tcBorders>
            <w:noWrap/>
            <w:vAlign w:val="center"/>
          </w:tcPr>
          <w:p w14:paraId="04EA86AF">
            <w:pPr>
              <w:widowControl/>
              <w:ind w:firstLine="0" w:firstLineChars="0"/>
              <w:jc w:val="center"/>
              <w:rPr>
                <w:rFonts w:hint="eastAsia" w:ascii="宋体" w:eastAsia="宋体" w:cs="宋体"/>
                <w:kern w:val="0"/>
                <w:szCs w:val="21"/>
              </w:rPr>
            </w:pPr>
            <w:r>
              <w:rPr>
                <w:rFonts w:hint="eastAsia" w:ascii="宋体" w:eastAsia="宋体" w:cs="宋体"/>
                <w:szCs w:val="21"/>
              </w:rPr>
              <w:t>34.64.102.0/24</w:t>
            </w:r>
          </w:p>
        </w:tc>
        <w:tc>
          <w:tcPr>
            <w:tcW w:w="2404" w:type="dxa"/>
            <w:vMerge w:val="restart"/>
            <w:tcBorders>
              <w:top w:val="single" w:color="auto" w:sz="4" w:space="0"/>
              <w:left w:val="single" w:color="auto" w:sz="4" w:space="0"/>
              <w:bottom w:val="single" w:color="auto" w:sz="4" w:space="0"/>
              <w:right w:val="single" w:color="auto" w:sz="4" w:space="0"/>
            </w:tcBorders>
            <w:noWrap/>
            <w:vAlign w:val="center"/>
          </w:tcPr>
          <w:p w14:paraId="4E80CA40">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76C5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3D5F99">
            <w:pPr>
              <w:widowControl/>
              <w:ind w:firstLine="0" w:firstLineChars="0"/>
              <w:jc w:val="center"/>
              <w:rPr>
                <w:rFonts w:hint="eastAsia" w:ascii="宋体" w:eastAsia="宋体" w:cs="宋体"/>
                <w:kern w:val="0"/>
                <w:szCs w:val="21"/>
              </w:rPr>
            </w:pPr>
            <w:r>
              <w:rPr>
                <w:rFonts w:hint="eastAsia" w:ascii="宋体" w:eastAsia="宋体" w:cs="宋体"/>
                <w:kern w:val="0"/>
                <w:szCs w:val="21"/>
              </w:rPr>
              <w:t>莲心湖所</w:t>
            </w:r>
          </w:p>
        </w:tc>
        <w:tc>
          <w:tcPr>
            <w:tcW w:w="4199" w:type="dxa"/>
            <w:vMerge w:val="continue"/>
            <w:tcBorders>
              <w:top w:val="single" w:color="auto" w:sz="4" w:space="0"/>
              <w:left w:val="single" w:color="auto" w:sz="4" w:space="0"/>
              <w:bottom w:val="single" w:color="auto" w:sz="4" w:space="0"/>
              <w:right w:val="single" w:color="auto" w:sz="4" w:space="0"/>
            </w:tcBorders>
            <w:noWrap/>
            <w:vAlign w:val="center"/>
          </w:tcPr>
          <w:p w14:paraId="231D8ABE"/>
        </w:tc>
        <w:tc>
          <w:tcPr>
            <w:tcW w:w="2404" w:type="dxa"/>
            <w:vMerge w:val="continue"/>
            <w:tcBorders>
              <w:top w:val="single" w:color="auto" w:sz="4" w:space="0"/>
              <w:left w:val="single" w:color="auto" w:sz="4" w:space="0"/>
              <w:bottom w:val="single" w:color="auto" w:sz="4" w:space="0"/>
              <w:right w:val="single" w:color="auto" w:sz="4" w:space="0"/>
            </w:tcBorders>
            <w:noWrap/>
            <w:vAlign w:val="center"/>
          </w:tcPr>
          <w:p w14:paraId="0F7A26AF"/>
        </w:tc>
      </w:tr>
      <w:tr w14:paraId="42F7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563071">
            <w:pPr>
              <w:widowControl/>
              <w:ind w:firstLine="0" w:firstLineChars="0"/>
              <w:jc w:val="center"/>
              <w:rPr>
                <w:rFonts w:hint="eastAsia" w:ascii="宋体" w:eastAsia="宋体" w:cs="宋体"/>
                <w:kern w:val="0"/>
                <w:szCs w:val="21"/>
              </w:rPr>
            </w:pPr>
            <w:r>
              <w:rPr>
                <w:rFonts w:hint="eastAsia" w:ascii="宋体" w:eastAsia="宋体" w:cs="宋体"/>
                <w:kern w:val="0"/>
                <w:szCs w:val="21"/>
              </w:rPr>
              <w:t>会峰所</w:t>
            </w:r>
          </w:p>
        </w:tc>
        <w:tc>
          <w:tcPr>
            <w:tcW w:w="4199" w:type="dxa"/>
            <w:tcBorders>
              <w:top w:val="single" w:color="auto" w:sz="4" w:space="0"/>
              <w:left w:val="single" w:color="auto" w:sz="4" w:space="0"/>
              <w:bottom w:val="single" w:color="auto" w:sz="4" w:space="0"/>
              <w:right w:val="single" w:color="auto" w:sz="4" w:space="0"/>
            </w:tcBorders>
            <w:noWrap/>
            <w:vAlign w:val="center"/>
          </w:tcPr>
          <w:p w14:paraId="155F1907">
            <w:pPr>
              <w:widowControl/>
              <w:ind w:firstLine="0" w:firstLineChars="0"/>
              <w:jc w:val="center"/>
              <w:rPr>
                <w:rFonts w:hint="eastAsia" w:ascii="宋体" w:eastAsia="宋体" w:cs="宋体"/>
                <w:kern w:val="0"/>
                <w:szCs w:val="21"/>
              </w:rPr>
            </w:pPr>
            <w:r>
              <w:rPr>
                <w:rFonts w:hint="eastAsia" w:ascii="宋体" w:eastAsia="宋体" w:cs="宋体"/>
                <w:szCs w:val="21"/>
              </w:rPr>
              <w:t>34.64.103.0/24</w:t>
            </w:r>
          </w:p>
        </w:tc>
        <w:tc>
          <w:tcPr>
            <w:tcW w:w="2404" w:type="dxa"/>
            <w:tcBorders>
              <w:top w:val="single" w:color="auto" w:sz="4" w:space="0"/>
              <w:left w:val="single" w:color="auto" w:sz="4" w:space="0"/>
              <w:bottom w:val="single" w:color="auto" w:sz="4" w:space="0"/>
              <w:right w:val="single" w:color="auto" w:sz="4" w:space="0"/>
            </w:tcBorders>
            <w:noWrap/>
            <w:vAlign w:val="center"/>
          </w:tcPr>
          <w:p w14:paraId="2295C182">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717B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2F4D2E">
            <w:pPr>
              <w:widowControl/>
              <w:ind w:firstLine="0" w:firstLineChars="0"/>
              <w:jc w:val="center"/>
              <w:rPr>
                <w:rFonts w:hint="eastAsia" w:ascii="宋体" w:eastAsia="宋体" w:cs="宋体"/>
                <w:kern w:val="0"/>
                <w:szCs w:val="21"/>
              </w:rPr>
            </w:pPr>
            <w:r>
              <w:rPr>
                <w:rFonts w:hint="eastAsia" w:ascii="宋体" w:eastAsia="宋体" w:cs="宋体"/>
                <w:kern w:val="0"/>
                <w:szCs w:val="21"/>
              </w:rPr>
              <w:t>文峰所</w:t>
            </w:r>
          </w:p>
        </w:tc>
        <w:tc>
          <w:tcPr>
            <w:tcW w:w="4199" w:type="dxa"/>
            <w:tcBorders>
              <w:top w:val="single" w:color="auto" w:sz="4" w:space="0"/>
              <w:left w:val="single" w:color="auto" w:sz="4" w:space="0"/>
              <w:bottom w:val="single" w:color="auto" w:sz="4" w:space="0"/>
              <w:right w:val="single" w:color="auto" w:sz="4" w:space="0"/>
            </w:tcBorders>
            <w:noWrap/>
            <w:vAlign w:val="center"/>
          </w:tcPr>
          <w:p w14:paraId="24273FDB">
            <w:pPr>
              <w:widowControl/>
              <w:ind w:firstLine="0" w:firstLineChars="0"/>
              <w:jc w:val="center"/>
              <w:rPr>
                <w:rFonts w:hint="eastAsia" w:ascii="宋体" w:eastAsia="宋体" w:cs="宋体"/>
                <w:szCs w:val="21"/>
              </w:rPr>
            </w:pPr>
            <w:r>
              <w:rPr>
                <w:rFonts w:hint="eastAsia" w:ascii="宋体" w:eastAsia="宋体" w:cs="宋体"/>
                <w:szCs w:val="21"/>
              </w:rPr>
              <w:t>34.64.104.0/24</w:t>
            </w:r>
          </w:p>
        </w:tc>
        <w:tc>
          <w:tcPr>
            <w:tcW w:w="2404" w:type="dxa"/>
            <w:tcBorders>
              <w:top w:val="single" w:color="auto" w:sz="4" w:space="0"/>
              <w:left w:val="single" w:color="auto" w:sz="4" w:space="0"/>
              <w:bottom w:val="single" w:color="auto" w:sz="4" w:space="0"/>
              <w:right w:val="single" w:color="auto" w:sz="4" w:space="0"/>
            </w:tcBorders>
            <w:noWrap/>
            <w:vAlign w:val="center"/>
          </w:tcPr>
          <w:p w14:paraId="49B4F110">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3BD3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BF9DE5">
            <w:pPr>
              <w:widowControl/>
              <w:ind w:firstLine="0" w:firstLineChars="0"/>
              <w:jc w:val="center"/>
              <w:rPr>
                <w:rFonts w:hint="eastAsia" w:ascii="宋体" w:eastAsia="宋体" w:cs="宋体"/>
                <w:kern w:val="0"/>
                <w:szCs w:val="21"/>
              </w:rPr>
            </w:pPr>
            <w:r>
              <w:rPr>
                <w:rFonts w:hint="eastAsia" w:ascii="宋体" w:eastAsia="宋体" w:cs="宋体"/>
                <w:kern w:val="0"/>
                <w:szCs w:val="21"/>
              </w:rPr>
              <w:t>龙蟠所</w:t>
            </w:r>
          </w:p>
        </w:tc>
        <w:tc>
          <w:tcPr>
            <w:tcW w:w="4199" w:type="dxa"/>
            <w:tcBorders>
              <w:top w:val="single" w:color="auto" w:sz="4" w:space="0"/>
              <w:left w:val="single" w:color="auto" w:sz="4" w:space="0"/>
              <w:bottom w:val="single" w:color="auto" w:sz="4" w:space="0"/>
              <w:right w:val="single" w:color="auto" w:sz="4" w:space="0"/>
            </w:tcBorders>
            <w:noWrap/>
            <w:vAlign w:val="center"/>
          </w:tcPr>
          <w:p w14:paraId="6EC45D32">
            <w:pPr>
              <w:widowControl/>
              <w:ind w:firstLine="0" w:firstLineChars="0"/>
              <w:jc w:val="center"/>
              <w:rPr>
                <w:rFonts w:hint="eastAsia" w:ascii="宋体" w:eastAsia="宋体" w:cs="宋体"/>
                <w:szCs w:val="21"/>
              </w:rPr>
            </w:pPr>
            <w:r>
              <w:rPr>
                <w:rFonts w:hint="eastAsia" w:ascii="宋体" w:eastAsia="宋体" w:cs="宋体"/>
                <w:szCs w:val="21"/>
              </w:rPr>
              <w:t>34.64.105.0/24、34.64.107.0/24</w:t>
            </w:r>
          </w:p>
        </w:tc>
        <w:tc>
          <w:tcPr>
            <w:tcW w:w="2404" w:type="dxa"/>
            <w:tcBorders>
              <w:top w:val="single" w:color="auto" w:sz="4" w:space="0"/>
              <w:left w:val="single" w:color="auto" w:sz="4" w:space="0"/>
              <w:bottom w:val="single" w:color="auto" w:sz="4" w:space="0"/>
              <w:right w:val="single" w:color="auto" w:sz="4" w:space="0"/>
            </w:tcBorders>
            <w:noWrap/>
            <w:vAlign w:val="center"/>
          </w:tcPr>
          <w:p w14:paraId="39606FF8">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334D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A05766">
            <w:pPr>
              <w:widowControl/>
              <w:ind w:firstLine="0" w:firstLineChars="0"/>
              <w:jc w:val="center"/>
              <w:rPr>
                <w:rFonts w:hint="eastAsia" w:ascii="宋体" w:eastAsia="宋体" w:cs="宋体"/>
                <w:kern w:val="0"/>
                <w:szCs w:val="21"/>
              </w:rPr>
            </w:pPr>
            <w:r>
              <w:rPr>
                <w:rFonts w:hint="eastAsia" w:ascii="宋体" w:eastAsia="宋体" w:cs="宋体"/>
                <w:kern w:val="0"/>
                <w:szCs w:val="21"/>
              </w:rPr>
              <w:t>清流所</w:t>
            </w:r>
          </w:p>
        </w:tc>
        <w:tc>
          <w:tcPr>
            <w:tcW w:w="4199" w:type="dxa"/>
            <w:vMerge w:val="restart"/>
            <w:tcBorders>
              <w:top w:val="single" w:color="auto" w:sz="4" w:space="0"/>
              <w:left w:val="single" w:color="auto" w:sz="4" w:space="0"/>
              <w:bottom w:val="single" w:color="auto" w:sz="4" w:space="0"/>
              <w:right w:val="single" w:color="auto" w:sz="4" w:space="0"/>
            </w:tcBorders>
            <w:noWrap/>
            <w:vAlign w:val="center"/>
          </w:tcPr>
          <w:p w14:paraId="67556DEC">
            <w:pPr>
              <w:widowControl/>
              <w:ind w:firstLine="0" w:firstLineChars="0"/>
              <w:jc w:val="center"/>
              <w:rPr>
                <w:rFonts w:hint="eastAsia" w:ascii="宋体" w:eastAsia="宋体" w:cs="宋体"/>
                <w:szCs w:val="21"/>
              </w:rPr>
            </w:pPr>
            <w:r>
              <w:rPr>
                <w:rFonts w:hint="eastAsia" w:ascii="宋体" w:eastAsia="宋体" w:cs="宋体"/>
                <w:szCs w:val="21"/>
              </w:rPr>
              <w:t>34.64.108.0/24</w:t>
            </w:r>
          </w:p>
        </w:tc>
        <w:tc>
          <w:tcPr>
            <w:tcW w:w="2404" w:type="dxa"/>
            <w:vMerge w:val="restart"/>
            <w:tcBorders>
              <w:top w:val="single" w:color="auto" w:sz="4" w:space="0"/>
              <w:left w:val="single" w:color="auto" w:sz="4" w:space="0"/>
              <w:bottom w:val="single" w:color="auto" w:sz="4" w:space="0"/>
              <w:right w:val="single" w:color="auto" w:sz="4" w:space="0"/>
            </w:tcBorders>
            <w:noWrap/>
            <w:vAlign w:val="center"/>
          </w:tcPr>
          <w:p w14:paraId="73A23E57">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7C68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A99DB">
            <w:pPr>
              <w:widowControl/>
              <w:ind w:firstLine="0" w:firstLineChars="0"/>
              <w:jc w:val="center"/>
              <w:rPr>
                <w:rFonts w:hint="eastAsia" w:ascii="宋体" w:eastAsia="宋体" w:cs="宋体"/>
                <w:kern w:val="0"/>
                <w:szCs w:val="21"/>
              </w:rPr>
            </w:pPr>
            <w:r>
              <w:rPr>
                <w:rFonts w:hint="eastAsia" w:ascii="宋体" w:eastAsia="宋体" w:cs="宋体"/>
                <w:kern w:val="0"/>
                <w:szCs w:val="21"/>
              </w:rPr>
              <w:t>乌衣所</w:t>
            </w:r>
          </w:p>
        </w:tc>
        <w:tc>
          <w:tcPr>
            <w:tcW w:w="4199" w:type="dxa"/>
            <w:vMerge w:val="continue"/>
            <w:tcBorders>
              <w:top w:val="single" w:color="auto" w:sz="4" w:space="0"/>
              <w:left w:val="single" w:color="auto" w:sz="4" w:space="0"/>
              <w:bottom w:val="single" w:color="auto" w:sz="4" w:space="0"/>
              <w:right w:val="single" w:color="auto" w:sz="4" w:space="0"/>
            </w:tcBorders>
            <w:noWrap/>
            <w:vAlign w:val="center"/>
          </w:tcPr>
          <w:p w14:paraId="5C8FA6B9"/>
        </w:tc>
        <w:tc>
          <w:tcPr>
            <w:tcW w:w="2404" w:type="dxa"/>
            <w:vMerge w:val="continue"/>
            <w:tcBorders>
              <w:top w:val="single" w:color="auto" w:sz="4" w:space="0"/>
              <w:left w:val="single" w:color="auto" w:sz="4" w:space="0"/>
              <w:bottom w:val="single" w:color="auto" w:sz="4" w:space="0"/>
              <w:right w:val="single" w:color="auto" w:sz="4" w:space="0"/>
            </w:tcBorders>
            <w:noWrap/>
            <w:vAlign w:val="center"/>
          </w:tcPr>
          <w:p w14:paraId="76C7ED0E"/>
        </w:tc>
      </w:tr>
      <w:tr w14:paraId="7285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86E8BC">
            <w:pPr>
              <w:widowControl/>
              <w:ind w:firstLine="0" w:firstLineChars="0"/>
              <w:jc w:val="center"/>
              <w:rPr>
                <w:rFonts w:hint="eastAsia" w:ascii="宋体" w:eastAsia="宋体" w:cs="宋体"/>
                <w:kern w:val="0"/>
                <w:szCs w:val="21"/>
              </w:rPr>
            </w:pPr>
            <w:r>
              <w:rPr>
                <w:rFonts w:hint="eastAsia" w:ascii="宋体" w:eastAsia="宋体" w:cs="宋体"/>
                <w:kern w:val="0"/>
                <w:szCs w:val="21"/>
              </w:rPr>
              <w:t>腰铺所</w:t>
            </w:r>
          </w:p>
        </w:tc>
        <w:tc>
          <w:tcPr>
            <w:tcW w:w="4199" w:type="dxa"/>
            <w:tcBorders>
              <w:top w:val="single" w:color="auto" w:sz="4" w:space="0"/>
              <w:left w:val="single" w:color="auto" w:sz="4" w:space="0"/>
              <w:bottom w:val="single" w:color="auto" w:sz="4" w:space="0"/>
              <w:right w:val="single" w:color="auto" w:sz="4" w:space="0"/>
            </w:tcBorders>
            <w:noWrap/>
            <w:vAlign w:val="center"/>
          </w:tcPr>
          <w:p w14:paraId="576EF9F2">
            <w:pPr>
              <w:widowControl/>
              <w:ind w:firstLine="0" w:firstLineChars="0"/>
              <w:jc w:val="center"/>
              <w:rPr>
                <w:rFonts w:hint="eastAsia" w:ascii="宋体" w:eastAsia="宋体" w:cs="宋体"/>
                <w:szCs w:val="21"/>
              </w:rPr>
            </w:pPr>
            <w:r>
              <w:rPr>
                <w:rFonts w:hint="eastAsia" w:ascii="宋体" w:eastAsia="宋体" w:cs="宋体"/>
                <w:szCs w:val="21"/>
              </w:rPr>
              <w:t>34.64.109.0/24</w:t>
            </w:r>
          </w:p>
        </w:tc>
        <w:tc>
          <w:tcPr>
            <w:tcW w:w="2404" w:type="dxa"/>
            <w:tcBorders>
              <w:top w:val="single" w:color="auto" w:sz="4" w:space="0"/>
              <w:left w:val="single" w:color="auto" w:sz="4" w:space="0"/>
              <w:bottom w:val="single" w:color="auto" w:sz="4" w:space="0"/>
              <w:right w:val="single" w:color="auto" w:sz="4" w:space="0"/>
            </w:tcBorders>
            <w:noWrap/>
            <w:vAlign w:val="center"/>
          </w:tcPr>
          <w:p w14:paraId="03C47B20">
            <w:pPr>
              <w:widowControl/>
              <w:ind w:firstLine="0" w:firstLineChars="0"/>
              <w:jc w:val="center"/>
              <w:rPr>
                <w:rFonts w:hint="eastAsia" w:ascii="宋体" w:eastAsia="宋体" w:cs="宋体"/>
                <w:kern w:val="0"/>
                <w:szCs w:val="21"/>
              </w:rPr>
            </w:pPr>
            <w:r>
              <w:rPr>
                <w:rFonts w:hint="eastAsia" w:ascii="宋体" w:eastAsia="宋体" w:cs="宋体"/>
                <w:kern w:val="0"/>
                <w:szCs w:val="21"/>
              </w:rPr>
              <w:t>254</w:t>
            </w:r>
          </w:p>
        </w:tc>
      </w:tr>
      <w:tr w14:paraId="2803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F89B84">
            <w:pPr>
              <w:widowControl/>
              <w:ind w:firstLine="0" w:firstLineChars="0"/>
              <w:jc w:val="center"/>
              <w:rPr>
                <w:rFonts w:hint="eastAsia" w:ascii="宋体" w:eastAsia="宋体" w:cs="宋体"/>
                <w:kern w:val="0"/>
                <w:szCs w:val="21"/>
              </w:rPr>
            </w:pPr>
            <w:r>
              <w:rPr>
                <w:rFonts w:hint="eastAsia" w:ascii="宋体" w:eastAsia="宋体" w:cs="宋体"/>
              </w:rPr>
              <w:t>预留</w:t>
            </w:r>
          </w:p>
        </w:tc>
        <w:tc>
          <w:tcPr>
            <w:tcW w:w="4199" w:type="dxa"/>
            <w:tcBorders>
              <w:top w:val="single" w:color="auto" w:sz="4" w:space="0"/>
              <w:left w:val="single" w:color="auto" w:sz="4" w:space="0"/>
              <w:bottom w:val="single" w:color="auto" w:sz="4" w:space="0"/>
              <w:right w:val="single" w:color="auto" w:sz="4" w:space="0"/>
            </w:tcBorders>
            <w:noWrap/>
            <w:vAlign w:val="center"/>
          </w:tcPr>
          <w:p w14:paraId="17E0C38C">
            <w:pPr>
              <w:widowControl/>
              <w:ind w:firstLine="0" w:firstLineChars="0"/>
              <w:jc w:val="center"/>
              <w:rPr>
                <w:rFonts w:hint="eastAsia" w:ascii="宋体" w:eastAsia="宋体" w:cs="宋体"/>
                <w:snapToGrid w:val="0"/>
                <w:sz w:val="24"/>
                <w:szCs w:val="21"/>
              </w:rPr>
            </w:pPr>
            <w:r>
              <w:rPr>
                <w:rFonts w:hint="eastAsia" w:ascii="宋体" w:eastAsia="宋体" w:cs="宋体"/>
                <w:szCs w:val="21"/>
              </w:rPr>
              <w:t>34.64.110.0/24</w:t>
            </w:r>
          </w:p>
        </w:tc>
        <w:tc>
          <w:tcPr>
            <w:tcW w:w="2404" w:type="dxa"/>
            <w:tcBorders>
              <w:top w:val="single" w:color="auto" w:sz="4" w:space="0"/>
              <w:left w:val="single" w:color="auto" w:sz="4" w:space="0"/>
              <w:bottom w:val="single" w:color="auto" w:sz="4" w:space="0"/>
              <w:right w:val="single" w:color="auto" w:sz="4" w:space="0"/>
            </w:tcBorders>
            <w:noWrap/>
            <w:vAlign w:val="center"/>
          </w:tcPr>
          <w:p w14:paraId="1ED40034">
            <w:pPr>
              <w:widowControl/>
              <w:ind w:firstLine="0" w:firstLineChars="0"/>
              <w:jc w:val="center"/>
              <w:rPr>
                <w:rFonts w:hint="eastAsia" w:ascii="宋体" w:eastAsia="宋体" w:cs="宋体"/>
                <w:snapToGrid w:val="0"/>
                <w:kern w:val="0"/>
                <w:sz w:val="24"/>
                <w:szCs w:val="21"/>
              </w:rPr>
            </w:pPr>
            <w:r>
              <w:rPr>
                <w:rFonts w:hint="eastAsia" w:ascii="宋体" w:eastAsia="宋体" w:cs="宋体"/>
                <w:kern w:val="0"/>
                <w:szCs w:val="21"/>
              </w:rPr>
              <w:t>254</w:t>
            </w:r>
          </w:p>
        </w:tc>
      </w:tr>
    </w:tbl>
    <w:p w14:paraId="44799486">
      <w:pPr>
        <w:pStyle w:val="7"/>
        <w:rPr>
          <w:rFonts w:hint="eastAsia" w:ascii="宋体" w:eastAsia="宋体" w:cs="宋体"/>
        </w:rPr>
      </w:pPr>
      <w:bookmarkStart w:id="360" w:name="_Toc30393"/>
      <w:bookmarkStart w:id="361" w:name="_Toc22947"/>
      <w:bookmarkStart w:id="362" w:name="_Toc12905"/>
      <w:r>
        <w:rPr>
          <w:rFonts w:hint="eastAsia" w:ascii="宋体" w:eastAsia="宋体" w:cs="宋体"/>
        </w:rPr>
        <w:t>网络传输链路服务</w:t>
      </w:r>
      <w:bookmarkEnd w:id="360"/>
      <w:bookmarkEnd w:id="361"/>
      <w:bookmarkEnd w:id="362"/>
      <w:r>
        <w:rPr>
          <w:rFonts w:hint="eastAsia" w:ascii="宋体" w:eastAsia="宋体" w:cs="宋体"/>
        </w:rPr>
        <w:t>要求</w:t>
      </w:r>
    </w:p>
    <w:p w14:paraId="4B2B4C9A">
      <w:pPr>
        <w:pStyle w:val="123"/>
        <w:autoSpaceDE w:val="0"/>
        <w:autoSpaceDN w:val="0"/>
        <w:adjustRightInd w:val="0"/>
        <w:snapToGrid w:val="0"/>
        <w:rPr>
          <w:rFonts w:hint="eastAsia" w:ascii="宋体" w:eastAsia="宋体" w:cs="宋体"/>
        </w:rPr>
      </w:pPr>
      <w:r>
        <w:rPr>
          <w:rFonts w:hint="eastAsia" w:ascii="宋体" w:eastAsia="宋体" w:cs="宋体"/>
        </w:rPr>
        <w:t>本次服务网络沿用滁州市公安局现有视频专网网络架构，需满足2000台前端监控设备和汇聚核心网络带宽需求，传输带宽不低于百兆；本次服务中所有监控点位视频实时浏览不卡顿、历史录像回放不卡顿、抓拍图片不丢失；汇聚核心链路需满足万兆带宽要求，并按照实际情况保证本次服务中所有监控点位图片、视频实时浏览不卡顿、历史录像回放不卡顿，抓拍图片不丢失。新增一条视频专网到政务外网的传输链路为万兆传输链路。</w:t>
      </w:r>
    </w:p>
    <w:p w14:paraId="48A400D4">
      <w:pPr>
        <w:pStyle w:val="7"/>
        <w:rPr>
          <w:rFonts w:hint="eastAsia" w:ascii="宋体" w:eastAsia="宋体" w:cs="宋体"/>
        </w:rPr>
      </w:pPr>
      <w:bookmarkStart w:id="363" w:name="_Toc23240"/>
      <w:bookmarkStart w:id="364" w:name="_Toc15906"/>
      <w:r>
        <w:rPr>
          <w:rFonts w:hint="eastAsia" w:ascii="宋体" w:eastAsia="宋体" w:cs="宋体"/>
        </w:rPr>
        <w:t>网络设备服务要求</w:t>
      </w:r>
      <w:bookmarkEnd w:id="363"/>
      <w:bookmarkEnd w:id="364"/>
    </w:p>
    <w:p w14:paraId="47BCD812">
      <w:pPr>
        <w:pStyle w:val="123"/>
        <w:rPr>
          <w:rFonts w:hint="eastAsia" w:ascii="宋体" w:eastAsia="宋体" w:cs="宋体"/>
        </w:rPr>
      </w:pPr>
      <w:r>
        <w:rPr>
          <w:rFonts w:hint="eastAsia" w:ascii="宋体" w:eastAsia="宋体" w:cs="宋体"/>
        </w:rPr>
        <w:t>雪亮工程项目中心机房中目前使用的是华为S12708核心交换机，可以满足本次视频传输、转发需求，不单独增加核心交换机。</w:t>
      </w:r>
    </w:p>
    <w:p w14:paraId="2FB0377A">
      <w:pPr>
        <w:pStyle w:val="6"/>
        <w:rPr>
          <w:rFonts w:hint="eastAsia" w:ascii="宋体" w:hAnsi="宋体" w:cs="宋体"/>
        </w:rPr>
      </w:pPr>
      <w:bookmarkStart w:id="365" w:name="_Toc11968"/>
      <w:bookmarkStart w:id="366" w:name="_Toc3042"/>
      <w:bookmarkStart w:id="367" w:name="_Toc13939"/>
      <w:bookmarkStart w:id="368" w:name="_Toc27750"/>
      <w:bookmarkStart w:id="369" w:name="_Toc32338"/>
      <w:bookmarkStart w:id="370" w:name="_Toc25084"/>
      <w:bookmarkStart w:id="371" w:name="_Toc9440"/>
      <w:r>
        <w:rPr>
          <w:rFonts w:hint="eastAsia" w:ascii="宋体" w:hAnsi="宋体" w:cs="宋体"/>
        </w:rPr>
        <w:t>机房</w:t>
      </w:r>
      <w:bookmarkEnd w:id="365"/>
      <w:bookmarkEnd w:id="366"/>
      <w:bookmarkEnd w:id="367"/>
      <w:bookmarkEnd w:id="368"/>
      <w:bookmarkEnd w:id="369"/>
      <w:r>
        <w:rPr>
          <w:rFonts w:hint="eastAsia" w:ascii="宋体" w:hAnsi="宋体" w:cs="宋体"/>
        </w:rPr>
        <w:t>服务</w:t>
      </w:r>
      <w:bookmarkEnd w:id="370"/>
      <w:bookmarkEnd w:id="371"/>
    </w:p>
    <w:p w14:paraId="06ED6D2D">
      <w:pPr>
        <w:rPr>
          <w:rFonts w:hint="eastAsia"/>
        </w:rPr>
      </w:pPr>
      <w:r>
        <w:rPr>
          <w:rFonts w:hint="eastAsia" w:ascii="宋体" w:eastAsia="宋体" w:cs="宋体"/>
        </w:rPr>
        <w:t>本次服务需提供机房环境，并充分考虑设备存放环境，满足交换机、服务器以及云存储等设备安全存放和数据安全存储要求。本次项目机房环境需达到《数据中心设计规范》（GB50174--2017）标准中B级机房标准，并设置独立运行的物理防护空间，机柜数量需按照实际情况保证本次服务使用。</w:t>
      </w:r>
    </w:p>
    <w:p w14:paraId="2730C986">
      <w:pPr>
        <w:pStyle w:val="123"/>
        <w:rPr>
          <w:rFonts w:hint="eastAsia" w:ascii="宋体" w:eastAsia="宋体" w:cs="宋体"/>
          <w:szCs w:val="28"/>
        </w:rPr>
      </w:pPr>
      <w:r>
        <w:rPr>
          <w:rFonts w:hint="eastAsia" w:ascii="宋体" w:eastAsia="宋体" w:cs="宋体"/>
          <w:b/>
          <w:bCs/>
          <w:snapToGrid w:val="0"/>
          <w:szCs w:val="28"/>
        </w:rPr>
        <w:t>机房服务要求如下：</w:t>
      </w:r>
    </w:p>
    <w:p w14:paraId="06EAF02A">
      <w:pPr>
        <w:pStyle w:val="123"/>
        <w:rPr>
          <w:rFonts w:hint="eastAsia" w:ascii="宋体" w:eastAsia="宋体" w:cs="宋体"/>
        </w:rPr>
      </w:pPr>
      <w:r>
        <w:rPr>
          <w:rFonts w:hint="eastAsia" w:ascii="宋体" w:eastAsia="宋体" w:cs="宋体"/>
        </w:rPr>
        <w:t>1、根据功能的不同：托管机房可以划分主机房区、支持区、辅助区。主机房主要用于数据处理设备安装和运行的建筑空间，包括服务器、网络、存储等功能区域。支持区是为主机房、辅助区提供动力支持和安全保障的区域，包括变配电室、柴油发电机房、电池室等。辅助区是用于电子信息设备和软件的安装、调试、维护、运行监控和管理的场所，包括控制室、备件库等区域；</w:t>
      </w:r>
    </w:p>
    <w:p w14:paraId="16C87ED1">
      <w:pPr>
        <w:pStyle w:val="123"/>
        <w:rPr>
          <w:rFonts w:hint="eastAsia" w:ascii="宋体" w:eastAsia="宋体" w:cs="宋体"/>
        </w:rPr>
      </w:pPr>
      <w:r>
        <w:rPr>
          <w:rFonts w:hint="eastAsia" w:ascii="宋体" w:eastAsia="宋体" w:cs="宋体"/>
        </w:rPr>
        <w:t>2、主机房应独立设置，形成单独的物理隔离空间；</w:t>
      </w:r>
    </w:p>
    <w:p w14:paraId="676ED7E7">
      <w:pPr>
        <w:pStyle w:val="123"/>
        <w:rPr>
          <w:rFonts w:hint="eastAsia" w:ascii="宋体" w:eastAsia="宋体" w:cs="宋体"/>
        </w:rPr>
      </w:pPr>
      <w:r>
        <w:rPr>
          <w:rFonts w:hint="eastAsia" w:ascii="宋体" w:eastAsia="宋体" w:cs="宋体"/>
        </w:rPr>
        <w:t>3、机柜尺寸不宜小于600mm*1200mm*2000mm，所有机柜颜色应统一，建议选用黑色，机柜规格保持一致。机柜安装应满足抗震要求；</w:t>
      </w:r>
    </w:p>
    <w:p w14:paraId="0E1A7464">
      <w:pPr>
        <w:pStyle w:val="123"/>
        <w:rPr>
          <w:rFonts w:hint="eastAsia" w:ascii="宋体" w:eastAsia="宋体" w:cs="宋体"/>
        </w:rPr>
      </w:pPr>
      <w:r>
        <w:rPr>
          <w:rFonts w:hint="eastAsia" w:ascii="宋体" w:eastAsia="宋体" w:cs="宋体"/>
        </w:rPr>
        <w:t>4、单机柜最大功耗承载能力不小于4KW；</w:t>
      </w:r>
    </w:p>
    <w:p w14:paraId="7BB00D52">
      <w:pPr>
        <w:pStyle w:val="123"/>
        <w:rPr>
          <w:rFonts w:hint="eastAsia" w:ascii="宋体" w:eastAsia="宋体" w:cs="宋体"/>
        </w:rPr>
      </w:pPr>
      <w:r>
        <w:rPr>
          <w:rFonts w:hint="eastAsia" w:ascii="宋体" w:eastAsia="宋体" w:cs="宋体"/>
        </w:rPr>
        <w:t>5、机柜内根据需求提供相应数量托盘。</w:t>
      </w:r>
    </w:p>
    <w:p w14:paraId="7FB327E9">
      <w:pPr>
        <w:pStyle w:val="6"/>
        <w:rPr>
          <w:rFonts w:hint="eastAsia" w:ascii="宋体" w:hAnsi="宋体" w:cs="宋体"/>
        </w:rPr>
      </w:pPr>
      <w:bookmarkStart w:id="372" w:name="_Toc14092"/>
      <w:bookmarkStart w:id="373" w:name="_Toc21159"/>
      <w:bookmarkStart w:id="374" w:name="_Toc2557"/>
      <w:r>
        <w:rPr>
          <w:rFonts w:hint="eastAsia" w:ascii="宋体" w:hAnsi="宋体" w:cs="宋体"/>
        </w:rPr>
        <w:t>运维服务</w:t>
      </w:r>
      <w:bookmarkEnd w:id="372"/>
      <w:bookmarkEnd w:id="373"/>
      <w:bookmarkEnd w:id="374"/>
    </w:p>
    <w:p w14:paraId="22E6D966">
      <w:pPr>
        <w:pStyle w:val="123"/>
        <w:rPr>
          <w:rFonts w:hint="eastAsia" w:ascii="宋体" w:eastAsia="宋体" w:cs="宋体"/>
        </w:rPr>
      </w:pPr>
      <w:r>
        <w:rPr>
          <w:rFonts w:hint="eastAsia" w:ascii="宋体" w:eastAsia="宋体" w:cs="宋体"/>
        </w:rPr>
        <w:t>服务期内积极保障前端点位的设备安全、供电稳定，确保前端完好率指标达到考核要求，保障前端设备图像质量满足实战应用、定期核查摄像机字符叠加、时钟同步、GIS 标注、录像回放、球机云台等功能，形成日常巡查记录；根据实际业务需求及市政道路建设积极开展前端点位迁建工作。</w:t>
      </w:r>
    </w:p>
    <w:p w14:paraId="5E0E09DF">
      <w:pPr>
        <w:pStyle w:val="123"/>
        <w:rPr>
          <w:rFonts w:hint="eastAsia" w:ascii="宋体" w:eastAsia="宋体" w:cs="宋体"/>
        </w:rPr>
      </w:pPr>
      <w:r>
        <w:rPr>
          <w:rFonts w:hint="eastAsia" w:ascii="宋体" w:eastAsia="宋体" w:cs="宋体"/>
        </w:rPr>
        <w:t>在本次约定的运维服务费用期限内，将包含服务期内每年度重大活动期间的链路维护费用，以确保每年不超过十次的重大活动得到充分保障。重大活动保障内容包含覆盖现场人员值守、临时链路搭建以及与重大活动相关的维护保养工作。</w:t>
      </w:r>
    </w:p>
    <w:p w14:paraId="697D8381">
      <w:pPr>
        <w:pStyle w:val="7"/>
        <w:rPr>
          <w:rFonts w:hint="eastAsia" w:ascii="宋体" w:eastAsia="宋体" w:cs="宋体"/>
        </w:rPr>
      </w:pPr>
      <w:r>
        <w:rPr>
          <w:rFonts w:hint="eastAsia" w:ascii="宋体" w:eastAsia="宋体" w:cs="宋体"/>
        </w:rPr>
        <w:t>服务响应和处理</w:t>
      </w:r>
    </w:p>
    <w:p w14:paraId="58E3E9A7">
      <w:pPr>
        <w:pStyle w:val="123"/>
        <w:rPr>
          <w:rFonts w:hint="eastAsia" w:ascii="宋体" w:eastAsia="宋体" w:cs="宋体"/>
        </w:rPr>
      </w:pPr>
      <w:r>
        <w:rPr>
          <w:rFonts w:hint="eastAsia" w:ascii="宋体" w:eastAsia="宋体" w:cs="宋体"/>
        </w:rPr>
        <w:t>服务受理：服务单位应提供应实行本地化维保，提供完善、专业、高质量的维保服务；应提供不少于2部服务电话，实行7x24小时接听、及时响应购买服务单位的技术咨询、沟通、服务请求和故障申报处置，按照本合同约定的故障响应程序要求处理，并反馈维保服务信息。</w:t>
      </w:r>
    </w:p>
    <w:p w14:paraId="5C11C77C">
      <w:pPr>
        <w:pStyle w:val="123"/>
        <w:rPr>
          <w:rFonts w:hint="eastAsia" w:ascii="宋体" w:eastAsia="宋体" w:cs="宋体"/>
        </w:rPr>
      </w:pPr>
      <w:r>
        <w:rPr>
          <w:rFonts w:hint="eastAsia" w:ascii="宋体" w:eastAsia="宋体" w:cs="宋体"/>
        </w:rPr>
        <w:t>服务响应：在接到购买服务单位的技术咨询、沟通、服务请求和故障申报等服务请求后，按下列要求处理。</w:t>
      </w:r>
    </w:p>
    <w:p w14:paraId="1E42126F">
      <w:pPr>
        <w:pStyle w:val="123"/>
        <w:rPr>
          <w:rFonts w:hint="eastAsia" w:ascii="宋体" w:eastAsia="宋体" w:cs="宋体"/>
        </w:rPr>
      </w:pPr>
      <w:r>
        <w:rPr>
          <w:rFonts w:hint="eastAsia" w:ascii="宋体" w:eastAsia="宋体" w:cs="宋体"/>
        </w:rPr>
        <w:t>1、若为技术咨询、沟通等非故障申报类，服务单位应立即响应处理。</w:t>
      </w:r>
    </w:p>
    <w:p w14:paraId="4ACA7903">
      <w:pPr>
        <w:pStyle w:val="123"/>
        <w:rPr>
          <w:rFonts w:hint="eastAsia" w:ascii="宋体" w:eastAsia="宋体" w:cs="宋体"/>
        </w:rPr>
      </w:pPr>
      <w:r>
        <w:rPr>
          <w:rFonts w:hint="eastAsia" w:ascii="宋体" w:eastAsia="宋体" w:cs="宋体"/>
        </w:rPr>
        <w:t>2、若为故障申报，服务单位应立即响应，维保人员应及时赶赴故障现场，48小时内排除故障。（由不可抗力、人为损坏、市政建设、租用线路故障、停电等非维保单位控制的因素造成的故障除外。）故障处理过程中，维保人员应向故障申报单位及时反馈处理进展和状态；故障处理完毕后，向故障申报单位反馈确认。</w:t>
      </w:r>
    </w:p>
    <w:p w14:paraId="295E58F0">
      <w:pPr>
        <w:pStyle w:val="7"/>
        <w:rPr>
          <w:rFonts w:hint="eastAsia" w:ascii="宋体" w:eastAsia="宋体" w:cs="宋体"/>
        </w:rPr>
      </w:pPr>
      <w:r>
        <w:rPr>
          <w:rFonts w:hint="eastAsia" w:ascii="宋体" w:eastAsia="宋体" w:cs="宋体"/>
        </w:rPr>
        <w:t>运维管理要求</w:t>
      </w:r>
    </w:p>
    <w:p w14:paraId="63D1BDFB">
      <w:pPr>
        <w:pStyle w:val="123"/>
        <w:rPr>
          <w:rFonts w:hint="eastAsia" w:ascii="宋体" w:eastAsia="宋体" w:cs="宋体"/>
          <w:lang w:val="zh-CN"/>
        </w:rPr>
      </w:pPr>
      <w:r>
        <w:rPr>
          <w:rFonts w:hint="eastAsia" w:ascii="宋体" w:eastAsia="宋体" w:cs="宋体"/>
          <w:lang w:val="zh-CN"/>
        </w:rPr>
        <w:t>系统运维期内，</w:t>
      </w:r>
      <w:r>
        <w:rPr>
          <w:rFonts w:hint="eastAsia" w:ascii="宋体" w:eastAsia="宋体" w:cs="宋体"/>
        </w:rPr>
        <w:t>服务商应为购买方派驻专用驻点人员</w:t>
      </w:r>
      <w:r>
        <w:rPr>
          <w:rFonts w:hint="eastAsia" w:ascii="宋体" w:eastAsia="宋体" w:cs="宋体"/>
          <w:lang w:val="zh-CN"/>
        </w:rPr>
        <w:t>，确保运维响应迅速、高效。驻点人员应政治清白、无犯罪记录、无不良嗜好，其工作能力应经</w:t>
      </w:r>
      <w:r>
        <w:rPr>
          <w:rFonts w:hint="eastAsia" w:ascii="宋体" w:eastAsia="宋体" w:cs="宋体"/>
        </w:rPr>
        <w:t>购买</w:t>
      </w:r>
      <w:r>
        <w:rPr>
          <w:rFonts w:hint="eastAsia" w:ascii="宋体" w:eastAsia="宋体" w:cs="宋体"/>
          <w:lang w:val="zh-CN"/>
        </w:rPr>
        <w:t>方认可并审核批准，工作期间接受</w:t>
      </w:r>
      <w:r>
        <w:rPr>
          <w:rFonts w:hint="eastAsia" w:ascii="宋体" w:eastAsia="宋体" w:cs="宋体"/>
        </w:rPr>
        <w:t>购买</w:t>
      </w:r>
      <w:r>
        <w:rPr>
          <w:rFonts w:hint="eastAsia" w:ascii="宋体" w:eastAsia="宋体" w:cs="宋体"/>
          <w:lang w:val="zh-CN"/>
        </w:rPr>
        <w:t>方统一管理。</w:t>
      </w:r>
      <w:r>
        <w:rPr>
          <w:rFonts w:hint="eastAsia" w:ascii="宋体" w:eastAsia="宋体" w:cs="宋体"/>
        </w:rPr>
        <w:t>如驻点人员不能满足购买方服务需要，购买方有权要求中标服务商一周内予以更换，如遇驻点人员、生病、离职等不能继续服务的特殊情况，中标服务商应提前向购买方报备，经允许后在一周内提供新驻点人员。</w:t>
      </w:r>
    </w:p>
    <w:p w14:paraId="6D07DB31">
      <w:pPr>
        <w:pStyle w:val="123"/>
        <w:rPr>
          <w:rFonts w:hint="eastAsia" w:ascii="宋体" w:eastAsia="宋体" w:cs="宋体"/>
        </w:rPr>
      </w:pPr>
      <w:r>
        <w:rPr>
          <w:rFonts w:hint="eastAsia" w:ascii="宋体" w:eastAsia="宋体" w:cs="宋体"/>
        </w:rPr>
        <w:t>购买</w:t>
      </w:r>
      <w:r>
        <w:rPr>
          <w:rFonts w:hint="eastAsia" w:ascii="宋体" w:eastAsia="宋体" w:cs="宋体"/>
          <w:lang w:val="zh-CN"/>
        </w:rPr>
        <w:t>方提供办公场所，驻场人员按照每月不少于22天，每天不少于8小时的提供驻场保障服务，</w:t>
      </w:r>
      <w:r>
        <w:rPr>
          <w:rFonts w:hint="eastAsia" w:ascii="宋体" w:eastAsia="宋体" w:cs="宋体"/>
        </w:rPr>
        <w:t>周六、周日及</w:t>
      </w:r>
      <w:r>
        <w:rPr>
          <w:rFonts w:hint="eastAsia" w:ascii="宋体" w:eastAsia="宋体" w:cs="宋体"/>
          <w:lang w:val="zh-CN"/>
        </w:rPr>
        <w:t>国家法定节假日至少保证1名人员在岗值班。驻场时必须在</w:t>
      </w:r>
      <w:r>
        <w:rPr>
          <w:rFonts w:hint="eastAsia" w:ascii="宋体" w:eastAsia="宋体" w:cs="宋体"/>
        </w:rPr>
        <w:t>购买</w:t>
      </w:r>
      <w:r>
        <w:rPr>
          <w:rFonts w:hint="eastAsia" w:ascii="宋体" w:eastAsia="宋体" w:cs="宋体"/>
          <w:lang w:val="zh-CN"/>
        </w:rPr>
        <w:t>方提供的办公场所办公，按</w:t>
      </w:r>
      <w:r>
        <w:rPr>
          <w:rFonts w:hint="eastAsia" w:ascii="宋体" w:eastAsia="宋体" w:cs="宋体"/>
        </w:rPr>
        <w:t>购买</w:t>
      </w:r>
      <w:r>
        <w:rPr>
          <w:rFonts w:hint="eastAsia" w:ascii="宋体" w:eastAsia="宋体" w:cs="宋体"/>
          <w:lang w:val="zh-CN"/>
        </w:rPr>
        <w:t>方要求进行考勤并接受</w:t>
      </w:r>
      <w:r>
        <w:rPr>
          <w:rFonts w:hint="eastAsia" w:ascii="宋体" w:eastAsia="宋体" w:cs="宋体"/>
        </w:rPr>
        <w:t>购买</w:t>
      </w:r>
      <w:r>
        <w:rPr>
          <w:rFonts w:hint="eastAsia" w:ascii="宋体" w:eastAsia="宋体" w:cs="宋体"/>
          <w:lang w:val="zh-CN"/>
        </w:rPr>
        <w:t>方管理，法定假日和工作时间外，根据</w:t>
      </w:r>
      <w:r>
        <w:rPr>
          <w:rFonts w:hint="eastAsia" w:ascii="宋体" w:eastAsia="宋体" w:cs="宋体"/>
        </w:rPr>
        <w:t>购买</w:t>
      </w:r>
      <w:r>
        <w:rPr>
          <w:rFonts w:hint="eastAsia" w:ascii="宋体" w:eastAsia="宋体" w:cs="宋体"/>
          <w:lang w:val="zh-CN"/>
        </w:rPr>
        <w:t>方要求随时提供驻场服务，为</w:t>
      </w:r>
      <w:r>
        <w:rPr>
          <w:rFonts w:hint="eastAsia" w:ascii="宋体" w:eastAsia="宋体" w:cs="宋体"/>
        </w:rPr>
        <w:t>购买</w:t>
      </w:r>
      <w:r>
        <w:rPr>
          <w:rFonts w:hint="eastAsia" w:ascii="宋体" w:eastAsia="宋体" w:cs="宋体"/>
          <w:lang w:val="zh-CN"/>
        </w:rPr>
        <w:t>方提供日常巡检和故障诊断排查、技术保障等服务，并对设备日常情况及维修情况进行记录归档。同时，按实际要求，满足</w:t>
      </w:r>
      <w:r>
        <w:rPr>
          <w:rFonts w:hint="eastAsia" w:ascii="宋体" w:eastAsia="宋体" w:cs="宋体"/>
        </w:rPr>
        <w:t>购买</w:t>
      </w:r>
      <w:r>
        <w:rPr>
          <w:rFonts w:hint="eastAsia" w:ascii="宋体" w:eastAsia="宋体" w:cs="宋体"/>
          <w:lang w:val="zh-CN"/>
        </w:rPr>
        <w:t>方其他技术服务。</w:t>
      </w:r>
    </w:p>
    <w:p w14:paraId="0A46AED6">
      <w:pPr>
        <w:pStyle w:val="7"/>
        <w:rPr>
          <w:rFonts w:hint="eastAsia" w:ascii="宋体" w:eastAsia="宋体" w:cs="宋体"/>
        </w:rPr>
      </w:pPr>
      <w:r>
        <w:rPr>
          <w:rFonts w:hint="eastAsia" w:ascii="宋体" w:eastAsia="宋体" w:cs="宋体"/>
        </w:rPr>
        <w:t>维护保养考核</w:t>
      </w:r>
    </w:p>
    <w:p w14:paraId="6D0B4A38">
      <w:pPr>
        <w:pStyle w:val="123"/>
        <w:rPr>
          <w:rFonts w:hint="eastAsia" w:ascii="宋体" w:eastAsia="宋体" w:cs="宋体"/>
          <w:lang w:val="zh-CN"/>
        </w:rPr>
      </w:pPr>
      <w:r>
        <w:rPr>
          <w:rFonts w:hint="eastAsia" w:ascii="宋体" w:eastAsia="宋体" w:cs="宋体"/>
          <w:lang w:val="zh-CN"/>
        </w:rPr>
        <w:t>维护保养分日常保养和</w:t>
      </w:r>
      <w:r>
        <w:rPr>
          <w:rFonts w:hint="eastAsia" w:ascii="宋体" w:eastAsia="宋体" w:cs="宋体"/>
        </w:rPr>
        <w:t>购买</w:t>
      </w:r>
      <w:r>
        <w:rPr>
          <w:rFonts w:hint="eastAsia" w:ascii="宋体" w:eastAsia="宋体" w:cs="宋体"/>
          <w:lang w:val="zh-CN"/>
        </w:rPr>
        <w:t>方工作指令。</w:t>
      </w:r>
    </w:p>
    <w:p w14:paraId="1F26DA4C">
      <w:pPr>
        <w:pStyle w:val="123"/>
        <w:rPr>
          <w:rFonts w:hint="eastAsia" w:ascii="宋体" w:eastAsia="宋体" w:cs="宋体"/>
          <w:lang w:val="zh-CN"/>
        </w:rPr>
      </w:pPr>
      <w:r>
        <w:rPr>
          <w:rFonts w:hint="eastAsia" w:ascii="宋体" w:eastAsia="宋体" w:cs="宋体"/>
          <w:lang w:val="zh-CN"/>
        </w:rPr>
        <w:t>1）日常保养包括前端：检查杆件是否存在、损坏和有障碍物，检查摄像头设备是否存在、损坏和球机外罩是否清洁、除尘,检查云台、护罩、控制箱是否存在、损坏；前端维修至少每季度1次。</w:t>
      </w:r>
    </w:p>
    <w:p w14:paraId="671B3358">
      <w:pPr>
        <w:pStyle w:val="123"/>
        <w:rPr>
          <w:rFonts w:hint="eastAsia" w:ascii="宋体" w:eastAsia="宋体" w:cs="宋体"/>
          <w:lang w:val="zh-CN"/>
        </w:rPr>
      </w:pPr>
      <w:r>
        <w:rPr>
          <w:rFonts w:hint="eastAsia" w:ascii="宋体" w:eastAsia="宋体" w:cs="宋体"/>
          <w:lang w:val="zh-CN"/>
        </w:rPr>
        <w:t xml:space="preserve">传输：电缆和光缆线路是否裸露、破损信号是否衰减；传输维修至少每季度1次。 </w:t>
      </w:r>
    </w:p>
    <w:p w14:paraId="2F70F1F1">
      <w:pPr>
        <w:pStyle w:val="123"/>
        <w:rPr>
          <w:rFonts w:hint="eastAsia" w:ascii="宋体" w:eastAsia="宋体" w:cs="宋体"/>
          <w:lang w:val="zh-CN"/>
        </w:rPr>
      </w:pPr>
      <w:r>
        <w:rPr>
          <w:rFonts w:hint="eastAsia" w:ascii="宋体" w:eastAsia="宋体" w:cs="宋体"/>
          <w:lang w:val="zh-CN"/>
        </w:rPr>
        <w:t>2）指令包括：</w:t>
      </w:r>
      <w:r>
        <w:rPr>
          <w:rFonts w:hint="eastAsia" w:ascii="宋体" w:eastAsia="宋体" w:cs="宋体"/>
        </w:rPr>
        <w:t>购买</w:t>
      </w:r>
      <w:r>
        <w:rPr>
          <w:rFonts w:hint="eastAsia" w:ascii="宋体" w:eastAsia="宋体" w:cs="宋体"/>
          <w:lang w:val="zh-CN"/>
        </w:rPr>
        <w:t>方发现的指令包括服务方到现场维护的工作，如树枝遮挡、立杆横臂位移等。</w:t>
      </w:r>
    </w:p>
    <w:p w14:paraId="63CB510A">
      <w:pPr>
        <w:pStyle w:val="123"/>
        <w:rPr>
          <w:rFonts w:hint="eastAsia" w:ascii="宋体" w:eastAsia="宋体" w:cs="宋体"/>
          <w:lang w:val="zh-CN"/>
        </w:rPr>
      </w:pPr>
      <w:r>
        <w:rPr>
          <w:rFonts w:hint="eastAsia" w:ascii="宋体" w:eastAsia="宋体" w:cs="宋体"/>
          <w:lang w:val="zh-CN"/>
        </w:rPr>
        <w:t>日常保养：由</w:t>
      </w:r>
      <w:r>
        <w:rPr>
          <w:rFonts w:hint="eastAsia" w:ascii="宋体" w:eastAsia="宋体" w:cs="宋体"/>
        </w:rPr>
        <w:t>购买</w:t>
      </w:r>
      <w:r>
        <w:rPr>
          <w:rFonts w:hint="eastAsia" w:ascii="宋体" w:eastAsia="宋体" w:cs="宋体"/>
          <w:lang w:val="zh-CN"/>
        </w:rPr>
        <w:t>方根据服务方提交的维护保养记录和现场检查情况考核，发现一次与实际情况不符的扣除一个监控点当月付费金额。</w:t>
      </w:r>
      <w:r>
        <w:rPr>
          <w:rFonts w:hint="eastAsia" w:ascii="宋体" w:eastAsia="宋体" w:cs="宋体"/>
        </w:rPr>
        <w:t>购买</w:t>
      </w:r>
      <w:r>
        <w:rPr>
          <w:rFonts w:hint="eastAsia" w:ascii="宋体" w:eastAsia="宋体" w:cs="宋体"/>
          <w:lang w:val="zh-CN"/>
        </w:rPr>
        <w:t>方指令一般情况下在48小时内完成，如果不能完成扣除一个监控点当月付费金额。</w:t>
      </w:r>
    </w:p>
    <w:p w14:paraId="5D74CE59">
      <w:pPr>
        <w:pStyle w:val="123"/>
        <w:rPr>
          <w:rFonts w:hint="eastAsia" w:ascii="宋体" w:eastAsia="宋体" w:cs="宋体"/>
          <w:lang w:val="zh-CN"/>
        </w:rPr>
      </w:pPr>
      <w:r>
        <w:rPr>
          <w:rFonts w:hint="eastAsia" w:ascii="宋体" w:eastAsia="宋体" w:cs="宋体"/>
          <w:lang w:val="zh-CN"/>
        </w:rPr>
        <w:t>点位迁移：由于城市建设、修路等原因导致点位无法正常使用，服务方需要按照</w:t>
      </w:r>
      <w:r>
        <w:rPr>
          <w:rFonts w:hint="eastAsia" w:ascii="宋体" w:eastAsia="宋体" w:cs="宋体"/>
        </w:rPr>
        <w:t>购买</w:t>
      </w:r>
      <w:r>
        <w:rPr>
          <w:rFonts w:hint="eastAsia" w:ascii="宋体" w:eastAsia="宋体" w:cs="宋体"/>
          <w:lang w:val="zh-CN"/>
        </w:rPr>
        <w:t>方指定位置迁移点位，点位迁移期间，月服务费正常支付。</w:t>
      </w:r>
    </w:p>
    <w:p w14:paraId="5BB23E55">
      <w:pPr>
        <w:pStyle w:val="123"/>
        <w:rPr>
          <w:rFonts w:hint="eastAsia" w:ascii="宋体" w:eastAsia="宋体" w:cs="宋体"/>
          <w:lang w:val="zh-CN"/>
        </w:rPr>
      </w:pPr>
      <w:r>
        <w:rPr>
          <w:rFonts w:hint="eastAsia" w:ascii="宋体" w:eastAsia="宋体" w:cs="宋体"/>
          <w:lang w:val="zh-CN"/>
        </w:rPr>
        <w:t>若视频监控范围内发生案件、交通事故等，租赁设备对案件、事故发生有过错，服务方依法承担过错赔偿责任。</w:t>
      </w:r>
    </w:p>
    <w:p w14:paraId="08A89457">
      <w:pPr>
        <w:pStyle w:val="7"/>
        <w:rPr>
          <w:rFonts w:hint="eastAsia" w:ascii="宋体" w:eastAsia="宋体" w:cs="宋体"/>
          <w:lang w:val="zh-CN"/>
        </w:rPr>
      </w:pPr>
      <w:r>
        <w:rPr>
          <w:rFonts w:hint="eastAsia" w:ascii="宋体" w:eastAsia="宋体" w:cs="宋体"/>
        </w:rPr>
        <w:t>运维考核制度</w:t>
      </w:r>
    </w:p>
    <w:p w14:paraId="418AF045">
      <w:pPr>
        <w:pStyle w:val="123"/>
        <w:rPr>
          <w:rFonts w:hint="eastAsia" w:ascii="宋体" w:eastAsia="宋体" w:cs="宋体"/>
          <w:lang w:val="zh-CN"/>
        </w:rPr>
      </w:pPr>
      <w:r>
        <w:rPr>
          <w:rFonts w:hint="eastAsia" w:ascii="宋体" w:eastAsia="宋体" w:cs="宋体"/>
          <w:lang w:val="zh-CN"/>
        </w:rPr>
        <w:t>前端摄像机月度总体完好率达到 100%不进行扣款；98%≤完好率＜100%，扣除当月费用基数*（1－完好率）；90%≤完好率＜98% 时，扣除当月费用基数*（1－完好率）*2；完好率＜ 90%时，扣除当月运维费用；服务商原因导致连续三个月完好率低于90%，视为服务商违约，</w:t>
      </w:r>
      <w:r>
        <w:rPr>
          <w:rFonts w:hint="eastAsia" w:ascii="宋体" w:eastAsia="宋体" w:cs="宋体"/>
        </w:rPr>
        <w:t>购买</w:t>
      </w:r>
      <w:r>
        <w:rPr>
          <w:rFonts w:hint="eastAsia" w:ascii="宋体" w:eastAsia="宋体" w:cs="宋体"/>
          <w:lang w:val="zh-CN"/>
        </w:rPr>
        <w:t>方有权解除合同，并要求服务商承担违约责任。</w:t>
      </w:r>
    </w:p>
    <w:p w14:paraId="7734F818">
      <w:pPr>
        <w:pStyle w:val="12"/>
        <w:jc w:val="center"/>
        <w:rPr>
          <w:rFonts w:hint="eastAsia" w:ascii="宋体" w:eastAsia="宋体" w:cs="宋体"/>
        </w:rPr>
      </w:pPr>
      <w:r>
        <w:rPr>
          <w:rFonts w:hint="eastAsia"/>
        </w:rPr>
        <w:t>表</w:t>
      </w:r>
      <w:r>
        <w:t xml:space="preserve">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表 \* ARABIC \s 2 </w:instrText>
      </w:r>
      <w:r>
        <w:fldChar w:fldCharType="separate"/>
      </w:r>
      <w:r>
        <w:t>1</w:t>
      </w:r>
      <w:r>
        <w:fldChar w:fldCharType="end"/>
      </w:r>
      <w:r>
        <w:rPr>
          <w:rFonts w:hint="eastAsia"/>
        </w:rPr>
        <w:t xml:space="preserve"> 运维考核表</w:t>
      </w:r>
    </w:p>
    <w:tbl>
      <w:tblPr>
        <w:tblStyle w:val="38"/>
        <w:tblW w:w="83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8"/>
        <w:gridCol w:w="3792"/>
        <w:gridCol w:w="1276"/>
      </w:tblGrid>
      <w:tr w14:paraId="32E13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3248" w:type="dxa"/>
            <w:tcBorders>
              <w:top w:val="single" w:color="000000" w:sz="4" w:space="0"/>
              <w:left w:val="single" w:color="000000" w:sz="4" w:space="0"/>
              <w:bottom w:val="single" w:color="000000" w:sz="4" w:space="0"/>
              <w:right w:val="single" w:color="000000" w:sz="4" w:space="0"/>
            </w:tcBorders>
            <w:shd w:val="clear" w:color="auto" w:fill="D0CECE"/>
            <w:noWrap/>
            <w:vAlign w:val="center"/>
          </w:tcPr>
          <w:p w14:paraId="5B95D911">
            <w:pPr>
              <w:pStyle w:val="86"/>
              <w:spacing w:before="85"/>
              <w:ind w:left="106"/>
              <w:rPr>
                <w:rFonts w:hint="eastAsia" w:ascii="宋体" w:eastAsia="宋体" w:cs="宋体"/>
                <w:sz w:val="24"/>
                <w:lang w:eastAsia="zh-CN"/>
              </w:rPr>
            </w:pPr>
            <w:r>
              <w:rPr>
                <w:rFonts w:hint="eastAsia" w:ascii="宋体" w:eastAsia="宋体" w:cs="宋体"/>
                <w:sz w:val="24"/>
              </w:rPr>
              <w:t>月度</w:t>
            </w:r>
            <w:r>
              <w:rPr>
                <w:rFonts w:hint="eastAsia" w:ascii="宋体" w:eastAsia="宋体" w:cs="宋体"/>
                <w:sz w:val="24"/>
                <w:lang w:eastAsia="zh-CN"/>
              </w:rPr>
              <w:t>完好率</w:t>
            </w:r>
          </w:p>
        </w:tc>
        <w:tc>
          <w:tcPr>
            <w:tcW w:w="3792" w:type="dxa"/>
            <w:tcBorders>
              <w:top w:val="single" w:color="000000" w:sz="4" w:space="0"/>
              <w:left w:val="single" w:color="000000" w:sz="4" w:space="0"/>
              <w:bottom w:val="single" w:color="000000" w:sz="4" w:space="0"/>
              <w:right w:val="single" w:color="000000" w:sz="4" w:space="0"/>
            </w:tcBorders>
            <w:shd w:val="clear" w:color="auto" w:fill="D0CECE"/>
            <w:noWrap/>
            <w:vAlign w:val="center"/>
          </w:tcPr>
          <w:p w14:paraId="4F150DC5">
            <w:pPr>
              <w:pStyle w:val="86"/>
              <w:spacing w:before="85"/>
              <w:ind w:left="106"/>
              <w:rPr>
                <w:rFonts w:hint="eastAsia" w:ascii="宋体" w:eastAsia="宋体" w:cs="宋体"/>
                <w:sz w:val="24"/>
              </w:rPr>
            </w:pPr>
            <w:r>
              <w:rPr>
                <w:rFonts w:hint="eastAsia" w:ascii="宋体" w:eastAsia="宋体" w:cs="宋体"/>
                <w:sz w:val="24"/>
                <w:lang w:eastAsia="zh-CN"/>
              </w:rPr>
              <w:t>计费</w:t>
            </w:r>
            <w:r>
              <w:rPr>
                <w:rFonts w:hint="eastAsia" w:ascii="宋体" w:eastAsia="宋体" w:cs="宋体"/>
                <w:sz w:val="24"/>
              </w:rPr>
              <w:t>标准</w:t>
            </w:r>
          </w:p>
        </w:tc>
        <w:tc>
          <w:tcPr>
            <w:tcW w:w="1276" w:type="dxa"/>
            <w:tcBorders>
              <w:top w:val="single" w:color="000000" w:sz="4" w:space="0"/>
              <w:left w:val="single" w:color="000000" w:sz="4" w:space="0"/>
              <w:bottom w:val="single" w:color="000000" w:sz="4" w:space="0"/>
              <w:right w:val="single" w:color="000000" w:sz="4" w:space="0"/>
            </w:tcBorders>
            <w:shd w:val="clear" w:color="auto" w:fill="D0CECE"/>
            <w:noWrap/>
            <w:vAlign w:val="center"/>
          </w:tcPr>
          <w:p w14:paraId="7EBE447B">
            <w:pPr>
              <w:pStyle w:val="86"/>
              <w:spacing w:before="85"/>
              <w:rPr>
                <w:rFonts w:hint="eastAsia" w:ascii="宋体" w:eastAsia="宋体" w:cs="宋体"/>
                <w:sz w:val="24"/>
              </w:rPr>
            </w:pPr>
            <w:r>
              <w:rPr>
                <w:rFonts w:hint="eastAsia" w:ascii="宋体" w:eastAsia="宋体" w:cs="宋体"/>
                <w:sz w:val="24"/>
              </w:rPr>
              <w:t>备注</w:t>
            </w:r>
          </w:p>
        </w:tc>
      </w:tr>
      <w:tr w14:paraId="00A16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248" w:type="dxa"/>
            <w:tcBorders>
              <w:top w:val="single" w:color="000000" w:sz="4" w:space="0"/>
              <w:left w:val="single" w:color="000000" w:sz="4" w:space="0"/>
              <w:bottom w:val="single" w:color="000000" w:sz="4" w:space="0"/>
              <w:right w:val="single" w:color="000000" w:sz="4" w:space="0"/>
            </w:tcBorders>
            <w:noWrap/>
            <w:vAlign w:val="center"/>
          </w:tcPr>
          <w:p w14:paraId="7B855509">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等于100%</w:t>
            </w:r>
          </w:p>
        </w:tc>
        <w:tc>
          <w:tcPr>
            <w:tcW w:w="3792" w:type="dxa"/>
            <w:tcBorders>
              <w:top w:val="single" w:color="000000" w:sz="4" w:space="0"/>
              <w:left w:val="single" w:color="000000" w:sz="4" w:space="0"/>
              <w:bottom w:val="single" w:color="000000" w:sz="4" w:space="0"/>
              <w:right w:val="single" w:color="000000" w:sz="4" w:space="0"/>
            </w:tcBorders>
            <w:noWrap/>
            <w:vAlign w:val="center"/>
          </w:tcPr>
          <w:p w14:paraId="183C9626">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不进行扣款</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769E1F86">
            <w:pPr>
              <w:pStyle w:val="86"/>
              <w:spacing w:before="82"/>
              <w:ind w:firstLine="0" w:firstLineChars="0"/>
              <w:rPr>
                <w:rFonts w:hint="eastAsia" w:ascii="宋体" w:eastAsia="宋体" w:cs="宋体"/>
                <w:spacing w:val="-12"/>
                <w:sz w:val="24"/>
                <w:lang w:eastAsia="zh-CN"/>
              </w:rPr>
            </w:pPr>
          </w:p>
        </w:tc>
      </w:tr>
      <w:tr w14:paraId="591A6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248" w:type="dxa"/>
            <w:tcBorders>
              <w:top w:val="single" w:color="000000" w:sz="4" w:space="0"/>
              <w:left w:val="single" w:color="000000" w:sz="4" w:space="0"/>
              <w:bottom w:val="single" w:color="000000" w:sz="4" w:space="0"/>
              <w:right w:val="single" w:color="000000" w:sz="4" w:space="0"/>
            </w:tcBorders>
            <w:noWrap/>
            <w:vAlign w:val="center"/>
          </w:tcPr>
          <w:p w14:paraId="6C436F96">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大于等于 98%小于 100%</w:t>
            </w:r>
          </w:p>
        </w:tc>
        <w:tc>
          <w:tcPr>
            <w:tcW w:w="3792" w:type="dxa"/>
            <w:tcBorders>
              <w:top w:val="single" w:color="000000" w:sz="4" w:space="0"/>
              <w:left w:val="single" w:color="000000" w:sz="4" w:space="0"/>
              <w:bottom w:val="single" w:color="000000" w:sz="4" w:space="0"/>
              <w:right w:val="single" w:color="000000" w:sz="4" w:space="0"/>
            </w:tcBorders>
            <w:noWrap/>
            <w:vAlign w:val="center"/>
          </w:tcPr>
          <w:p w14:paraId="4B981D37">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按当月完好率统计支付=当月费</w:t>
            </w:r>
          </w:p>
          <w:p w14:paraId="566B18B8">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用基数-</w:t>
            </w:r>
            <w:r>
              <w:rPr>
                <w:rFonts w:hint="eastAsia" w:ascii="宋体" w:eastAsia="宋体" w:cs="宋体"/>
                <w:spacing w:val="-12"/>
                <w:sz w:val="24"/>
                <w:lang w:val="zh-CN" w:eastAsia="zh-CN"/>
              </w:rPr>
              <w:t>当月费用基数*（1－完好率）</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01A946E0">
            <w:pPr>
              <w:pStyle w:val="86"/>
              <w:spacing w:before="82"/>
              <w:ind w:firstLine="0" w:firstLineChars="0"/>
              <w:rPr>
                <w:rFonts w:hint="eastAsia" w:ascii="宋体" w:eastAsia="宋体" w:cs="宋体"/>
                <w:spacing w:val="-12"/>
                <w:sz w:val="24"/>
                <w:lang w:eastAsia="zh-CN"/>
              </w:rPr>
            </w:pPr>
          </w:p>
        </w:tc>
      </w:tr>
      <w:tr w14:paraId="7B87C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248" w:type="dxa"/>
            <w:tcBorders>
              <w:top w:val="single" w:color="000000" w:sz="4" w:space="0"/>
              <w:left w:val="single" w:color="000000" w:sz="4" w:space="0"/>
              <w:bottom w:val="single" w:color="000000" w:sz="4" w:space="0"/>
              <w:right w:val="single" w:color="000000" w:sz="4" w:space="0"/>
            </w:tcBorders>
            <w:noWrap/>
            <w:vAlign w:val="center"/>
          </w:tcPr>
          <w:p w14:paraId="31F02734">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大于等于 90%小于 98%</w:t>
            </w:r>
          </w:p>
        </w:tc>
        <w:tc>
          <w:tcPr>
            <w:tcW w:w="3792" w:type="dxa"/>
            <w:tcBorders>
              <w:top w:val="single" w:color="000000" w:sz="4" w:space="0"/>
              <w:left w:val="single" w:color="000000" w:sz="4" w:space="0"/>
              <w:bottom w:val="single" w:color="000000" w:sz="4" w:space="0"/>
              <w:right w:val="single" w:color="000000" w:sz="4" w:space="0"/>
            </w:tcBorders>
            <w:noWrap/>
            <w:vAlign w:val="center"/>
          </w:tcPr>
          <w:p w14:paraId="3D3C281F">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按当月完好率统计支付=当月费</w:t>
            </w:r>
          </w:p>
          <w:p w14:paraId="3567B564">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用基数-当</w:t>
            </w:r>
            <w:r>
              <w:rPr>
                <w:rFonts w:hint="eastAsia" w:ascii="宋体" w:eastAsia="宋体" w:cs="宋体"/>
                <w:spacing w:val="-12"/>
                <w:sz w:val="24"/>
                <w:lang w:val="zh-CN" w:eastAsia="zh-CN"/>
              </w:rPr>
              <w:t>月费用基数*（1－完好率）*2</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3CFED3CB">
            <w:pPr>
              <w:pStyle w:val="86"/>
              <w:spacing w:before="82"/>
              <w:ind w:firstLine="0" w:firstLineChars="0"/>
              <w:rPr>
                <w:rFonts w:hint="eastAsia" w:ascii="宋体" w:eastAsia="宋体" w:cs="宋体"/>
                <w:spacing w:val="-12"/>
                <w:sz w:val="24"/>
                <w:lang w:eastAsia="zh-CN"/>
              </w:rPr>
            </w:pPr>
          </w:p>
        </w:tc>
      </w:tr>
      <w:tr w14:paraId="696ED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248" w:type="dxa"/>
            <w:tcBorders>
              <w:top w:val="single" w:color="000000" w:sz="4" w:space="0"/>
              <w:left w:val="single" w:color="000000" w:sz="4" w:space="0"/>
              <w:bottom w:val="single" w:color="000000" w:sz="4" w:space="0"/>
              <w:right w:val="single" w:color="000000" w:sz="4" w:space="0"/>
            </w:tcBorders>
            <w:noWrap/>
            <w:vAlign w:val="center"/>
          </w:tcPr>
          <w:p w14:paraId="417AD630">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小于 90%</w:t>
            </w:r>
          </w:p>
        </w:tc>
        <w:tc>
          <w:tcPr>
            <w:tcW w:w="3792" w:type="dxa"/>
            <w:tcBorders>
              <w:top w:val="single" w:color="000000" w:sz="4" w:space="0"/>
              <w:left w:val="single" w:color="000000" w:sz="4" w:space="0"/>
              <w:bottom w:val="single" w:color="000000" w:sz="4" w:space="0"/>
              <w:right w:val="single" w:color="000000" w:sz="4" w:space="0"/>
            </w:tcBorders>
            <w:noWrap/>
            <w:vAlign w:val="center"/>
          </w:tcPr>
          <w:p w14:paraId="5E9593F5">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扣除当月费用</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0409E67C">
            <w:pPr>
              <w:pStyle w:val="86"/>
              <w:spacing w:before="82"/>
              <w:ind w:firstLine="0" w:firstLineChars="0"/>
              <w:rPr>
                <w:rFonts w:hint="eastAsia" w:ascii="宋体" w:eastAsia="宋体" w:cs="宋体"/>
                <w:spacing w:val="-12"/>
                <w:sz w:val="24"/>
                <w:lang w:eastAsia="zh-CN"/>
              </w:rPr>
            </w:pPr>
          </w:p>
        </w:tc>
      </w:tr>
      <w:tr w14:paraId="47E68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248" w:type="dxa"/>
            <w:tcBorders>
              <w:top w:val="single" w:color="000000" w:sz="4" w:space="0"/>
              <w:left w:val="single" w:color="000000" w:sz="4" w:space="0"/>
              <w:bottom w:val="single" w:color="000000" w:sz="4" w:space="0"/>
              <w:right w:val="single" w:color="000000" w:sz="4" w:space="0"/>
            </w:tcBorders>
            <w:noWrap/>
            <w:vAlign w:val="center"/>
          </w:tcPr>
          <w:p w14:paraId="54D266EC">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连续三个月小于 90%</w:t>
            </w:r>
          </w:p>
        </w:tc>
        <w:tc>
          <w:tcPr>
            <w:tcW w:w="3792" w:type="dxa"/>
            <w:tcBorders>
              <w:top w:val="single" w:color="000000" w:sz="4" w:space="0"/>
              <w:left w:val="single" w:color="000000" w:sz="4" w:space="0"/>
              <w:bottom w:val="single" w:color="000000" w:sz="4" w:space="0"/>
              <w:right w:val="single" w:color="000000" w:sz="4" w:space="0"/>
            </w:tcBorders>
            <w:noWrap/>
            <w:vAlign w:val="center"/>
          </w:tcPr>
          <w:p w14:paraId="380BAB08">
            <w:pPr>
              <w:pStyle w:val="86"/>
              <w:spacing w:before="82"/>
              <w:ind w:firstLine="0" w:firstLineChars="0"/>
              <w:rPr>
                <w:rFonts w:hint="eastAsia" w:ascii="宋体" w:eastAsia="宋体" w:cs="宋体"/>
                <w:spacing w:val="-12"/>
                <w:sz w:val="24"/>
                <w:lang w:eastAsia="zh-CN"/>
              </w:rPr>
            </w:pPr>
            <w:r>
              <w:rPr>
                <w:rFonts w:hint="eastAsia" w:ascii="宋体" w:eastAsia="宋体" w:cs="宋体"/>
                <w:spacing w:val="-12"/>
                <w:sz w:val="24"/>
                <w:lang w:eastAsia="zh-CN"/>
              </w:rPr>
              <w:t>视为服务商违约，采购方有权解除合同，并要求服务商承担违约责任。</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571B4411">
            <w:pPr>
              <w:pStyle w:val="86"/>
              <w:spacing w:before="82"/>
              <w:ind w:firstLine="0" w:firstLineChars="0"/>
              <w:rPr>
                <w:rFonts w:hint="eastAsia" w:ascii="宋体" w:eastAsia="宋体" w:cs="宋体"/>
                <w:spacing w:val="-12"/>
                <w:sz w:val="24"/>
                <w:lang w:eastAsia="zh-CN"/>
              </w:rPr>
            </w:pPr>
          </w:p>
        </w:tc>
      </w:tr>
    </w:tbl>
    <w:p w14:paraId="2C6C7C51">
      <w:pPr>
        <w:pStyle w:val="123"/>
        <w:rPr>
          <w:rFonts w:hint="eastAsia" w:ascii="宋体" w:eastAsia="宋体" w:cs="宋体"/>
          <w:lang w:val="zh-CN"/>
        </w:rPr>
      </w:pPr>
      <w:r>
        <w:rPr>
          <w:rFonts w:hint="eastAsia" w:ascii="宋体" w:eastAsia="宋体" w:cs="宋体"/>
          <w:lang w:val="zh-CN"/>
        </w:rPr>
        <w:t>计算公式：</w:t>
      </w:r>
    </w:p>
    <w:p w14:paraId="12328066">
      <w:pPr>
        <w:pStyle w:val="123"/>
        <w:rPr>
          <w:rFonts w:hint="eastAsia" w:ascii="宋体" w:eastAsia="宋体" w:cs="宋体"/>
          <w:lang w:val="zh-CN"/>
        </w:rPr>
      </w:pPr>
      <w:r>
        <w:rPr>
          <w:rFonts w:hint="eastAsia" w:ascii="宋体" w:eastAsia="宋体" w:cs="宋体"/>
          <w:lang w:val="zh-CN"/>
        </w:rPr>
        <w:t>月度完好率=</w:t>
      </w:r>
      <w:r>
        <w:rPr>
          <w:rFonts w:hint="eastAsia" w:ascii="宋体" w:eastAsia="宋体" w:cs="宋体"/>
        </w:rPr>
        <w:t>月度实际完好时长</w:t>
      </w:r>
      <w:r>
        <w:rPr>
          <w:rFonts w:hint="eastAsia" w:ascii="宋体" w:eastAsia="宋体" w:cs="宋体"/>
          <w:lang w:val="zh-CN"/>
        </w:rPr>
        <w:t>/</w:t>
      </w:r>
      <w:r>
        <w:rPr>
          <w:rFonts w:hint="eastAsia" w:ascii="宋体" w:eastAsia="宋体" w:cs="宋体"/>
        </w:rPr>
        <w:t>月度完好总时长</w:t>
      </w:r>
      <w:r>
        <w:rPr>
          <w:rFonts w:hint="eastAsia" w:ascii="宋体" w:eastAsia="宋体" w:cs="宋体"/>
          <w:lang w:val="zh-CN"/>
        </w:rPr>
        <w:t>。（</w:t>
      </w:r>
      <w:r>
        <w:rPr>
          <w:rFonts w:hint="eastAsia" w:ascii="宋体" w:eastAsia="宋体" w:cs="宋体"/>
        </w:rPr>
        <w:t>取小数点后4位</w:t>
      </w:r>
      <w:r>
        <w:rPr>
          <w:rFonts w:hint="eastAsia" w:ascii="宋体" w:eastAsia="宋体" w:cs="宋体"/>
          <w:lang w:val="zh-CN"/>
        </w:rPr>
        <w:t>）（不可抗力、道路改造、</w:t>
      </w:r>
      <w:r>
        <w:rPr>
          <w:rFonts w:hint="eastAsia" w:ascii="宋体" w:eastAsia="宋体" w:cs="宋体"/>
        </w:rPr>
        <w:t>市政停电</w:t>
      </w:r>
      <w:r>
        <w:rPr>
          <w:rFonts w:hint="eastAsia" w:ascii="宋体" w:eastAsia="宋体" w:cs="宋体"/>
          <w:lang w:val="zh-CN"/>
        </w:rPr>
        <w:t>等</w:t>
      </w:r>
      <w:r>
        <w:rPr>
          <w:rFonts w:hint="eastAsia" w:ascii="宋体" w:eastAsia="宋体" w:cs="宋体"/>
        </w:rPr>
        <w:t>客观因素除外，客观因素需经采购方进行复核</w:t>
      </w:r>
      <w:r>
        <w:rPr>
          <w:rFonts w:hint="eastAsia" w:ascii="宋体" w:eastAsia="宋体" w:cs="宋体"/>
          <w:lang w:val="zh-CN"/>
        </w:rPr>
        <w:t>）</w:t>
      </w:r>
    </w:p>
    <w:p w14:paraId="672A5E5B">
      <w:pPr>
        <w:pStyle w:val="123"/>
        <w:rPr>
          <w:rFonts w:hint="eastAsia" w:ascii="宋体" w:eastAsia="宋体" w:cs="宋体"/>
          <w:lang w:val="zh-CN"/>
        </w:rPr>
      </w:pPr>
      <w:r>
        <w:rPr>
          <w:rFonts w:hint="eastAsia" w:ascii="宋体" w:eastAsia="宋体" w:cs="宋体"/>
        </w:rPr>
        <w:t>月度完好总时长=</w:t>
      </w:r>
      <w:r>
        <w:rPr>
          <w:rFonts w:hint="eastAsia" w:ascii="宋体" w:eastAsia="宋体" w:cs="宋体"/>
          <w:lang w:val="zh-CN"/>
        </w:rPr>
        <w:t>每月所有摄像机数*每月</w:t>
      </w:r>
      <w:r>
        <w:rPr>
          <w:rFonts w:hint="eastAsia" w:ascii="宋体" w:eastAsia="宋体" w:cs="宋体"/>
        </w:rPr>
        <w:t>天数*24小时</w:t>
      </w:r>
      <w:r>
        <w:rPr>
          <w:rFonts w:hint="eastAsia" w:ascii="宋体" w:eastAsia="宋体" w:cs="宋体"/>
          <w:lang w:val="zh-CN"/>
        </w:rPr>
        <w:t>；</w:t>
      </w:r>
    </w:p>
    <w:p w14:paraId="7852612B">
      <w:pPr>
        <w:pStyle w:val="123"/>
        <w:rPr>
          <w:rFonts w:hint="eastAsia" w:ascii="宋体" w:eastAsia="宋体" w:cs="宋体"/>
        </w:rPr>
      </w:pPr>
      <w:r>
        <w:rPr>
          <w:rFonts w:hint="eastAsia" w:ascii="宋体" w:eastAsia="宋体" w:cs="宋体"/>
        </w:rPr>
        <w:t>月度实际完好时长=</w:t>
      </w:r>
      <w:r>
        <w:rPr>
          <w:rFonts w:hint="eastAsia" w:ascii="宋体" w:eastAsia="宋体" w:cs="宋体"/>
          <w:lang w:val="zh-CN"/>
        </w:rPr>
        <w:t>每月所有摄像机</w:t>
      </w:r>
      <w:r>
        <w:rPr>
          <w:rFonts w:hint="eastAsia" w:ascii="宋体" w:eastAsia="宋体" w:cs="宋体"/>
        </w:rPr>
        <w:t>完好</w:t>
      </w:r>
      <w:r>
        <w:rPr>
          <w:rFonts w:hint="eastAsia" w:ascii="宋体" w:eastAsia="宋体" w:cs="宋体"/>
          <w:lang w:val="zh-CN"/>
        </w:rPr>
        <w:t>时</w:t>
      </w:r>
      <w:r>
        <w:rPr>
          <w:rFonts w:hint="eastAsia" w:ascii="宋体" w:eastAsia="宋体" w:cs="宋体"/>
        </w:rPr>
        <w:t>长。</w:t>
      </w:r>
    </w:p>
    <w:p w14:paraId="7BD8F7A4">
      <w:pPr>
        <w:pStyle w:val="123"/>
        <w:rPr>
          <w:rFonts w:hint="eastAsia" w:ascii="宋体" w:eastAsia="宋体" w:cs="宋体"/>
        </w:rPr>
      </w:pPr>
      <w:r>
        <w:rPr>
          <w:rFonts w:hint="eastAsia" w:ascii="宋体" w:eastAsia="宋体" w:cs="宋体"/>
        </w:rPr>
        <w:t>前端摄像机完好是指前端摄像机未发生故障，能够满足滁州市公安局正常实战应用及合同相关要求。</w:t>
      </w:r>
    </w:p>
    <w:p w14:paraId="56E40CFB">
      <w:pPr>
        <w:pStyle w:val="123"/>
        <w:rPr>
          <w:rFonts w:hint="eastAsia" w:ascii="宋体" w:eastAsia="宋体" w:cs="宋体"/>
          <w:lang w:val="zh-CN"/>
        </w:rPr>
      </w:pPr>
      <w:r>
        <w:rPr>
          <w:rFonts w:hint="eastAsia" w:ascii="宋体" w:eastAsia="宋体" w:cs="宋体"/>
          <w:lang w:val="zh-CN"/>
        </w:rPr>
        <w:t>摄像机故障是指前端设备离线以及前端设备在线但实际图像因镜头污损、图像模糊、异物遮挡、控制故障、枪机画面严重偏离监控有效区域，摄像机字符错误、时钟同步异常或标注位置不准确、录像回放异常、球机云台失灵；</w:t>
      </w:r>
      <w:r>
        <w:rPr>
          <w:rFonts w:hint="eastAsia" w:ascii="宋体" w:eastAsia="宋体" w:cs="宋体"/>
        </w:rPr>
        <w:t>智能化摄像机采集人脸、人体、车辆、非机动车等数据无效或数据不全</w:t>
      </w:r>
      <w:r>
        <w:rPr>
          <w:rFonts w:hint="eastAsia" w:ascii="宋体" w:eastAsia="宋体" w:cs="宋体"/>
          <w:lang w:val="zh-CN"/>
        </w:rPr>
        <w:t>等问题，不能达到有效使用效果的情况。</w:t>
      </w:r>
    </w:p>
    <w:p w14:paraId="3D57F688">
      <w:pPr>
        <w:pStyle w:val="123"/>
        <w:numPr>
          <w:ilvl w:val="0"/>
          <w:numId w:val="12"/>
        </w:numPr>
        <w:ind w:left="0" w:firstLine="560" w:firstLineChars="0"/>
        <w:rPr>
          <w:rFonts w:hint="eastAsia" w:ascii="宋体" w:eastAsia="宋体" w:cs="宋体"/>
        </w:rPr>
      </w:pPr>
      <w:r>
        <w:rPr>
          <w:rFonts w:hint="eastAsia" w:ascii="宋体" w:eastAsia="宋体" w:cs="宋体"/>
        </w:rPr>
        <w:t>日常巡检</w:t>
      </w:r>
    </w:p>
    <w:p w14:paraId="4A7FB945">
      <w:pPr>
        <w:pStyle w:val="123"/>
        <w:rPr>
          <w:rFonts w:hint="eastAsia" w:ascii="宋体" w:eastAsia="宋体" w:cs="宋体"/>
        </w:rPr>
      </w:pPr>
      <w:r>
        <w:rPr>
          <w:rFonts w:hint="eastAsia" w:ascii="宋体" w:eastAsia="宋体" w:cs="宋体"/>
        </w:rPr>
        <w:t>（1）外场巡检每季度形成记录报表；（2）内场系统平台巡检每天登录一次，机房巡检每周一次，形成记录报表；未按要求开展相关工作每次扣除5000元。</w:t>
      </w:r>
    </w:p>
    <w:p w14:paraId="4DB4E1F8">
      <w:pPr>
        <w:pStyle w:val="123"/>
        <w:numPr>
          <w:ilvl w:val="0"/>
          <w:numId w:val="12"/>
        </w:numPr>
        <w:ind w:left="0" w:firstLine="560" w:firstLineChars="0"/>
        <w:rPr>
          <w:rFonts w:hint="eastAsia" w:ascii="宋体" w:eastAsia="宋体" w:cs="宋体"/>
        </w:rPr>
      </w:pPr>
      <w:r>
        <w:rPr>
          <w:rFonts w:hint="eastAsia" w:ascii="宋体" w:eastAsia="宋体" w:cs="宋体"/>
        </w:rPr>
        <w:t>视频图像质量</w:t>
      </w:r>
    </w:p>
    <w:p w14:paraId="47A79FCB">
      <w:pPr>
        <w:pStyle w:val="123"/>
        <w:rPr>
          <w:rFonts w:hint="eastAsia" w:ascii="宋体" w:eastAsia="宋体" w:cs="宋体"/>
        </w:rPr>
      </w:pPr>
      <w:r>
        <w:rPr>
          <w:rFonts w:hint="eastAsia" w:ascii="宋体" w:eastAsia="宋体" w:cs="宋体"/>
        </w:rPr>
        <w:t>（1）监控点在电子地图上标记错误或图像标注不规范，扣除该点位月服务费；</w:t>
      </w:r>
    </w:p>
    <w:p w14:paraId="1899EA70">
      <w:pPr>
        <w:pStyle w:val="123"/>
        <w:rPr>
          <w:rFonts w:hint="eastAsia" w:ascii="宋体" w:eastAsia="宋体" w:cs="宋体"/>
        </w:rPr>
      </w:pPr>
      <w:r>
        <w:rPr>
          <w:rFonts w:hint="eastAsia" w:ascii="宋体" w:eastAsia="宋体" w:cs="宋体"/>
        </w:rPr>
        <w:t>（2）前端摄像机录像未保存或不完整（存储时长不达标、丢帧等），扣除该点位月服务费。</w:t>
      </w:r>
    </w:p>
    <w:p w14:paraId="535CD73C">
      <w:pPr>
        <w:pStyle w:val="123"/>
        <w:numPr>
          <w:ilvl w:val="0"/>
          <w:numId w:val="12"/>
        </w:numPr>
        <w:ind w:left="0" w:firstLine="560" w:firstLineChars="0"/>
        <w:rPr>
          <w:rFonts w:hint="eastAsia" w:ascii="宋体" w:eastAsia="宋体" w:cs="宋体"/>
        </w:rPr>
      </w:pPr>
      <w:r>
        <w:rPr>
          <w:rFonts w:hint="eastAsia" w:ascii="宋体" w:eastAsia="宋体" w:cs="宋体"/>
        </w:rPr>
        <w:t>服务人员</w:t>
      </w:r>
    </w:p>
    <w:p w14:paraId="1A52C012">
      <w:pPr>
        <w:pStyle w:val="123"/>
        <w:rPr>
          <w:rFonts w:hint="eastAsia" w:ascii="宋体" w:eastAsia="宋体" w:cs="宋体"/>
        </w:rPr>
      </w:pPr>
      <w:r>
        <w:rPr>
          <w:rFonts w:hint="eastAsia" w:ascii="宋体" w:eastAsia="宋体" w:cs="宋体"/>
        </w:rPr>
        <w:t>（1）驻点服务人员不在岗或不遵守驻点单位工作制度，每发生一次的，扣除1个点位的服务费用；</w:t>
      </w:r>
    </w:p>
    <w:p w14:paraId="45A717CF">
      <w:pPr>
        <w:pStyle w:val="123"/>
        <w:rPr>
          <w:rFonts w:hint="eastAsia" w:ascii="宋体" w:eastAsia="宋体" w:cs="宋体"/>
        </w:rPr>
      </w:pPr>
      <w:r>
        <w:rPr>
          <w:rFonts w:hint="eastAsia" w:ascii="宋体" w:eastAsia="宋体" w:cs="宋体"/>
        </w:rPr>
        <w:t>（2）服务人员未履行信息安全保密要求，泄露警务信息秘密、视频图像信息或发生违规外联、违规查询等安全事件，被公安部、省公安厅检测通报；每发生一起从服务费用中扣除5000元；</w:t>
      </w:r>
    </w:p>
    <w:p w14:paraId="66539CEF">
      <w:pPr>
        <w:pStyle w:val="123"/>
        <w:rPr>
          <w:rFonts w:hint="eastAsia" w:ascii="宋体" w:eastAsia="宋体" w:cs="宋体"/>
        </w:rPr>
      </w:pPr>
      <w:r>
        <w:rPr>
          <w:rFonts w:hint="eastAsia" w:ascii="宋体" w:eastAsia="宋体" w:cs="宋体"/>
        </w:rPr>
        <w:t>（3）施工人员未按照安全规范施工，进行围挡、设置提示牌、安全接电等发生施工安全事故，造成本人或他人生命财产损失；未按照规范施工的扣除1个点位的服务费用；发生施工安全事故服务单位承担所有的费用；</w:t>
      </w:r>
    </w:p>
    <w:p w14:paraId="0FC14CEB">
      <w:pPr>
        <w:pStyle w:val="123"/>
        <w:rPr>
          <w:rFonts w:hint="eastAsia" w:ascii="宋体" w:eastAsia="宋体" w:cs="宋体"/>
        </w:rPr>
      </w:pPr>
      <w:r>
        <w:rPr>
          <w:rFonts w:hint="eastAsia" w:ascii="宋体" w:eastAsia="宋体" w:cs="宋体"/>
        </w:rPr>
        <w:t>（4）施工人员开挖不规范、线缆飞线、施工垃圾乱堆乱放、随意占道等不文明施工，影响城市市容市貌；每发生一次的，扣除1个点位的服务费用。</w:t>
      </w:r>
    </w:p>
    <w:p w14:paraId="2A4D0168">
      <w:pPr>
        <w:pStyle w:val="7"/>
        <w:rPr>
          <w:rFonts w:hint="eastAsia" w:ascii="宋体" w:eastAsia="宋体" w:cs="宋体"/>
        </w:rPr>
      </w:pPr>
      <w:r>
        <w:rPr>
          <w:rFonts w:hint="eastAsia" w:ascii="宋体" w:eastAsia="宋体" w:cs="宋体"/>
        </w:rPr>
        <w:t>施工安全</w:t>
      </w:r>
    </w:p>
    <w:p w14:paraId="0274C007">
      <w:pPr>
        <w:pStyle w:val="8"/>
        <w:rPr>
          <w:rFonts w:hint="eastAsia" w:ascii="宋体" w:eastAsia="宋体" w:cs="宋体"/>
        </w:rPr>
      </w:pPr>
      <w:r>
        <w:rPr>
          <w:rFonts w:hint="eastAsia" w:ascii="宋体" w:eastAsia="宋体" w:cs="宋体"/>
        </w:rPr>
        <w:t>施工前安全管理</w:t>
      </w:r>
    </w:p>
    <w:p w14:paraId="6CDC0B4A">
      <w:pPr>
        <w:rPr>
          <w:rFonts w:hint="eastAsia" w:ascii="宋体" w:eastAsia="宋体" w:cs="宋体"/>
        </w:rPr>
      </w:pPr>
      <w:r>
        <w:rPr>
          <w:rFonts w:hint="eastAsia" w:ascii="宋体" w:eastAsia="宋体" w:cs="宋体"/>
        </w:rPr>
        <w:t>（1）风险评估与预防措施</w:t>
      </w:r>
    </w:p>
    <w:p w14:paraId="60A0BCFA">
      <w:pPr>
        <w:rPr>
          <w:rFonts w:hint="eastAsia" w:ascii="宋体" w:eastAsia="宋体" w:cs="宋体"/>
        </w:rPr>
      </w:pPr>
      <w:r>
        <w:rPr>
          <w:rFonts w:hint="eastAsia" w:ascii="宋体" w:eastAsia="宋体" w:cs="宋体"/>
        </w:rPr>
        <w:t>在施工前进行全面的风险评估，明确施工范围、施工内容、施工环境等基本信息，识别潜在的风险点及可能存在的安全隐患，如地形复杂、气候条件恶劣、施工区域人流密集、交通状况复杂等。根据风险发生的可能性和影响程度，对识别出的风险进行量化评价，确定风险等级。</w:t>
      </w:r>
    </w:p>
    <w:p w14:paraId="2AF90043">
      <w:pPr>
        <w:rPr>
          <w:rFonts w:hint="eastAsia" w:ascii="宋体" w:eastAsia="宋体" w:cs="宋体"/>
        </w:rPr>
      </w:pPr>
      <w:r>
        <w:rPr>
          <w:rFonts w:hint="eastAsia" w:ascii="宋体" w:eastAsia="宋体" w:cs="宋体"/>
        </w:rPr>
        <w:t>根据风险评估结果，制定相应的预防措施，如优化施工方案，避开恶劣天气和地质条件；设置安全警示标志、划定施工区域、配备必要的安全防护设备等。</w:t>
      </w:r>
    </w:p>
    <w:p w14:paraId="4787024F">
      <w:pPr>
        <w:rPr>
          <w:rFonts w:hint="eastAsia" w:ascii="宋体" w:eastAsia="宋体" w:cs="宋体"/>
        </w:rPr>
      </w:pPr>
      <w:r>
        <w:rPr>
          <w:rFonts w:hint="eastAsia" w:ascii="宋体" w:eastAsia="宋体" w:cs="宋体"/>
        </w:rPr>
        <w:t>（2）施工人员培训</w:t>
      </w:r>
    </w:p>
    <w:p w14:paraId="593DA300">
      <w:pPr>
        <w:rPr>
          <w:rFonts w:hint="eastAsia" w:ascii="宋体" w:eastAsia="宋体" w:cs="宋体"/>
        </w:rPr>
      </w:pPr>
      <w:r>
        <w:rPr>
          <w:rFonts w:hint="eastAsia" w:ascii="宋体" w:eastAsia="宋体" w:cs="宋体"/>
        </w:rPr>
        <w:t>在正式施工之前，需详细介绍施工过程中的安全操作规程和注意事项，包括个人防护、设备操作、应急处置等方面的内容，确保所有施工人员充分掌握安全教育和技能培训内容，了解施工过程中的安全操作规程和应急处置措施。强调个人防护的重要性，如佩戴安全帽、安全带、反光衣等防护装备。</w:t>
      </w:r>
    </w:p>
    <w:p w14:paraId="0E036EE1">
      <w:pPr>
        <w:rPr>
          <w:rFonts w:hint="eastAsia" w:ascii="宋体" w:eastAsia="宋体" w:cs="宋体"/>
        </w:rPr>
      </w:pPr>
      <w:r>
        <w:rPr>
          <w:rFonts w:hint="eastAsia" w:ascii="宋体" w:eastAsia="宋体" w:cs="宋体"/>
        </w:rPr>
        <w:t>（3）安全管理制度建立</w:t>
      </w:r>
    </w:p>
    <w:p w14:paraId="2D9C45DB">
      <w:pPr>
        <w:rPr>
          <w:rFonts w:hint="eastAsia" w:ascii="宋体" w:eastAsia="宋体" w:cs="宋体"/>
        </w:rPr>
      </w:pPr>
      <w:r>
        <w:rPr>
          <w:rFonts w:hint="eastAsia" w:ascii="宋体" w:eastAsia="宋体" w:cs="宋体"/>
        </w:rPr>
        <w:t>制定施工安全管理制度，明确施工过程中的安全管理职责、操作流程和监督检查机制。建立定期和不定期的安全检查制度，对施工现场进行安全检查，及时发现并处理潜在的安全隐患。对安全检查中发现的问题进行整改和跟踪，确保整改措施得到落实。设立安全监督员，负责施工现场的安全监督和管理工作。</w:t>
      </w:r>
    </w:p>
    <w:p w14:paraId="6F52C7C3">
      <w:pPr>
        <w:pStyle w:val="8"/>
        <w:rPr>
          <w:rFonts w:hint="eastAsia" w:ascii="宋体" w:eastAsia="宋体" w:cs="宋体"/>
        </w:rPr>
      </w:pPr>
      <w:r>
        <w:rPr>
          <w:rFonts w:hint="eastAsia" w:ascii="宋体" w:eastAsia="宋体" w:cs="宋体"/>
        </w:rPr>
        <w:t>施工期间安全管理</w:t>
      </w:r>
    </w:p>
    <w:p w14:paraId="49CC84F9">
      <w:pPr>
        <w:rPr>
          <w:rFonts w:hint="eastAsia" w:ascii="宋体" w:eastAsia="宋体" w:cs="宋体"/>
        </w:rPr>
      </w:pPr>
      <w:r>
        <w:rPr>
          <w:rFonts w:hint="eastAsia" w:ascii="宋体" w:eastAsia="宋体" w:cs="宋体"/>
        </w:rPr>
        <w:t>（1）现场安全管理</w:t>
      </w:r>
    </w:p>
    <w:p w14:paraId="24547301">
      <w:pPr>
        <w:rPr>
          <w:rFonts w:hint="eastAsia" w:ascii="宋体" w:eastAsia="宋体" w:cs="宋体"/>
        </w:rPr>
      </w:pPr>
      <w:r>
        <w:rPr>
          <w:rFonts w:hint="eastAsia" w:ascii="宋体" w:eastAsia="宋体" w:cs="宋体"/>
        </w:rPr>
        <w:t>根据施工内容、施工设备和材料的需求，合理规划施工现场的布局，确保施工区域、材料堆放区、设备存放区、临时设施区等功能区域划分清晰，互不干扰。在施工现场的入口、出口、危险区域、警示区域等关键位置设置明显的安全标识和警示标志，提醒施工人员和过往行人注意安全。</w:t>
      </w:r>
    </w:p>
    <w:p w14:paraId="1882CDB1">
      <w:pPr>
        <w:rPr>
          <w:rFonts w:hint="eastAsia" w:ascii="宋体" w:eastAsia="宋体" w:cs="宋体"/>
        </w:rPr>
      </w:pPr>
      <w:r>
        <w:rPr>
          <w:rFonts w:hint="eastAsia" w:ascii="宋体" w:eastAsia="宋体" w:cs="宋体"/>
        </w:rPr>
        <w:t>定期对施工设备进行检查和维护，确保其处于良好的工作状态，避免因设备故障导致的安全事故。施工材料应按照种类、规格、重量等要求进行规范堆放，避免材料堆放不当导致的坍塌、滑落等安全事故。临时设施如脚手架、施工棚等应按照相关标准和要求进行搭建，确保其稳定性和安全性。</w:t>
      </w:r>
    </w:p>
    <w:p w14:paraId="6003B9CE">
      <w:pPr>
        <w:rPr>
          <w:rFonts w:hint="eastAsia" w:ascii="宋体" w:eastAsia="宋体" w:cs="宋体"/>
        </w:rPr>
      </w:pPr>
      <w:r>
        <w:rPr>
          <w:rFonts w:hint="eastAsia" w:ascii="宋体" w:eastAsia="宋体" w:cs="宋体"/>
        </w:rPr>
        <w:t>定期对施工现场的环境进行监测，包括空气质量、噪声、振动等，确保施工环境符合相关标准和要求。密切关注当地的气象预报和预警信息，提前做好防范措施，避免因恶劣天气导致的安全事故。</w:t>
      </w:r>
    </w:p>
    <w:p w14:paraId="4DC49469">
      <w:pPr>
        <w:rPr>
          <w:rFonts w:hint="eastAsia" w:ascii="宋体" w:eastAsia="宋体" w:cs="宋体"/>
        </w:rPr>
      </w:pPr>
      <w:r>
        <w:rPr>
          <w:rFonts w:hint="eastAsia" w:ascii="宋体" w:eastAsia="宋体" w:cs="宋体"/>
        </w:rPr>
        <w:t>（2）施工安全操作</w:t>
      </w:r>
    </w:p>
    <w:p w14:paraId="413745DD">
      <w:pPr>
        <w:rPr>
          <w:rFonts w:hint="eastAsia" w:ascii="宋体" w:eastAsia="宋体" w:cs="宋体"/>
        </w:rPr>
      </w:pPr>
      <w:r>
        <w:rPr>
          <w:rFonts w:hint="eastAsia" w:ascii="宋体" w:eastAsia="宋体" w:cs="宋体"/>
        </w:rPr>
        <w:t>针对施工过程中的各个环节和工序，制定详细的操作规程和安全注意事项，明确施工人员的操作要求和安全责任。对施工人员进行操作规程的培训和教育，确保施工人员熟悉并遵守操作规程，避免因违章操作导致的安全事故。</w:t>
      </w:r>
    </w:p>
    <w:p w14:paraId="1CB6E56E">
      <w:pPr>
        <w:rPr>
          <w:rFonts w:hint="eastAsia" w:ascii="宋体" w:eastAsia="宋体" w:cs="宋体"/>
        </w:rPr>
      </w:pPr>
      <w:r>
        <w:rPr>
          <w:rFonts w:hint="eastAsia" w:ascii="宋体" w:eastAsia="宋体" w:cs="宋体"/>
        </w:rPr>
        <w:t>对施工过程中可能存在的高风险作业进行识别，如高空作业、电气作业、爆破作业等。应设置专人进行监护，确保作业过程中的各项安全措施得到有效落实。</w:t>
      </w:r>
    </w:p>
    <w:p w14:paraId="4B636EAF">
      <w:pPr>
        <w:rPr>
          <w:rFonts w:hint="eastAsia" w:ascii="宋体" w:eastAsia="宋体" w:cs="宋体"/>
        </w:rPr>
      </w:pPr>
      <w:r>
        <w:rPr>
          <w:rFonts w:hint="eastAsia" w:ascii="宋体" w:eastAsia="宋体" w:cs="宋体"/>
        </w:rPr>
        <w:t>明确施工人员在不同施工环节中的个人防护要求，如佩戴安全帽、安全带、防护眼镜、防护手套等。建立劳保用品管理制度，定期对劳保用品进行检查和更换，确保其符合相关标准和要求。照安全操作规程进行施工，禁止违章作业。</w:t>
      </w:r>
    </w:p>
    <w:p w14:paraId="60846380">
      <w:pPr>
        <w:rPr>
          <w:rFonts w:hint="eastAsia" w:ascii="宋体" w:eastAsia="宋体" w:cs="宋体"/>
        </w:rPr>
      </w:pPr>
      <w:r>
        <w:rPr>
          <w:rFonts w:hint="eastAsia" w:ascii="宋体" w:eastAsia="宋体" w:cs="宋体"/>
        </w:rPr>
        <w:t>（3）应急处理机制</w:t>
      </w:r>
    </w:p>
    <w:p w14:paraId="6AE96A37">
      <w:pPr>
        <w:rPr>
          <w:rFonts w:hint="eastAsia" w:ascii="宋体" w:eastAsia="宋体" w:cs="宋体"/>
        </w:rPr>
      </w:pPr>
      <w:r>
        <w:rPr>
          <w:rFonts w:hint="eastAsia" w:ascii="宋体" w:eastAsia="宋体" w:cs="宋体"/>
        </w:rPr>
        <w:t>根据施工现场的实际情况和潜在的安全风险，制定完善的应急预案，明确应急响应流程、应急资源调配和应急处置措施。对施工人员进行应急培训和教育，使其了解应急预案的内容和应急处置流程，掌握应急处置技能和自救互救方法。根据应急预案的要求，储备必要的应急物资和设备，如消防器材、急救药品、救援设备等。</w:t>
      </w:r>
    </w:p>
    <w:p w14:paraId="5858F942">
      <w:pPr>
        <w:rPr>
          <w:rFonts w:hint="eastAsia" w:ascii="宋体" w:eastAsia="宋体" w:cs="宋体"/>
        </w:rPr>
      </w:pPr>
      <w:r>
        <w:rPr>
          <w:rFonts w:hint="eastAsia" w:ascii="宋体" w:eastAsia="宋体" w:cs="宋体"/>
        </w:rPr>
        <w:t>在发生安全事故时，立即启动应急预案，按照预案要求组织救援力量进行应急处置。根据事故类型和严重程度，采取相应的处置措施和救援方法，控制事态发展，减少人员伤亡和财产损失。对安全事故进行调查和分析，查明事故原因和责任，总结经验教训，提出改进措施和建议，防止类似事故的再次发生。</w:t>
      </w:r>
    </w:p>
    <w:p w14:paraId="21686EE8">
      <w:pPr>
        <w:pStyle w:val="8"/>
        <w:rPr>
          <w:rFonts w:hint="eastAsia" w:ascii="宋体" w:eastAsia="宋体" w:cs="宋体"/>
        </w:rPr>
      </w:pPr>
      <w:r>
        <w:rPr>
          <w:rFonts w:hint="eastAsia" w:ascii="宋体" w:eastAsia="宋体" w:cs="宋体"/>
        </w:rPr>
        <w:t>服务期安全管理</w:t>
      </w:r>
    </w:p>
    <w:p w14:paraId="1490CBA8">
      <w:pPr>
        <w:rPr>
          <w:rFonts w:hint="eastAsia"/>
        </w:rPr>
      </w:pPr>
      <w:r>
        <w:rPr>
          <w:rFonts w:hint="eastAsia" w:ascii="宋体" w:eastAsia="宋体" w:cs="宋体"/>
        </w:rPr>
        <w:t>服务商应保障工程维护施工安全，确保无安全事故发生，相关人员履行信息安全保密要求，不得泄露警务信息秘密。维保人员必须佩戴维保单位的标识；作业中应负责落实现场安全防护措施，保证作业安全、人身安全；在维保系统核心部位时，应有采购单位人员在场情况下进行。</w:t>
      </w:r>
    </w:p>
    <w:p w14:paraId="5ACA8FE8">
      <w:pPr>
        <w:pStyle w:val="7"/>
        <w:rPr>
          <w:rFonts w:hint="eastAsia" w:ascii="宋体" w:eastAsia="宋体" w:cs="宋体"/>
        </w:rPr>
      </w:pPr>
      <w:r>
        <w:rPr>
          <w:rFonts w:hint="eastAsia" w:ascii="宋体" w:eastAsia="宋体" w:cs="宋体"/>
        </w:rPr>
        <w:t>数据安全</w:t>
      </w:r>
    </w:p>
    <w:p w14:paraId="188A1D7A">
      <w:pPr>
        <w:rPr>
          <w:rFonts w:hint="eastAsia" w:ascii="宋体" w:eastAsia="宋体" w:cs="宋体"/>
        </w:rPr>
      </w:pPr>
      <w:r>
        <w:rPr>
          <w:rFonts w:hint="eastAsia" w:ascii="宋体" w:eastAsia="宋体" w:cs="宋体"/>
        </w:rPr>
        <w:t>本次数据存储架构沿用滁州市雪亮工程，对视图云存储系统进行相应的提高服务能力。</w:t>
      </w:r>
    </w:p>
    <w:p w14:paraId="17D3B682">
      <w:pPr>
        <w:rPr>
          <w:rFonts w:hint="eastAsia" w:ascii="宋体" w:eastAsia="宋体" w:cs="宋体"/>
        </w:rPr>
      </w:pPr>
      <w:r>
        <w:rPr>
          <w:rFonts w:hint="eastAsia" w:ascii="宋体" w:eastAsia="宋体" w:cs="宋体"/>
        </w:rPr>
        <w:t>视频云存储系统可启用云化集群工作模式进行高可用保护，保证单台视频云存储节点设备宕机的情况下，迅速由其它视频云存储节点设备接管它的工作。在宕机设备恢复正常后，接管工作的视频云存储节点设备自动将接管的前端设备移交回原有视频云存储节点设备。提高系统自保护能力，保证视频数据的可靠性和连续性。</w:t>
      </w:r>
    </w:p>
    <w:p w14:paraId="41920FD9">
      <w:pPr>
        <w:rPr>
          <w:rFonts w:hint="eastAsia" w:ascii="宋体" w:eastAsia="宋体" w:cs="宋体"/>
        </w:rPr>
      </w:pPr>
      <w:r>
        <w:rPr>
          <w:rFonts w:hint="eastAsia" w:ascii="宋体" w:eastAsia="宋体" w:cs="宋体"/>
        </w:rPr>
        <w:t>与传统集群技术不同的是，由视频云存储设备组建云化集群无需部署额外的设备。各节点之间采用选举的方式，共同推选出集群的决策成员。决策成员会调查所有视频云存储节点设备的运行状况，并提出相应的措施。</w:t>
      </w:r>
    </w:p>
    <w:p w14:paraId="559A083E">
      <w:pPr>
        <w:rPr>
          <w:rFonts w:hint="eastAsia" w:ascii="宋体" w:eastAsia="宋体" w:cs="宋体"/>
        </w:rPr>
      </w:pPr>
      <w:r>
        <w:rPr>
          <w:rFonts w:hint="eastAsia" w:ascii="宋体" w:eastAsia="宋体" w:cs="宋体"/>
        </w:rPr>
        <w:t>业务负载均衡</w:t>
      </w:r>
    </w:p>
    <w:p w14:paraId="0DB3F662">
      <w:pPr>
        <w:rPr>
          <w:rFonts w:hint="eastAsia" w:ascii="宋体" w:eastAsia="宋体" w:cs="宋体"/>
        </w:rPr>
      </w:pPr>
      <w:r>
        <w:rPr>
          <w:rFonts w:hint="eastAsia" w:ascii="宋体" w:eastAsia="宋体" w:cs="宋体"/>
        </w:rPr>
        <w:t>在启用云化集群功能后，集群内的视频云存储节点设备可以享受到负载均衡服务。所有的写压力将会自动的分担到所有的视频云存储节点设备上。集群会定期收集各视频云存储节点成员的状态和负载情况，若发现负载严重失衡时，将及时进行调整。当新的业务到来时、故障机器上的业务转移时，调度器会智能地选择出最优的负载分配策略，在保证每台机器承担的业务负载不超过其能力极限的同时，尽量令各台机器的业务压力平均。</w:t>
      </w:r>
    </w:p>
    <w:p w14:paraId="7596AD11">
      <w:pPr>
        <w:rPr>
          <w:rFonts w:hint="eastAsia" w:ascii="宋体" w:eastAsia="宋体" w:cs="宋体"/>
        </w:rPr>
      </w:pPr>
      <w:r>
        <w:rPr>
          <w:rFonts w:hint="eastAsia" w:ascii="宋体" w:eastAsia="宋体" w:cs="宋体"/>
        </w:rPr>
        <w:t>调度算法同时根据每台成员的软硬件配置，智能分配业务压力，配置好的机器会承担更多的业务压力。在视频云存储节点内部，多个RAID组之间，当某个RAID组工作压力较大时，节点设备可分配若干数据流到另一较轻松的RAID组中。实现RAID组级负载均衡。负载均衡技术使得各视频云存储节点设备的性能、设备生命、节能等指标均达到最优。</w:t>
      </w:r>
    </w:p>
    <w:p w14:paraId="4505507D">
      <w:pPr>
        <w:rPr>
          <w:rFonts w:hint="eastAsia" w:ascii="宋体" w:eastAsia="宋体" w:cs="宋体"/>
        </w:rPr>
      </w:pPr>
      <w:r>
        <w:rPr>
          <w:rFonts w:hint="eastAsia" w:ascii="宋体" w:eastAsia="宋体" w:cs="宋体"/>
        </w:rPr>
        <w:t>故障预警和迁移</w:t>
      </w:r>
    </w:p>
    <w:p w14:paraId="64BF4C91">
      <w:pPr>
        <w:rPr>
          <w:rFonts w:hint="eastAsia" w:ascii="宋体" w:eastAsia="宋体" w:cs="宋体"/>
        </w:rPr>
      </w:pPr>
      <w:r>
        <w:rPr>
          <w:rFonts w:hint="eastAsia" w:ascii="宋体" w:eastAsia="宋体" w:cs="宋体"/>
        </w:rPr>
        <w:t>云化集群实时监控集群中的节点设备，当设备的状态异常时，提前动作规避风险。在集群中运行的业务，如果云节点发生了故障，则这些业务将自动切换到其他云节点继续，业务用户没有任何感知，而管理员则会得到通知。</w:t>
      </w:r>
    </w:p>
    <w:p w14:paraId="768A65CB">
      <w:pPr>
        <w:rPr>
          <w:rFonts w:hint="eastAsia" w:ascii="宋体" w:eastAsia="宋体" w:cs="宋体"/>
        </w:rPr>
      </w:pPr>
      <w:r>
        <w:rPr>
          <w:rFonts w:hint="eastAsia" w:ascii="宋体" w:eastAsia="宋体" w:cs="宋体"/>
        </w:rPr>
        <w:t>灵活的调度策略</w:t>
      </w:r>
    </w:p>
    <w:p w14:paraId="77487799">
      <w:pPr>
        <w:rPr>
          <w:rFonts w:hint="eastAsia" w:ascii="宋体" w:eastAsia="宋体" w:cs="宋体"/>
        </w:rPr>
      </w:pPr>
      <w:r>
        <w:rPr>
          <w:rFonts w:hint="eastAsia" w:ascii="宋体" w:eastAsia="宋体" w:cs="宋体"/>
        </w:rPr>
        <w:t>云化集群调度算法，除自行状态监测、故障预警迁移调度外，还保留了极大的业务灵活性。平台允许用户进行一定的调度定制规则。支持“摄像头静态绑定”和“只读成员”两种策略。“摄像头静态绑定”可以将某些摄像头固定绑定在某台集群成员上，不允许他们进行调度；“只读成员”配置集群成员不接受写入业务，仅支持转发和读取的功能。在预替换集群成员时，启用这两个策略可平滑替换集群节点成员。</w:t>
      </w:r>
    </w:p>
    <w:p w14:paraId="3EFE46F4">
      <w:pPr>
        <w:rPr>
          <w:rFonts w:hint="eastAsia" w:ascii="宋体" w:eastAsia="宋体" w:cs="宋体"/>
        </w:rPr>
      </w:pPr>
      <w:r>
        <w:rPr>
          <w:rFonts w:hint="eastAsia" w:ascii="宋体" w:eastAsia="宋体" w:cs="宋体"/>
        </w:rPr>
        <w:t>集群失效保护</w:t>
      </w:r>
    </w:p>
    <w:p w14:paraId="1D7A5FC7">
      <w:pPr>
        <w:rPr>
          <w:rFonts w:hint="eastAsia" w:ascii="宋体" w:eastAsia="宋体" w:cs="宋体"/>
        </w:rPr>
      </w:pPr>
      <w:r>
        <w:rPr>
          <w:rFonts w:hint="eastAsia" w:ascii="宋体" w:eastAsia="宋体" w:cs="宋体"/>
        </w:rPr>
        <w:t>云化集群业务中，如果集群调度系统发生故障导致失效，视频云存储节点系统将以多机堆叠模式工作。视频云存储节点设备仅失去故障迁移和负载均衡功能，业务不会中断，从而进一步提高整系统的可靠性。</w:t>
      </w:r>
    </w:p>
    <w:p w14:paraId="4D68615B">
      <w:pPr>
        <w:pStyle w:val="7"/>
        <w:rPr>
          <w:rFonts w:hint="eastAsia" w:ascii="宋体" w:eastAsia="宋体" w:cs="宋体"/>
        </w:rPr>
      </w:pPr>
      <w:r>
        <w:rPr>
          <w:rFonts w:hint="eastAsia" w:ascii="宋体" w:eastAsia="宋体" w:cs="宋体"/>
        </w:rPr>
        <w:t>网络安全</w:t>
      </w:r>
    </w:p>
    <w:p w14:paraId="517300D3">
      <w:pPr>
        <w:rPr>
          <w:rFonts w:hint="eastAsia" w:ascii="宋体" w:eastAsia="宋体" w:cs="宋体"/>
        </w:rPr>
      </w:pPr>
      <w:r>
        <w:rPr>
          <w:rFonts w:hint="eastAsia" w:ascii="宋体" w:eastAsia="宋体" w:cs="宋体"/>
        </w:rPr>
        <w:t>本项目网络安全设计将沿用滁州市雪亮工程安全系统，该系统安全体系主要包括：视频安全准入防护系统、视频专网安全系统、公安网边界接入安全系统和社会资源接入安全系统，能够满足本项目对网络安全的需求，因此不再单独增加。</w:t>
      </w:r>
    </w:p>
    <w:p w14:paraId="04B30B1E">
      <w:pPr>
        <w:rPr>
          <w:rFonts w:hint="eastAsia" w:ascii="宋体" w:eastAsia="宋体" w:cs="宋体"/>
        </w:rPr>
      </w:pPr>
      <w:r>
        <w:rPr>
          <w:rFonts w:hint="eastAsia" w:ascii="宋体" w:eastAsia="宋体" w:cs="宋体"/>
        </w:rPr>
        <w:t>滁州市雪亮工程安全系统</w:t>
      </w:r>
      <w:r>
        <w:rPr>
          <w:rFonts w:ascii="Arial" w:hAnsi="Arial" w:eastAsia="宋体" w:cs="Arial"/>
        </w:rPr>
        <w:t>通过在视频监控专网、社会资源接入网建立和完善IT资源监控和安全管理、终端安全管控、用户身份认证和权限管控措施；在网络边界完善安全隔离防护措施，提供有效的隔离防护，同时满足安全接入和数据共享需求；建立科学合理的安全管理和运维管理制度，通过全网安全加固、防护体系部署实施、专业的安全运维服务、定期安全巡检，确保全网在信息安全方面可管可控，保障视频监控平台及网络的安全稳定运行。</w:t>
      </w:r>
    </w:p>
    <w:p w14:paraId="5BC9FFB1">
      <w:pPr>
        <w:rPr>
          <w:rFonts w:hint="eastAsia" w:ascii="宋体" w:eastAsia="宋体" w:cs="宋体"/>
        </w:rPr>
      </w:pPr>
      <w:r>
        <w:rPr>
          <w:rFonts w:hint="eastAsia" w:ascii="宋体" w:eastAsia="宋体" w:cs="宋体"/>
        </w:rPr>
        <w:t>滁州市雪亮工程安全系统总体安全架构图如下：</w:t>
      </w:r>
    </w:p>
    <w:p w14:paraId="07993D24">
      <w:pPr>
        <w:ind w:firstLine="0" w:firstLineChars="0"/>
        <w:rPr>
          <w:rFonts w:ascii="Arial" w:hAnsi="Arial" w:eastAsia="宋体" w:cs="Arial"/>
        </w:rPr>
      </w:pPr>
      <w:r>
        <w:rPr>
          <w:rFonts w:hint="eastAsia" w:ascii="宋体" w:eastAsia="宋体" w:cs="宋体"/>
        </w:rPr>
        <w:object>
          <v:shape id="_x0000_i1025" o:spt="75" type="#_x0000_t75" style="height:225.9pt;width:424.35pt;" o:ole="t" filled="f" o:preferrelative="t" stroked="f" coordsize="21600,21600">
            <v:path/>
            <v:fill on="f" focussize="0,0"/>
            <v:stroke on="f" color="#000000"/>
            <v:imagedata r:id="rId21" o:title="image13"/>
            <o:lock v:ext="edit" aspectratio="t"/>
            <w10:wrap type="none"/>
            <w10:anchorlock/>
          </v:shape>
          <o:OLEObject Type="Embed" ProgID="Package" ShapeID="_x0000_i1025" DrawAspect="Content" ObjectID="_1468075725" r:id="rId20">
            <o:LockedField>false</o:LockedField>
          </o:OLEObject>
        </w:object>
      </w:r>
    </w:p>
    <w:p w14:paraId="06CF8652">
      <w:pPr>
        <w:pStyle w:val="12"/>
        <w:jc w:val="center"/>
        <w:rPr>
          <w:rFonts w:ascii="Arial" w:hAnsi="Arial" w:eastAsia="宋体" w:cs="Arial"/>
          <w:szCs w:val="24"/>
        </w:rPr>
      </w:pPr>
      <w:r>
        <w:t xml:space="preserve">图 </w:t>
      </w:r>
      <w:r>
        <w:fldChar w:fldCharType="begin"/>
      </w:r>
      <w:r>
        <w:instrText xml:space="preserve"> STYLEREF 2 \s </w:instrText>
      </w:r>
      <w:r>
        <w:fldChar w:fldCharType="separate"/>
      </w:r>
      <w:r>
        <w:t>5.5</w:t>
      </w:r>
      <w:r>
        <w:fldChar w:fldCharType="end"/>
      </w:r>
      <w:r>
        <w:rPr>
          <w:rFonts w:hint="eastAsia"/>
        </w:rPr>
        <w:t>-</w:t>
      </w:r>
      <w:r>
        <w:fldChar w:fldCharType="begin"/>
      </w:r>
      <w:r>
        <w:instrText xml:space="preserve"> SEQ 图 \* ARABIC \s 2 </w:instrText>
      </w:r>
      <w:r>
        <w:fldChar w:fldCharType="separate"/>
      </w:r>
      <w:r>
        <w:t>1</w:t>
      </w:r>
      <w:r>
        <w:fldChar w:fldCharType="end"/>
      </w:r>
      <w:r>
        <w:rPr>
          <w:rFonts w:ascii="Arial" w:hAnsi="Arial" w:eastAsia="宋体" w:cs="Arial"/>
          <w:szCs w:val="24"/>
        </w:rPr>
        <w:t>总体安全架构图</w:t>
      </w:r>
    </w:p>
    <w:p w14:paraId="2A9725F2">
      <w:pPr>
        <w:rPr>
          <w:rFonts w:hint="eastAsia" w:ascii="宋体" w:eastAsia="宋体" w:cs="宋体"/>
        </w:rPr>
      </w:pPr>
      <w:r>
        <w:rPr>
          <w:rFonts w:hint="eastAsia" w:ascii="宋体" w:eastAsia="宋体" w:cs="宋体"/>
        </w:rPr>
        <w:t>视频专网安全主要内容如下：</w:t>
      </w:r>
    </w:p>
    <w:p w14:paraId="24E0FAF7">
      <w:pPr>
        <w:rPr>
          <w:rFonts w:hint="eastAsia" w:ascii="宋体" w:eastAsia="宋体" w:cs="宋体"/>
        </w:rPr>
      </w:pPr>
      <w:r>
        <w:rPr>
          <w:rFonts w:hint="eastAsia" w:ascii="宋体" w:eastAsia="宋体" w:cs="宋体"/>
        </w:rPr>
        <w:t>根据视频专网系统现状，合理划分安全区域、确定安全边界，进行分区域防护，并制定与相适应的安全管理策略和目标。</w:t>
      </w:r>
    </w:p>
    <w:p w14:paraId="4F600440">
      <w:pPr>
        <w:rPr>
          <w:rFonts w:hint="eastAsia" w:ascii="宋体" w:eastAsia="宋体" w:cs="宋体"/>
        </w:rPr>
      </w:pPr>
      <w:r>
        <w:rPr>
          <w:rFonts w:hint="eastAsia" w:ascii="宋体" w:eastAsia="宋体" w:cs="宋体"/>
        </w:rPr>
        <w:t>具体划分如下：</w:t>
      </w:r>
    </w:p>
    <w:p w14:paraId="6DFF7402">
      <w:pPr>
        <w:rPr>
          <w:rFonts w:hint="eastAsia" w:ascii="宋体" w:eastAsia="宋体" w:cs="宋体"/>
        </w:rPr>
      </w:pPr>
      <w:r>
        <w:rPr>
          <w:rFonts w:hint="eastAsia" w:ascii="宋体" w:eastAsia="宋体" w:cs="宋体"/>
        </w:rPr>
        <w:t>横向边界接入区：该区域主要实现与公安信息网、互联网、其他专网的安全接入。主要包含：网络设备、安全设备、专网接入平台、互联网接入平台、公安信息网边界接入平台。</w:t>
      </w:r>
    </w:p>
    <w:p w14:paraId="09B6812E">
      <w:pPr>
        <w:rPr>
          <w:rFonts w:hint="eastAsia" w:ascii="宋体" w:eastAsia="宋体" w:cs="宋体"/>
        </w:rPr>
      </w:pPr>
      <w:r>
        <w:rPr>
          <w:rFonts w:hint="eastAsia" w:ascii="宋体" w:eastAsia="宋体" w:cs="宋体"/>
        </w:rPr>
        <w:t>纵向边界接入区：该区域主要实现与上下级平台的安全接入。主要包含：网络设备、安全设备等。</w:t>
      </w:r>
    </w:p>
    <w:p w14:paraId="10F10167">
      <w:pPr>
        <w:rPr>
          <w:rFonts w:hint="eastAsia" w:ascii="宋体" w:eastAsia="宋体" w:cs="宋体"/>
        </w:rPr>
      </w:pPr>
      <w:r>
        <w:rPr>
          <w:rFonts w:hint="eastAsia" w:ascii="宋体" w:eastAsia="宋体" w:cs="宋体"/>
        </w:rPr>
        <w:t>核心交换区：该区域主要实现视频专网数据的网络交换。主要包含：核心交换机、安全检测设备等。</w:t>
      </w:r>
    </w:p>
    <w:p w14:paraId="2D3B013B">
      <w:pPr>
        <w:rPr>
          <w:rFonts w:hint="eastAsia" w:ascii="宋体" w:eastAsia="宋体" w:cs="宋体"/>
        </w:rPr>
      </w:pPr>
      <w:r>
        <w:rPr>
          <w:rFonts w:hint="eastAsia" w:ascii="宋体" w:eastAsia="宋体" w:cs="宋体"/>
        </w:rPr>
        <w:t>安全管理区：该区域主要实现视频专网的安全运维管理。主要包含：防病毒系统、堡垒机、日志审计系统、安全管理平台等。</w:t>
      </w:r>
    </w:p>
    <w:p w14:paraId="0CAEC9D4">
      <w:pPr>
        <w:rPr>
          <w:rFonts w:hint="eastAsia" w:ascii="宋体" w:eastAsia="宋体" w:cs="宋体"/>
        </w:rPr>
      </w:pPr>
      <w:r>
        <w:rPr>
          <w:rFonts w:hint="eastAsia" w:ascii="宋体" w:eastAsia="宋体" w:cs="宋体"/>
        </w:rPr>
        <w:t>平台服务区：该区域主要实现视频专网的视频应用服务。主要包含:视频服务器、应用系统、入侵防御系统、防火墙、漏洞扫描、安全审计系统等。</w:t>
      </w:r>
    </w:p>
    <w:p w14:paraId="7B1626F4">
      <w:pPr>
        <w:rPr>
          <w:rFonts w:hint="eastAsia" w:ascii="宋体" w:eastAsia="宋体" w:cs="宋体"/>
        </w:rPr>
      </w:pPr>
      <w:r>
        <w:rPr>
          <w:rFonts w:hint="eastAsia" w:ascii="宋体" w:eastAsia="宋体" w:cs="宋体"/>
        </w:rPr>
        <w:t>平台终端区：该区域主要实现视频数据的查看、调取。主要包含：视频客户端、计算机、终端加固软件。</w:t>
      </w:r>
    </w:p>
    <w:p w14:paraId="35DA7B2C">
      <w:pPr>
        <w:rPr>
          <w:rFonts w:hint="eastAsia" w:ascii="宋体" w:eastAsia="宋体" w:cs="宋体"/>
        </w:rPr>
      </w:pPr>
      <w:r>
        <w:rPr>
          <w:rFonts w:hint="eastAsia" w:ascii="宋体" w:eastAsia="宋体" w:cs="宋体"/>
        </w:rPr>
        <w:t>前端摄像机区：该区域主要实现平台自建摄像机的安全接入。主要包含：前端摄像机、网络设备、准入控制系统等。</w:t>
      </w:r>
    </w:p>
    <w:p w14:paraId="378F5254">
      <w:pPr>
        <w:ind w:firstLine="0" w:firstLineChars="0"/>
        <w:rPr>
          <w:rFonts w:hint="eastAsia"/>
        </w:rPr>
      </w:pPr>
      <w:r>
        <w:rPr>
          <w:rFonts w:hint="eastAsia" w:ascii="宋体" w:eastAsia="宋体" w:cs="宋体"/>
        </w:rPr>
        <w:br w:type="page"/>
      </w:r>
      <w:bookmarkStart w:id="375" w:name="_Toc15532"/>
      <w:bookmarkStart w:id="376" w:name="_Toc8375"/>
      <w:bookmarkStart w:id="377" w:name="_Toc388"/>
      <w:bookmarkStart w:id="378" w:name="_Toc19255"/>
      <w:bookmarkStart w:id="379" w:name="_Toc26814"/>
      <w:bookmarkStart w:id="380" w:name="_Toc1127"/>
    </w:p>
    <w:p w14:paraId="119BD726">
      <w:pPr>
        <w:pStyle w:val="3"/>
        <w:keepNext/>
        <w:keepLines/>
        <w:pageBreakBefore w:val="0"/>
        <w:widowControl w:val="0"/>
        <w:rPr>
          <w:rFonts w:ascii="Times New Roman" w:hAnsi="Times New Roman"/>
          <w:color w:val="000000"/>
        </w:rPr>
      </w:pPr>
      <w:bookmarkStart w:id="381" w:name="_Toc6824"/>
      <w:bookmarkStart w:id="382" w:name="_Toc11444"/>
      <w:bookmarkStart w:id="383" w:name="_Toc8272"/>
      <w:bookmarkStart w:id="384" w:name="_Toc2070"/>
      <w:bookmarkStart w:id="385" w:name="_Toc18377"/>
      <w:bookmarkStart w:id="386" w:name="_Toc32163"/>
      <w:bookmarkStart w:id="387" w:name="_Toc138615741"/>
      <w:bookmarkStart w:id="388" w:name="_Toc31138"/>
      <w:r>
        <w:rPr>
          <w:rFonts w:ascii="Times New Roman" w:hAnsi="Times New Roman"/>
          <w:color w:val="000000"/>
        </w:rPr>
        <w:t>项目实施方案及保障措施</w:t>
      </w:r>
      <w:bookmarkEnd w:id="381"/>
      <w:bookmarkEnd w:id="382"/>
      <w:bookmarkEnd w:id="383"/>
      <w:bookmarkEnd w:id="384"/>
      <w:bookmarkEnd w:id="385"/>
      <w:bookmarkEnd w:id="386"/>
      <w:bookmarkEnd w:id="387"/>
      <w:bookmarkEnd w:id="388"/>
    </w:p>
    <w:p w14:paraId="51F4758B">
      <w:pPr>
        <w:pStyle w:val="4"/>
        <w:rPr>
          <w:color w:val="000000"/>
        </w:rPr>
      </w:pPr>
      <w:bookmarkStart w:id="389" w:name="_Toc6261"/>
      <w:bookmarkStart w:id="390" w:name="_Toc24520"/>
      <w:bookmarkStart w:id="391" w:name="_Toc1778"/>
      <w:bookmarkStart w:id="392" w:name="_Toc9279"/>
      <w:bookmarkStart w:id="393" w:name="_Toc20255"/>
      <w:bookmarkStart w:id="394" w:name="_Toc31507"/>
      <w:bookmarkStart w:id="395" w:name="_Toc138615743"/>
      <w:bookmarkStart w:id="396" w:name="_Toc1740"/>
      <w:r>
        <w:rPr>
          <w:rFonts w:hint="eastAsia"/>
          <w:color w:val="000000"/>
        </w:rPr>
        <w:t>项目监理</w:t>
      </w:r>
      <w:bookmarkEnd w:id="389"/>
      <w:bookmarkEnd w:id="390"/>
      <w:bookmarkEnd w:id="391"/>
      <w:bookmarkEnd w:id="392"/>
      <w:bookmarkEnd w:id="393"/>
      <w:bookmarkEnd w:id="394"/>
      <w:bookmarkEnd w:id="395"/>
      <w:bookmarkEnd w:id="396"/>
    </w:p>
    <w:p w14:paraId="4E3DAAE0">
      <w:pPr>
        <w:rPr>
          <w:rFonts w:hint="eastAsia" w:ascii="宋体" w:eastAsia="宋体" w:cs="宋体"/>
          <w:color w:val="000000"/>
        </w:rPr>
      </w:pPr>
      <w:r>
        <w:rPr>
          <w:rFonts w:hint="eastAsia" w:ascii="宋体" w:eastAsia="宋体" w:cs="宋体"/>
          <w:color w:val="000000"/>
        </w:rPr>
        <w:t>本项目需要监理服务。根据《中华人民共和国招投标法》，采取公开招标采购确定一家设计监理服务商负责项目的监理工作。参考安徽省数据资源局下发《安徽省级政务信息化项目概算编制级审核要点（试行）（征求意见稿）》意见建议的函文件。</w:t>
      </w:r>
    </w:p>
    <w:p w14:paraId="5FDFD40B">
      <w:pPr>
        <w:rPr>
          <w:rFonts w:hint="eastAsia" w:ascii="宋体" w:eastAsia="宋体" w:cs="宋体"/>
        </w:rPr>
      </w:pPr>
      <w:r>
        <w:rPr>
          <w:rFonts w:hint="eastAsia" w:ascii="宋体" w:eastAsia="宋体" w:cs="宋体"/>
          <w:color w:val="000000"/>
        </w:rPr>
        <w:t>工作内容：对整个系统建服务实施监理。对建设工程各子项目的工程采购、建设和施工的规范化,硬件设备服务购买、验货等过程进行全程跟踪监理。</w:t>
      </w:r>
    </w:p>
    <w:p w14:paraId="09535F14">
      <w:pPr>
        <w:pStyle w:val="4"/>
        <w:rPr>
          <w:color w:val="000000"/>
        </w:rPr>
      </w:pPr>
      <w:bookmarkStart w:id="397" w:name="_Toc14970"/>
      <w:r>
        <w:rPr>
          <w:rFonts w:hint="eastAsia"/>
          <w:color w:val="000000"/>
        </w:rPr>
        <w:t>项目建设期</w:t>
      </w:r>
      <w:bookmarkEnd w:id="397"/>
    </w:p>
    <w:p w14:paraId="11057D41">
      <w:pPr>
        <w:rPr>
          <w:rFonts w:hint="eastAsia"/>
          <w:color w:val="000000"/>
        </w:rPr>
      </w:pPr>
      <w:r>
        <w:rPr>
          <w:rFonts w:hint="eastAsia" w:ascii="宋体" w:eastAsia="宋体" w:cs="宋体"/>
          <w:szCs w:val="16"/>
        </w:rPr>
        <w:t>本项目采用购买服务模式开展项目建设，由服务商按照本设计方案内容开展项目建设，满足建设相关要求，实现项目建设目标。项目通过第三方检测、验收后向公安机关提供相关服务。建设工期不得逾期。</w:t>
      </w:r>
    </w:p>
    <w:p w14:paraId="6E20BD7B">
      <w:pPr>
        <w:pStyle w:val="6"/>
      </w:pPr>
      <w:bookmarkStart w:id="398" w:name="_Toc173776119"/>
      <w:bookmarkStart w:id="399" w:name="_Toc10630"/>
      <w:r>
        <w:rPr>
          <w:rFonts w:hint="eastAsia"/>
        </w:rPr>
        <w:t>施工</w:t>
      </w:r>
      <w:r>
        <w:t>安全</w:t>
      </w:r>
      <w:bookmarkEnd w:id="398"/>
      <w:bookmarkEnd w:id="399"/>
    </w:p>
    <w:p w14:paraId="654BCED2">
      <w:pPr>
        <w:rPr>
          <w:rFonts w:hint="eastAsia" w:ascii="宋体" w:eastAsia="宋体" w:cs="宋体"/>
          <w:szCs w:val="16"/>
        </w:rPr>
      </w:pPr>
      <w:r>
        <w:rPr>
          <w:rFonts w:hint="eastAsia" w:ascii="宋体" w:eastAsia="宋体" w:cs="宋体"/>
          <w:szCs w:val="16"/>
        </w:rPr>
        <w:t>服务商须认真贯彻执行国家制定的安全生产政策、法律、法规，确保工程施工安全，不得发生安全事故。</w:t>
      </w:r>
    </w:p>
    <w:p w14:paraId="1CC705A7">
      <w:pPr>
        <w:pStyle w:val="6"/>
      </w:pPr>
      <w:bookmarkStart w:id="400" w:name="_Toc173776120"/>
      <w:bookmarkStart w:id="401" w:name="_Toc3663"/>
      <w:r>
        <w:rPr>
          <w:rFonts w:hint="eastAsia"/>
        </w:rPr>
        <w:t>工程质量</w:t>
      </w:r>
      <w:bookmarkEnd w:id="400"/>
      <w:bookmarkEnd w:id="401"/>
    </w:p>
    <w:p w14:paraId="72801EA7">
      <w:pPr>
        <w:rPr>
          <w:rFonts w:hint="eastAsia" w:ascii="宋体" w:eastAsia="宋体" w:cs="宋体"/>
          <w:szCs w:val="16"/>
        </w:rPr>
      </w:pPr>
      <w:r>
        <w:rPr>
          <w:rFonts w:hint="eastAsia" w:ascii="宋体" w:eastAsia="宋体" w:cs="宋体"/>
          <w:szCs w:val="16"/>
        </w:rPr>
        <w:t>前端监控点位施工、网络传输质量、平台搭建、系统性能等符合有关规范标准和设计文件要求，确保工程质量。前端点位取电电缆、传输光缆必须下地，禁止飞线。</w:t>
      </w:r>
    </w:p>
    <w:p w14:paraId="70856CD8">
      <w:pPr>
        <w:pStyle w:val="6"/>
      </w:pPr>
      <w:bookmarkStart w:id="402" w:name="_Toc6556"/>
      <w:bookmarkStart w:id="403" w:name="_Toc173776121"/>
      <w:r>
        <w:rPr>
          <w:rFonts w:hint="eastAsia"/>
        </w:rPr>
        <w:t>项目</w:t>
      </w:r>
      <w:r>
        <w:t>验收</w:t>
      </w:r>
      <w:bookmarkEnd w:id="402"/>
      <w:bookmarkEnd w:id="403"/>
    </w:p>
    <w:p w14:paraId="3268F129">
      <w:pPr>
        <w:rPr>
          <w:rFonts w:hint="eastAsia" w:ascii="宋体" w:eastAsia="宋体" w:cs="宋体"/>
          <w:szCs w:val="16"/>
        </w:rPr>
      </w:pPr>
      <w:r>
        <w:rPr>
          <w:rFonts w:hint="eastAsia" w:ascii="宋体" w:eastAsia="宋体" w:cs="宋体"/>
          <w:szCs w:val="16"/>
        </w:rPr>
        <w:t>包括初验、试运行、第三方检测、竣工验收。</w:t>
      </w:r>
    </w:p>
    <w:p w14:paraId="64DBD3AA">
      <w:pPr>
        <w:rPr>
          <w:rFonts w:hint="eastAsia" w:ascii="宋体" w:eastAsia="宋体" w:cs="宋体"/>
          <w:szCs w:val="16"/>
        </w:rPr>
      </w:pPr>
      <w:r>
        <w:rPr>
          <w:rFonts w:hint="eastAsia" w:ascii="宋体" w:eastAsia="宋体" w:cs="宋体"/>
          <w:szCs w:val="16"/>
        </w:rPr>
        <w:t>初验：全部完工后，服务商对工程质量及系统功能进行自检，达到招标文件及合同要求后，服务商向采购人书面提出初验申请，采购人组织相关专家按照规范要求成立验收小组，形成初步验收报告。</w:t>
      </w:r>
    </w:p>
    <w:p w14:paraId="2E7CA272">
      <w:pPr>
        <w:rPr>
          <w:rFonts w:hint="eastAsia" w:ascii="宋体" w:eastAsia="宋体" w:cs="宋体"/>
          <w:szCs w:val="16"/>
        </w:rPr>
      </w:pPr>
      <w:r>
        <w:rPr>
          <w:rFonts w:hint="eastAsia" w:ascii="宋体" w:eastAsia="宋体" w:cs="宋体"/>
          <w:szCs w:val="16"/>
        </w:rPr>
        <w:t>试运行：初验通过、项目整改及复验完成后，系统至少应试运行30 天，形成试运行报告。</w:t>
      </w:r>
    </w:p>
    <w:p w14:paraId="17CE8ECE">
      <w:pPr>
        <w:rPr>
          <w:rFonts w:hint="eastAsia" w:ascii="宋体" w:eastAsia="宋体" w:cs="宋体"/>
          <w:szCs w:val="16"/>
        </w:rPr>
      </w:pPr>
      <w:r>
        <w:rPr>
          <w:rFonts w:hint="eastAsia" w:ascii="宋体" w:eastAsia="宋体" w:cs="宋体"/>
          <w:szCs w:val="16"/>
        </w:rPr>
        <w:t>第三方检测：初验合格后，应进行第三方检测。第三方检测由具有相关资质的机构进行，服务商负责办理第三方检测一切申报、检测手续。</w:t>
      </w:r>
    </w:p>
    <w:p w14:paraId="30029E10">
      <w:pPr>
        <w:rPr>
          <w:rFonts w:hint="eastAsia" w:ascii="宋体" w:eastAsia="宋体" w:cs="宋体"/>
          <w:szCs w:val="16"/>
        </w:rPr>
      </w:pPr>
      <w:r>
        <w:rPr>
          <w:rFonts w:hint="eastAsia" w:ascii="宋体" w:eastAsia="宋体" w:cs="宋体"/>
          <w:szCs w:val="16"/>
        </w:rPr>
        <w:t>竣工验收：完成初验问题整改、试运行结束，经第三方检测系统合格，服务商向采购人书面提出验收申请，采购人组织相关专家按照规范要求成立验收小组，严格依照招标文件、采购合同及相关验收规范进行验收，形成验收结论，并出具书面验收报告。</w:t>
      </w:r>
    </w:p>
    <w:p w14:paraId="2543B863">
      <w:pPr>
        <w:rPr>
          <w:rFonts w:hint="eastAsia" w:ascii="宋体" w:eastAsia="宋体" w:cs="宋体"/>
          <w:szCs w:val="16"/>
        </w:rPr>
      </w:pPr>
      <w:r>
        <w:rPr>
          <w:rFonts w:hint="eastAsia" w:ascii="宋体" w:eastAsia="宋体" w:cs="宋体"/>
          <w:szCs w:val="16"/>
        </w:rPr>
        <w:t>项目竣工验收之后次月1日进入项目服务期。</w:t>
      </w:r>
    </w:p>
    <w:bookmarkEnd w:id="375"/>
    <w:bookmarkEnd w:id="376"/>
    <w:bookmarkEnd w:id="377"/>
    <w:bookmarkEnd w:id="378"/>
    <w:bookmarkEnd w:id="379"/>
    <w:bookmarkEnd w:id="380"/>
    <w:p w14:paraId="387DDD93">
      <w:pPr>
        <w:pStyle w:val="4"/>
        <w:rPr>
          <w:color w:val="000000"/>
        </w:rPr>
      </w:pPr>
      <w:bookmarkStart w:id="404" w:name="_Toc7274"/>
      <w:bookmarkStart w:id="405" w:name="_Toc27560"/>
      <w:bookmarkStart w:id="406" w:name="_Toc17185"/>
      <w:bookmarkStart w:id="407" w:name="_Toc342"/>
      <w:bookmarkStart w:id="408" w:name="_Toc138615933"/>
      <w:bookmarkStart w:id="409" w:name="_Toc14049"/>
      <w:bookmarkStart w:id="410" w:name="_Toc23764"/>
      <w:bookmarkStart w:id="411" w:name="_Toc13928"/>
      <w:r>
        <w:rPr>
          <w:rFonts w:hint="eastAsia"/>
          <w:color w:val="000000"/>
        </w:rPr>
        <w:t>项目服务期</w:t>
      </w:r>
      <w:bookmarkEnd w:id="404"/>
    </w:p>
    <w:p w14:paraId="6632334B">
      <w:pPr>
        <w:pStyle w:val="6"/>
      </w:pPr>
      <w:bookmarkStart w:id="412" w:name="_Toc173776123"/>
      <w:bookmarkStart w:id="413" w:name="_Toc28878"/>
      <w:r>
        <w:rPr>
          <w:rFonts w:hint="eastAsia"/>
        </w:rPr>
        <w:t>服务</w:t>
      </w:r>
      <w:r>
        <w:t>期</w:t>
      </w:r>
      <w:r>
        <w:rPr>
          <w:rFonts w:hint="eastAsia"/>
        </w:rPr>
        <w:t>限</w:t>
      </w:r>
      <w:bookmarkEnd w:id="412"/>
      <w:bookmarkEnd w:id="413"/>
    </w:p>
    <w:p w14:paraId="50604226">
      <w:pPr>
        <w:rPr>
          <w:rFonts w:hint="eastAsia" w:ascii="宋体" w:eastAsia="宋体" w:cs="宋体"/>
        </w:rPr>
      </w:pPr>
      <w:r>
        <w:rPr>
          <w:rFonts w:hint="eastAsia" w:ascii="宋体" w:eastAsia="宋体" w:cs="宋体"/>
        </w:rPr>
        <w:t>服务期为三年。</w:t>
      </w:r>
    </w:p>
    <w:p w14:paraId="7AACEBB3">
      <w:pPr>
        <w:pStyle w:val="6"/>
      </w:pPr>
      <w:bookmarkStart w:id="414" w:name="_Toc173776124"/>
      <w:bookmarkStart w:id="415" w:name="_Toc15463"/>
      <w:r>
        <w:rPr>
          <w:rFonts w:hint="eastAsia"/>
        </w:rPr>
        <w:t>服务体系</w:t>
      </w:r>
      <w:bookmarkEnd w:id="414"/>
      <w:bookmarkEnd w:id="415"/>
    </w:p>
    <w:p w14:paraId="551C7D1F">
      <w:pPr>
        <w:rPr>
          <w:rFonts w:hint="eastAsia" w:ascii="宋体" w:eastAsia="宋体" w:cs="宋体"/>
          <w:szCs w:val="16"/>
        </w:rPr>
      </w:pPr>
      <w:r>
        <w:rPr>
          <w:rFonts w:hint="eastAsia" w:ascii="宋体" w:eastAsia="宋体" w:cs="宋体"/>
          <w:szCs w:val="16"/>
        </w:rPr>
        <w:t>服务商要建立日常巡检、故障响应、工单处理、报修反馈、安全施工、人员管理、应急响应、工作考核、机房管理、信息保护等相关管理制度，明确人员岗位职责、节假日值班安排，健全服务管理体系，确保服务质量。</w:t>
      </w:r>
    </w:p>
    <w:p w14:paraId="3C424B41">
      <w:pPr>
        <w:pStyle w:val="6"/>
      </w:pPr>
      <w:bookmarkStart w:id="416" w:name="_Toc173776125"/>
      <w:bookmarkStart w:id="417" w:name="_Toc8635"/>
      <w:r>
        <w:rPr>
          <w:rFonts w:hint="eastAsia"/>
        </w:rPr>
        <w:t>服务内容</w:t>
      </w:r>
      <w:bookmarkEnd w:id="416"/>
      <w:bookmarkEnd w:id="417"/>
    </w:p>
    <w:p w14:paraId="61F9BF8F">
      <w:pPr>
        <w:rPr>
          <w:rFonts w:hint="eastAsia" w:ascii="宋体" w:eastAsia="宋体" w:cs="宋体"/>
          <w:szCs w:val="16"/>
          <w:lang w:val="zh-TW"/>
        </w:rPr>
      </w:pPr>
      <w:r>
        <w:rPr>
          <w:rFonts w:hint="eastAsia" w:ascii="宋体" w:eastAsia="宋体" w:cs="宋体"/>
          <w:szCs w:val="16"/>
          <w:lang w:val="zh-TW"/>
        </w:rPr>
        <w:t>在服务期内，服务商应根据项目建设内容，日常做好各项服务工作，保障系统的安全稳定的运行，为公安机关提供可靠的视频图像服务，有力支撑公安、政府各部门各类视频应用。为满足建设单位精细化需求，保障系统安全平稳运行，提供高质量服务，需要建立服务体系，配置专业团队，开展日常巡检、故障维修、点位迁移、系统迁移、人员培训、系统优化、软件升级、应急保障等服务。</w:t>
      </w:r>
    </w:p>
    <w:p w14:paraId="119C7F38">
      <w:pPr>
        <w:rPr>
          <w:rFonts w:hint="eastAsia" w:ascii="宋体" w:eastAsia="宋体" w:cs="宋体"/>
          <w:szCs w:val="16"/>
          <w:lang w:val="zh-TW"/>
        </w:rPr>
      </w:pPr>
      <w:r>
        <w:rPr>
          <w:rFonts w:hint="eastAsia" w:ascii="宋体" w:eastAsia="宋体" w:cs="宋体"/>
          <w:szCs w:val="16"/>
          <w:lang w:val="zh-TW"/>
        </w:rPr>
        <w:t>（一）日常巡检</w:t>
      </w:r>
    </w:p>
    <w:p w14:paraId="516725E4">
      <w:pPr>
        <w:rPr>
          <w:rFonts w:hint="eastAsia" w:ascii="宋体" w:eastAsia="宋体" w:cs="宋体"/>
          <w:szCs w:val="16"/>
          <w:lang w:val="zh-TW"/>
        </w:rPr>
      </w:pPr>
      <w:r>
        <w:rPr>
          <w:rFonts w:hint="eastAsia" w:ascii="宋体" w:eastAsia="宋体" w:cs="宋体"/>
          <w:szCs w:val="16"/>
          <w:lang w:val="zh-TW"/>
        </w:rPr>
        <w:t>1.前端部分：通过检查视频图像画面和前端实地查看方式，对前端监控点设备进行日常巡检，及时发现供电线路漏电、线缆不规范、设备损坏、设备腐蚀、杠件倾斜、杠件被撞、摄像机遮挡、镜头脏污、图像模糊、图像失真、抓拍失效、安全漏洞等安全隐患和图像质量问题，调度维护人员对设备进行维护和软件升级，确保前端设备安全完好，发挥其最佳监控效果。</w:t>
      </w:r>
    </w:p>
    <w:p w14:paraId="14ACDD19">
      <w:pPr>
        <w:rPr>
          <w:rFonts w:hint="eastAsia" w:ascii="宋体" w:eastAsia="宋体" w:cs="宋体"/>
          <w:szCs w:val="16"/>
          <w:lang w:val="zh-TW"/>
        </w:rPr>
      </w:pPr>
      <w:r>
        <w:rPr>
          <w:rFonts w:hint="eastAsia" w:ascii="宋体" w:eastAsia="宋体" w:cs="宋体"/>
          <w:szCs w:val="16"/>
          <w:lang w:val="zh-TW"/>
        </w:rPr>
        <w:t>2.传输部分：配套平台采用技术手段对网络传输状况进行巡检，及时发现网络阻塞、网络延迟、带宽不足、安全漏洞等问题，调度专业技术人员维护优化网络、提高带宽、升级设备、修补漏洞等确保网络安全及传输质量，为视频图像传输提供可靠支撑。</w:t>
      </w:r>
    </w:p>
    <w:p w14:paraId="1B31F800">
      <w:pPr>
        <w:rPr>
          <w:rFonts w:hint="eastAsia" w:ascii="宋体" w:eastAsia="宋体" w:cs="宋体"/>
          <w:szCs w:val="16"/>
          <w:lang w:val="zh-TW"/>
        </w:rPr>
      </w:pPr>
      <w:r>
        <w:rPr>
          <w:rFonts w:hint="eastAsia" w:ascii="宋体" w:eastAsia="宋体" w:cs="宋体"/>
          <w:szCs w:val="16"/>
          <w:lang w:val="zh-TW"/>
        </w:rPr>
        <w:t>3.后端部分：对后端机房空调、消防设施、不间断供电，平台支撑、图像存储、视频解析、系统安全、网络交换等硬件设备及各软件系统运行模块工作状态巡检，及时发现机房温度过高、不间断供电时长降低、硬件设备故障指示灯告警、设备宕机、计算资源不足、内存不足、存储空间不足、软件模块中断等问题，加强对机房的日常管理，落实机房进出人员管理制度，对损坏硬件设备及时更换，软件系统优化升级，消除系统运行各类隐患，确保系统运行环境安全可靠，各应用平台及子模块不间断持续运行。</w:t>
      </w:r>
    </w:p>
    <w:p w14:paraId="11DC55C5">
      <w:pPr>
        <w:rPr>
          <w:rFonts w:hint="eastAsia" w:ascii="宋体" w:eastAsia="宋体" w:cs="宋体"/>
          <w:szCs w:val="16"/>
          <w:lang w:val="zh-TW"/>
        </w:rPr>
      </w:pPr>
      <w:r>
        <w:rPr>
          <w:rFonts w:hint="eastAsia" w:ascii="宋体" w:eastAsia="宋体" w:cs="宋体"/>
          <w:szCs w:val="16"/>
          <w:lang w:val="zh-TW"/>
        </w:rPr>
        <w:t>（二）故障维修</w:t>
      </w:r>
    </w:p>
    <w:p w14:paraId="39206EDD">
      <w:pPr>
        <w:rPr>
          <w:rFonts w:hint="eastAsia" w:ascii="宋体" w:eastAsia="宋体" w:cs="宋体"/>
          <w:szCs w:val="16"/>
          <w:lang w:val="zh-TW"/>
        </w:rPr>
      </w:pPr>
      <w:r>
        <w:rPr>
          <w:rFonts w:hint="eastAsia" w:ascii="宋体" w:eastAsia="宋体" w:cs="宋体"/>
          <w:szCs w:val="16"/>
          <w:lang w:val="zh-TW"/>
        </w:rPr>
        <w:t>服务商要提供维保服务电话，保持7×24小时畅通，及时响应技术咨询、服务请求和故障申报，按照故障处理流程进行故障维修，并</w:t>
      </w:r>
    </w:p>
    <w:p w14:paraId="300D701F">
      <w:pPr>
        <w:rPr>
          <w:rFonts w:hint="eastAsia" w:ascii="宋体" w:eastAsia="宋体" w:cs="宋体"/>
          <w:szCs w:val="16"/>
          <w:lang w:val="zh-TW"/>
        </w:rPr>
      </w:pPr>
      <w:r>
        <w:rPr>
          <w:rFonts w:hint="eastAsia" w:ascii="宋体" w:eastAsia="宋体" w:cs="宋体"/>
          <w:szCs w:val="16"/>
          <w:lang w:val="zh-TW"/>
        </w:rPr>
        <w:t>及时反馈修复信息。故障分为前端故障、传输故障、后端故障。</w:t>
      </w:r>
    </w:p>
    <w:p w14:paraId="73C1A7F2">
      <w:pPr>
        <w:rPr>
          <w:rFonts w:hint="eastAsia" w:ascii="宋体" w:eastAsia="宋体" w:cs="宋体"/>
          <w:szCs w:val="16"/>
          <w:lang w:val="zh-TW"/>
        </w:rPr>
      </w:pPr>
      <w:r>
        <w:rPr>
          <w:rFonts w:hint="eastAsia" w:ascii="宋体" w:eastAsia="宋体" w:cs="宋体"/>
          <w:szCs w:val="16"/>
          <w:lang w:val="zh-TW"/>
        </w:rPr>
        <w:t>1.前端故障包括不限以下项：摄像机离线、摄像机损坏、球机不能转动、补光灯失效、杠件倾斜、监控图像模糊、监控图像色彩失真、监控画面卡顿、监控画面遮挡、监控方向或高度需进行微调等。</w:t>
      </w:r>
    </w:p>
    <w:p w14:paraId="64273839">
      <w:pPr>
        <w:rPr>
          <w:rFonts w:hint="eastAsia" w:ascii="宋体" w:eastAsia="宋体" w:cs="宋体"/>
          <w:szCs w:val="16"/>
          <w:lang w:val="zh-TW"/>
        </w:rPr>
      </w:pPr>
      <w:r>
        <w:rPr>
          <w:rFonts w:hint="eastAsia" w:ascii="宋体" w:eastAsia="宋体" w:cs="宋体"/>
          <w:szCs w:val="16"/>
          <w:lang w:val="zh-TW"/>
        </w:rPr>
        <w:t xml:space="preserve">前端监控设备被人为破坏、盗取或交通事故等不可抗力导致设备损坏的,应于48小时内先行修复或更换。  </w:t>
      </w:r>
    </w:p>
    <w:p w14:paraId="5D0FB098">
      <w:pPr>
        <w:rPr>
          <w:rFonts w:hint="eastAsia" w:ascii="宋体" w:eastAsia="宋体" w:cs="宋体"/>
          <w:szCs w:val="16"/>
          <w:lang w:val="zh-TW"/>
        </w:rPr>
      </w:pPr>
      <w:r>
        <w:rPr>
          <w:rFonts w:hint="eastAsia" w:ascii="宋体" w:eastAsia="宋体" w:cs="宋体"/>
          <w:szCs w:val="16"/>
          <w:lang w:val="zh-TW"/>
        </w:rPr>
        <w:t>前端摄像机的正常运行和图像质量是视频应用的基础，为保障公安实战应用，服务商需加大前端维护人员力量，保障前端监控摄像机的平均每日在线率不低于98%。</w:t>
      </w:r>
    </w:p>
    <w:p w14:paraId="17BA0397">
      <w:pPr>
        <w:rPr>
          <w:rFonts w:hint="eastAsia" w:ascii="宋体" w:eastAsia="宋体" w:cs="宋体"/>
          <w:szCs w:val="16"/>
          <w:lang w:val="zh-TW"/>
        </w:rPr>
      </w:pPr>
      <w:r>
        <w:rPr>
          <w:rFonts w:hint="eastAsia" w:ascii="宋体" w:eastAsia="宋体" w:cs="宋体"/>
          <w:szCs w:val="16"/>
          <w:lang w:val="zh-TW"/>
        </w:rPr>
        <w:t>2.传输故障包括不限以下项：网络中断、网络丢包、网络不通、带宽不足、传输设备故障等。</w:t>
      </w:r>
    </w:p>
    <w:p w14:paraId="11CA16E0">
      <w:pPr>
        <w:rPr>
          <w:rFonts w:hint="eastAsia" w:ascii="宋体" w:eastAsia="宋体" w:cs="宋体"/>
          <w:szCs w:val="16"/>
          <w:lang w:val="zh-TW"/>
        </w:rPr>
      </w:pPr>
      <w:r>
        <w:rPr>
          <w:rFonts w:hint="eastAsia" w:ascii="宋体" w:eastAsia="宋体" w:cs="宋体"/>
          <w:szCs w:val="16"/>
          <w:lang w:val="zh-TW"/>
        </w:rPr>
        <w:t>3.后端故障包括不限以下项：交换设备瘫痪、系统平台不能登录、系统平台功能异常、视频图像信息数据异常、机房设备异常宕机等。</w:t>
      </w:r>
    </w:p>
    <w:p w14:paraId="45941ECB">
      <w:pPr>
        <w:rPr>
          <w:rFonts w:hint="eastAsia" w:ascii="宋体" w:eastAsia="宋体" w:cs="宋体"/>
          <w:szCs w:val="16"/>
          <w:lang w:val="zh-TW"/>
        </w:rPr>
      </w:pPr>
      <w:r>
        <w:rPr>
          <w:rFonts w:hint="eastAsia" w:ascii="宋体" w:eastAsia="宋体" w:cs="宋体"/>
          <w:szCs w:val="16"/>
          <w:lang w:val="zh-TW"/>
        </w:rPr>
        <w:t>维保人员必须佩戴维保单位的标识。作业中应负责落实现场安全防护措施，保证作业安全、人身安全。在维保系统核心部位时，应有建设单位人员在场情况下进行。维保人员应遵守安全保密工作规定。</w:t>
      </w:r>
    </w:p>
    <w:p w14:paraId="1FD4E2CE">
      <w:pPr>
        <w:rPr>
          <w:rFonts w:hint="eastAsia" w:ascii="宋体" w:eastAsia="宋体" w:cs="宋体"/>
          <w:szCs w:val="16"/>
          <w:lang w:val="zh-TW"/>
        </w:rPr>
      </w:pPr>
      <w:r>
        <w:rPr>
          <w:rFonts w:hint="eastAsia" w:ascii="宋体" w:eastAsia="宋体" w:cs="宋体"/>
          <w:szCs w:val="16"/>
          <w:lang w:val="zh-TW"/>
        </w:rPr>
        <w:t>（三）点位迁移</w:t>
      </w:r>
    </w:p>
    <w:p w14:paraId="6E36D6A6">
      <w:pPr>
        <w:rPr>
          <w:rFonts w:hint="eastAsia" w:ascii="宋体" w:eastAsia="宋体" w:cs="宋体"/>
          <w:szCs w:val="16"/>
          <w:lang w:val="zh-TW"/>
        </w:rPr>
      </w:pPr>
      <w:r>
        <w:rPr>
          <w:rFonts w:hint="eastAsia" w:ascii="宋体" w:eastAsia="宋体" w:cs="宋体"/>
          <w:szCs w:val="16"/>
          <w:lang w:val="zh-TW"/>
        </w:rPr>
        <w:t>因遇政府征地拆迁、道路修建、小区改造等原因及不可抗力因素造成监控点位无法继续正常使用时，服务商应尽快拆除设备，会同建设单位重新选址，确定位置后7日内完成监控点上线，点位迁移所产生的一切费用由服务商承担。</w:t>
      </w:r>
    </w:p>
    <w:p w14:paraId="481656F1">
      <w:pPr>
        <w:rPr>
          <w:rFonts w:hint="eastAsia" w:ascii="宋体" w:eastAsia="宋体" w:cs="宋体"/>
          <w:szCs w:val="16"/>
          <w:lang w:val="zh-TW"/>
        </w:rPr>
      </w:pPr>
      <w:r>
        <w:rPr>
          <w:rFonts w:hint="eastAsia" w:ascii="宋体" w:eastAsia="宋体" w:cs="宋体"/>
          <w:szCs w:val="16"/>
          <w:lang w:val="zh-TW"/>
        </w:rPr>
        <w:t>在服务期内，原监控点监控目标不能满足工作需要或因实际工作需要对原监控点调整，建设单位享有对前端监控点设备移迁到其他位置并继续使用的权利，点位迁移所产生的一切费用由服务商承担。</w:t>
      </w:r>
    </w:p>
    <w:p w14:paraId="6F5F2CFF">
      <w:pPr>
        <w:rPr>
          <w:rFonts w:hint="eastAsia" w:ascii="宋体" w:eastAsia="宋体" w:cs="宋体"/>
          <w:szCs w:val="16"/>
          <w:lang w:val="zh-TW"/>
        </w:rPr>
      </w:pPr>
      <w:r>
        <w:rPr>
          <w:rFonts w:hint="eastAsia" w:ascii="宋体" w:eastAsia="宋体" w:cs="宋体"/>
          <w:szCs w:val="16"/>
          <w:lang w:val="zh-TW"/>
        </w:rPr>
        <w:t>（</w:t>
      </w:r>
      <w:r>
        <w:rPr>
          <w:rFonts w:hint="eastAsia" w:ascii="宋体" w:eastAsia="宋体" w:cs="宋体"/>
          <w:szCs w:val="16"/>
        </w:rPr>
        <w:t>四</w:t>
      </w:r>
      <w:r>
        <w:rPr>
          <w:rFonts w:hint="eastAsia" w:ascii="宋体" w:eastAsia="宋体" w:cs="宋体"/>
          <w:szCs w:val="16"/>
          <w:lang w:val="zh-TW"/>
        </w:rPr>
        <w:t>）应急保障</w:t>
      </w:r>
    </w:p>
    <w:p w14:paraId="32D9BE9B">
      <w:pPr>
        <w:rPr>
          <w:rFonts w:hint="eastAsia" w:ascii="宋体" w:eastAsia="宋体" w:cs="宋体"/>
          <w:szCs w:val="16"/>
        </w:rPr>
      </w:pPr>
      <w:r>
        <w:rPr>
          <w:rFonts w:hint="eastAsia" w:ascii="宋体" w:eastAsia="宋体" w:cs="宋体"/>
          <w:szCs w:val="16"/>
        </w:rPr>
        <w:t>在本次约定的运维服务费用期限内，将包含服务期内每年度重大活动期间的链路维护费用，以确保每年不超过十次的重大活动得到充分保障。重大活动保障内容包含覆盖现场人员值守、临时链路搭建以及与重大活动相关的维护保养工作。</w:t>
      </w:r>
    </w:p>
    <w:p w14:paraId="329E2D51">
      <w:pPr>
        <w:rPr>
          <w:rFonts w:hint="eastAsia" w:ascii="宋体" w:eastAsia="宋体" w:cs="宋体"/>
          <w:szCs w:val="16"/>
          <w:lang w:val="zh-TW"/>
        </w:rPr>
      </w:pPr>
      <w:r>
        <w:rPr>
          <w:rFonts w:hint="eastAsia" w:ascii="宋体" w:eastAsia="宋体" w:cs="宋体"/>
          <w:szCs w:val="16"/>
          <w:lang w:val="zh-TW"/>
        </w:rPr>
        <w:t>（</w:t>
      </w:r>
      <w:r>
        <w:rPr>
          <w:rFonts w:hint="eastAsia" w:ascii="宋体" w:eastAsia="宋体" w:cs="宋体"/>
          <w:szCs w:val="16"/>
        </w:rPr>
        <w:t>五</w:t>
      </w:r>
      <w:r>
        <w:rPr>
          <w:rFonts w:hint="eastAsia" w:ascii="宋体" w:eastAsia="宋体" w:cs="宋体"/>
          <w:szCs w:val="16"/>
          <w:lang w:val="zh-TW"/>
        </w:rPr>
        <w:t>）服务人员</w:t>
      </w:r>
    </w:p>
    <w:p w14:paraId="4843123C">
      <w:pPr>
        <w:rPr>
          <w:rFonts w:hint="eastAsia" w:ascii="宋体" w:eastAsia="宋体" w:cs="宋体"/>
          <w:szCs w:val="16"/>
          <w:lang w:val="zh-CN"/>
        </w:rPr>
      </w:pPr>
      <w:r>
        <w:rPr>
          <w:rFonts w:hint="eastAsia" w:ascii="宋体" w:eastAsia="宋体" w:cs="宋体"/>
          <w:szCs w:val="16"/>
          <w:lang w:val="zh-CN"/>
        </w:rPr>
        <w:t>系统运维期内，</w:t>
      </w:r>
      <w:r>
        <w:rPr>
          <w:rFonts w:hint="eastAsia" w:ascii="宋体" w:eastAsia="宋体" w:cs="宋体"/>
          <w:szCs w:val="16"/>
        </w:rPr>
        <w:t>服务商应为购买方派驻专用驻点人员</w:t>
      </w:r>
      <w:r>
        <w:rPr>
          <w:rFonts w:hint="eastAsia" w:ascii="宋体" w:eastAsia="宋体" w:cs="宋体"/>
          <w:szCs w:val="16"/>
          <w:lang w:val="zh-CN"/>
        </w:rPr>
        <w:t>，确保运维响应迅速、高效。驻点人员应政治清白、无犯罪记录、无不良嗜好，其工作能力应经</w:t>
      </w:r>
      <w:r>
        <w:rPr>
          <w:rFonts w:hint="eastAsia" w:ascii="宋体" w:eastAsia="宋体" w:cs="宋体"/>
          <w:szCs w:val="16"/>
        </w:rPr>
        <w:t>购买</w:t>
      </w:r>
      <w:r>
        <w:rPr>
          <w:rFonts w:hint="eastAsia" w:ascii="宋体" w:eastAsia="宋体" w:cs="宋体"/>
          <w:szCs w:val="16"/>
          <w:lang w:val="zh-CN"/>
        </w:rPr>
        <w:t>方认可并审核批准，工作期间接受</w:t>
      </w:r>
      <w:r>
        <w:rPr>
          <w:rFonts w:hint="eastAsia" w:ascii="宋体" w:eastAsia="宋体" w:cs="宋体"/>
          <w:szCs w:val="16"/>
        </w:rPr>
        <w:t>购买</w:t>
      </w:r>
      <w:r>
        <w:rPr>
          <w:rFonts w:hint="eastAsia" w:ascii="宋体" w:eastAsia="宋体" w:cs="宋体"/>
          <w:szCs w:val="16"/>
          <w:lang w:val="zh-CN"/>
        </w:rPr>
        <w:t>方统一管理。</w:t>
      </w:r>
      <w:r>
        <w:rPr>
          <w:rFonts w:hint="eastAsia" w:ascii="宋体" w:eastAsia="宋体" w:cs="宋体"/>
          <w:szCs w:val="16"/>
        </w:rPr>
        <w:t>如驻点人员不能满足购买方服务需要，购买方有权要求中标服务商一周内予以更换，如遇驻点人员、生病、离职等不能继续服务的特殊情况，中标服务商应提前向购买方报备，经允许后在一周内提供新驻点人员。</w:t>
      </w:r>
    </w:p>
    <w:p w14:paraId="390B78B4">
      <w:pPr>
        <w:rPr>
          <w:rFonts w:hint="eastAsia" w:ascii="宋体" w:eastAsia="宋体" w:cs="宋体"/>
          <w:szCs w:val="16"/>
          <w:lang w:val="zh-CN"/>
        </w:rPr>
      </w:pPr>
      <w:r>
        <w:rPr>
          <w:rFonts w:hint="eastAsia" w:ascii="宋体" w:eastAsia="宋体" w:cs="宋体"/>
          <w:szCs w:val="16"/>
        </w:rPr>
        <w:t>购买</w:t>
      </w:r>
      <w:r>
        <w:rPr>
          <w:rFonts w:hint="eastAsia" w:ascii="宋体" w:eastAsia="宋体" w:cs="宋体"/>
          <w:szCs w:val="16"/>
          <w:lang w:val="zh-CN"/>
        </w:rPr>
        <w:t>方提供办公场所，驻场人员按照每月不少于22天，每天不少于8小时的提供驻场保障服务，</w:t>
      </w:r>
      <w:r>
        <w:rPr>
          <w:rFonts w:hint="eastAsia" w:ascii="宋体" w:eastAsia="宋体" w:cs="宋体"/>
          <w:szCs w:val="16"/>
        </w:rPr>
        <w:t>周六、周日及</w:t>
      </w:r>
      <w:r>
        <w:rPr>
          <w:rFonts w:hint="eastAsia" w:ascii="宋体" w:eastAsia="宋体" w:cs="宋体"/>
          <w:szCs w:val="16"/>
          <w:lang w:val="zh-CN"/>
        </w:rPr>
        <w:t>国家法定节假日至少保证1名人员在岗值班。驻场时必须在</w:t>
      </w:r>
      <w:r>
        <w:rPr>
          <w:rFonts w:hint="eastAsia" w:ascii="宋体" w:eastAsia="宋体" w:cs="宋体"/>
          <w:szCs w:val="16"/>
        </w:rPr>
        <w:t>购买</w:t>
      </w:r>
      <w:r>
        <w:rPr>
          <w:rFonts w:hint="eastAsia" w:ascii="宋体" w:eastAsia="宋体" w:cs="宋体"/>
          <w:szCs w:val="16"/>
          <w:lang w:val="zh-CN"/>
        </w:rPr>
        <w:t>方提供的办公场所办公，按</w:t>
      </w:r>
      <w:r>
        <w:rPr>
          <w:rFonts w:hint="eastAsia" w:ascii="宋体" w:eastAsia="宋体" w:cs="宋体"/>
          <w:szCs w:val="16"/>
        </w:rPr>
        <w:t>购买</w:t>
      </w:r>
      <w:r>
        <w:rPr>
          <w:rFonts w:hint="eastAsia" w:ascii="宋体" w:eastAsia="宋体" w:cs="宋体"/>
          <w:szCs w:val="16"/>
          <w:lang w:val="zh-CN"/>
        </w:rPr>
        <w:t>方要求进行考勤并接受</w:t>
      </w:r>
      <w:r>
        <w:rPr>
          <w:rFonts w:hint="eastAsia" w:ascii="宋体" w:eastAsia="宋体" w:cs="宋体"/>
          <w:szCs w:val="16"/>
        </w:rPr>
        <w:t>购买</w:t>
      </w:r>
      <w:r>
        <w:rPr>
          <w:rFonts w:hint="eastAsia" w:ascii="宋体" w:eastAsia="宋体" w:cs="宋体"/>
          <w:szCs w:val="16"/>
          <w:lang w:val="zh-CN"/>
        </w:rPr>
        <w:t>方管理，法定假日和工作时间外，根据</w:t>
      </w:r>
      <w:r>
        <w:rPr>
          <w:rFonts w:hint="eastAsia" w:ascii="宋体" w:eastAsia="宋体" w:cs="宋体"/>
          <w:szCs w:val="16"/>
        </w:rPr>
        <w:t>购买</w:t>
      </w:r>
      <w:r>
        <w:rPr>
          <w:rFonts w:hint="eastAsia" w:ascii="宋体" w:eastAsia="宋体" w:cs="宋体"/>
          <w:szCs w:val="16"/>
          <w:lang w:val="zh-CN"/>
        </w:rPr>
        <w:t>方要求随时提供驻场服务，为</w:t>
      </w:r>
      <w:r>
        <w:rPr>
          <w:rFonts w:hint="eastAsia" w:ascii="宋体" w:eastAsia="宋体" w:cs="宋体"/>
          <w:szCs w:val="16"/>
        </w:rPr>
        <w:t>购买</w:t>
      </w:r>
      <w:r>
        <w:rPr>
          <w:rFonts w:hint="eastAsia" w:ascii="宋体" w:eastAsia="宋体" w:cs="宋体"/>
          <w:szCs w:val="16"/>
          <w:lang w:val="zh-CN"/>
        </w:rPr>
        <w:t>方提供日常巡检和故障诊断排查、技术保障等服务，并对设备日常情况及维修情况进行记录归档。同时，按实际要求，满足</w:t>
      </w:r>
      <w:r>
        <w:rPr>
          <w:rFonts w:hint="eastAsia" w:ascii="宋体" w:eastAsia="宋体" w:cs="宋体"/>
          <w:szCs w:val="16"/>
        </w:rPr>
        <w:t>购买</w:t>
      </w:r>
      <w:r>
        <w:rPr>
          <w:rFonts w:hint="eastAsia" w:ascii="宋体" w:eastAsia="宋体" w:cs="宋体"/>
          <w:szCs w:val="16"/>
          <w:lang w:val="zh-CN"/>
        </w:rPr>
        <w:t>方其他技术服务。</w:t>
      </w:r>
    </w:p>
    <w:p w14:paraId="41CEA1B5">
      <w:pPr>
        <w:rPr>
          <w:rFonts w:hint="eastAsia" w:ascii="宋体" w:eastAsia="宋体" w:cs="宋体"/>
          <w:szCs w:val="16"/>
          <w:lang w:val="zh-TW"/>
        </w:rPr>
      </w:pPr>
      <w:r>
        <w:rPr>
          <w:rFonts w:hint="eastAsia" w:ascii="宋体" w:eastAsia="宋体" w:cs="宋体"/>
          <w:szCs w:val="16"/>
          <w:lang w:val="zh-TW"/>
        </w:rPr>
        <w:t>（</w:t>
      </w:r>
      <w:r>
        <w:rPr>
          <w:rFonts w:hint="eastAsia" w:ascii="宋体" w:eastAsia="宋体" w:cs="宋体"/>
          <w:szCs w:val="16"/>
        </w:rPr>
        <w:t>六</w:t>
      </w:r>
      <w:r>
        <w:rPr>
          <w:rFonts w:hint="eastAsia" w:ascii="宋体" w:eastAsia="宋体" w:cs="宋体"/>
          <w:szCs w:val="16"/>
          <w:lang w:val="zh-TW"/>
        </w:rPr>
        <w:t>）人员培训</w:t>
      </w:r>
    </w:p>
    <w:p w14:paraId="367AFA38">
      <w:pPr>
        <w:rPr>
          <w:rFonts w:ascii="Times New Roman" w:hAnsi="Times New Roman"/>
          <w:color w:val="000000"/>
        </w:rPr>
      </w:pPr>
      <w:r>
        <w:rPr>
          <w:rFonts w:hint="eastAsia" w:ascii="宋体" w:eastAsia="宋体" w:cs="宋体"/>
          <w:szCs w:val="16"/>
          <w:lang w:val="zh-TW"/>
        </w:rPr>
        <w:t>按照</w:t>
      </w:r>
      <w:r>
        <w:rPr>
          <w:rFonts w:hint="eastAsia" w:ascii="宋体" w:eastAsia="宋体" w:cs="宋体"/>
          <w:szCs w:val="16"/>
        </w:rPr>
        <w:t>采购</w:t>
      </w:r>
      <w:r>
        <w:rPr>
          <w:rFonts w:hint="eastAsia" w:ascii="宋体" w:eastAsia="宋体" w:cs="宋体"/>
          <w:szCs w:val="16"/>
          <w:lang w:val="zh-CN"/>
        </w:rPr>
        <w:t>方</w:t>
      </w:r>
      <w:r>
        <w:rPr>
          <w:rFonts w:hint="eastAsia" w:ascii="宋体" w:eastAsia="宋体" w:cs="宋体"/>
          <w:szCs w:val="16"/>
          <w:lang w:val="zh-TW"/>
        </w:rPr>
        <w:t>要求无偿提供人员基础操作培训和技术培训，使其具备系统操作管理能力。培训主要内容为监控维护系统的操作、使用、管理、维护等。培训师资由设备厂家专业工程师和服务商核心工程师组成，培训人数满足采购单位实际需求。</w:t>
      </w:r>
      <w:bookmarkEnd w:id="405"/>
      <w:bookmarkEnd w:id="406"/>
      <w:bookmarkEnd w:id="407"/>
      <w:bookmarkEnd w:id="408"/>
      <w:bookmarkEnd w:id="409"/>
      <w:bookmarkEnd w:id="410"/>
      <w:bookmarkEnd w:id="411"/>
      <w:bookmarkStart w:id="418" w:name="_Toc16421"/>
      <w:bookmarkStart w:id="419" w:name="_Toc23798"/>
      <w:bookmarkStart w:id="420" w:name="_Toc138615753"/>
      <w:bookmarkStart w:id="421" w:name="_Toc9281"/>
      <w:bookmarkStart w:id="422" w:name="_Toc24678"/>
      <w:bookmarkStart w:id="423" w:name="_Toc5279"/>
      <w:bookmarkStart w:id="424" w:name="_Toc14422"/>
    </w:p>
    <w:bookmarkEnd w:id="418"/>
    <w:bookmarkEnd w:id="419"/>
    <w:bookmarkEnd w:id="420"/>
    <w:bookmarkEnd w:id="421"/>
    <w:bookmarkEnd w:id="422"/>
    <w:bookmarkEnd w:id="423"/>
    <w:bookmarkEnd w:id="424"/>
    <w:p w14:paraId="6A497B93">
      <w:pPr>
        <w:rPr>
          <w:rFonts w:hint="eastAsia"/>
        </w:rPr>
      </w:pPr>
    </w:p>
    <w:p w14:paraId="0388A441">
      <w:pPr>
        <w:pStyle w:val="3"/>
        <w:keepNext/>
        <w:keepLines/>
        <w:pageBreakBefore w:val="0"/>
        <w:widowControl w:val="0"/>
        <w:rPr>
          <w:rFonts w:hint="eastAsia" w:ascii="Times New Roman" w:hAnsi="Times New Roman"/>
          <w:color w:val="000000"/>
          <w:lang w:eastAsia="zh-CN"/>
        </w:rPr>
      </w:pPr>
      <w:bookmarkStart w:id="425" w:name="_Toc29203"/>
    </w:p>
    <w:p w14:paraId="41EEA7A3">
      <w:pPr>
        <w:pStyle w:val="3"/>
        <w:keepNext/>
        <w:keepLines/>
        <w:pageBreakBefore w:val="0"/>
        <w:widowControl w:val="0"/>
        <w:rPr>
          <w:rFonts w:ascii="Times New Roman" w:hAnsi="Times New Roman"/>
          <w:color w:val="000000"/>
        </w:rPr>
      </w:pPr>
      <w:r>
        <w:rPr>
          <w:rFonts w:hint="eastAsia" w:ascii="Times New Roman" w:hAnsi="Times New Roman"/>
          <w:color w:val="000000"/>
          <w:lang w:eastAsia="zh-CN"/>
        </w:rPr>
        <w:t>主要服务清单</w:t>
      </w:r>
      <w:bookmarkEnd w:id="425"/>
    </w:p>
    <w:p w14:paraId="5058F81F">
      <w:pPr>
        <w:rPr>
          <w:rFonts w:hint="eastAsia"/>
        </w:rPr>
      </w:pPr>
    </w:p>
    <w:tbl>
      <w:tblPr>
        <w:tblStyle w:val="38"/>
        <w:tblW w:w="882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92"/>
        <w:gridCol w:w="5722"/>
        <w:gridCol w:w="844"/>
        <w:gridCol w:w="820"/>
        <w:gridCol w:w="3"/>
      </w:tblGrid>
      <w:tr w14:paraId="177B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blHeader/>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D3C8106">
            <w:pPr>
              <w:pStyle w:val="125"/>
              <w:spacing w:line="520" w:lineRule="exact"/>
              <w:ind w:firstLine="0" w:firstLineChars="0"/>
              <w:jc w:val="center"/>
              <w:rPr>
                <w:rFonts w:hint="eastAsia" w:ascii="宋体" w:eastAsia="宋体" w:cs="宋体"/>
                <w:b/>
                <w:bCs/>
                <w:sz w:val="24"/>
                <w:szCs w:val="24"/>
              </w:rPr>
            </w:pPr>
            <w:r>
              <w:rPr>
                <w:rFonts w:hint="eastAsia" w:ascii="宋体" w:eastAsia="宋体" w:cs="宋体"/>
                <w:b/>
                <w:bCs/>
                <w:sz w:val="24"/>
                <w:szCs w:val="24"/>
              </w:rPr>
              <w:t>序号</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F34B7E9">
            <w:pPr>
              <w:pStyle w:val="125"/>
              <w:spacing w:line="520" w:lineRule="exact"/>
              <w:ind w:firstLine="0" w:firstLineChars="0"/>
              <w:jc w:val="center"/>
              <w:rPr>
                <w:rFonts w:hint="eastAsia" w:ascii="宋体" w:eastAsia="宋体" w:cs="宋体"/>
                <w:b/>
                <w:bCs/>
                <w:sz w:val="24"/>
                <w:szCs w:val="24"/>
              </w:rPr>
            </w:pPr>
            <w:r>
              <w:rPr>
                <w:rFonts w:hint="eastAsia" w:ascii="宋体" w:eastAsia="宋体" w:cs="宋体"/>
                <w:b/>
                <w:bCs/>
                <w:sz w:val="24"/>
                <w:szCs w:val="24"/>
              </w:rPr>
              <w:t>名称</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6E95334">
            <w:pPr>
              <w:pStyle w:val="125"/>
              <w:spacing w:line="520" w:lineRule="exact"/>
              <w:ind w:firstLine="0" w:firstLineChars="0"/>
              <w:jc w:val="center"/>
              <w:rPr>
                <w:rFonts w:hint="eastAsia" w:ascii="宋体" w:eastAsia="宋体" w:cs="宋体"/>
                <w:b/>
                <w:bCs/>
                <w:sz w:val="24"/>
                <w:szCs w:val="24"/>
              </w:rPr>
            </w:pPr>
            <w:r>
              <w:rPr>
                <w:rFonts w:hint="eastAsia" w:ascii="宋体" w:eastAsia="宋体" w:cs="宋体"/>
                <w:b/>
                <w:bCs/>
                <w:sz w:val="24"/>
                <w:szCs w:val="24"/>
              </w:rPr>
              <w:t>技术服务要求</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252641B">
            <w:pPr>
              <w:pStyle w:val="125"/>
              <w:spacing w:line="520" w:lineRule="exact"/>
              <w:ind w:firstLine="0" w:firstLineChars="0"/>
              <w:jc w:val="center"/>
              <w:rPr>
                <w:rFonts w:hint="eastAsia" w:ascii="宋体" w:eastAsia="宋体" w:cs="宋体"/>
                <w:b/>
                <w:bCs/>
                <w:sz w:val="24"/>
                <w:szCs w:val="24"/>
              </w:rPr>
            </w:pPr>
            <w:r>
              <w:rPr>
                <w:rFonts w:hint="eastAsia" w:ascii="宋体" w:eastAsia="宋体" w:cs="宋体"/>
                <w:b/>
                <w:bCs/>
                <w:sz w:val="24"/>
                <w:szCs w:val="24"/>
              </w:rPr>
              <w:t>数量</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76D7CA6">
            <w:pPr>
              <w:pStyle w:val="125"/>
              <w:spacing w:line="520" w:lineRule="exact"/>
              <w:ind w:firstLine="0" w:firstLineChars="0"/>
              <w:jc w:val="center"/>
              <w:rPr>
                <w:rFonts w:hint="eastAsia" w:ascii="宋体" w:eastAsia="宋体" w:cs="宋体"/>
                <w:b/>
                <w:bCs/>
                <w:sz w:val="24"/>
                <w:szCs w:val="24"/>
              </w:rPr>
            </w:pPr>
            <w:r>
              <w:rPr>
                <w:rFonts w:hint="eastAsia" w:ascii="宋体" w:eastAsia="宋体" w:cs="宋体"/>
                <w:b/>
                <w:bCs/>
                <w:sz w:val="24"/>
                <w:szCs w:val="24"/>
              </w:rPr>
              <w:t>单位</w:t>
            </w:r>
          </w:p>
        </w:tc>
      </w:tr>
      <w:tr w14:paraId="03DE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55E0646">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一、前端感知采集系统服务</w:t>
            </w:r>
          </w:p>
        </w:tc>
      </w:tr>
      <w:tr w14:paraId="7D72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81A1B2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6EBA98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400万结构化枪机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6DED1CF">
            <w:pPr>
              <w:pStyle w:val="125"/>
              <w:numPr>
                <w:ilvl w:val="0"/>
                <w:numId w:val="13"/>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采用1/1.8英寸高性能逐行扫描图像传感器，支持电动变焦镜头；</w:t>
            </w:r>
          </w:p>
          <w:p w14:paraId="43846785">
            <w:pPr>
              <w:pStyle w:val="125"/>
              <w:spacing w:line="520" w:lineRule="exact"/>
              <w:ind w:firstLine="0" w:firstLineChars="0"/>
              <w:jc w:val="left"/>
              <w:rPr>
                <w:rFonts w:hint="eastAsia" w:ascii="宋体" w:eastAsia="宋体" w:cs="宋体"/>
                <w:sz w:val="24"/>
                <w:szCs w:val="24"/>
                <w:lang w:val="en-US" w:eastAsia="zh-CN"/>
              </w:rPr>
            </w:pPr>
            <w:r>
              <w:rPr>
                <w:rFonts w:hint="eastAsia" w:ascii="宋体" w:eastAsia="宋体" w:cs="宋体"/>
                <w:sz w:val="24"/>
                <w:szCs w:val="24"/>
                <w:lang w:val="en-US" w:eastAsia="zh-CN"/>
              </w:rPr>
              <w:t>2、</w:t>
            </w:r>
            <w:r>
              <w:rPr>
                <w:rFonts w:hint="eastAsia" w:ascii="宋体" w:eastAsia="宋体" w:cs="宋体"/>
                <w:sz w:val="24"/>
                <w:szCs w:val="24"/>
              </w:rPr>
              <w:t>★</w:t>
            </w:r>
            <w:r>
              <w:rPr>
                <w:rFonts w:hint="eastAsia" w:ascii="宋体" w:eastAsia="宋体" w:cs="宋体"/>
                <w:sz w:val="24"/>
                <w:szCs w:val="24"/>
                <w:lang w:val="en-US" w:eastAsia="zh-CN"/>
              </w:rPr>
              <w:t>不低于</w:t>
            </w:r>
            <w:r>
              <w:rPr>
                <w:rFonts w:hint="eastAsia" w:ascii="宋体" w:eastAsia="宋体" w:cs="宋体"/>
                <w:sz w:val="24"/>
                <w:szCs w:val="24"/>
              </w:rPr>
              <w:t>400万像素</w:t>
            </w:r>
            <w:r>
              <w:rPr>
                <w:rFonts w:hint="eastAsia" w:ascii="宋体" w:eastAsia="宋体" w:cs="宋体"/>
                <w:sz w:val="24"/>
                <w:szCs w:val="24"/>
                <w:lang w:eastAsia="zh-CN"/>
              </w:rPr>
              <w:t>，</w:t>
            </w:r>
            <w:r>
              <w:rPr>
                <w:rFonts w:hint="eastAsia" w:ascii="宋体" w:eastAsia="宋体" w:cs="宋体"/>
                <w:sz w:val="24"/>
                <w:szCs w:val="24"/>
                <w:lang w:val="en-US" w:eastAsia="zh-CN"/>
              </w:rPr>
              <w:t>不低于2560x1440，需提供第三方检测报告或功能产品彩页；</w:t>
            </w:r>
          </w:p>
          <w:p w14:paraId="16BE1B39">
            <w:pPr>
              <w:pStyle w:val="125"/>
              <w:spacing w:line="520" w:lineRule="exact"/>
              <w:ind w:firstLine="0" w:firstLineChars="0"/>
              <w:jc w:val="left"/>
              <w:rPr>
                <w:rFonts w:ascii="宋体" w:eastAsia="宋体" w:cs="宋体"/>
                <w:sz w:val="24"/>
                <w:szCs w:val="24"/>
                <w:lang w:val="en-US" w:eastAsia="zh-CN"/>
              </w:rPr>
            </w:pPr>
            <w:r>
              <w:rPr>
                <w:rFonts w:hint="eastAsia" w:ascii="宋体" w:eastAsia="宋体" w:cs="宋体"/>
                <w:sz w:val="24"/>
                <w:szCs w:val="24"/>
                <w:lang w:val="en-US" w:eastAsia="zh-CN"/>
              </w:rPr>
              <w:t>3、</w:t>
            </w:r>
            <w:r>
              <w:rPr>
                <w:rFonts w:hint="eastAsia" w:ascii="宋体" w:eastAsia="宋体" w:cs="宋体"/>
                <w:sz w:val="24"/>
                <w:szCs w:val="24"/>
              </w:rPr>
              <w:t>帧率</w:t>
            </w:r>
            <w:r>
              <w:rPr>
                <w:rFonts w:hint="eastAsia" w:ascii="宋体" w:eastAsia="宋体" w:cs="宋体"/>
                <w:sz w:val="24"/>
                <w:szCs w:val="24"/>
                <w:lang w:val="en-US" w:eastAsia="zh-CN"/>
              </w:rPr>
              <w:t>不低于</w:t>
            </w:r>
            <w:r>
              <w:rPr>
                <w:rFonts w:hint="eastAsia" w:ascii="宋体" w:eastAsia="宋体" w:cs="宋体"/>
                <w:sz w:val="24"/>
                <w:szCs w:val="24"/>
              </w:rPr>
              <w:t>25fps，支持32kbps~10Mbps视频编码，支持三码流输出；</w:t>
            </w:r>
          </w:p>
          <w:p w14:paraId="616B0F5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4</w:t>
            </w:r>
            <w:r>
              <w:rPr>
                <w:rFonts w:hint="eastAsia" w:ascii="宋体" w:eastAsia="宋体" w:cs="宋体"/>
                <w:sz w:val="24"/>
                <w:szCs w:val="24"/>
              </w:rPr>
              <w:t>、最低照度：0.0005Lux（彩色）， 0.0001Lux（黑白）；</w:t>
            </w:r>
          </w:p>
          <w:p w14:paraId="0AFFCC1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5</w:t>
            </w:r>
            <w:r>
              <w:rPr>
                <w:rFonts w:hint="eastAsia" w:ascii="宋体" w:eastAsia="宋体" w:cs="宋体"/>
                <w:sz w:val="24"/>
                <w:szCs w:val="24"/>
              </w:rPr>
              <w:t>、采用高效补光灯，补光距离最远可达30米；</w:t>
            </w:r>
          </w:p>
          <w:p w14:paraId="773D714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6</w:t>
            </w:r>
            <w:r>
              <w:rPr>
                <w:rFonts w:hint="eastAsia" w:ascii="宋体" w:eastAsia="宋体" w:cs="宋体"/>
                <w:sz w:val="24"/>
                <w:szCs w:val="24"/>
              </w:rPr>
              <w:t>、视频编码标准：H.265、H.264、MJPEG；</w:t>
            </w:r>
          </w:p>
          <w:p w14:paraId="4F01A80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7</w:t>
            </w:r>
            <w:r>
              <w:rPr>
                <w:rFonts w:hint="eastAsia" w:ascii="宋体" w:eastAsia="宋体" w:cs="宋体"/>
                <w:sz w:val="24"/>
                <w:szCs w:val="24"/>
              </w:rPr>
              <w:t>、音频编码格式支持G.711A、PCM、G.711、AAC音频编码标准，支持8kHz/16kHz/32kHz/48kHz采样率；</w:t>
            </w:r>
          </w:p>
          <w:p w14:paraId="72FA0E6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8</w:t>
            </w:r>
            <w:r>
              <w:rPr>
                <w:rFonts w:hint="eastAsia" w:ascii="宋体" w:eastAsia="宋体" w:cs="宋体"/>
                <w:sz w:val="24"/>
                <w:szCs w:val="24"/>
              </w:rPr>
              <w:t>、支持音频录像，可将麦克风采集的声音保存至录像文件；</w:t>
            </w:r>
          </w:p>
          <w:p w14:paraId="0313078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9</w:t>
            </w:r>
            <w:r>
              <w:rPr>
                <w:rFonts w:hint="eastAsia" w:ascii="宋体" w:eastAsia="宋体" w:cs="宋体"/>
                <w:sz w:val="24"/>
                <w:szCs w:val="24"/>
              </w:rPr>
              <w:t>、支持结构化分析，支持人体抓拍、人脸抓拍、非机动车及车上人员抓拍、支持车身、车牌等抓拍；</w:t>
            </w:r>
          </w:p>
          <w:p w14:paraId="5C5C2C8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10</w:t>
            </w:r>
            <w:r>
              <w:rPr>
                <w:rFonts w:hint="eastAsia" w:ascii="宋体" w:eastAsia="宋体" w:cs="宋体"/>
                <w:sz w:val="24"/>
                <w:szCs w:val="24"/>
              </w:rPr>
              <w:t>、支持对人脸目标进行检测、跟踪、抓拍并实时上报，支持检测同时出现在画面中的70个目标，支持检测输出两眼瞳距为20像素以上的人脸目标；</w:t>
            </w:r>
          </w:p>
          <w:p w14:paraId="4154D61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1</w:t>
            </w:r>
            <w:r>
              <w:rPr>
                <w:rFonts w:hint="eastAsia" w:ascii="宋体" w:eastAsia="宋体" w:cs="宋体"/>
                <w:sz w:val="24"/>
                <w:szCs w:val="24"/>
              </w:rPr>
              <w:t>、具备1*RJ45、1*RS485、1*开关量报警输入、1*开关量报警输出接口；</w:t>
            </w:r>
          </w:p>
          <w:p w14:paraId="2C13E66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2</w:t>
            </w:r>
            <w:r>
              <w:rPr>
                <w:rFonts w:hint="eastAsia" w:ascii="宋体" w:eastAsia="宋体" w:cs="宋体"/>
                <w:sz w:val="24"/>
                <w:szCs w:val="24"/>
              </w:rPr>
              <w:t>、符合IP67级防护要求，工作温度：-40℃~70℃，工作电：DC12V±</w:t>
            </w:r>
            <w:r>
              <w:rPr>
                <w:rFonts w:hint="eastAsia" w:ascii="宋体" w:eastAsia="宋体" w:cs="宋体"/>
                <w:sz w:val="24"/>
                <w:szCs w:val="24"/>
                <w:lang w:val="en-US" w:eastAsia="zh-CN"/>
              </w:rPr>
              <w:t>2</w:t>
            </w:r>
            <w:r>
              <w:rPr>
                <w:rFonts w:hint="eastAsia" w:ascii="宋体" w:eastAsia="宋体" w:cs="宋体"/>
                <w:sz w:val="24"/>
                <w:szCs w:val="24"/>
              </w:rPr>
              <w:t>0%或AC24V±</w:t>
            </w:r>
            <w:r>
              <w:rPr>
                <w:rFonts w:hint="eastAsia" w:ascii="宋体" w:eastAsia="宋体" w:cs="宋体"/>
                <w:sz w:val="24"/>
                <w:szCs w:val="24"/>
                <w:lang w:val="en-US" w:eastAsia="zh-CN"/>
              </w:rPr>
              <w:t>2</w:t>
            </w:r>
            <w:r>
              <w:rPr>
                <w:rFonts w:hint="eastAsia" w:ascii="宋体" w:eastAsia="宋体" w:cs="宋体"/>
                <w:sz w:val="24"/>
                <w:szCs w:val="24"/>
              </w:rPr>
              <w:t>0%；</w:t>
            </w:r>
          </w:p>
          <w:p w14:paraId="454BDB16">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w:t>
            </w:r>
            <w:r>
              <w:rPr>
                <w:rFonts w:hint="eastAsia" w:ascii="宋体" w:eastAsia="宋体" w:cs="宋体"/>
                <w:sz w:val="24"/>
                <w:szCs w:val="24"/>
                <w:lang w:val="en-US" w:eastAsia="zh-CN"/>
              </w:rPr>
              <w:t>3</w:t>
            </w:r>
            <w:r>
              <w:rPr>
                <w:rFonts w:hint="eastAsia" w:ascii="宋体" w:eastAsia="宋体" w:cs="宋体"/>
                <w:sz w:val="24"/>
                <w:szCs w:val="24"/>
              </w:rPr>
              <w:t>、★符合GB/T 28181、GA/T 1400、GB/T 35114标准要求</w:t>
            </w:r>
            <w:r>
              <w:rPr>
                <w:rFonts w:hint="eastAsia" w:ascii="宋体" w:eastAsia="宋体" w:cs="宋体"/>
                <w:sz w:val="24"/>
                <w:szCs w:val="24"/>
                <w:lang w:eastAsia="zh-CN"/>
              </w:rPr>
              <w:t>，</w:t>
            </w: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DA5BB2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150</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3FAE46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5130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394EE7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28B078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400万结构化双目枪机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36812B2">
            <w:pPr>
              <w:pStyle w:val="125"/>
              <w:numPr>
                <w:ilvl w:val="0"/>
                <w:numId w:val="14"/>
              </w:numPr>
              <w:spacing w:line="520" w:lineRule="exact"/>
              <w:ind w:left="0" w:firstLine="0" w:firstLineChars="0"/>
              <w:jc w:val="left"/>
              <w:rPr>
                <w:rFonts w:hint="eastAsia" w:ascii="宋体" w:eastAsia="宋体" w:cs="宋体"/>
                <w:sz w:val="24"/>
                <w:szCs w:val="24"/>
                <w:lang w:eastAsia="zh-CN"/>
              </w:rPr>
            </w:pPr>
            <w:r>
              <w:rPr>
                <w:rFonts w:hint="eastAsia" w:ascii="宋体" w:eastAsia="宋体" w:cs="宋体"/>
                <w:sz w:val="24"/>
                <w:szCs w:val="24"/>
              </w:rPr>
              <w:t>双镜头均应采用1/1.8英寸CMOS，支持多智能功能</w:t>
            </w:r>
            <w:r>
              <w:rPr>
                <w:rFonts w:hint="eastAsia" w:ascii="宋体" w:eastAsia="宋体" w:cs="宋体"/>
                <w:sz w:val="24"/>
                <w:szCs w:val="24"/>
                <w:lang w:eastAsia="zh-CN"/>
              </w:rPr>
              <w:t>，</w:t>
            </w:r>
            <w:r>
              <w:rPr>
                <w:rFonts w:hint="eastAsia" w:ascii="宋体" w:eastAsia="宋体" w:cs="宋体"/>
                <w:sz w:val="24"/>
                <w:szCs w:val="24"/>
              </w:rPr>
              <w:t>内置GPU芯片</w:t>
            </w:r>
            <w:r>
              <w:rPr>
                <w:rFonts w:hint="eastAsia" w:ascii="宋体" w:eastAsia="宋体" w:cs="宋体"/>
                <w:sz w:val="24"/>
                <w:szCs w:val="24"/>
                <w:lang w:eastAsia="zh-CN"/>
              </w:rPr>
              <w:t>，设备尺寸不小于</w:t>
            </w:r>
            <w:r>
              <w:rPr>
                <w:rFonts w:hint="eastAsia" w:ascii="宋体" w:eastAsia="宋体" w:cs="宋体"/>
                <w:sz w:val="24"/>
                <w:szCs w:val="24"/>
                <w:lang w:val="en-US" w:eastAsia="zh-CN"/>
              </w:rPr>
              <w:t>254mm*116mm*100mm；</w:t>
            </w:r>
          </w:p>
          <w:p w14:paraId="4E16C7E7">
            <w:pPr>
              <w:pStyle w:val="125"/>
              <w:numPr>
                <w:ilvl w:val="0"/>
                <w:numId w:val="14"/>
              </w:numPr>
              <w:spacing w:line="520" w:lineRule="exact"/>
              <w:ind w:left="0" w:firstLine="0" w:firstLineChars="0"/>
              <w:jc w:val="left"/>
              <w:rPr>
                <w:rFonts w:hint="eastAsia" w:ascii="宋体" w:eastAsia="宋体" w:cs="宋体"/>
                <w:sz w:val="24"/>
                <w:szCs w:val="24"/>
                <w:lang w:eastAsia="zh-CN"/>
              </w:rPr>
            </w:pPr>
            <w:r>
              <w:rPr>
                <w:rFonts w:hint="eastAsia" w:ascii="宋体" w:eastAsia="宋体" w:cs="宋体"/>
                <w:sz w:val="24"/>
                <w:szCs w:val="24"/>
              </w:rPr>
              <w:t>双通道至少满足一个具有8mm～32mm电动变焦镜头；</w:t>
            </w:r>
          </w:p>
          <w:p w14:paraId="31602CB7">
            <w:pPr>
              <w:pStyle w:val="125"/>
              <w:spacing w:line="520" w:lineRule="exact"/>
              <w:jc w:val="left"/>
              <w:rPr>
                <w:rFonts w:hint="eastAsia" w:ascii="宋体" w:eastAsia="宋体" w:cs="宋体"/>
                <w:sz w:val="24"/>
                <w:szCs w:val="24"/>
              </w:rPr>
            </w:pPr>
            <w:r>
              <w:rPr>
                <w:rFonts w:hint="eastAsia" w:ascii="宋体" w:eastAsia="宋体" w:cs="宋体"/>
                <w:sz w:val="24"/>
                <w:szCs w:val="24"/>
                <w:lang w:val="en-US" w:eastAsia="zh-CN"/>
              </w:rPr>
              <w:t>3、</w:t>
            </w:r>
            <w:r>
              <w:rPr>
                <w:rFonts w:hint="eastAsia" w:ascii="宋体" w:eastAsia="宋体" w:cs="宋体"/>
                <w:sz w:val="24"/>
                <w:szCs w:val="24"/>
              </w:rPr>
              <w:t>★</w:t>
            </w:r>
            <w:r>
              <w:rPr>
                <w:rFonts w:hint="eastAsia" w:ascii="宋体" w:eastAsia="宋体" w:cs="宋体"/>
                <w:sz w:val="24"/>
                <w:szCs w:val="24"/>
                <w:lang w:val="en-US" w:eastAsia="zh-CN"/>
              </w:rPr>
              <w:t>双镜头均不低于</w:t>
            </w:r>
            <w:r>
              <w:rPr>
                <w:rFonts w:hint="eastAsia" w:ascii="宋体" w:eastAsia="宋体" w:cs="宋体"/>
                <w:sz w:val="24"/>
                <w:szCs w:val="24"/>
              </w:rPr>
              <w:t>400万像素</w:t>
            </w:r>
            <w:r>
              <w:rPr>
                <w:rFonts w:hint="eastAsia" w:ascii="宋体" w:eastAsia="宋体" w:cs="宋体"/>
                <w:sz w:val="24"/>
                <w:szCs w:val="24"/>
                <w:lang w:eastAsia="zh-CN"/>
              </w:rPr>
              <w:t>，</w:t>
            </w:r>
            <w:r>
              <w:rPr>
                <w:rFonts w:hint="eastAsia" w:ascii="宋体" w:eastAsia="宋体" w:cs="宋体"/>
                <w:sz w:val="24"/>
                <w:szCs w:val="24"/>
                <w:lang w:val="en-US" w:eastAsia="zh-CN"/>
              </w:rPr>
              <w:t>不低于2560x1440，需提供第三方检测报告或功能产品彩页；</w:t>
            </w:r>
          </w:p>
          <w:p w14:paraId="2B5F0E4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4</w:t>
            </w:r>
            <w:r>
              <w:rPr>
                <w:rFonts w:hint="eastAsia" w:ascii="宋体" w:eastAsia="宋体" w:cs="宋体"/>
                <w:sz w:val="24"/>
                <w:szCs w:val="24"/>
              </w:rPr>
              <w:t>、应内置不低于3颗高效补光灯，最大补光距离100米，人脸检测距离15米；</w:t>
            </w:r>
          </w:p>
          <w:p w14:paraId="62C947E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5、应支持人脸检测：支持跟踪，支持优选，支持抓拍，支持上报最优的人脸抓图；</w:t>
            </w:r>
          </w:p>
          <w:p w14:paraId="69595C4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6、应支持ROI，SMART H.264/H.265，灵活编码，适用不同带宽和存储环境；</w:t>
            </w:r>
          </w:p>
          <w:p w14:paraId="0DF73D3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7、应支持多种智能资源切换：支持视频结构化、人脸检测；</w:t>
            </w:r>
          </w:p>
          <w:p w14:paraId="35953E4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8、应支持视频结构化：支持机动车、非机动车、人脸、人员等目标的抓拍和属性识别；</w:t>
            </w:r>
          </w:p>
          <w:p w14:paraId="78459BA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9、设备应具有扬声器和MIC，最大支持512G Micro SD卡；</w:t>
            </w:r>
          </w:p>
          <w:p w14:paraId="3369095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10、应支持不低于IP67防护等级；</w:t>
            </w:r>
          </w:p>
          <w:p w14:paraId="19B6C83B">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11、★</w:t>
            </w:r>
            <w:r>
              <w:rPr>
                <w:rFonts w:hint="eastAsia" w:ascii="宋体" w:eastAsia="宋体" w:cs="宋体"/>
                <w:sz w:val="24"/>
                <w:szCs w:val="24"/>
                <w:lang w:val="en-US" w:eastAsia="zh-CN"/>
              </w:rPr>
              <w:t>符合</w:t>
            </w:r>
            <w:r>
              <w:rPr>
                <w:rFonts w:hint="eastAsia" w:ascii="宋体" w:eastAsia="宋体" w:cs="宋体"/>
                <w:sz w:val="24"/>
                <w:szCs w:val="24"/>
              </w:rPr>
              <w:t>GB/T 28181、GA/T 1400、GB/35114</w:t>
            </w:r>
            <w:r>
              <w:rPr>
                <w:rFonts w:hint="eastAsia" w:ascii="宋体" w:eastAsia="宋体" w:cs="宋体"/>
                <w:sz w:val="24"/>
                <w:szCs w:val="24"/>
                <w:lang w:eastAsia="zh-CN"/>
              </w:rPr>
              <w:t>，</w:t>
            </w: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06C482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1244</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9180EA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48D6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CA0B29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F523526">
            <w:pPr>
              <w:pStyle w:val="125"/>
              <w:spacing w:line="520" w:lineRule="exact"/>
              <w:ind w:firstLine="0" w:firstLineChars="0"/>
              <w:jc w:val="left"/>
              <w:rPr>
                <w:rFonts w:hint="eastAsia" w:ascii="宋体" w:eastAsia="宋体" w:cs="宋体"/>
                <w:sz w:val="24"/>
                <w:szCs w:val="24"/>
              </w:rPr>
            </w:pPr>
            <w:r>
              <w:rPr>
                <w:rFonts w:hint="eastAsia" w:ascii="宋体" w:eastAsia="宋体" w:cs="宋体"/>
                <w:color w:val="000000"/>
                <w:kern w:val="0"/>
                <w:sz w:val="24"/>
                <w:szCs w:val="24"/>
              </w:rPr>
              <w:t>400万</w:t>
            </w:r>
            <w:r>
              <w:rPr>
                <w:rFonts w:hint="eastAsia" w:ascii="宋体" w:eastAsia="宋体" w:cs="宋体"/>
                <w:sz w:val="24"/>
                <w:szCs w:val="24"/>
              </w:rPr>
              <w:t>人像卡口摄像机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361E6A8">
            <w:pPr>
              <w:pStyle w:val="125"/>
              <w:numPr>
                <w:ilvl w:val="0"/>
                <w:numId w:val="15"/>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采用1/1.8英寸高性能逐行扫描图像传感器；</w:t>
            </w:r>
          </w:p>
          <w:p w14:paraId="133496F8">
            <w:pPr>
              <w:pStyle w:val="125"/>
              <w:numPr>
                <w:ilvl w:val="0"/>
                <w:numId w:val="15"/>
              </w:numPr>
              <w:spacing w:line="520" w:lineRule="exact"/>
              <w:ind w:left="0" w:firstLine="0" w:firstLineChars="0"/>
              <w:jc w:val="left"/>
              <w:rPr>
                <w:rFonts w:hint="eastAsia" w:ascii="宋体" w:eastAsia="宋体" w:cs="宋体"/>
                <w:sz w:val="24"/>
                <w:szCs w:val="24"/>
                <w:lang w:val="en-US" w:eastAsia="zh-CN"/>
              </w:rPr>
            </w:pPr>
            <w:r>
              <w:rPr>
                <w:rFonts w:hint="eastAsia" w:ascii="宋体" w:eastAsia="宋体" w:cs="宋体"/>
                <w:sz w:val="24"/>
                <w:szCs w:val="24"/>
              </w:rPr>
              <w:t>★</w:t>
            </w:r>
            <w:r>
              <w:rPr>
                <w:rFonts w:hint="eastAsia" w:ascii="宋体" w:eastAsia="宋体" w:cs="宋体"/>
                <w:sz w:val="24"/>
                <w:szCs w:val="24"/>
                <w:lang w:val="en-US" w:eastAsia="zh-CN"/>
              </w:rPr>
              <w:t>不低于</w:t>
            </w:r>
            <w:r>
              <w:rPr>
                <w:rFonts w:hint="eastAsia" w:ascii="宋体" w:eastAsia="宋体" w:cs="宋体"/>
                <w:sz w:val="24"/>
                <w:szCs w:val="24"/>
              </w:rPr>
              <w:t>400万像素</w:t>
            </w:r>
            <w:r>
              <w:rPr>
                <w:rFonts w:hint="eastAsia" w:ascii="宋体" w:eastAsia="宋体" w:cs="宋体"/>
                <w:sz w:val="24"/>
                <w:szCs w:val="24"/>
                <w:lang w:eastAsia="zh-CN"/>
              </w:rPr>
              <w:t>，</w:t>
            </w:r>
            <w:r>
              <w:rPr>
                <w:rFonts w:hint="eastAsia" w:ascii="宋体" w:eastAsia="宋体" w:cs="宋体"/>
                <w:sz w:val="24"/>
                <w:szCs w:val="24"/>
                <w:lang w:val="en-US" w:eastAsia="zh-CN"/>
              </w:rPr>
              <w:t>不低于2560x1440，需提供第三方检测报告或功能产品彩页；</w:t>
            </w:r>
          </w:p>
          <w:p w14:paraId="7F8920BA">
            <w:pPr>
              <w:pStyle w:val="125"/>
              <w:numPr>
                <w:ilvl w:val="0"/>
                <w:numId w:val="15"/>
              </w:numPr>
              <w:spacing w:line="520" w:lineRule="exact"/>
              <w:ind w:left="0" w:firstLine="0" w:firstLineChars="0"/>
              <w:jc w:val="left"/>
              <w:rPr>
                <w:rFonts w:hint="eastAsia" w:ascii="宋体" w:eastAsia="宋体" w:cs="宋体"/>
                <w:sz w:val="24"/>
                <w:szCs w:val="24"/>
                <w:lang w:val="en-US" w:eastAsia="zh-CN"/>
              </w:rPr>
            </w:pPr>
            <w:r>
              <w:rPr>
                <w:rFonts w:hint="eastAsia" w:ascii="宋体" w:eastAsia="宋体" w:cs="宋体"/>
                <w:sz w:val="24"/>
                <w:szCs w:val="24"/>
                <w:lang w:val="en-US" w:eastAsia="zh-CN"/>
              </w:rPr>
              <w:t>帧率不低于</w:t>
            </w:r>
            <w:r>
              <w:rPr>
                <w:rFonts w:hint="eastAsia" w:ascii="宋体" w:eastAsia="宋体" w:cs="宋体"/>
                <w:sz w:val="24"/>
                <w:szCs w:val="24"/>
              </w:rPr>
              <w:t>25fps，支持32kbps~16Mbps视频编码，支持三码流输出；</w:t>
            </w:r>
          </w:p>
          <w:p w14:paraId="08C7465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4</w:t>
            </w:r>
            <w:r>
              <w:rPr>
                <w:rFonts w:hint="eastAsia" w:ascii="宋体" w:eastAsia="宋体" w:cs="宋体"/>
                <w:sz w:val="24"/>
                <w:szCs w:val="24"/>
              </w:rPr>
              <w:t>、最低照度：0.0005Lux（彩色）， 0.0001Lux（黑白）；</w:t>
            </w:r>
          </w:p>
          <w:p w14:paraId="5478438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5</w:t>
            </w:r>
            <w:r>
              <w:rPr>
                <w:rFonts w:hint="eastAsia" w:ascii="宋体" w:eastAsia="宋体" w:cs="宋体"/>
                <w:sz w:val="24"/>
                <w:szCs w:val="24"/>
              </w:rPr>
              <w:t>、视频编码标准：SVAC\H.265\H.264；</w:t>
            </w:r>
          </w:p>
          <w:p w14:paraId="14A2EF0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6</w:t>
            </w:r>
            <w:r>
              <w:rPr>
                <w:rFonts w:hint="eastAsia" w:ascii="宋体" w:eastAsia="宋体" w:cs="宋体"/>
                <w:sz w:val="24"/>
                <w:szCs w:val="24"/>
              </w:rPr>
              <w:t>、音频编码格式支持G.711A/U、ADPCM、G722、G726、AAC_LC音频编码标准；</w:t>
            </w:r>
          </w:p>
          <w:p w14:paraId="65EF4D9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7</w:t>
            </w:r>
            <w:r>
              <w:rPr>
                <w:rFonts w:hint="eastAsia" w:ascii="宋体" w:eastAsia="宋体" w:cs="宋体"/>
                <w:sz w:val="24"/>
                <w:szCs w:val="24"/>
              </w:rPr>
              <w:t>、支持针对人脸区域进行智能曝光，提升人脸区域的亮度、对比度，提升输出人脸目标图片的质量，支持对人脸局部最佳图片进行筛选，上报最佳人脸图片，支持在人脸检测模式下设置最佳人脸抓拍和连续人脸抓拍两种模式；</w:t>
            </w:r>
          </w:p>
          <w:p w14:paraId="5620D89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8</w:t>
            </w:r>
            <w:r>
              <w:rPr>
                <w:rFonts w:hint="eastAsia" w:ascii="宋体" w:eastAsia="宋体" w:cs="宋体"/>
                <w:sz w:val="24"/>
                <w:szCs w:val="24"/>
              </w:rPr>
              <w:t>、支持检测同时出现在画面中的</w:t>
            </w:r>
            <w:r>
              <w:rPr>
                <w:rFonts w:hint="eastAsia" w:ascii="宋体" w:eastAsia="宋体" w:cs="宋体"/>
                <w:sz w:val="24"/>
                <w:szCs w:val="24"/>
                <w:lang w:val="en-US" w:eastAsia="zh-CN"/>
              </w:rPr>
              <w:t>20</w:t>
            </w:r>
            <w:r>
              <w:rPr>
                <w:rFonts w:hint="eastAsia" w:ascii="宋体" w:eastAsia="宋体" w:cs="宋体"/>
                <w:sz w:val="24"/>
                <w:szCs w:val="24"/>
              </w:rPr>
              <w:t>个人员目标，支持检测</w:t>
            </w:r>
            <w:r>
              <w:rPr>
                <w:rFonts w:hint="eastAsia" w:ascii="宋体" w:eastAsia="宋体" w:cs="宋体"/>
                <w:sz w:val="24"/>
                <w:szCs w:val="24"/>
                <w:lang w:val="en-US" w:eastAsia="zh-CN"/>
              </w:rPr>
              <w:t>输出</w:t>
            </w:r>
            <w:r>
              <w:rPr>
                <w:rFonts w:hint="eastAsia" w:ascii="宋体" w:eastAsia="宋体" w:cs="宋体"/>
                <w:sz w:val="24"/>
                <w:szCs w:val="24"/>
              </w:rPr>
              <w:t>两眼瞳距为</w:t>
            </w:r>
            <w:r>
              <w:rPr>
                <w:rFonts w:hint="eastAsia" w:ascii="宋体" w:eastAsia="宋体" w:cs="宋体"/>
                <w:sz w:val="24"/>
                <w:szCs w:val="24"/>
                <w:lang w:val="en-US" w:eastAsia="zh-CN"/>
              </w:rPr>
              <w:t>20</w:t>
            </w:r>
            <w:r>
              <w:rPr>
                <w:rFonts w:hint="eastAsia" w:ascii="宋体" w:eastAsia="宋体" w:cs="宋体"/>
                <w:sz w:val="24"/>
                <w:szCs w:val="24"/>
              </w:rPr>
              <w:t>像素以上的人员目标；</w:t>
            </w:r>
          </w:p>
          <w:p w14:paraId="36580B6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9</w:t>
            </w:r>
            <w:r>
              <w:rPr>
                <w:rFonts w:hint="eastAsia" w:ascii="宋体" w:eastAsia="宋体" w:cs="宋体"/>
                <w:sz w:val="24"/>
                <w:szCs w:val="24"/>
              </w:rPr>
              <w:t>、支持对人像全身最佳图片进行筛选，上报最佳人像全身图片，支持多个人员目标出现在同一画面中且相互粘连、交错、局部遮挡时，支持同时独立检测到所有人员目标，并上报独立的人员全身快照；</w:t>
            </w:r>
          </w:p>
          <w:p w14:paraId="4FB12BD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10</w:t>
            </w:r>
            <w:r>
              <w:rPr>
                <w:rFonts w:hint="eastAsia" w:ascii="宋体" w:eastAsia="宋体" w:cs="宋体"/>
                <w:sz w:val="24"/>
                <w:szCs w:val="24"/>
              </w:rPr>
              <w:t>、具备1*RJ45、1*TF卡、1*LineIn、1*LineOut、1*开关量报警输入、1*开关量报警输出接口；</w:t>
            </w:r>
          </w:p>
          <w:p w14:paraId="074F1441">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w:t>
            </w:r>
            <w:r>
              <w:rPr>
                <w:rFonts w:hint="eastAsia" w:ascii="宋体" w:eastAsia="宋体" w:cs="宋体"/>
                <w:sz w:val="24"/>
                <w:szCs w:val="24"/>
                <w:lang w:val="en-US" w:eastAsia="zh-CN"/>
              </w:rPr>
              <w:t>1</w:t>
            </w:r>
            <w:r>
              <w:rPr>
                <w:rFonts w:hint="eastAsia" w:ascii="宋体" w:eastAsia="宋体" w:cs="宋体"/>
                <w:sz w:val="24"/>
                <w:szCs w:val="24"/>
              </w:rPr>
              <w:t>、符合IP67级防护要求；工作温度：-40℃~70℃，支持AC24V±20%</w:t>
            </w:r>
            <w:r>
              <w:rPr>
                <w:rFonts w:hint="eastAsia" w:ascii="宋体" w:eastAsia="宋体" w:cs="宋体"/>
                <w:sz w:val="24"/>
                <w:szCs w:val="24"/>
                <w:lang w:val="en-US" w:eastAsia="zh-CN"/>
              </w:rPr>
              <w:t>或DC12V</w:t>
            </w:r>
            <w:r>
              <w:rPr>
                <w:rFonts w:hint="eastAsia" w:ascii="宋体" w:eastAsia="宋体" w:cs="宋体"/>
                <w:sz w:val="24"/>
                <w:szCs w:val="24"/>
              </w:rPr>
              <w:t>±20%</w:t>
            </w:r>
            <w:r>
              <w:rPr>
                <w:rFonts w:hint="eastAsia" w:ascii="宋体" w:eastAsia="宋体" w:cs="宋体"/>
                <w:sz w:val="24"/>
                <w:szCs w:val="24"/>
                <w:lang w:val="en-US" w:eastAsia="zh-CN"/>
              </w:rPr>
              <w:t>供电或POE</w:t>
            </w:r>
            <w:r>
              <w:rPr>
                <w:rFonts w:hint="eastAsia" w:ascii="宋体" w:eastAsia="宋体" w:cs="宋体"/>
                <w:sz w:val="24"/>
                <w:szCs w:val="24"/>
              </w:rPr>
              <w:t>供电，支持红外补光，红外距离≥30米</w:t>
            </w:r>
            <w:r>
              <w:rPr>
                <w:rFonts w:hint="eastAsia" w:ascii="宋体" w:eastAsia="宋体" w:cs="宋体"/>
                <w:sz w:val="24"/>
                <w:szCs w:val="24"/>
                <w:lang w:eastAsia="zh-CN"/>
              </w:rPr>
              <w:t>；</w:t>
            </w:r>
          </w:p>
          <w:p w14:paraId="17A9BB34">
            <w:pPr>
              <w:pStyle w:val="125"/>
              <w:spacing w:line="520" w:lineRule="exact"/>
              <w:ind w:firstLine="0" w:firstLineChars="0"/>
              <w:jc w:val="left"/>
              <w:rPr>
                <w:rFonts w:hint="eastAsia" w:ascii="宋体" w:eastAsia="宋体" w:cs="宋体"/>
                <w:sz w:val="24"/>
                <w:szCs w:val="24"/>
                <w:lang w:val="en-US" w:eastAsia="zh-CN"/>
              </w:rPr>
            </w:pPr>
            <w:r>
              <w:rPr>
                <w:rFonts w:hint="eastAsia" w:ascii="宋体" w:eastAsia="宋体" w:cs="宋体"/>
                <w:sz w:val="24"/>
                <w:szCs w:val="24"/>
              </w:rPr>
              <w:t>1</w:t>
            </w:r>
            <w:r>
              <w:rPr>
                <w:rFonts w:hint="eastAsia" w:ascii="宋体" w:eastAsia="宋体" w:cs="宋体"/>
                <w:sz w:val="24"/>
                <w:szCs w:val="24"/>
                <w:lang w:val="en-US" w:eastAsia="zh-CN"/>
              </w:rPr>
              <w:t>2</w:t>
            </w:r>
            <w:r>
              <w:rPr>
                <w:rFonts w:hint="eastAsia" w:ascii="宋体" w:eastAsia="宋体" w:cs="宋体"/>
                <w:sz w:val="24"/>
                <w:szCs w:val="24"/>
              </w:rPr>
              <w:t>、★符合GB/T 28181、GA/T 1400、GB/35114标准要求</w:t>
            </w:r>
            <w:r>
              <w:rPr>
                <w:rFonts w:hint="eastAsia" w:ascii="宋体" w:eastAsia="宋体" w:cs="宋体"/>
                <w:sz w:val="24"/>
                <w:szCs w:val="24"/>
                <w:lang w:eastAsia="zh-CN"/>
              </w:rPr>
              <w:t>，</w:t>
            </w: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DA3DE0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100</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5C42D0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223E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968169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509373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400万双目结构化球机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52B40C3">
            <w:pPr>
              <w:pStyle w:val="125"/>
              <w:numPr>
                <w:ilvl w:val="0"/>
                <w:numId w:val="16"/>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摄像机内置不少于2个镜头，可输出至少1路全景视频和1路细节视频</w:t>
            </w:r>
            <w:r>
              <w:rPr>
                <w:rFonts w:hint="eastAsia" w:ascii="宋体" w:eastAsia="宋体" w:cs="宋体"/>
                <w:sz w:val="24"/>
                <w:szCs w:val="24"/>
                <w:lang w:eastAsia="zh-CN"/>
              </w:rPr>
              <w:t>，</w:t>
            </w:r>
            <w:r>
              <w:rPr>
                <w:rFonts w:hint="eastAsia" w:ascii="宋体" w:eastAsia="宋体" w:cs="宋体"/>
                <w:sz w:val="24"/>
                <w:szCs w:val="24"/>
              </w:rPr>
              <w:t>内置GPU芯片；</w:t>
            </w:r>
          </w:p>
          <w:p w14:paraId="6DDAAAEA">
            <w:pPr>
              <w:pStyle w:val="125"/>
              <w:numPr>
                <w:ilvl w:val="0"/>
                <w:numId w:val="16"/>
              </w:numPr>
              <w:spacing w:line="520" w:lineRule="exact"/>
              <w:ind w:left="0" w:firstLine="0" w:firstLineChars="0"/>
              <w:jc w:val="left"/>
              <w:rPr>
                <w:rFonts w:hint="eastAsia" w:ascii="宋体" w:eastAsia="宋体" w:cs="宋体"/>
                <w:sz w:val="24"/>
                <w:szCs w:val="24"/>
                <w:lang w:eastAsia="zh-CN"/>
              </w:rPr>
            </w:pPr>
            <w:r>
              <w:rPr>
                <w:rFonts w:hint="eastAsia" w:ascii="宋体" w:eastAsia="宋体" w:cs="宋体"/>
                <w:sz w:val="24"/>
                <w:szCs w:val="24"/>
              </w:rPr>
              <w:t>细节视频图像内置镜头，支持不小于25倍光学变倍,全景通道内置镜头，焦距不小于2.8mm</w:t>
            </w:r>
            <w:r>
              <w:rPr>
                <w:rFonts w:hint="eastAsia" w:ascii="宋体" w:eastAsia="宋体" w:cs="宋体"/>
                <w:sz w:val="24"/>
                <w:szCs w:val="24"/>
                <w:lang w:eastAsia="zh-CN"/>
              </w:rPr>
              <w:t>；</w:t>
            </w:r>
          </w:p>
          <w:p w14:paraId="223E6B4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3、</w:t>
            </w:r>
            <w:r>
              <w:rPr>
                <w:rFonts w:hint="eastAsia" w:ascii="宋体" w:eastAsia="宋体" w:cs="宋体"/>
                <w:sz w:val="24"/>
                <w:szCs w:val="24"/>
              </w:rPr>
              <w:t>★全景视频图像</w:t>
            </w:r>
            <w:r>
              <w:rPr>
                <w:rFonts w:hint="eastAsia" w:ascii="宋体" w:eastAsia="宋体" w:cs="宋体"/>
                <w:sz w:val="24"/>
                <w:szCs w:val="24"/>
                <w:lang w:val="en-US" w:eastAsia="zh-CN"/>
              </w:rPr>
              <w:t>及</w:t>
            </w:r>
            <w:r>
              <w:rPr>
                <w:rFonts w:hint="eastAsia" w:ascii="宋体" w:eastAsia="宋体" w:cs="宋体"/>
                <w:sz w:val="24"/>
                <w:szCs w:val="24"/>
              </w:rPr>
              <w:t>细节视频图像</w:t>
            </w:r>
            <w:r>
              <w:rPr>
                <w:rFonts w:hint="eastAsia" w:ascii="宋体" w:eastAsia="宋体" w:cs="宋体"/>
                <w:sz w:val="24"/>
                <w:szCs w:val="24"/>
                <w:lang w:val="en-US" w:eastAsia="zh-CN"/>
              </w:rPr>
              <w:t>均不低于</w:t>
            </w:r>
            <w:r>
              <w:rPr>
                <w:rFonts w:hint="eastAsia" w:ascii="宋体" w:eastAsia="宋体" w:cs="宋体"/>
                <w:sz w:val="24"/>
                <w:szCs w:val="24"/>
              </w:rPr>
              <w:t>400万像素</w:t>
            </w:r>
            <w:r>
              <w:rPr>
                <w:rFonts w:hint="eastAsia" w:ascii="宋体" w:eastAsia="宋体" w:cs="宋体"/>
                <w:sz w:val="24"/>
                <w:szCs w:val="24"/>
                <w:lang w:eastAsia="zh-CN"/>
              </w:rPr>
              <w:t>，</w:t>
            </w:r>
            <w:r>
              <w:rPr>
                <w:rFonts w:hint="eastAsia" w:ascii="宋体" w:eastAsia="宋体" w:cs="宋体"/>
                <w:sz w:val="24"/>
                <w:szCs w:val="24"/>
                <w:lang w:val="en-US" w:eastAsia="zh-CN"/>
              </w:rPr>
              <w:t>双镜头均不低于2560x1440，需提供第三方检测报告或功能产品彩页；</w:t>
            </w:r>
          </w:p>
          <w:p w14:paraId="554F4B94">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val="en-US" w:eastAsia="zh-CN"/>
              </w:rPr>
              <w:t>4、检测</w:t>
            </w:r>
            <w:r>
              <w:rPr>
                <w:rFonts w:hint="eastAsia" w:ascii="宋体" w:eastAsia="宋体" w:cs="宋体"/>
                <w:sz w:val="24"/>
                <w:szCs w:val="24"/>
              </w:rPr>
              <w:t>距离不小于200米；</w:t>
            </w:r>
          </w:p>
          <w:p w14:paraId="0F41CA31">
            <w:pPr>
              <w:pStyle w:val="125"/>
              <w:spacing w:line="520" w:lineRule="exact"/>
              <w:ind w:firstLine="0" w:firstLineChars="0"/>
              <w:jc w:val="left"/>
              <w:rPr>
                <w:rFonts w:hint="eastAsia" w:ascii="宋体" w:eastAsia="宋体" w:cs="宋体"/>
                <w:sz w:val="24"/>
                <w:szCs w:val="24"/>
                <w:highlight w:val="none"/>
              </w:rPr>
            </w:pPr>
            <w:r>
              <w:rPr>
                <w:rFonts w:hint="eastAsia" w:ascii="宋体" w:eastAsia="宋体" w:cs="宋体"/>
                <w:sz w:val="24"/>
                <w:szCs w:val="24"/>
                <w:highlight w:val="none"/>
                <w:lang w:val="en-US" w:eastAsia="zh-CN"/>
              </w:rPr>
              <w:t>5、</w:t>
            </w:r>
            <w:r>
              <w:rPr>
                <w:rFonts w:hint="eastAsia" w:ascii="宋体" w:eastAsia="宋体" w:cs="宋体"/>
                <w:sz w:val="24"/>
                <w:szCs w:val="24"/>
                <w:highlight w:val="none"/>
              </w:rPr>
              <w:t>支持水平旋转范围</w:t>
            </w:r>
            <w:r>
              <w:rPr>
                <w:rFonts w:hint="eastAsia" w:ascii="宋体" w:eastAsia="宋体" w:cs="宋体"/>
                <w:sz w:val="24"/>
                <w:szCs w:val="24"/>
                <w:highlight w:val="none"/>
                <w:lang w:val="en-US" w:eastAsia="zh-CN"/>
              </w:rPr>
              <w:t>不低于</w:t>
            </w:r>
            <w:r>
              <w:rPr>
                <w:rFonts w:hint="eastAsia" w:ascii="宋体" w:eastAsia="宋体" w:cs="宋体"/>
                <w:sz w:val="24"/>
                <w:szCs w:val="24"/>
                <w:highlight w:val="none"/>
              </w:rPr>
              <w:t>3</w:t>
            </w:r>
            <w:r>
              <w:rPr>
                <w:rFonts w:hint="eastAsia" w:ascii="宋体" w:eastAsia="宋体" w:cs="宋体"/>
                <w:sz w:val="24"/>
                <w:szCs w:val="24"/>
                <w:highlight w:val="none"/>
                <w:lang w:val="en-US" w:eastAsia="zh-CN"/>
              </w:rPr>
              <w:t>05</w:t>
            </w:r>
            <w:r>
              <w:rPr>
                <w:rFonts w:hint="eastAsia" w:ascii="宋体" w:eastAsia="宋体" w:cs="宋体"/>
                <w:sz w:val="24"/>
                <w:szCs w:val="24"/>
                <w:highlight w:val="none"/>
              </w:rPr>
              <w:t>°连续旋转，垂直旋转范围-</w:t>
            </w:r>
            <w:r>
              <w:rPr>
                <w:rFonts w:hint="eastAsia" w:ascii="宋体" w:eastAsia="宋体" w:cs="宋体"/>
                <w:sz w:val="24"/>
                <w:szCs w:val="24"/>
                <w:highlight w:val="none"/>
                <w:lang w:val="en-US" w:eastAsia="zh-CN"/>
              </w:rPr>
              <w:t>1</w:t>
            </w:r>
            <w:r>
              <w:rPr>
                <w:rFonts w:hint="eastAsia" w:ascii="宋体" w:eastAsia="宋体" w:cs="宋体"/>
                <w:sz w:val="24"/>
                <w:szCs w:val="24"/>
                <w:highlight w:val="none"/>
              </w:rPr>
              <w:t>0°~90°；</w:t>
            </w:r>
          </w:p>
          <w:p w14:paraId="68733C5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6</w:t>
            </w:r>
            <w:r>
              <w:rPr>
                <w:rFonts w:hint="eastAsia" w:ascii="宋体" w:eastAsia="宋体" w:cs="宋体"/>
                <w:sz w:val="24"/>
                <w:szCs w:val="24"/>
              </w:rPr>
              <w:t>. 支持300个预置点，可设置8条巡航路径</w:t>
            </w:r>
            <w:r>
              <w:rPr>
                <w:rFonts w:hint="eastAsia" w:ascii="宋体" w:eastAsia="宋体" w:cs="宋体"/>
                <w:sz w:val="24"/>
                <w:szCs w:val="24"/>
                <w:lang w:eastAsia="zh-CN"/>
              </w:rPr>
              <w:t>；</w:t>
            </w:r>
            <w:r>
              <w:rPr>
                <w:rFonts w:hint="eastAsia" w:ascii="宋体" w:eastAsia="宋体" w:cs="宋体"/>
                <w:sz w:val="24"/>
                <w:szCs w:val="24"/>
              </w:rPr>
              <w:t>支持预置位视频冻结功能；</w:t>
            </w:r>
          </w:p>
          <w:p w14:paraId="234CD5C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7</w:t>
            </w:r>
            <w:r>
              <w:rPr>
                <w:rFonts w:hint="eastAsia" w:ascii="宋体" w:eastAsia="宋体" w:cs="宋体"/>
                <w:sz w:val="24"/>
                <w:szCs w:val="24"/>
              </w:rPr>
              <w:t>. 设备具有 H.265、H.264、MJPEG设置选项；</w:t>
            </w:r>
          </w:p>
          <w:p w14:paraId="0E79DE1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8</w:t>
            </w:r>
            <w:r>
              <w:rPr>
                <w:rFonts w:hint="eastAsia" w:ascii="宋体" w:eastAsia="宋体" w:cs="宋体"/>
                <w:sz w:val="24"/>
                <w:szCs w:val="24"/>
              </w:rPr>
              <w:t xml:space="preserve">.支持同时检测监控场景内出现的不少于30张人脸，并可进行抓拍；可对监控范围内出现的行人、机动车、非机动车进行抓拍； </w:t>
            </w:r>
          </w:p>
          <w:p w14:paraId="4C8A246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9</w:t>
            </w:r>
            <w:r>
              <w:rPr>
                <w:rFonts w:hint="eastAsia" w:ascii="宋体" w:eastAsia="宋体" w:cs="宋体"/>
                <w:sz w:val="24"/>
                <w:szCs w:val="24"/>
              </w:rPr>
              <w:t>.支持≥2路报警输入接口，1路报警输出接口，支持1路音频输入和输出接口。</w:t>
            </w:r>
          </w:p>
          <w:p w14:paraId="5F468F74">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w:t>
            </w:r>
            <w:r>
              <w:rPr>
                <w:rFonts w:hint="eastAsia" w:ascii="宋体" w:eastAsia="宋体" w:cs="宋体"/>
                <w:sz w:val="24"/>
                <w:szCs w:val="24"/>
                <w:lang w:val="en-US" w:eastAsia="zh-CN"/>
              </w:rPr>
              <w:t>0</w:t>
            </w:r>
            <w:r>
              <w:rPr>
                <w:rFonts w:hint="eastAsia" w:ascii="宋体" w:eastAsia="宋体" w:cs="宋体"/>
                <w:sz w:val="24"/>
                <w:szCs w:val="24"/>
              </w:rPr>
              <w:t>.★符合GB/T 28181、GA/T 1400、GB/35114标准</w:t>
            </w:r>
            <w:r>
              <w:rPr>
                <w:rFonts w:hint="eastAsia" w:ascii="宋体" w:eastAsia="宋体" w:cs="宋体"/>
                <w:sz w:val="24"/>
                <w:szCs w:val="24"/>
                <w:lang w:eastAsia="zh-CN"/>
              </w:rPr>
              <w:t>，</w:t>
            </w:r>
          </w:p>
          <w:p w14:paraId="1A105413">
            <w:pPr>
              <w:pStyle w:val="125"/>
              <w:spacing w:line="520" w:lineRule="exact"/>
              <w:ind w:firstLine="0" w:firstLineChars="0"/>
              <w:jc w:val="left"/>
              <w:rPr>
                <w:rFonts w:hint="eastAsia" w:ascii="宋体" w:eastAsia="宋体" w:cs="宋体"/>
                <w:sz w:val="24"/>
                <w:szCs w:val="24"/>
                <w:lang w:val="en-US" w:eastAsia="zh-CN"/>
              </w:rPr>
            </w:pP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4CD74B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450</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2B4AE8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098E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A6A14F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416397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400万三目结构化球机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EAD3F0E">
            <w:pPr>
              <w:pStyle w:val="125"/>
              <w:numPr>
                <w:ilvl w:val="0"/>
                <w:numId w:val="17"/>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三镜头均采用 1/1.8英寸 CMOS传感器，全景镜头采用大光圈全彩镜头，可输出</w:t>
            </w:r>
            <w:r>
              <w:rPr>
                <w:rFonts w:hint="eastAsia" w:ascii="宋体" w:eastAsia="宋体" w:cs="宋体"/>
                <w:sz w:val="24"/>
                <w:szCs w:val="24"/>
                <w:lang w:val="en-US" w:eastAsia="zh-CN"/>
              </w:rPr>
              <w:t>不低于</w:t>
            </w:r>
            <w:r>
              <w:rPr>
                <w:rFonts w:hint="eastAsia" w:ascii="宋体" w:eastAsia="宋体" w:cs="宋体"/>
                <w:sz w:val="24"/>
                <w:szCs w:val="24"/>
              </w:rPr>
              <w:t>1</w:t>
            </w:r>
            <w:r>
              <w:rPr>
                <w:rFonts w:hint="eastAsia" w:ascii="宋体" w:eastAsia="宋体" w:cs="宋体"/>
                <w:sz w:val="24"/>
                <w:szCs w:val="24"/>
                <w:lang w:val="en-US" w:eastAsia="zh-CN"/>
              </w:rPr>
              <w:t>7</w:t>
            </w:r>
            <w:r>
              <w:rPr>
                <w:rFonts w:hint="eastAsia" w:ascii="宋体" w:eastAsia="宋体" w:cs="宋体"/>
                <w:sz w:val="24"/>
                <w:szCs w:val="24"/>
              </w:rPr>
              <w:t>0°拼接大场景画面；</w:t>
            </w:r>
          </w:p>
          <w:p w14:paraId="6B8BF7C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2、</w:t>
            </w:r>
            <w:r>
              <w:rPr>
                <w:rFonts w:hint="eastAsia" w:ascii="宋体" w:eastAsia="宋体" w:cs="宋体"/>
                <w:sz w:val="24"/>
                <w:szCs w:val="24"/>
              </w:rPr>
              <w:t>全景镜头焦距≥2.8mm</w:t>
            </w:r>
            <w:r>
              <w:rPr>
                <w:rFonts w:hint="eastAsia" w:ascii="宋体" w:eastAsia="宋体" w:cs="宋体"/>
                <w:sz w:val="24"/>
                <w:szCs w:val="24"/>
                <w:lang w:eastAsia="zh-CN"/>
              </w:rPr>
              <w:t>，</w:t>
            </w:r>
            <w:r>
              <w:rPr>
                <w:rFonts w:hint="eastAsia" w:ascii="宋体" w:eastAsia="宋体" w:cs="宋体"/>
                <w:sz w:val="24"/>
                <w:szCs w:val="24"/>
              </w:rPr>
              <w:t>特写镜头支持不低于</w:t>
            </w:r>
            <w:r>
              <w:rPr>
                <w:rFonts w:hint="eastAsia" w:ascii="宋体" w:eastAsia="宋体" w:cs="宋体"/>
                <w:sz w:val="24"/>
                <w:szCs w:val="24"/>
                <w:lang w:val="en-US" w:eastAsia="zh-CN"/>
              </w:rPr>
              <w:t>25</w:t>
            </w:r>
            <w:r>
              <w:rPr>
                <w:rFonts w:hint="eastAsia" w:ascii="宋体" w:eastAsia="宋体" w:cs="宋体"/>
                <w:sz w:val="24"/>
                <w:szCs w:val="24"/>
              </w:rPr>
              <w:t>倍光学变焦，16倍数字变焦；</w:t>
            </w:r>
          </w:p>
          <w:p w14:paraId="2B3AD26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3、</w:t>
            </w:r>
            <w:r>
              <w:rPr>
                <w:rFonts w:hint="eastAsia" w:ascii="宋体" w:eastAsia="宋体" w:cs="宋体"/>
                <w:sz w:val="24"/>
                <w:szCs w:val="24"/>
              </w:rPr>
              <w:t>采用内置三镜头一体化设计，支持单ip访问和登录管理设备。全景通道内置2个定焦镜头，特写通道内置1个一体化电动变焦镜头；</w:t>
            </w:r>
          </w:p>
          <w:p w14:paraId="7F33FCD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4、</w:t>
            </w:r>
            <w:r>
              <w:rPr>
                <w:rFonts w:hint="eastAsia" w:ascii="宋体" w:eastAsia="宋体" w:cs="宋体"/>
                <w:sz w:val="24"/>
                <w:szCs w:val="24"/>
              </w:rPr>
              <w:t>★全景视频图像</w:t>
            </w:r>
            <w:r>
              <w:rPr>
                <w:rFonts w:hint="eastAsia" w:ascii="宋体" w:eastAsia="宋体" w:cs="宋体"/>
                <w:sz w:val="24"/>
                <w:szCs w:val="24"/>
                <w:lang w:val="en-US" w:eastAsia="zh-CN"/>
              </w:rPr>
              <w:t>及</w:t>
            </w:r>
            <w:r>
              <w:rPr>
                <w:rFonts w:hint="eastAsia" w:ascii="宋体" w:eastAsia="宋体" w:cs="宋体"/>
                <w:sz w:val="24"/>
                <w:szCs w:val="24"/>
              </w:rPr>
              <w:t>细节视频图像</w:t>
            </w:r>
            <w:r>
              <w:rPr>
                <w:rFonts w:hint="eastAsia" w:ascii="宋体" w:eastAsia="宋体" w:cs="宋体"/>
                <w:sz w:val="24"/>
                <w:szCs w:val="24"/>
                <w:lang w:val="en-US" w:eastAsia="zh-CN"/>
              </w:rPr>
              <w:t>均不低于</w:t>
            </w:r>
            <w:r>
              <w:rPr>
                <w:rFonts w:hint="eastAsia" w:ascii="宋体" w:eastAsia="宋体" w:cs="宋体"/>
                <w:sz w:val="24"/>
                <w:szCs w:val="24"/>
              </w:rPr>
              <w:t>400万像素</w:t>
            </w:r>
            <w:r>
              <w:rPr>
                <w:rFonts w:hint="eastAsia" w:ascii="宋体" w:eastAsia="宋体" w:cs="宋体"/>
                <w:sz w:val="24"/>
                <w:szCs w:val="24"/>
                <w:lang w:eastAsia="zh-CN"/>
              </w:rPr>
              <w:t>，</w:t>
            </w:r>
            <w:r>
              <w:rPr>
                <w:rFonts w:hint="eastAsia" w:ascii="宋体" w:eastAsia="宋体" w:cs="宋体"/>
                <w:sz w:val="24"/>
                <w:szCs w:val="24"/>
                <w:lang w:val="en-US" w:eastAsia="zh-CN"/>
              </w:rPr>
              <w:t>全景和细节分辨率均不低于2560x1440，需提供第三方检测报告或功能产品彩页；</w:t>
            </w:r>
          </w:p>
          <w:p w14:paraId="47E37AA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5</w:t>
            </w:r>
            <w:r>
              <w:rPr>
                <w:rFonts w:hint="eastAsia" w:ascii="宋体" w:eastAsia="宋体" w:cs="宋体"/>
                <w:sz w:val="24"/>
                <w:szCs w:val="24"/>
              </w:rPr>
              <w:t>、最低照≤0.0002lux（彩色），0.0001lux（黑白）；</w:t>
            </w:r>
          </w:p>
          <w:p w14:paraId="26B1E22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6</w:t>
            </w:r>
            <w:r>
              <w:rPr>
                <w:rFonts w:hint="eastAsia" w:ascii="宋体" w:eastAsia="宋体" w:cs="宋体"/>
                <w:sz w:val="24"/>
                <w:szCs w:val="24"/>
              </w:rPr>
              <w:t>、支持H.265、H.264/MJPEG编码格式；可将H.265、H.264格式设置为Baseline/Main/High Profile；</w:t>
            </w:r>
          </w:p>
          <w:p w14:paraId="2A48B09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7</w:t>
            </w:r>
            <w:r>
              <w:rPr>
                <w:rFonts w:hint="eastAsia" w:ascii="宋体" w:eastAsia="宋体" w:cs="宋体"/>
                <w:sz w:val="24"/>
                <w:szCs w:val="24"/>
              </w:rPr>
              <w:t>、支持预置点设置跟踪类型，对监控画面中出现人、机动车、非机动车目标进行检测分类，并联动云台特写变倍跟踪;</w:t>
            </w:r>
          </w:p>
          <w:p w14:paraId="0BEF7E8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8</w:t>
            </w:r>
            <w:r>
              <w:rPr>
                <w:rFonts w:hint="eastAsia" w:ascii="宋体" w:eastAsia="宋体" w:cs="宋体"/>
                <w:sz w:val="24"/>
                <w:szCs w:val="24"/>
              </w:rPr>
              <w:t>、支持全景细节联动，细节摄像机可对全景摄像机监控范围内出现的行人、机动车、非机动车进行检测、跟踪、抓拍；</w:t>
            </w:r>
          </w:p>
          <w:p w14:paraId="59950CC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9</w:t>
            </w:r>
            <w:r>
              <w:rPr>
                <w:rFonts w:hint="eastAsia" w:ascii="宋体" w:eastAsia="宋体" w:cs="宋体"/>
                <w:sz w:val="24"/>
                <w:szCs w:val="24"/>
              </w:rPr>
              <w:t>、支持最佳人脸抓拍和连续人脸抓拍，支持检测同时出现在画面中的40个人脸目标；</w:t>
            </w:r>
          </w:p>
          <w:p w14:paraId="1E2074A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10</w:t>
            </w:r>
            <w:r>
              <w:rPr>
                <w:rFonts w:hint="eastAsia" w:ascii="宋体" w:eastAsia="宋体" w:cs="宋体"/>
                <w:sz w:val="24"/>
                <w:szCs w:val="24"/>
              </w:rPr>
              <w:t>、支持全景细节联动，全景目标触发事件告警，联动细节摄像机，云台快速变倍聚焦，对全景摄像机监控范围内出现的行人、机动车、非机动车进行检测、跟踪、抓拍；有效检测距离不低于100M；</w:t>
            </w:r>
          </w:p>
          <w:p w14:paraId="026E940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1</w:t>
            </w:r>
            <w:r>
              <w:rPr>
                <w:rFonts w:hint="eastAsia" w:ascii="宋体" w:eastAsia="宋体" w:cs="宋体"/>
                <w:sz w:val="24"/>
                <w:szCs w:val="24"/>
              </w:rPr>
              <w:t>、支持人脸/人体/机动车/非机动车抓拍功能，支持人脸和人体关联、车辆和车牌关联等功能；</w:t>
            </w:r>
          </w:p>
          <w:p w14:paraId="1314E4AF">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w:t>
            </w:r>
            <w:r>
              <w:rPr>
                <w:rFonts w:hint="eastAsia" w:ascii="宋体" w:eastAsia="宋体" w:cs="宋体"/>
                <w:sz w:val="24"/>
                <w:szCs w:val="24"/>
                <w:lang w:val="en-US" w:eastAsia="zh-CN"/>
              </w:rPr>
              <w:t>2</w:t>
            </w:r>
            <w:r>
              <w:rPr>
                <w:rFonts w:hint="eastAsia" w:ascii="宋体" w:eastAsia="宋体" w:cs="宋体"/>
                <w:sz w:val="24"/>
                <w:szCs w:val="24"/>
              </w:rPr>
              <w:t>、★符合GB/T 28181、GA/T 1400、GB/35114标准</w:t>
            </w:r>
            <w:r>
              <w:rPr>
                <w:rFonts w:hint="eastAsia" w:ascii="宋体" w:eastAsia="宋体" w:cs="宋体"/>
                <w:sz w:val="24"/>
                <w:szCs w:val="24"/>
                <w:lang w:eastAsia="zh-CN"/>
              </w:rPr>
              <w:t>，</w:t>
            </w: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C230F0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20</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8CD735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6D3B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D3DBF6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7C475E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高倍球摄像机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E227DCA">
            <w:pPr>
              <w:pStyle w:val="125"/>
              <w:numPr>
                <w:ilvl w:val="0"/>
                <w:numId w:val="18"/>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采用不低于1/1.8英寸高性能传感器；</w:t>
            </w:r>
          </w:p>
          <w:p w14:paraId="2A8C9D65">
            <w:pPr>
              <w:pStyle w:val="125"/>
              <w:numPr>
                <w:ilvl w:val="0"/>
                <w:numId w:val="18"/>
              </w:numPr>
              <w:tabs>
                <w:tab w:val="left" w:pos="1516"/>
              </w:tabs>
              <w:spacing w:line="520" w:lineRule="exact"/>
              <w:ind w:left="0" w:firstLine="0" w:firstLineChars="0"/>
              <w:jc w:val="left"/>
              <w:rPr>
                <w:rFonts w:hint="eastAsia" w:ascii="宋体" w:eastAsia="宋体" w:cs="宋体"/>
                <w:sz w:val="24"/>
                <w:szCs w:val="24"/>
                <w:lang w:val="en-US" w:eastAsia="zh-CN"/>
              </w:rPr>
            </w:pPr>
            <w:r>
              <w:rPr>
                <w:rFonts w:hint="eastAsia" w:ascii="宋体" w:eastAsia="宋体" w:cs="宋体"/>
                <w:sz w:val="24"/>
                <w:szCs w:val="24"/>
              </w:rPr>
              <w:t>支持≥50倍光学变倍；</w:t>
            </w:r>
          </w:p>
          <w:p w14:paraId="1EE57840">
            <w:pPr>
              <w:pStyle w:val="125"/>
              <w:numPr>
                <w:ilvl w:val="0"/>
                <w:numId w:val="18"/>
              </w:numPr>
              <w:tabs>
                <w:tab w:val="left" w:pos="1516"/>
              </w:tabs>
              <w:spacing w:line="520" w:lineRule="exact"/>
              <w:ind w:left="0" w:firstLine="0" w:firstLineChars="0"/>
              <w:jc w:val="left"/>
              <w:rPr>
                <w:rFonts w:hint="eastAsia" w:ascii="宋体" w:eastAsia="宋体" w:cs="宋体"/>
                <w:sz w:val="24"/>
                <w:szCs w:val="24"/>
                <w:lang w:val="en-US" w:eastAsia="zh-CN"/>
              </w:rPr>
            </w:pPr>
            <w:r>
              <w:rPr>
                <w:rFonts w:hint="eastAsia" w:ascii="宋体" w:eastAsia="宋体" w:cs="宋体"/>
                <w:sz w:val="24"/>
                <w:szCs w:val="24"/>
              </w:rPr>
              <w:t>★</w:t>
            </w:r>
            <w:r>
              <w:rPr>
                <w:rFonts w:hint="eastAsia" w:ascii="宋体" w:eastAsia="宋体" w:cs="宋体"/>
                <w:sz w:val="24"/>
                <w:szCs w:val="24"/>
                <w:lang w:val="en-US" w:eastAsia="zh-CN"/>
              </w:rPr>
              <w:t>不低于</w:t>
            </w:r>
            <w:r>
              <w:rPr>
                <w:rFonts w:hint="eastAsia" w:ascii="宋体" w:eastAsia="宋体" w:cs="宋体"/>
                <w:sz w:val="24"/>
                <w:szCs w:val="24"/>
              </w:rPr>
              <w:t>400万像素</w:t>
            </w:r>
            <w:r>
              <w:rPr>
                <w:rFonts w:hint="eastAsia" w:ascii="宋体" w:eastAsia="宋体" w:cs="宋体"/>
                <w:sz w:val="24"/>
                <w:szCs w:val="24"/>
                <w:lang w:eastAsia="zh-CN"/>
              </w:rPr>
              <w:t>，</w:t>
            </w:r>
            <w:r>
              <w:rPr>
                <w:rFonts w:hint="eastAsia" w:ascii="宋体" w:eastAsia="宋体" w:cs="宋体"/>
                <w:sz w:val="24"/>
                <w:szCs w:val="24"/>
                <w:lang w:val="en-US" w:eastAsia="zh-CN"/>
              </w:rPr>
              <w:t>不低于2560x1440，需提供第三方检测报告或功能产品彩页；</w:t>
            </w:r>
          </w:p>
          <w:p w14:paraId="1B736B6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4</w:t>
            </w:r>
            <w:r>
              <w:rPr>
                <w:rFonts w:hint="eastAsia" w:ascii="宋体" w:eastAsia="宋体" w:cs="宋体"/>
                <w:sz w:val="24"/>
                <w:szCs w:val="24"/>
              </w:rPr>
              <w:t>、帧率</w:t>
            </w:r>
            <w:r>
              <w:rPr>
                <w:rFonts w:hint="eastAsia" w:ascii="宋体" w:eastAsia="宋体" w:cs="宋体"/>
                <w:sz w:val="24"/>
                <w:szCs w:val="24"/>
                <w:lang w:val="en-US" w:eastAsia="zh-CN"/>
              </w:rPr>
              <w:t>不低于25</w:t>
            </w:r>
            <w:r>
              <w:rPr>
                <w:rFonts w:hint="eastAsia" w:ascii="宋体" w:eastAsia="宋体" w:cs="宋体"/>
                <w:sz w:val="24"/>
                <w:szCs w:val="24"/>
              </w:rPr>
              <w:t>fps</w:t>
            </w:r>
            <w:r>
              <w:rPr>
                <w:rFonts w:hint="eastAsia" w:ascii="宋体" w:eastAsia="宋体" w:cs="宋体"/>
                <w:sz w:val="24"/>
                <w:szCs w:val="24"/>
                <w:lang w:eastAsia="zh-CN"/>
              </w:rPr>
              <w:t>；</w:t>
            </w:r>
            <w:r>
              <w:rPr>
                <w:rFonts w:hint="eastAsia" w:ascii="宋体" w:eastAsia="宋体" w:cs="宋体"/>
                <w:sz w:val="24"/>
                <w:szCs w:val="24"/>
              </w:rPr>
              <w:t>支持H.265、H.264、MJPEG编码格式；</w:t>
            </w:r>
          </w:p>
          <w:p w14:paraId="35B2EDAB">
            <w:pPr>
              <w:pStyle w:val="125"/>
              <w:tabs>
                <w:tab w:val="left" w:pos="1516"/>
              </w:tabs>
              <w:spacing w:line="520" w:lineRule="exact"/>
              <w:jc w:val="left"/>
              <w:rPr>
                <w:rFonts w:hint="eastAsia" w:ascii="宋体" w:eastAsia="宋体" w:cs="宋体"/>
                <w:sz w:val="24"/>
                <w:szCs w:val="24"/>
              </w:rPr>
            </w:pPr>
            <w:r>
              <w:rPr>
                <w:rFonts w:hint="eastAsia" w:ascii="宋体" w:eastAsia="宋体" w:cs="宋体"/>
                <w:sz w:val="24"/>
                <w:szCs w:val="24"/>
                <w:lang w:val="en-US" w:eastAsia="zh-CN"/>
              </w:rPr>
              <w:t>5</w:t>
            </w:r>
            <w:r>
              <w:rPr>
                <w:rFonts w:hint="eastAsia" w:ascii="宋体" w:eastAsia="宋体" w:cs="宋体"/>
                <w:sz w:val="24"/>
                <w:szCs w:val="24"/>
              </w:rPr>
              <w:t>、支持最低照度不低于0.003Lux（彩色），0.0001Lux（黑白）；</w:t>
            </w:r>
          </w:p>
          <w:p w14:paraId="5393EF1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6、图像水平分辨力≥1500TVL，信噪比≥52dB，灰度等级≥11级，延时≤160ms，动态范围≥97dB；</w:t>
            </w:r>
          </w:p>
          <w:p w14:paraId="6520C08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7、支持G.711、G.722、AAC_LC、G.726音频编码；</w:t>
            </w:r>
          </w:p>
          <w:p w14:paraId="23AE94C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8、支持水平范围360°连续旋转，水平手控速度不小于300°/s，垂直范围-20°~90°，云台定位精准度偏差不大于±0.1°；</w:t>
            </w:r>
          </w:p>
          <w:p w14:paraId="6EC011A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9、支持手动或自动的方式开启雨刷</w:t>
            </w:r>
            <w:r>
              <w:rPr>
                <w:rFonts w:hint="eastAsia" w:ascii="宋体" w:eastAsia="宋体" w:cs="宋体"/>
                <w:sz w:val="24"/>
                <w:szCs w:val="24"/>
                <w:lang w:eastAsia="zh-CN"/>
              </w:rPr>
              <w:t>，</w:t>
            </w:r>
            <w:r>
              <w:rPr>
                <w:rFonts w:hint="eastAsia" w:ascii="宋体" w:eastAsia="宋体" w:cs="宋体"/>
                <w:sz w:val="24"/>
                <w:szCs w:val="24"/>
              </w:rPr>
              <w:t>支持字符叠加及区域遮盖功能；</w:t>
            </w:r>
          </w:p>
          <w:p w14:paraId="04C2A9D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0</w:t>
            </w:r>
            <w:r>
              <w:rPr>
                <w:rFonts w:hint="eastAsia" w:ascii="宋体" w:eastAsia="宋体" w:cs="宋体"/>
                <w:sz w:val="24"/>
                <w:szCs w:val="24"/>
              </w:rPr>
              <w:t>、具备不少于1×RJ45、1×开关量报警输入、1×开关量报警输出、1×RS485、TF卡接口。</w:t>
            </w:r>
          </w:p>
          <w:p w14:paraId="305C759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1</w:t>
            </w:r>
            <w:r>
              <w:rPr>
                <w:rFonts w:hint="eastAsia" w:ascii="宋体" w:eastAsia="宋体" w:cs="宋体"/>
                <w:sz w:val="24"/>
                <w:szCs w:val="24"/>
              </w:rPr>
              <w:t>、支持IP66防护等级；</w:t>
            </w:r>
          </w:p>
          <w:p w14:paraId="153FD3D7">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12、★符合GB/T 28181、GB/35114标准</w:t>
            </w:r>
            <w:r>
              <w:rPr>
                <w:rFonts w:hint="eastAsia" w:ascii="宋体" w:eastAsia="宋体" w:cs="宋体"/>
                <w:sz w:val="24"/>
                <w:szCs w:val="24"/>
                <w:lang w:eastAsia="zh-CN"/>
              </w:rPr>
              <w:t>，</w:t>
            </w: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1995EC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30</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DFBDAD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6F21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74D09D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BDCA6A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900万环保卡口摄像机</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C7EB9E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1、一体化交付设计，摄像单元包含防护罩、高清摄像机、防雷模块、电源模块、安装支架、存储卡、视窗玻璃等部件；</w:t>
            </w:r>
          </w:p>
          <w:p w14:paraId="184D1C7A">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2、★</w:t>
            </w:r>
            <w:r>
              <w:rPr>
                <w:rFonts w:hint="eastAsia" w:ascii="宋体" w:eastAsia="宋体" w:cs="宋体"/>
                <w:sz w:val="24"/>
                <w:szCs w:val="24"/>
                <w:lang w:val="en-US" w:eastAsia="zh-CN"/>
              </w:rPr>
              <w:t>不低于9</w:t>
            </w:r>
            <w:r>
              <w:rPr>
                <w:rFonts w:hint="eastAsia" w:ascii="宋体" w:eastAsia="宋体" w:cs="宋体"/>
                <w:sz w:val="24"/>
                <w:szCs w:val="24"/>
              </w:rPr>
              <w:t>00万像素</w:t>
            </w:r>
            <w:r>
              <w:rPr>
                <w:rFonts w:hint="eastAsia" w:ascii="宋体" w:eastAsia="宋体" w:cs="宋体"/>
                <w:sz w:val="24"/>
                <w:szCs w:val="24"/>
                <w:lang w:eastAsia="zh-CN"/>
              </w:rPr>
              <w:t>，</w:t>
            </w:r>
            <w:r>
              <w:rPr>
                <w:rFonts w:hint="eastAsia" w:ascii="宋体" w:eastAsia="宋体" w:cs="宋体"/>
                <w:sz w:val="24"/>
                <w:szCs w:val="24"/>
                <w:lang w:val="en-US" w:eastAsia="zh-CN"/>
              </w:rPr>
              <w:t>不低于4096x2160或3840x2336，需提供第三方检测报告或功能产品彩页；</w:t>
            </w:r>
          </w:p>
          <w:p w14:paraId="372D325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3、靶面尺寸≥1英寸，帧率</w:t>
            </w:r>
            <w:r>
              <w:rPr>
                <w:rFonts w:hint="eastAsia" w:ascii="宋体" w:eastAsia="宋体" w:cs="宋体"/>
                <w:sz w:val="24"/>
                <w:szCs w:val="24"/>
                <w:lang w:val="en-US" w:eastAsia="zh-CN"/>
              </w:rPr>
              <w:t>不低于2</w:t>
            </w:r>
            <w:r>
              <w:rPr>
                <w:rFonts w:hint="eastAsia" w:ascii="宋体" w:eastAsia="宋体" w:cs="宋体"/>
                <w:sz w:val="24"/>
                <w:szCs w:val="24"/>
              </w:rPr>
              <w:t>5fps；支持H.264、H.265、MJPEG视频编码格式，支持32Kbps～16Mbps码率；</w:t>
            </w:r>
          </w:p>
          <w:p w14:paraId="793AA271">
            <w:pPr>
              <w:pStyle w:val="125"/>
              <w:tabs>
                <w:tab w:val="left" w:pos="661"/>
              </w:tabs>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val="en-US" w:eastAsia="zh-CN"/>
              </w:rPr>
              <w:t>4、</w:t>
            </w:r>
            <w:r>
              <w:rPr>
                <w:rFonts w:hint="eastAsia" w:ascii="宋体" w:eastAsia="宋体" w:cs="宋体"/>
                <w:sz w:val="24"/>
                <w:szCs w:val="24"/>
              </w:rPr>
              <w:t>最低照度：0.00</w:t>
            </w:r>
            <w:r>
              <w:rPr>
                <w:rFonts w:hint="eastAsia" w:ascii="宋体" w:eastAsia="宋体" w:cs="宋体"/>
                <w:sz w:val="24"/>
                <w:szCs w:val="24"/>
                <w:lang w:val="en-US" w:eastAsia="zh-CN"/>
              </w:rPr>
              <w:t>2</w:t>
            </w:r>
            <w:r>
              <w:rPr>
                <w:rFonts w:hint="eastAsia" w:ascii="宋体" w:eastAsia="宋体" w:cs="宋体"/>
                <w:sz w:val="24"/>
                <w:szCs w:val="24"/>
              </w:rPr>
              <w:t>lx（彩色），0.00</w:t>
            </w:r>
            <w:r>
              <w:rPr>
                <w:rFonts w:hint="eastAsia" w:ascii="宋体" w:eastAsia="宋体" w:cs="宋体"/>
                <w:sz w:val="24"/>
                <w:szCs w:val="24"/>
                <w:lang w:val="en-US" w:eastAsia="zh-CN"/>
              </w:rPr>
              <w:t>1</w:t>
            </w:r>
            <w:r>
              <w:rPr>
                <w:rFonts w:hint="eastAsia" w:ascii="宋体" w:eastAsia="宋体" w:cs="宋体"/>
                <w:sz w:val="24"/>
                <w:szCs w:val="24"/>
              </w:rPr>
              <w:t>lx（黑白）；</w:t>
            </w:r>
          </w:p>
          <w:p w14:paraId="432495B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5、实现视频检测、车辆抓拍、补光控制、数据传输对联等功能；</w:t>
            </w:r>
          </w:p>
          <w:p w14:paraId="0E8AF94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6</w:t>
            </w:r>
            <w:r>
              <w:rPr>
                <w:rFonts w:hint="eastAsia" w:ascii="宋体" w:eastAsia="宋体" w:cs="宋体"/>
                <w:sz w:val="24"/>
                <w:szCs w:val="24"/>
              </w:rPr>
              <w:t>、可将录像或图片存储至TF卡或客户端，内置存储卡不小于64GB；</w:t>
            </w:r>
          </w:p>
          <w:p w14:paraId="535489A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7</w:t>
            </w:r>
            <w:r>
              <w:rPr>
                <w:rFonts w:hint="eastAsia" w:ascii="宋体" w:eastAsia="宋体" w:cs="宋体"/>
                <w:sz w:val="24"/>
                <w:szCs w:val="24"/>
              </w:rPr>
              <w:t>、水平中心分辨力≥2000TVL ，灰度等级≥11级；</w:t>
            </w:r>
          </w:p>
          <w:p w14:paraId="1E8A789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8、支持抓拍并</w:t>
            </w:r>
            <w:r>
              <w:rPr>
                <w:rFonts w:hint="eastAsia" w:ascii="宋体" w:eastAsia="宋体" w:cs="宋体"/>
                <w:sz w:val="24"/>
                <w:szCs w:val="24"/>
                <w:lang w:val="en-US" w:eastAsia="zh-CN"/>
              </w:rPr>
              <w:t>抠</w:t>
            </w:r>
            <w:r>
              <w:rPr>
                <w:rFonts w:hint="eastAsia" w:ascii="宋体" w:eastAsia="宋体" w:cs="宋体"/>
                <w:sz w:val="24"/>
                <w:szCs w:val="24"/>
              </w:rPr>
              <w:t>取车内前排司乘人员人脸图片，在抓拍图片可看清人脸有无遮挡，人脸抠图可叠加在全景图上，也可独立保存，人脸抠图的像素大小、边框放大倍数进行调节；</w:t>
            </w:r>
          </w:p>
          <w:p w14:paraId="6BEE5F9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9、支持车牌识别、车型识别、车身颜色识别、车标识别、司乘员人脸抓拍、驾驶员打手机识别、前排乘员安全带识别、前排遮阳板识别、异常号牌识别等；</w:t>
            </w:r>
          </w:p>
          <w:p w14:paraId="5A74500B">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rPr>
              <w:t>10、车辆捕获率≥99%；车辆号牌识别率≥99%，包含GA 36规定的号牌字符，包含新能源汽车号牌</w:t>
            </w:r>
            <w:r>
              <w:rPr>
                <w:rFonts w:hint="eastAsia" w:ascii="宋体" w:eastAsia="宋体" w:cs="宋体"/>
                <w:sz w:val="24"/>
                <w:szCs w:val="24"/>
                <w:lang w:eastAsia="zh-CN"/>
              </w:rPr>
              <w:t>；</w:t>
            </w:r>
          </w:p>
          <w:p w14:paraId="517C4ED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11、支持配置抓拍规则区域，可配置机动车、非机动车或行人违法图片的抓拍位置和触发位置；可对非机动车进行检测识别，不戴头盔的检测识别；</w:t>
            </w:r>
          </w:p>
          <w:p w14:paraId="0D242E5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val="en-US" w:eastAsia="zh-CN"/>
              </w:rPr>
              <w:t>12、</w:t>
            </w:r>
            <w:r>
              <w:rPr>
                <w:rFonts w:hint="eastAsia" w:ascii="宋体" w:eastAsia="宋体" w:cs="宋体"/>
                <w:sz w:val="24"/>
                <w:szCs w:val="24"/>
              </w:rPr>
              <w:t>应支持对低光照条件下的车牌图像增强，车牌号码清晰可见；</w:t>
            </w:r>
          </w:p>
          <w:p w14:paraId="6D5312A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3</w:t>
            </w:r>
            <w:r>
              <w:rPr>
                <w:rFonts w:hint="eastAsia" w:ascii="宋体" w:eastAsia="宋体" w:cs="宋体"/>
                <w:sz w:val="24"/>
                <w:szCs w:val="24"/>
              </w:rPr>
              <w:t>、支持北斗定位，定位的经纬度信息支持OSD字符叠加；</w:t>
            </w:r>
          </w:p>
          <w:p w14:paraId="3F8403D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r>
              <w:rPr>
                <w:rFonts w:hint="eastAsia" w:ascii="宋体" w:eastAsia="宋体" w:cs="宋体"/>
                <w:sz w:val="24"/>
                <w:szCs w:val="24"/>
                <w:lang w:val="en-US" w:eastAsia="zh-CN"/>
              </w:rPr>
              <w:t>4</w:t>
            </w:r>
            <w:r>
              <w:rPr>
                <w:rFonts w:hint="eastAsia" w:ascii="宋体" w:eastAsia="宋体" w:cs="宋体"/>
                <w:sz w:val="24"/>
                <w:szCs w:val="24"/>
              </w:rPr>
              <w:t>、至少提供1个电源接口、2个RJ45、2个RS485、1个告警输入、1个告警输出、1个存储卡槽等；</w:t>
            </w:r>
          </w:p>
          <w:p w14:paraId="6E751E3A">
            <w:pPr>
              <w:pStyle w:val="125"/>
              <w:spacing w:line="520" w:lineRule="exact"/>
              <w:ind w:firstLine="0" w:firstLineChars="0"/>
              <w:jc w:val="left"/>
              <w:rPr>
                <w:rFonts w:hint="eastAsia" w:ascii="宋体" w:eastAsia="宋体" w:cs="宋体"/>
                <w:sz w:val="24"/>
                <w:szCs w:val="24"/>
                <w:lang w:val="en-US" w:eastAsia="zh-CN"/>
              </w:rPr>
            </w:pPr>
            <w:r>
              <w:rPr>
                <w:rFonts w:hint="eastAsia" w:ascii="宋体" w:eastAsia="宋体" w:cs="宋体"/>
                <w:sz w:val="24"/>
                <w:szCs w:val="24"/>
              </w:rPr>
              <w:t>1</w:t>
            </w:r>
            <w:r>
              <w:rPr>
                <w:rFonts w:hint="eastAsia" w:ascii="宋体" w:eastAsia="宋体" w:cs="宋体"/>
                <w:sz w:val="24"/>
                <w:szCs w:val="24"/>
                <w:lang w:val="en-US" w:eastAsia="zh-CN"/>
              </w:rPr>
              <w:t>5</w:t>
            </w:r>
            <w:r>
              <w:rPr>
                <w:rFonts w:hint="eastAsia" w:ascii="宋体" w:eastAsia="宋体" w:cs="宋体"/>
                <w:sz w:val="24"/>
                <w:szCs w:val="24"/>
              </w:rPr>
              <w:t>、★符合GB/T28181、GA/T 497、GA/T 833、GA/T 1400、GB/35114标准要求</w:t>
            </w:r>
            <w:r>
              <w:rPr>
                <w:rFonts w:hint="eastAsia" w:ascii="宋体" w:eastAsia="宋体" w:cs="宋体"/>
                <w:sz w:val="24"/>
                <w:szCs w:val="24"/>
                <w:lang w:eastAsia="zh-CN"/>
              </w:rPr>
              <w:t>，</w:t>
            </w:r>
            <w:r>
              <w:rPr>
                <w:rFonts w:hint="eastAsia" w:ascii="宋体" w:eastAsia="宋体" w:cs="宋体"/>
                <w:sz w:val="24"/>
                <w:szCs w:val="24"/>
                <w:lang w:val="en-US" w:eastAsia="zh-CN"/>
              </w:rPr>
              <w:t>需提供第三方检测报告或功能产品彩页。</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4C6739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498F33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5BE9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4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8604420">
            <w:pPr>
              <w:pStyle w:val="125"/>
              <w:spacing w:line="520" w:lineRule="exact"/>
              <w:ind w:firstLine="0" w:firstLineChars="0"/>
              <w:jc w:val="left"/>
              <w:rPr>
                <w:rFonts w:hint="eastAsia" w:ascii="宋体" w:eastAsia="宋体" w:cs="宋体"/>
                <w:kern w:val="2"/>
                <w:sz w:val="24"/>
                <w:szCs w:val="24"/>
                <w:lang w:val="en-US" w:eastAsia="zh-CN" w:bidi="ar-SA"/>
              </w:rPr>
            </w:pPr>
            <w:r>
              <w:rPr>
                <w:rFonts w:hint="eastAsia" w:ascii="宋体" w:eastAsia="宋体" w:cs="宋体"/>
                <w:sz w:val="24"/>
                <w:szCs w:val="24"/>
              </w:rPr>
              <w:t>8</w:t>
            </w:r>
          </w:p>
        </w:tc>
        <w:tc>
          <w:tcPr>
            <w:tcW w:w="8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895AA75">
            <w:pPr>
              <w:pStyle w:val="125"/>
              <w:spacing w:line="520" w:lineRule="exact"/>
              <w:ind w:firstLine="0" w:firstLineChars="0"/>
              <w:jc w:val="left"/>
              <w:rPr>
                <w:rFonts w:hint="eastAsia" w:ascii="宋体" w:eastAsia="宋体" w:cs="宋体"/>
                <w:kern w:val="2"/>
                <w:sz w:val="24"/>
                <w:szCs w:val="24"/>
                <w:lang w:val="en-US" w:eastAsia="zh-CN" w:bidi="ar-SA"/>
              </w:rPr>
            </w:pPr>
            <w:r>
              <w:rPr>
                <w:rFonts w:hint="eastAsia" w:ascii="宋体" w:eastAsia="宋体" w:cs="宋体"/>
                <w:sz w:val="24"/>
                <w:szCs w:val="24"/>
              </w:rPr>
              <w:t>多合一环保灯</w:t>
            </w:r>
          </w:p>
        </w:tc>
        <w:tc>
          <w:tcPr>
            <w:tcW w:w="572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9C4A1C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1、支持多种工作模式：日间强光环境支持爆闪，夜间环境支持环保频闪增亮；</w:t>
            </w:r>
          </w:p>
          <w:p w14:paraId="30D3611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2、符合GA/T1202《交通技术监控成像补光装置通用技术条件》要求；</w:t>
            </w:r>
          </w:p>
          <w:p w14:paraId="7324536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3、智能补光灯，气体闪光及LED混合补光，不低于</w:t>
            </w:r>
            <w:r>
              <w:rPr>
                <w:rFonts w:hint="eastAsia" w:ascii="宋体" w:eastAsia="宋体" w:cs="宋体"/>
                <w:sz w:val="24"/>
                <w:szCs w:val="24"/>
                <w:lang w:val="en-US" w:eastAsia="zh-CN"/>
              </w:rPr>
              <w:t>16</w:t>
            </w:r>
            <w:r>
              <w:rPr>
                <w:rFonts w:hint="eastAsia" w:ascii="宋体" w:eastAsia="宋体" w:cs="宋体"/>
                <w:sz w:val="24"/>
                <w:szCs w:val="24"/>
              </w:rPr>
              <w:t>颗LED灯珠；支持日夜模式切换，白天使用气体闪光高亮补光，夜晚使用LED低亮补光，防止光污染；</w:t>
            </w:r>
          </w:p>
          <w:p w14:paraId="553B8D97">
            <w:pPr>
              <w:pStyle w:val="125"/>
              <w:spacing w:line="520" w:lineRule="exact"/>
              <w:ind w:firstLine="0" w:firstLineChars="0"/>
              <w:jc w:val="left"/>
              <w:rPr>
                <w:rFonts w:hint="eastAsia" w:ascii="宋体" w:eastAsia="宋体" w:cs="宋体"/>
                <w:kern w:val="2"/>
                <w:sz w:val="24"/>
                <w:szCs w:val="24"/>
                <w:lang w:val="en-US" w:eastAsia="zh-CN" w:bidi="ar-SA"/>
              </w:rPr>
            </w:pPr>
            <w:r>
              <w:rPr>
                <w:rFonts w:hint="eastAsia" w:ascii="宋体" w:eastAsia="宋体" w:cs="宋体"/>
                <w:sz w:val="24"/>
                <w:szCs w:val="24"/>
              </w:rPr>
              <w:t>4、回电时间：气体闪光≤</w:t>
            </w:r>
            <w:r>
              <w:rPr>
                <w:rFonts w:hint="eastAsia" w:ascii="宋体" w:eastAsia="宋体" w:cs="宋体"/>
                <w:sz w:val="24"/>
                <w:szCs w:val="24"/>
                <w:lang w:val="en-US" w:eastAsia="zh-CN"/>
              </w:rPr>
              <w:t>7</w:t>
            </w:r>
            <w:r>
              <w:rPr>
                <w:rFonts w:hint="eastAsia" w:ascii="宋体" w:eastAsia="宋体" w:cs="宋体"/>
                <w:sz w:val="24"/>
                <w:szCs w:val="24"/>
              </w:rPr>
              <w:t>0ms，LED≤</w:t>
            </w:r>
            <w:r>
              <w:rPr>
                <w:rFonts w:hint="eastAsia" w:ascii="宋体" w:eastAsia="宋体" w:cs="宋体"/>
                <w:sz w:val="24"/>
                <w:szCs w:val="24"/>
                <w:lang w:val="en-US" w:eastAsia="zh-CN"/>
              </w:rPr>
              <w:t>4</w:t>
            </w:r>
            <w:r>
              <w:rPr>
                <w:rFonts w:hint="eastAsia" w:ascii="宋体" w:eastAsia="宋体" w:cs="宋体"/>
                <w:sz w:val="24"/>
                <w:szCs w:val="24"/>
              </w:rPr>
              <w:t>0ms；设计使用寿命气体闪光≤1000万次；RS485接口*1；工作温度-40°C~+70°C；带安装支架。</w:t>
            </w:r>
          </w:p>
        </w:tc>
        <w:tc>
          <w:tcPr>
            <w:tcW w:w="84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326C02C">
            <w:pPr>
              <w:pStyle w:val="125"/>
              <w:spacing w:line="520" w:lineRule="exact"/>
              <w:ind w:firstLine="0" w:firstLineChars="0"/>
              <w:jc w:val="left"/>
              <w:rPr>
                <w:rFonts w:ascii="宋体" w:eastAsia="宋体" w:cs="宋体"/>
                <w:kern w:val="2"/>
                <w:sz w:val="24"/>
                <w:szCs w:val="24"/>
                <w:lang w:val="en-US" w:eastAsia="zh-CN" w:bidi="ar-SA"/>
              </w:rPr>
            </w:pPr>
            <w:r>
              <w:rPr>
                <w:rFonts w:hint="eastAsia" w:ascii="宋体" w:eastAsia="宋体" w:cs="宋体"/>
                <w:sz w:val="24"/>
                <w:szCs w:val="24"/>
                <w:lang w:val="en-US" w:eastAsia="zh-CN"/>
              </w:rPr>
              <w:t>12</w:t>
            </w:r>
          </w:p>
        </w:tc>
        <w:tc>
          <w:tcPr>
            <w:tcW w:w="8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2CDA196">
            <w:pPr>
              <w:pStyle w:val="125"/>
              <w:spacing w:line="520" w:lineRule="exact"/>
              <w:ind w:firstLine="0" w:firstLineChars="0"/>
              <w:jc w:val="left"/>
              <w:rPr>
                <w:rFonts w:hint="eastAsia" w:ascii="宋体" w:eastAsia="宋体" w:cs="宋体"/>
                <w:kern w:val="2"/>
                <w:sz w:val="24"/>
                <w:szCs w:val="24"/>
                <w:lang w:val="en-US" w:eastAsia="zh-CN" w:bidi="ar-SA"/>
              </w:rPr>
            </w:pPr>
            <w:r>
              <w:rPr>
                <w:rFonts w:hint="eastAsia" w:ascii="宋体" w:eastAsia="宋体" w:cs="宋体"/>
                <w:sz w:val="24"/>
                <w:szCs w:val="24"/>
              </w:rPr>
              <w:t>套</w:t>
            </w:r>
          </w:p>
        </w:tc>
      </w:tr>
      <w:tr w14:paraId="0AB6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8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A2CFB9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77C5A0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施工配套设备</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FFDB6A0">
            <w:pPr>
              <w:pStyle w:val="125"/>
              <w:spacing w:line="520" w:lineRule="exact"/>
              <w:ind w:firstLine="0" w:firstLineChars="0"/>
              <w:jc w:val="left"/>
              <w:rPr>
                <w:rFonts w:ascii="宋体" w:eastAsia="宋体" w:cs="宋体"/>
                <w:sz w:val="24"/>
                <w:szCs w:val="24"/>
                <w:lang w:val="en-US" w:eastAsia="zh-CN"/>
              </w:rPr>
            </w:pPr>
            <w:r>
              <w:rPr>
                <w:rFonts w:hint="eastAsia" w:ascii="宋体" w:eastAsia="宋体" w:cs="宋体"/>
                <w:sz w:val="24"/>
                <w:szCs w:val="24"/>
              </w:rPr>
              <w:t>为完成摄像机安装所</w:t>
            </w:r>
            <w:r>
              <w:rPr>
                <w:rFonts w:hint="eastAsia" w:ascii="宋体" w:eastAsia="宋体" w:cs="宋体"/>
                <w:sz w:val="24"/>
                <w:szCs w:val="24"/>
                <w:lang w:eastAsia="zh-CN"/>
              </w:rPr>
              <w:t>需的工作及设备</w:t>
            </w:r>
            <w:r>
              <w:rPr>
                <w:rFonts w:hint="eastAsia" w:ascii="宋体" w:eastAsia="宋体" w:cs="宋体"/>
                <w:sz w:val="24"/>
                <w:szCs w:val="24"/>
              </w:rPr>
              <w:t>，包含：1、无偿拆除原点位前端所有设备（摄像机、杆件、横臂、设备箱等）；2、摄像机安装及配套施工（含立杆、借杆、横臂、法兰、接地、防雷、设备箱、空开、电源线、网线、抱箍、施工配套设备及安装调试等所有），选用借杆、立杆、壁挂方式安装，须按照采购人指定安装位置、根据现场环境定制相应杆件，保证图像效果和设备设施安全。</w:t>
            </w:r>
            <w:r>
              <w:rPr>
                <w:rFonts w:hint="eastAsia" w:ascii="宋体" w:eastAsia="宋体" w:cs="宋体"/>
                <w:sz w:val="24"/>
                <w:szCs w:val="24"/>
                <w:lang w:val="en-US" w:eastAsia="zh-CN"/>
              </w:rPr>
              <w:t>3、在规定位置安装</w:t>
            </w:r>
            <w:r>
              <w:rPr>
                <w:rFonts w:hint="eastAsia" w:ascii="宋体" w:eastAsia="宋体" w:cs="宋体"/>
                <w:sz w:val="24"/>
                <w:szCs w:val="24"/>
              </w:rPr>
              <w:t>铝材材质标识标牌</w:t>
            </w:r>
            <w:r>
              <w:rPr>
                <w:rFonts w:hint="eastAsia" w:ascii="宋体" w:eastAsia="宋体" w:cs="宋体"/>
                <w:sz w:val="24"/>
                <w:szCs w:val="24"/>
                <w:lang w:val="en-US" w:eastAsia="zh-CN"/>
              </w:rPr>
              <w:t>(</w:t>
            </w:r>
            <w:r>
              <w:rPr>
                <w:rFonts w:hint="eastAsia" w:ascii="宋体" w:eastAsia="宋体" w:cs="宋体"/>
                <w:sz w:val="24"/>
                <w:szCs w:val="24"/>
              </w:rPr>
              <w:t>尺寸：600mm*400mm，蓝底白字，印有监控标示</w:t>
            </w:r>
            <w:r>
              <w:rPr>
                <w:rFonts w:hint="eastAsia" w:ascii="宋体" w:eastAsia="宋体" w:cs="宋体"/>
                <w:sz w:val="24"/>
                <w:szCs w:val="24"/>
                <w:lang w:val="en-US" w:eastAsia="zh-CN"/>
              </w:rPr>
              <w:t>,</w:t>
            </w:r>
            <w:r>
              <w:rPr>
                <w:rFonts w:hint="eastAsia" w:ascii="宋体" w:eastAsia="宋体" w:cs="宋体"/>
                <w:sz w:val="24"/>
                <w:szCs w:val="24"/>
                <w:lang w:eastAsia="zh-CN"/>
              </w:rPr>
              <w:t>符合</w:t>
            </w:r>
            <w:r>
              <w:rPr>
                <w:rFonts w:hint="eastAsia" w:ascii="宋体" w:eastAsia="宋体" w:cs="宋体"/>
                <w:sz w:val="24"/>
                <w:szCs w:val="24"/>
              </w:rPr>
              <w:t>国产四类反光膜，符合GB/T 18833-2012《道路交通反光膜》</w:t>
            </w:r>
            <w:r>
              <w:rPr>
                <w:rFonts w:hint="eastAsia" w:ascii="宋体" w:eastAsia="宋体" w:cs="宋体"/>
                <w:sz w:val="24"/>
                <w:szCs w:val="24"/>
                <w:lang w:val="en-US" w:eastAsia="zh-CN"/>
              </w:rPr>
              <w:t>)。</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4B089C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4294838">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eastAsia="zh-CN"/>
              </w:rPr>
              <w:t>项</w:t>
            </w:r>
          </w:p>
        </w:tc>
      </w:tr>
      <w:tr w14:paraId="3259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4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8F253E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DB5C14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前端点位电费</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7A7A92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前端2000个点位摄像机及网络设备运行电费。</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E75940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FE6CED8">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eastAsia="zh-CN"/>
              </w:rPr>
              <w:t>项</w:t>
            </w:r>
          </w:p>
        </w:tc>
      </w:tr>
      <w:tr w14:paraId="76B4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0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1290DD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11</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BDD463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前端百兆带宽链路租赁</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0916FE2">
            <w:pPr>
              <w:pStyle w:val="125"/>
              <w:numPr>
                <w:ilvl w:val="0"/>
                <w:numId w:val="19"/>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服务商100M专线链路；链路数量：2000条。</w:t>
            </w:r>
          </w:p>
          <w:p w14:paraId="4BC67B69">
            <w:pPr>
              <w:pStyle w:val="125"/>
              <w:numPr>
                <w:ilvl w:val="0"/>
                <w:numId w:val="19"/>
              </w:numPr>
              <w:spacing w:line="520" w:lineRule="exact"/>
              <w:ind w:left="0" w:firstLine="0" w:firstLineChars="0"/>
              <w:jc w:val="left"/>
              <w:rPr>
                <w:rFonts w:hint="eastAsia" w:ascii="宋体" w:eastAsia="宋体" w:cs="宋体"/>
                <w:sz w:val="24"/>
                <w:szCs w:val="24"/>
              </w:rPr>
            </w:pPr>
            <w:r>
              <w:rPr>
                <w:rFonts w:hint="eastAsia" w:ascii="宋体" w:eastAsia="宋体" w:cs="宋体"/>
                <w:sz w:val="24"/>
                <w:szCs w:val="24"/>
              </w:rPr>
              <w:t>2、包含网络施工、故障处理、OLT、ONU、传输光纤、交换路由等设备费。</w:t>
            </w:r>
          </w:p>
          <w:p w14:paraId="35C8AA9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3、包含一条视频专网到政务外网万兆传输链路。</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01D5BA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2000</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2D9C62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条</w:t>
            </w:r>
          </w:p>
        </w:tc>
      </w:tr>
      <w:tr w14:paraId="78DE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0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2922EC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12</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367BBD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前端运行维护</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5B05D0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前端2000个</w:t>
            </w:r>
            <w:r>
              <w:rPr>
                <w:rFonts w:hint="eastAsia" w:ascii="宋体" w:eastAsia="宋体" w:cs="宋体"/>
                <w:sz w:val="24"/>
                <w:szCs w:val="24"/>
                <w:lang w:eastAsia="zh-CN"/>
              </w:rPr>
              <w:t>监控</w:t>
            </w:r>
            <w:r>
              <w:rPr>
                <w:rFonts w:hint="eastAsia" w:ascii="宋体" w:eastAsia="宋体" w:cs="宋体"/>
                <w:sz w:val="24"/>
                <w:szCs w:val="24"/>
              </w:rPr>
              <w:t>日常巡检、故障修复、点位迁移、应急保障</w:t>
            </w:r>
            <w:r>
              <w:rPr>
                <w:rFonts w:hint="eastAsia" w:ascii="宋体" w:eastAsia="宋体" w:cs="宋体"/>
                <w:sz w:val="24"/>
                <w:szCs w:val="24"/>
                <w:lang w:eastAsia="zh-CN"/>
              </w:rPr>
              <w:t>等</w:t>
            </w:r>
            <w:r>
              <w:rPr>
                <w:rFonts w:hint="eastAsia" w:ascii="宋体" w:eastAsia="宋体" w:cs="宋体"/>
                <w:sz w:val="24"/>
                <w:szCs w:val="24"/>
              </w:rPr>
              <w:t>。</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8DF27A8">
            <w:pPr>
              <w:pStyle w:val="125"/>
              <w:spacing w:line="520" w:lineRule="exact"/>
              <w:ind w:firstLine="0" w:firstLineChars="0"/>
              <w:jc w:val="left"/>
              <w:rPr>
                <w:rFonts w:hint="eastAsia" w:ascii="宋体" w:eastAsia="宋体" w:cs="宋体"/>
                <w:sz w:val="24"/>
                <w:szCs w:val="24"/>
              </w:rPr>
            </w:pP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2D4571E">
            <w:pPr>
              <w:pStyle w:val="125"/>
              <w:spacing w:line="520" w:lineRule="exact"/>
              <w:ind w:firstLine="0" w:firstLineChars="0"/>
              <w:jc w:val="left"/>
              <w:rPr>
                <w:rFonts w:hint="eastAsia" w:ascii="宋体" w:eastAsia="宋体" w:cs="宋体"/>
                <w:sz w:val="24"/>
                <w:szCs w:val="24"/>
              </w:rPr>
            </w:pPr>
          </w:p>
        </w:tc>
      </w:tr>
      <w:tr w14:paraId="1B42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42406F8">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二、基础支撑服务</w:t>
            </w:r>
          </w:p>
        </w:tc>
      </w:tr>
      <w:tr w14:paraId="32FB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360" w:hRule="atLeast"/>
        </w:trPr>
        <w:tc>
          <w:tcPr>
            <w:tcW w:w="54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36BB98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9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8C87BC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视频转发服务</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C7BE74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配置系统运行所必需的操作系统，数据库及系统组件，满足2400Mbps视频转发服务要求，单台服务器支持600Mbps视频转发，需接入现有视频共享平台，须与现有平台融为一体，共同分担系统的接入和流媒体转发压力。需满足2400Mbps的视频转发，台服务器节点性能要求：</w:t>
            </w:r>
          </w:p>
          <w:p w14:paraId="4021447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1、CPU：采用国产化中央处理单元器（CPU）性能不低于主频≥2.1G，2*CPU，单颗CPU核数≥24核；</w:t>
            </w:r>
          </w:p>
          <w:p w14:paraId="0427ED5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2、内存：≥128 GB DDR4 内存；</w:t>
            </w:r>
          </w:p>
          <w:p w14:paraId="637D630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3、网口：2个SFP+光接口，含光模块；</w:t>
            </w:r>
          </w:p>
          <w:p w14:paraId="3FA4BA2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4、硬盘：配置不低于1块2.4T企业级硬盘，1块960GB SSD硬盘。</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A4B370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9A9AC8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11FA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0" w:hRule="atLeast"/>
        </w:trPr>
        <w:tc>
          <w:tcPr>
            <w:tcW w:w="54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7A9845B"/>
        </w:tc>
        <w:tc>
          <w:tcPr>
            <w:tcW w:w="89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56368F2"/>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E0A0F6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视频专网平台监控授权，接入授权4000路视频</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2E27E9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4000</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2E1499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路</w:t>
            </w:r>
          </w:p>
        </w:tc>
      </w:tr>
      <w:tr w14:paraId="02E6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3A6491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B87F4C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广播级多功能数据交互中心</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tcPr>
          <w:p w14:paraId="54F4DFA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1、单台支持不少于6路RS422控制端输入，不少于16路RS422采集端输出，实现单对单、单对多、多对单、多对多通信</w:t>
            </w:r>
          </w:p>
          <w:p w14:paraId="7826189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2、采用嵌入式架构设计，大数据量并发，系统链路并联，星型链路组网，多路输入输出通信独立、互不干扰，任意一路输入断开不影响其他链路</w:t>
            </w:r>
          </w:p>
          <w:p w14:paraId="3387DFA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3、第一路机位支持断电直通，机位始终在线，保障现场稳定</w:t>
            </w:r>
          </w:p>
          <w:p w14:paraId="095C7CC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4、支持协议转换与地址转换</w:t>
            </w:r>
          </w:p>
          <w:p w14:paraId="1D87218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5、支持多台级联，最多可支持254路机位</w:t>
            </w:r>
          </w:p>
          <w:p w14:paraId="4963600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6、通过OLED屏和按钮显示、更改系统参数，全中文操作界面</w:t>
            </w:r>
          </w:p>
          <w:p w14:paraId="17FC0E6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7、升级调试便捷，通过Type-c接口连接配套软件实现功能调试，U盘即可完成固件升级</w:t>
            </w:r>
          </w:p>
          <w:p w14:paraId="4F0C765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8、双电源供电</w:t>
            </w:r>
          </w:p>
          <w:p w14:paraId="01D2B95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9、标准1U机箱设计，支持机柜安装</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4AC8B2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F9CB5F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台</w:t>
            </w:r>
          </w:p>
        </w:tc>
      </w:tr>
      <w:tr w14:paraId="4437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7E3D40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8F25F9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广播级多功能控制器</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tcPr>
          <w:p w14:paraId="5CB64BA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1、广播级多功能控制器，支持广播级专业摄像机的远程集中控制，实现云台及摄像机远程开关机，支持不少于10路云台、摄像机控制；支持10路GPI和10路GPO可以和切换台联动切换使用；</w:t>
            </w:r>
          </w:p>
          <w:p w14:paraId="2C61D4F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2、每个通道至少实现20个预置位的存储和调用，一键式地址选择，一键式预置位调用；</w:t>
            </w:r>
          </w:p>
          <w:p w14:paraId="537B751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3、远程操作摄像机快捷参数及菜单，支持一键式常用参数设置，四维摇杆，实现云台、镜头全变速控制；</w:t>
            </w:r>
          </w:p>
          <w:p w14:paraId="3579FB9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4、可通过旋钮快速调整云台运动速度和摄像机变焦、聚焦速度以及光圈的大小</w:t>
            </w:r>
          </w:p>
          <w:p w14:paraId="1C20A05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5、最大控制距离不低于1.2km（支持光端机传输）；</w:t>
            </w:r>
          </w:p>
          <w:p w14:paraId="391F405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、内置液晶屏，用于调整摄像机、控制器及云台的参数等</w:t>
            </w:r>
          </w:p>
          <w:p w14:paraId="0AB40BB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7、可与同品牌音视频切换器联动切换，实现预监与地址信号同步切换；</w:t>
            </w:r>
          </w:p>
          <w:p w14:paraId="015570E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8、配置多种通信接口，可实现中控系统的接入、视频切换系统的联动等；</w:t>
            </w:r>
          </w:p>
          <w:p w14:paraId="0A95620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9、控制功能强大，可以远程控制摄像机变焦、聚焦、光圈、菜单、增益、白平衡等控制功能；</w:t>
            </w:r>
          </w:p>
          <w:p w14:paraId="24C59EC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10、通信接口 USB×1、TCP/IPx1、RS422×1、RS232x2、GPOx10、GPI×10；</w:t>
            </w:r>
          </w:p>
          <w:p w14:paraId="436F013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11、支持多种锁定模式，防止误操作。</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A5A377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F08712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台</w:t>
            </w:r>
          </w:p>
        </w:tc>
      </w:tr>
      <w:tr w14:paraId="08F2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577F48C">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三、云存储系统服务</w:t>
            </w:r>
          </w:p>
        </w:tc>
      </w:tr>
      <w:tr w14:paraId="248C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74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6F2648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ign w:val="center"/>
          </w:tcPr>
          <w:p w14:paraId="1DA2091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云存储系统服务</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tcPr>
          <w:p w14:paraId="35E8DE1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本次新增的云存储主机需与现有雪亮项目云存储系统无缝对接，须与现有云存储系统融为一体，可实现统一管理和集中调度，共同分担录像存取压力；须对接现有视频监控共享平台和视图库系统，方便录像、图片信息数据存储及转发，本次存储服务需提供可用容量需不低于7484.554TB。</w:t>
            </w:r>
          </w:p>
          <w:p w14:paraId="2C292EF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1、控制节点支持单个以及多个节点集群，可在不同控制节点进行元数据备份，在控制节点全部损坏情况下，可从完好的存储节点中恢复系统源数据；</w:t>
            </w:r>
          </w:p>
          <w:p w14:paraId="60AB379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2、存储系统启动后,支持从视频监控服务平台自动更新升级存储系统上的媒体服务。</w:t>
            </w:r>
          </w:p>
          <w:p w14:paraId="2BFE15A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3、集群中每个域均可允许至多M节点故障（M为设定的校验块数量），数据不丢失、业务不中断，读写不受影响；</w:t>
            </w:r>
          </w:p>
          <w:p w14:paraId="2B779DD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4、支持硬盘出现故障时在系统全局空闲空间内自动恢复数据，3节点集群数据恢复速度最高可达到2GB/s，数据恢复过程中业务不中断；数据恢重构复以文件或数据块为单位，无需全硬盘恢复；</w:t>
            </w:r>
          </w:p>
          <w:p w14:paraId="4538B22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5、数据恢重构复以文件或数据块为单位，无需全硬盘恢复；</w:t>
            </w:r>
          </w:p>
          <w:p w14:paraId="3597B02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6、支持硬盘出现故障时在系统空闲空间内自动回复数据，3节点集群的数据恢复速度可达2GB/s，数据恢复过程中业务不中断；</w:t>
            </w:r>
          </w:p>
          <w:p w14:paraId="14A48B9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7、支持通过部署分布式存储系统软件或者虚拟化镜像的方式接入其他硬件设备实现扩容；支持N+M数据块冗余、副本冗余、多副本冗余模式，支持对每个文件或对象选择不同的冗余保护模式；</w:t>
            </w:r>
          </w:p>
          <w:p w14:paraId="40710EC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8、支持数据存储到 IP 磁盘存储阵列的不同介质中,支持元数据以高速 SSD 为介质进行存储，其他数据以机械硬盘介质进行存储；</w:t>
            </w:r>
          </w:p>
          <w:p w14:paraId="28E5312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9、支持元数据和数据分离存储，数据存储不依赖文件系统，不会产生磁盘碎片，存储空间快速回收，支持单数据文件切分成数据块，由多台存储节点并发完成读、写</w:t>
            </w:r>
          </w:p>
          <w:p w14:paraId="63DC996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10、支持在线扩/缩容；扩容模式下，直接添加硬盘或者添加存储节点的IP地址，系统存储空间即可快速自动扩容，扩容过程中业务不中断；</w:t>
            </w:r>
          </w:p>
          <w:p w14:paraId="16C0F24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11、支持选择数据均衡迁移或者不迁移策略，迁移策略下支持业务负载均衡；</w:t>
            </w:r>
          </w:p>
          <w:p w14:paraId="095256A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12、支持视频、图片及各类文件的混合存储，支持设置存储视频不可直接修改、删除；</w:t>
            </w:r>
          </w:p>
          <w:p w14:paraId="281346B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13、支持不小于 10000 路视频并发直播(转发)/录像；单个存储节点写入性能可达 16Gbps，读取性能可达 16Gpbs，转发性能可达 12Gbps,录像下载性能可达12Gbps；</w:t>
            </w:r>
          </w:p>
          <w:p w14:paraId="18A36E6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14、支持容器化部署业务，每个容器提供独立的虚拟操作系统运行环境和接口。</w:t>
            </w:r>
          </w:p>
          <w:p w14:paraId="3F14D5F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单台硬件能力要求如下：</w:t>
            </w:r>
          </w:p>
          <w:p w14:paraId="5E134A8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1、支持双路处理器，处理器采用国产化芯片，主频不低于2.0GHz</w:t>
            </w:r>
          </w:p>
          <w:p w14:paraId="4791ABD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2、支持双冗余电源，冗余风扇，支持电源、风扇直接插拔。</w:t>
            </w:r>
          </w:p>
          <w:p w14:paraId="1E88787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3、支持不少于8个内存槽位，配置不少于128GB DDR4内存；</w:t>
            </w:r>
          </w:p>
          <w:p w14:paraId="7433DEC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4、支持不少于2个PCIE 4.0可扩展槽位；</w:t>
            </w:r>
          </w:p>
          <w:p w14:paraId="254106A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5、支持36个2.5寸/3.5寸兼容硬盘插槽，支持SAS,SATA磁盘，可配置4T/6T/8T/14T/16T等不同容量规格的3.5寸 SATA企业级硬盘；</w:t>
            </w:r>
          </w:p>
          <w:p w14:paraId="4E1AEFA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6、不少于2个千兆RJ45以太网口，不少于2个SFP+万兆以太网光口，含光模块；</w:t>
            </w:r>
          </w:p>
          <w:p w14:paraId="52C3AC3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7、不少于1个VGA接口，不少于2个USB3.0接口；</w:t>
            </w:r>
          </w:p>
          <w:p w14:paraId="2CCAFB8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8、具备BMC远程管理功能，具备硬盘故障灯，系统运行指示灯。</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0A064C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4A39C9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3D75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B404FF2">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四、视频图像解析中心服务</w:t>
            </w:r>
          </w:p>
        </w:tc>
      </w:tr>
      <w:tr w14:paraId="7D6C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6EE57E4">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1、视频专网服务</w:t>
            </w:r>
          </w:p>
        </w:tc>
      </w:tr>
      <w:tr w14:paraId="2144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24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952180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F6E73E1">
            <w:pPr>
              <w:pStyle w:val="125"/>
              <w:spacing w:line="520" w:lineRule="exact"/>
              <w:ind w:firstLine="0" w:firstLineChars="0"/>
              <w:jc w:val="left"/>
              <w:rPr>
                <w:rFonts w:hint="eastAsia" w:ascii="宋体" w:eastAsia="宋体" w:cs="宋体"/>
                <w:sz w:val="24"/>
                <w:szCs w:val="24"/>
              </w:rPr>
            </w:pPr>
          </w:p>
          <w:p w14:paraId="45DCC55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视图解析服务器</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bottom"/>
          </w:tcPr>
          <w:p w14:paraId="3A51555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1、CPU:配置2颗国产化处理器(C86架构 单颗CPU≥24核，≥2.1GHz或 ARM架构单颗CPU≥32核，≥2.6GHz)</w:t>
            </w:r>
          </w:p>
          <w:p w14:paraId="0BE1190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2、GPU:智能解析卡*4，需满足本次解析需求；</w:t>
            </w:r>
          </w:p>
          <w:p w14:paraId="770E26E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3、内存:≥512GB DDR4;</w:t>
            </w:r>
          </w:p>
          <w:p w14:paraId="374124B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4、RAID:支持硬盘组RAID 2G+bbu 或 1块独立RAID卡,4GCache或以上,端口数≥8,端口速率:12Gb/s,配置电池或者电容</w:t>
            </w:r>
          </w:p>
          <w:p w14:paraId="7986FD6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5、硬盘规格不低于以下:硬盘:240G SATASSD≥2+SATA SSD 3.8TB(单盘Raid0)*10支持热插拔 或 2*480G SATA SSD + 6*7.6TB SATA SSD（组RAID5）</w:t>
            </w:r>
          </w:p>
          <w:p w14:paraId="471DFAE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6、网卡：万兆光口(≥2个)+千兆电口(≥2)，USB≥1个，1个RJ45管理口或1×四口GbE网卡+2*双口25GE网卡(SFP28,配4个25GE多模光模块，支持虚拟机多队列技术、SRIOV和DPDK,按NUMA平衡配置);</w:t>
            </w:r>
          </w:p>
          <w:p w14:paraId="0B44D56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7、电源模块:双电源，冗余配置</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688292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F3BD1F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台</w:t>
            </w:r>
          </w:p>
        </w:tc>
      </w:tr>
      <w:tr w14:paraId="7375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6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45AC09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A4931A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视图特征库服务器</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bottom"/>
          </w:tcPr>
          <w:p w14:paraId="7F0A57A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1、CPU:配置2颗国产化处理器(C86架构 单颗CPU≥24核，≥2.1GHz或 ARM架构单颗CPU≥32核，≥2.6GHz)</w:t>
            </w:r>
          </w:p>
          <w:p w14:paraId="3721B52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2、GPU:智能解析卡*4，需满足本次解析需求；</w:t>
            </w:r>
          </w:p>
          <w:p w14:paraId="5A9D21C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3、内存:≥512GB DDR4;</w:t>
            </w:r>
          </w:p>
          <w:p w14:paraId="5ECFF8B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4、RAID:支持硬盘组RAID 2G+bbu 或 1块独立RAID卡,4GCache或以上,端口数≥8,端口速率:12Gb/s,配置电池或者电容</w:t>
            </w:r>
          </w:p>
          <w:p w14:paraId="03E762E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5、硬盘规格不低于以下:硬盘::SATA SSD 240GB*2+SATA SSD 1.9TB *8 +SATA SSD 960GB*2+600G SAS*2 或 2*480G SATA SSD + 6*3.8TB SAS SSD（组RAID5）</w:t>
            </w:r>
          </w:p>
          <w:p w14:paraId="54B26CA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6、网卡：万兆光口(≥2个)+ 千兆电口(≥2个):USB≥1个 或 1×四口GbE网卡+2*双口25GE网卡(SFP28,配4个25GE多模光模块，支持虚拟机多队列技术、SRIOV和DPDK,按NUMA平衡配置);</w:t>
            </w:r>
          </w:p>
          <w:p w14:paraId="6D260AB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7、电源模块:双电源，冗余配置</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398DF4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911F4C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台</w:t>
            </w:r>
          </w:p>
        </w:tc>
      </w:tr>
      <w:tr w14:paraId="7D15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8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5E2419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F14748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大数据服务</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bottom"/>
          </w:tcPr>
          <w:p w14:paraId="1512EE1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1、基于Hadoop的大数据基础平台，提供消息订阅系统Kafka、分布式文件系统HDFS、全文检索ElasticSearch、内存计算框架Spark、分布式协调Zookeeper等大数据基础组件；</w:t>
            </w:r>
          </w:p>
          <w:p w14:paraId="4B28EE1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2、大数据集群支持横向扩展，可同时扩展计算量和存储量，集群支持在线扩容；</w:t>
            </w:r>
          </w:p>
          <w:p w14:paraId="1DD89BF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3、含硬件，内存：不小于256G。</w:t>
            </w:r>
          </w:p>
          <w:p w14:paraId="347FE7B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 xml:space="preserve">硬盘：240G SSD*1（系统）+240G SSD*1 + 960G*6 SSD + 4T*4 SATA </w:t>
            </w:r>
          </w:p>
          <w:p w14:paraId="208CDD3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网络接口：OCP 万兆光口（2个）+ 千兆电口（2个）</w:t>
            </w:r>
          </w:p>
          <w:p w14:paraId="5CECBAC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USB：4个 ；VGA ：1个</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57DE92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1A1D83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23E8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6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1EF628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092E56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人脸图片解析算法授权</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tcPr>
          <w:p w14:paraId="2413882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本次算法授权不低于2000路，实现全市已建人脸算法兼容安徽省公安厅人像解析系统，无需省厅二次解析。</w:t>
            </w:r>
          </w:p>
          <w:p w14:paraId="0EA5C4C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1、具备对人脸图片分析功能；</w:t>
            </w:r>
          </w:p>
          <w:p w14:paraId="4787CC8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2、光线正常，人脸图片的检出率不低于99%；</w:t>
            </w:r>
          </w:p>
          <w:p w14:paraId="7316FEA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3、支持对人脸图片在人脸被遮挡住半边脸的情况下，可正确检测人脸，检出率不小于99%；</w:t>
            </w:r>
          </w:p>
          <w:p w14:paraId="17AAC65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4、支持对人脸图片识别人脸性别，检出率不低于99%。</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95F14D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E1A8D4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55C0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0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39F964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3196AA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人体图片解析算法授权</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bottom"/>
          </w:tcPr>
          <w:p w14:paraId="0791865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本次算法授权不低于2000路，实现全市已建人脸算法兼容安徽省公安厅人像解析系统，无需省厅二次解析。</w:t>
            </w:r>
          </w:p>
          <w:p w14:paraId="05C80CC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1、人体检出率不低于95% ；</w:t>
            </w:r>
          </w:p>
          <w:p w14:paraId="3DE8528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2、支持 jpg、jpeg、png、gif、bmp、tiff图片格式；</w:t>
            </w:r>
          </w:p>
          <w:p w14:paraId="154957C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3、支持对人体图片进行结构化分析处理；</w:t>
            </w:r>
          </w:p>
          <w:p w14:paraId="0A42000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4、支持人体年龄段、 性别、发型（长发、短发）、是否戴眼镜、是否打伞、是否背包（单肩包、手提包、双肩包、腰包、手拉箱 ）、是否戴帽子、是否戴口罩等识别；</w:t>
            </w:r>
          </w:p>
          <w:p w14:paraId="15C1C4D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5、人体属性平均识别准确率不低于90%；</w:t>
            </w:r>
          </w:p>
          <w:p w14:paraId="7FA2716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6、人体解析路数不低于2000路。</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B2E8CE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ABB0A7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1C58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72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EA7495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A6CAE2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视频专网视频图像信息数据库服务</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tcPr>
          <w:p w14:paraId="48DDD6D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满足公安部视图库采集接口，可按照视图库标准协议接收视频图像分析设备/系统采集的视频图像信息数据；需接入现有视图库系统，须与现有系统融为一体，共同分担图像信息数据的集中接入、存储和检索压力；支持2000路智能前端接入，支持60亿条数据规模管理；</w:t>
            </w:r>
          </w:p>
          <w:p w14:paraId="05E2AC8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2、支持视图库信息数据的汇聚以及级联传输，级联传输满足公安部标准协议接口；</w:t>
            </w:r>
          </w:p>
          <w:p w14:paraId="4D3374C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3、支持视图库数据服务接口，支撑上层视图库业务服务应用；</w:t>
            </w:r>
          </w:p>
          <w:p w14:paraId="1612B09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4、提供用户管理，权限管理，日志管理等系统功能；</w:t>
            </w:r>
          </w:p>
          <w:p w14:paraId="47AE8A3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5、支持分布式数据管理和并行数据分析，支持通过增加数据存储节点横向便捷扩展；</w:t>
            </w:r>
          </w:p>
          <w:p w14:paraId="11FB30D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6、支持数据分布式冗余存储，单节点故障不会丢失数据；</w:t>
            </w:r>
          </w:p>
          <w:p w14:paraId="059AB7B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7、提供数据进行流转、处理以及存储服务的核心引擎；</w:t>
            </w:r>
          </w:p>
          <w:p w14:paraId="4338654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8、支持数据接收处理服务系统的集群化的管理和调度；</w:t>
            </w:r>
          </w:p>
          <w:p w14:paraId="745DC0D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9、支持数据的标准格式化存储以及人、车、物等不同对象的分类存储；</w:t>
            </w:r>
          </w:p>
          <w:p w14:paraId="03AE449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10、支持构建人脸库、人像库、人员黑名单库、人员布控库以及相关联的一人一档信息库、人脸特征库等；</w:t>
            </w:r>
          </w:p>
          <w:p w14:paraId="1046796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11、支持构建车辆库、车辆黑名单库、车辆布控库以及相关联的一车一档信息库、车辆特征库等；</w:t>
            </w:r>
          </w:p>
          <w:p w14:paraId="11AEAA5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12、支持资源目录库，包括原始采集的人脸数据、人像数据、车辆数据、视频结构化分析信息数据、其他多维感知信息等各种视频图像信息数据资源。</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ign w:val="center"/>
          </w:tcPr>
          <w:p w14:paraId="28CB5CAF">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219D11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777E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4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9BCD36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3E39AD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视图库接入授权</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tcPr>
          <w:p w14:paraId="70FE52A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支持2000路摄像机接入</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ign w:val="center"/>
          </w:tcPr>
          <w:p w14:paraId="29D7DF7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2000</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9765E8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路</w:t>
            </w:r>
          </w:p>
        </w:tc>
      </w:tr>
      <w:tr w14:paraId="56E6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A0B5F63">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2、公安网大数据服务</w:t>
            </w:r>
          </w:p>
        </w:tc>
      </w:tr>
      <w:tr w14:paraId="11DE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0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7F1019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6BD443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视图特征库服务器</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bottom"/>
          </w:tcPr>
          <w:p w14:paraId="31DC0FD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1、CPU:配置2颗国产化处理器(C86架构 单颗CPU≥24核，≥2.1GHz或 ARM架构单颗CPU≥32核，≥2.6GHz)</w:t>
            </w:r>
          </w:p>
          <w:p w14:paraId="39B6653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2、GPU:智能解析卡*4，需满足本次解析需求；</w:t>
            </w:r>
          </w:p>
          <w:p w14:paraId="59C353E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3、内存:≥512GB DDR4;</w:t>
            </w:r>
          </w:p>
          <w:p w14:paraId="42AE2F3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4、RAID:支持硬盘组RAID 2G+bbu 或 1块独立RAID卡,4GCache或以上,端口数≥8,端口速率:12Gb/s,配置电池或者电容</w:t>
            </w:r>
          </w:p>
          <w:p w14:paraId="3AFE737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5、硬盘规格不低于以下:硬盘::SATA SSD 240GB*2+SATA SSD 1.9TB *8 +SATA SSD 960GB*2+600G SAS*2 或 2*480G SATA SSD + 6*3.8TB SAS SSD（组RAID5）</w:t>
            </w:r>
          </w:p>
          <w:p w14:paraId="3153BAA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6、网卡：万兆光口(≥2个)+ 千兆电口(≥2个):USB≥1个 或 1×四口GbE网卡+2*双口25GE网卡(SFP28,配4个25GE多模光模块，支持虚拟机多队列技术、SRIOV和DPDK,按NUMA平衡配置);</w:t>
            </w:r>
          </w:p>
          <w:p w14:paraId="4548B79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7、电源模块:双电源，冗余配置</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DC481B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3C6BA3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台</w:t>
            </w:r>
          </w:p>
        </w:tc>
      </w:tr>
      <w:tr w14:paraId="18DE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8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979126B">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CDBEA2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公安信息网视频图像信息数据库服务</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tcPr>
          <w:p w14:paraId="7FC58BE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满足公安部视图库采集接口，可按照视图库标准协议接收视频图像分析设备/系统采集的视频图像信息数据；需接入雪亮工程现有视图库系统，须与现有系统融为一体，共同分担图像信息数据的集中接入、存储和检索压力；支持2000路智能前端接入，支持60亿条数据规模管理；</w:t>
            </w:r>
          </w:p>
          <w:p w14:paraId="31F24C6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2、支持视图库信息数据的汇聚以及级联传输，级联传输满足公安部标准协议接口；</w:t>
            </w:r>
          </w:p>
          <w:p w14:paraId="39F1162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3、支持视图库数据服务接口，支撑上层视图库业务服务应用；</w:t>
            </w:r>
          </w:p>
          <w:p w14:paraId="523CED7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4、提供用户管理，权限管理，日志管理等系统功能；</w:t>
            </w:r>
          </w:p>
          <w:p w14:paraId="6514FCE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5、支持分布式数据管理和并行数据分析，支持通过增加数据存储节点横向便捷扩展；</w:t>
            </w:r>
          </w:p>
          <w:p w14:paraId="00AD7DD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6、支持数据分布式冗余存储，单节点故障不会丢失数据；</w:t>
            </w:r>
          </w:p>
          <w:p w14:paraId="1C72302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7、提供数据进行流转、处理以及存储服务的核心引擎；</w:t>
            </w:r>
          </w:p>
          <w:p w14:paraId="4A431A5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8、支持数据接收处理服务系统的集群化的管理和调度；</w:t>
            </w:r>
          </w:p>
          <w:p w14:paraId="6BCAC539">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9、支持数据的标准格式化存储以及人、车、物等不同对象的分类存储；</w:t>
            </w:r>
          </w:p>
          <w:p w14:paraId="27DCFAB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10、支持构建人脸库、人像库、人员黑名单库、人员布控库以及相关联的一人一档信息库、人脸特征库等；</w:t>
            </w:r>
          </w:p>
          <w:p w14:paraId="4DF554D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11、支持构建车辆库、车辆黑名单库、车辆布控库以及相关联的一车一档信息库、车辆特征库等；</w:t>
            </w:r>
          </w:p>
          <w:p w14:paraId="4B64985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12、支持资源目录库，包括原始采集的人脸数据、人像数据、车辆数据、视频结构化分析信息数据、其他多维感知信息等各种视频图像信息数据资源。</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ign w:val="center"/>
          </w:tcPr>
          <w:p w14:paraId="1F55282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D7C619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1E3F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6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E222CE1">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8BC037C">
            <w:pPr>
              <w:pStyle w:val="125"/>
              <w:spacing w:line="520" w:lineRule="exact"/>
              <w:ind w:firstLine="0" w:firstLineChars="0"/>
              <w:jc w:val="left"/>
              <w:rPr>
                <w:rFonts w:hint="eastAsia" w:ascii="宋体" w:eastAsia="宋体" w:cs="宋体"/>
                <w:sz w:val="24"/>
                <w:szCs w:val="24"/>
              </w:rPr>
            </w:pPr>
          </w:p>
          <w:p w14:paraId="378710A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人像聚档应用服务</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bottom"/>
          </w:tcPr>
          <w:p w14:paraId="6A301AD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本次算法授权不低于2000路，实现全市已建人脸算法兼容安徽省公安厅人像解析系统，无需省厅二次解析。</w:t>
            </w:r>
          </w:p>
          <w:p w14:paraId="612AE24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1、CPU：配置2颗国产化处理器（C86架构 单颗CPU≥24核，≥2.1GHz 或 ARM架构   单颗CPU≥32核，≥2.6GHz ）</w:t>
            </w:r>
          </w:p>
          <w:p w14:paraId="533FDB0C">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2、内存：≥512GB DDR4；</w:t>
            </w:r>
          </w:p>
          <w:p w14:paraId="29D9C22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3、RAID：支持硬盘组RAID_2G+bbu</w:t>
            </w:r>
          </w:p>
          <w:p w14:paraId="55AD926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4、硬盘规格不低于以下：SATA SSD 240GB*2 +SATA 8TB *4 ；</w:t>
            </w:r>
          </w:p>
          <w:p w14:paraId="34278CF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5、万兆光口（≥2个）+ 千兆电口（≥2个）；USB≥1个</w:t>
            </w:r>
          </w:p>
          <w:p w14:paraId="1EFB265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6、电源模块：1+1冗余电源。</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54D0F23">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E0A3220">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套</w:t>
            </w:r>
          </w:p>
        </w:tc>
      </w:tr>
      <w:tr w14:paraId="74FB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23" w:type="dxa"/>
          <w:trHeight w:val="440" w:hRule="atLeast"/>
        </w:trPr>
        <w:tc>
          <w:tcPr>
            <w:tcW w:w="8000"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BA64D7A">
            <w:pPr>
              <w:widowControl/>
              <w:jc w:val="left"/>
              <w:textAlignment w:val="center"/>
              <w:rPr>
                <w:rFonts w:hint="eastAsia" w:ascii="宋体" w:eastAsia="宋体" w:cs="宋体"/>
                <w:b/>
                <w:bCs/>
                <w:color w:val="000000"/>
                <w:sz w:val="24"/>
                <w:szCs w:val="24"/>
              </w:rPr>
            </w:pPr>
            <w:r>
              <w:rPr>
                <w:rFonts w:hint="eastAsia" w:ascii="宋体" w:eastAsia="宋体" w:cs="宋体"/>
                <w:b/>
                <w:bCs/>
                <w:color w:val="000000"/>
                <w:kern w:val="0"/>
                <w:sz w:val="24"/>
                <w:szCs w:val="24"/>
              </w:rPr>
              <w:t>五、其他</w:t>
            </w:r>
            <w:r>
              <w:rPr>
                <w:rFonts w:hint="eastAsia" w:ascii="宋体" w:eastAsia="宋体" w:cs="宋体"/>
                <w:b/>
                <w:bCs/>
                <w:color w:val="000000"/>
                <w:kern w:val="0"/>
                <w:sz w:val="24"/>
                <w:szCs w:val="24"/>
                <w:lang w:eastAsia="zh-CN"/>
              </w:rPr>
              <w:t>服务</w:t>
            </w:r>
          </w:p>
        </w:tc>
      </w:tr>
      <w:tr w14:paraId="2549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53"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B99FE2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959D9FE">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运营商机房租赁</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B00EAC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需要</w:t>
            </w:r>
            <w:r>
              <w:rPr>
                <w:rFonts w:hint="eastAsia" w:ascii="宋体" w:eastAsia="宋体" w:cs="宋体"/>
                <w:sz w:val="24"/>
                <w:szCs w:val="24"/>
                <w:lang w:val="zh-CN"/>
              </w:rPr>
              <w:t>满足</w:t>
            </w:r>
            <w:r>
              <w:rPr>
                <w:rFonts w:hint="eastAsia" w:ascii="宋体" w:eastAsia="宋体" w:cs="宋体"/>
                <w:sz w:val="24"/>
                <w:szCs w:val="24"/>
                <w:lang w:val="zh-CN" w:eastAsia="zh-CN"/>
              </w:rPr>
              <w:t>此次服务需求的</w:t>
            </w:r>
            <w:r>
              <w:rPr>
                <w:rFonts w:hint="eastAsia" w:ascii="宋体" w:eastAsia="宋体" w:cs="宋体"/>
                <w:sz w:val="24"/>
                <w:szCs w:val="24"/>
                <w:lang w:val="zh-CN"/>
              </w:rPr>
              <w:t>交换机、服务器以及云存储等设备运营环境要求。</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092526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B0B0252">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eastAsia="zh-CN"/>
              </w:rPr>
              <w:t>项</w:t>
            </w:r>
          </w:p>
        </w:tc>
      </w:tr>
      <w:tr w14:paraId="0057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60"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A823FE7">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2</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DFF4F0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后端运行维护</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3091FBE">
            <w:pPr>
              <w:pStyle w:val="123"/>
              <w:ind w:left="0" w:firstLine="0" w:firstLineChars="0"/>
              <w:rPr>
                <w:rFonts w:hint="eastAsia" w:ascii="宋体" w:eastAsia="宋体" w:cs="宋体"/>
                <w:sz w:val="24"/>
                <w:szCs w:val="24"/>
              </w:rPr>
            </w:pPr>
            <w:r>
              <w:rPr>
                <w:rFonts w:hint="eastAsia" w:ascii="宋体" w:eastAsia="宋体" w:cs="宋体"/>
                <w:kern w:val="2"/>
                <w:sz w:val="24"/>
                <w:szCs w:val="24"/>
                <w:lang w:val="en-US" w:eastAsia="zh-CN" w:bidi="ar-SA"/>
              </w:rPr>
              <w:t>提供完善、专业、高质量的维保服务；应提供不少于2部服务电话，实行7x24小时接听、及时响应技术咨询、沟通、服务请求和故障申报处置，按照本合同约定的故障响应程序要求处理，并反馈维保服务信息。</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AA9F8EA">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val="en-US" w:eastAsia="zh-CN"/>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AFB76A2">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项</w:t>
            </w:r>
          </w:p>
        </w:tc>
      </w:tr>
      <w:tr w14:paraId="4FD7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676"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DA81EA5">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3</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00804DD">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第三方检测</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78BB38A">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具有相应资质的第三方检测机构对项目进行检测，并出具检测报告</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E354496">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3A60FB4">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rPr>
              <w:t>项</w:t>
            </w:r>
          </w:p>
        </w:tc>
      </w:tr>
      <w:tr w14:paraId="4C47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676" w:hRule="atLeast"/>
        </w:trPr>
        <w:tc>
          <w:tcPr>
            <w:tcW w:w="54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36AD8F0">
            <w:pPr>
              <w:pStyle w:val="125"/>
              <w:spacing w:line="520" w:lineRule="exact"/>
              <w:ind w:firstLine="0" w:firstLineChars="0"/>
              <w:jc w:val="left"/>
              <w:rPr>
                <w:rFonts w:hint="eastAsia" w:ascii="宋体" w:eastAsia="宋体" w:cs="宋体"/>
                <w:sz w:val="24"/>
                <w:szCs w:val="24"/>
                <w:lang w:val="en-US" w:eastAsia="zh-CN"/>
              </w:rPr>
            </w:pPr>
            <w:r>
              <w:rPr>
                <w:rFonts w:hint="eastAsia" w:ascii="宋体" w:eastAsia="宋体" w:cs="宋体"/>
                <w:sz w:val="24"/>
                <w:szCs w:val="24"/>
                <w:lang w:val="en-US" w:eastAsia="zh-CN"/>
              </w:rPr>
              <w:t>4</w:t>
            </w:r>
          </w:p>
        </w:tc>
        <w:tc>
          <w:tcPr>
            <w:tcW w:w="89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D30DBD0">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eastAsia="zh-CN"/>
              </w:rPr>
              <w:t>其他需求</w:t>
            </w:r>
          </w:p>
        </w:tc>
        <w:tc>
          <w:tcPr>
            <w:tcW w:w="572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C966BA8">
            <w:pPr>
              <w:pStyle w:val="125"/>
              <w:spacing w:line="520" w:lineRule="exact"/>
              <w:ind w:firstLine="0" w:firstLineChars="0"/>
              <w:jc w:val="left"/>
              <w:rPr>
                <w:rFonts w:hint="eastAsia" w:ascii="宋体" w:eastAsia="宋体" w:cs="宋体"/>
                <w:sz w:val="24"/>
                <w:szCs w:val="24"/>
              </w:rPr>
            </w:pPr>
            <w:r>
              <w:rPr>
                <w:rFonts w:hint="eastAsia" w:ascii="宋体" w:eastAsia="宋体" w:cs="宋体"/>
                <w:sz w:val="24"/>
                <w:szCs w:val="24"/>
                <w:lang w:eastAsia="zh-CN"/>
              </w:rPr>
              <w:t>为了满足整体服务要求</w:t>
            </w:r>
            <w:r>
              <w:rPr>
                <w:rFonts w:hint="eastAsia" w:ascii="宋体" w:eastAsia="宋体" w:cs="宋体"/>
                <w:sz w:val="24"/>
                <w:szCs w:val="24"/>
              </w:rPr>
              <w:t>，</w:t>
            </w:r>
            <w:r>
              <w:rPr>
                <w:rFonts w:hint="eastAsia" w:ascii="宋体" w:eastAsia="宋体" w:cs="宋体"/>
                <w:sz w:val="24"/>
                <w:szCs w:val="24"/>
                <w:lang w:eastAsia="zh-CN"/>
              </w:rPr>
              <w:t>提供的服务</w:t>
            </w:r>
            <w:r>
              <w:rPr>
                <w:rFonts w:hint="eastAsia" w:ascii="宋体" w:eastAsia="宋体" w:cs="宋体"/>
                <w:sz w:val="24"/>
                <w:szCs w:val="24"/>
              </w:rPr>
              <w:t>包括不限于</w:t>
            </w:r>
            <w:r>
              <w:rPr>
                <w:rFonts w:hint="eastAsia" w:ascii="宋体" w:eastAsia="宋体" w:cs="宋体"/>
                <w:sz w:val="24"/>
                <w:szCs w:val="24"/>
                <w:lang w:eastAsia="zh-CN"/>
              </w:rPr>
              <w:t>以上技术</w:t>
            </w:r>
            <w:r>
              <w:rPr>
                <w:rFonts w:hint="eastAsia" w:ascii="宋体" w:eastAsia="宋体" w:cs="宋体"/>
                <w:sz w:val="24"/>
                <w:szCs w:val="24"/>
                <w:lang w:val="en-US" w:eastAsia="zh-CN"/>
              </w:rPr>
              <w:t>服务要求清单内容</w:t>
            </w:r>
            <w:r>
              <w:rPr>
                <w:rFonts w:hint="eastAsia" w:ascii="宋体" w:eastAsia="宋体" w:cs="宋体"/>
                <w:sz w:val="24"/>
                <w:szCs w:val="24"/>
              </w:rPr>
              <w:t>。</w:t>
            </w:r>
          </w:p>
        </w:tc>
        <w:tc>
          <w:tcPr>
            <w:tcW w:w="84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0F1991E">
            <w:pPr>
              <w:pStyle w:val="125"/>
              <w:spacing w:line="520" w:lineRule="exact"/>
              <w:ind w:firstLine="0" w:firstLineChars="0"/>
              <w:jc w:val="left"/>
              <w:rPr>
                <w:rFonts w:hint="eastAsia" w:ascii="宋体" w:eastAsia="宋体" w:cs="宋体"/>
                <w:sz w:val="24"/>
                <w:szCs w:val="24"/>
                <w:lang w:val="en-US" w:eastAsia="zh-CN"/>
              </w:rPr>
            </w:pPr>
            <w:r>
              <w:rPr>
                <w:rFonts w:hint="eastAsia" w:ascii="宋体" w:eastAsia="宋体" w:cs="宋体"/>
                <w:sz w:val="24"/>
                <w:szCs w:val="24"/>
                <w:lang w:val="en-US" w:eastAsia="zh-CN"/>
              </w:rPr>
              <w:t>1</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D365452">
            <w:pPr>
              <w:pStyle w:val="125"/>
              <w:spacing w:line="520" w:lineRule="exact"/>
              <w:ind w:firstLine="0" w:firstLineChars="0"/>
              <w:jc w:val="left"/>
              <w:rPr>
                <w:rFonts w:hint="eastAsia" w:ascii="宋体" w:eastAsia="宋体" w:cs="宋体"/>
                <w:sz w:val="24"/>
                <w:szCs w:val="24"/>
                <w:lang w:eastAsia="zh-CN"/>
              </w:rPr>
            </w:pPr>
            <w:r>
              <w:rPr>
                <w:rFonts w:hint="eastAsia" w:ascii="宋体" w:eastAsia="宋体" w:cs="宋体"/>
                <w:sz w:val="24"/>
                <w:szCs w:val="24"/>
                <w:lang w:eastAsia="zh-CN"/>
              </w:rPr>
              <w:t>项</w:t>
            </w:r>
          </w:p>
        </w:tc>
      </w:tr>
    </w:tbl>
    <w:p w14:paraId="3C33DC25">
      <w:pPr>
        <w:ind w:firstLine="0" w:firstLineChars="0"/>
        <w:rPr>
          <w:rFonts w:hint="eastAsia" w:eastAsia="仿宋"/>
          <w:lang w:eastAsia="zh-CN"/>
        </w:rPr>
      </w:pPr>
    </w:p>
    <w:p w14:paraId="1D35458B">
      <w:pPr>
        <w:ind w:firstLine="0" w:firstLineChars="0"/>
        <w:rPr>
          <w:rFonts w:hint="eastAsia" w:eastAsia="仿宋"/>
          <w:lang w:eastAsia="zh-CN"/>
        </w:rPr>
      </w:pPr>
    </w:p>
    <w:p w14:paraId="4DE2E3B1">
      <w:pPr>
        <w:pStyle w:val="2"/>
        <w:rPr>
          <w:rFonts w:hint="eastAsia"/>
          <w:lang w:eastAsia="zh-CN"/>
        </w:rPr>
      </w:pPr>
    </w:p>
    <w:p w14:paraId="7455B34C">
      <w:pPr>
        <w:pStyle w:val="3"/>
        <w:keepNext/>
        <w:keepLines/>
        <w:pageBreakBefore w:val="0"/>
        <w:widowControl w:val="0"/>
        <w:rPr>
          <w:rFonts w:ascii="Times New Roman" w:hAnsi="Times New Roman" w:cs="Times New Roman"/>
          <w:color w:val="000000"/>
          <w:lang w:val="en-US" w:eastAsia="zh-CN"/>
        </w:rPr>
      </w:pPr>
      <w:bookmarkStart w:id="426" w:name="_Toc13821"/>
      <w:r>
        <w:rPr>
          <w:rFonts w:hint="eastAsia" w:ascii="Times New Roman" w:hAnsi="Times New Roman" w:cs="Times New Roman"/>
          <w:color w:val="000000"/>
          <w:lang w:val="en-US" w:eastAsia="zh-CN"/>
        </w:rPr>
        <w:t>前端点位信息</w:t>
      </w:r>
      <w:bookmarkEnd w:id="426"/>
    </w:p>
    <w:p w14:paraId="67E53783">
      <w:pPr>
        <w:rPr>
          <w:lang w:val="en-US" w:eastAsia="zh-CN"/>
        </w:rPr>
      </w:pPr>
    </w:p>
    <w:tbl>
      <w:tblPr>
        <w:tblStyle w:val="38"/>
        <w:tblW w:w="88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5"/>
        <w:gridCol w:w="5794"/>
        <w:gridCol w:w="1770"/>
      </w:tblGrid>
      <w:tr w14:paraId="7B387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F0EB7">
            <w:pPr>
              <w:keepNext w:val="0"/>
              <w:keepLines w:val="0"/>
              <w:widowControl/>
              <w:suppressLineNumbers w:val="0"/>
              <w:ind w:left="0" w:firstLine="0" w:firstLineChars="0"/>
              <w:jc w:val="center"/>
              <w:textAlignment w:val="center"/>
              <w:rPr>
                <w:rFonts w:hint="eastAsia" w:ascii="宋体" w:eastAsia="宋体" w:cs="宋体"/>
                <w:b/>
                <w:bCs/>
                <w:i w:val="0"/>
                <w:iCs w:val="0"/>
                <w:color w:val="000000"/>
                <w:sz w:val="24"/>
                <w:szCs w:val="24"/>
                <w:u w:val="none"/>
              </w:rPr>
            </w:pPr>
            <w:r>
              <w:rPr>
                <w:rFonts w:hint="eastAsia" w:ascii="宋体" w:eastAsia="宋体" w:cs="宋体"/>
                <w:b/>
                <w:bCs/>
                <w:i w:val="0"/>
                <w:iCs w:val="0"/>
                <w:color w:val="000000"/>
                <w:kern w:val="0"/>
                <w:sz w:val="24"/>
                <w:szCs w:val="24"/>
                <w:u w:val="none"/>
                <w:lang w:val="en-US" w:eastAsia="zh-CN"/>
              </w:rPr>
              <w:t xml:space="preserve">  序号</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0494">
            <w:pPr>
              <w:keepNext w:val="0"/>
              <w:keepLines w:val="0"/>
              <w:widowControl/>
              <w:suppressLineNumbers w:val="0"/>
              <w:jc w:val="center"/>
              <w:textAlignment w:val="center"/>
              <w:rPr>
                <w:rFonts w:hint="eastAsia" w:ascii="宋体" w:eastAsia="宋体" w:cs="宋体"/>
                <w:b/>
                <w:bCs/>
                <w:i w:val="0"/>
                <w:iCs w:val="0"/>
                <w:color w:val="000000"/>
                <w:sz w:val="24"/>
                <w:szCs w:val="24"/>
                <w:u w:val="none"/>
              </w:rPr>
            </w:pPr>
            <w:r>
              <w:rPr>
                <w:rFonts w:hint="eastAsia" w:ascii="宋体" w:eastAsia="宋体" w:cs="宋体"/>
                <w:b/>
                <w:bCs/>
                <w:i w:val="0"/>
                <w:iCs w:val="0"/>
                <w:color w:val="000000"/>
                <w:kern w:val="0"/>
                <w:sz w:val="24"/>
                <w:szCs w:val="24"/>
                <w:u w:val="none"/>
                <w:lang w:val="en-US" w:eastAsia="zh-CN"/>
              </w:rPr>
              <w:t>监控安装位置</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1A61">
            <w:pPr>
              <w:keepNext w:val="0"/>
              <w:keepLines w:val="0"/>
              <w:widowControl/>
              <w:suppressLineNumbers w:val="0"/>
              <w:jc w:val="both"/>
              <w:textAlignment w:val="center"/>
              <w:rPr>
                <w:rFonts w:hint="eastAsia" w:ascii="宋体" w:eastAsia="宋体" w:cs="宋体"/>
                <w:b/>
                <w:bCs/>
                <w:i w:val="0"/>
                <w:iCs w:val="0"/>
                <w:color w:val="000000"/>
                <w:sz w:val="24"/>
                <w:szCs w:val="24"/>
                <w:u w:val="none"/>
              </w:rPr>
            </w:pPr>
            <w:r>
              <w:rPr>
                <w:rFonts w:hint="eastAsia" w:ascii="宋体" w:eastAsia="宋体" w:cs="宋体"/>
                <w:b/>
                <w:bCs/>
                <w:i w:val="0"/>
                <w:iCs w:val="0"/>
                <w:color w:val="000000"/>
                <w:kern w:val="0"/>
                <w:sz w:val="24"/>
                <w:szCs w:val="24"/>
                <w:u w:val="none"/>
                <w:lang w:val="en-US" w:eastAsia="zh-CN"/>
              </w:rPr>
              <w:t>监控数</w:t>
            </w:r>
          </w:p>
        </w:tc>
      </w:tr>
      <w:tr w14:paraId="323C0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12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BE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常州路东升花园中园东门商业街北侧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D6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5C5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06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3B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常州路东升花园中园东门商业街南侧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33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C96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86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23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常州路东升花园中园东门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CF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95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7B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AE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九梓大道时代金街南侧中段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D6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2747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11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84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锦州路安徽师范大学附属苏滁第二实验学校东门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30E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E36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63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011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九梓大道时代金街西出入口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BBB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435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50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83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徽州路滁山路口公交南站台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E6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9C7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8D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FF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徽州路滨河南路口公交南站台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27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50C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31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15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徽州路姑苏路口公交南站台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F3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DE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C3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CE8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徽州路苏滁商务中心轻轨东站台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79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6C78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5C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F2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双城路徽州路口公交北站台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A2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820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26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B89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双城路鱼尾狮公园西中段公交北站台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E4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EFD1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F7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DF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双城路大王派出所门口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DE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4ED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5B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78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杭州路双城路口公交东站台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A5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874A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67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CC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中新大道杭州路口公交南站台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8C4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59C6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21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41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中心大道鱼尾狮公园北出入口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0D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B012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48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C91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徽州路中新大道路口公交西站台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1D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3A9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F9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BD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徽州路双城路口公交东站台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55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F6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79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647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中新大道君逸府北门西侧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7F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ACA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D2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07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锦州路东方玖著东北门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F1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85D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99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5F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锦州路东方玖著东门南侧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92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8CF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A0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7AC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锦州路苏州公园西侧中段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B4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910A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3F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84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锦州路东方玖著东南门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E8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E5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5B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48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中新大道锦州路口公交南站台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EF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42AA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70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8D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苏滁大道中新大道路口公交西站台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D9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ACE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36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99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苏滁大道苏州公园中段公交西站台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45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AD2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3A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7E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双城路锦州路口公交北站台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3D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73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69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E4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锦州路苏州公园大门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AD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C8C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99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16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兰州路苏滁公舍西门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A2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6CD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DF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655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文忠路苏滁公舍北门西侧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8E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30BB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8D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8C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文忠路苏滁公舍北门内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02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4AF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CE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FC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寿昌路兰州路交口东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D91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FF8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042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6D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寿昌路滁州大道交口西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C1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80B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75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EDD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寿昌路苏滁医院西门挂号处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72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232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CE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57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徽州路中新大道路口公交东站台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DC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130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8D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0A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徽州路新安江路口公交东站台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41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B84F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C6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FB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扬子路常州路口公交南站台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88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C95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5D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EB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锦州路徽味楼南侧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69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BCC2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25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D6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锦州路苏滁高新区蓝白领公寓西门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DAF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4D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E2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A9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大王郢路昊天商务酒店西侧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D8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1D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53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E4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大王郢路苏杭水汇西侧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89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D37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0D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9A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锦州路-扬子路交口南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16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03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4F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38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扬子路林楼轻轨南站台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E7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0B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6C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776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滁州大道中新大道路口公交东站台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28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27A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BD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BC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滁州大道清流路口公交东站台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85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D50E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60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35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清流路胜华波汽车电器有限公司北门东侧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3A2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98F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F8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FF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泉州路胜华波汽车电器有限公司东门南侧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7C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8D5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AC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07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泉州路苏滁现代工业坊五号厂区西门南侧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9C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96E9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10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03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鸿业路意特利智能数控科技有限公司北门对面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C24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F02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21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1BE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泉州路铂尔新能源有限公司东门南侧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EC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57C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3E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99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泉州路中新大道路口公交北站台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9F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F08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86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5E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中新大道滁州大道路口公交南站台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C40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48F9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23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5E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中新大道永臻科技三号门东侧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4F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53F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B0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8C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中新大道寒锐新材料南门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42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3C8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11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0E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湖州路中新大道路口公交东站台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2D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F195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61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75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鸿业路宝辰永宇新材料南门西侧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B6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CA0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67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1C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湖州路新安江路口公交西站台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39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05F2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69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05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湖州路新安江路口公交东站台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74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148B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00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DC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湖州路清流路口公交西站台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51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A55F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AB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ED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柳州路-扬子路交口南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95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F4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CB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22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福州路-中新大道交口北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6A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418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5C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11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福州路-中新大道交口南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51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8C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C6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AB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柳州路中新大道路口公交东站台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AF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C2E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426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B0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柳州路诺瑞特智能科技有限公司东门南侧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34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DEA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B5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76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柳州路长久物流园东二门南侧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F1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4FC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88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C2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扬子路林楼轻轨北站台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E7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927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18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66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徽州路大王郢公交西站台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16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EB5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F4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33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徽州路智哥机器人东门南侧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50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F46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BE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E7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徽州路双城路口公交西站台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D4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DB79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09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83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徽州路苏滁商务中心轻轨西站台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3E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898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FB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B0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徽州路滨河路口公交西站台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DD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CA63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E1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47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徽州路姑塘新村岔路口西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AB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AE7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EE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56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镇江路常州路交口南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04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AB7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F1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91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镇江路常州路交口北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CE8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4772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43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F3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镇江路常州路交口东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13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EF1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EE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FC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镇江路常州路交口西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E2F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E63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89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61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62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426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54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75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苏滁大道-芜湖路交口东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3A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2F7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AA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28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苏滁大道-芜湖路交口南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1F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72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06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64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苏滁大道-芜湖路交口西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41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E12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EF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65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世纪大道-徐州路交口东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C83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6B3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61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68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世纪大道-徐州路交口南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26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F18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B5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DB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世纪大道-徐州路交口西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F6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0E9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59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B9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徐州路-芜湖路交口北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2A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BCE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2E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6D0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徐州路-芜湖路交口东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2D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873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44C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72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徐州路-芜湖路交口西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F9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F5AE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57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FD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常州路-南通路交口北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51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E82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E7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E62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常州路-南通路交口西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64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8F9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F4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3F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常州路-南通路交口南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20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132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3C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5D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常州路-南通路交口东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57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507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AB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C6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徽州路创业路口公交南站台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6C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C426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4B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17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友谊路北京城房时代樾府南门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C4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21E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F7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44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杭州路北京城房时代樾府西门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ED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70D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6E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7B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杭州路北京城房时代樾府47栋一单元楼顶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A1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F50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E2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3F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杭州路时代金街西南角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F5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277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45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27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杭州路时代庄园小区东门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0F2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DCE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AD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90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双城路滁州外国语学校入口东侧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B3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0F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96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12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双城路苏滁实验学校北门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4C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0D8A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12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A4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双城路苏滁实验学校北门对面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88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47E9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1B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F7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杭州路滁州外国语学校东门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00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586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18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98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杭州路滁州外国语学校东门对面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02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C1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DE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E5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双城路苏大天宫科技园南入口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6C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538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C9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98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双城路苏大天宫科技园西南角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7E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DFF4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D3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BF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双城路苏大天宫科技园西入口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6C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8E1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64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23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泉州路弗迪电池有限公司东门南侧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D3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E9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77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BF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泉州路永臻科技二号门北侧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D01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D8B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01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5D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双城路泉州路口公交北站台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BF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AA9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0B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BC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双城路日泰汽车标准件有限公司北门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4C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3B7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16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CC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泉州路苏滁现代工业坊陆号厂区西门南侧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EE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2DA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F4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49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寿昌路日泰汽车标准件有限公司南门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4E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9C8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04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F7A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文忠路蓝讯科技有限公司南门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CD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A20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46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B3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泉州路美好医院产业基地东门南侧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ED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17A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73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08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泉州路美好医院产业基地东门南侧对面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04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7AD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52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81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湖州路天加建材西门北侧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E1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DE93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BD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827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湖州路博云高科新材料股份有限公司西门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80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8B1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F5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0C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文忠路星恒电源宿舍区北门东侧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E4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63A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90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85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湖州路星恒电源厂区西门北侧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0D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5584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B2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A0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福州路三林汽车配件有限公司东北门南侧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A4A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C9B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B6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CC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福州路三林汽车配件有限公司东南门对面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D4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5C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80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B4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双城路强新洁净材料科技有限公司南门西侧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D1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EBD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55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275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福州路奥凯材料股份有限公司东门南侧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D0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E74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99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09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寿昌路永谐科技北门东侧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7C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E3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15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3F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福州路辉煌无纺布科技有限公司门口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9B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162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C0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6C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文忠路先进半导体材料有限公司北门中间</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D1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33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CB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10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福州路惠武精密科技有限公司东门对面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3F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A16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FE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26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福州路先进半导体材料有限公司东门南侧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FF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D69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5AE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5B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福州路天第科技有限公司东门南侧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2B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13B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D8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79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柳州路劳士领工业产品有限公司西门北侧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6A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EC5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72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B8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柳州路赢创医疗东门南侧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99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27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C3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E9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柳州路乐岁新材料有限公司西门北侧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A7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D1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47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31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柳州路乐岁新材料有限公司西门北侧对面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CC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A61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1F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1D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柳州路星恒电源厂区东门南侧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11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ED36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9F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27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柳州路宝思利星展科技有限公司西门北侧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AD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D1F7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5A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6D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柳州路隆鑫模具有限公司东门南侧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3F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FE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71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78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福州路纳百川新能源西门对面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A9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238C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B6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D4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柳州路弗迪钢结构南门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6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C63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3A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03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柳州路弗迪钢结构南门对面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48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D01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6B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5D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中新大道远东苏滁壹号北门东侧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6F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4F0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C3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13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中新大道优护优家健康科技有限公司南门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50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05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74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14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滨河路苏滁乐园南侧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6D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A5F4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00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A9B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长江路智慧交通南门西侧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56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710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03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01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镇江路鸿展智能科技有限公司南门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8F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203E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C6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D1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镇江路鸿展智能科技有限公司南门对面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13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703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BB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30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常州路沃旭施密封技术有限公司西门北侧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CF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097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02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94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常州路沃旭施密封技术有限公司西门对面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9D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DE9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D3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560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苏滁大道-徽商路交口南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741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339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5C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EF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苏滁大道-徽商路交口北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50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06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13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C2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徽商路苏滁大道至常州路中段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385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0AA6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6E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C2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常州路熙华新材料有限公司南岔路口东侧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E7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BC7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30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499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常州路熙华新材料有限公司南岔路口西侧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38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38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BA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6E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溧水路和传物流机械有限公司南门公交站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7D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70D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E0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E7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溧水路爱厨易食品有限公司南门对面公交站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0D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1E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BD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73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铜陵路惠科光电北门西侧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75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09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23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BB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铜陵路东方日升南2门西侧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11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5D1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A8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40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安庆路致为薄膜科技有限公司南门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E4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95B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3C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C4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安庆路天合储能北大门东侧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19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F004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08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BE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安庆路东方日升北2门东侧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FA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F4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D5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B6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安庆路东方日升北1门对面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63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3C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1B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85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安庆路东方日升宿舍区出入口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79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27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331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80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安庆路东方日升南1门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F0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DCD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06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FE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苏滁大道东方日升东门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B5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B93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1C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66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滁州大道-芜湖路交口南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31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94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A7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AF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EB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D5A6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54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E8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滁州大道惠科光电公交东站台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C1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5DB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4C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37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滁州大道惠科光电公交西站台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C1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F7C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85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AC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铜陵路宇阳科技北门东侧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9B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95EC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A9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1F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海宁路恒马电器北门东侧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41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136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E5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731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海宁路摩昆新能源北门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E5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D4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3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F1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湖州路东财机械科技有限公司东门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2A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BA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68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64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68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DD6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6F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70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湖州路-芜湖路交口南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783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DD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61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81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淮安路隆基乐叶光伏南门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AFC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E5C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51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B1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湖州路鸿耀物流园东门北侧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F46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382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E5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CE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湖州路鸿耀物流园东门对面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55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D87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F4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B6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湖州路鸿耀物流园东小门南侧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6D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87B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6F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B8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滁州大道清流路口公交西站台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BC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966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80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97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滁州大道新安江路口公交西站台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A5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5BF6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D3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4B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滁州大道-淮安路交口南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46C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8A6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2A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C94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滁州大道-淮安路交口西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65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FED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756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97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滁州大道-淮安路交口北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73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10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08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E4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滁州大道-南通路交口南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4F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1C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D5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38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滁州大道-南通路交口北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89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692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09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3A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滁州大道-安庆路交口南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AB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B0D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1D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EA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滁州大道-安庆路交口北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F0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AA5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F3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EB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苏滁大道-南通路交口西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AF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A75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1C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7E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苏滁大道-南通路交口东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18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465C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35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B44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苏滁大道-南通路交口南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330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AB1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03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927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苏滁大道-南通路交口北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B5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D46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3F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B9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徽州路林楼小区幼儿园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EB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592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30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52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文德春江悦小区东门（在建）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CF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B6B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5F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8AA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清流路合一科技园南门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19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FCA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293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51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徽州路-清流路交口北大王郢站东站台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10E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AA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1F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03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徽州路-南通路交口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39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DC70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4C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9D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长江路林楼小区北区北门内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F4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838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8B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6C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常州路林楼小区北区东门外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29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0BD68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ED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BD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长江路林楼蓝白领公寓北门前西侧绿化带</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7E5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91B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33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AA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长江路隆基乐叶光伏一期北门西侧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12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2D05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09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53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镇江路中信渤海铝业南门西侧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38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DFB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BD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25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长江路隆基乐叶光伏二期生活区南门西侧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37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81BC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B9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EE8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长江路隆基乐叶光伏二期南1门对面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40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AA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82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08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长江东路田家炳学校南门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1D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729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5F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63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海宁路东方日升宿舍区门口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6F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648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DC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FF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常州路和传物流机械有限公司东门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FC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CB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57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F9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常州路复创国际产业园西门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5E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BC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49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0A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73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0B6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C8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47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常州路-芜湖路交口东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4DF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DEA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7A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D6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常州路-芜湖路交口南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6D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3427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DB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65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常州路-芜湖路交口西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FB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2C0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2B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CF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南通路林楼北区南门幼儿园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D5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04C7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55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68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南通路林楼南区东北角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F6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D4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96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CE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长江路隆基乐叶光伏二期生活区南门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6A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E3CE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3E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1A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湖州路中信渤海铝业东门南侧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69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EDA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59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A8C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徐州路石庙西区东门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2F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DC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56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50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徐州路石庙东区西门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5C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91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B20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52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苏州路国誉锦城东门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72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8BE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EC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130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镇江路康佳电子北门宿舍区入口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FE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5B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1B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20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长江路康佳电子南门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FF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746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28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8A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扬子路-徽州路交口东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FF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8B2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E2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9A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扬子路-徽州路交口南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B2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893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CB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FF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扬子路-徽州路交口西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E5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BCD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335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33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扬子路-徽州路交口北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56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087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02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D6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芜湖路-徽州路交口南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FE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D73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02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CF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芜湖路-徽州路交口东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02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EDC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07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04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芜湖路-徽州路交口北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51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82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42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DD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芜湖路-徽州路交口西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55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EDF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40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E7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清流路-苏州路交口西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5F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22D5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BC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A1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清流路-苏州路交口北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78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6A4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9B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5D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清流路-苏州路交口东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15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736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21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0C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清流路-苏州路交口南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09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57D1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D3F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B4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清流路-杭州路交口西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2C9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62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86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73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清流路-杭州路交口北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D9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88E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CC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3F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清流路-杭州路交口东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78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0D2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E4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A76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清流路-杭州路交口南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56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D62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7A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1AA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立新街时代庄园小区西门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A5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7001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3A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B9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立新街时代庄园小区西门商铺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6A5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030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DF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53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苏州路林溪书院南苑西门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F5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427BF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0C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0C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苏州路林溪书院西大门北侧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52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C4C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85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60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苏州路林溪书院西大门南侧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2BE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CA57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D2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3E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苏州路林溪书院北苑西门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7B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789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65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2A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立新街林溪书院北苑东门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AA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5001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31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B7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立新街林溪书院幼儿园对面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ED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4B79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9E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4BB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中新大道万爱电器科技有限公司南门西侧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8A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3AD0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D6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7E7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九江路旁规划支路商业街北（路东侧）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3B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94AA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3E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A8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九江路规划支路珑樾华府东大门南侧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92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33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0F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1E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九江路规划支路商业街南（路西侧）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78D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CFC8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0B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9A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规划支路云朵幼儿园清流东路园西门北侧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35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84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B9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F4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规划支路珑樾华府东南门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26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233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CBC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1F0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苏州路时代名墅西门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A8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B5B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D4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6E1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立新街时代名墅东门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62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F8F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1C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D5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立新街时代名墅东门南侧尽头</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0E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97D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AA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1E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苏州路菱东家园幼儿园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32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6504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73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71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苏州路东菱城市新地东北角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A1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614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B8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DD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扬子路-苏州路交口北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196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365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C0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20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扬子路-苏州路交口东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CE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1FF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87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49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扬子路-苏州路交口南（路东侧）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96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C3F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E8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32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扬子路-苏州路交口南（路西侧）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B4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7BB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09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0A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扬子路-苏州路交口西（路南侧）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15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C96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69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85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扬子路-苏州路交口西（路北侧）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D5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B68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B0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08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扬子路东菱电器扩产基地二期北门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46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97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B4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DC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经开区大王看守所通道</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88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FDE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87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1B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杭州路扬子路公交西站台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F4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188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F8E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B1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杭州路扬子路公交东站台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8C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0F9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BAA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7C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苏州路锦希幼儿园门口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15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3E0D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AC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69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淮河路名门学府小区南门外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01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527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1C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59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淮河路名门学府小区北门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65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CDB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47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5D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淮河路荣德电子科技有限公司南门西侧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A2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A5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E2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F1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苏州路淮河东路公交西站台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9C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AB62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7F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0F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苏州路淮河东路公交东站台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32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AA2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88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47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世纪大道高仕迈健身用品有限公司北门东侧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3E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BD13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D6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A5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世纪大道卷烟厂南门西侧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E66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5EF5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A8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18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世纪大道博西华公交北站台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9B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72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45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AA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世纪大道远通重工机械有限公司南门西侧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9C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D673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BB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6E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扬子路城东花园幼儿园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A3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8FE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3B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3F3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扬子路城东花园南门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107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0F0B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8EA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D6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扬子路-菱溪路北公交东站台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39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F1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7D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CA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长江路-菱溪路北公交东站台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FB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988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1C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6A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上海路-中新大道北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DB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436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FB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45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上海路-中新大道东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81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7B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70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7E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上海路-中新大道南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9B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37AF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57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C0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上海路-中新大道西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C0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8A2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48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5E7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扬子路-杭州路交口西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7B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DAF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5B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25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扬子路-杭州路交口北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B2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C04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6AE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2F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扬子路-杭州路交口东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66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CD7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701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CF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扬子路-杭州路交口南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FD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2A1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64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A8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芜湖路-苏州路交口东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59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7F29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75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92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芜湖路-苏州路交口南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4B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A39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50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0A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芜湖路-苏州路交口西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D7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B5E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18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BB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芜湖路-苏州路交口北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F7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8E2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74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DF5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铜陵路-苏州路交口北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4E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FC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40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6C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铜陵路-苏州路交口南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36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EBE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90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F5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铜陵路-苏州路交口东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8D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6E4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369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E4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铜陵路-杭州路交口西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99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498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36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A7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铜陵路-杭州路交口南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2C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7B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2F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1A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铜陵路-杭州路交口东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1AE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07E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094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119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马鞍山路-苏州路交口南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DE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5BB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66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B4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马鞍山路-苏州路交口北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E3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AC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52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C9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永阳路立讯新厂区2号3号门中段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E3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E5B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DF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92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琅琊区立讯精密厂区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94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B4C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21D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BB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琅琊区立讯精密宿舍区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D7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D65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2D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38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上海路-永阳路交口东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29E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941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04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FF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上海路-永阳路交口西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52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1639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DB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BB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上海路-永阳路交口南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AE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609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3B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6A4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全椒路紫龙府西门内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C6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4F3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8B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AD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全椒路紫龙府西门外（北侧）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63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F97C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98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16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全椒路美爵酒店北侧（西北角拐弯处）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6F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C677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D7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7F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花山路长江商贸城南门西侧中段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536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2A2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67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BF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花山路长江商贸城南门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18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1E3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85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20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花山路长江商贸城南门东侧中段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61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7C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77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30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彩虹路长江商贸城东门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B6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66B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06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D5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花山路紫龙府云朵幼儿园门口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CE7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83A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DB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58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花山路紫龙府南门内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43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78D3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BA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8E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双拥路长江商贸城东北门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D8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2E0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D2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CD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凤阳路逸夫小学对面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11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1423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CC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B9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凤阳路玉兰公馆西门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27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3EB7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3F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21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名都路沁园春南门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D0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D945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4D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D7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名都路紫龙府北中段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2A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3A1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B88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6C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紫龙路紫龙府东中段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E9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9F5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A4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11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丰乐大道华美达酒店北侧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40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ED6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28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F7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凤阳路紫薇天悦西门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38F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AFF320C">
        <w:tblPrEx>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F5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C4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凤阳路紫薇天悦南门西侧中段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23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9A7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A4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F4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凤阳路龙山农贸市场北门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5B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1A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69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E6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凤阳路十三里店农贸市场北门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62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59E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4C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74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凤阳路康复医院门口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A1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9807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D0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D4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花园路茂业家居南出入口东侧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CF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516F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1C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9C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丰乐大道南营房西南门口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66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9F5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06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D1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蓝天路冰心幼儿园天安园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2D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293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00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0D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蓝天路蓝天菜场东北角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1D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723D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5D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B2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会峰路紫薇路口公交南站台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F8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B1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96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EF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凤阳路云朵幼儿园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8EF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AD5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34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6E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紫薇路紫薇天悦30栋楼顶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6F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F24F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08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8C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金陵路-花亭路西中段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90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AE8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6F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6B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天乐路天乐小区门口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AE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76F1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D3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02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阳明路蓝天幼儿园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B8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50C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72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5F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全椒路富春幼儿园南侧小道</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E3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E273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76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BA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天安巷中段拐角处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91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04B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7A9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D6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花园路浩然国际北门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57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08CD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24F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B9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全椒路-会峰路中信银行西南角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E7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8BB1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00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B6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花山路正华电力厂对面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EAE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F6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56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E4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花园路瞬宇模具北门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12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210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62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EC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全椒路天安西区（中信银行公交站）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B4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2DB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DA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50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花园路玫瑰郡云朵幼儿园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19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D1EE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FD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24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南谯路-花山路口北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3D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23C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57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DF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南谯路-花山路口东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C2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F57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B8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8F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凤阳路-天乐路口北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8F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8C4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1C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D1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凤阳路-天乐路口东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C0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B2C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2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D7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凤阳路-天乐路口南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2F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A6D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70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A5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全椒路-花山路交口南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864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C5D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693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48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会峰路山水人家北门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7C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A9DA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19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D2A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西涧路滁州学院东门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D7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70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C8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EE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会峰路西涧路桥东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B7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FA0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DF0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E7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丰乐大道滁州学院东门对面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FE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D85E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A14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328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丰乐大道滁州学院公交西站台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28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E7E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D1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7B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花山路会峰小学北门对面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1E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D93C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AA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E0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丰乐大道会峰小学东门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42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A3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09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DD4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凤阳路旅游商贸学校对面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06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D997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59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1E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凤阳路旅游商贸学校东门北侧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18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429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41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16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凤阳路旅游商贸学校东门南侧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21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D50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CA1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E2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凤阳路逸夫小学东门南侧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B93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10B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36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E6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草塘路玖玖广场出入口岔路口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C4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5B09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2A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6F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草塘路玖玖广场东南角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85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861D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47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70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龙蟠大道玖玖广场酒店东侧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25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EC6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5D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66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丰乐大道玖玖广场西门北侧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CD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0B22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E1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5C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丰乐大道国际车城A5栋路边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3C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08B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63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2F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丰乐大道山水人家东门北侧中段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51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2D58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A42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C19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丰乐大道君安阳光地中海东门南侧中段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E2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1866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33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82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金陵路科通汽贸西南角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EF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9FEE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7A6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8E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花亭路-紫薇路交口西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F5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E534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3A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FE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花亭路-凤阳路交口东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05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E13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0F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BA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阳明路永琪原木定制东门南侧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CB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389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FC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D2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阳明路-天乐路交口南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6D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2F0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D6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6F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南谯路中西医结合医院西出入口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1D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DD1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344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E4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南谯路安康苑东门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58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2E7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20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E3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南谯路安康苑16栋2单元楼顶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20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E6E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52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75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会峰路天安世纪城北门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00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3D6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AC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AE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会峰路天安世纪城1栋1单元楼顶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DD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367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E1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21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凤阳路玉兰公馆8栋1单元楼顶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FE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5211E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B7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D4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凤阳路玉兰公馆北门西侧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A6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96E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92B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EC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紫薇路-同乐路口南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A1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4A0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8E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AE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紫薇路-同乐路口北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53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98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69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13F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紫薇路-天乐路口南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78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2FC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8C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80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紫薇路-天乐路口北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88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C5E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B6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AB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紫薇路-天乐路口西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EB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B06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DD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74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紫薇路-会峰路口南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42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250A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4C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0C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紫薇路-会峰路口东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9F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1FA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9A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87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紫薇路-会峰路口北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20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44E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F0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36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丰乐大道-琅琊路交口北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17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B7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2A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5E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丰乐大道-琅琊路交口东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D45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38C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DA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62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丰乐大道-琅琊路交口南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A2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3BA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4F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33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丰乐大道-琅琊路交口西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6A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394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BD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A7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乐园巷张如意口腔诊所</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A8C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41F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23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61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西涧路红叶山庄西南角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6A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53D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A4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C56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三里亭路三里亭体育场北门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984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825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46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2C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三里亭路红叶山庄西三岔路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27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9D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B4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16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来安县G36宁洛高速曹庄收费站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16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8EB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DE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04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三里亭路三里花园南门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32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074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1E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18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三里亭路丰麓院南门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58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2D41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CEC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F7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天长路碧桂园名邸南门西侧中段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42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4EEE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E7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49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天长路碧桂园名邸南门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21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CD31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70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29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天长路N99 KTV门口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E7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A38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9C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C2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南谯路苏宁广场东南角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A6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654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F9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73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南谯路苏宁广场公寓楼东侧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7D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4B83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D7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0A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南谯路苏宁广场南侧中段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90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BFDB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30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E5C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明光路龙池花园公交首末站对面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B7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3DA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D6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5A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明光路滨湖小区南门对面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12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6AB7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FD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90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丰乐大道支路-明光路交口北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43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A11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01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A6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明光路高巷中段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CE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252B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C7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A7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南谯路白云商厦大门南侧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74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F7E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5C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5C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南谯路白云超市入口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C7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924E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AB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FA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定远路明光桥头北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38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F43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27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F5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明光路-定远路北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E3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EA5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8B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CE4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明光路非晚公寓楼入口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2AD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02D4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3E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56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明光路香江家居生活馆对面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1E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A213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D9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4D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丰乐大道-鼓楼路南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53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789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A8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54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丰乐大道育新路交口东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53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5DC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34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6D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古马路-忠佑巷交口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01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A5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95B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A7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丰乐大道解放小学对面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D5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B6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A0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1D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丰乐大道宋城街西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86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A86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81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39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丰乐大道-天长路交口北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A5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182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39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88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丰乐大道-天长路交口东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0D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F1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9D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A6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丰乐大道-天长路交口南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F8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2D2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B1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3C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丰乐大道-天长路交口西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3A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C719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55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73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丰乐大道三里亭人家东门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55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1E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76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6B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丰乐大道丰润园东门外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93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AA9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8C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CC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丰乐大道丰润园南门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E7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DF50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1B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01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西涧路西涧二村小区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BE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7EE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727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76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西涧路滨湖游泳场北侧岔路口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BE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7238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96C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8B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南谯路水井巷交口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B7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AF02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AC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BB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北湖路西苑小区北出入口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6A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515D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97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F0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南谯路北湖菜场门口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C0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934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05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711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明光路二中对面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B4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9517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6D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91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铁路巷与南谯路交口北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F1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173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F1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A9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南湖路南湖山庄北门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A7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D817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DB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40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南谯路南湖路交口南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44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119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F5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D7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南谯路南湖路交口北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96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C492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A3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F8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南湖路二中后门东北侧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E8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87F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D7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F7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育新路乐浴足浴东侧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1A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0D1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32B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67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环城路1912南出入口对面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36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EF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AF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A8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育新路寓新苑北门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8E5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4D7B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CE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4C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鼓楼路三中门口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10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9946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96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44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鼓楼路鼓楼医院东门南侧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28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22A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EA8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11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古马路机关西苑小区北门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B3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8B7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A74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CE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古马路古胜小区北门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80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751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9C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2C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古马路鼓楼花园南门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10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C6B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B6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E4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丰乐大道-南湖路交口南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FD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BD14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96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38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南小街路城南小学门口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DA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5C2B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2E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7B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丰乐大道丰山幼儿园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06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C474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4F7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33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三里亭路琅琊路小学对面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0F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A85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2E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6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西涧路实验中学东门北侧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CF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E4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90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03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西涧路实验中学东门南侧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F8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A28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14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25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西涧路-三里亭路交口南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5F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C8C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A4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56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西涧路-琅琊路交口南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743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199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79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F6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西涧路-琅琊路交口东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A6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01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A7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6F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明光路-紫薇路东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68D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667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49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79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西涧路太仆寺南侧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F1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749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B8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E5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明光路二中宿舍南门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CB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182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93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62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丰乐大道嘉宇万豪名苑2栋楼顶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E3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C7DD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70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A7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明光路环滁中心5栋楼顶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40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24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26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CC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清流路-西涧路交口南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12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AA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D6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81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清流路-西涧路交口北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A2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41D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8B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8E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清流路-西涧路交口东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C5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DD0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75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2D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西涧路-凤凰路交口南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B8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308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12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07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西涧路-凤凰路交口北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D4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995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60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A2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西涧路-凤凰路交口东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42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53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A8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19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凤凰路天林小区北门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89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BD7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04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C6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凤凰路凤凰湖畔西南门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5E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BC7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93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B1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丰乐大道路口-凤凰路交口西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D6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475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2E9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9F8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丰乐大道路口-凤凰路交口北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03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8C6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97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0E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丰乐大道路口-凤凰路交口南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D8A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52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6D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B52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凤凰路紫薇西村北门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D5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D6F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20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1C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凤凰路深呼吸巷紫薇公寓旁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D4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42B5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42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17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紫薇人家西门老八私房菜旁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36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31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15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5E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中都大道-凤凰路交口南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2C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AF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DE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9C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中都大道-凤凰路交口西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AC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162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1C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9A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中都大道-凤凰路交口东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24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63F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12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32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中都大道-凤凰路交口北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0E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57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AE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F8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凤凰路聚香巷内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E2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ED5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E9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95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凤凰路紫薇美食城</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C4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B69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D2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8C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南谯路-琅琊路口西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522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3E7E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A6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FC7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南谯路-琅琊路口北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66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22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B9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FB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南谯路-琅琊路口东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AC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5405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74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BC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南谯路-琅琊路口南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CF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CD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2F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7B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中都大道-琅琊路交口南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FB0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C1E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BE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88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中都大道-琅琊路交口西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094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F82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15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3C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中都大道-琅琊路交口东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A7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9B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51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75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琅琊路乐彩城东北角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FE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970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362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88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琅琊路乐彩城公寓北门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12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15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85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8D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琅琊路乐彩城公寓东门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9F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AA38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09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AE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卫校巷明悦园西门南侧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73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7485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3E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71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卫校巷市直机关宿舍内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F3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B09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BD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A2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卫校巷市直机关宿舍内南围墙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3B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404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6AB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AB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卫校巷市直机关宿舍内北围墙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1F8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8AF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B2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D4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中都大道凤凰菜场北侧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A3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F56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59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48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中都大道凤凰菜场南侧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6D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3CA4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93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A7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农科巷第五小学南门东侧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0D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75C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32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B3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琅琊路建设大厦西南角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B5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AD60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8C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C0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琅琊路铜矿转盘</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00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6EBC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AAD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A4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琅琊路琅管委停车场入口对面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B9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B3F6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32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B6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琅琊路琅琊山北门入口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A6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6AB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FD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499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97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矿业路实验中学门口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2A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302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626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B8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矿业路实验中学对面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34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2E3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C0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7E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南谯路-天长路口西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17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964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00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63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南谯路-天长路口南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83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8A7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DB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24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南谯路-天长路口北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AD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9A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C1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E2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南谯路明珠国际大厦对面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FE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2F9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7C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19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南谯路百城大厦入口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8B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B4B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B5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F9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野芳路三盛颐景御园南门小区内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41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FDF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1F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F4D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西涧路铜欣花园东门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C2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EB8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B7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FC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丰乐山庄路蓝溪都市家园门口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23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A2A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76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B8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西涧路铜欣雅居西门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ED7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526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BC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5E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丰乐山庄路津乐园北门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96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B107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FE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AE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丰乐山庄路润芳园西门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1F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3B8D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82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9C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丰乐大道大润发超市南侧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C3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A165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6D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D6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丰乐大道蓝溪都市家园东门过路人行道东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71D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B52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F4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A7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凤凰菜场路竹锦佳园东门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85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2CD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CC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5E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观景路余家洼村组岔路口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60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B39D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0A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27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观景路公墓岔路口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F7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1C3C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2D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E6D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观景路琅琊山小东门外中段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32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056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80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6A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彩虹路公墓入口旁道闸东侧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1B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BF8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22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29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西涧路铜欣花园东门对面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03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60E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92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35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西涧路金鹏天著西门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D9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48F9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3F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8F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西涧路-天长路交口东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F6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495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F5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E8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农科巷丰乐新村北门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AB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BE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F0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DB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中都大道五中东门口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11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60C3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5E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35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中都大道紫薇小学东门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4F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20F1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2E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A7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新光巷清流小学门口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8E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803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304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30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西涧路凤凰洼水库东北入口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8D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2D6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AE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DD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丰乐大道新华保险出入口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03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254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AC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95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丰乐大道飞龙四村西门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AD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09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36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42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丰乐大道王桥二巷西入口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7A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B67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43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A3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琅琊路金鹏天著北门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3D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2AFC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2F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24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农科巷农科院宿舍南门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CF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7E0A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A8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D0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琅琊路泰鑫现代城西区2栋1单元楼顶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7D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D7D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C2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3D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琅琊区天长路人才公寓北门（在建）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F1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5F3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44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9D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紫薇满堂里北区北门（在建）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93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354D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39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76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紫薇满堂里北区东门（在建）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A6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776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A9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63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紫薇满堂里南区北门（在建）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94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88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50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4A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紫薇满堂里南区西门（在建）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1B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41C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73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BD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遵阳街洋桥洞口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985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37A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AE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45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将军山路-南谯路东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88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879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90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19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西涧路西涧花园门口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58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9E0D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CA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F64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西涧路西涧花园对面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1E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AB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7D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87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世纪大道西涧新村西路口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67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F9C0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93D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CC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世纪大道城北公交首末站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E3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58E8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58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A7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东大街超越汽配门口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19F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64A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8E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B0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文德街下水关三岔路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9B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11FE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6F7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FC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遵阳街C3栋</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AB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C05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84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98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西大街清流街入口对面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A7A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DC7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778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BE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西后街-清流街交口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93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128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BE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04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丰乐大道-西大街西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2A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2A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F3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27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丰乐大道三中东北门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2A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1D7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96E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53F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丰乐大道西涧桥头南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93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F9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D7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5B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南谯路-育新路口北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CE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79D0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AF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56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南谯路-育新路口南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06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50C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CE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A6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为民路裕安园北门东侧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4D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7E2F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A6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19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大成路辛育幼儿园西侧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A5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C2E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5C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BE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育新路解放幼儿园门口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7E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D52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8C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126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龙庭路石马村董元组公交站旁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9A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57EF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4F9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D4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西涧路平安医院北侧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FB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8941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42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B64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环翠路西涧印象小区南门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8D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FC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6F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DA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柏子璐西涧幼儿园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1D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CC5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92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C8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丰岭路西涧印象小区北门东侧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9C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89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AC3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6D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滁定路太平村公交东站台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CB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3FA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80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37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滁定路太平村公交西站台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3E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5228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59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97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328国道张学友文具城南侧岔路口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8E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FA7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36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BD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328国道沙河岔路口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AF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6F40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B4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B9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328国道金牛牧业路口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F3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9E90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524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E5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328国道胡桥村岔路口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8D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EAED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85D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44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328国道山林村公交西站台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BD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753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AD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C4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328国道山林村公交东站台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58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912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F5C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F4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328国道清流关村岔路口东侧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71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990B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66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78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328国道清流关村岔路口西侧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F3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698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E7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4D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328国道-039乡道交口南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6F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B55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72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9F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328国道-039乡道交口北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32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179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99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84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南谯路-紫薇路口北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32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DA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27A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43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南谯路-紫薇路口西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A7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1B8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1D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BE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紫薇路北湖欢乐颂游乐园对面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EE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B85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9E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A1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紫薇路紫薇路大桥非机动车下穿入口对面拐弯处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F3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A1E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8E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68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紫薇路紫薇路大桥非机动车下穿出口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82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E1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A8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02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紫薇路-东大街交口西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4A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56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D7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A6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紫薇路-东大街交口南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05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0CA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06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4F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鼓楼路一院北区东门（挂号处）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A0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F6D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D8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B8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西涧路-西大街交口东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F8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4905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62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B8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西涧路西大街桥北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04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8E8F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2E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B6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西涧路-北湖公园绿道东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27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85D2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2D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F4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南谯路-北湖公园绿道西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24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D9DE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45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F9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西涧北路加油站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3C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E55D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39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E5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西涧路城西水库北入口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C2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8B7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92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C1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古马路城西水库边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96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653B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473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22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紫薇路祥源湾公交东站台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547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0481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A6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4C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紫薇路祥源湾公交西站台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5C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4D3F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7F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25D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紫薇路沫沫花坊旁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DB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7F4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1F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1B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紫薇路-东大街交口东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C8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009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5D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9A6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紫薇路-东大街交口北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50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10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5E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61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紫薇路遵阳街公交西站台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FA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178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A2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99C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紫薇路亚特兰蒂斯酒吧旁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9C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3D1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2F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0A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紫薇路祥源湾西苑南门对面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CB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7B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FC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55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紫薇路清流河下穿人行道南侧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10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6F12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B8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24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紫薇路清流河下穿人行道北侧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B2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9FA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F7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599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EF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涧北公园北侧安置点北门（在建）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EF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FC23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DC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1B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观湖雅居北门（在建）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F7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4C06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60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7FD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滁州西收费站出口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B4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404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BD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20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104国道西田营公交东站台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F9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B0E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CB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36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105国道西田营公交西站台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D9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DCF905">
        <w:tblPrEx>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AB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4D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104国道垃圾发电厂岔路口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FA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ED4B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200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0E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104国道新集村岔路口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49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995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A8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C4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振兴路三官镇政府北侧对面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06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941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5D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90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振兴路三官街道公交西站台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2D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D8A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C5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F2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振兴路三官街道公交东站台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21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74B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43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7F7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振兴路蒋庙村岔路口南侧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B5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64D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7D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4D3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振兴路-104国道交口东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D0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12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29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D1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永阳路来安方向出城卡口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3B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55BA8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BA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96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永阳路来安方向进城卡口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86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6C73C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D9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1C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菱溪路-104国道岔路口加油站旁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BD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B4E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08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48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菱溪路台一精密机械有限公司西门北侧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66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ED2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87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53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菱溪路银花尚城东门南侧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270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9DA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DC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77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创业路新五孔桥西侧岔路口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EB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01A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055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E0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扬子路五孔桥西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3F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C64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F2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FE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李湾河路清琅大桥辅桥西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18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814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9B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2E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将军山路清琅大桥中段南侧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60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41F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30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7D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将军山路清琅大桥中段北侧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6C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F76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D3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BB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金山路琅琊玖玖广场1号门入口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14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732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B0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A3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金山路琅琊玖玖广场酒店西入口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95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55E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8B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CF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关山二路金鹏北城玖玖广场小区北门东侧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244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E4E8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7C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74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关山二路金鹏山河雅居南门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21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0EFA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97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8A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扬子路西方寺医院门口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7F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818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D8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71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银山路翡翠湾西门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0F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24C7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85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4B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银山路汉庭酒店西侧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CB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90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1C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5A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银山路绿城御府东门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8B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3196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CC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BD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银山路翰林雅院西门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C66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9B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19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FF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银山路翰林雅院西北角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E8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0270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1B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F0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银山路鸿坤理想城东区西门南侧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0C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EEDA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917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F2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银山路鸿坤理想城西区东门北侧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69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66C6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62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80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银山路盛苑景城西北角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51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D85C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D3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CB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银山路盛苑景城商业街南侧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E7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BA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73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CC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银山路盛苑景城西侧中段商业街入口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78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6C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64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79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银山路易景凯旋城西南角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33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1C1A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C5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1B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银山路珠江和院西门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52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B95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38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2A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银山路天航护理西门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BD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87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B6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38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银山路-安郢路交口北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E6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81C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4D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55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银山路-安郢路交口南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B0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4CB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B6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AA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银山路-铜陵路交口北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CE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B56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96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44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银山路-铜陵路交口东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9B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E9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23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397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银山路-铜陵路交口南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84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7B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F2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75F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银山路-铜陵路交口西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E0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E84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B8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5A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六安路中润新能源对面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649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6E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D1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46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金山路-铜陵路交口北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9B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62D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81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7D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金山路-铜陵路交口西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79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1A8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F6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B0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金山路-铜陵路交口东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29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310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7F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46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金山路-铜陵路交口南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F9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42C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AA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F6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钟山路雷桥别院西门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A9E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7B2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87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64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安郢路元气森林南门对面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1F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534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17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7F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雷桥路元气森林东门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89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51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AD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63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雷桥路雷桥别院东门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E3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6F67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48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1C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雷桥路雷桥别院幼儿园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661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56B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5A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90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钟山路聚诚凤悦府西北门外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F9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3FD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05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F1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钟山路聚诚凤悦府西南门内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F4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E2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5D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00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钟山路山河里小区东门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9E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DBB4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F2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32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襄河路山河里小区南门东侧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34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AD84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203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F3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襄河路金鹏天誉尚和府北门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B3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FFA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52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B6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中新大道和悦郡南门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9F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9E3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21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64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南京路和悦郡西门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C5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561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17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1A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南京路玲珑湾东院东门出口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5D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D7D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3F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97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南京路玲珑湾东院东门入口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D4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111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FB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A8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林子路菱溪花园南区南门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9E6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512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07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BA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林子路玲珑湾东院北门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95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2C16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90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4A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林子路公园雅筑幼儿园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FA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1D8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D5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44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林子路公园雅筑南门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F2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AAB1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74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14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创新路菱溪花园南区西侧中段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EE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03A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34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70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新安江路菱溪花园南区北门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EE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86B2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3F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27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新安江路菱溪花园南区北门西侧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B7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CEE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A4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F0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南京路-新安江路交口东路北侧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91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58E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E2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FD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南京路-新安江路交口东路南侧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43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F81C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95E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BE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南京路-新安江路交口西路南侧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4C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4CF2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BF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D4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南京路-新安江路交口南路东侧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E9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B94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7A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2B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南京路-新安江路交口南路西侧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EC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1C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D4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7E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南京路-新安江路交口北路西侧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1B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B3DA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4B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F6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南京路苏滁缘大酒店北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BD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DBA5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A1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D0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南京路清流中苑农贸市场东门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09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629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C0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B6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南京路清流人家西门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7A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C129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01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AB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清流路清流人家北门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A9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A715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94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C16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上海路清流路口公交西站台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76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932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93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50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上海路坤大公司公交西站台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06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4AB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04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24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黄山路玲珑湾西门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97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3E1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8D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CE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黄山路玲珑湾西门商铺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81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9B0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77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BB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黄山路碧桂园公园雅筑西门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58A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1EE5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56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10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黄山路碧桂园公园雅筑西门商铺北中段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4B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4AE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3B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946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黄山路碧桂园公园雅筑西门商铺南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DE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D65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2F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88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黄山路-中学路交口南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1E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74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96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18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黄山路-中学路交口西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8F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4DD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83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5A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黄山路-中学路交口北路西侧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A4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D6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20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60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黄山路-中学路交口北路东侧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6E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A5B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37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B3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黄山路-中学路交口东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2D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0C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3C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7A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中学路和顺国樾府北门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CD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D7A6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9F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E5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中学路新悦府南门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36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A5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E9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3A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创新路和顺国樾府东北角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25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ACDB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26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AC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创新路和顺国樾府东门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AC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CCC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62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AD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中学路金鼎府北门西侧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10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8D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9C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04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中学路翡翠庄园幼儿园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BA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914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59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699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42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中学路翡翠庄园南门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CC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1A3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6C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64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中学路翡翠庄园南门西侧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E3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1CC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F1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CA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创新路翡翠庄园西门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25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B8D5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84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BD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创新路翡翠庄园西门南侧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4C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7C8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C1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60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清流路二院西区南门西侧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7B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2E7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C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7D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碧云路云朵幼儿园门口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9C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FC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49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D3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碧云路大唐菱湖御庭南苑北侧商铺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0F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105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1D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6A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碧云路大唐菱湖御庭北苑南门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C4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601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02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FE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碧云路大唐菱湖御庭南苑北门西侧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F0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4F0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C3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CD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碧云路琅琊实验学校南门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EB5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755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4F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BA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碧云路奥园誉府清溪里北门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326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47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3D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20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碧云路奥园誉府清溪里北侧中段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F1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7D5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FE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9F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金叶路奥园誉府清溪里西门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3E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6FD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0C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4F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金叶路奥园誉府清溪里西北角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45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BA10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5E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FD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金叶路金域豪庭东侧中段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CA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27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3D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AC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金叶路琅琊实验学校西门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5A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2E0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98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18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九江路-金叶路交口西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39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749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5F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F1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九江路-金叶路交口东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70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907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F6A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9C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菱溪路清流水韵花园西门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BD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774F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9B2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FA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菱溪路园丁阁酒店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C3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B97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AB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2A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清流路清流水韵花园北门东侧商铺中段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A9A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7E7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C8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4C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清流路-金叶路交口西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C3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200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1A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E8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清流路-金叶路交口东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23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7A3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58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BA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清流路滁州艺校北门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08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002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AA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DC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安庆路-永阳路交口西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0C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CBE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C5D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EF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安庆路-永阳路交口东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DD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D70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99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7E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皇甫山路-襄河路交口西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4E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7B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D7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69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皇甫山路-襄河路交口北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03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7FC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B8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2A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皇甫山路-襄河路交口东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F1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42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E5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51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皇甫山路-襄河路交口南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50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6E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9E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2A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南京路-芜湖路交口南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E4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09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9E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69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南京路-芜湖路交口西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63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E241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5A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5B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867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5C0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52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74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南京路-芜湖路交口东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D0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3E8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68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DE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南京路-安庆路交口南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69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45A8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29A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1C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南京路-安庆路交口西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38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E1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41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9A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南京路-安庆路交口北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01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677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79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57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南京路-安庆路交口东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CC6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D10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4BE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4E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南京路-六安路交口南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5D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B68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41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1D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南京路-六安路交口东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C0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520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61B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3A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南京路-六安路交口西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DC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2EB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A4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2A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安庆路-蚌埠路交口西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76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D0C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7B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65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安庆路-蚌埠路交口东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189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D5A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23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7E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铜陵路-何郢路交口东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7D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293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AE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7B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铜陵路-何郢路交口北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6C3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F8B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C6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76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铜陵路-何郢路交口西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6F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D15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B3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B7E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世纪大道-九华山路交口北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05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A56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D1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21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世纪大道-九华山路交口西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36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EC0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42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9DB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世纪大道-银山路交口东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E3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EE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A0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62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世纪大道-银山路交口北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C65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3B7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B6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6D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世纪大道-银山路交口西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22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447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0F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25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扬滨路国兴翡翠公馆1栋1单元楼顶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3C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5CD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5B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6C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清流路-菱溪路交口西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B5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A51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3C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ABE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清流路-菱溪路交口东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A53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073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7B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46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金叶路-清流路交口北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2E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B3C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F3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B6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金叶路-清流路交口西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57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CDF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B4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528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金叶路-清流路交口南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5D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B9E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5B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1E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金叶路-清流路交口东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7A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0F1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D3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02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扬滨路国兴翡翠公馆东门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D9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D75B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43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3D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扬滨路国兴翡翠公馆东门对面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E5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8B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D05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33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关山二路滁州市第三幼儿园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82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C45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67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65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关山二路融创御园东门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8F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FA0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F4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06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关山二路融创御园东侧商铺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BD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4A2D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B1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68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关山二路金鹏山河雅居东门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24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1C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4F1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94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关山二路-淮河路交口南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75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E5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1C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EB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关山路金鹏山河筑东门南侧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81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F0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C7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FED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扬子路二里公交北站台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CC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B35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0E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C3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营房路-长江路交口北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D0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7B9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D8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6A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营房路-长江路交口东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4A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D3F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60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31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营房路-长江路交口西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7C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47D8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03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18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营房路营房新苑西门南侧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DD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F9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14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D9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营房路营房新苑西门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89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CDC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D2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1C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营房路-淮河路交口南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F7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60D8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AC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CE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淮河路营房新苑北门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78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7B4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B2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6E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淮河路琅琊区扬子医院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FB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39C2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AD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7F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长江路扬子花园南门东侧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53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8817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EA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AF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长江路金鹏山河筑小区北门商铺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F8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AA4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E2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C9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长江路金鹏山河筑小区北门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4B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39D2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30E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22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长江路-关山二路交口东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37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25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F7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1B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长江路-金山路交口西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CC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D54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62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9E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长江路翡翠湾南门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12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5B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CA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92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长江路-银山路交口东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6A9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D5F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AF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9C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百道河路银山路小学对面商铺东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21B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3B8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EE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9A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百道河路银山路小学对面商铺西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86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009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98B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74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广场东路-濠河路交口北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0B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28F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4E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34F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广场东路-濠河路交口南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51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DEF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1E1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9E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广场东路鸿坤理想城二期西门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FC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0315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6D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27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广场东路鸿坤理想城二期西门北侧中段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42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876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D1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4B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广场东路鸿坤理想城二期西门对面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9C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4B7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42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56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广场东路琅琊农贸市场西出入口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09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07D6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64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DB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广场东路东方邻里购物中心西北角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38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D8FE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54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02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广场东路琅琊农贸市场北出入口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78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8F9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3A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15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滁河路世纪申城小区南门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9A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D36E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54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289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滁河路珠江和院南侧中段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B3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644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A9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DEE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将军山路-襄河路交口北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4C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C39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AB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9A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将军山路-襄河路交口南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31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410D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DB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DA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将军山路-滁河路交口北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05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499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9F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97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将军山-滁河路交口南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51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7E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90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BF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滁河路滨河印象南门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0A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FE11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177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64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滁河路滨河印象南门商铺中段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CE7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8B0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71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799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81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凤凰山路滨河印象西门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55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D6A9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3A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12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将军山路-沛河路交口西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88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552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9D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B3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皇甫山路-李湾河路交口北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FA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3C77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00B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306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皇甫山路如意人家西门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93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B5D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A4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44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皇甫山路宝山幼儿园北侧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00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D0A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44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97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皇甫山路金鹏山河印西门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A7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61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FE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D7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襄河路金鹏山河印北门西侧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E5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C65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1E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5E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襄河路世纪花园南门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AE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CD14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7B1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A3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滁河路金鹏山河镜南门东侧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40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1F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37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82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滁河路格林豪泰酒店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84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6EC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D4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BC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滁河路成兴花园西南门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C1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6A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08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F5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滁河路成兴花园东南门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4E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ED5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F7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8F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襄河路宝山学校小学部西门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3F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C2B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0C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63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广场东路四中旁公交西站台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01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C98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19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7B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广场东路四中旁公交东站台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37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6B6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26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3A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来河路金鹏山河赋3栋楼顶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86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33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1B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A7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来河路金鹏山河赋北门东侧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9D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5D8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74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DD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襄河路盛苑景城北门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529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32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DA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84C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襄河路易景凯旋城南门对面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B3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76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F8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D4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钟山路金鹏天誉尚和府东门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94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9A7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EB0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DE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池河路理想城幼儿园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A7C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8A21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18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E8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池河路鸿坤理想城南商铺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FE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5170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D89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63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池河路珠江翰林雅院北门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2FD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6053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89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F8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池河路珠江翰林雅院北门西侧商铺中段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6F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74D5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D0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60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池河路东升邻里小区南门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4A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594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43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C6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钟山路益林名府东门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D5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228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A9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F4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钟山路景臣一品东门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AF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08D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16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27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金山路-钟山路交口南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E7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4A1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ED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3D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金山路-钟山路交口东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98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AAD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D5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75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金山路-钟山路交口北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A6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9622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6B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4F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沿河路明光桥下东侧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63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9C7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2C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46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扬子路-南京路交口东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FBB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614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26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21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扬子路-南京路交口西（路南侧）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3E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07B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41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43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扬子路-南京路交口西（路北侧）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6C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010F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9B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84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扬子路-黄山路交口北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69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79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4B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61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扬子路扬子菜场东出入口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47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9ED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C7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33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扬子路扬子菜场南出入口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DF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12F2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8C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8F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扬子路扬子菜场西侧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D5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CB57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39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79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淮河路-何郢路路口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2C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A1EB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89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D60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菱溪路新锐小学公交东站台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E0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F10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6A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39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藕塘路-何郢路交口东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E5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DCA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55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E9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藕塘路-何郢路交口南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2E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2BF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1E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4F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藕塘路-何郢路交口西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6F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7636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41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CF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藕塘路-何郢路交口北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BA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FA3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63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747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菱溪路-藕塘路交口北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479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5816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F5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73E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菱溪路银花尚城公交东站台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05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98A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8A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132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黄山路世纪大道路口公交东站台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F4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50A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E61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93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黄山路世纪大道路口公交西站台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C8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B55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952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E1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世纪大道金燕小区哈佛之星幼儿园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9D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937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D1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26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芜湖路-永阳路交口东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9F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35E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41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B7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104国道万家农业科技有限公司西门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A1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98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08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EB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安庆路汇友机动车检测有限公司北门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5C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B4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E0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A0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安庆路代洼基督教堂岔路口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1C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487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5A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6D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新安江路-菱溪路交口北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AF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1C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78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4F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新安江路-菱溪路交口东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A5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A3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5E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14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新安江路-金叶路交口西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A4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2A8F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EE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E2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新安江路-金叶路交口东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62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DDE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69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E0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扬子路-关山二路交口北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3C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539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82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5F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扬子路-关山二路交口东路北侧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1F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EA8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0D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5B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扬子路-关山二路交口东路南侧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01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043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21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95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扬子路-关山二路交口南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8B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579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E1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04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扬子路-关山二路交口西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E3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33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81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1A2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扬子路体育职业学校门口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639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740E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28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43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银山路银山小学对面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A7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75D3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F9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AF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濠河路琅琊区法院公交北站台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33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02BAB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10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99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濠河路银山路小学北侧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B7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E57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61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2A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百道河路琅琊天下别墅区南门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6C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255A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25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40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广场东路-滁河支路交口南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58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346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78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F6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广场东路-滁河路交口东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6A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FE2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32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A3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广场东路-滁河路交口西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A5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7235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E0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60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滁河路滁阳体育场北门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07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F33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768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04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襄河路四中北门东侧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E4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F42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A0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7F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襄河路宝山小学南门西侧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DF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6D29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6E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7B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皇甫山路-滁河路交口南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4E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07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FC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EA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皇甫山路-滁河路交口东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AF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4D16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C9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7B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皇甫山路-滁河路交口西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F1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0C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6E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74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皇甫山路-来河路交口北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F3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1C7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D8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F3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皇甫山路-来河路交口南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97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9E9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DD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F03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皇甫山路-规划一路交口西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F8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DC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D5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9D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皇甫山路-规划一路交口北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8C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0D8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A1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32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皇甫山路-池河路交口南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D7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4E6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77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5E3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皇甫山路-池河路交口北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94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F1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F4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5E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皇甫山路-濠河路交口南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3C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BB9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9C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6D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皇甫山路-濠河路交口北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58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29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8F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3DB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宝山路-李湾河路交口东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48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80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D3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D5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宝山路-李湾河路交口西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7A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FDD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ED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C2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安郢路优家酒店入口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E9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178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51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A6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安郢路国际农产品物流园南门对面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48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E2F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0D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D7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淮北路中润新能源西北门（东侧）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13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B9A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32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3A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宝山路国际农贸品物流园西门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B8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CB54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32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4E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菱溪路菱溪苑小区东门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39F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D17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65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025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菱溪路银花尚城商业街入口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97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2E4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30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35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沿河路国兴翡翠公馆南门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5A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033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13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CD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广场西路-濠河路交口南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9E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F665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A68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6E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宝山路-池河路交口东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9D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D1FB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E3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B2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宝山路-池河路交口西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88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0AC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08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AE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金山路-池河路交口东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B5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E11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91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40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金山路-池河路交口西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8F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B77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5D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40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金山路-襄河路交口东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F8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29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3D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7C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金山路-襄河路交口西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D2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ECF931">
        <w:tblPrEx>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FE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899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E8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钟山路-襄河路交口西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50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997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63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78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铜陵路-永阳路交口东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F0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280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51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85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铜陵路-永阳路交口西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C9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4088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6B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A9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菱溪路滁东三岔路公交西站台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75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6440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74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49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菱溪路新锐学校公交西站台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1CA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922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80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4B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金叶路中丞清流原著东门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B2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41F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1A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BD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南京路恒天科技公交东站台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F8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135F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4D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92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金叶路中丞清流原著幼儿园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42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60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97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99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铜陵路-永阳路交口南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C6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8AA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032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4F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铜陵路-永阳路交口北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22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69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F1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23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宝山路金鹏山河镜6栋1单元楼顶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75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52BD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0A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A0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世纪大道国际农产品物流园南门西侧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44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3</w:t>
            </w:r>
          </w:p>
        </w:tc>
      </w:tr>
      <w:tr w14:paraId="08E26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B1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13B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世纪大道-宝山路交口东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D7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0D2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3E9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D7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滁河路珠江和院5栋2单元楼顶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95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6AA2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AF6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20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菱溪路滁东三岔路公交东站台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ED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00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C9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F5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安庆路-永阳路交口南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29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B7B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94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1F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安庆路-永阳路交口北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A8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F62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53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A1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六安路-永阳路交口南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E0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DB2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6F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62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六安路-永阳路交口东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983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98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617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74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六安路-永阳路交口北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0C1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BCD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7D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6A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永阳路高郢村岔路口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10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C39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4C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8A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永阳路公墓入口北侧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56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68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66F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36F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上海路-安庆路交口西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2C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202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4F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B9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上海路-芜湖路交口西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FA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C92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7F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E2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上海路-安庆路交口南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6D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3F2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F0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02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南京路爱乐甜食品有限公司东门南侧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67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E88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18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45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广场西路-濠河路交口北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1E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4C90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E6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BB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关山二路金鹏山河筑18栋1单元楼顶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F9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C2C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A3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0E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关山二路金鹏山河雅居4栋楼顶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A7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5FB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FE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CF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九江路大唐菱湖御庭北苑1栋楼顶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F3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6E0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4D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68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九江路大唐菱湖御庭北苑北门小区内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2D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5DB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80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84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清流路皖新翡翠庄园5栋楼顶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48F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21F5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43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87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黄山路南扬郡西门小区内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62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CFCD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16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58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上海路藕塘路公交东站台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A4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971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F5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80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上海路-芜湖路交口东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E9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3B5B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0F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AF2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上海路-芜湖路交口北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8C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738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72D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8C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上海路-安庆路交口北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A4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81B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0B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10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上海路-六安路交口北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1C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9F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CA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3B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黄山路南扬郡东门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E4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D7C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5F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EEA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永阳路人才公寓西门（在建）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A4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175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EB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4B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永阳路人才公寓北门（在建）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D5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402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1F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15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北京城房时代印小区南门（在建）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C7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E3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89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10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北京城房时代印小区北门（在建）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8F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3345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E2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37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琅琊总部中心西人行1号门（在建）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2F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D80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21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48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琅琊总部中心西人行2号门（在建）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B3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752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05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49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琅琊总部中心北门（在建）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21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F75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04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1C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邦泰公园壹号院小区北门（在建）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5D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A6A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18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F1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邦泰公园壹号院小区南门（在建）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39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476E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9A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84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新悦花园南门（在建）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D5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242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CA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3A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滁州东收费站前广场出口侧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E9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1E2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31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06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清流路桥创业路下桥口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11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E216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01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8F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老清流桥西桥头</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51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DBB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11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CB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清流路-来安路交口东路北侧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AB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9CF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FD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E9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清流路卷烟厂南门西侧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1C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9D7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A9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39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凤凰路海龙水世界</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43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6EB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23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F2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定远路-凤凰路口西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2A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C1B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A8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03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定远路-凤凰路口北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21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4CD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92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CD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定远路-凤凰路口东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3C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883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EF7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9F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定远路-凤凰路口南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AB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7A0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1BA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36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凤凰路国家电网门口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54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73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F3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D8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紫薇路-凤凰路口南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862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26EC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E61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AE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紫薇路-凤凰路口东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FC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9DA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69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92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紫薇路-凤凰路口北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9F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CD97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4C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DD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来安路事故中对对面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5B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B8D9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EE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43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来安路琅琊商务酒店旁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69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D313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D0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94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来安路滁州北站候车室入口南侧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70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92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E7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C8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来安路滁州北站进站口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ED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F58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029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36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来安路滁州北站出站口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29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310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91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5B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来安路滁州北站出站口外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3F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462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32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C5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来安路滁州北站公交充值点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B5E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EE53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3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8A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来安路-琅琊路交口东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8E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230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40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5F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来安路-琅琊路交口西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A1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960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95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40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紫薇路-琅琊路口南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F8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FD9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21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5C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紫薇路-琅琊路口东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7F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A5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02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B3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紫薇路-琅琊路口北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C6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828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2A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D7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紫薇路-琅琊路口西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DC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46F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15A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E7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定远路-琅琊路口北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7A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E135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DB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ACE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定远路-琅琊路口东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AC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C28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CD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C8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定远路-琅琊路口南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40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93D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60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45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定远路-琅琊路口西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704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4C8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E8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13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琅琊路-建设路交口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2D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5048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12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85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创业路工农小学门口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BF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A0E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CD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5A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创业路工农小学对面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E5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24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2A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EC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清流路阳光河畔怡园南广场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3A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69ED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FA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F1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琅琊路大剧院公交站旁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5A4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6E6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10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EB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天长路置业花园南门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87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8135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F2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1C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天长路-建设路交口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54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19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67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C24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天长路大东鞋时尚入口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B3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F46C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B9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778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四合路建委大院对面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0D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482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EC6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B7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天长路五金巷中段北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30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4D7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C0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A42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天长路五金巷中段南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37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EF5A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177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F0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天长路新亚宾馆巷道</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AC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EE6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D7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15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天长路香港城西南角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A7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2DC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82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32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四合路城中花园东门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9B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627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1D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C5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来安路-凤凰路北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D3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CE6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4F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B2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来安路-凤凰路西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84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3251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25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D6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来安路-凤凰路南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CC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84B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8C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CA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紫薇路-天长路口东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01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3BB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A8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4E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紫薇路-天长路口西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90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226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A8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62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紫薇路-天长路口南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42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116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DF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999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8E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紫薇路-天长路口北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DA6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0E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A3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09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定远路-天长路口北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52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83C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BA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0F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定远路-天长路口南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59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4768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2F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8D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紫薇路红三环大酒店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5E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A6D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B7F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AB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凤凰路润熙府北门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D9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EF35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83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63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凤凰路润熙府东北角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DF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C2F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B9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06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来安路宏欣园小区门口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E6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7CE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F6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AE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来安路来安一巷入口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E1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36F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58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7F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来安路来安一巷出口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7B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16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B1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B4D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定远路交通菜场东门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A2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C7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16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BC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康乐巷龙旺公寓北门内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15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FD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47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5F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康乐巷凤凰 二村南门内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8D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C575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A8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2A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定远路润熙府西门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B4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10C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71A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EC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紫薇路滁州北站货运场入口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F9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7ECC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72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D1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紫薇路五院对面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FD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E47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9D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C7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凤凰路新奥燃气西侧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A5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46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09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CB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凤凰路二附小南门西侧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61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B1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39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66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凤凰路人民广场西南角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C1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9BCB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53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F8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琅琊路人民广场西北角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5C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6D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36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8E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琅琊路人民广场楼顶东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7D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CF6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5E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C5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琅琊路人民广场楼顶西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81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4CC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FB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AE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琅琊路人民广场大舞台边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80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AADB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E8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68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琅琊路人民广场东北角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4F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2A71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08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2F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琅琊路实验中学门口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53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8DD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1D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8DF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定远路博士高中门口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02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724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10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D4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定远路汽运宿舍东门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40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688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2B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2F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定远路康乐花园东门南侧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EC7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768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84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40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定远路电大西门对面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C7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1487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C5A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25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定远路电大西门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2D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392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AE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B9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定远路润溪府西门对面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D1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E0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BBA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75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定远路实验幼儿园南园部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22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E8F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D7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A6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凤凰路润熙府西侧中段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A0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7B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6F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0E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定远路学府名苑1栋1单元楼顶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75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533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11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6E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定远路学府名苑西门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DE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09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5B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7C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紫薇路-清流路口南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4A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0F5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02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5F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紫薇路-清流路口北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FC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14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E57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C6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紫薇路-清流路口西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E8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F5F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11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92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定远路-清流路口北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81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7CF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B04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FB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定远路-清流路口东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52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C5E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D0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91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定远路-清流路口西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08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AD4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50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6A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清流路滁城家宴向南角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0D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FE8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4D9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38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清流路兴业银行东南角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5B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E8B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F8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62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丰乐大道-清流路交口北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EE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3A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B1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1A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丰乐大道-清流路交口西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86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21E4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96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CD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创业路救助站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76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FE65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FD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DE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创业路中石化油库对面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C8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C05E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88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7D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创业路流河公园羽毛球场进口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52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D7C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79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DA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创业路清流河公园沿河小道篮球场边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8B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576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B7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5A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紫薇路清琅别院南区西门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10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D0C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9C9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BF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紫薇路清琅别院幼儿园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3F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D41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B6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02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紫薇路清琅别院南北区大门中间</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2E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02B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C6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C8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紫薇路清琅别院北区西侧中段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06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CD0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C7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CD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紫薇路清琅别院北区雨花菜场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DA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E34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49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CE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紫薇路清琅别院北区北门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CC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64B1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32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08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紫薇路清琅南院西门北侧中段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BF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D1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87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B9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紫薇路清琅南院西门南侧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26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C5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AD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0D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湖心路豪景苑北门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29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A34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8A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CA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清流路交警大队西侧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6D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D02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A1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2DE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南谯路清流公园东北角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06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630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55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36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清流路清流公园西南角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0A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0DE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AF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FC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清流路清流公园北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81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7FF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46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D2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南谯路万达广场1号门对面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D8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35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D5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A3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南谯路万达北出入口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4E1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651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76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13C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湖心路菜场北出入口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0A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530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A1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98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湖心路盛世华庭怡园南门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50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833A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B3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BE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湖心路湖心居民组内绿州便利店对面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CD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A46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15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EE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湖心路范岗居民组内国新超市对面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0B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4E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47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FB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南谯路八中对面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E2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474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9D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8C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南谯路徐岗居民组出入口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47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0F2C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55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A4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湖心路小学对面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19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58DE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F4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F44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湖心路学校队兴隆百货超市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3B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FC0F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1C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CF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湖心路银花西区南苑北门对面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25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252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DB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8E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湖心路银花西区南苑北门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98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DE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05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88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中都大道成业家园西门北侧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76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15F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E6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FC9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中都大道乡巴佬浴场南侧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43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193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42E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6E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中都大道银花西区东门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7F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741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C6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3C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中都大道银花东区西门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10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D57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14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08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中都大道水银庄东门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CD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2496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1C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399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紫薇路山头队1栋楼边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45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797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F4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EE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紫薇路山头队14栋拐角处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52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380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06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0E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紫薇路山头队稻香楼拐弯处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7C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FCB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EC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90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会峰路红庙公交南站台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77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E53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024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12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会峰路红庙公交北站台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856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E30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0F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F9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清流路消防支队对面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8F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FC66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4B2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A0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南谯路徐岗居民组星月超市岔路口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60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31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51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39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南谯路-湖心路口北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BC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46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69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6E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南谯路-湖心路口东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D9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1F0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A8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1F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南谯路-湖心路口南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90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9C6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9B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23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南谯路-凤阳路口南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2F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B954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54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D8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清流路滨河名园方向河坝处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78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7B3C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47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00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清流路-中都大道交口北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78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CD06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4AA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92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清流路-中都大道交口西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E0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FE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73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96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清流路-中都大道交口南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F7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AE2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B4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F6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清流路-中都大道交口东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16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5A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E3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8F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清流路滨河名园南侧岔路口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D9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C2B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B7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52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南谯路八中门口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BD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F60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80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91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创业路创业中苑农贸市场西出入口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F9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B260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199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86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创业路创业中苑农贸市场东出入口南侧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5A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814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D3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49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创业路创业中苑二期2栋楼旁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0A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F786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0A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AC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创业路创业中苑东门南侧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D0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DF2C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4D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1099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C3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创业路创业南苑公交东站台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25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AE35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96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55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创业路龙蟠河桥头北公交西站台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CD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862B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17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F1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创业路龙蟠河桥头南公交东站台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23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5EA9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A0A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68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紫薇路粮食直属库对面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1F9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F91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39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37B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紫薇路盛世华庭怡园公交西站台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56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FCC8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82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D9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紫薇路盛世华庭怡园公交东站台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74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D09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A4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BB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创业南苑东区西门（在建）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B1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161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7D4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59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紫薇与清流路交口肯帝亚地块北门（在建）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F9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37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32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13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紫薇与清流路交口肯帝亚地块西门（在建）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65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D8A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C3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81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高庄花园小区北门（在建）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87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CD6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C1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1A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高庄花园小区南门（在建）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2D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C46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A9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05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东坡路廉洁文化教育基地西（路北侧）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61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40E9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84E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330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永乐路天逸华庭西侧中段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F1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D8A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ECF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74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幼安路朗月书苑西门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99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812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B3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A7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幼安路朗月书院西门外南侧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98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E2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242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0CB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幼安路-玉桥路交口西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DF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CAC4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36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61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幼安路-玉桥路交口东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A8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C0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69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C1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玉桥路朗月书院南门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9D3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548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10E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3F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永乐路-玉桥路北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A0B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4B9F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76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F4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永乐路-四小路南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DE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89BF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1C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4E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永乐路苏宁悦城西门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0DB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008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B5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0F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玉桥路苏宁悦城南区北门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0C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41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B3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E4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仁和路时光风华园西门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92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E1D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D4F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6C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人民路金鹏一品苑南门西侧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74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E2A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AC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85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仁和路时光风华园东门南侧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A6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B66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93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82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仁义路亭城璞悦翼然府西云朵幼儿园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4E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426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6B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78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府东路亭城璞悦窈然府北门外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7A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F6B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67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25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府东路亭城璞悦翼然府南门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99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998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D80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92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府东路醉翁小学南门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23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DC19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2A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7E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府东路亭城璞悦蔚然府北门西侧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BC4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5B22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1C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EA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虹桥路万桥新苑东侧中段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84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AA45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3F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ED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凤阳路醉翁北苑西门南侧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AC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C79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AC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DC1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中都大道图书馆门口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04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D1AB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5E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6A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琴轩路世贸公馆南门西南角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18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BB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75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CA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环球金殿西北角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C1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2894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E2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65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醉翁路醉翁小学东侧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C3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8780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A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DE5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敬梓路-虹桥路北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E5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34D2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EA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33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东坡路龙蟠西苑南门门口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87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1D1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45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692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东坡路恒昌夜市北入口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64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BD7E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19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21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琴轩路-永乐路东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68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4B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12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54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万谯路醉翁北苑南门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4C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FDA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4B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D4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东坡路人才公寓门口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AD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463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E59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3A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东坡路龙蟠西苑南门内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CA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55C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82A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A5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丰乐大道职业技术学院东门北侧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2D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66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42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F2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丰乐大道职业技术学院东门南侧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7A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31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3B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4C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6E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4CFB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06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B6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5A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FBDF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5C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22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28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0582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9C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B0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02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0B4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41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FAA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醉翁路-金陵路交口西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CC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37B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6A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1E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醉翁路-金陵路交口南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FD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721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CB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60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醉翁路-金陵路交口东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31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5F7F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52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97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醉翁路-金陵路交口北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9E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4F7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D8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3F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南谯路-花亭路交口东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16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29A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F3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5B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龙蟠大道琅琊山东入口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B0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D392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4F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EC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彩虹路琅琊山音乐现场广场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CB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38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EA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D0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彩虹路琅琊山飞越丛林出入口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B2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591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24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C3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彩虹路琅琊山飞越丛林出入口对面南侧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46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004B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FC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926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003县道琅琊山民宿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61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2A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72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A5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003县道冠景大门对面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DA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EBD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3D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23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阳明路祥生壹号院西门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BA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50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B9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51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石梁路三悦澜山北门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98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7F70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FAC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10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石梁路阳光都市南区北门东侧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A6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D242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43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BF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石梁路阳光都市南区东侧中段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2F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B754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7D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2C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东坡路阳明幼儿园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8A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EA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0E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B1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阳明路-石梁路交口向南角（桔子酒店）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FEB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F42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E6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90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阳明路三悦澜山东门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CB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091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50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DC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仁和路和顺东方花园西门内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EE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271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39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F6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仁和路和顺东方花园西门南侧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CA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980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04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B8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仁和路金鹏珑玺台西门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40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C51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01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D1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琴轩路金鹏珑玺台南门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37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34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16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34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仁和路正荣府东门北侧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6D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116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63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C3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东坡路金鹏珑玺台北门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92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3F3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5A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3F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金陵路城南湿地公园东侧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32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BB6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6C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9B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醉翁路-金陵路口公交北站台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EE0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7227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4B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47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醉翁路港汇中心龙蟠医院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25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CF3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61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63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醉翁路苏宁二手车市场西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E2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CA8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34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3E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琴轩路石榴中都院子北门西侧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E0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7CB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49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DB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永福路石榴中都院子西门北侧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D43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6546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76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73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醉翁路佑安公园南侧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FF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7D3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A98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BE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幼安路凯迪塞纳河畔东区西门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BC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16D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EA8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DE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幼安路凯迪塞纳河畔西区东门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BA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3C9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FE5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79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琴轩路世贸公馆南门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19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7BDD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02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C8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阳明路-琴轩路西南角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C4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1E03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30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46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琴轩路铂悦府北门内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90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A42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22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0D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琴轩路铂悦府幼儿园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CE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8AC9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C0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E0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南谯路琴轩路交口东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F4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324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6C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683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敬梓路万桥新苑南门东侧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FC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4E12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BA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437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金桥路清风明月街南侧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2E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F748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26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0CA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金桥路清风明月街北侧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48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045C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23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F5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凤阳路桃源仙居南门对面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0F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99D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80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2C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凤阳路桃源仙居南门商铺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1B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BF4D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E3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A8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紫薇路翡翠雅筑西门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9E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F802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73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FB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全椒路文昌花园幼儿园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03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CC0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9B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1E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醉翁路金城华府商业街中段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A5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A4D2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431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55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幼安路金城华府西门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41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39A2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8B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86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中都大道港汇中心西北角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FE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8EC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CE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C0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醉翁路南谯粮油储备管理有限公司西南角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9F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6C0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C4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8C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醉翁路担子幼儿园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84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D39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07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553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金桥路珑熙庄园幼儿园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7A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5E6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C4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1199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88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金桥路珑熙庄园商业街中段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CE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AB4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67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91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幼安路滁味轩酒店入口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74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B639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22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07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醉翁路一院南区南门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29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004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8C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E2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永乐路一院南区东门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AF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CD58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82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8C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龙蟠大道龙蟠西苑北门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DA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F3E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C0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FA3C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南直隶路利拓加气站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5B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ACC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45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9B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中都大道弘阳家居西门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FE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7AEF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64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1E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中都大道弘阳家居北门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75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C80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57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865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中都大道弘阳家居南门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91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643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49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8F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阳明路恒大绿洲西门南侧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F2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2841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A6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43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阳明路-金桥东路口西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30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790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DF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AD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阳明路-金桥东路口北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5C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22E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03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95F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永乐路-金桥路交口西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34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7EE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D2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C2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永乐路-金桥路交口南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6C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394D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C2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B2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全椒路-金桥路交口南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88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2C9B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4A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FA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龙蟠大道房管局对面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1E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307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FE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1D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龙蟠大道金陵路口西公交北站台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B4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5A48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66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0F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同乐路紫金商业广场农贸市场南门口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E3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F716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40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584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南谯路凯迪温德姆酒店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BE5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68D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C7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47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中都大道凯迪苏果超市入口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03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060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04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E1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阳明路卓耕天御西门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D0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58AE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50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010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龙山路卓耕天御南门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6A1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9ED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00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57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龙山路正东中央公馆北门内街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BE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353F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8B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76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阳明路同乐西苑东门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A9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6FF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D2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270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阳明路同乐东苑西门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E4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F72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41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65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新生路同乐东苑南门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4A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3A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4EE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4E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凤阳路口-同乐路口西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8C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6C4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3F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6C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凤阳路口-同乐路口东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44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2BF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60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C3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西涧路市委党校门口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C9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B03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BB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73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龙蟠大道市政府南门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FE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346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21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84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中都大道市政府西门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A6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9BD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8F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32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同乐路市政府北门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B6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05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3E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6D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南谯路市政府东门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A1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89C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53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9E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中都大道政务中心西出入口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12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BCE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84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B8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中都大道政务中心西出入口对面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D7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B134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3B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19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中都大道信访局入口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51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613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60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CE7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同乐路政务中心北侧中段路南侧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EA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38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F2D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A6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同乐路政务中心北侧中段路北侧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65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74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48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D6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龙蟠大道政务中心南侧中段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5E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562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62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0D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AE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118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AA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43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龙蟠大道歌会广场南侧中段</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AC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63F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10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5A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55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A309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25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37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龙蟠大道歌会广场东南角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6A8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237C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B6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F2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琴轩路正荣府北侧商铺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1B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EF3F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28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81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琴轩路恒大绿洲南侧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83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02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76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5A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醉翁路-仁和路交口北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E5A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0484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42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A8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醉翁路-仁和路交口南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D2C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22A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FD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E6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全椒路文昌花园东门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A4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3F9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671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5F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草塘路文昌花园西门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2A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4B8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2DE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74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草塘路文昌花园西门北侧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82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6FD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DA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E4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龙蟠大道-草塘路东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68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A0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DF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AA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龙蟠大道-草塘路北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44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DC4C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09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8D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龙蟠大道-草塘路西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D2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0A4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C7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EC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龙蟠大道丰乐大道路口公交北站台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38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603C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55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5B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中都大道体育馆公交西站台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42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967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A2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9C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中都大道-花亭路交口北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39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D5CD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07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F20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阳明路珑熙庄园东门北侧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A5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80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95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9A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醉翁路桃园仙居北门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F6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91C1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12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F5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金桥路时光澜庭北门东侧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05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D874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64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A3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金桥路时光澜庭北门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AA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009B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B5B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6E4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金桥路金城华府南门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CD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1B0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45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D3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龙蟠大道左岸香颂南门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2A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0470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B2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40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文昌路陈记草鸡汤斜对面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23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0EDB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37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96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敬梓路-仁义路交口南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4D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16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13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EA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敬梓路-仁义路交口北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24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4D1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9D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0E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敬梓路-虹桥路交口南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FA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E833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C7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A0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金桥路-阳明路交口南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D2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6D32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17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20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金桥路-仁和路交口东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63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8F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3CE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DE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金桥路-仁和路交口南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DD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BB4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58C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A8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金桥路-仁和路交口西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C7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69F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D2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83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金桥路-仁和路交口北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84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DC27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1A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EC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金桥路-经一路交口南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4A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F00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93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56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金桥路-经一路交口东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F3A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7F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92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35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金桥路-经一路交口西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1F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716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4B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29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东坡路-仁和路交口东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8A8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E77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2F9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8C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东坡路-仁和路交口南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AB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087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49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D17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东坡路-仁和路交口西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75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A473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2F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757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东坡路-仁和路交口北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01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12C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80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45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龙蟠大道-仁和路交口南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70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08B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B8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3E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龙蟠大道-仁和路交口西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9AC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72F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B0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01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玉桥东路-仁义路交口东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62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4260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E3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C1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玉桥东路-仁义路交口南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28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E19F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A8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43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玉桥东路-仁义路交口西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EA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78D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E2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69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玉桥东路-仁义路交口北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D2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A4D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EA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E48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玉桥东路-经一路交口东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4A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D57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BF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5E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玉桥东路-经一路交口南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C9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8E4A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3E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20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玉桥东路-经一路交口西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48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B9A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31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F0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玉桥东路-经一路交口北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D9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54F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5D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4D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凤阳路城南工业园公交东站台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EC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D04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2E8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5B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同乐路同乐小学北门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DBC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8BC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B6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97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阳明路二实小对面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586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E4A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56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A8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同乐路六中南门中间</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56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2A6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20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46F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同乐路六中对面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EB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EB90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13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45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永乐路一中西门龙蟠河公园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CC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993F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1A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C0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同乐路实小东校区北门对面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C49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EAF2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53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60B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同乐路实小西校区北门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5E1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AAD3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B6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C3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文昌路天逸华府竹园北门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BB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2E3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65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3F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全椒路-金桥路交口东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CA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FA27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3C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CB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金桥路清风明月南苑北门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CA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3D4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20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FC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金桥路清风明月北苑南门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2D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F8E7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05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1299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AB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紫云路平湖明月里东门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28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A2E1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3F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3DF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紫云路-敬梓路交口北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E7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FF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10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611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金桥路府西幼儿园南门西侧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EA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ECC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A66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3E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金桥路碧桂园仕府公馆南门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B4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FB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06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6C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府西路碧桂园仕府公馆南门西侧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37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BE1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77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BBC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永乐路碧桂园仕府公馆西门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D2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F3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55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21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永福路黄金时代菜场东入口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53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60A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29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10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永福路黄金时代菜场北侧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45E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AC4C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C4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8B6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永福路黄金时代菜场南侧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F16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FC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BC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55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永福路黄金时代菜东门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09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80A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67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0FA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龙蟠大道-金陵路交口东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36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0B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EF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B3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龙蟠大道-金陵路交口南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2B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303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EE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B3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龙蟠大道-金陵路交口西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4A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5C0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22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F9E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龙蟠大道-金陵路交口北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83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EA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E8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B2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龙蟠大道-南谯路交口南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D0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5130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36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90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龙蟠大道-南谯路交口北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CC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1F4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7C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8C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全椒路-花亭路交口北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71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F7B1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5B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18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仁和路醉翁小学西门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61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5F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EC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37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琴轩路黄金时代北门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C6D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52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BCD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85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琴轩路黄金时代1栋1单元楼顶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FC41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57F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55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7C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醉翁路金城华府18栋1单元楼顶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34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6E1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3A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92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醉翁路祥生东方樾38栋2单元楼顶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864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5EE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57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F1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琴轩路-阳明路交口东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A7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691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3A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DE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琴轩路-阳明路交口南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69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CB7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DA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DA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琴轩路-阳明路交口北路西侧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2B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547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586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5C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琴轩路-阳明路交口北路东侧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C0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33D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3D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5A7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玉桥东路-仁和路交口东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6F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64C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15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7A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玉桥东路-仁和路交口南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F8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9C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4A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D8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玉桥东路-仁和路交口西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AE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B9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E0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37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玉桥东路-仁和路交口北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45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E1D4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64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1D09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临湖中心西门（在建）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C5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F7B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F95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05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保安大厦（金库）北门（在建）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564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040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91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19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亭城玺悦里小区东门（在建）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C9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C52D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9A8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99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亭城玺悦里小区西门（在建）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3E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B7F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01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2F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金鹏壹品苑小区西门（在建）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66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8A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4BA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02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华景广场西出入口（在建）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B75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E60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5B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32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华景广场南出入口（在建）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7A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E84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E4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32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路东街沙河镇丽华摩配洗车店对面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A9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CFCD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EC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F8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车站路沙河镇铁道桥下穿通道</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65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C60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74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2A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盈福路沙河镇粮站旁</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56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B3CD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608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FDF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滁宁大道金色澜庭岔路口南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20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61B9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33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CE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滁宁大道金色澜庭岔路口北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DDE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3F0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87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D6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滁宁大道金色澜庭岔路口西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3B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815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8C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5E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洪武路-永兴路交口东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51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679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373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0AD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洪武路-永兴路交口南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4A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CED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91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B9A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洪武路-永兴路交口西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E27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4D2D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E6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75F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洪武路-永兴路交口北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08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90A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3F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2C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黄圩路春华路交口南公交西站台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B2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7418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9D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79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黄圩路白庙庄园公交东站台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B7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320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14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296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文华路碧桂园幼儿园对面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39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2F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1F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6A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文华路碧桂园学校对面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23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0B2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A2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B8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文慧路皇庆湖公园水上运动入口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5D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84AA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1C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9A3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文慧路-安宁路交口西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0E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AA5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EA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E4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文华路皇庆湖公园民宿驿站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E4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361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F0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75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文华路-文慧路交口北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C996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79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6B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09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滁宁大道乌衣柳塘加油站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A13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3D6D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6AB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BA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滁宁大道蓼花村岔路口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DD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DDB5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71A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FE3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滁宁大道乌衣新庄加油站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3A9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86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F8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7B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滁宁大道-023乡道交口北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AA4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DC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4E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57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明德路滁州市软件产业园南门对面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1C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2F9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2BA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83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明德路滁州市软件产业园南门西侧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EF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FB2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6C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C2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明德路华体阳光酒店东南角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54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FC30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54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871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康庄路高教科创城文体中心东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67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159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D47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35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汇智路高教科创城文体中心西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66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97C3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1C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9A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康庄路-柯庄路交口北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18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BD1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CFD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85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树仁路滁州技师学院南门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8E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B43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39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60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立言路滁州技师学院西门对面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B8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22AE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2E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92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德盛路恒大江北帝景北区38号楼楼顶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D3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30C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32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3D0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双迎路滁州五院东门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AB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408A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A3C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03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双迎路菊香苑6号楼楼顶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47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8F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BB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93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双迎路滁州五院对面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37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50C0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F8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62D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双馨路滁州五院南门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E9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40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0E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13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滁宁快通乌衣义方向中石化加油站</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BF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E0EB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0D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1D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滁州大道明湖公园管理处北入口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3EA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798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D0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A9B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滁州大道-恒兴路交口东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13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6F7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52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B2C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环湖路奥体东侧中段路东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0A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EB20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8A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E7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环湖路奥体东侧中段路西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DB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EF00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79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4D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环湖路明湖桥头</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520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3BB4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182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54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环湖路滁州大道桥下东路南侧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CD96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0FD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86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30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滁州大道-滁宁快通交口东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A8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C78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39F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C4B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滁州大道-滁宁快通交口西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EC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DF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9C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CA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滁阳路-规划二路交口西（路北侧）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45C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1CBD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CA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1C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二贤路意境山城西门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B0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66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AF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34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滁州大道明湖公园码头边</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AE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D6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5E8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AAF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滁州大道-金陵路交口南（路东侧）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C2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73F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9A2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C0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明湖大道明湖公园南大门入口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7E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AED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563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ADA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明湖大道明湖公园南大门对面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54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F82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80F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B6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仁义路敬梓路中学东门对面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0D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B4E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0A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D1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敬梓路万桥西苑14栋楼顶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A1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B42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BD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1E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玉桥路苏宁悦城北区南门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8E1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3DDD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DB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313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人民路明湖小学南门对面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33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2A3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3B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F18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人民路时光风华园南门内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3CB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1190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04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D38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规划支路明湖幼儿园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EB7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C96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CF2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B2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玉桥路名儒中学南门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D0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EC11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B48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83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龙兴路北辅路名儒小学南门对面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67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3F36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15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58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二贤路映彩虹幼儿园门口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E4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98A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B6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1B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东坡路影视城东门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51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0C2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C5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D4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中都大道亚夏五金城铂悦朗庭酒店对面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82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6AE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6C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80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中都大道亚夏五金城水云阁御景宾馆对面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2C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F86C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B0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6B2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阳明路吾悦广场幼儿园东门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02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00BF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27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1399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5C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南谯路-龙兴路南辅路交口北侧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C02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4E72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991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F2D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敬梓路吾悦广场西北角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2C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444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B2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75E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南谯路吾悦广场西出入口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CB3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9B4D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3C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3C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敬梓路吾悦广场北门门口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DC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7DF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3A4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0F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敬梓路吾悦华府西门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D26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DFC7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379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CD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人民路吾悦广场焰遇火锅对面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F5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C8A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464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FD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人民路吾悦华府二期西区北门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1F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EC84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BA3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33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人民路吾悦华府二期东区西门北侧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0F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F731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EF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71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人民路吾悦华府二期西区东门北侧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70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A1A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2E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10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人民路吾悦华府南门西侧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0B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263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5E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2E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人民路吾悦华府二期东区北门东侧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4A5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B4AF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62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3A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阳明路吾悦华府东门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915D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A71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EE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2A6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光辉路金鹏上尚家居制造产业园南门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85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53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74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69E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敬梓路吾悦广场1号门出入口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9C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541F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8B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94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敬梓路吾悦广场2号门出入口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7A2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FEA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57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271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敬梓路吾悦广场3号门出入口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E4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97B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0B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E7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育英路-南屏路交口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ADF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61E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AE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E4E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白洋路-育才路交口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A7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3A9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E0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73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祈福寺路金城学府南门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40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ED5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A92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D64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洪福路中丞名著阳光里东门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C05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838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B61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B77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洪福路金城学府西门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00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A10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D0E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12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洪福路-祥云路交口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D4D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617E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6C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28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洪福路国誉学府东门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22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2E46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D8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9F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祥云路国誉学府南门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D2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C526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9C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EE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祈瑞路万兴望湖居西门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C3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DA45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E12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DAB4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祈瑞路中丞名著春风里西门外北侧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F93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5DF8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CB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5E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全椒路中丞名著春风里东门外北侧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C0E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EE05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EA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40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育才路北苑步行街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2E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970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9A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5A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光辉路西商商城北门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8E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8CF1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35E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F7A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丰乐大道西商商城东门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EF8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12A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20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1429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45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敬梓路吾悦广场北非机动车停放处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267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B470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A05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7B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阳明路-人民路东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A7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88DB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C96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519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阳明路-人民路西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E9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F08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DCF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52D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中都大道星荟城东北角</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B49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7805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C8C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E4B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永乐路星荟城西门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84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214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8B6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A9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003县道冠景铂悦酒店入口道路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630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23F3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3B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70F4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003县道-328国道交口南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0D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68BA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A8B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B7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003县道-328国道交口东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5C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8AFE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91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F0C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003县道-328国道交口西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CB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BFE3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C74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8CD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洪武路外婆湾生态农庄岔路口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DF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0094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4E4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1439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1C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洪武路-桑梓路交口西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D4B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BD1F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6C4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C9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滁阳路-南屏路交口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3A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2F47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BE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53F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昌辉路-南屏路交口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1599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9815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7E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14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明湖大道-南屏路交口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710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DCB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037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4D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经二路昌盛花园幼儿园</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95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167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DCA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FD1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经二路昌盛花园西门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43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14F6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58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771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经二路昌盛花园西门外南侧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38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200F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95A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46E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恒兴路昌盛花园北门外西侧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8E5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01B9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C4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399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经一路永乐花园西门菜场西出入口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A6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81DC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B2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78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经一路永乐花园西门外南侧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A46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B3F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C53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1449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C7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经一路南谯区萌儒幼儿园西门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A86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32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CDE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5B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祈福寺路永乐花园南门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68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F7A3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9B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D9C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洪武路滁州站社会车辆出入口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57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B7C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E9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DD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洪武路滁州站楼顶中间西侧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08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7B09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32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32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洪武路滁州站进站口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84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8B0F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EB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18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洪武路滁州站出站口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D9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A4FD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583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AC0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洪武路阳明路口公交西站台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93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1B2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3F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F97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祥云路原创科技城公寓南门内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4E3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7D07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7F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98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安居北路-滁阳路交口东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FC3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A02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AB1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EE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安居北路-滁阳路交口南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8E4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A34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71F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1459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04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安居北路-滁阳路交口西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A10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27F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A2E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11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安居北路-滁阳路交口北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45F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01A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1C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3F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安居路中丞明湖原著东苑西门内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9FA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4597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0E1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829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安居路中丞明湖原著东苑西门外北侧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987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7A7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6A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A9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安居路中丞明湖原著西苑东门外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41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694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C9A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AC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二贤路祥生十里小区东北门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A017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2F19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801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EA3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二贤路祥生十里小区东南门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B2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BFF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88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86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百罗路-醉翁路交口东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3C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A782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E45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4C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滁阳路-规划一路交口东路南侧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1D9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13B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CA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1EF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滁阳路-规划一路交口西路北侧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7D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EF13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C67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1469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EC8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滁阳路-规划一路交口东路南侧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692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F3B2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F54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A1E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明湖大道-花博园路口公交南站台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04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B92D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873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74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明湖大道-规划一路口公交北站台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EFC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4D96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F88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265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百罗路康强欢乐世界西路中段北侧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DF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9C5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005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6A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百罗路康强欢乐世界西路中段南侧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18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8C5A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502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C1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花博园路-百罗路交口东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0EF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112BE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4CB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7D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龙兴路天然居根华盆景园公交南站台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17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046F1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A85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20E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西涧路天然居根华盆景园公交北站台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B10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82C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D87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69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人民路金鹏一品苑4栋楼顶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0B1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71A7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36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A9B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人民路吾悦华府二期东苑19栋楼顶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E8C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4F7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960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1479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EE2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龙兴路北辅路碧桂园天玺35栋楼顶（边上在建楼顶）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B0E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557D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EF2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622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南直隶路万兴花半里东门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95B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94A4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43C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6EF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南直隶路万兴花半里1栋楼顶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4E5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EAA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9DB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D89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龙兴路南辅路唐歌坊对面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1C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BAC4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5BDD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527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安居北路-丰城路交口东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91A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D6B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126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F40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安居北路-丰城路交口南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E04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401E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449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9A60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安居北路-丰城路交口西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5350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FD1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340E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997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安居北路-丰城路交口北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88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CF2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CF4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9AF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丰城路中丞明湖原著西苑北门外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7E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70D3F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BF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753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丰城路中丞明湖原著东苑北门外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038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A058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B15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1489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355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祈福寺路荣盛锦绣官邸北门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F1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DAA6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D55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BB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丰城路明湖书苑南门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69B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199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1F1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D230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安居路明湖书苑西门内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D2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F548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B60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784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安居路明湖书苑西门外南侧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D1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41B4D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0A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4C2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安居北路-朱岗路交口东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5F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A163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305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562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安居北路-朱岗路交口南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6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12A9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30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FB7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安居北路-朱岗路交口西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BC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2A1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63C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36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朱岗路明湖书苑北门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785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352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DED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02E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仁和路新一中东门南侧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F2D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655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158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37D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仁和路新一中东门对面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1E8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3B5D0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2D76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1499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4D58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滁阳路新一中南门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3F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9C13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AF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6D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祈福寺路原创云谷公寓内</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BFC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5BC4B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426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8B9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祈福寺路原创科技城北门东侧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4F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9D97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39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36C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洪武路汽运驾校（南校区）公交北站台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76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66AE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7F8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B7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洪武路滁州站公交北站台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888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0F57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1CD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CB5E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南谯路龙兴路口公交东站台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85E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5D3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505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EB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南谯路龙兴路口公交西站台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F50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1B68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804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699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南谯路吾悦广场西站台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8C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2FD76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659A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9A3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朱岗路明湖书苑2栋2单元楼顶</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DF5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309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F60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5EB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洪武路-002乡道公交南站台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56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AE6F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A42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1509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8ABE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洪武路-002乡道公交北站台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387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31E61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4E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B26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敬梓路吾悦广场盒马鲜生超市出入口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7C8D">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B5D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7DFA">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455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全椒路-龙兴路北辅路交口东</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7F0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67AF8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2CB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5BA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玉桥路-幼安路交口南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D28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C86E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DA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9F8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玉桥路-幼安路交口北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E51B">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5D7A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7AA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1514</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64D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全椒路名儒中学西门北侧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F3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061C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580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1515</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257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滁州大道-恒丰路交口西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F76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w:t>
            </w:r>
          </w:p>
        </w:tc>
      </w:tr>
      <w:tr w14:paraId="56DE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173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1516</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1AB0">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滁州大道-恒兴路交口北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0C1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B6A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83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1517</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7C83">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滁州大道-万水桥路路口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12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C787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FB65">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1518</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9DF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滁州大道-朱岗路交口西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CD9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3BFE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0441">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1519</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372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阳明路明湖书香里（在建）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D7B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2362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7CCC">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1520</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BD92">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人民路敬梓路中学南门对面</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D29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C6A4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19A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1521</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F67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阳明路明湖书香里（在建）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8DBF">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01187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0EB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1522</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7EF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滁州南收费站前广场出口侧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ACD8">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41359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4827">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1523</w:t>
            </w:r>
          </w:p>
        </w:tc>
        <w:tc>
          <w:tcPr>
            <w:tcW w:w="5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C6BE">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长江路北京城房时代印4#楼楼顶（在建）</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940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6DEA4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35" w:type="dxa"/>
            <w:tcBorders>
              <w:top w:val="single" w:color="000000" w:sz="4" w:space="0"/>
              <w:left w:val="single" w:color="000000" w:sz="4" w:space="0"/>
              <w:bottom w:val="nil"/>
              <w:right w:val="single" w:color="000000" w:sz="4" w:space="0"/>
            </w:tcBorders>
            <w:shd w:val="clear" w:color="auto" w:fill="auto"/>
            <w:noWrap/>
            <w:vAlign w:val="center"/>
          </w:tcPr>
          <w:p w14:paraId="3E178FF4">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1524</w:t>
            </w:r>
          </w:p>
        </w:tc>
        <w:tc>
          <w:tcPr>
            <w:tcW w:w="5794" w:type="dxa"/>
            <w:tcBorders>
              <w:top w:val="single" w:color="000000" w:sz="4" w:space="0"/>
              <w:left w:val="single" w:color="000000" w:sz="4" w:space="0"/>
              <w:bottom w:val="nil"/>
              <w:right w:val="single" w:color="000000" w:sz="4" w:space="0"/>
            </w:tcBorders>
            <w:shd w:val="clear" w:color="auto" w:fill="auto"/>
            <w:noWrap/>
            <w:vAlign w:val="center"/>
          </w:tcPr>
          <w:p w14:paraId="00EB1AF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滁州北收费站前广场出口侧</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01E6">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1</w:t>
            </w:r>
          </w:p>
        </w:tc>
      </w:tr>
      <w:tr w14:paraId="76FED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4D79">
            <w:pPr>
              <w:keepNext w:val="0"/>
              <w:keepLines w:val="0"/>
              <w:widowControl/>
              <w:suppressLineNumbers w:val="0"/>
              <w:jc w:val="center"/>
              <w:textAlignment w:val="center"/>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合计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C730">
            <w:pPr>
              <w:keepNext w:val="0"/>
              <w:keepLines w:val="0"/>
              <w:widowControl/>
              <w:suppressLineNumbers w:val="0"/>
              <w:jc w:val="center"/>
              <w:textAlignment w:val="bottom"/>
              <w:rPr>
                <w:rFonts w:hint="eastAsia" w:ascii="宋体" w:eastAsia="宋体" w:cs="宋体"/>
                <w:i w:val="0"/>
                <w:iCs w:val="0"/>
                <w:color w:val="000000"/>
                <w:sz w:val="24"/>
                <w:szCs w:val="24"/>
                <w:u w:val="none"/>
              </w:rPr>
            </w:pPr>
            <w:r>
              <w:rPr>
                <w:rFonts w:hint="eastAsia" w:ascii="宋体" w:eastAsia="宋体" w:cs="宋体"/>
                <w:i w:val="0"/>
                <w:iCs w:val="0"/>
                <w:color w:val="000000"/>
                <w:kern w:val="0"/>
                <w:sz w:val="24"/>
                <w:szCs w:val="24"/>
                <w:u w:val="none"/>
                <w:lang w:val="en-US" w:eastAsia="zh-CN"/>
              </w:rPr>
              <w:t>2000</w:t>
            </w:r>
          </w:p>
        </w:tc>
      </w:tr>
    </w:tbl>
    <w:p w14:paraId="73429449">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1"/>
        <w:rPr>
          <w:rFonts w:ascii="宋体" w:hAnsi="宋体" w:eastAsia="宋体" w:cs="宋体"/>
          <w:b/>
          <w:color w:val="auto"/>
          <w:sz w:val="24"/>
          <w:szCs w:val="18"/>
          <w:highlight w:val="none"/>
        </w:rPr>
      </w:pPr>
      <w:r>
        <w:rPr>
          <w:rFonts w:hint="eastAsia" w:ascii="宋体" w:hAnsi="宋体" w:eastAsia="宋体" w:cs="宋体"/>
          <w:b/>
          <w:color w:val="auto"/>
          <w:sz w:val="24"/>
          <w:szCs w:val="18"/>
          <w:highlight w:val="none"/>
          <w:lang w:val="en-US" w:eastAsia="zh-CN"/>
        </w:rPr>
        <w:t>三</w:t>
      </w:r>
      <w:r>
        <w:rPr>
          <w:rFonts w:hint="eastAsia" w:ascii="宋体" w:hAnsi="宋体" w:eastAsia="宋体" w:cs="宋体"/>
          <w:b/>
          <w:color w:val="auto"/>
          <w:sz w:val="24"/>
          <w:szCs w:val="18"/>
          <w:highlight w:val="none"/>
        </w:rPr>
        <w:t>、报价要求</w:t>
      </w:r>
    </w:p>
    <w:p w14:paraId="6B3F640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ascii="宋体" w:hAnsi="宋体" w:eastAsia="宋体" w:cs="宋体"/>
          <w:color w:val="auto"/>
          <w:sz w:val="24"/>
          <w:szCs w:val="24"/>
          <w:highlight w:val="none"/>
        </w:rPr>
      </w:pPr>
      <w:bookmarkStart w:id="427" w:name="_Toc18794"/>
      <w:bookmarkStart w:id="428" w:name="_Toc8283"/>
      <w:r>
        <w:rPr>
          <w:rFonts w:hint="eastAsia" w:ascii="宋体" w:hAnsi="宋体" w:eastAsia="宋体" w:cs="宋体"/>
          <w:color w:val="auto"/>
          <w:sz w:val="24"/>
          <w:szCs w:val="24"/>
          <w:highlight w:val="none"/>
        </w:rPr>
        <w:t>（1）</w:t>
      </w:r>
      <w:r>
        <w:rPr>
          <w:rFonts w:hint="eastAsia" w:asciiTheme="minorEastAsia" w:hAnsiTheme="minorEastAsia" w:eastAsiaTheme="minorEastAsia" w:cstheme="minorEastAsia"/>
          <w:color w:val="auto"/>
          <w:sz w:val="24"/>
          <w:highlight w:val="none"/>
        </w:rPr>
        <w:t>投标人所报价格包含提供以上服务服务所需全部费用，投标人报价包含服务（货物）、利润、税金、政策性文件规定及合同包含的所有风险、责任、义务等，即为完成招标文件要求的服务（货物）内容所包含的一切应有费用。</w:t>
      </w:r>
    </w:p>
    <w:p w14:paraId="09F153FE">
      <w:pPr>
        <w:spacing w:line="52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项目服务过程中所出现的任何遗漏，必须由中标人免费提供，采购人将不再支付任何费用，投标人须自行考虑投标风险。除非特别要求，该项目只允许有唯一方案、唯一报价，多方案、多报价的投标文件将不被接受。</w:t>
      </w:r>
    </w:p>
    <w:bookmarkEnd w:id="427"/>
    <w:bookmarkEnd w:id="428"/>
    <w:p w14:paraId="49BAD269">
      <w:pPr>
        <w:pageBreakBefore w:val="0"/>
        <w:kinsoku/>
        <w:wordWrap/>
        <w:overflowPunct/>
        <w:topLinePunct w:val="0"/>
        <w:autoSpaceDE/>
        <w:autoSpaceDN/>
        <w:bidi w:val="0"/>
        <w:adjustRightInd/>
        <w:snapToGrid/>
        <w:spacing w:beforeAutospacing="0" w:afterAutospacing="0" w:line="520" w:lineRule="exact"/>
        <w:ind w:firstLine="482" w:firstLineChars="200"/>
        <w:jc w:val="left"/>
        <w:rPr>
          <w:rFonts w:hint="eastAsia" w:asciiTheme="majorEastAsia" w:hAnsiTheme="majorEastAsia" w:eastAsiaTheme="majorEastAsia" w:cstheme="majorEastAsia"/>
          <w:b/>
          <w:color w:val="auto"/>
          <w:sz w:val="24"/>
          <w:szCs w:val="24"/>
          <w:highlight w:val="none"/>
        </w:rPr>
      </w:pPr>
      <w:r>
        <w:rPr>
          <w:rFonts w:hint="eastAsia" w:ascii="宋体" w:hAnsi="宋体" w:eastAsia="宋体" w:cs="宋体"/>
          <w:b/>
          <w:color w:val="auto"/>
          <w:sz w:val="24"/>
          <w:szCs w:val="18"/>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w:t>
      </w:r>
    </w:p>
    <w:p w14:paraId="11FB5F72">
      <w:pPr>
        <w:spacing w:line="360" w:lineRule="auto"/>
        <w:jc w:val="center"/>
        <w:outlineLvl w:val="0"/>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第四章  评标方法和标准（综合评分法）</w:t>
      </w:r>
      <w:bookmarkEnd w:id="41"/>
    </w:p>
    <w:p w14:paraId="0C1273E9">
      <w:pPr>
        <w:keepNext w:val="0"/>
        <w:keepLines w:val="0"/>
        <w:pageBreakBefore w:val="0"/>
        <w:widowControl w:val="0"/>
        <w:kinsoku/>
        <w:wordWrap/>
        <w:overflowPunct/>
        <w:topLinePunct w:val="0"/>
        <w:autoSpaceDE/>
        <w:autoSpaceDN/>
        <w:bidi w:val="0"/>
        <w:adjustRightInd/>
        <w:snapToGrid/>
        <w:spacing w:line="500" w:lineRule="exact"/>
        <w:ind w:firstLine="437"/>
        <w:textAlignment w:val="auto"/>
        <w:outlineLvl w:val="1"/>
        <w:rPr>
          <w:rFonts w:hint="eastAsia" w:asciiTheme="minorEastAsia" w:hAnsiTheme="minorEastAsia" w:eastAsiaTheme="minorEastAsia"/>
          <w:b/>
          <w:color w:val="auto"/>
          <w:sz w:val="24"/>
          <w:highlight w:val="none"/>
        </w:rPr>
      </w:pPr>
      <w:bookmarkStart w:id="429" w:name="_Toc4705"/>
      <w:bookmarkStart w:id="430" w:name="_Toc11823"/>
      <w:r>
        <w:rPr>
          <w:rFonts w:hint="eastAsia" w:asciiTheme="minorEastAsia" w:hAnsiTheme="minorEastAsia" w:eastAsiaTheme="minorEastAsia"/>
          <w:b/>
          <w:color w:val="auto"/>
          <w:sz w:val="24"/>
          <w:highlight w:val="none"/>
        </w:rPr>
        <w:t>一、总则</w:t>
      </w:r>
      <w:bookmarkEnd w:id="429"/>
      <w:bookmarkEnd w:id="430"/>
    </w:p>
    <w:p w14:paraId="205BF23F">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本项目将按照招标文件第二章投标人须知的相关要求</w:t>
      </w:r>
      <w:r>
        <w:rPr>
          <w:rFonts w:asciiTheme="minorEastAsia" w:hAnsiTheme="minorEastAsia" w:eastAsiaTheme="minorEastAsia"/>
          <w:color w:val="auto"/>
          <w:sz w:val="24"/>
          <w:highlight w:val="none"/>
        </w:rPr>
        <w:t>及本章的规定评标。</w:t>
      </w:r>
    </w:p>
    <w:p w14:paraId="48597424">
      <w:pPr>
        <w:keepNext w:val="0"/>
        <w:keepLines w:val="0"/>
        <w:pageBreakBefore w:val="0"/>
        <w:widowControl w:val="0"/>
        <w:kinsoku/>
        <w:wordWrap/>
        <w:overflowPunct/>
        <w:topLinePunct w:val="0"/>
        <w:autoSpaceDE/>
        <w:autoSpaceDN/>
        <w:bidi w:val="0"/>
        <w:adjustRightInd/>
        <w:snapToGrid/>
        <w:spacing w:line="500" w:lineRule="exact"/>
        <w:ind w:firstLine="437"/>
        <w:textAlignment w:val="auto"/>
        <w:outlineLvl w:val="1"/>
        <w:rPr>
          <w:rFonts w:hint="eastAsia" w:asciiTheme="minorEastAsia" w:hAnsiTheme="minorEastAsia" w:eastAsiaTheme="minorEastAsia"/>
          <w:b/>
          <w:color w:val="auto"/>
          <w:sz w:val="24"/>
          <w:highlight w:val="none"/>
        </w:rPr>
      </w:pPr>
      <w:bookmarkStart w:id="431" w:name="_Toc32410"/>
      <w:bookmarkStart w:id="432" w:name="_Toc31871"/>
      <w:r>
        <w:rPr>
          <w:rFonts w:hint="eastAsia" w:asciiTheme="minorEastAsia" w:hAnsiTheme="minorEastAsia" w:eastAsiaTheme="minorEastAsia"/>
          <w:b/>
          <w:color w:val="auto"/>
          <w:sz w:val="24"/>
          <w:highlight w:val="none"/>
        </w:rPr>
        <w:t>二、评标方法</w:t>
      </w:r>
      <w:bookmarkEnd w:id="431"/>
      <w:bookmarkEnd w:id="432"/>
    </w:p>
    <w:p w14:paraId="6531D9FC">
      <w:pPr>
        <w:keepNext w:val="0"/>
        <w:keepLines w:val="0"/>
        <w:pageBreakBefore w:val="0"/>
        <w:widowControl w:val="0"/>
        <w:kinsoku/>
        <w:wordWrap/>
        <w:overflowPunct/>
        <w:topLinePunct w:val="0"/>
        <w:autoSpaceDE/>
        <w:autoSpaceDN/>
        <w:bidi w:val="0"/>
        <w:adjustRightInd/>
        <w:snapToGrid/>
        <w:spacing w:line="500" w:lineRule="exact"/>
        <w:ind w:firstLine="437"/>
        <w:textAlignment w:val="auto"/>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38"/>
        <w:tblW w:w="55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707"/>
        <w:gridCol w:w="5040"/>
        <w:gridCol w:w="2338"/>
      </w:tblGrid>
      <w:tr w14:paraId="3C69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00" w:type="pct"/>
            <w:gridSpan w:val="4"/>
            <w:tcBorders>
              <w:bottom w:val="single" w:color="auto" w:sz="4" w:space="0"/>
            </w:tcBorders>
            <w:vAlign w:val="center"/>
          </w:tcPr>
          <w:p w14:paraId="0587113B">
            <w:pPr>
              <w:keepNext w:val="0"/>
              <w:keepLines w:val="0"/>
              <w:pageBreakBefore w:val="0"/>
              <w:widowControl w:val="0"/>
              <w:kinsoku/>
              <w:wordWrap/>
              <w:overflowPunct/>
              <w:topLinePunct w:val="0"/>
              <w:autoSpaceDE/>
              <w:autoSpaceDN/>
              <w:bidi w:val="0"/>
              <w:adjustRightInd w:val="0"/>
              <w:snapToGrid w:val="0"/>
              <w:spacing w:line="480" w:lineRule="exact"/>
              <w:ind w:right="-11"/>
              <w:jc w:val="center"/>
              <w:textAlignment w:val="auto"/>
              <w:rPr>
                <w:rFonts w:hint="eastAsia" w:ascii="宋体" w:hAnsi="宋体" w:eastAsia="宋体"/>
                <w:color w:val="auto"/>
                <w:sz w:val="24"/>
                <w:highlight w:val="none"/>
              </w:rPr>
            </w:pPr>
            <w:r>
              <w:rPr>
                <w:rFonts w:hint="eastAsia" w:ascii="宋体" w:hAnsi="宋体" w:eastAsia="宋体"/>
                <w:b/>
                <w:color w:val="auto"/>
                <w:sz w:val="24"/>
                <w:szCs w:val="22"/>
                <w:highlight w:val="none"/>
              </w:rPr>
              <w:t>资格审查表</w:t>
            </w:r>
          </w:p>
        </w:tc>
      </w:tr>
      <w:tr w14:paraId="5285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tcBorders>
              <w:bottom w:val="single" w:color="auto" w:sz="4" w:space="0"/>
            </w:tcBorders>
            <w:vAlign w:val="center"/>
          </w:tcPr>
          <w:p w14:paraId="1AE5B5AF">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序号</w:t>
            </w:r>
          </w:p>
        </w:tc>
        <w:tc>
          <w:tcPr>
            <w:tcW w:w="875" w:type="pct"/>
            <w:tcBorders>
              <w:bottom w:val="single" w:color="auto" w:sz="4" w:space="0"/>
            </w:tcBorders>
            <w:vAlign w:val="center"/>
          </w:tcPr>
          <w:p w14:paraId="1A612452">
            <w:pPr>
              <w:pStyle w:val="59"/>
              <w:keepNext w:val="0"/>
              <w:keepLines w:val="0"/>
              <w:pageBreakBefore w:val="0"/>
              <w:pBdr>
                <w:bottom w:val="none" w:color="auto" w:sz="0" w:space="0"/>
              </w:pBdr>
              <w:tabs>
                <w:tab w:val="clear" w:pos="4153"/>
                <w:tab w:val="clear" w:pos="8306"/>
              </w:tabs>
              <w:kinsoku/>
              <w:overflowPunct/>
              <w:topLinePunct w:val="0"/>
              <w:autoSpaceDE/>
              <w:autoSpaceDN/>
              <w:bidi w:val="0"/>
              <w:snapToGrid w:val="0"/>
              <w:spacing w:line="520" w:lineRule="exact"/>
              <w:ind w:right="-10"/>
              <w:textAlignment w:val="auto"/>
              <w:rPr>
                <w:rFonts w:hint="eastAsia" w:ascii="宋体" w:hAnsi="宋体" w:eastAsia="宋体"/>
                <w:color w:val="auto"/>
                <w:kern w:val="2"/>
                <w:szCs w:val="24"/>
                <w:highlight w:val="none"/>
              </w:rPr>
            </w:pPr>
            <w:r>
              <w:rPr>
                <w:rFonts w:hint="eastAsia" w:ascii="宋体" w:hAnsi="宋体" w:eastAsia="宋体"/>
                <w:color w:val="auto"/>
                <w:kern w:val="2"/>
                <w:szCs w:val="24"/>
                <w:highlight w:val="none"/>
              </w:rPr>
              <w:t>审查因素</w:t>
            </w:r>
          </w:p>
        </w:tc>
        <w:tc>
          <w:tcPr>
            <w:tcW w:w="2583" w:type="pct"/>
            <w:tcBorders>
              <w:bottom w:val="single" w:color="auto" w:sz="4" w:space="0"/>
            </w:tcBorders>
            <w:vAlign w:val="center"/>
          </w:tcPr>
          <w:p w14:paraId="1F68C9B6">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审查内容</w:t>
            </w:r>
          </w:p>
        </w:tc>
        <w:tc>
          <w:tcPr>
            <w:tcW w:w="1196" w:type="pct"/>
            <w:tcBorders>
              <w:bottom w:val="single" w:color="auto" w:sz="4" w:space="0"/>
            </w:tcBorders>
            <w:vAlign w:val="center"/>
          </w:tcPr>
          <w:p w14:paraId="1C426FD6">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格式要求</w:t>
            </w:r>
          </w:p>
        </w:tc>
      </w:tr>
      <w:tr w14:paraId="6E5B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44" w:type="pct"/>
            <w:tcBorders>
              <w:bottom w:val="single" w:color="auto" w:sz="4" w:space="0"/>
            </w:tcBorders>
            <w:vAlign w:val="center"/>
          </w:tcPr>
          <w:p w14:paraId="63719A53">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1</w:t>
            </w:r>
          </w:p>
        </w:tc>
        <w:tc>
          <w:tcPr>
            <w:tcW w:w="875" w:type="pct"/>
            <w:tcBorders>
              <w:bottom w:val="single" w:color="auto" w:sz="4" w:space="0"/>
            </w:tcBorders>
            <w:vAlign w:val="center"/>
          </w:tcPr>
          <w:p w14:paraId="3A6195B3">
            <w:pPr>
              <w:keepNext w:val="0"/>
              <w:keepLines w:val="0"/>
              <w:pageBreakBefore w:val="0"/>
              <w:widowControl w:val="0"/>
              <w:kinsoku/>
              <w:wordWrap/>
              <w:overflowPunct/>
              <w:topLinePunct w:val="0"/>
              <w:autoSpaceDE/>
              <w:autoSpaceDN/>
              <w:bidi w:val="0"/>
              <w:adjustRightInd/>
              <w:snapToGrid/>
              <w:spacing w:line="520" w:lineRule="exact"/>
              <w:ind w:right="-11"/>
              <w:jc w:val="center"/>
              <w:textAlignment w:val="auto"/>
              <w:rPr>
                <w:rFonts w:hint="eastAsia" w:ascii="宋体" w:hAnsi="宋体" w:eastAsia="宋体"/>
                <w:color w:val="auto"/>
                <w:sz w:val="24"/>
                <w:szCs w:val="28"/>
                <w:highlight w:val="none"/>
              </w:rPr>
            </w:pPr>
            <w:r>
              <w:rPr>
                <w:rFonts w:ascii="宋体" w:hAnsi="宋体" w:eastAsia="宋体" w:cs="宋体"/>
                <w:color w:val="auto"/>
                <w:spacing w:val="9"/>
                <w:sz w:val="24"/>
                <w:szCs w:val="24"/>
                <w:highlight w:val="none"/>
              </w:rPr>
              <w:t>营业执照等证明</w:t>
            </w:r>
            <w:r>
              <w:rPr>
                <w:rFonts w:ascii="宋体" w:hAnsi="宋体" w:eastAsia="宋体" w:cs="宋体"/>
                <w:color w:val="auto"/>
                <w:spacing w:val="-3"/>
                <w:sz w:val="24"/>
                <w:szCs w:val="24"/>
                <w:highlight w:val="none"/>
              </w:rPr>
              <w:t>文件</w:t>
            </w:r>
          </w:p>
        </w:tc>
        <w:tc>
          <w:tcPr>
            <w:tcW w:w="2583" w:type="pct"/>
            <w:tcBorders>
              <w:bottom w:val="single" w:color="auto" w:sz="4" w:space="0"/>
            </w:tcBorders>
            <w:vAlign w:val="center"/>
          </w:tcPr>
          <w:p w14:paraId="101262B8">
            <w:pPr>
              <w:keepNext w:val="0"/>
              <w:keepLines w:val="0"/>
              <w:pageBreakBefore w:val="0"/>
              <w:widowControl w:val="0"/>
              <w:kinsoku/>
              <w:wordWrap/>
              <w:overflowPunct/>
              <w:topLinePunct w:val="0"/>
              <w:autoSpaceDE/>
              <w:autoSpaceDN/>
              <w:bidi w:val="0"/>
              <w:adjustRightInd/>
              <w:snapToGrid/>
              <w:spacing w:line="520" w:lineRule="exact"/>
              <w:ind w:right="-1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供有效的营业执照；</w:t>
            </w:r>
          </w:p>
          <w:p w14:paraId="7B31C149">
            <w:pPr>
              <w:keepNext w:val="0"/>
              <w:keepLines w:val="0"/>
              <w:pageBreakBefore w:val="0"/>
              <w:widowControl w:val="0"/>
              <w:kinsoku/>
              <w:wordWrap/>
              <w:overflowPunct/>
              <w:topLinePunct w:val="0"/>
              <w:autoSpaceDE/>
              <w:autoSpaceDN/>
              <w:bidi w:val="0"/>
              <w:adjustRightInd/>
              <w:snapToGrid/>
              <w:spacing w:line="520" w:lineRule="exact"/>
              <w:ind w:right="-1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供有效的事业单位法人证书；</w:t>
            </w:r>
          </w:p>
          <w:p w14:paraId="455ABBEA">
            <w:pPr>
              <w:keepNext w:val="0"/>
              <w:keepLines w:val="0"/>
              <w:pageBreakBefore w:val="0"/>
              <w:widowControl w:val="0"/>
              <w:kinsoku/>
              <w:wordWrap/>
              <w:overflowPunct/>
              <w:topLinePunct w:val="0"/>
              <w:autoSpaceDE/>
              <w:autoSpaceDN/>
              <w:bidi w:val="0"/>
              <w:adjustRightInd/>
              <w:snapToGrid/>
              <w:spacing w:line="520" w:lineRule="exact"/>
              <w:ind w:right="-1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rPr>
              <w:t>或</w:t>
            </w:r>
            <w:r>
              <w:rPr>
                <w:rFonts w:ascii="宋体" w:hAnsi="宋体" w:eastAsia="宋体" w:cs="宋体"/>
                <w:color w:val="auto"/>
                <w:sz w:val="24"/>
                <w:szCs w:val="24"/>
                <w:highlight w:val="none"/>
              </w:rPr>
              <w:t>登记证书等证明文件；</w:t>
            </w:r>
          </w:p>
          <w:p w14:paraId="08C8F4B7">
            <w:pPr>
              <w:keepNext w:val="0"/>
              <w:keepLines w:val="0"/>
              <w:pageBreakBefore w:val="0"/>
              <w:widowControl w:val="0"/>
              <w:kinsoku/>
              <w:wordWrap/>
              <w:overflowPunct/>
              <w:topLinePunct w:val="0"/>
              <w:autoSpaceDE/>
              <w:autoSpaceDN/>
              <w:bidi w:val="0"/>
              <w:adjustRightInd/>
              <w:snapToGrid/>
              <w:spacing w:line="520" w:lineRule="exact"/>
              <w:ind w:right="-1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供有效的个体工商户营业执照；</w:t>
            </w:r>
          </w:p>
          <w:p w14:paraId="3243D203">
            <w:pPr>
              <w:keepNext w:val="0"/>
              <w:keepLines w:val="0"/>
              <w:pageBreakBefore w:val="0"/>
              <w:widowControl w:val="0"/>
              <w:kinsoku/>
              <w:wordWrap/>
              <w:overflowPunct/>
              <w:topLinePunct w:val="0"/>
              <w:autoSpaceDE/>
              <w:autoSpaceDN/>
              <w:bidi w:val="0"/>
              <w:adjustRightInd/>
              <w:snapToGrid/>
              <w:spacing w:line="520" w:lineRule="exact"/>
              <w:ind w:right="-11"/>
              <w:jc w:val="left"/>
              <w:textAlignment w:val="auto"/>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rPr>
              <w:t>（5）</w:t>
            </w:r>
            <w:r>
              <w:rPr>
                <w:rFonts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供有效的自然人身份证明。</w:t>
            </w:r>
          </w:p>
        </w:tc>
        <w:tc>
          <w:tcPr>
            <w:tcW w:w="1196" w:type="pct"/>
            <w:vAlign w:val="center"/>
          </w:tcPr>
          <w:p w14:paraId="41AC3EC0">
            <w:pPr>
              <w:keepNext w:val="0"/>
              <w:keepLines w:val="0"/>
              <w:pageBreakBefore w:val="0"/>
              <w:kinsoku/>
              <w:overflowPunct/>
              <w:topLinePunct w:val="0"/>
              <w:autoSpaceDE/>
              <w:autoSpaceDN/>
              <w:bidi w:val="0"/>
              <w:spacing w:line="520" w:lineRule="exact"/>
              <w:jc w:val="left"/>
              <w:rPr>
                <w:rFonts w:hint="eastAsia" w:ascii="宋体" w:hAnsi="宋体" w:eastAsia="宋体"/>
                <w:color w:val="auto"/>
                <w:sz w:val="24"/>
                <w:highlight w:val="none"/>
              </w:rPr>
            </w:pPr>
            <w:r>
              <w:rPr>
                <w:rFonts w:hint="eastAsia" w:ascii="宋体" w:hAnsi="宋体" w:eastAsia="宋体" w:cs="宋体"/>
                <w:color w:val="auto"/>
                <w:sz w:val="24"/>
                <w:szCs w:val="24"/>
                <w:highlight w:val="none"/>
              </w:rPr>
              <w:t>提供材料扫描件或电子证照，应完整的体现出材料或电子证照全部内容。</w:t>
            </w:r>
          </w:p>
        </w:tc>
      </w:tr>
      <w:tr w14:paraId="1219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44" w:type="pct"/>
            <w:tcBorders>
              <w:bottom w:val="single" w:color="auto" w:sz="4" w:space="0"/>
            </w:tcBorders>
            <w:vAlign w:val="center"/>
          </w:tcPr>
          <w:p w14:paraId="76F06FD9">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2</w:t>
            </w:r>
          </w:p>
        </w:tc>
        <w:tc>
          <w:tcPr>
            <w:tcW w:w="875" w:type="pct"/>
            <w:tcBorders>
              <w:bottom w:val="single" w:color="auto" w:sz="4" w:space="0"/>
            </w:tcBorders>
            <w:vAlign w:val="center"/>
          </w:tcPr>
          <w:p w14:paraId="52A725A5">
            <w:pPr>
              <w:keepNext w:val="0"/>
              <w:keepLines w:val="0"/>
              <w:pageBreakBefore w:val="0"/>
              <w:kinsoku/>
              <w:overflowPunct/>
              <w:topLinePunct w:val="0"/>
              <w:autoSpaceDE/>
              <w:autoSpaceDN/>
              <w:bidi w:val="0"/>
              <w:spacing w:line="520" w:lineRule="exact"/>
              <w:ind w:right="-10"/>
              <w:jc w:val="center"/>
              <w:rPr>
                <w:rFonts w:hint="eastAsia" w:ascii="宋体" w:hAnsi="宋体" w:eastAsia="宋体"/>
                <w:color w:val="auto"/>
                <w:sz w:val="24"/>
                <w:szCs w:val="28"/>
                <w:highlight w:val="none"/>
              </w:rPr>
            </w:pPr>
            <w:r>
              <w:rPr>
                <w:rFonts w:hint="eastAsia" w:ascii="宋体" w:hAnsi="宋体" w:eastAsia="宋体"/>
                <w:color w:val="auto"/>
                <w:sz w:val="24"/>
                <w:szCs w:val="18"/>
                <w:highlight w:val="none"/>
              </w:rPr>
              <w:t>投标人资格声明书</w:t>
            </w:r>
          </w:p>
        </w:tc>
        <w:tc>
          <w:tcPr>
            <w:tcW w:w="2583" w:type="pct"/>
            <w:tcBorders>
              <w:bottom w:val="single" w:color="auto" w:sz="4" w:space="0"/>
            </w:tcBorders>
            <w:vAlign w:val="center"/>
          </w:tcPr>
          <w:p w14:paraId="6E366274">
            <w:pPr>
              <w:keepNext w:val="0"/>
              <w:keepLines w:val="0"/>
              <w:pageBreakBefore w:val="0"/>
              <w:kinsoku/>
              <w:overflowPunct/>
              <w:topLinePunct w:val="0"/>
              <w:autoSpaceDE/>
              <w:autoSpaceDN/>
              <w:bidi w:val="0"/>
              <w:spacing w:line="520" w:lineRule="exact"/>
              <w:ind w:right="-1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rPr>
              <w:t>。</w:t>
            </w:r>
          </w:p>
        </w:tc>
        <w:tc>
          <w:tcPr>
            <w:tcW w:w="1196" w:type="pct"/>
            <w:vAlign w:val="center"/>
          </w:tcPr>
          <w:p w14:paraId="725D7D8B">
            <w:pPr>
              <w:keepNext w:val="0"/>
              <w:keepLines w:val="0"/>
              <w:pageBreakBefore w:val="0"/>
              <w:kinsoku/>
              <w:overflowPunct/>
              <w:topLinePunct w:val="0"/>
              <w:autoSpaceDE/>
              <w:autoSpaceDN/>
              <w:bidi w:val="0"/>
              <w:spacing w:line="520" w:lineRule="exact"/>
              <w:jc w:val="left"/>
              <w:rPr>
                <w:rFonts w:hint="eastAsia" w:ascii="宋体" w:hAnsi="宋体" w:eastAsia="宋体" w:cs="宋体"/>
                <w:color w:val="auto"/>
                <w:sz w:val="24"/>
                <w:szCs w:val="24"/>
                <w:highlight w:val="none"/>
              </w:rPr>
            </w:pPr>
            <w:r>
              <w:rPr>
                <w:rFonts w:hint="eastAsia" w:ascii="宋体" w:hAnsi="宋体" w:eastAsia="宋体"/>
                <w:color w:val="auto"/>
                <w:sz w:val="24"/>
                <w:highlight w:val="none"/>
              </w:rPr>
              <w:t>详见第六章投标文件格式。</w:t>
            </w:r>
          </w:p>
        </w:tc>
      </w:tr>
      <w:tr w14:paraId="292E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344" w:type="pct"/>
            <w:tcBorders>
              <w:bottom w:val="single" w:color="auto" w:sz="4" w:space="0"/>
            </w:tcBorders>
            <w:vAlign w:val="center"/>
          </w:tcPr>
          <w:p w14:paraId="7EF91AF2">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3</w:t>
            </w:r>
          </w:p>
        </w:tc>
        <w:tc>
          <w:tcPr>
            <w:tcW w:w="875" w:type="pct"/>
            <w:tcBorders>
              <w:bottom w:val="single" w:color="auto" w:sz="4" w:space="0"/>
            </w:tcBorders>
            <w:vAlign w:val="center"/>
          </w:tcPr>
          <w:p w14:paraId="470965A2">
            <w:pPr>
              <w:keepNext w:val="0"/>
              <w:keepLines w:val="0"/>
              <w:pageBreakBefore w:val="0"/>
              <w:kinsoku/>
              <w:overflowPunct/>
              <w:topLinePunct w:val="0"/>
              <w:autoSpaceDE/>
              <w:autoSpaceDN/>
              <w:bidi w:val="0"/>
              <w:spacing w:line="520" w:lineRule="exact"/>
              <w:ind w:right="-10"/>
              <w:jc w:val="center"/>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583" w:type="pct"/>
            <w:tcBorders>
              <w:bottom w:val="single" w:color="auto" w:sz="4" w:space="0"/>
            </w:tcBorders>
            <w:vAlign w:val="center"/>
          </w:tcPr>
          <w:p w14:paraId="55DB2DED">
            <w:pPr>
              <w:keepNext w:val="0"/>
              <w:keepLines w:val="0"/>
              <w:pageBreakBefore w:val="0"/>
              <w:kinsoku/>
              <w:overflowPunct/>
              <w:topLinePunct w:val="0"/>
              <w:autoSpaceDE/>
              <w:autoSpaceDN/>
              <w:bidi w:val="0"/>
              <w:spacing w:line="520" w:lineRule="exact"/>
              <w:ind w:right="-10"/>
              <w:jc w:val="left"/>
              <w:rPr>
                <w:rFonts w:hint="eastAsia"/>
                <w:color w:val="auto"/>
                <w:highlight w:val="none"/>
              </w:rPr>
            </w:pPr>
            <w:r>
              <w:rPr>
                <w:rFonts w:hint="eastAsia" w:ascii="宋体" w:hAnsi="宋体" w:eastAsia="宋体" w:cs="宋体"/>
                <w:color w:val="auto"/>
                <w:sz w:val="24"/>
                <w:szCs w:val="24"/>
                <w:highlight w:val="none"/>
                <w:lang w:val="zh-CN"/>
              </w:rPr>
              <w:t>投标人不得存在</w:t>
            </w:r>
            <w:r>
              <w:rPr>
                <w:rFonts w:hint="eastAsia" w:ascii="宋体" w:hAnsi="宋体" w:eastAsia="宋体" w:cs="宋体"/>
                <w:color w:val="auto"/>
                <w:sz w:val="24"/>
                <w:szCs w:val="24"/>
                <w:highlight w:val="none"/>
              </w:rPr>
              <w:t>投标邀请第4条信誉要求和</w:t>
            </w:r>
            <w:r>
              <w:rPr>
                <w:rFonts w:hint="eastAsia" w:ascii="宋体" w:hAnsi="宋体" w:eastAsia="宋体" w:cs="宋体"/>
                <w:color w:val="auto"/>
                <w:sz w:val="24"/>
                <w:szCs w:val="24"/>
                <w:highlight w:val="none"/>
                <w:lang w:val="zh-CN"/>
              </w:rPr>
              <w:t>投标人须知正文第1</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196" w:type="pct"/>
            <w:tcBorders>
              <w:bottom w:val="single" w:color="auto" w:sz="4" w:space="0"/>
            </w:tcBorders>
            <w:vAlign w:val="center"/>
          </w:tcPr>
          <w:p w14:paraId="33774D9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color w:val="auto"/>
                <w:highlight w:val="none"/>
              </w:rPr>
            </w:pPr>
            <w:r>
              <w:rPr>
                <w:rFonts w:hint="eastAsia" w:ascii="宋体" w:hAnsi="宋体" w:eastAsia="宋体" w:cs="宋体"/>
                <w:color w:val="auto"/>
                <w:sz w:val="24"/>
                <w:szCs w:val="24"/>
                <w:highlight w:val="none"/>
              </w:rPr>
              <w:t>无须投标人提供，由采购人或采购代理机构查询。</w:t>
            </w:r>
          </w:p>
        </w:tc>
      </w:tr>
      <w:tr w14:paraId="5320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tcBorders>
              <w:bottom w:val="single" w:color="auto" w:sz="4" w:space="0"/>
            </w:tcBorders>
            <w:vAlign w:val="center"/>
          </w:tcPr>
          <w:p w14:paraId="07A1C851">
            <w:pPr>
              <w:keepNext w:val="0"/>
              <w:keepLines w:val="0"/>
              <w:pageBreakBefore w:val="0"/>
              <w:kinsoku/>
              <w:overflowPunct/>
              <w:topLinePunct w:val="0"/>
              <w:autoSpaceDE/>
              <w:autoSpaceDN/>
              <w:bidi w:val="0"/>
              <w:spacing w:line="520" w:lineRule="exact"/>
              <w:ind w:right="-1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875" w:type="pct"/>
            <w:tcBorders>
              <w:bottom w:val="single" w:color="auto" w:sz="4" w:space="0"/>
            </w:tcBorders>
            <w:vAlign w:val="center"/>
          </w:tcPr>
          <w:p w14:paraId="0D4E7444">
            <w:pPr>
              <w:keepNext w:val="0"/>
              <w:keepLines w:val="0"/>
              <w:pageBreakBefore w:val="0"/>
              <w:kinsoku/>
              <w:overflowPunct/>
              <w:topLinePunct w:val="0"/>
              <w:autoSpaceDE/>
              <w:autoSpaceDN/>
              <w:bidi w:val="0"/>
              <w:spacing w:line="520" w:lineRule="exact"/>
              <w:ind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其他特定资格</w:t>
            </w:r>
          </w:p>
          <w:p w14:paraId="7C553359">
            <w:pPr>
              <w:keepNext w:val="0"/>
              <w:keepLines w:val="0"/>
              <w:pageBreakBefore w:val="0"/>
              <w:kinsoku/>
              <w:overflowPunct/>
              <w:topLinePunct w:val="0"/>
              <w:autoSpaceDE/>
              <w:autoSpaceDN/>
              <w:bidi w:val="0"/>
              <w:spacing w:line="520" w:lineRule="exact"/>
              <w:ind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要求</w:t>
            </w:r>
          </w:p>
        </w:tc>
        <w:tc>
          <w:tcPr>
            <w:tcW w:w="2583" w:type="pct"/>
            <w:tcBorders>
              <w:bottom w:val="single" w:color="auto" w:sz="4" w:space="0"/>
            </w:tcBorders>
            <w:vAlign w:val="center"/>
          </w:tcPr>
          <w:p w14:paraId="443528F5">
            <w:pPr>
              <w:keepNext w:val="0"/>
              <w:keepLines w:val="0"/>
              <w:pageBreakBefore w:val="0"/>
              <w:kinsoku/>
              <w:overflowPunct/>
              <w:topLinePunct w:val="0"/>
              <w:autoSpaceDE/>
              <w:autoSpaceDN/>
              <w:bidi w:val="0"/>
              <w:spacing w:line="520" w:lineRule="exact"/>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如有，见第一章《招标</w:t>
            </w:r>
            <w:r>
              <w:rPr>
                <w:rFonts w:ascii="宋体" w:hAnsi="宋体" w:eastAsia="宋体" w:cs="宋体"/>
                <w:color w:val="auto"/>
                <w:spacing w:val="10"/>
                <w:sz w:val="24"/>
                <w:szCs w:val="24"/>
                <w:highlight w:val="none"/>
              </w:rPr>
              <w:t>邀请</w:t>
            </w:r>
            <w:r>
              <w:rPr>
                <w:rFonts w:hint="eastAsia" w:ascii="宋体" w:hAnsi="宋体" w:eastAsia="宋体" w:cs="宋体"/>
                <w:color w:val="auto"/>
                <w:sz w:val="24"/>
                <w:szCs w:val="24"/>
                <w:highlight w:val="none"/>
              </w:rPr>
              <w:t>》</w:t>
            </w:r>
          </w:p>
        </w:tc>
        <w:tc>
          <w:tcPr>
            <w:tcW w:w="1196" w:type="pct"/>
            <w:tcBorders>
              <w:bottom w:val="single" w:color="auto" w:sz="4" w:space="0"/>
            </w:tcBorders>
            <w:vAlign w:val="center"/>
          </w:tcPr>
          <w:p w14:paraId="3CB91EF9">
            <w:pPr>
              <w:keepNext w:val="0"/>
              <w:keepLines w:val="0"/>
              <w:pageBreakBefore w:val="0"/>
              <w:widowControl w:val="0"/>
              <w:kinsoku/>
              <w:wordWrap/>
              <w:overflowPunct/>
              <w:topLinePunct w:val="0"/>
              <w:autoSpaceDE/>
              <w:autoSpaceDN/>
              <w:bidi w:val="0"/>
              <w:adjustRightInd/>
              <w:snapToGrid/>
              <w:spacing w:line="480" w:lineRule="exact"/>
              <w:ind w:right="-1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提供材料扫描件 </w:t>
            </w:r>
          </w:p>
          <w:p w14:paraId="12CB5D78">
            <w:pPr>
              <w:keepNext w:val="0"/>
              <w:keepLines w:val="0"/>
              <w:pageBreakBefore w:val="0"/>
              <w:widowControl w:val="0"/>
              <w:kinsoku/>
              <w:wordWrap/>
              <w:overflowPunct/>
              <w:topLinePunct w:val="0"/>
              <w:autoSpaceDE/>
              <w:autoSpaceDN/>
              <w:bidi w:val="0"/>
              <w:adjustRightInd/>
              <w:snapToGrid/>
              <w:spacing w:line="480" w:lineRule="exact"/>
              <w:ind w:right="-1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或电子证照，应完 整的体现出材料 或电子证照全部内容。</w:t>
            </w:r>
          </w:p>
        </w:tc>
      </w:tr>
    </w:tbl>
    <w:p w14:paraId="6B668897">
      <w:pPr>
        <w:keepNext w:val="0"/>
        <w:keepLines w:val="0"/>
        <w:pageBreakBefore w:val="0"/>
        <w:kinsoku/>
        <w:overflowPunct/>
        <w:topLinePunct w:val="0"/>
        <w:autoSpaceDE/>
        <w:autoSpaceDN/>
        <w:bidi w:val="0"/>
        <w:spacing w:line="520" w:lineRule="exact"/>
        <w:ind w:firstLine="435"/>
        <w:rPr>
          <w:rFonts w:hint="eastAsia"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1A086650">
      <w:pPr>
        <w:keepNext w:val="0"/>
        <w:keepLines w:val="0"/>
        <w:pageBreakBefore w:val="0"/>
        <w:kinsoku/>
        <w:overflowPunct/>
        <w:topLinePunct w:val="0"/>
        <w:autoSpaceDE/>
        <w:autoSpaceDN/>
        <w:bidi w:val="0"/>
        <w:spacing w:line="520" w:lineRule="exact"/>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3120B6ED">
      <w:pPr>
        <w:keepNext w:val="0"/>
        <w:keepLines w:val="0"/>
        <w:pageBreakBefore w:val="0"/>
        <w:kinsoku/>
        <w:overflowPunct/>
        <w:topLinePunct w:val="0"/>
        <w:autoSpaceDE/>
        <w:autoSpaceDN/>
        <w:bidi w:val="0"/>
        <w:spacing w:line="52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38"/>
        <w:tblW w:w="55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785"/>
        <w:gridCol w:w="3929"/>
        <w:gridCol w:w="3165"/>
      </w:tblGrid>
      <w:tr w14:paraId="7A10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1F967B58">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b/>
                <w:bCs/>
                <w:color w:val="auto"/>
                <w:sz w:val="24"/>
                <w:highlight w:val="none"/>
              </w:rPr>
            </w:pPr>
            <w:r>
              <w:rPr>
                <w:rFonts w:hint="eastAsia" w:ascii="宋体" w:hAnsi="宋体" w:eastAsia="宋体"/>
                <w:b/>
                <w:bCs/>
                <w:color w:val="auto"/>
                <w:sz w:val="24"/>
                <w:highlight w:val="none"/>
              </w:rPr>
              <w:t>符合性审查表</w:t>
            </w:r>
          </w:p>
        </w:tc>
      </w:tr>
      <w:tr w14:paraId="5DA7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53" w:type="pct"/>
            <w:tcBorders>
              <w:bottom w:val="single" w:color="auto" w:sz="4" w:space="0"/>
            </w:tcBorders>
            <w:vAlign w:val="center"/>
          </w:tcPr>
          <w:p w14:paraId="5DBD8D93">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序号</w:t>
            </w:r>
          </w:p>
        </w:tc>
        <w:tc>
          <w:tcPr>
            <w:tcW w:w="914" w:type="pct"/>
            <w:tcBorders>
              <w:bottom w:val="single" w:color="auto" w:sz="4" w:space="0"/>
            </w:tcBorders>
            <w:vAlign w:val="center"/>
          </w:tcPr>
          <w:p w14:paraId="37D3B561">
            <w:pPr>
              <w:pStyle w:val="59"/>
              <w:keepNext w:val="0"/>
              <w:keepLines w:val="0"/>
              <w:pageBreakBefore w:val="0"/>
              <w:pBdr>
                <w:bottom w:val="none" w:color="auto" w:sz="0" w:space="0"/>
              </w:pBdr>
              <w:tabs>
                <w:tab w:val="clear" w:pos="4153"/>
                <w:tab w:val="clear" w:pos="8306"/>
              </w:tabs>
              <w:kinsoku/>
              <w:overflowPunct/>
              <w:topLinePunct w:val="0"/>
              <w:autoSpaceDE/>
              <w:autoSpaceDN/>
              <w:bidi w:val="0"/>
              <w:snapToGrid w:val="0"/>
              <w:spacing w:line="520" w:lineRule="exact"/>
              <w:ind w:right="-10"/>
              <w:textAlignment w:val="auto"/>
              <w:rPr>
                <w:rFonts w:hint="eastAsia" w:ascii="宋体" w:hAnsi="宋体" w:eastAsia="宋体"/>
                <w:color w:val="auto"/>
                <w:kern w:val="2"/>
                <w:highlight w:val="none"/>
              </w:rPr>
            </w:pPr>
            <w:r>
              <w:rPr>
                <w:rFonts w:hint="eastAsia" w:ascii="宋体" w:hAnsi="宋体" w:eastAsia="宋体"/>
                <w:color w:val="auto"/>
                <w:kern w:val="2"/>
                <w:highlight w:val="none"/>
              </w:rPr>
              <w:t>审查指标</w:t>
            </w:r>
          </w:p>
        </w:tc>
        <w:tc>
          <w:tcPr>
            <w:tcW w:w="2012" w:type="pct"/>
            <w:tcBorders>
              <w:bottom w:val="single" w:color="auto" w:sz="4" w:space="0"/>
            </w:tcBorders>
            <w:vAlign w:val="center"/>
          </w:tcPr>
          <w:p w14:paraId="76D275F2">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审查标准</w:t>
            </w:r>
          </w:p>
        </w:tc>
        <w:tc>
          <w:tcPr>
            <w:tcW w:w="1619" w:type="pct"/>
            <w:tcBorders>
              <w:bottom w:val="single" w:color="auto" w:sz="4" w:space="0"/>
            </w:tcBorders>
            <w:vAlign w:val="center"/>
          </w:tcPr>
          <w:p w14:paraId="4F3671BA">
            <w:pPr>
              <w:keepNext w:val="0"/>
              <w:keepLines w:val="0"/>
              <w:pageBreakBefore w:val="0"/>
              <w:kinsoku/>
              <w:overflowPunct/>
              <w:topLinePunct w:val="0"/>
              <w:autoSpaceDE/>
              <w:autoSpaceDN/>
              <w:bidi w:val="0"/>
              <w:adjustRightInd w:val="0"/>
              <w:snapToGrid w:val="0"/>
              <w:spacing w:line="520" w:lineRule="exact"/>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格式要求</w:t>
            </w:r>
          </w:p>
        </w:tc>
      </w:tr>
      <w:tr w14:paraId="516E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36726D47">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914" w:type="pct"/>
            <w:vAlign w:val="center"/>
          </w:tcPr>
          <w:p w14:paraId="370C71D2">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highlight w:val="none"/>
              </w:rPr>
              <w:t>开标一览表</w:t>
            </w:r>
          </w:p>
        </w:tc>
        <w:tc>
          <w:tcPr>
            <w:tcW w:w="2012" w:type="pct"/>
            <w:vAlign w:val="center"/>
          </w:tcPr>
          <w:p w14:paraId="4EA35B45">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19" w:type="pct"/>
            <w:vAlign w:val="center"/>
          </w:tcPr>
          <w:p w14:paraId="09B114CE">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278B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48C83765">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914" w:type="pct"/>
            <w:vAlign w:val="center"/>
          </w:tcPr>
          <w:p w14:paraId="4B70AFE5">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2012" w:type="pct"/>
            <w:vAlign w:val="center"/>
          </w:tcPr>
          <w:p w14:paraId="2F6A7AEB">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19" w:type="pct"/>
            <w:vAlign w:val="center"/>
          </w:tcPr>
          <w:p w14:paraId="5A726508">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039D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4C95815C">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p>
        </w:tc>
        <w:tc>
          <w:tcPr>
            <w:tcW w:w="914" w:type="pct"/>
            <w:vAlign w:val="center"/>
          </w:tcPr>
          <w:p w14:paraId="1AEC784A">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2012" w:type="pct"/>
            <w:vAlign w:val="center"/>
          </w:tcPr>
          <w:p w14:paraId="1AA73C09">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19" w:type="pct"/>
            <w:vAlign w:val="center"/>
          </w:tcPr>
          <w:p w14:paraId="7E8BDA3F">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法定代表人参加投标的无需此件，提供身份证明即可。详见第六章投标文件格式。</w:t>
            </w:r>
          </w:p>
        </w:tc>
      </w:tr>
      <w:tr w14:paraId="4E33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11D03A04">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914" w:type="pct"/>
            <w:vAlign w:val="center"/>
          </w:tcPr>
          <w:p w14:paraId="67CE1508">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2012" w:type="pct"/>
            <w:vAlign w:val="center"/>
          </w:tcPr>
          <w:p w14:paraId="31E232ED">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highlight w:val="none"/>
              </w:rPr>
              <w:t>招标文件投标人须知正文第9条要求</w:t>
            </w:r>
          </w:p>
        </w:tc>
        <w:tc>
          <w:tcPr>
            <w:tcW w:w="1619" w:type="pct"/>
            <w:vAlign w:val="center"/>
          </w:tcPr>
          <w:p w14:paraId="349185C1">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3864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412FB5C4">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p>
        </w:tc>
        <w:tc>
          <w:tcPr>
            <w:tcW w:w="914" w:type="pct"/>
            <w:vAlign w:val="center"/>
          </w:tcPr>
          <w:p w14:paraId="720297F2">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2012" w:type="pct"/>
            <w:vAlign w:val="center"/>
          </w:tcPr>
          <w:p w14:paraId="6882BD79">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符合招标文件采购需求中对付款方式、服务地点、服务期限等实质性要求</w:t>
            </w:r>
          </w:p>
        </w:tc>
        <w:tc>
          <w:tcPr>
            <w:tcW w:w="1619" w:type="pct"/>
            <w:vAlign w:val="center"/>
          </w:tcPr>
          <w:p w14:paraId="521501AD">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详见第六章投标文件格式。</w:t>
            </w:r>
          </w:p>
        </w:tc>
      </w:tr>
      <w:tr w14:paraId="4A13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73412A00">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6</w:t>
            </w:r>
          </w:p>
        </w:tc>
        <w:tc>
          <w:tcPr>
            <w:tcW w:w="914" w:type="pct"/>
            <w:shd w:val="clear" w:color="auto" w:fill="auto"/>
            <w:vAlign w:val="center"/>
          </w:tcPr>
          <w:p w14:paraId="476DEF58">
            <w:pPr>
              <w:keepNext w:val="0"/>
              <w:keepLines w:val="0"/>
              <w:pageBreakBefore w:val="0"/>
              <w:kinsoku/>
              <w:overflowPunct/>
              <w:topLinePunct w:val="0"/>
              <w:autoSpaceDE/>
              <w:autoSpaceDN/>
              <w:bidi w:val="0"/>
              <w:spacing w:line="520" w:lineRule="exact"/>
              <w:ind w:right="-10" w:rightChars="0"/>
              <w:jc w:val="center"/>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sz w:val="24"/>
                <w:szCs w:val="28"/>
                <w:highlight w:val="none"/>
              </w:rPr>
              <w:t>技术响应情况</w:t>
            </w:r>
          </w:p>
        </w:tc>
        <w:tc>
          <w:tcPr>
            <w:tcW w:w="2012" w:type="pct"/>
            <w:shd w:val="clear" w:color="auto" w:fill="auto"/>
            <w:vAlign w:val="center"/>
          </w:tcPr>
          <w:p w14:paraId="35022F0F">
            <w:pPr>
              <w:keepNext w:val="0"/>
              <w:keepLines w:val="0"/>
              <w:pageBreakBefore w:val="0"/>
              <w:kinsoku/>
              <w:overflowPunct/>
              <w:topLinePunct w:val="0"/>
              <w:autoSpaceDE/>
              <w:autoSpaceDN/>
              <w:bidi w:val="0"/>
              <w:spacing w:line="520" w:lineRule="exact"/>
              <w:ind w:right="-10" w:rightChars="0"/>
              <w:jc w:val="center"/>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sz w:val="24"/>
                <w:szCs w:val="28"/>
                <w:highlight w:val="none"/>
              </w:rPr>
              <w:t>符合招标文件采购需求中货物技术参数等实质性要求;具体详见评分办法</w:t>
            </w:r>
          </w:p>
        </w:tc>
        <w:tc>
          <w:tcPr>
            <w:tcW w:w="1619" w:type="pct"/>
            <w:shd w:val="clear" w:color="auto" w:fill="auto"/>
            <w:vAlign w:val="center"/>
          </w:tcPr>
          <w:p w14:paraId="47F9607A">
            <w:pPr>
              <w:keepNext w:val="0"/>
              <w:keepLines w:val="0"/>
              <w:pageBreakBefore w:val="0"/>
              <w:kinsoku/>
              <w:overflowPunct/>
              <w:topLinePunct w:val="0"/>
              <w:autoSpaceDE/>
              <w:autoSpaceDN/>
              <w:bidi w:val="0"/>
              <w:adjustRightInd w:val="0"/>
              <w:snapToGrid w:val="0"/>
              <w:spacing w:line="520" w:lineRule="exact"/>
              <w:ind w:right="-10" w:rightChars="0"/>
              <w:jc w:val="center"/>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rPr>
              <w:t>详见第六章投标文件格式。</w:t>
            </w:r>
          </w:p>
        </w:tc>
      </w:tr>
      <w:tr w14:paraId="7686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1C07E023">
            <w:pPr>
              <w:keepNext w:val="0"/>
              <w:keepLines w:val="0"/>
              <w:pageBreakBefore w:val="0"/>
              <w:kinsoku/>
              <w:overflowPunct/>
              <w:topLinePunct w:val="0"/>
              <w:autoSpaceDE/>
              <w:autoSpaceDN/>
              <w:bidi w:val="0"/>
              <w:adjustRightInd w:val="0"/>
              <w:snapToGrid w:val="0"/>
              <w:spacing w:line="520" w:lineRule="exact"/>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7</w:t>
            </w:r>
          </w:p>
        </w:tc>
        <w:tc>
          <w:tcPr>
            <w:tcW w:w="914" w:type="pct"/>
            <w:vAlign w:val="center"/>
          </w:tcPr>
          <w:p w14:paraId="02F8CB2F">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2012" w:type="pct"/>
            <w:vAlign w:val="center"/>
          </w:tcPr>
          <w:p w14:paraId="3BCB8702">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符合法律、行政法规规定的其他条件或招标文件列明的其他实质性要求</w:t>
            </w:r>
          </w:p>
        </w:tc>
        <w:tc>
          <w:tcPr>
            <w:tcW w:w="1619" w:type="pct"/>
            <w:vAlign w:val="center"/>
          </w:tcPr>
          <w:p w14:paraId="2D0255EB">
            <w:pPr>
              <w:keepNext w:val="0"/>
              <w:keepLines w:val="0"/>
              <w:pageBreakBefore w:val="0"/>
              <w:kinsoku/>
              <w:overflowPunct/>
              <w:topLinePunct w:val="0"/>
              <w:autoSpaceDE/>
              <w:autoSpaceDN/>
              <w:bidi w:val="0"/>
              <w:spacing w:line="520" w:lineRule="exact"/>
              <w:ind w:right="-10"/>
              <w:jc w:val="center"/>
              <w:rPr>
                <w:rFonts w:hint="eastAsia" w:asciiTheme="minorEastAsia" w:hAnsiTheme="minorEastAsia" w:eastAsiaTheme="minorEastAsia"/>
                <w:color w:val="auto"/>
                <w:sz w:val="24"/>
                <w:szCs w:val="28"/>
                <w:highlight w:val="none"/>
              </w:rPr>
            </w:pPr>
          </w:p>
        </w:tc>
      </w:tr>
    </w:tbl>
    <w:p w14:paraId="61AB2CED">
      <w:pPr>
        <w:keepNext w:val="0"/>
        <w:keepLines w:val="0"/>
        <w:pageBreakBefore w:val="0"/>
        <w:kinsoku/>
        <w:overflowPunct/>
        <w:topLinePunct w:val="0"/>
        <w:autoSpaceDE/>
        <w:autoSpaceDN/>
        <w:bidi w:val="0"/>
        <w:spacing w:line="520" w:lineRule="exact"/>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5E325F1C">
      <w:pPr>
        <w:keepNext w:val="0"/>
        <w:keepLines w:val="0"/>
        <w:pageBreakBefore w:val="0"/>
        <w:kinsoku/>
        <w:overflowPunct/>
        <w:topLinePunct w:val="0"/>
        <w:autoSpaceDE/>
        <w:autoSpaceDN/>
        <w:bidi w:val="0"/>
        <w:spacing w:line="520" w:lineRule="exact"/>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2.3详细审查</w:t>
      </w:r>
    </w:p>
    <w:p w14:paraId="131C2114">
      <w:pPr>
        <w:keepNext w:val="0"/>
        <w:keepLines w:val="0"/>
        <w:pageBreakBefore w:val="0"/>
        <w:kinsoku/>
        <w:overflowPunct/>
        <w:topLinePunct w:val="0"/>
        <w:autoSpaceDE/>
        <w:autoSpaceDN/>
        <w:bidi w:val="0"/>
        <w:spacing w:line="52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rPr>
        <w:t>评标委员会按照下表对投标文件进行详细审查和评分。</w:t>
      </w:r>
    </w:p>
    <w:p w14:paraId="69380CD2">
      <w:pPr>
        <w:keepNext w:val="0"/>
        <w:keepLines w:val="0"/>
        <w:pageBreakBefore w:val="0"/>
        <w:kinsoku/>
        <w:overflowPunct/>
        <w:topLinePunct w:val="0"/>
        <w:autoSpaceDE/>
        <w:autoSpaceDN/>
        <w:bidi w:val="0"/>
        <w:spacing w:line="520" w:lineRule="exact"/>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分，其中：资信分值占总分值的权重为</w:t>
      </w:r>
      <w:r>
        <w:rPr>
          <w:rFonts w:hint="eastAsia" w:asciiTheme="minorEastAsia" w:hAnsiTheme="minorEastAsia" w:eastAsiaTheme="minorEastAsia"/>
          <w:color w:val="auto"/>
          <w:sz w:val="24"/>
          <w:highlight w:val="none"/>
          <w:u w:val="single"/>
          <w:lang w:val="en-US" w:eastAsia="zh-CN"/>
        </w:rPr>
        <w:t>24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技术分值占总分值的权重为</w:t>
      </w:r>
      <w:r>
        <w:rPr>
          <w:rFonts w:hint="eastAsia" w:asciiTheme="minorEastAsia" w:hAnsiTheme="minorEastAsia" w:eastAsiaTheme="minorEastAsia"/>
          <w:color w:val="auto"/>
          <w:sz w:val="24"/>
          <w:highlight w:val="none"/>
          <w:u w:val="single"/>
          <w:lang w:val="en-US" w:eastAsia="zh-CN"/>
        </w:rPr>
        <w:t>56</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20</w:t>
      </w:r>
      <w:r>
        <w:rPr>
          <w:rFonts w:asciiTheme="minorEastAsia" w:hAnsiTheme="minorEastAsia" w:eastAsiaTheme="minorEastAsia"/>
          <w:color w:val="auto"/>
          <w:sz w:val="24"/>
          <w:highlight w:val="none"/>
        </w:rPr>
        <w:t>%。具体评分细则如下：</w:t>
      </w:r>
    </w:p>
    <w:tbl>
      <w:tblPr>
        <w:tblStyle w:val="38"/>
        <w:tblW w:w="5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43"/>
        <w:gridCol w:w="6141"/>
        <w:gridCol w:w="1202"/>
      </w:tblGrid>
      <w:tr w14:paraId="07E8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78" w:type="pct"/>
            <w:tcBorders>
              <w:top w:val="single" w:color="auto" w:sz="4" w:space="0"/>
              <w:left w:val="single" w:color="auto" w:sz="4" w:space="0"/>
              <w:bottom w:val="single" w:color="auto" w:sz="4" w:space="0"/>
              <w:right w:val="single" w:color="auto" w:sz="4" w:space="0"/>
            </w:tcBorders>
            <w:vAlign w:val="center"/>
          </w:tcPr>
          <w:p w14:paraId="2A63B066">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类别</w:t>
            </w:r>
          </w:p>
        </w:tc>
        <w:tc>
          <w:tcPr>
            <w:tcW w:w="726" w:type="pct"/>
            <w:tcBorders>
              <w:top w:val="single" w:color="auto" w:sz="4" w:space="0"/>
              <w:left w:val="single" w:color="auto" w:sz="4" w:space="0"/>
              <w:bottom w:val="single" w:color="auto" w:sz="4" w:space="0"/>
              <w:right w:val="single" w:color="auto" w:sz="4" w:space="0"/>
            </w:tcBorders>
            <w:vAlign w:val="center"/>
          </w:tcPr>
          <w:p w14:paraId="7EED03A9">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评分内容</w:t>
            </w:r>
          </w:p>
        </w:tc>
        <w:tc>
          <w:tcPr>
            <w:tcW w:w="3090" w:type="pct"/>
            <w:tcBorders>
              <w:top w:val="single" w:color="auto" w:sz="4" w:space="0"/>
              <w:left w:val="single" w:color="auto" w:sz="4" w:space="0"/>
              <w:bottom w:val="single" w:color="auto" w:sz="4" w:space="0"/>
              <w:right w:val="single" w:color="auto" w:sz="4" w:space="0"/>
            </w:tcBorders>
            <w:vAlign w:val="center"/>
          </w:tcPr>
          <w:p w14:paraId="59B0DF12">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评分标准</w:t>
            </w:r>
          </w:p>
        </w:tc>
        <w:tc>
          <w:tcPr>
            <w:tcW w:w="604" w:type="pct"/>
            <w:tcBorders>
              <w:top w:val="single" w:color="auto" w:sz="4" w:space="0"/>
              <w:left w:val="single" w:color="auto" w:sz="4" w:space="0"/>
              <w:bottom w:val="single" w:color="auto" w:sz="4" w:space="0"/>
              <w:right w:val="single" w:color="auto" w:sz="4" w:space="0"/>
            </w:tcBorders>
            <w:vAlign w:val="center"/>
          </w:tcPr>
          <w:p w14:paraId="51FEBB9A">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分值范围</w:t>
            </w:r>
          </w:p>
        </w:tc>
      </w:tr>
      <w:tr w14:paraId="72AC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restart"/>
            <w:tcBorders>
              <w:left w:val="single" w:color="auto" w:sz="4" w:space="0"/>
              <w:right w:val="single" w:color="auto" w:sz="4" w:space="0"/>
            </w:tcBorders>
            <w:vAlign w:val="center"/>
          </w:tcPr>
          <w:p w14:paraId="7E2094AF">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资信分</w:t>
            </w:r>
          </w:p>
          <w:p w14:paraId="313EF892">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val="en-US" w:eastAsia="zh-CN"/>
              </w:rPr>
              <w:t>24</w:t>
            </w:r>
            <w:r>
              <w:rPr>
                <w:rFonts w:hint="eastAsia" w:asciiTheme="minorEastAsia" w:hAnsiTheme="minorEastAsia" w:eastAsiaTheme="minorEastAsia"/>
                <w:color w:val="auto"/>
                <w:sz w:val="24"/>
                <w:szCs w:val="24"/>
                <w:highlight w:val="none"/>
              </w:rPr>
              <w:t>分）</w:t>
            </w: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76570339">
            <w:pPr>
              <w:keepNext w:val="0"/>
              <w:keepLines w:val="0"/>
              <w:pageBreakBefore w:val="0"/>
              <w:kinsoku/>
              <w:overflowPunct/>
              <w:topLinePunct w:val="0"/>
              <w:autoSpaceDE/>
              <w:autoSpaceDN/>
              <w:bidi w:val="0"/>
              <w:spacing w:line="520" w:lineRule="exact"/>
              <w:jc w:val="center"/>
              <w:rPr>
                <w:rFonts w:hint="default" w:cs="@仿宋_GB2312" w:asciiTheme="minorEastAsia" w:hAnsiTheme="minorEastAsia" w:eastAsiaTheme="minorEastAsia"/>
                <w:bCs/>
                <w:color w:val="auto"/>
                <w:kern w:val="2"/>
                <w:sz w:val="24"/>
                <w:szCs w:val="24"/>
                <w:highlight w:val="none"/>
                <w:lang w:val="en-US" w:eastAsia="zh-CN" w:bidi="ar-SA"/>
              </w:rPr>
            </w:pPr>
            <w:r>
              <w:rPr>
                <w:rFonts w:hint="eastAsia" w:asciiTheme="minorEastAsia" w:hAnsiTheme="minorEastAsia" w:eastAsiaTheme="minorEastAsia"/>
                <w:bCs/>
                <w:color w:val="auto"/>
                <w:sz w:val="24"/>
                <w:szCs w:val="24"/>
                <w:highlight w:val="none"/>
                <w:lang w:val="en-US" w:eastAsia="zh-CN"/>
              </w:rPr>
              <w:t>业绩</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378F41F0">
            <w:pPr>
              <w:keepNext w:val="0"/>
              <w:keepLines w:val="0"/>
              <w:pageBreakBefore w:val="0"/>
              <w:widowControl/>
              <w:suppressLineNumbers w:val="0"/>
              <w:kinsoku/>
              <w:overflowPunct/>
              <w:topLinePunct w:val="0"/>
              <w:autoSpaceDE/>
              <w:autoSpaceDN/>
              <w:bidi w:val="0"/>
              <w:spacing w:line="520" w:lineRule="exact"/>
              <w:jc w:val="left"/>
              <w:rPr>
                <w:rFonts w:hint="eastAsia"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自2021年1月1日以来（以合同签订时间为准），投标人每提供一个公共安全视频监控项目业绩的得2分，本项最高得4分。</w:t>
            </w:r>
          </w:p>
          <w:p w14:paraId="27ABE640">
            <w:pPr>
              <w:keepNext w:val="0"/>
              <w:keepLines w:val="0"/>
              <w:pageBreakBefore w:val="0"/>
              <w:widowControl/>
              <w:suppressLineNumbers w:val="0"/>
              <w:kinsoku/>
              <w:overflowPunct/>
              <w:topLinePunct w:val="0"/>
              <w:autoSpaceDE/>
              <w:autoSpaceDN/>
              <w:bidi w:val="0"/>
              <w:spacing w:line="520" w:lineRule="exact"/>
              <w:jc w:val="left"/>
              <w:rPr>
                <w:rFonts w:hint="eastAsia"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注：1.投标文件中提供业绩合同扫描件，合同须能体现签订时间、项目内容等，若合同无法体现项目内容等关键评审因素的，须另附业主盖章证明材料扫描件。</w:t>
            </w:r>
          </w:p>
          <w:p w14:paraId="06B158E5">
            <w:pPr>
              <w:keepNext w:val="0"/>
              <w:keepLines w:val="0"/>
              <w:pageBreakBefore w:val="0"/>
              <w:widowControl/>
              <w:suppressLineNumbers w:val="0"/>
              <w:kinsoku/>
              <w:overflowPunct/>
              <w:topLinePunct w:val="0"/>
              <w:autoSpaceDE/>
              <w:autoSpaceDN/>
              <w:bidi w:val="0"/>
              <w:spacing w:line="520" w:lineRule="exact"/>
              <w:jc w:val="left"/>
              <w:rPr>
                <w:rFonts w:hint="default"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2.提供的项目业绩只计算评标分值对应的项目数量，按照排列顺序从首个业绩开始评审至对应数量，超出部分不进行评审。对应数量内业绩不符合招标文件要求不得分的，不再补充评审超出部分业绩。如：提供2个业绩即得满分的，按照投标文件排序评审第一、第二项业绩，其余超出部分不再评审。</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433D84D1">
            <w:pPr>
              <w:keepNext w:val="0"/>
              <w:keepLines w:val="0"/>
              <w:pageBreakBefore w:val="0"/>
              <w:kinsoku/>
              <w:overflowPunct/>
              <w:topLinePunct w:val="0"/>
              <w:autoSpaceDE/>
              <w:autoSpaceDN/>
              <w:bidi w:val="0"/>
              <w:spacing w:line="520" w:lineRule="exact"/>
              <w:jc w:val="center"/>
              <w:textAlignment w:val="auto"/>
              <w:rPr>
                <w:rFonts w:hint="default"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lang w:val="en-US" w:eastAsia="zh-CN"/>
              </w:rPr>
              <w:t>0-4分</w:t>
            </w:r>
          </w:p>
        </w:tc>
      </w:tr>
      <w:tr w14:paraId="1130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62AB30DC">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vAlign w:val="center"/>
          </w:tcPr>
          <w:p w14:paraId="44D8E9C3">
            <w:pPr>
              <w:keepNext w:val="0"/>
              <w:keepLines w:val="0"/>
              <w:pageBreakBefore w:val="0"/>
              <w:kinsoku/>
              <w:overflowPunct/>
              <w:topLinePunct w:val="0"/>
              <w:autoSpaceDE/>
              <w:autoSpaceDN/>
              <w:bidi w:val="0"/>
              <w:spacing w:line="520" w:lineRule="exact"/>
              <w:jc w:val="center"/>
              <w:rPr>
                <w:rFonts w:hint="default"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服务团队</w:t>
            </w:r>
          </w:p>
        </w:tc>
        <w:tc>
          <w:tcPr>
            <w:tcW w:w="3090" w:type="pct"/>
            <w:tcBorders>
              <w:top w:val="single" w:color="auto" w:sz="4" w:space="0"/>
              <w:left w:val="single" w:color="auto" w:sz="4" w:space="0"/>
              <w:bottom w:val="single" w:color="auto" w:sz="4" w:space="0"/>
              <w:right w:val="single" w:color="auto" w:sz="4" w:space="0"/>
            </w:tcBorders>
            <w:vAlign w:val="center"/>
          </w:tcPr>
          <w:p w14:paraId="07E325C3">
            <w:pPr>
              <w:pStyle w:val="85"/>
              <w:numPr>
                <w:ilvl w:val="0"/>
                <w:numId w:val="0"/>
              </w:numPr>
              <w:spacing w:line="360" w:lineRule="auto"/>
              <w:rPr>
                <w:rFonts w:hint="default"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1.项目负责人具有通信工程类相关专业或智能化相关专业或计算机技术与软件相关专业中级及以上职称的，得2分，本项最高得2分。</w:t>
            </w:r>
          </w:p>
          <w:p w14:paraId="6423A3AF">
            <w:pPr>
              <w:pStyle w:val="85"/>
              <w:numPr>
                <w:ilvl w:val="0"/>
                <w:numId w:val="0"/>
              </w:numPr>
              <w:spacing w:line="360" w:lineRule="auto"/>
              <w:rPr>
                <w:rFonts w:hint="eastAsia"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u w:color="auto"/>
                <w:lang w:val="en-US" w:eastAsia="zh-CN" w:bidi="ar-SA"/>
              </w:rPr>
              <w:t>2.</w:t>
            </w:r>
            <w:r>
              <w:rPr>
                <w:rFonts w:hint="eastAsia" w:ascii="宋体" w:hAnsi="宋体" w:eastAsia="宋体" w:cs="宋体"/>
                <w:color w:val="auto"/>
                <w:kern w:val="2"/>
                <w:sz w:val="24"/>
                <w:szCs w:val="28"/>
                <w:highlight w:val="none"/>
                <w:u w:val="none" w:color="auto"/>
                <w:lang w:val="en-US" w:eastAsia="zh-CN" w:bidi="ar-SA"/>
              </w:rPr>
              <w:t>技术负责人具有通信工程类相关专业或智能化相关专业或计算机技术与软件相关专业中级及以上职称的，得2分，本项最高得2分。</w:t>
            </w:r>
          </w:p>
          <w:p w14:paraId="31DB94EF">
            <w:pPr>
              <w:pStyle w:val="85"/>
              <w:numPr>
                <w:ilvl w:val="0"/>
                <w:numId w:val="0"/>
              </w:numPr>
              <w:spacing w:line="360" w:lineRule="auto"/>
              <w:rPr>
                <w:rFonts w:hint="eastAsia"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3.项目运维负责人具有通信工程类相关专业或智能化相关专业或计算机技术与软件相关专业中级及以上职称的，得2分，本项最高得2分。</w:t>
            </w:r>
          </w:p>
          <w:p w14:paraId="4E0B4A01">
            <w:pPr>
              <w:pStyle w:val="85"/>
              <w:numPr>
                <w:ilvl w:val="0"/>
                <w:numId w:val="0"/>
              </w:numPr>
              <w:spacing w:line="360" w:lineRule="auto"/>
              <w:rPr>
                <w:rFonts w:hint="eastAsia"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4.项目团队成员（项目负责人和技术负责人及项目运维负责人除外），每提供一个通信工程类相关专业或智能化相关专业或计算机技术与软件相关专业中级及以上职称的得2分，本项最高得10分。（一人多证不重复计分）</w:t>
            </w:r>
          </w:p>
          <w:p w14:paraId="7A72BBAC">
            <w:pPr>
              <w:pStyle w:val="85"/>
              <w:numPr>
                <w:ilvl w:val="0"/>
                <w:numId w:val="0"/>
              </w:numPr>
              <w:spacing w:line="360" w:lineRule="auto"/>
              <w:rPr>
                <w:rFonts w:hint="default" w:ascii="宋体" w:hAnsi="宋体" w:eastAsia="宋体" w:cs="宋体"/>
                <w:color w:val="auto"/>
                <w:kern w:val="2"/>
                <w:sz w:val="24"/>
                <w:szCs w:val="28"/>
                <w:highlight w:val="none"/>
                <w:u w:val="none" w:color="auto"/>
                <w:lang w:val="en-US" w:eastAsia="zh-CN" w:bidi="ar-SA"/>
              </w:rPr>
            </w:pPr>
            <w:r>
              <w:rPr>
                <w:rFonts w:hint="eastAsia" w:ascii="宋体" w:hAnsi="宋体" w:eastAsia="宋体" w:cs="宋体"/>
                <w:color w:val="auto"/>
                <w:kern w:val="2"/>
                <w:sz w:val="24"/>
                <w:szCs w:val="28"/>
                <w:highlight w:val="none"/>
                <w:u w:val="none" w:color="auto"/>
                <w:lang w:val="en-US" w:eastAsia="zh-CN" w:bidi="ar-SA"/>
              </w:rPr>
              <w:t>备注：①提供以上人员相关证书扫描件；②上述人员不得兼任；③持有上述人员社保部门出具的本单位为其缴纳的投标前近三个月内任意一月的社保证明或投标人提供承诺已为其缴纳社保的承诺书（格式自拟）。</w:t>
            </w:r>
          </w:p>
          <w:p w14:paraId="26CDE24B">
            <w:pPr>
              <w:pStyle w:val="85"/>
              <w:numPr>
                <w:ilvl w:val="0"/>
                <w:numId w:val="0"/>
              </w:numPr>
              <w:spacing w:line="360" w:lineRule="auto"/>
              <w:rPr>
                <w:rFonts w:hint="eastAsia"/>
                <w:color w:val="auto"/>
                <w:highlight w:val="none"/>
              </w:rPr>
            </w:pPr>
            <w:r>
              <w:rPr>
                <w:rFonts w:hint="eastAsia" w:ascii="宋体" w:hAnsi="宋体" w:eastAsia="宋体" w:cs="宋体"/>
                <w:color w:val="auto"/>
                <w:kern w:val="2"/>
                <w:sz w:val="24"/>
                <w:szCs w:val="28"/>
                <w:highlight w:val="none"/>
                <w:u w:val="none" w:color="auto"/>
                <w:lang w:val="en-US" w:eastAsia="zh-CN" w:bidi="ar-SA"/>
              </w:rPr>
              <w:t>5.投标人需承诺提供项目运维人员进行驻点服务，承诺每提供1人长期驻点服务的得2分，本项最高得4分。提供承诺书扫描件，承诺书格式自拟。</w:t>
            </w:r>
          </w:p>
        </w:tc>
        <w:tc>
          <w:tcPr>
            <w:tcW w:w="604" w:type="pct"/>
            <w:tcBorders>
              <w:top w:val="single" w:color="auto" w:sz="4" w:space="0"/>
              <w:left w:val="single" w:color="auto" w:sz="4" w:space="0"/>
              <w:bottom w:val="single" w:color="auto" w:sz="4" w:space="0"/>
              <w:right w:val="single" w:color="auto" w:sz="4" w:space="0"/>
            </w:tcBorders>
            <w:vAlign w:val="center"/>
          </w:tcPr>
          <w:p w14:paraId="532E1332">
            <w:pPr>
              <w:keepNext w:val="0"/>
              <w:keepLines w:val="0"/>
              <w:pageBreakBefore w:val="0"/>
              <w:kinsoku/>
              <w:overflowPunct/>
              <w:topLinePunct w:val="0"/>
              <w:autoSpaceDE/>
              <w:autoSpaceDN/>
              <w:bidi w:val="0"/>
              <w:spacing w:line="520" w:lineRule="exact"/>
              <w:jc w:val="center"/>
              <w:textAlignment w:val="auto"/>
              <w:rPr>
                <w:rFonts w:hint="eastAsia" w:ascii="宋体" w:hAnsi="宋体" w:cs="宋体"/>
                <w:color w:val="auto"/>
                <w:sz w:val="24"/>
                <w:szCs w:val="24"/>
                <w:highlight w:val="none"/>
              </w:rPr>
            </w:pPr>
            <w:r>
              <w:rPr>
                <w:rFonts w:hint="eastAsia" w:asciiTheme="minorEastAsia" w:hAnsiTheme="minorEastAsia" w:eastAsiaTheme="minorEastAsia"/>
                <w:color w:val="auto"/>
                <w:sz w:val="24"/>
                <w:szCs w:val="24"/>
                <w:highlight w:val="none"/>
              </w:rPr>
              <w:t>0-</w:t>
            </w:r>
            <w:r>
              <w:rPr>
                <w:rFonts w:hint="eastAsia" w:asciiTheme="minorEastAsia" w:hAnsiTheme="minorEastAsia" w:eastAsiaTheme="minorEastAsia"/>
                <w:color w:val="auto"/>
                <w:sz w:val="24"/>
                <w:szCs w:val="24"/>
                <w:highlight w:val="none"/>
                <w:lang w:val="en-US" w:eastAsia="zh-CN"/>
              </w:rPr>
              <w:t>20</w:t>
            </w:r>
            <w:r>
              <w:rPr>
                <w:rFonts w:hint="eastAsia" w:asciiTheme="minorEastAsia" w:hAnsiTheme="minorEastAsia" w:eastAsiaTheme="minorEastAsia"/>
                <w:color w:val="auto"/>
                <w:sz w:val="24"/>
                <w:szCs w:val="24"/>
                <w:highlight w:val="none"/>
              </w:rPr>
              <w:t>分</w:t>
            </w:r>
          </w:p>
        </w:tc>
      </w:tr>
      <w:tr w14:paraId="0899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restart"/>
            <w:tcBorders>
              <w:left w:val="single" w:color="auto" w:sz="4" w:space="0"/>
              <w:right w:val="single" w:color="auto" w:sz="4" w:space="0"/>
            </w:tcBorders>
            <w:vAlign w:val="center"/>
          </w:tcPr>
          <w:p w14:paraId="1A301C57">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w:t>
            </w:r>
            <w:r>
              <w:rPr>
                <w:rFonts w:hint="eastAsia" w:ascii="宋体" w:hAnsi="宋体" w:eastAsia="宋体" w:cs="宋体"/>
                <w:color w:val="auto"/>
                <w:sz w:val="24"/>
                <w:szCs w:val="24"/>
                <w:highlight w:val="none"/>
              </w:rPr>
              <w:t>分</w:t>
            </w:r>
          </w:p>
          <w:p w14:paraId="1717C330">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56</w:t>
            </w:r>
            <w:r>
              <w:rPr>
                <w:rFonts w:hint="eastAsia" w:ascii="宋体" w:hAnsi="宋体" w:eastAsia="宋体" w:cs="宋体"/>
                <w:color w:val="auto"/>
                <w:sz w:val="24"/>
                <w:szCs w:val="24"/>
                <w:highlight w:val="none"/>
              </w:rPr>
              <w:t>分）</w:t>
            </w: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3918462F">
            <w:pPr>
              <w:pStyle w:val="8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1.施工组织方案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5DBBE94F">
            <w:pPr>
              <w:pageBreakBefore w:val="0"/>
              <w:kinsoku/>
              <w:wordWrap/>
              <w:overflowPunct/>
              <w:topLinePunct w:val="0"/>
              <w:autoSpaceDE/>
              <w:autoSpaceDN/>
              <w:bidi w:val="0"/>
              <w:adjustRightInd/>
              <w:snapToGrid/>
              <w:spacing w:beforeAutospacing="0" w:afterAutospacing="0" w:line="52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根据招标文件要求及本项目特点提供有效的</w:t>
            </w:r>
            <w:r>
              <w:rPr>
                <w:rFonts w:hint="eastAsia" w:ascii="宋体" w:hAnsi="宋体" w:eastAsia="宋体" w:cs="宋体"/>
                <w:color w:val="auto"/>
                <w:sz w:val="24"/>
                <w:szCs w:val="24"/>
                <w:highlight w:val="none"/>
                <w:lang w:val="en-US" w:eastAsia="zh-CN"/>
              </w:rPr>
              <w:t>施工组织</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进行综合评审：</w:t>
            </w:r>
          </w:p>
          <w:p w14:paraId="2CB57377">
            <w:pPr>
              <w:pageBreakBefore w:val="0"/>
              <w:kinsoku/>
              <w:wordWrap/>
              <w:overflowPunct/>
              <w:topLinePunct w:val="0"/>
              <w:autoSpaceDE/>
              <w:autoSpaceDN/>
              <w:bidi w:val="0"/>
              <w:adjustRightInd/>
              <w:snapToGrid/>
              <w:spacing w:beforeAutospacing="0" w:afterAutospacing="0" w:line="52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1.方案全面、内容详实，完全满足或优于项目采购需求，得5分；</w:t>
            </w:r>
          </w:p>
          <w:p w14:paraId="0480B29E">
            <w:pPr>
              <w:pageBreakBefore w:val="0"/>
              <w:kinsoku/>
              <w:wordWrap/>
              <w:overflowPunct/>
              <w:topLinePunct w:val="0"/>
              <w:autoSpaceDE/>
              <w:autoSpaceDN/>
              <w:bidi w:val="0"/>
              <w:adjustRightInd/>
              <w:snapToGrid/>
              <w:spacing w:beforeAutospacing="0" w:afterAutospacing="0" w:line="520" w:lineRule="exact"/>
              <w:jc w:val="left"/>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2.方案有一定的分析阐述，内容清晰，无明显逻辑错误的得3分；</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3.方案仅针对需求进行简单归纳梳理且出现逻辑漏洞的得1分；</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4.</w:t>
            </w:r>
            <w:r>
              <w:rPr>
                <w:rFonts w:hint="eastAsia" w:ascii="宋体" w:hAnsi="宋体" w:eastAsia="宋体" w:cs="宋体"/>
                <w:i w:val="0"/>
                <w:iCs w:val="0"/>
                <w:color w:val="auto"/>
                <w:kern w:val="0"/>
                <w:sz w:val="24"/>
                <w:szCs w:val="24"/>
                <w:highlight w:val="none"/>
                <w:u w:val="none"/>
                <w:lang w:val="en-US" w:eastAsia="zh-CN" w:bidi="ar"/>
              </w:rPr>
              <w:t>不提供的不得分。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1FE2F963">
            <w:pPr>
              <w:keepNext w:val="0"/>
              <w:keepLines w:val="0"/>
              <w:pageBreakBefore w:val="0"/>
              <w:widowControl/>
              <w:suppressLineNumbers w:val="0"/>
              <w:kinsoku/>
              <w:overflowPunct/>
              <w:topLinePunct w:val="0"/>
              <w:autoSpaceDE/>
              <w:autoSpaceDN/>
              <w:bidi w:val="0"/>
              <w:spacing w:line="520" w:lineRule="exact"/>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0-5分</w:t>
            </w:r>
          </w:p>
        </w:tc>
      </w:tr>
      <w:tr w14:paraId="1E63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29D1E8D3">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4BD2F47D">
            <w:pPr>
              <w:pStyle w:val="8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2.系统对接方案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66340138">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根据招标文件要求及本项目特点提供（包括但不限于</w:t>
            </w:r>
            <w:r>
              <w:rPr>
                <w:rFonts w:hint="eastAsia" w:ascii="宋体" w:hAnsi="宋体" w:eastAsia="宋体" w:cs="宋体"/>
                <w:i w:val="0"/>
                <w:iCs w:val="0"/>
                <w:color w:val="auto"/>
                <w:kern w:val="0"/>
                <w:sz w:val="24"/>
                <w:szCs w:val="24"/>
                <w:highlight w:val="none"/>
                <w:u w:val="none"/>
                <w:lang w:val="zh-CN" w:eastAsia="zh-CN" w:bidi="ar"/>
              </w:rPr>
              <w:t>视图库、云存储系统</w:t>
            </w:r>
            <w:r>
              <w:rPr>
                <w:rFonts w:hint="eastAsia" w:ascii="宋体" w:hAnsi="宋体" w:eastAsia="宋体" w:cs="宋体"/>
                <w:i w:val="0"/>
                <w:iCs w:val="0"/>
                <w:color w:val="auto"/>
                <w:kern w:val="0"/>
                <w:sz w:val="24"/>
                <w:szCs w:val="24"/>
                <w:highlight w:val="none"/>
                <w:u w:val="none"/>
                <w:lang w:val="en-US" w:eastAsia="zh-CN" w:bidi="ar"/>
              </w:rPr>
              <w:t>等</w:t>
            </w:r>
            <w:r>
              <w:rPr>
                <w:rFonts w:hint="eastAsia" w:ascii="宋体" w:hAnsi="宋体" w:eastAsia="宋体" w:cs="宋体"/>
                <w:i w:val="0"/>
                <w:iCs w:val="0"/>
                <w:color w:val="auto"/>
                <w:kern w:val="0"/>
                <w:sz w:val="24"/>
                <w:szCs w:val="24"/>
                <w:highlight w:val="none"/>
                <w:u w:val="none"/>
                <w:lang w:val="zh-CN" w:eastAsia="zh-CN" w:bidi="ar"/>
              </w:rPr>
              <w:t>互联互</w:t>
            </w:r>
            <w:r>
              <w:rPr>
                <w:rFonts w:hint="eastAsia" w:ascii="宋体" w:hAnsi="宋体" w:eastAsia="宋体" w:cs="宋体"/>
                <w:i w:val="0"/>
                <w:iCs w:val="0"/>
                <w:color w:val="auto"/>
                <w:kern w:val="0"/>
                <w:sz w:val="24"/>
                <w:szCs w:val="24"/>
                <w:highlight w:val="none"/>
                <w:u w:val="none"/>
                <w:lang w:val="en-US" w:eastAsia="zh-CN" w:bidi="ar"/>
              </w:rPr>
              <w:t>通</w:t>
            </w:r>
            <w:r>
              <w:rPr>
                <w:rFonts w:hint="eastAsia" w:ascii="宋体" w:hAnsi="宋体" w:eastAsia="宋体" w:cs="宋体"/>
                <w:i w:val="0"/>
                <w:iCs w:val="0"/>
                <w:color w:val="auto"/>
                <w:kern w:val="0"/>
                <w:sz w:val="24"/>
                <w:szCs w:val="24"/>
                <w:highlight w:val="none"/>
                <w:u w:val="none"/>
                <w:lang w:val="zh-CN" w:eastAsia="zh-CN" w:bidi="ar"/>
              </w:rPr>
              <w:t>及系统对接</w:t>
            </w:r>
            <w:r>
              <w:rPr>
                <w:rFonts w:hint="eastAsia" w:ascii="宋体" w:hAnsi="宋体" w:eastAsia="宋体" w:cs="宋体"/>
                <w:i w:val="0"/>
                <w:iCs w:val="0"/>
                <w:color w:val="auto"/>
                <w:kern w:val="0"/>
                <w:sz w:val="24"/>
                <w:szCs w:val="24"/>
                <w:highlight w:val="none"/>
                <w:u w:val="none"/>
                <w:lang w:val="en-US" w:eastAsia="zh-CN" w:bidi="ar"/>
              </w:rPr>
              <w:t>）对接方案</w:t>
            </w:r>
            <w:r>
              <w:rPr>
                <w:rFonts w:hint="eastAsia" w:ascii="宋体" w:hAnsi="宋体" w:eastAsia="宋体" w:cs="宋体"/>
                <w:i w:val="0"/>
                <w:iCs w:val="0"/>
                <w:color w:val="auto"/>
                <w:kern w:val="0"/>
                <w:sz w:val="24"/>
                <w:szCs w:val="24"/>
                <w:highlight w:val="none"/>
                <w:u w:val="none"/>
                <w:lang w:val="zh-CN" w:eastAsia="zh-CN" w:bidi="ar"/>
              </w:rPr>
              <w:t>：</w:t>
            </w:r>
          </w:p>
          <w:p w14:paraId="0648CFB3">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1.项目对接方案</w:t>
            </w:r>
            <w:r>
              <w:rPr>
                <w:rFonts w:hint="eastAsia" w:ascii="宋体" w:hAnsi="宋体" w:eastAsia="宋体" w:cs="宋体"/>
                <w:i w:val="0"/>
                <w:iCs w:val="0"/>
                <w:color w:val="auto"/>
                <w:kern w:val="0"/>
                <w:sz w:val="24"/>
                <w:szCs w:val="24"/>
                <w:highlight w:val="none"/>
                <w:u w:val="none"/>
                <w:lang w:val="zh-CN" w:eastAsia="zh-CN" w:bidi="ar"/>
              </w:rPr>
              <w:t>能提供完整详尽科学合理的各系统升级扩容、互联互通及系统对接</w:t>
            </w:r>
            <w:r>
              <w:rPr>
                <w:rFonts w:hint="eastAsia" w:ascii="宋体" w:hAnsi="宋体" w:eastAsia="宋体" w:cs="宋体"/>
                <w:i w:val="0"/>
                <w:iCs w:val="0"/>
                <w:color w:val="auto"/>
                <w:kern w:val="0"/>
                <w:sz w:val="24"/>
                <w:szCs w:val="24"/>
                <w:highlight w:val="none"/>
                <w:u w:val="none"/>
                <w:lang w:val="en-US" w:eastAsia="zh-CN" w:bidi="ar"/>
              </w:rPr>
              <w:t>内容、并具有可实施性的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zh-CN" w:eastAsia="zh-CN" w:bidi="ar"/>
              </w:rPr>
              <w:t>分；</w:t>
            </w:r>
          </w:p>
          <w:p w14:paraId="33CC455D">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2.项目对接方案</w:t>
            </w:r>
            <w:r>
              <w:rPr>
                <w:rFonts w:hint="eastAsia" w:ascii="宋体" w:hAnsi="宋体" w:eastAsia="宋体" w:cs="宋体"/>
                <w:i w:val="0"/>
                <w:iCs w:val="0"/>
                <w:color w:val="auto"/>
                <w:kern w:val="0"/>
                <w:sz w:val="24"/>
                <w:szCs w:val="24"/>
                <w:highlight w:val="none"/>
                <w:u w:val="none"/>
                <w:lang w:val="zh-CN" w:eastAsia="zh-CN" w:bidi="ar"/>
              </w:rPr>
              <w:t>能提供</w:t>
            </w:r>
            <w:r>
              <w:rPr>
                <w:rFonts w:hint="eastAsia" w:ascii="宋体" w:hAnsi="宋体" w:eastAsia="宋体" w:cs="宋体"/>
                <w:i w:val="0"/>
                <w:iCs w:val="0"/>
                <w:color w:val="auto"/>
                <w:kern w:val="0"/>
                <w:sz w:val="24"/>
                <w:szCs w:val="24"/>
                <w:highlight w:val="none"/>
                <w:u w:val="none"/>
                <w:lang w:val="en-US" w:eastAsia="zh-CN" w:bidi="ar"/>
              </w:rPr>
              <w:t>较为全面</w:t>
            </w:r>
            <w:r>
              <w:rPr>
                <w:rFonts w:hint="eastAsia" w:ascii="宋体" w:hAnsi="宋体" w:eastAsia="宋体" w:cs="宋体"/>
                <w:i w:val="0"/>
                <w:iCs w:val="0"/>
                <w:color w:val="auto"/>
                <w:kern w:val="0"/>
                <w:sz w:val="24"/>
                <w:szCs w:val="24"/>
                <w:highlight w:val="none"/>
                <w:u w:val="none"/>
                <w:lang w:val="zh-CN" w:eastAsia="zh-CN" w:bidi="ar"/>
              </w:rPr>
              <w:t>的各系统升级扩容、互联互通及系统对接</w:t>
            </w:r>
            <w:r>
              <w:rPr>
                <w:rFonts w:hint="eastAsia" w:ascii="宋体" w:hAnsi="宋体" w:eastAsia="宋体" w:cs="宋体"/>
                <w:i w:val="0"/>
                <w:iCs w:val="0"/>
                <w:color w:val="auto"/>
                <w:kern w:val="0"/>
                <w:sz w:val="24"/>
                <w:szCs w:val="24"/>
                <w:highlight w:val="none"/>
                <w:u w:val="none"/>
                <w:lang w:val="en-US" w:eastAsia="zh-CN" w:bidi="ar"/>
              </w:rPr>
              <w:t>内容，无明显逻辑错误、具有实施性的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zh-CN" w:eastAsia="zh-CN" w:bidi="ar"/>
              </w:rPr>
              <w:t>分；</w:t>
            </w:r>
          </w:p>
          <w:p w14:paraId="13D3BF67">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3.项目对接方案中</w:t>
            </w:r>
            <w:r>
              <w:rPr>
                <w:rFonts w:hint="eastAsia" w:ascii="宋体" w:hAnsi="宋体" w:eastAsia="宋体" w:cs="宋体"/>
                <w:i w:val="0"/>
                <w:iCs w:val="0"/>
                <w:color w:val="auto"/>
                <w:kern w:val="0"/>
                <w:sz w:val="24"/>
                <w:szCs w:val="24"/>
                <w:highlight w:val="none"/>
                <w:u w:val="none"/>
                <w:lang w:val="zh-CN" w:eastAsia="zh-CN" w:bidi="ar"/>
              </w:rPr>
              <w:t>各系统升级扩容、互联互通及系统对接</w:t>
            </w:r>
            <w:r>
              <w:rPr>
                <w:rFonts w:hint="eastAsia" w:ascii="宋体" w:hAnsi="宋体" w:eastAsia="宋体" w:cs="宋体"/>
                <w:i w:val="0"/>
                <w:iCs w:val="0"/>
                <w:color w:val="auto"/>
                <w:kern w:val="0"/>
                <w:sz w:val="24"/>
                <w:szCs w:val="24"/>
                <w:highlight w:val="none"/>
                <w:u w:val="none"/>
                <w:lang w:val="en-US" w:eastAsia="zh-CN" w:bidi="ar"/>
              </w:rPr>
              <w:t>内容</w:t>
            </w:r>
            <w:r>
              <w:rPr>
                <w:rFonts w:hint="eastAsia" w:ascii="宋体" w:hAnsi="宋体" w:eastAsia="宋体" w:cs="宋体"/>
                <w:i w:val="0"/>
                <w:iCs w:val="0"/>
                <w:color w:val="auto"/>
                <w:kern w:val="0"/>
                <w:sz w:val="24"/>
                <w:szCs w:val="24"/>
                <w:highlight w:val="none"/>
                <w:u w:val="none"/>
                <w:lang w:val="zh-CN" w:eastAsia="zh-CN" w:bidi="ar"/>
              </w:rPr>
              <w:t>一般，只能大概阐述升级扩容建设思路，</w:t>
            </w:r>
            <w:r>
              <w:rPr>
                <w:rFonts w:hint="eastAsia" w:ascii="宋体" w:hAnsi="宋体" w:eastAsia="宋体" w:cs="宋体"/>
                <w:i w:val="0"/>
                <w:iCs w:val="0"/>
                <w:color w:val="auto"/>
                <w:kern w:val="0"/>
                <w:sz w:val="24"/>
                <w:szCs w:val="24"/>
                <w:highlight w:val="none"/>
                <w:u w:val="none"/>
                <w:lang w:val="en-US" w:eastAsia="zh-CN" w:bidi="ar"/>
              </w:rPr>
              <w:t>方案有待调整优化的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zh-CN" w:eastAsia="zh-CN" w:bidi="ar"/>
              </w:rPr>
              <w:t>分；</w:t>
            </w:r>
          </w:p>
          <w:p w14:paraId="58DC53A5">
            <w:pPr>
              <w:spacing w:line="52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4.方案不可行或未提供的得0分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4B0BC82">
            <w:pPr>
              <w:widowControl/>
              <w:spacing w:line="520" w:lineRule="exact"/>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0-5分</w:t>
            </w:r>
          </w:p>
        </w:tc>
      </w:tr>
      <w:tr w14:paraId="6000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0192F91D">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6AEDFAC8">
            <w:pPr>
              <w:widowControl/>
              <w:spacing w:line="520" w:lineRule="exact"/>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3.人员配备方案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6DD03EC9">
            <w:pPr>
              <w:spacing w:line="52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根据招标文件要求及本项目特点提供</w:t>
            </w:r>
            <w:r>
              <w:rPr>
                <w:rFonts w:hint="eastAsia" w:ascii="宋体" w:hAnsi="宋体" w:eastAsia="宋体" w:cs="宋体"/>
                <w:color w:val="auto"/>
                <w:sz w:val="24"/>
                <w:szCs w:val="24"/>
                <w:highlight w:val="none"/>
                <w:lang w:val="en-US" w:eastAsia="zh-CN"/>
              </w:rPr>
              <w:t>人员配备</w:t>
            </w:r>
            <w:r>
              <w:rPr>
                <w:rFonts w:hint="eastAsia" w:ascii="宋体" w:hAnsi="宋体" w:eastAsia="宋体" w:cs="宋体"/>
                <w:color w:val="auto"/>
                <w:sz w:val="24"/>
                <w:szCs w:val="24"/>
                <w:highlight w:val="none"/>
              </w:rPr>
              <w:t>方案，包括但不限于组织管理、岗位设置、人员</w:t>
            </w:r>
            <w:r>
              <w:rPr>
                <w:rFonts w:hint="eastAsia" w:ascii="宋体" w:hAnsi="宋体" w:eastAsia="宋体" w:cs="宋体"/>
                <w:color w:val="auto"/>
                <w:sz w:val="24"/>
                <w:szCs w:val="24"/>
                <w:highlight w:val="none"/>
                <w:lang w:val="en-US" w:eastAsia="zh-CN"/>
              </w:rPr>
              <w:t>配</w:t>
            </w:r>
            <w:r>
              <w:rPr>
                <w:rFonts w:hint="eastAsia" w:ascii="宋体" w:hAnsi="宋体" w:eastAsia="宋体" w:cs="宋体"/>
                <w:color w:val="auto"/>
                <w:sz w:val="24"/>
                <w:szCs w:val="24"/>
                <w:highlight w:val="none"/>
              </w:rPr>
              <w:t>等内容。根据投标人提供的总体实施服务方案内容进行评审：</w:t>
            </w:r>
          </w:p>
          <w:p w14:paraId="71FCB4B1">
            <w:pPr>
              <w:spacing w:line="52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1.方案内容中包含上述所有内容且方案具有可操作性、工作流程清晰科学、完整度高的，得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4AC0847E">
            <w:pPr>
              <w:spacing w:line="52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2.方案内容中包含上述所有内容且方案可行、</w:t>
            </w:r>
            <w:r>
              <w:rPr>
                <w:rFonts w:hint="eastAsia" w:ascii="宋体" w:hAnsi="宋体" w:eastAsia="宋体" w:cs="宋体"/>
                <w:color w:val="auto"/>
                <w:sz w:val="24"/>
                <w:szCs w:val="24"/>
                <w:highlight w:val="none"/>
                <w:lang w:val="en-US" w:eastAsia="zh-CN"/>
              </w:rPr>
              <w:t>内容完整</w:t>
            </w:r>
            <w:r>
              <w:rPr>
                <w:rFonts w:hint="eastAsia" w:ascii="宋体" w:hAnsi="宋体" w:eastAsia="宋体" w:cs="宋体"/>
                <w:color w:val="auto"/>
                <w:sz w:val="24"/>
                <w:szCs w:val="24"/>
                <w:highlight w:val="none"/>
              </w:rPr>
              <w:t>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14:paraId="5409B63A">
            <w:pPr>
              <w:spacing w:line="52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3.方案对各部分内容仅有空洞的描述，无具体的实施方案，内容</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完整的，得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38B51B45">
            <w:pPr>
              <w:widowControl/>
              <w:spacing w:line="52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rPr>
              <w:t>4.</w:t>
            </w:r>
            <w:r>
              <w:rPr>
                <w:rFonts w:hint="eastAsia" w:ascii="宋体" w:hAnsi="宋体" w:eastAsia="宋体" w:cs="宋体"/>
                <w:i w:val="0"/>
                <w:iCs w:val="0"/>
                <w:color w:val="auto"/>
                <w:kern w:val="0"/>
                <w:sz w:val="24"/>
                <w:szCs w:val="24"/>
                <w:highlight w:val="none"/>
                <w:u w:val="none"/>
                <w:lang w:val="en-US" w:eastAsia="zh-CN" w:bidi="ar"/>
              </w:rPr>
              <w:t>方案不可行或</w:t>
            </w:r>
            <w:r>
              <w:rPr>
                <w:rFonts w:hint="eastAsia" w:ascii="宋体" w:hAnsi="宋体" w:eastAsia="宋体" w:cs="宋体"/>
                <w:color w:val="auto"/>
                <w:sz w:val="24"/>
                <w:szCs w:val="24"/>
                <w:highlight w:val="none"/>
                <w:lang w:val="en-US" w:eastAsia="zh-CN"/>
              </w:rPr>
              <w:t>未提供的</w:t>
            </w:r>
            <w:r>
              <w:rPr>
                <w:rFonts w:hint="eastAsia" w:ascii="宋体" w:hAnsi="宋体" w:eastAsia="宋体" w:cs="宋体"/>
                <w:i w:val="0"/>
                <w:iCs w:val="0"/>
                <w:color w:val="auto"/>
                <w:kern w:val="0"/>
                <w:sz w:val="24"/>
                <w:szCs w:val="24"/>
                <w:highlight w:val="none"/>
                <w:u w:val="none"/>
                <w:lang w:val="en-US" w:eastAsia="zh-CN" w:bidi="ar"/>
              </w:rPr>
              <w:t>不得分。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0EE81D4F">
            <w:pPr>
              <w:widowControl/>
              <w:spacing w:line="52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0-5分</w:t>
            </w:r>
          </w:p>
        </w:tc>
      </w:tr>
      <w:tr w14:paraId="631F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06B5A5EA">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288C7CC0">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4.平台培训方案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7DDA2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37"/>
              <w:textAlignment w:val="auto"/>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根据投标人</w:t>
            </w:r>
            <w:r>
              <w:rPr>
                <w:rFonts w:hint="eastAsia" w:asciiTheme="minorEastAsia" w:hAnsiTheme="minorEastAsia" w:eastAsiaTheme="minorEastAsia"/>
                <w:color w:val="auto"/>
                <w:sz w:val="24"/>
                <w:szCs w:val="20"/>
                <w:highlight w:val="none"/>
                <w:lang w:val="en-US" w:eastAsia="zh-CN"/>
              </w:rPr>
              <w:t>提供的平台培训方案</w:t>
            </w:r>
            <w:r>
              <w:rPr>
                <w:rFonts w:hint="eastAsia" w:ascii="宋体" w:hAnsi="宋体" w:eastAsia="宋体" w:cs="宋体"/>
                <w:color w:val="auto"/>
                <w:sz w:val="24"/>
                <w:szCs w:val="24"/>
                <w:highlight w:val="none"/>
                <w:lang w:val="en-US" w:eastAsia="zh-CN"/>
              </w:rPr>
              <w:t>进行综合评审</w:t>
            </w:r>
            <w:r>
              <w:rPr>
                <w:rFonts w:hint="eastAsia" w:asciiTheme="minorEastAsia" w:hAnsiTheme="minorEastAsia" w:eastAsiaTheme="minorEastAsia"/>
                <w:color w:val="auto"/>
                <w:sz w:val="24"/>
                <w:szCs w:val="20"/>
                <w:highlight w:val="none"/>
              </w:rPr>
              <w:t>。</w:t>
            </w:r>
          </w:p>
          <w:p w14:paraId="77591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37"/>
              <w:textAlignment w:val="auto"/>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lang w:val="en-US" w:eastAsia="zh-CN"/>
              </w:rPr>
              <w:t>①</w:t>
            </w:r>
            <w:r>
              <w:rPr>
                <w:rFonts w:hint="eastAsia" w:asciiTheme="minorEastAsia" w:hAnsiTheme="minorEastAsia" w:eastAsiaTheme="minorEastAsia"/>
                <w:color w:val="auto"/>
                <w:sz w:val="24"/>
                <w:szCs w:val="20"/>
                <w:highlight w:val="none"/>
              </w:rPr>
              <w:t>培训方案、服务措施方案内容全面，服务措施齐全，技术支持能力强、服务响应速度快，完全满足采购人全部售后需求的，得</w:t>
            </w:r>
            <w:r>
              <w:rPr>
                <w:rFonts w:hint="eastAsia" w:asciiTheme="minorEastAsia" w:hAnsiTheme="minorEastAsia" w:eastAsiaTheme="minorEastAsia"/>
                <w:color w:val="auto"/>
                <w:sz w:val="24"/>
                <w:szCs w:val="20"/>
                <w:highlight w:val="none"/>
                <w:lang w:val="en-US" w:eastAsia="zh-CN"/>
              </w:rPr>
              <w:t>5</w:t>
            </w:r>
            <w:r>
              <w:rPr>
                <w:rFonts w:hint="eastAsia" w:asciiTheme="minorEastAsia" w:hAnsiTheme="minorEastAsia" w:eastAsiaTheme="minorEastAsia"/>
                <w:color w:val="auto"/>
                <w:sz w:val="24"/>
                <w:szCs w:val="20"/>
                <w:highlight w:val="none"/>
              </w:rPr>
              <w:t>分；</w:t>
            </w:r>
          </w:p>
          <w:p w14:paraId="6E8EA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37"/>
              <w:textAlignment w:val="auto"/>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lang w:val="en-US" w:eastAsia="zh-CN"/>
              </w:rPr>
              <w:t>②</w:t>
            </w:r>
            <w:r>
              <w:rPr>
                <w:rFonts w:hint="eastAsia" w:asciiTheme="minorEastAsia" w:hAnsiTheme="minorEastAsia" w:eastAsiaTheme="minorEastAsia"/>
                <w:color w:val="auto"/>
                <w:sz w:val="24"/>
                <w:szCs w:val="20"/>
                <w:highlight w:val="none"/>
              </w:rPr>
              <w:t>培训方案、服务措施方案片面，具有技术支持能力、服务响应速度，</w:t>
            </w:r>
            <w:r>
              <w:rPr>
                <w:rFonts w:hint="eastAsia" w:asciiTheme="minorEastAsia" w:hAnsiTheme="minorEastAsia" w:eastAsiaTheme="minorEastAsia"/>
                <w:color w:val="auto"/>
                <w:sz w:val="24"/>
                <w:szCs w:val="20"/>
                <w:highlight w:val="none"/>
                <w:lang w:eastAsia="zh-CN"/>
              </w:rPr>
              <w:t>基本</w:t>
            </w:r>
            <w:r>
              <w:rPr>
                <w:rFonts w:hint="eastAsia" w:asciiTheme="minorEastAsia" w:hAnsiTheme="minorEastAsia" w:eastAsiaTheme="minorEastAsia"/>
                <w:color w:val="auto"/>
                <w:sz w:val="24"/>
                <w:szCs w:val="20"/>
                <w:highlight w:val="none"/>
              </w:rPr>
              <w:t>满足需求</w:t>
            </w:r>
            <w:r>
              <w:rPr>
                <w:rFonts w:hint="eastAsia" w:asciiTheme="minorEastAsia" w:hAnsiTheme="minorEastAsia" w:eastAsiaTheme="minorEastAsia"/>
                <w:color w:val="auto"/>
                <w:sz w:val="24"/>
                <w:szCs w:val="20"/>
                <w:highlight w:val="none"/>
                <w:lang w:eastAsia="zh-CN"/>
              </w:rPr>
              <w:t>的，</w:t>
            </w:r>
            <w:r>
              <w:rPr>
                <w:rFonts w:hint="eastAsia" w:asciiTheme="minorEastAsia" w:hAnsiTheme="minorEastAsia" w:eastAsiaTheme="minorEastAsia"/>
                <w:color w:val="auto"/>
                <w:sz w:val="24"/>
                <w:szCs w:val="20"/>
                <w:highlight w:val="none"/>
              </w:rPr>
              <w:t>得</w:t>
            </w:r>
            <w:r>
              <w:rPr>
                <w:rFonts w:hint="eastAsia" w:asciiTheme="minorEastAsia" w:hAnsiTheme="minorEastAsia" w:eastAsiaTheme="minorEastAsia"/>
                <w:color w:val="auto"/>
                <w:sz w:val="24"/>
                <w:szCs w:val="20"/>
                <w:highlight w:val="none"/>
                <w:lang w:val="en-US" w:eastAsia="zh-CN"/>
              </w:rPr>
              <w:t>3</w:t>
            </w:r>
            <w:r>
              <w:rPr>
                <w:rFonts w:hint="eastAsia" w:asciiTheme="minorEastAsia" w:hAnsiTheme="minorEastAsia" w:eastAsiaTheme="minorEastAsia"/>
                <w:color w:val="auto"/>
                <w:sz w:val="24"/>
                <w:szCs w:val="20"/>
                <w:highlight w:val="none"/>
              </w:rPr>
              <w:t>分；</w:t>
            </w:r>
          </w:p>
          <w:p w14:paraId="38276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37"/>
              <w:textAlignment w:val="auto"/>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lang w:val="en-US" w:eastAsia="zh-CN"/>
              </w:rPr>
              <w:t>③</w:t>
            </w:r>
            <w:r>
              <w:rPr>
                <w:rFonts w:hint="eastAsia" w:asciiTheme="minorEastAsia" w:hAnsiTheme="minorEastAsia" w:eastAsiaTheme="minorEastAsia"/>
                <w:color w:val="auto"/>
                <w:sz w:val="24"/>
                <w:szCs w:val="20"/>
                <w:highlight w:val="none"/>
              </w:rPr>
              <w:t>培训方案、服务措施方案有待提升、技术支持能力、响应服务措施不全或存在不足的，得</w:t>
            </w:r>
            <w:r>
              <w:rPr>
                <w:rFonts w:hint="eastAsia" w:asciiTheme="minorEastAsia" w:hAnsiTheme="minorEastAsia" w:eastAsiaTheme="minorEastAsia"/>
                <w:color w:val="auto"/>
                <w:sz w:val="24"/>
                <w:szCs w:val="20"/>
                <w:highlight w:val="none"/>
                <w:lang w:val="en-US" w:eastAsia="zh-CN"/>
              </w:rPr>
              <w:t>1</w:t>
            </w:r>
            <w:r>
              <w:rPr>
                <w:rFonts w:hint="eastAsia" w:asciiTheme="minorEastAsia" w:hAnsiTheme="minorEastAsia" w:eastAsiaTheme="minorEastAsia"/>
                <w:color w:val="auto"/>
                <w:sz w:val="24"/>
                <w:szCs w:val="20"/>
                <w:highlight w:val="none"/>
              </w:rPr>
              <w:t>分；</w:t>
            </w:r>
          </w:p>
          <w:p w14:paraId="7F5306F9">
            <w:pPr>
              <w:keepNext w:val="0"/>
              <w:keepLines w:val="0"/>
              <w:pageBreakBefore w:val="0"/>
              <w:widowControl/>
              <w:numPr>
                <w:ilvl w:val="0"/>
                <w:numId w:val="0"/>
              </w:numPr>
              <w:suppressLineNumbers w:val="0"/>
              <w:kinsoku/>
              <w:overflowPunct/>
              <w:topLinePunct w:val="0"/>
              <w:autoSpaceDE/>
              <w:autoSpaceDN/>
              <w:bidi w:val="0"/>
              <w:spacing w:line="520" w:lineRule="exact"/>
              <w:ind w:left="0" w:leftChars="0" w:firstLine="0" w:firstLine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Theme="minorEastAsia" w:hAnsiTheme="minorEastAsia" w:eastAsiaTheme="minorEastAsia"/>
                <w:color w:val="auto"/>
                <w:sz w:val="24"/>
                <w:szCs w:val="20"/>
                <w:highlight w:val="none"/>
                <w:lang w:val="en-US" w:eastAsia="zh-CN"/>
              </w:rPr>
              <w:t>④</w:t>
            </w:r>
            <w:r>
              <w:rPr>
                <w:rFonts w:hint="eastAsia" w:asciiTheme="minorEastAsia" w:hAnsiTheme="minorEastAsia" w:eastAsiaTheme="minorEastAsia"/>
                <w:color w:val="auto"/>
                <w:sz w:val="24"/>
                <w:szCs w:val="20"/>
                <w:highlight w:val="none"/>
              </w:rPr>
              <w:t>未提供不得分。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4A088045">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0-5分</w:t>
            </w:r>
          </w:p>
        </w:tc>
      </w:tr>
      <w:tr w14:paraId="67B7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0FC5A33C">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56E05305">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zh-CN" w:eastAsia="zh-CN" w:bidi="ar"/>
              </w:rPr>
              <w:t>运维</w:t>
            </w:r>
            <w:r>
              <w:rPr>
                <w:rFonts w:hint="eastAsia" w:ascii="宋体" w:hAnsi="宋体" w:eastAsia="宋体" w:cs="宋体"/>
                <w:i w:val="0"/>
                <w:iCs w:val="0"/>
                <w:color w:val="auto"/>
                <w:kern w:val="0"/>
                <w:sz w:val="24"/>
                <w:szCs w:val="24"/>
                <w:highlight w:val="none"/>
                <w:u w:val="none"/>
                <w:lang w:val="en-US" w:eastAsia="zh-CN" w:bidi="ar"/>
              </w:rPr>
              <w:t>保障</w:t>
            </w:r>
            <w:r>
              <w:rPr>
                <w:rFonts w:hint="eastAsia" w:ascii="宋体" w:hAnsi="宋体" w:eastAsia="宋体" w:cs="宋体"/>
                <w:i w:val="0"/>
                <w:iCs w:val="0"/>
                <w:color w:val="auto"/>
                <w:kern w:val="0"/>
                <w:sz w:val="24"/>
                <w:szCs w:val="24"/>
                <w:highlight w:val="none"/>
                <w:u w:val="none"/>
                <w:lang w:val="zh-CN" w:eastAsia="zh-CN" w:bidi="ar"/>
              </w:rPr>
              <w:t>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253C400B">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zh-CN" w:eastAsia="zh-CN" w:bidi="ar"/>
              </w:rPr>
              <w:t>投标人</w:t>
            </w:r>
            <w:r>
              <w:rPr>
                <w:rFonts w:hint="eastAsia" w:ascii="宋体" w:hAnsi="宋体" w:eastAsia="宋体" w:cs="宋体"/>
                <w:i w:val="0"/>
                <w:iCs w:val="0"/>
                <w:color w:val="auto"/>
                <w:kern w:val="0"/>
                <w:sz w:val="24"/>
                <w:szCs w:val="24"/>
                <w:highlight w:val="none"/>
                <w:u w:val="none"/>
                <w:lang w:val="en-US" w:eastAsia="zh-CN" w:bidi="ar"/>
              </w:rPr>
              <w:t>针对本项目特点提供运维</w:t>
            </w:r>
            <w:r>
              <w:rPr>
                <w:rFonts w:hint="eastAsia" w:ascii="宋体" w:hAnsi="宋体" w:eastAsia="宋体" w:cs="宋体"/>
                <w:i w:val="0"/>
                <w:iCs w:val="0"/>
                <w:color w:val="auto"/>
                <w:kern w:val="0"/>
                <w:sz w:val="24"/>
                <w:szCs w:val="24"/>
                <w:highlight w:val="none"/>
                <w:u w:val="none"/>
                <w:lang w:val="zh-CN" w:eastAsia="zh-CN" w:bidi="ar"/>
              </w:rPr>
              <w:t>服务</w:t>
            </w:r>
            <w:r>
              <w:rPr>
                <w:rFonts w:hint="eastAsia" w:ascii="宋体" w:hAnsi="宋体" w:eastAsia="宋体" w:cs="宋体"/>
                <w:i w:val="0"/>
                <w:iCs w:val="0"/>
                <w:color w:val="auto"/>
                <w:kern w:val="0"/>
                <w:sz w:val="24"/>
                <w:szCs w:val="24"/>
                <w:highlight w:val="none"/>
                <w:u w:val="none"/>
                <w:lang w:val="en-US" w:eastAsia="zh-CN" w:bidi="ar"/>
              </w:rPr>
              <w:t>方案，包含但不限于运维机制及流程、日常巡检（包括日常巡检的重点内容、巡检时间安排、巡检程序等）等内容</w:t>
            </w:r>
            <w:r>
              <w:rPr>
                <w:rFonts w:hint="eastAsia" w:ascii="宋体" w:hAnsi="宋体" w:eastAsia="宋体" w:cs="宋体"/>
                <w:i w:val="0"/>
                <w:iCs w:val="0"/>
                <w:color w:val="auto"/>
                <w:kern w:val="0"/>
                <w:sz w:val="24"/>
                <w:szCs w:val="24"/>
                <w:highlight w:val="none"/>
                <w:u w:val="none"/>
                <w:lang w:val="zh-CN" w:eastAsia="zh-CN" w:bidi="ar"/>
              </w:rPr>
              <w:t>：</w:t>
            </w:r>
          </w:p>
          <w:p w14:paraId="74E86807">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zh-CN" w:eastAsia="zh-CN" w:bidi="ar"/>
              </w:rPr>
              <w:t>运维服务方案</w:t>
            </w:r>
            <w:r>
              <w:rPr>
                <w:rFonts w:hint="eastAsia" w:ascii="宋体" w:hAnsi="宋体" w:eastAsia="宋体" w:cs="宋体"/>
                <w:i w:val="0"/>
                <w:iCs w:val="0"/>
                <w:color w:val="auto"/>
                <w:kern w:val="0"/>
                <w:sz w:val="24"/>
                <w:szCs w:val="24"/>
                <w:highlight w:val="none"/>
                <w:u w:val="none"/>
                <w:lang w:val="en-US" w:eastAsia="zh-CN" w:bidi="ar"/>
              </w:rPr>
              <w:t>内容</w:t>
            </w:r>
            <w:r>
              <w:rPr>
                <w:rFonts w:hint="eastAsia" w:ascii="宋体" w:hAnsi="宋体" w:eastAsia="宋体" w:cs="宋体"/>
                <w:i w:val="0"/>
                <w:iCs w:val="0"/>
                <w:color w:val="auto"/>
                <w:kern w:val="0"/>
                <w:sz w:val="24"/>
                <w:szCs w:val="24"/>
                <w:highlight w:val="none"/>
                <w:u w:val="none"/>
                <w:lang w:val="zh-CN" w:eastAsia="zh-CN" w:bidi="ar"/>
              </w:rPr>
              <w:t>详尽、完整、技术支持能力</w:t>
            </w:r>
            <w:r>
              <w:rPr>
                <w:rFonts w:hint="eastAsia" w:ascii="宋体" w:hAnsi="宋体" w:eastAsia="宋体" w:cs="宋体"/>
                <w:i w:val="0"/>
                <w:iCs w:val="0"/>
                <w:color w:val="auto"/>
                <w:kern w:val="0"/>
                <w:sz w:val="24"/>
                <w:szCs w:val="24"/>
                <w:highlight w:val="none"/>
                <w:u w:val="none"/>
                <w:lang w:val="en-US" w:eastAsia="zh-CN" w:bidi="ar"/>
              </w:rPr>
              <w:t>满足项目需求</w:t>
            </w:r>
            <w:r>
              <w:rPr>
                <w:rFonts w:hint="eastAsia" w:ascii="宋体" w:hAnsi="宋体" w:eastAsia="宋体" w:cs="宋体"/>
                <w:i w:val="0"/>
                <w:iCs w:val="0"/>
                <w:color w:val="auto"/>
                <w:kern w:val="0"/>
                <w:sz w:val="24"/>
                <w:szCs w:val="24"/>
                <w:highlight w:val="none"/>
                <w:u w:val="none"/>
                <w:lang w:val="zh-CN" w:eastAsia="zh-CN" w:bidi="ar"/>
              </w:rPr>
              <w:t>、服务响应快、</w:t>
            </w:r>
            <w:r>
              <w:rPr>
                <w:rFonts w:hint="eastAsia" w:ascii="宋体" w:hAnsi="宋体" w:eastAsia="宋体" w:cs="宋体"/>
                <w:i w:val="0"/>
                <w:iCs w:val="0"/>
                <w:color w:val="auto"/>
                <w:kern w:val="0"/>
                <w:sz w:val="24"/>
                <w:szCs w:val="24"/>
                <w:highlight w:val="none"/>
                <w:u w:val="none"/>
                <w:lang w:val="en-US" w:eastAsia="zh-CN" w:bidi="ar"/>
              </w:rPr>
              <w:t>方案</w:t>
            </w:r>
            <w:r>
              <w:rPr>
                <w:rFonts w:hint="eastAsia" w:ascii="宋体" w:hAnsi="宋体" w:eastAsia="宋体" w:cs="宋体"/>
                <w:i w:val="0"/>
                <w:iCs w:val="0"/>
                <w:color w:val="auto"/>
                <w:kern w:val="0"/>
                <w:sz w:val="24"/>
                <w:szCs w:val="24"/>
                <w:highlight w:val="none"/>
                <w:u w:val="none"/>
                <w:lang w:val="zh-CN" w:eastAsia="zh-CN" w:bidi="ar"/>
              </w:rPr>
              <w:t>步骤完善、清晰明了</w:t>
            </w:r>
            <w:r>
              <w:rPr>
                <w:rFonts w:hint="eastAsia" w:ascii="宋体" w:hAnsi="宋体" w:eastAsia="宋体" w:cs="宋体"/>
                <w:i w:val="0"/>
                <w:iCs w:val="0"/>
                <w:color w:val="auto"/>
                <w:kern w:val="0"/>
                <w:sz w:val="24"/>
                <w:szCs w:val="24"/>
                <w:highlight w:val="none"/>
                <w:u w:val="none"/>
                <w:lang w:val="en-US" w:eastAsia="zh-CN" w:bidi="ar"/>
              </w:rPr>
              <w:t>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zh-CN" w:eastAsia="zh-CN" w:bidi="ar"/>
              </w:rPr>
              <w:t>分；</w:t>
            </w:r>
          </w:p>
          <w:p w14:paraId="51C30AEC">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zh-CN" w:eastAsia="zh-CN" w:bidi="ar"/>
              </w:rPr>
              <w:t>运维服务方案</w:t>
            </w:r>
            <w:r>
              <w:rPr>
                <w:rFonts w:hint="eastAsia" w:ascii="宋体" w:hAnsi="宋体" w:eastAsia="宋体" w:cs="宋体"/>
                <w:i w:val="0"/>
                <w:iCs w:val="0"/>
                <w:color w:val="auto"/>
                <w:kern w:val="0"/>
                <w:sz w:val="24"/>
                <w:szCs w:val="24"/>
                <w:highlight w:val="none"/>
                <w:u w:val="none"/>
                <w:lang w:val="en-US" w:eastAsia="zh-CN" w:bidi="ar"/>
              </w:rPr>
              <w:t>内容齐全</w:t>
            </w:r>
            <w:r>
              <w:rPr>
                <w:rFonts w:hint="eastAsia" w:ascii="宋体" w:hAnsi="宋体" w:eastAsia="宋体" w:cs="宋体"/>
                <w:i w:val="0"/>
                <w:iCs w:val="0"/>
                <w:color w:val="auto"/>
                <w:kern w:val="0"/>
                <w:sz w:val="24"/>
                <w:szCs w:val="24"/>
                <w:highlight w:val="none"/>
                <w:u w:val="none"/>
                <w:lang w:val="zh-CN" w:eastAsia="zh-CN" w:bidi="ar"/>
              </w:rPr>
              <w:t>、技术支持</w:t>
            </w:r>
            <w:r>
              <w:rPr>
                <w:rFonts w:hint="eastAsia" w:ascii="宋体" w:hAnsi="宋体" w:eastAsia="宋体" w:cs="宋体"/>
                <w:i w:val="0"/>
                <w:iCs w:val="0"/>
                <w:color w:val="auto"/>
                <w:kern w:val="0"/>
                <w:sz w:val="24"/>
                <w:szCs w:val="24"/>
                <w:highlight w:val="none"/>
                <w:u w:val="none"/>
                <w:lang w:val="en-US" w:eastAsia="zh-CN" w:bidi="ar"/>
              </w:rPr>
              <w:t>能力及服务</w:t>
            </w:r>
            <w:r>
              <w:rPr>
                <w:rFonts w:hint="eastAsia" w:ascii="宋体" w:hAnsi="宋体" w:eastAsia="宋体" w:cs="宋体"/>
                <w:i w:val="0"/>
                <w:iCs w:val="0"/>
                <w:color w:val="auto"/>
                <w:kern w:val="0"/>
                <w:sz w:val="24"/>
                <w:szCs w:val="24"/>
                <w:highlight w:val="none"/>
                <w:u w:val="none"/>
                <w:lang w:val="zh-CN" w:eastAsia="zh-CN" w:bidi="ar"/>
              </w:rPr>
              <w:t>响应</w:t>
            </w:r>
            <w:r>
              <w:rPr>
                <w:rFonts w:hint="eastAsia" w:ascii="宋体" w:hAnsi="宋体" w:eastAsia="宋体" w:cs="宋体"/>
                <w:i w:val="0"/>
                <w:iCs w:val="0"/>
                <w:color w:val="auto"/>
                <w:kern w:val="0"/>
                <w:sz w:val="24"/>
                <w:szCs w:val="24"/>
                <w:highlight w:val="none"/>
                <w:u w:val="none"/>
                <w:lang w:val="en-US" w:eastAsia="zh-CN" w:bidi="ar"/>
              </w:rPr>
              <w:t>满足需求</w:t>
            </w:r>
            <w:r>
              <w:rPr>
                <w:rFonts w:hint="eastAsia" w:ascii="宋体" w:hAnsi="宋体" w:eastAsia="宋体" w:cs="宋体"/>
                <w:i w:val="0"/>
                <w:iCs w:val="0"/>
                <w:color w:val="auto"/>
                <w:kern w:val="0"/>
                <w:sz w:val="24"/>
                <w:szCs w:val="24"/>
                <w:highlight w:val="none"/>
                <w:u w:val="none"/>
                <w:lang w:val="zh-CN" w:eastAsia="zh-CN" w:bidi="ar"/>
              </w:rPr>
              <w:t>、流程</w:t>
            </w:r>
            <w:r>
              <w:rPr>
                <w:rFonts w:hint="eastAsia" w:ascii="宋体" w:hAnsi="宋体" w:eastAsia="宋体" w:cs="宋体"/>
                <w:i w:val="0"/>
                <w:iCs w:val="0"/>
                <w:color w:val="auto"/>
                <w:kern w:val="0"/>
                <w:sz w:val="24"/>
                <w:szCs w:val="24"/>
                <w:highlight w:val="none"/>
                <w:u w:val="none"/>
                <w:lang w:val="en-US" w:eastAsia="zh-CN" w:bidi="ar"/>
              </w:rPr>
              <w:t>方案</w:t>
            </w:r>
            <w:r>
              <w:rPr>
                <w:rFonts w:hint="eastAsia" w:ascii="宋体" w:hAnsi="宋体" w:eastAsia="宋体" w:cs="宋体"/>
                <w:i w:val="0"/>
                <w:iCs w:val="0"/>
                <w:color w:val="auto"/>
                <w:kern w:val="0"/>
                <w:sz w:val="24"/>
                <w:szCs w:val="24"/>
                <w:highlight w:val="none"/>
                <w:u w:val="none"/>
                <w:lang w:val="zh-CN" w:eastAsia="zh-CN" w:bidi="ar"/>
              </w:rPr>
              <w:t>有待提升优化</w:t>
            </w:r>
            <w:r>
              <w:rPr>
                <w:rFonts w:hint="eastAsia" w:ascii="宋体" w:hAnsi="宋体" w:eastAsia="宋体" w:cs="宋体"/>
                <w:i w:val="0"/>
                <w:iCs w:val="0"/>
                <w:color w:val="auto"/>
                <w:kern w:val="0"/>
                <w:sz w:val="24"/>
                <w:szCs w:val="24"/>
                <w:highlight w:val="none"/>
                <w:u w:val="none"/>
                <w:lang w:val="en-US" w:eastAsia="zh-CN" w:bidi="ar"/>
              </w:rPr>
              <w:t>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zh-CN" w:eastAsia="zh-CN" w:bidi="ar"/>
              </w:rPr>
              <w:t>分；</w:t>
            </w:r>
          </w:p>
          <w:p w14:paraId="0920EB7C">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zh-CN" w:eastAsia="zh-CN" w:bidi="ar"/>
              </w:rPr>
              <w:t>运维服务方案</w:t>
            </w:r>
            <w:r>
              <w:rPr>
                <w:rFonts w:hint="eastAsia" w:ascii="宋体" w:hAnsi="宋体" w:eastAsia="宋体" w:cs="宋体"/>
                <w:i w:val="0"/>
                <w:iCs w:val="0"/>
                <w:color w:val="auto"/>
                <w:kern w:val="0"/>
                <w:sz w:val="24"/>
                <w:szCs w:val="24"/>
                <w:highlight w:val="none"/>
                <w:u w:val="none"/>
                <w:lang w:val="en-US" w:eastAsia="zh-CN" w:bidi="ar"/>
              </w:rPr>
              <w:t>内容简单</w:t>
            </w:r>
            <w:r>
              <w:rPr>
                <w:rFonts w:hint="eastAsia" w:ascii="宋体" w:hAnsi="宋体" w:eastAsia="宋体" w:cs="宋体"/>
                <w:i w:val="0"/>
                <w:iCs w:val="0"/>
                <w:color w:val="auto"/>
                <w:kern w:val="0"/>
                <w:sz w:val="24"/>
                <w:szCs w:val="24"/>
                <w:highlight w:val="none"/>
                <w:u w:val="none"/>
                <w:lang w:val="zh-CN" w:eastAsia="zh-CN" w:bidi="ar"/>
              </w:rPr>
              <w:t>、技术支持</w:t>
            </w:r>
            <w:r>
              <w:rPr>
                <w:rFonts w:hint="eastAsia" w:ascii="宋体" w:hAnsi="宋体" w:eastAsia="宋体" w:cs="宋体"/>
                <w:i w:val="0"/>
                <w:iCs w:val="0"/>
                <w:color w:val="auto"/>
                <w:kern w:val="0"/>
                <w:sz w:val="24"/>
                <w:szCs w:val="24"/>
                <w:highlight w:val="none"/>
                <w:u w:val="none"/>
                <w:lang w:val="en-US" w:eastAsia="zh-CN" w:bidi="ar"/>
              </w:rPr>
              <w:t>能力欠缺、服务</w:t>
            </w:r>
            <w:r>
              <w:rPr>
                <w:rFonts w:hint="eastAsia" w:ascii="宋体" w:hAnsi="宋体" w:eastAsia="宋体" w:cs="宋体"/>
                <w:i w:val="0"/>
                <w:iCs w:val="0"/>
                <w:color w:val="auto"/>
                <w:kern w:val="0"/>
                <w:sz w:val="24"/>
                <w:szCs w:val="24"/>
                <w:highlight w:val="none"/>
                <w:u w:val="none"/>
                <w:lang w:val="zh-CN" w:eastAsia="zh-CN" w:bidi="ar"/>
              </w:rPr>
              <w:t>响应</w:t>
            </w:r>
            <w:r>
              <w:rPr>
                <w:rFonts w:hint="eastAsia" w:ascii="宋体" w:hAnsi="宋体" w:eastAsia="宋体" w:cs="宋体"/>
                <w:i w:val="0"/>
                <w:iCs w:val="0"/>
                <w:color w:val="auto"/>
                <w:kern w:val="0"/>
                <w:sz w:val="24"/>
                <w:szCs w:val="24"/>
                <w:highlight w:val="none"/>
                <w:u w:val="none"/>
                <w:lang w:val="en-US" w:eastAsia="zh-CN" w:bidi="ar"/>
              </w:rPr>
              <w:t>滞后</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zh-CN" w:eastAsia="zh-CN" w:bidi="ar"/>
              </w:rPr>
              <w:t>分；</w:t>
            </w:r>
          </w:p>
          <w:p w14:paraId="772969CC">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4.方案不可行或未提供的得0分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2B23028D">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bidi="ar"/>
              </w:rPr>
              <w:t>0-5分</w:t>
            </w:r>
          </w:p>
        </w:tc>
      </w:tr>
      <w:tr w14:paraId="100E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380E4500">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259EFBCB">
            <w:pPr>
              <w:pStyle w:val="85"/>
              <w:spacing w:line="520" w:lineRule="exact"/>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6.应急保障</w:t>
            </w:r>
          </w:p>
          <w:p w14:paraId="1528E661">
            <w:pPr>
              <w:pStyle w:val="85"/>
              <w:spacing w:line="520" w:lineRule="exact"/>
              <w:jc w:val="center"/>
              <w:rPr>
                <w:rFonts w:hint="eastAsia" w:ascii="宋体" w:hAnsi="宋体" w:eastAsia="宋体" w:cs="宋体"/>
                <w:color w:val="auto"/>
                <w:kern w:val="0"/>
                <w:sz w:val="24"/>
                <w:szCs w:val="24"/>
                <w:highlight w:val="none"/>
                <w:lang w:val="zh-CN" w:eastAsia="zh-CN" w:bidi="ar"/>
              </w:rPr>
            </w:pPr>
            <w:r>
              <w:rPr>
                <w:rFonts w:hint="default" w:ascii="宋体" w:hAnsi="宋体" w:eastAsia="宋体" w:cs="宋体"/>
                <w:color w:val="auto"/>
                <w:kern w:val="0"/>
                <w:sz w:val="24"/>
                <w:szCs w:val="24"/>
                <w:highlight w:val="none"/>
                <w:lang w:val="en-US" w:eastAsia="zh-CN" w:bidi="ar"/>
              </w:rPr>
              <w:t>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21CD770E">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zh-CN" w:eastAsia="zh-CN" w:bidi="ar"/>
              </w:rPr>
              <w:t>投标人</w:t>
            </w:r>
            <w:r>
              <w:rPr>
                <w:rFonts w:hint="eastAsia" w:ascii="宋体" w:hAnsi="宋体" w:eastAsia="宋体" w:cs="宋体"/>
                <w:i w:val="0"/>
                <w:iCs w:val="0"/>
                <w:color w:val="auto"/>
                <w:kern w:val="0"/>
                <w:sz w:val="24"/>
                <w:szCs w:val="24"/>
                <w:highlight w:val="none"/>
                <w:u w:val="none"/>
                <w:lang w:val="en-US" w:eastAsia="zh-CN" w:bidi="ar"/>
              </w:rPr>
              <w:t>针对本项目特点提供应急保障方案，包含但不限于、应急响应预案、故障维修（包括故障维修的内容、范围和具体措施等）等内容</w:t>
            </w:r>
            <w:r>
              <w:rPr>
                <w:rFonts w:hint="eastAsia" w:ascii="宋体" w:hAnsi="宋体" w:eastAsia="宋体" w:cs="宋体"/>
                <w:i w:val="0"/>
                <w:iCs w:val="0"/>
                <w:color w:val="auto"/>
                <w:kern w:val="0"/>
                <w:sz w:val="24"/>
                <w:szCs w:val="24"/>
                <w:highlight w:val="none"/>
                <w:u w:val="none"/>
                <w:lang w:val="zh-CN" w:eastAsia="zh-CN" w:bidi="ar"/>
              </w:rPr>
              <w:t>：</w:t>
            </w:r>
          </w:p>
          <w:p w14:paraId="1A520E30">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zh-CN" w:eastAsia="zh-CN" w:bidi="ar"/>
              </w:rPr>
              <w:t>方案</w:t>
            </w:r>
            <w:r>
              <w:rPr>
                <w:rFonts w:hint="eastAsia" w:ascii="宋体" w:hAnsi="宋体" w:eastAsia="宋体" w:cs="宋体"/>
                <w:i w:val="0"/>
                <w:iCs w:val="0"/>
                <w:color w:val="auto"/>
                <w:kern w:val="0"/>
                <w:sz w:val="24"/>
                <w:szCs w:val="24"/>
                <w:highlight w:val="none"/>
                <w:u w:val="none"/>
                <w:lang w:val="en-US" w:eastAsia="zh-CN" w:bidi="ar"/>
              </w:rPr>
              <w:t>内容</w:t>
            </w:r>
            <w:r>
              <w:rPr>
                <w:rFonts w:hint="eastAsia" w:ascii="宋体" w:hAnsi="宋体" w:eastAsia="宋体" w:cs="宋体"/>
                <w:i w:val="0"/>
                <w:iCs w:val="0"/>
                <w:color w:val="auto"/>
                <w:kern w:val="0"/>
                <w:sz w:val="24"/>
                <w:szCs w:val="24"/>
                <w:highlight w:val="none"/>
                <w:u w:val="none"/>
                <w:lang w:val="zh-CN" w:eastAsia="zh-CN" w:bidi="ar"/>
              </w:rPr>
              <w:t>详尽、完整、技术支持能力</w:t>
            </w:r>
            <w:r>
              <w:rPr>
                <w:rFonts w:hint="eastAsia" w:ascii="宋体" w:hAnsi="宋体" w:eastAsia="宋体" w:cs="宋体"/>
                <w:i w:val="0"/>
                <w:iCs w:val="0"/>
                <w:color w:val="auto"/>
                <w:kern w:val="0"/>
                <w:sz w:val="24"/>
                <w:szCs w:val="24"/>
                <w:highlight w:val="none"/>
                <w:u w:val="none"/>
                <w:lang w:val="en-US" w:eastAsia="zh-CN" w:bidi="ar"/>
              </w:rPr>
              <w:t>满足项目需求</w:t>
            </w:r>
            <w:r>
              <w:rPr>
                <w:rFonts w:hint="eastAsia" w:ascii="宋体" w:hAnsi="宋体" w:eastAsia="宋体" w:cs="宋体"/>
                <w:i w:val="0"/>
                <w:iCs w:val="0"/>
                <w:color w:val="auto"/>
                <w:kern w:val="0"/>
                <w:sz w:val="24"/>
                <w:szCs w:val="24"/>
                <w:highlight w:val="none"/>
                <w:u w:val="none"/>
                <w:lang w:val="zh-CN" w:eastAsia="zh-CN" w:bidi="ar"/>
              </w:rPr>
              <w:t>、服务响应快、</w:t>
            </w:r>
            <w:r>
              <w:rPr>
                <w:rFonts w:hint="eastAsia" w:ascii="宋体" w:hAnsi="宋体" w:eastAsia="宋体" w:cs="宋体"/>
                <w:i w:val="0"/>
                <w:iCs w:val="0"/>
                <w:color w:val="auto"/>
                <w:kern w:val="0"/>
                <w:sz w:val="24"/>
                <w:szCs w:val="24"/>
                <w:highlight w:val="none"/>
                <w:u w:val="none"/>
                <w:lang w:val="en-US" w:eastAsia="zh-CN" w:bidi="ar"/>
              </w:rPr>
              <w:t>方案</w:t>
            </w:r>
            <w:r>
              <w:rPr>
                <w:rFonts w:hint="eastAsia" w:ascii="宋体" w:hAnsi="宋体" w:eastAsia="宋体" w:cs="宋体"/>
                <w:i w:val="0"/>
                <w:iCs w:val="0"/>
                <w:color w:val="auto"/>
                <w:kern w:val="0"/>
                <w:sz w:val="24"/>
                <w:szCs w:val="24"/>
                <w:highlight w:val="none"/>
                <w:u w:val="none"/>
                <w:lang w:val="zh-CN" w:eastAsia="zh-CN" w:bidi="ar"/>
              </w:rPr>
              <w:t>步骤完善、清晰明了</w:t>
            </w:r>
            <w:r>
              <w:rPr>
                <w:rFonts w:hint="eastAsia" w:ascii="宋体" w:hAnsi="宋体" w:eastAsia="宋体" w:cs="宋体"/>
                <w:i w:val="0"/>
                <w:iCs w:val="0"/>
                <w:color w:val="auto"/>
                <w:kern w:val="0"/>
                <w:sz w:val="24"/>
                <w:szCs w:val="24"/>
                <w:highlight w:val="none"/>
                <w:u w:val="none"/>
                <w:lang w:val="en-US" w:eastAsia="zh-CN" w:bidi="ar"/>
              </w:rPr>
              <w:t>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zh-CN" w:eastAsia="zh-CN" w:bidi="ar"/>
              </w:rPr>
              <w:t>分；</w:t>
            </w:r>
          </w:p>
          <w:p w14:paraId="5F67FED1">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zh-CN" w:eastAsia="zh-CN" w:bidi="ar"/>
              </w:rPr>
              <w:t>方案</w:t>
            </w:r>
            <w:r>
              <w:rPr>
                <w:rFonts w:hint="eastAsia" w:ascii="宋体" w:hAnsi="宋体" w:eastAsia="宋体" w:cs="宋体"/>
                <w:i w:val="0"/>
                <w:iCs w:val="0"/>
                <w:color w:val="auto"/>
                <w:kern w:val="0"/>
                <w:sz w:val="24"/>
                <w:szCs w:val="24"/>
                <w:highlight w:val="none"/>
                <w:u w:val="none"/>
                <w:lang w:val="en-US" w:eastAsia="zh-CN" w:bidi="ar"/>
              </w:rPr>
              <w:t>内容齐全</w:t>
            </w:r>
            <w:r>
              <w:rPr>
                <w:rFonts w:hint="eastAsia" w:ascii="宋体" w:hAnsi="宋体" w:eastAsia="宋体" w:cs="宋体"/>
                <w:i w:val="0"/>
                <w:iCs w:val="0"/>
                <w:color w:val="auto"/>
                <w:kern w:val="0"/>
                <w:sz w:val="24"/>
                <w:szCs w:val="24"/>
                <w:highlight w:val="none"/>
                <w:u w:val="none"/>
                <w:lang w:val="zh-CN" w:eastAsia="zh-CN" w:bidi="ar"/>
              </w:rPr>
              <w:t>、技术支持</w:t>
            </w:r>
            <w:r>
              <w:rPr>
                <w:rFonts w:hint="eastAsia" w:ascii="宋体" w:hAnsi="宋体" w:eastAsia="宋体" w:cs="宋体"/>
                <w:i w:val="0"/>
                <w:iCs w:val="0"/>
                <w:color w:val="auto"/>
                <w:kern w:val="0"/>
                <w:sz w:val="24"/>
                <w:szCs w:val="24"/>
                <w:highlight w:val="none"/>
                <w:u w:val="none"/>
                <w:lang w:val="en-US" w:eastAsia="zh-CN" w:bidi="ar"/>
              </w:rPr>
              <w:t>能力及服务</w:t>
            </w:r>
            <w:r>
              <w:rPr>
                <w:rFonts w:hint="eastAsia" w:ascii="宋体" w:hAnsi="宋体" w:eastAsia="宋体" w:cs="宋体"/>
                <w:i w:val="0"/>
                <w:iCs w:val="0"/>
                <w:color w:val="auto"/>
                <w:kern w:val="0"/>
                <w:sz w:val="24"/>
                <w:szCs w:val="24"/>
                <w:highlight w:val="none"/>
                <w:u w:val="none"/>
                <w:lang w:val="zh-CN" w:eastAsia="zh-CN" w:bidi="ar"/>
              </w:rPr>
              <w:t>响应</w:t>
            </w:r>
            <w:r>
              <w:rPr>
                <w:rFonts w:hint="eastAsia" w:ascii="宋体" w:hAnsi="宋体" w:eastAsia="宋体" w:cs="宋体"/>
                <w:i w:val="0"/>
                <w:iCs w:val="0"/>
                <w:color w:val="auto"/>
                <w:kern w:val="0"/>
                <w:sz w:val="24"/>
                <w:szCs w:val="24"/>
                <w:highlight w:val="none"/>
                <w:u w:val="none"/>
                <w:lang w:val="en-US" w:eastAsia="zh-CN" w:bidi="ar"/>
              </w:rPr>
              <w:t>满足需求</w:t>
            </w:r>
            <w:r>
              <w:rPr>
                <w:rFonts w:hint="eastAsia" w:ascii="宋体" w:hAnsi="宋体" w:eastAsia="宋体" w:cs="宋体"/>
                <w:i w:val="0"/>
                <w:iCs w:val="0"/>
                <w:color w:val="auto"/>
                <w:kern w:val="0"/>
                <w:sz w:val="24"/>
                <w:szCs w:val="24"/>
                <w:highlight w:val="none"/>
                <w:u w:val="none"/>
                <w:lang w:val="zh-CN" w:eastAsia="zh-CN" w:bidi="ar"/>
              </w:rPr>
              <w:t>、流程</w:t>
            </w:r>
            <w:r>
              <w:rPr>
                <w:rFonts w:hint="eastAsia" w:ascii="宋体" w:hAnsi="宋体" w:eastAsia="宋体" w:cs="宋体"/>
                <w:i w:val="0"/>
                <w:iCs w:val="0"/>
                <w:color w:val="auto"/>
                <w:kern w:val="0"/>
                <w:sz w:val="24"/>
                <w:szCs w:val="24"/>
                <w:highlight w:val="none"/>
                <w:u w:val="none"/>
                <w:lang w:val="en-US" w:eastAsia="zh-CN" w:bidi="ar"/>
              </w:rPr>
              <w:t>方案</w:t>
            </w:r>
            <w:r>
              <w:rPr>
                <w:rFonts w:hint="eastAsia" w:ascii="宋体" w:hAnsi="宋体" w:eastAsia="宋体" w:cs="宋体"/>
                <w:i w:val="0"/>
                <w:iCs w:val="0"/>
                <w:color w:val="auto"/>
                <w:kern w:val="0"/>
                <w:sz w:val="24"/>
                <w:szCs w:val="24"/>
                <w:highlight w:val="none"/>
                <w:u w:val="none"/>
                <w:lang w:val="zh-CN" w:eastAsia="zh-CN" w:bidi="ar"/>
              </w:rPr>
              <w:t>有待提升优化</w:t>
            </w:r>
            <w:r>
              <w:rPr>
                <w:rFonts w:hint="eastAsia" w:ascii="宋体" w:hAnsi="宋体" w:eastAsia="宋体" w:cs="宋体"/>
                <w:i w:val="0"/>
                <w:iCs w:val="0"/>
                <w:color w:val="auto"/>
                <w:kern w:val="0"/>
                <w:sz w:val="24"/>
                <w:szCs w:val="24"/>
                <w:highlight w:val="none"/>
                <w:u w:val="none"/>
                <w:lang w:val="en-US" w:eastAsia="zh-CN" w:bidi="ar"/>
              </w:rPr>
              <w:t>的</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zh-CN" w:eastAsia="zh-CN" w:bidi="ar"/>
              </w:rPr>
              <w:t>分；</w:t>
            </w:r>
          </w:p>
          <w:p w14:paraId="0D0854B2">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zh-CN" w:eastAsia="zh-CN" w:bidi="ar"/>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zh-CN" w:eastAsia="zh-CN" w:bidi="ar"/>
              </w:rPr>
              <w:t>方案</w:t>
            </w:r>
            <w:r>
              <w:rPr>
                <w:rFonts w:hint="eastAsia" w:ascii="宋体" w:hAnsi="宋体" w:eastAsia="宋体" w:cs="宋体"/>
                <w:i w:val="0"/>
                <w:iCs w:val="0"/>
                <w:color w:val="auto"/>
                <w:kern w:val="0"/>
                <w:sz w:val="24"/>
                <w:szCs w:val="24"/>
                <w:highlight w:val="none"/>
                <w:u w:val="none"/>
                <w:lang w:val="en-US" w:eastAsia="zh-CN" w:bidi="ar"/>
              </w:rPr>
              <w:t>内容简单</w:t>
            </w:r>
            <w:r>
              <w:rPr>
                <w:rFonts w:hint="eastAsia" w:ascii="宋体" w:hAnsi="宋体" w:eastAsia="宋体" w:cs="宋体"/>
                <w:i w:val="0"/>
                <w:iCs w:val="0"/>
                <w:color w:val="auto"/>
                <w:kern w:val="0"/>
                <w:sz w:val="24"/>
                <w:szCs w:val="24"/>
                <w:highlight w:val="none"/>
                <w:u w:val="none"/>
                <w:lang w:val="zh-CN" w:eastAsia="zh-CN" w:bidi="ar"/>
              </w:rPr>
              <w:t>、技术支持</w:t>
            </w:r>
            <w:r>
              <w:rPr>
                <w:rFonts w:hint="eastAsia" w:ascii="宋体" w:hAnsi="宋体" w:eastAsia="宋体" w:cs="宋体"/>
                <w:i w:val="0"/>
                <w:iCs w:val="0"/>
                <w:color w:val="auto"/>
                <w:kern w:val="0"/>
                <w:sz w:val="24"/>
                <w:szCs w:val="24"/>
                <w:highlight w:val="none"/>
                <w:u w:val="none"/>
                <w:lang w:val="en-US" w:eastAsia="zh-CN" w:bidi="ar"/>
              </w:rPr>
              <w:t>能力欠缺、服务</w:t>
            </w:r>
            <w:r>
              <w:rPr>
                <w:rFonts w:hint="eastAsia" w:ascii="宋体" w:hAnsi="宋体" w:eastAsia="宋体" w:cs="宋体"/>
                <w:i w:val="0"/>
                <w:iCs w:val="0"/>
                <w:color w:val="auto"/>
                <w:kern w:val="0"/>
                <w:sz w:val="24"/>
                <w:szCs w:val="24"/>
                <w:highlight w:val="none"/>
                <w:u w:val="none"/>
                <w:lang w:val="zh-CN" w:eastAsia="zh-CN" w:bidi="ar"/>
              </w:rPr>
              <w:t>响应</w:t>
            </w:r>
            <w:r>
              <w:rPr>
                <w:rFonts w:hint="eastAsia" w:ascii="宋体" w:hAnsi="宋体" w:eastAsia="宋体" w:cs="宋体"/>
                <w:i w:val="0"/>
                <w:iCs w:val="0"/>
                <w:color w:val="auto"/>
                <w:kern w:val="0"/>
                <w:sz w:val="24"/>
                <w:szCs w:val="24"/>
                <w:highlight w:val="none"/>
                <w:u w:val="none"/>
                <w:lang w:val="en-US" w:eastAsia="zh-CN" w:bidi="ar"/>
              </w:rPr>
              <w:t>滞后</w:t>
            </w:r>
            <w:r>
              <w:rPr>
                <w:rFonts w:hint="eastAsia" w:ascii="宋体" w:hAnsi="宋体" w:eastAsia="宋体" w:cs="宋体"/>
                <w:i w:val="0"/>
                <w:iCs w:val="0"/>
                <w:color w:val="auto"/>
                <w:kern w:val="0"/>
                <w:sz w:val="24"/>
                <w:szCs w:val="24"/>
                <w:highlight w:val="none"/>
                <w:u w:val="none"/>
                <w:lang w:val="zh-CN" w:eastAsia="zh-CN" w:bidi="ar"/>
              </w:rPr>
              <w:t>得</w:t>
            </w: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zh-CN" w:eastAsia="zh-CN" w:bidi="ar"/>
              </w:rPr>
              <w:t>分；</w:t>
            </w:r>
          </w:p>
          <w:p w14:paraId="7E455C1C">
            <w:pPr>
              <w:keepNext w:val="0"/>
              <w:keepLines w:val="0"/>
              <w:pageBreakBefore w:val="0"/>
              <w:widowControl/>
              <w:numPr>
                <w:ilvl w:val="0"/>
                <w:numId w:val="0"/>
              </w:numPr>
              <w:suppressLineNumbers w:val="0"/>
              <w:kinsoku/>
              <w:overflowPunct/>
              <w:topLinePunct w:val="0"/>
              <w:autoSpaceDE/>
              <w:autoSpaceDN/>
              <w:bidi w:val="0"/>
              <w:spacing w:line="520" w:lineRule="exact"/>
              <w:ind w:left="0" w:leftChars="0" w:firstLine="0" w:firstLineChars="0"/>
              <w:jc w:val="left"/>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4.方案不可行或未提供的得0分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BFEBDE0">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bidi="ar"/>
              </w:rPr>
              <w:t>0-5分</w:t>
            </w:r>
          </w:p>
        </w:tc>
      </w:tr>
      <w:tr w14:paraId="5FDC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6917215D">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0EE70BCD">
            <w:pPr>
              <w:keepNext w:val="0"/>
              <w:keepLines w:val="0"/>
              <w:pageBreakBefore w:val="0"/>
              <w:widowControl/>
              <w:numPr>
                <w:ilvl w:val="0"/>
                <w:numId w:val="0"/>
              </w:numPr>
              <w:suppressLineNumbers w:val="0"/>
              <w:kinsoku/>
              <w:overflowPunct/>
              <w:topLinePunct w:val="0"/>
              <w:autoSpaceDE/>
              <w:autoSpaceDN/>
              <w:bidi w:val="0"/>
              <w:spacing w:line="520" w:lineRule="exact"/>
              <w:ind w:left="0" w:leftChars="0" w:firstLine="0" w:firstLineChars="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7.安全管理方案</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574C9A6F">
            <w:pPr>
              <w:widowControl/>
              <w:spacing w:line="52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据投标人提供的安全管理方案进行评审，方案包含安全管理组织制度、安全检查管理制度、运行安全保障方案、网络安全管理制度、系统安全管理制度、人员安全管理制度、防病毒管理制度、硬件管理制度等内容。</w:t>
            </w:r>
          </w:p>
          <w:p w14:paraId="58D377A5">
            <w:pPr>
              <w:widowControl/>
              <w:spacing w:line="52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1.针对本项目需提供了合理、详尽的安全管理方案，全面详尽的包含需求中的安全管理内容。方案切实可行、完整合理、可行性强，具有详细的安全管理节点及防护报警措施，安排专业人员运行，得5分；</w:t>
            </w:r>
          </w:p>
          <w:p w14:paraId="64B650F8">
            <w:pPr>
              <w:widowControl/>
              <w:spacing w:line="52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针对本项目需提供了安全管理方案，包含需求中的防护内容。具有可行性、针对性，过程中控制措施清晰、无明显逻辑错误，针对性方案不够全面，有效性欠缺，专业人员配置一般，安全合理性有待改善，得3分；</w:t>
            </w:r>
          </w:p>
          <w:p w14:paraId="621BB653">
            <w:pPr>
              <w:widowControl/>
              <w:spacing w:line="52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3.提供了的安全管理方案，方案措施实施性不高且出现非专门针对本项目特性内容，可行性、实用性有待改善，方案片面，不具有执行有效性，内容不详细，专业人员薄弱，得1分；</w:t>
            </w:r>
          </w:p>
          <w:p w14:paraId="32120ECE">
            <w:pPr>
              <w:keepNext w:val="0"/>
              <w:keepLines w:val="0"/>
              <w:pageBreakBefore w:val="0"/>
              <w:widowControl/>
              <w:numPr>
                <w:ilvl w:val="0"/>
                <w:numId w:val="0"/>
              </w:numPr>
              <w:suppressLineNumbers w:val="0"/>
              <w:kinsoku/>
              <w:overflowPunct/>
              <w:topLinePunct w:val="0"/>
              <w:autoSpaceDE/>
              <w:autoSpaceDN/>
              <w:bidi w:val="0"/>
              <w:spacing w:line="520" w:lineRule="exact"/>
              <w:ind w:left="0" w:leftChars="0" w:firstLine="0" w:firstLine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4.方案不可行或</w:t>
            </w:r>
            <w:r>
              <w:rPr>
                <w:rFonts w:hint="eastAsia" w:ascii="宋体" w:hAnsi="宋体" w:eastAsia="宋体" w:cs="宋体"/>
                <w:color w:val="auto"/>
                <w:sz w:val="24"/>
                <w:szCs w:val="24"/>
                <w:highlight w:val="none"/>
                <w:lang w:val="en-US" w:eastAsia="zh-CN"/>
              </w:rPr>
              <w:t>未提供的</w:t>
            </w:r>
            <w:r>
              <w:rPr>
                <w:rFonts w:hint="eastAsia" w:ascii="宋体" w:hAnsi="宋体" w:eastAsia="宋体" w:cs="宋体"/>
                <w:i w:val="0"/>
                <w:iCs w:val="0"/>
                <w:color w:val="auto"/>
                <w:kern w:val="0"/>
                <w:sz w:val="24"/>
                <w:szCs w:val="24"/>
                <w:highlight w:val="none"/>
                <w:u w:val="none"/>
                <w:lang w:val="en-US" w:eastAsia="zh-CN" w:bidi="ar"/>
              </w:rPr>
              <w:t>不得分。</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3A9B7CC7">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bidi="ar"/>
              </w:rPr>
              <w:t>0-</w:t>
            </w: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bidi="ar"/>
              </w:rPr>
              <w:t>分</w:t>
            </w:r>
          </w:p>
        </w:tc>
      </w:tr>
      <w:tr w14:paraId="179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tcBorders>
              <w:left w:val="single" w:color="auto" w:sz="4" w:space="0"/>
              <w:right w:val="single" w:color="auto" w:sz="4" w:space="0"/>
            </w:tcBorders>
            <w:vAlign w:val="center"/>
          </w:tcPr>
          <w:p w14:paraId="650030B4">
            <w:pPr>
              <w:keepNext w:val="0"/>
              <w:keepLines w:val="0"/>
              <w:pageBreakBefore w:val="0"/>
              <w:kinsoku/>
              <w:overflowPunct/>
              <w:topLinePunct w:val="0"/>
              <w:autoSpaceDE/>
              <w:autoSpaceDN/>
              <w:bidi w:val="0"/>
              <w:spacing w:line="520" w:lineRule="exact"/>
              <w:jc w:val="center"/>
              <w:textAlignment w:val="auto"/>
              <w:rPr>
                <w:rFonts w:hint="eastAsia" w:ascii="宋体" w:hAnsi="宋体" w:eastAsia="宋体" w:cs="宋体"/>
                <w:color w:val="auto"/>
                <w:sz w:val="24"/>
                <w:szCs w:val="24"/>
                <w:highlight w:val="none"/>
              </w:rPr>
            </w:pPr>
          </w:p>
        </w:tc>
        <w:tc>
          <w:tcPr>
            <w:tcW w:w="726" w:type="pct"/>
            <w:tcBorders>
              <w:top w:val="single" w:color="auto" w:sz="4" w:space="0"/>
              <w:left w:val="single" w:color="auto" w:sz="4" w:space="0"/>
              <w:bottom w:val="single" w:color="auto" w:sz="4" w:space="0"/>
              <w:right w:val="single" w:color="auto" w:sz="4" w:space="0"/>
            </w:tcBorders>
            <w:shd w:val="clear" w:color="auto" w:fill="auto"/>
            <w:vAlign w:val="center"/>
          </w:tcPr>
          <w:p w14:paraId="394AE99C">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8.服务指标响应情况</w:t>
            </w:r>
          </w:p>
        </w:tc>
        <w:tc>
          <w:tcPr>
            <w:tcW w:w="3090" w:type="pct"/>
            <w:tcBorders>
              <w:top w:val="single" w:color="auto" w:sz="4" w:space="0"/>
              <w:left w:val="single" w:color="auto" w:sz="4" w:space="0"/>
              <w:bottom w:val="single" w:color="auto" w:sz="4" w:space="0"/>
              <w:right w:val="single" w:color="auto" w:sz="4" w:space="0"/>
            </w:tcBorders>
            <w:shd w:val="clear" w:color="auto" w:fill="auto"/>
            <w:vAlign w:val="center"/>
          </w:tcPr>
          <w:p w14:paraId="20B7051E">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根据服务所提供的产品对招标文件中技术参数及要求的响应情况进行评分：</w:t>
            </w:r>
          </w:p>
          <w:p w14:paraId="7ADB8E47">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标“★”参数，每有一项完全响应或优于采购需求的得1.5分，共21分。</w:t>
            </w:r>
          </w:p>
          <w:p w14:paraId="77CA3545">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注：标“★”项参数提供相关证明材料扫描件。</w:t>
            </w:r>
          </w:p>
          <w:p w14:paraId="15224D73">
            <w:pPr>
              <w:keepNext w:val="0"/>
              <w:keepLines w:val="0"/>
              <w:pageBreakBefore w:val="0"/>
              <w:widowControl/>
              <w:numPr>
                <w:ilvl w:val="0"/>
                <w:numId w:val="0"/>
              </w:numPr>
              <w:suppressLineNumbers w:val="0"/>
              <w:kinsoku/>
              <w:overflowPunct/>
              <w:topLinePunct w:val="0"/>
              <w:autoSpaceDE/>
              <w:autoSpaceDN/>
              <w:bidi w:val="0"/>
              <w:spacing w:line="520" w:lineRule="exact"/>
              <w:ind w:left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非注“★”项的其它参数，投标文件中无需列明，投标文件中提供全部参数响应的承诺函的(格式自拟），未全部响应或未提供的均按无效标处理。且在合同签订后将作为履约验收的依据。</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36432528">
            <w:pPr>
              <w:keepNext w:val="0"/>
              <w:keepLines w:val="0"/>
              <w:pageBreakBefore w:val="0"/>
              <w:widowControl/>
              <w:suppressLineNumbers w:val="0"/>
              <w:kinsoku/>
              <w:overflowPunct/>
              <w:topLinePunct w:val="0"/>
              <w:autoSpaceDE/>
              <w:autoSpaceDN/>
              <w:bidi w:val="0"/>
              <w:spacing w:line="520" w:lineRule="exact"/>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0-21分</w:t>
            </w:r>
          </w:p>
        </w:tc>
      </w:tr>
      <w:tr w14:paraId="6782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tcBorders>
              <w:left w:val="single" w:color="auto" w:sz="4" w:space="0"/>
              <w:right w:val="single" w:color="auto" w:sz="4" w:space="0"/>
            </w:tcBorders>
            <w:vAlign w:val="center"/>
          </w:tcPr>
          <w:p w14:paraId="79CE5169">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价格分</w:t>
            </w:r>
          </w:p>
          <w:p w14:paraId="4EF5A7F6">
            <w:pPr>
              <w:keepNext w:val="0"/>
              <w:keepLines w:val="0"/>
              <w:pageBreakBefore w:val="0"/>
              <w:kinsoku/>
              <w:overflowPunct/>
              <w:topLinePunct w:val="0"/>
              <w:autoSpaceDE/>
              <w:autoSpaceDN/>
              <w:bidi w:val="0"/>
              <w:spacing w:line="520" w:lineRule="exact"/>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lang w:val="en-US" w:eastAsia="zh-CN"/>
              </w:rPr>
              <w:t>20</w:t>
            </w:r>
            <w:r>
              <w:rPr>
                <w:rFonts w:hint="eastAsia" w:asciiTheme="minorEastAsia" w:hAnsiTheme="minorEastAsia" w:eastAsiaTheme="minorEastAsia"/>
                <w:color w:val="auto"/>
                <w:sz w:val="24"/>
                <w:szCs w:val="24"/>
                <w:highlight w:val="none"/>
              </w:rPr>
              <w:t>分）</w:t>
            </w:r>
          </w:p>
        </w:tc>
        <w:tc>
          <w:tcPr>
            <w:tcW w:w="4421" w:type="pct"/>
            <w:gridSpan w:val="3"/>
            <w:tcBorders>
              <w:top w:val="single" w:color="auto" w:sz="4" w:space="0"/>
              <w:left w:val="single" w:color="auto" w:sz="4" w:space="0"/>
              <w:bottom w:val="single" w:color="auto" w:sz="4" w:space="0"/>
              <w:right w:val="single" w:color="auto" w:sz="4" w:space="0"/>
            </w:tcBorders>
            <w:vAlign w:val="center"/>
          </w:tcPr>
          <w:p w14:paraId="0721CEB6">
            <w:pPr>
              <w:keepNext w:val="0"/>
              <w:keepLines w:val="0"/>
              <w:pageBreakBefore w:val="0"/>
              <w:kinsoku/>
              <w:overflowPunct/>
              <w:topLinePunct w:val="0"/>
              <w:autoSpaceDE/>
              <w:autoSpaceDN/>
              <w:bidi w:val="0"/>
              <w:spacing w:line="520" w:lineRule="exact"/>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价格分统一采用低价优先法，即满足招标文件要求且投标价格最低的投标报价</w:t>
            </w:r>
            <w:r>
              <w:rPr>
                <w:rFonts w:hint="eastAsia" w:asciiTheme="minorEastAsia" w:hAnsiTheme="minorEastAsia" w:eastAsiaTheme="minorEastAsia"/>
                <w:color w:val="auto"/>
                <w:sz w:val="24"/>
                <w:szCs w:val="24"/>
                <w:highlight w:val="none"/>
                <w:lang w:val="en-US" w:eastAsia="zh-CN"/>
              </w:rPr>
              <w:t>（如有扣除为扣除后价格）</w:t>
            </w:r>
            <w:r>
              <w:rPr>
                <w:rFonts w:hint="eastAsia" w:asciiTheme="minorEastAsia" w:hAnsiTheme="minorEastAsia" w:eastAsiaTheme="minorEastAsia"/>
                <w:color w:val="auto"/>
                <w:sz w:val="24"/>
                <w:szCs w:val="24"/>
                <w:highlight w:val="none"/>
              </w:rPr>
              <w:t>为评标基准价，其价格分为满分</w:t>
            </w:r>
            <w:r>
              <w:rPr>
                <w:rFonts w:hint="eastAsia" w:asciiTheme="minorEastAsia" w:hAnsiTheme="minorEastAsia" w:eastAsiaTheme="minorEastAsia"/>
                <w:color w:val="auto"/>
                <w:sz w:val="24"/>
                <w:szCs w:val="24"/>
                <w:highlight w:val="none"/>
                <w:u w:val="single"/>
                <w:lang w:val="en-US" w:eastAsia="zh-CN"/>
              </w:rPr>
              <w:t>20</w:t>
            </w:r>
            <w:r>
              <w:rPr>
                <w:rFonts w:hint="eastAsia" w:asciiTheme="minorEastAsia" w:hAnsiTheme="minorEastAsia" w:eastAsiaTheme="minorEastAsia"/>
                <w:color w:val="auto"/>
                <w:sz w:val="24"/>
                <w:szCs w:val="24"/>
                <w:highlight w:val="none"/>
              </w:rPr>
              <w:t>分。其他投标人的价格分统一按照下列公式计算：</w:t>
            </w:r>
          </w:p>
          <w:p w14:paraId="3F53801C">
            <w:pPr>
              <w:keepNext w:val="0"/>
              <w:keepLines w:val="0"/>
              <w:pageBreakBefore w:val="0"/>
              <w:kinsoku/>
              <w:overflowPunct/>
              <w:topLinePunct w:val="0"/>
              <w:autoSpaceDE/>
              <w:autoSpaceDN/>
              <w:bidi w:val="0"/>
              <w:spacing w:line="520" w:lineRule="exact"/>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投标报价得分＝（评标基准价/投标报价</w:t>
            </w:r>
            <w:r>
              <w:rPr>
                <w:rFonts w:hint="eastAsia" w:asciiTheme="minorEastAsia" w:hAnsiTheme="minorEastAsia" w:eastAsiaTheme="minorEastAsia"/>
                <w:color w:val="auto"/>
                <w:sz w:val="24"/>
                <w:szCs w:val="24"/>
                <w:highlight w:val="none"/>
                <w:lang w:val="en-US" w:eastAsia="zh-CN"/>
              </w:rPr>
              <w:t>（如有扣除为扣除后价格）</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val="en-US" w:eastAsia="zh-CN"/>
              </w:rPr>
              <w:t>20</w:t>
            </w:r>
            <w:r>
              <w:rPr>
                <w:rFonts w:hint="eastAsia" w:asciiTheme="minorEastAsia" w:hAnsiTheme="minorEastAsia" w:eastAsiaTheme="minorEastAsia"/>
                <w:color w:val="auto"/>
                <w:sz w:val="24"/>
                <w:szCs w:val="24"/>
                <w:highlight w:val="none"/>
              </w:rPr>
              <w:t>％×100</w:t>
            </w:r>
          </w:p>
        </w:tc>
      </w:tr>
    </w:tbl>
    <w:p w14:paraId="125C712B">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.3.3</w:t>
      </w:r>
      <w:r>
        <w:rPr>
          <w:rFonts w:hint="eastAsia" w:asciiTheme="minorEastAsia" w:hAnsiTheme="minorEastAsia" w:eastAsiaTheme="minorEastAsia"/>
          <w:color w:val="auto"/>
          <w:sz w:val="24"/>
          <w:highlight w:val="none"/>
        </w:rPr>
        <w:t>分值汇总</w:t>
      </w:r>
    </w:p>
    <w:p w14:paraId="4A15C2F2">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433745D9">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default" w:eastAsiaTheme="minorEastAsia"/>
          <w:color w:val="auto"/>
          <w:highlight w:val="none"/>
          <w:lang w:val="en-US" w:eastAsia="zh-CN"/>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p>
    <w:p w14:paraId="2D4E6512">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三、无效投标条款</w:t>
      </w:r>
    </w:p>
    <w:p w14:paraId="0C12C684">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3.1投标文件有下列情形之一的,其投标文件拒收:</w:t>
      </w:r>
    </w:p>
    <w:p w14:paraId="60A92B2C">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 未在开标截止时间前通过网上招标投标系统递交有效电子投标文件的，开标系统不予接收，投标将被拒绝。</w:t>
      </w:r>
    </w:p>
    <w:p w14:paraId="030D821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458DDFD8">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3.2投标人有下列情形之一的,资格审查后其投标作无效投标处理：</w:t>
      </w:r>
    </w:p>
    <w:p w14:paraId="29C94CBC">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(1)投标人为本项目提供招标代理服务的；</w:t>
      </w:r>
    </w:p>
    <w:p w14:paraId="2A908AAE">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(2)投标人与在本项目代理机构存在相互任职或工作的；</w:t>
      </w:r>
    </w:p>
    <w:p w14:paraId="37954B61">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(3)招标公告写明专门面向中小企业采购，投标人提供的货物非中小企业制造的；</w:t>
      </w:r>
    </w:p>
    <w:p w14:paraId="7E4E2DB7">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(4)要求供应商以联合体形式参加采购活动，投标人非联合体或者联合协议中中小企业合同金额未达到应当达到的比例；</w:t>
      </w:r>
    </w:p>
    <w:p w14:paraId="5B0610DF">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(5)要求获得采购合同的供应商向中小企业分包，投标人未提供分包意向协议或者分包意向协议中中小企业合同金额未达到应当达到的比例；</w:t>
      </w:r>
    </w:p>
    <w:p w14:paraId="69F6D676">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(6)评标专家无法查看并检验电子投标文件中相关资料的；</w:t>
      </w:r>
    </w:p>
    <w:p w14:paraId="77034151">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(7)联合体投标未提交联合体协议的；</w:t>
      </w:r>
    </w:p>
    <w:p w14:paraId="1301D30A">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(8)责令停产停业的；</w:t>
      </w:r>
    </w:p>
    <w:p w14:paraId="06EE388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(9)暂停或者取消参与政府采购项目资格的；</w:t>
      </w:r>
    </w:p>
    <w:p w14:paraId="31618C61">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(10)投标人单位负责人为同一人或者存在（直接）控股、管理关系的不同单位的；</w:t>
      </w:r>
    </w:p>
    <w:p w14:paraId="55CE2FE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(11)投标人基本资格条件和特定资格条件中有一项及以上不符合要求的；</w:t>
      </w:r>
    </w:p>
    <w:p w14:paraId="39753DE6">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50AF9AD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(13)其它情形，经评标委员会委提出按无效投标处理，并经公共资源交易监督部门核准的；</w:t>
      </w:r>
    </w:p>
    <w:p w14:paraId="42588557">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(14)投标人投标MAC地址或投标人联系人或联系电话相同的，由评标委员会否决其投标，并报告监管部门作不良行为处理和进一步调查；</w:t>
      </w:r>
    </w:p>
    <w:p w14:paraId="50B41D0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(15)投标人单方面出现其他投标人材料的；</w:t>
      </w:r>
    </w:p>
    <w:p w14:paraId="22504051">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(16)招标文件规定的其它无效投标情形。</w:t>
      </w:r>
    </w:p>
    <w:p w14:paraId="052AEDCD">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 投标人有下列情形之一的,符合性审查后其投标按无效投标处理：</w:t>
      </w:r>
    </w:p>
    <w:p w14:paraId="7EFC0239">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(1)投标文件签字、盖章不全，经评标委员会一致认定对开评标内容有实质性影响并经公共资源交易监督部门核准的；</w:t>
      </w:r>
    </w:p>
    <w:p w14:paraId="767E735A">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(2)未按规定的格式填写导致实质性内容不全以及实质上不响应，或者关键字迹模糊、无法辨认; 经公共资源交易监督部门核准的；</w:t>
      </w:r>
    </w:p>
    <w:p w14:paraId="3D2942D3">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(3)同一投标人提交两个以上不同的投标文件或者投标报价，但招标文件规定提交备选方案的除外；</w:t>
      </w:r>
    </w:p>
    <w:p w14:paraId="12E382AE">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(4)投标文件没有对招标文件的实质性要求和条件作出响应;</w:t>
      </w:r>
    </w:p>
    <w:p w14:paraId="18074240">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(5)投标报价超出规定的投标限价或公布的采购预算的或投标人的投标报价各项单价高于招标文件给定的单价最高限价；</w:t>
      </w:r>
    </w:p>
    <w:p w14:paraId="107248EB">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(6)不按评标委员会要求澄清、说明或补正的，或者评标委员会根据招标文件的规定对投标文件的计算错误进行修正后，投标人不接受修正的投标报价的。</w:t>
      </w:r>
    </w:p>
    <w:p w14:paraId="3AEC73E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(7)其它情形，经评标委员会委提出按无效投标处理，并经公共资源交易监督部门核准的；</w:t>
      </w:r>
    </w:p>
    <w:p w14:paraId="1D61F30C">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(8)投标文件含有采购人不能接受的附加条件的；</w:t>
      </w:r>
    </w:p>
    <w:p w14:paraId="49F49B5B">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(9)招标文件规定的其它无效投标情形。</w:t>
      </w:r>
    </w:p>
    <w:p w14:paraId="10D058EF">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3.4 投标人有下列情形之一的, 详细评审后其投标按无效投标处理：</w:t>
      </w:r>
    </w:p>
    <w:p w14:paraId="34A86C25">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(1)投标产品不符合必须强制执行的国家标准的；</w:t>
      </w:r>
    </w:p>
    <w:p w14:paraId="14870613">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(2)投标人有串通投标、弄虚作假、行贿等违法行为；</w:t>
      </w:r>
    </w:p>
    <w:p w14:paraId="09876A84">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(3)投标文件含有违反国家法律、法规的内容，或附有采购人不能接受的条件的；</w:t>
      </w:r>
    </w:p>
    <w:p w14:paraId="38F40E60">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(4)报价明显低于其他投标人，且不能证明报价合理性的投标无效；</w:t>
      </w:r>
    </w:p>
    <w:p w14:paraId="76D3F26C">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(5)拒不确认评标委员会评审修正的投标无效；</w:t>
      </w:r>
    </w:p>
    <w:p w14:paraId="2872F441">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(6)其它情形，经评标委员会委提出按无效投标处理，并经公共资源交易监督部门核准的；</w:t>
      </w:r>
    </w:p>
    <w:p w14:paraId="0EFCB54E">
      <w:pPr>
        <w:keepNext w:val="0"/>
        <w:keepLines w:val="0"/>
        <w:pageBreakBefore w:val="0"/>
        <w:widowControl w:val="0"/>
        <w:kinsoku/>
        <w:wordWrap/>
        <w:overflowPunct/>
        <w:topLinePunct w:val="0"/>
        <w:autoSpaceDE/>
        <w:autoSpaceDN/>
        <w:bidi w:val="0"/>
        <w:adjustRightInd/>
        <w:snapToGrid/>
        <w:spacing w:line="500" w:lineRule="exact"/>
        <w:ind w:firstLine="437"/>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(7)招标文件规定的其它无效投标情形。</w:t>
      </w:r>
      <w:r>
        <w:rPr>
          <w:rFonts w:asciiTheme="minorEastAsia" w:hAnsiTheme="minorEastAsia" w:eastAsiaTheme="minorEastAsia"/>
          <w:color w:val="auto"/>
          <w:sz w:val="24"/>
          <w:highlight w:val="none"/>
        </w:rPr>
        <w:br w:type="page"/>
      </w:r>
    </w:p>
    <w:p w14:paraId="26C91F3B">
      <w:pPr>
        <w:spacing w:line="360" w:lineRule="auto"/>
        <w:jc w:val="center"/>
        <w:outlineLvl w:val="0"/>
        <w:rPr>
          <w:rFonts w:hint="eastAsia" w:asciiTheme="minorEastAsia" w:hAnsiTheme="minorEastAsia" w:eastAsiaTheme="minorEastAsia"/>
          <w:b/>
          <w:color w:val="auto"/>
          <w:sz w:val="28"/>
          <w:highlight w:val="none"/>
        </w:rPr>
      </w:pPr>
      <w:bookmarkStart w:id="433" w:name="_Toc20405"/>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433"/>
    </w:p>
    <w:p w14:paraId="134DC698">
      <w:pPr>
        <w:spacing w:line="480" w:lineRule="auto"/>
        <w:jc w:val="center"/>
        <w:rPr>
          <w:rFonts w:hint="eastAsia" w:cs="Times New Roman" w:asciiTheme="minorEastAsia" w:hAnsiTheme="minorEastAsia" w:eastAsiaTheme="minorEastAsia"/>
          <w:b/>
          <w:color w:val="auto"/>
          <w:sz w:val="28"/>
          <w:szCs w:val="28"/>
          <w:highlight w:val="none"/>
        </w:rPr>
      </w:pPr>
      <w:bookmarkStart w:id="434" w:name="_Toc331685784"/>
    </w:p>
    <w:p w14:paraId="05E46526">
      <w:pPr>
        <w:spacing w:line="480" w:lineRule="auto"/>
        <w:jc w:val="center"/>
        <w:rPr>
          <w:rFonts w:hint="eastAsia" w:cs="Times New Roman" w:asciiTheme="minorEastAsia" w:hAnsiTheme="minorEastAsia" w:eastAsiaTheme="minorEastAsia"/>
          <w:b/>
          <w:color w:val="auto"/>
          <w:sz w:val="28"/>
          <w:szCs w:val="28"/>
          <w:highlight w:val="none"/>
        </w:rPr>
      </w:pPr>
    </w:p>
    <w:p w14:paraId="10B2180B">
      <w:pPr>
        <w:pStyle w:val="15"/>
        <w:rPr>
          <w:rFonts w:hint="eastAsia"/>
          <w:color w:val="auto"/>
          <w:highlight w:val="none"/>
        </w:rPr>
      </w:pPr>
    </w:p>
    <w:p w14:paraId="63F7F7E7">
      <w:pPr>
        <w:spacing w:line="480" w:lineRule="auto"/>
        <w:jc w:val="center"/>
        <w:outlineLvl w:val="1"/>
        <w:rPr>
          <w:rFonts w:hint="eastAsia" w:cs="Times New Roman" w:asciiTheme="minorEastAsia" w:hAnsiTheme="minorEastAsia" w:eastAsiaTheme="minorEastAsia"/>
          <w:b/>
          <w:color w:val="auto"/>
          <w:sz w:val="28"/>
          <w:szCs w:val="28"/>
          <w:highlight w:val="none"/>
        </w:rPr>
      </w:pPr>
      <w:bookmarkStart w:id="435" w:name="_Toc3714"/>
      <w:r>
        <w:rPr>
          <w:rFonts w:cs="Times New Roman" w:asciiTheme="minorEastAsia" w:hAnsiTheme="minorEastAsia" w:eastAsiaTheme="minorEastAsia"/>
          <w:b/>
          <w:color w:val="auto"/>
          <w:sz w:val="28"/>
          <w:szCs w:val="28"/>
          <w:highlight w:val="none"/>
        </w:rPr>
        <w:t>政府采购合同</w:t>
      </w:r>
      <w:r>
        <w:rPr>
          <w:rFonts w:hint="eastAsia" w:cs="Times New Roman" w:asciiTheme="minorEastAsia" w:hAnsiTheme="minorEastAsia" w:eastAsiaTheme="minorEastAsia"/>
          <w:b/>
          <w:color w:val="auto"/>
          <w:sz w:val="28"/>
          <w:szCs w:val="28"/>
          <w:highlight w:val="none"/>
        </w:rPr>
        <w:t>参考范本</w:t>
      </w:r>
      <w:bookmarkEnd w:id="435"/>
    </w:p>
    <w:p w14:paraId="06659890">
      <w:pPr>
        <w:spacing w:line="480" w:lineRule="auto"/>
        <w:jc w:val="center"/>
        <w:outlineLvl w:val="1"/>
        <w:rPr>
          <w:rFonts w:hint="eastAsia" w:cs="Times New Roman" w:asciiTheme="minorEastAsia" w:hAnsiTheme="minorEastAsia" w:eastAsiaTheme="minorEastAsia"/>
          <w:b/>
          <w:color w:val="auto"/>
          <w:sz w:val="28"/>
          <w:szCs w:val="28"/>
          <w:highlight w:val="none"/>
        </w:rPr>
      </w:pPr>
      <w:bookmarkStart w:id="436" w:name="_Toc8560"/>
      <w:r>
        <w:rPr>
          <w:rFonts w:hint="eastAsia" w:cs="Times New Roman" w:asciiTheme="minorEastAsia" w:hAnsiTheme="minorEastAsia" w:eastAsiaTheme="minorEastAsia"/>
          <w:b/>
          <w:color w:val="auto"/>
          <w:sz w:val="28"/>
          <w:szCs w:val="28"/>
          <w:highlight w:val="none"/>
        </w:rPr>
        <w:t>（服务类）</w:t>
      </w:r>
      <w:bookmarkEnd w:id="436"/>
    </w:p>
    <w:p w14:paraId="7A74D0F4">
      <w:pPr>
        <w:spacing w:line="480" w:lineRule="auto"/>
        <w:jc w:val="center"/>
        <w:rPr>
          <w:rFonts w:hint="eastAsia" w:cs="Times New Roman" w:asciiTheme="minorEastAsia" w:hAnsiTheme="minorEastAsia" w:eastAsiaTheme="minorEastAsia"/>
          <w:b/>
          <w:color w:val="auto"/>
          <w:sz w:val="24"/>
          <w:szCs w:val="24"/>
          <w:highlight w:val="none"/>
        </w:rPr>
      </w:pPr>
    </w:p>
    <w:p w14:paraId="0B1BA962">
      <w:pPr>
        <w:spacing w:line="480" w:lineRule="auto"/>
        <w:jc w:val="center"/>
        <w:rPr>
          <w:rFonts w:hint="eastAsia" w:cs="Times New Roman" w:asciiTheme="minorEastAsia" w:hAnsiTheme="minorEastAsia" w:eastAsiaTheme="minorEastAsia"/>
          <w:b/>
          <w:color w:val="auto"/>
          <w:sz w:val="24"/>
          <w:szCs w:val="24"/>
          <w:highlight w:val="none"/>
        </w:rPr>
      </w:pPr>
    </w:p>
    <w:p w14:paraId="56337C72">
      <w:pPr>
        <w:spacing w:line="480" w:lineRule="auto"/>
        <w:jc w:val="center"/>
        <w:rPr>
          <w:rFonts w:hint="eastAsia" w:cs="Times New Roman" w:asciiTheme="minorEastAsia" w:hAnsiTheme="minorEastAsia" w:eastAsiaTheme="minorEastAsia"/>
          <w:b/>
          <w:color w:val="auto"/>
          <w:sz w:val="24"/>
          <w:szCs w:val="24"/>
          <w:highlight w:val="none"/>
        </w:rPr>
      </w:pPr>
    </w:p>
    <w:p w14:paraId="3B8E442F">
      <w:pPr>
        <w:spacing w:line="360" w:lineRule="auto"/>
        <w:jc w:val="center"/>
        <w:outlineLvl w:val="1"/>
        <w:rPr>
          <w:rFonts w:hint="eastAsia" w:asciiTheme="minorEastAsia" w:hAnsiTheme="minorEastAsia" w:eastAsiaTheme="minorEastAsia"/>
          <w:b/>
          <w:color w:val="auto"/>
          <w:sz w:val="24"/>
          <w:highlight w:val="none"/>
        </w:rPr>
      </w:pPr>
      <w:bookmarkStart w:id="437" w:name="_Toc2449"/>
      <w:r>
        <w:rPr>
          <w:rFonts w:hint="eastAsia" w:asciiTheme="minorEastAsia" w:hAnsiTheme="minorEastAsia" w:eastAsiaTheme="minorEastAsia"/>
          <w:b/>
          <w:color w:val="auto"/>
          <w:sz w:val="24"/>
          <w:highlight w:val="none"/>
        </w:rPr>
        <w:t>第一部分 合同书</w:t>
      </w:r>
      <w:bookmarkEnd w:id="437"/>
    </w:p>
    <w:p w14:paraId="4A54E8AB">
      <w:pPr>
        <w:spacing w:line="480" w:lineRule="auto"/>
        <w:jc w:val="center"/>
        <w:rPr>
          <w:rFonts w:hint="eastAsia" w:cs="Times New Roman" w:asciiTheme="minorEastAsia" w:hAnsiTheme="minorEastAsia" w:eastAsiaTheme="minorEastAsia"/>
          <w:b/>
          <w:color w:val="auto"/>
          <w:sz w:val="24"/>
          <w:szCs w:val="24"/>
          <w:highlight w:val="none"/>
        </w:rPr>
      </w:pPr>
    </w:p>
    <w:p w14:paraId="1C7AA662">
      <w:pPr>
        <w:spacing w:line="480" w:lineRule="auto"/>
        <w:jc w:val="center"/>
        <w:rPr>
          <w:rFonts w:hint="eastAsia" w:cs="Times New Roman" w:asciiTheme="minorEastAsia" w:hAnsiTheme="minorEastAsia" w:eastAsiaTheme="minorEastAsia"/>
          <w:b/>
          <w:color w:val="auto"/>
          <w:sz w:val="24"/>
          <w:szCs w:val="24"/>
          <w:highlight w:val="none"/>
        </w:rPr>
      </w:pPr>
    </w:p>
    <w:p w14:paraId="4145851E">
      <w:pPr>
        <w:pStyle w:val="15"/>
        <w:rPr>
          <w:rFonts w:hint="eastAsia"/>
          <w:color w:val="auto"/>
          <w:highlight w:val="none"/>
        </w:rPr>
      </w:pPr>
    </w:p>
    <w:p w14:paraId="75CA8D08">
      <w:pPr>
        <w:pStyle w:val="15"/>
        <w:rPr>
          <w:rFonts w:hint="eastAsia"/>
          <w:color w:val="auto"/>
          <w:highlight w:val="none"/>
        </w:rPr>
      </w:pPr>
    </w:p>
    <w:p w14:paraId="7C91EFBD">
      <w:pPr>
        <w:spacing w:before="120" w:line="480" w:lineRule="auto"/>
        <w:ind w:left="960"/>
        <w:rPr>
          <w:rFonts w:hint="default" w:cs="Times New Roman" w:asciiTheme="minorEastAsia" w:hAnsiTheme="minorEastAsia" w:eastAsiaTheme="minorEastAsia"/>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项目名称：</w:t>
      </w:r>
      <w:r>
        <w:rPr>
          <w:rFonts w:hint="eastAsia" w:cs="Times New Roman" w:asciiTheme="minorEastAsia" w:hAnsiTheme="minorEastAsia" w:eastAsiaTheme="minorEastAsia"/>
          <w:color w:val="auto"/>
          <w:sz w:val="24"/>
          <w:szCs w:val="24"/>
          <w:highlight w:val="none"/>
          <w:u w:val="single"/>
          <w:lang w:val="en-US" w:eastAsia="zh-CN"/>
        </w:rPr>
        <w:t xml:space="preserve"> 滁州市公共安全视频监控服务项目 </w:t>
      </w:r>
    </w:p>
    <w:p w14:paraId="2F64A12F">
      <w:pPr>
        <w:spacing w:before="120" w:line="480" w:lineRule="auto"/>
        <w:ind w:left="960"/>
        <w:rPr>
          <w:rFonts w:hint="default" w:cs="Times New Roman" w:asciiTheme="minorEastAsia" w:hAnsiTheme="minorEastAsia" w:eastAsiaTheme="minorEastAsia"/>
          <w:color w:val="auto"/>
          <w:sz w:val="24"/>
          <w:szCs w:val="24"/>
          <w:highlight w:val="none"/>
          <w:u w:val="single"/>
          <w:lang w:eastAsia="zh-CN"/>
        </w:rPr>
      </w:pPr>
      <w:r>
        <w:rPr>
          <w:rFonts w:hint="eastAsia" w:cs="Times New Roman" w:asciiTheme="minorEastAsia" w:hAnsiTheme="minorEastAsia" w:eastAsiaTheme="minorEastAsia"/>
          <w:color w:val="auto"/>
          <w:sz w:val="24"/>
          <w:szCs w:val="24"/>
          <w:highlight w:val="none"/>
        </w:rPr>
        <w:t>项目编号：</w:t>
      </w:r>
    </w:p>
    <w:p w14:paraId="36666E5A">
      <w:pPr>
        <w:spacing w:before="120" w:line="480" w:lineRule="auto"/>
        <w:ind w:left="960"/>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甲方（采购人）：</w:t>
      </w:r>
      <w:r>
        <w:rPr>
          <w:rFonts w:hint="eastAsia" w:cs="Times New Roman" w:asciiTheme="minorEastAsia" w:hAnsiTheme="minorEastAsia" w:eastAsiaTheme="minorEastAsia"/>
          <w:color w:val="auto"/>
          <w:sz w:val="24"/>
          <w:szCs w:val="24"/>
          <w:highlight w:val="none"/>
          <w:u w:val="single"/>
          <w:lang w:eastAsia="zh-CN"/>
        </w:rPr>
        <w:t>滁州市</w:t>
      </w:r>
      <w:r>
        <w:rPr>
          <w:rFonts w:hint="eastAsia" w:cs="Times New Roman" w:asciiTheme="minorEastAsia" w:hAnsiTheme="minorEastAsia" w:eastAsiaTheme="minorEastAsia"/>
          <w:color w:val="auto"/>
          <w:sz w:val="24"/>
          <w:szCs w:val="24"/>
          <w:highlight w:val="none"/>
          <w:u w:val="single"/>
          <w:lang w:val="en-US" w:eastAsia="zh-CN"/>
        </w:rPr>
        <w:t>公安</w:t>
      </w:r>
      <w:r>
        <w:rPr>
          <w:rFonts w:hint="eastAsia" w:cs="Times New Roman" w:asciiTheme="minorEastAsia" w:hAnsiTheme="minorEastAsia" w:eastAsiaTheme="minorEastAsia"/>
          <w:color w:val="auto"/>
          <w:sz w:val="24"/>
          <w:szCs w:val="24"/>
          <w:highlight w:val="none"/>
          <w:u w:val="single"/>
          <w:lang w:eastAsia="zh-CN"/>
        </w:rPr>
        <w:t>局</w:t>
      </w:r>
      <w:r>
        <w:rPr>
          <w:rFonts w:hint="eastAsia" w:cs="Times New Roman" w:asciiTheme="minorEastAsia" w:hAnsiTheme="minorEastAsia" w:eastAsiaTheme="minorEastAsia"/>
          <w:color w:val="auto"/>
          <w:sz w:val="24"/>
          <w:szCs w:val="24"/>
          <w:highlight w:val="none"/>
          <w:u w:val="single"/>
        </w:rPr>
        <w:t xml:space="preserve"> </w:t>
      </w:r>
    </w:p>
    <w:p w14:paraId="3E7AA3E6">
      <w:pPr>
        <w:spacing w:before="120" w:line="480" w:lineRule="auto"/>
        <w:ind w:left="960"/>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乙方（中标人）：</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p>
    <w:p w14:paraId="35BF4B14">
      <w:pPr>
        <w:spacing w:before="120" w:line="480" w:lineRule="auto"/>
        <w:ind w:left="960"/>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签订地：</w:t>
      </w:r>
      <w:r>
        <w:rPr>
          <w:rFonts w:hint="eastAsia" w:cs="Times New Roman" w:asciiTheme="minorEastAsia" w:hAnsiTheme="minorEastAsia" w:eastAsiaTheme="minorEastAsia"/>
          <w:color w:val="auto"/>
          <w:sz w:val="24"/>
          <w:szCs w:val="24"/>
          <w:highlight w:val="none"/>
          <w:u w:val="single"/>
          <w:lang w:eastAsia="zh-CN"/>
        </w:rPr>
        <w:t>滁州市</w:t>
      </w:r>
      <w:r>
        <w:rPr>
          <w:rFonts w:hint="eastAsia" w:cs="Times New Roman" w:asciiTheme="minorEastAsia" w:hAnsiTheme="minorEastAsia" w:eastAsiaTheme="minorEastAsia"/>
          <w:color w:val="auto"/>
          <w:sz w:val="24"/>
          <w:szCs w:val="24"/>
          <w:highlight w:val="none"/>
          <w:u w:val="single"/>
          <w:lang w:val="en-US" w:eastAsia="zh-CN"/>
        </w:rPr>
        <w:t>公安</w:t>
      </w:r>
      <w:r>
        <w:rPr>
          <w:rFonts w:hint="eastAsia" w:cs="Times New Roman" w:asciiTheme="minorEastAsia" w:hAnsiTheme="minorEastAsia" w:eastAsiaTheme="minorEastAsia"/>
          <w:color w:val="auto"/>
          <w:sz w:val="24"/>
          <w:szCs w:val="24"/>
          <w:highlight w:val="none"/>
          <w:u w:val="single"/>
          <w:lang w:eastAsia="zh-CN"/>
        </w:rPr>
        <w:t>局</w:t>
      </w:r>
    </w:p>
    <w:p w14:paraId="711C2A60">
      <w:pPr>
        <w:spacing w:before="120" w:line="480" w:lineRule="auto"/>
        <w:ind w:firstLine="960" w:firstLineChars="400"/>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签订日期：</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月</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日</w:t>
      </w:r>
    </w:p>
    <w:bookmarkEnd w:id="434"/>
    <w:p w14:paraId="647539A8">
      <w:pPr>
        <w:rPr>
          <w:rFonts w:hint="eastAsia" w:asciiTheme="minorEastAsia" w:hAnsiTheme="minorEastAsia" w:eastAsiaTheme="minorEastAsia"/>
          <w:color w:val="auto"/>
          <w:sz w:val="24"/>
          <w:highlight w:val="none"/>
          <w:u w:val="single"/>
          <w:lang w:eastAsia="zh-CN"/>
        </w:rPr>
      </w:pPr>
      <w:bookmarkStart w:id="438" w:name="_Toc13555"/>
      <w:r>
        <w:rPr>
          <w:rFonts w:hint="eastAsia" w:asciiTheme="minorEastAsia" w:hAnsiTheme="minorEastAsia" w:eastAsiaTheme="minorEastAsia"/>
          <w:color w:val="auto"/>
          <w:sz w:val="24"/>
          <w:highlight w:val="none"/>
          <w:u w:val="single"/>
          <w:lang w:eastAsia="zh-CN"/>
        </w:rPr>
        <w:br w:type="page"/>
      </w:r>
    </w:p>
    <w:p w14:paraId="6351B0CF">
      <w:pPr>
        <w:keepNext w:val="0"/>
        <w:keepLines w:val="0"/>
        <w:pageBreakBefore w:val="0"/>
        <w:kinsoku/>
        <w:wordWrap/>
        <w:overflowPunct/>
        <w:topLinePunct w:val="0"/>
        <w:bidi w:val="0"/>
        <w:snapToGrid/>
        <w:spacing w:line="520" w:lineRule="exact"/>
        <w:ind w:firstLine="435"/>
        <w:textAlignment w:val="auto"/>
        <w:rPr>
          <w:rFonts w:hint="eastAsia" w:asciiTheme="minorEastAsia" w:hAnsiTheme="minorEastAsia" w:eastAsiaTheme="minorEastAsia"/>
          <w:color w:val="auto"/>
          <w:sz w:val="24"/>
          <w:highlight w:val="none"/>
        </w:rPr>
      </w:pPr>
      <w:r>
        <w:rPr>
          <w:rFonts w:hint="eastAsia" w:cs="Times New Roman" w:asciiTheme="minorEastAsia" w:hAnsiTheme="minorEastAsia" w:eastAsiaTheme="minorEastAsia"/>
          <w:color w:val="auto"/>
          <w:sz w:val="24"/>
          <w:szCs w:val="24"/>
          <w:highlight w:val="none"/>
          <w:u w:val="single"/>
          <w:lang w:eastAsia="zh-CN"/>
        </w:rPr>
        <w:t>滁州市</w:t>
      </w:r>
      <w:r>
        <w:rPr>
          <w:rFonts w:hint="eastAsia" w:cs="Times New Roman" w:asciiTheme="minorEastAsia" w:hAnsiTheme="minorEastAsia" w:eastAsiaTheme="minorEastAsia"/>
          <w:color w:val="auto"/>
          <w:sz w:val="24"/>
          <w:szCs w:val="24"/>
          <w:highlight w:val="none"/>
          <w:u w:val="single"/>
          <w:lang w:val="en-US" w:eastAsia="zh-CN"/>
        </w:rPr>
        <w:t>公安</w:t>
      </w:r>
      <w:r>
        <w:rPr>
          <w:rFonts w:hint="eastAsia" w:cs="Times New Roman" w:asciiTheme="minorEastAsia" w:hAnsiTheme="minorEastAsia" w:eastAsiaTheme="minorEastAsia"/>
          <w:color w:val="auto"/>
          <w:sz w:val="24"/>
          <w:szCs w:val="24"/>
          <w:highlight w:val="none"/>
          <w:u w:val="single"/>
          <w:lang w:eastAsia="zh-CN"/>
        </w:rPr>
        <w:t>局</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zh-CN"/>
        </w:rPr>
        <w:t>以下简称：甲方</w:t>
      </w:r>
      <w:r>
        <w:rPr>
          <w:rFonts w:hint="eastAsia" w:asciiTheme="minorEastAsia" w:hAnsiTheme="minorEastAsia" w:eastAsiaTheme="minorEastAsia"/>
          <w:color w:val="auto"/>
          <w:sz w:val="24"/>
          <w:highlight w:val="none"/>
        </w:rPr>
        <w:t xml:space="preserve">）通过 </w:t>
      </w:r>
      <w:r>
        <w:rPr>
          <w:rFonts w:hint="eastAsia" w:asciiTheme="minorEastAsia" w:hAnsiTheme="minorEastAsia" w:eastAsiaTheme="minorEastAsia"/>
          <w:color w:val="auto"/>
          <w:sz w:val="24"/>
          <w:highlight w:val="none"/>
          <w:u w:val="single"/>
          <w:lang w:val="en-US" w:eastAsia="zh-CN"/>
        </w:rPr>
        <w:t>滁州市政府采购中心</w:t>
      </w:r>
      <w:r>
        <w:rPr>
          <w:rFonts w:hint="eastAsia" w:asciiTheme="minorEastAsia" w:hAnsiTheme="minorEastAsia" w:eastAsiaTheme="minorEastAsia"/>
          <w:color w:val="auto"/>
          <w:sz w:val="24"/>
          <w:highlight w:val="none"/>
        </w:rPr>
        <w:t>组织的</w:t>
      </w:r>
      <w:r>
        <w:rPr>
          <w:rFonts w:hint="eastAsia" w:asciiTheme="minorEastAsia" w:hAnsiTheme="minorEastAsia" w:eastAsiaTheme="minorEastAsia"/>
          <w:color w:val="auto"/>
          <w:sz w:val="24"/>
          <w:highlight w:val="none"/>
          <w:u w:val="single"/>
        </w:rPr>
        <w:t>公开招标</w:t>
      </w:r>
      <w:r>
        <w:rPr>
          <w:rFonts w:hint="eastAsia" w:asciiTheme="minorEastAsia" w:hAnsiTheme="minorEastAsia" w:eastAsiaTheme="minorEastAsia"/>
          <w:color w:val="auto"/>
          <w:sz w:val="24"/>
          <w:highlight w:val="none"/>
        </w:rPr>
        <w:t>方式采购活动，经</w:t>
      </w:r>
      <w:r>
        <w:rPr>
          <w:rFonts w:hint="eastAsia" w:asciiTheme="minorEastAsia" w:hAnsiTheme="minorEastAsia" w:eastAsiaTheme="minorEastAsia"/>
          <w:color w:val="auto"/>
          <w:sz w:val="24"/>
          <w:highlight w:val="none"/>
          <w:u w:val="single"/>
        </w:rPr>
        <w:t>评标委员会</w:t>
      </w:r>
      <w:r>
        <w:rPr>
          <w:rFonts w:hint="eastAsia" w:asciiTheme="minorEastAsia" w:hAnsiTheme="minorEastAsia" w:eastAsiaTheme="minorEastAsia"/>
          <w:color w:val="auto"/>
          <w:sz w:val="24"/>
          <w:highlight w:val="none"/>
        </w:rPr>
        <w:t>评定，</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zh-CN"/>
        </w:rPr>
        <w:t>以下简称：乙方</w:t>
      </w:r>
      <w:r>
        <w:rPr>
          <w:rFonts w:hint="eastAsia" w:asciiTheme="minorEastAsia" w:hAnsiTheme="minorEastAsia" w:eastAsiaTheme="minorEastAsia"/>
          <w:color w:val="auto"/>
          <w:sz w:val="24"/>
          <w:highlight w:val="none"/>
        </w:rPr>
        <w:t>）为本项目中标人，现按照采购文件确定的事项签订本合同。</w:t>
      </w:r>
    </w:p>
    <w:p w14:paraId="67A4F6AB">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57989E3F">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39" w:name="_Toc2232"/>
      <w:bookmarkStart w:id="440" w:name="_Toc3029"/>
      <w:bookmarkStart w:id="441" w:name="_Toc24059"/>
      <w:r>
        <w:rPr>
          <w:rFonts w:hint="eastAsia" w:cs="Times New Roman" w:asciiTheme="minorEastAsia" w:hAnsiTheme="minorEastAsia" w:eastAsiaTheme="minorEastAsia"/>
          <w:b/>
          <w:bCs/>
          <w:color w:val="auto"/>
          <w:sz w:val="24"/>
          <w:szCs w:val="24"/>
          <w:highlight w:val="none"/>
          <w:lang w:val="zh-CN"/>
        </w:rPr>
        <w:t>1.1</w:t>
      </w:r>
      <w:r>
        <w:rPr>
          <w:rFonts w:cs="Times New Roman" w:asciiTheme="minorEastAsia" w:hAnsiTheme="minorEastAsia" w:eastAsiaTheme="minorEastAsia"/>
          <w:b/>
          <w:bCs/>
          <w:color w:val="auto"/>
          <w:sz w:val="24"/>
          <w:szCs w:val="24"/>
          <w:highlight w:val="none"/>
          <w:lang w:val="zh-CN"/>
        </w:rPr>
        <w:t xml:space="preserve"> </w:t>
      </w:r>
      <w:r>
        <w:rPr>
          <w:rFonts w:hint="eastAsia" w:cs="Times New Roman" w:asciiTheme="minorEastAsia" w:hAnsiTheme="minorEastAsia" w:eastAsiaTheme="minorEastAsia"/>
          <w:b/>
          <w:bCs/>
          <w:color w:val="auto"/>
          <w:sz w:val="24"/>
          <w:szCs w:val="24"/>
          <w:highlight w:val="none"/>
          <w:lang w:val="zh-CN"/>
        </w:rPr>
        <w:t>合同组成部分</w:t>
      </w:r>
      <w:bookmarkEnd w:id="439"/>
      <w:bookmarkEnd w:id="440"/>
      <w:bookmarkEnd w:id="441"/>
    </w:p>
    <w:p w14:paraId="0B009DA6">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0DB787C4">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1.1.1本合同及其补充合同、变更协议；</w:t>
      </w:r>
    </w:p>
    <w:p w14:paraId="4136F591">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1.1.2中标通知书；</w:t>
      </w:r>
    </w:p>
    <w:p w14:paraId="58F92FD2">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1.1.3投标文件（含澄清或者说明文件）；</w:t>
      </w:r>
    </w:p>
    <w:p w14:paraId="3F199495">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1.1.4招标文件（含澄清或者修改文件）；</w:t>
      </w:r>
    </w:p>
    <w:p w14:paraId="50D23EE4">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1.1.5其他相关采购文件（</w:t>
      </w:r>
      <w:r>
        <w:rPr>
          <w:rFonts w:hint="eastAsia" w:cs="Times New Roman" w:asciiTheme="minorEastAsia" w:hAnsiTheme="minorEastAsia" w:eastAsiaTheme="minorEastAsia"/>
          <w:color w:val="auto"/>
          <w:sz w:val="24"/>
          <w:szCs w:val="24"/>
          <w:highlight w:val="none"/>
          <w:lang w:val="en-US" w:eastAsia="zh-CN"/>
        </w:rPr>
        <w:t>建设方案等）</w:t>
      </w:r>
      <w:r>
        <w:rPr>
          <w:rFonts w:hint="eastAsia" w:cs="Times New Roman" w:asciiTheme="minorEastAsia" w:hAnsiTheme="minorEastAsia" w:eastAsiaTheme="minorEastAsia"/>
          <w:color w:val="auto"/>
          <w:sz w:val="24"/>
          <w:szCs w:val="24"/>
          <w:highlight w:val="none"/>
          <w:lang w:val="zh-CN"/>
        </w:rPr>
        <w:t>。</w:t>
      </w:r>
    </w:p>
    <w:p w14:paraId="37638946">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42" w:name="_Toc2918"/>
      <w:bookmarkStart w:id="443" w:name="_Toc22185"/>
      <w:bookmarkStart w:id="444" w:name="_Toc6773"/>
      <w:bookmarkStart w:id="445" w:name="_Toc6311"/>
      <w:bookmarkStart w:id="446" w:name="_Toc18585"/>
      <w:r>
        <w:rPr>
          <w:rFonts w:hint="eastAsia" w:cs="Times New Roman" w:asciiTheme="minorEastAsia" w:hAnsiTheme="minorEastAsia" w:eastAsiaTheme="minorEastAsia"/>
          <w:b/>
          <w:bCs/>
          <w:color w:val="auto"/>
          <w:sz w:val="24"/>
          <w:szCs w:val="24"/>
          <w:highlight w:val="none"/>
          <w:lang w:val="zh-CN"/>
        </w:rPr>
        <w:t xml:space="preserve">1.2 </w:t>
      </w:r>
      <w:bookmarkEnd w:id="442"/>
      <w:bookmarkEnd w:id="443"/>
      <w:bookmarkEnd w:id="444"/>
      <w:bookmarkEnd w:id="445"/>
      <w:bookmarkEnd w:id="446"/>
      <w:r>
        <w:rPr>
          <w:rFonts w:hint="eastAsia" w:cs="Times New Roman" w:asciiTheme="minorEastAsia" w:hAnsiTheme="minorEastAsia" w:eastAsiaTheme="minorEastAsia"/>
          <w:b/>
          <w:bCs/>
          <w:color w:val="auto"/>
          <w:sz w:val="24"/>
          <w:szCs w:val="24"/>
          <w:highlight w:val="none"/>
          <w:lang w:val="zh-CN"/>
        </w:rPr>
        <w:t>服务</w:t>
      </w:r>
    </w:p>
    <w:p w14:paraId="79053BAB">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1.2.1服务</w:t>
      </w:r>
      <w:r>
        <w:rPr>
          <w:rFonts w:cs="Times New Roman" w:asciiTheme="minorEastAsia" w:hAnsiTheme="minorEastAsia" w:eastAsiaTheme="minorEastAsia"/>
          <w:color w:val="auto"/>
          <w:sz w:val="24"/>
          <w:szCs w:val="24"/>
          <w:highlight w:val="none"/>
        </w:rPr>
        <w:t>名称：</w:t>
      </w:r>
      <w:r>
        <w:rPr>
          <w:rFonts w:hint="eastAsia" w:cs="Times New Roman" w:asciiTheme="minorEastAsia" w:hAnsiTheme="minorEastAsia" w:eastAsiaTheme="minorEastAsia"/>
          <w:color w:val="auto"/>
          <w:sz w:val="24"/>
          <w:szCs w:val="24"/>
          <w:highlight w:val="none"/>
          <w:u w:val="single"/>
          <w:lang w:val="en-US" w:eastAsia="zh-CN"/>
        </w:rPr>
        <w:t xml:space="preserve">滁州市公共安全视频监控服务项目 </w:t>
      </w:r>
      <w:r>
        <w:rPr>
          <w:rFonts w:hint="eastAsia" w:cs="Times New Roman" w:asciiTheme="minorEastAsia" w:hAnsiTheme="minorEastAsia" w:eastAsiaTheme="minorEastAsia"/>
          <w:color w:val="auto"/>
          <w:sz w:val="24"/>
          <w:szCs w:val="24"/>
          <w:highlight w:val="none"/>
        </w:rPr>
        <w:t>；</w:t>
      </w:r>
    </w:p>
    <w:p w14:paraId="307CF055">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1.2.2服务内容</w:t>
      </w:r>
      <w:r>
        <w:rPr>
          <w:rFonts w:cs="Times New Roman" w:asciiTheme="minorEastAsia" w:hAnsiTheme="minorEastAsia" w:eastAsiaTheme="minorEastAsia"/>
          <w:color w:val="auto"/>
          <w:sz w:val="24"/>
          <w:szCs w:val="24"/>
          <w:highlight w:val="none"/>
        </w:rPr>
        <w:t>：</w:t>
      </w:r>
      <w:r>
        <w:rPr>
          <w:rFonts w:hint="eastAsia" w:ascii="宋体" w:hAnsi="宋体" w:eastAsia="宋体" w:cs="宋体"/>
          <w:color w:val="auto"/>
          <w:sz w:val="24"/>
          <w:highlight w:val="none"/>
          <w:u w:val="single"/>
        </w:rPr>
        <w:t>招标文件第三章采购需求全部内容</w:t>
      </w:r>
      <w:r>
        <w:rPr>
          <w:rFonts w:hint="eastAsia" w:cs="Times New Roman" w:asciiTheme="minorEastAsia" w:hAnsiTheme="minorEastAsia" w:eastAsiaTheme="minorEastAsia"/>
          <w:color w:val="auto"/>
          <w:sz w:val="24"/>
          <w:szCs w:val="24"/>
          <w:highlight w:val="none"/>
          <w:u w:val="single"/>
          <w:lang w:val="en-US" w:eastAsia="zh-CN"/>
        </w:rPr>
        <w:t xml:space="preserve"> </w:t>
      </w:r>
      <w:r>
        <w:rPr>
          <w:rFonts w:hint="eastAsia" w:cs="Times New Roman" w:asciiTheme="minorEastAsia" w:hAnsiTheme="minorEastAsia" w:eastAsiaTheme="minorEastAsia"/>
          <w:color w:val="auto"/>
          <w:sz w:val="24"/>
          <w:szCs w:val="24"/>
          <w:highlight w:val="none"/>
        </w:rPr>
        <w:t>；</w:t>
      </w:r>
    </w:p>
    <w:p w14:paraId="77E56F9B">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1.2.3服务质量：</w:t>
      </w:r>
      <w:r>
        <w:rPr>
          <w:rFonts w:hint="eastAsia" w:ascii="宋体" w:hAnsi="宋体" w:eastAsia="宋体" w:cs="宋体"/>
          <w:color w:val="auto"/>
          <w:sz w:val="24"/>
          <w:highlight w:val="none"/>
          <w:u w:val="single"/>
          <w:lang w:val="en-US" w:eastAsia="zh-CN"/>
        </w:rPr>
        <w:t>达到合同要求的标准</w:t>
      </w:r>
      <w:r>
        <w:rPr>
          <w:rFonts w:hint="eastAsia" w:cs="Times New Roman" w:asciiTheme="minorEastAsia" w:hAnsiTheme="minorEastAsia" w:eastAsiaTheme="minorEastAsia"/>
          <w:color w:val="auto"/>
          <w:sz w:val="24"/>
          <w:szCs w:val="24"/>
          <w:highlight w:val="none"/>
        </w:rPr>
        <w:t>。</w:t>
      </w:r>
    </w:p>
    <w:p w14:paraId="5C3B3733">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47" w:name="_Toc21551"/>
      <w:bookmarkStart w:id="448" w:name="_Toc21631"/>
      <w:bookmarkStart w:id="449" w:name="_Toc23292"/>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 xml:space="preserve">3 </w:t>
      </w:r>
      <w:r>
        <w:rPr>
          <w:rFonts w:hint="eastAsia" w:cs="Times New Roman" w:asciiTheme="minorEastAsia" w:hAnsiTheme="minorEastAsia" w:eastAsiaTheme="minorEastAsia"/>
          <w:b/>
          <w:bCs/>
          <w:color w:val="auto"/>
          <w:sz w:val="24"/>
          <w:szCs w:val="24"/>
          <w:highlight w:val="none"/>
          <w:lang w:val="zh-CN"/>
        </w:rPr>
        <w:t>价款</w:t>
      </w:r>
      <w:bookmarkEnd w:id="447"/>
      <w:bookmarkEnd w:id="448"/>
      <w:bookmarkEnd w:id="449"/>
    </w:p>
    <w:p w14:paraId="75C59F2D">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本合同总价为</w:t>
      </w:r>
      <w:r>
        <w:rPr>
          <w:rFonts w:hint="eastAsia"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rPr>
        <w:t>元</w:t>
      </w:r>
      <w:r>
        <w:rPr>
          <w:rFonts w:hint="eastAsia" w:cs="Times New Roman" w:asciiTheme="minorEastAsia" w:hAnsiTheme="minorEastAsia" w:eastAsiaTheme="minorEastAsia"/>
          <w:color w:val="auto"/>
          <w:sz w:val="24"/>
          <w:szCs w:val="24"/>
          <w:highlight w:val="none"/>
        </w:rPr>
        <w:t>（大写：人民币</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元）</w:t>
      </w:r>
    </w:p>
    <w:p w14:paraId="6FB25BE0">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50" w:name="_Toc1814"/>
      <w:bookmarkStart w:id="451" w:name="_Toc22618"/>
      <w:bookmarkStart w:id="452" w:name="_Toc10340"/>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4 付款方式和发票开具方式</w:t>
      </w:r>
      <w:bookmarkEnd w:id="450"/>
      <w:bookmarkEnd w:id="451"/>
      <w:bookmarkEnd w:id="452"/>
    </w:p>
    <w:p w14:paraId="1FAFA129">
      <w:pPr>
        <w:pStyle w:val="58"/>
        <w:pageBreakBefore w:val="0"/>
        <w:widowControl w:val="0"/>
        <w:kinsoku/>
        <w:wordWrap/>
        <w:overflowPunct/>
        <w:topLinePunct w:val="0"/>
        <w:autoSpaceDE/>
        <w:autoSpaceDN/>
        <w:bidi w:val="0"/>
        <w:adjustRightInd/>
        <w:snapToGrid/>
        <w:spacing w:before="0" w:beforeAutospacing="0" w:after="0" w:afterAutospacing="0" w:line="520" w:lineRule="exact"/>
        <w:ind w:firstLine="482" w:firstLineChars="200"/>
        <w:jc w:val="both"/>
        <w:rPr>
          <w:rFonts w:hint="eastAsia" w:ascii="宋体" w:hAnsi="宋体" w:eastAsia="宋体" w:cs="宋体"/>
          <w:b w:val="0"/>
          <w:bCs w:val="0"/>
          <w:color w:val="auto"/>
          <w:kern w:val="2"/>
          <w:sz w:val="24"/>
          <w:szCs w:val="24"/>
          <w:highlight w:val="none"/>
          <w:u w:val="single"/>
          <w:lang w:val="en-US" w:eastAsia="zh-CN" w:bidi="ar-SA"/>
        </w:rPr>
      </w:pPr>
      <w:r>
        <w:rPr>
          <w:rFonts w:hint="eastAsia" w:cs="Times New Roman" w:asciiTheme="minorEastAsia" w:hAnsiTheme="minorEastAsia" w:eastAsiaTheme="minorEastAsia"/>
          <w:color w:val="auto"/>
          <w:sz w:val="24"/>
          <w:szCs w:val="24"/>
          <w:highlight w:val="none"/>
        </w:rPr>
        <w:t>1.4.1</w:t>
      </w:r>
      <w:r>
        <w:rPr>
          <w:rFonts w:cs="Times New Roman" w:asciiTheme="minorEastAsia" w:hAnsiTheme="minorEastAsia" w:eastAsiaTheme="minorEastAsia"/>
          <w:color w:val="auto"/>
          <w:sz w:val="24"/>
          <w:szCs w:val="24"/>
          <w:highlight w:val="none"/>
        </w:rPr>
        <w:t>付款方式：</w:t>
      </w:r>
      <w:r>
        <w:rPr>
          <w:rFonts w:hint="eastAsia" w:cs="Times New Roman" w:asciiTheme="minorEastAsia" w:hAnsiTheme="minorEastAsia" w:eastAsiaTheme="minorEastAsia"/>
          <w:color w:val="auto"/>
          <w:sz w:val="24"/>
          <w:szCs w:val="24"/>
          <w:highlight w:val="none"/>
          <w:u w:val="single"/>
          <w:lang w:val="en-US" w:eastAsia="zh-CN"/>
        </w:rPr>
        <w:t xml:space="preserve"> 合同签订生效并具备实施条件后，支付第一年合同年服务费的40%作为预付款；第一年服务期满并通过采购人验收后付清合同第一年年服务费的余款，支付第二年合同年服务费的40%作为预付款；第二年服务期满并通过采购人验收后付清合同第二年年服务费的余款，支付第三年合同年服务费的40%作为预付款；第三年服务期满并通过采购人验收后付清合同第三年年服务费的余款</w:t>
      </w:r>
      <w:r>
        <w:rPr>
          <w:rFonts w:hint="eastAsia" w:cs="Times New Roman" w:asciiTheme="minorEastAsia" w:hAnsiTheme="minorEastAsia" w:eastAsiaTheme="minorEastAsia"/>
          <w:color w:val="auto"/>
          <w:sz w:val="24"/>
          <w:szCs w:val="24"/>
          <w:highlight w:val="none"/>
          <w:u w:val="single"/>
        </w:rPr>
        <w:t>。</w:t>
      </w:r>
    </w:p>
    <w:p w14:paraId="1BFFC424">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1.4.2发票开具方式：</w:t>
      </w:r>
      <w:bookmarkStart w:id="453" w:name="OLE_LINK8"/>
      <w:r>
        <w:rPr>
          <w:rFonts w:hint="eastAsia" w:ascii="宋体" w:hAnsi="宋体" w:eastAsia="宋体" w:cs="宋体"/>
          <w:color w:val="auto"/>
          <w:sz w:val="24"/>
          <w:szCs w:val="24"/>
          <w:highlight w:val="none"/>
          <w:u w:val="single"/>
        </w:rPr>
        <w:t>开具符合要求的发票</w:t>
      </w:r>
      <w:r>
        <w:rPr>
          <w:rFonts w:hint="eastAsia" w:cs="Times New Roman" w:asciiTheme="minorEastAsia" w:hAnsiTheme="minorEastAsia" w:eastAsiaTheme="minorEastAsia"/>
          <w:color w:val="auto"/>
          <w:sz w:val="24"/>
          <w:szCs w:val="24"/>
          <w:highlight w:val="none"/>
        </w:rPr>
        <w:t>。</w:t>
      </w:r>
      <w:bookmarkEnd w:id="453"/>
    </w:p>
    <w:p w14:paraId="6BC27153">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54" w:name="_Toc19304"/>
      <w:bookmarkStart w:id="455" w:name="_Toc2846"/>
      <w:bookmarkStart w:id="456" w:name="_Toc32071"/>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 xml:space="preserve">5 </w:t>
      </w:r>
      <w:r>
        <w:rPr>
          <w:rFonts w:hint="eastAsia" w:cs="Times New Roman" w:asciiTheme="minorEastAsia" w:hAnsiTheme="minorEastAsia" w:eastAsiaTheme="minorEastAsia"/>
          <w:b/>
          <w:bCs/>
          <w:color w:val="auto"/>
          <w:sz w:val="24"/>
          <w:szCs w:val="24"/>
          <w:highlight w:val="none"/>
          <w:lang w:val="zh-CN"/>
        </w:rPr>
        <w:t>服务</w:t>
      </w:r>
      <w:r>
        <w:rPr>
          <w:rFonts w:cs="Times New Roman" w:asciiTheme="minorEastAsia" w:hAnsiTheme="minorEastAsia" w:eastAsiaTheme="minorEastAsia"/>
          <w:b/>
          <w:bCs/>
          <w:color w:val="auto"/>
          <w:sz w:val="24"/>
          <w:szCs w:val="24"/>
          <w:highlight w:val="none"/>
          <w:lang w:val="zh-CN"/>
        </w:rPr>
        <w:t>期限</w:t>
      </w:r>
      <w:r>
        <w:rPr>
          <w:rFonts w:hint="eastAsia" w:cs="Times New Roman" w:asciiTheme="minorEastAsia" w:hAnsiTheme="minorEastAsia" w:eastAsiaTheme="minorEastAsia"/>
          <w:b/>
          <w:bCs/>
          <w:color w:val="auto"/>
          <w:sz w:val="24"/>
          <w:szCs w:val="24"/>
          <w:highlight w:val="none"/>
          <w:lang w:val="zh-CN"/>
        </w:rPr>
        <w:t>、地点和方式</w:t>
      </w:r>
      <w:bookmarkEnd w:id="454"/>
      <w:bookmarkEnd w:id="455"/>
      <w:bookmarkEnd w:id="456"/>
    </w:p>
    <w:p w14:paraId="390F4D58">
      <w:pPr>
        <w:keepNext w:val="0"/>
        <w:keepLines w:val="0"/>
        <w:pageBreakBefore w:val="0"/>
        <w:kinsoku/>
        <w:wordWrap/>
        <w:overflowPunct/>
        <w:topLinePunct w:val="0"/>
        <w:bidi w:val="0"/>
        <w:snapToGrid/>
        <w:spacing w:line="520" w:lineRule="exact"/>
        <w:ind w:firstLine="435"/>
        <w:textAlignment w:val="auto"/>
        <w:rPr>
          <w:rFonts w:hint="eastAsia" w:ascii="宋体" w:hAnsi="宋体" w:eastAsia="宋体" w:cs="宋体"/>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1.5.1服务期限</w:t>
      </w:r>
      <w:r>
        <w:rPr>
          <w:rFonts w:cs="Times New Roman" w:asciiTheme="minorEastAsia" w:hAnsiTheme="minorEastAsia" w:eastAsiaTheme="minorEastAsia"/>
          <w:color w:val="auto"/>
          <w:sz w:val="24"/>
          <w:szCs w:val="24"/>
          <w:highlight w:val="none"/>
        </w:rPr>
        <w:t>：</w:t>
      </w:r>
      <w:r>
        <w:rPr>
          <w:rFonts w:hint="eastAsia" w:ascii="宋体" w:hAnsi="宋体" w:eastAsia="宋体" w:cs="宋体"/>
          <w:color w:val="auto"/>
          <w:sz w:val="24"/>
          <w:szCs w:val="24"/>
          <w:highlight w:val="none"/>
          <w:u w:val="single"/>
          <w:lang w:val="en-US" w:eastAsia="zh-CN"/>
        </w:rPr>
        <w:t>本项目服务期限为三年（</w:t>
      </w:r>
      <w:r>
        <w:rPr>
          <w:rFonts w:hint="eastAsia" w:ascii="宋体" w:hAnsi="宋体" w:eastAsia="宋体" w:cs="宋体"/>
          <w:b w:val="0"/>
          <w:color w:val="auto"/>
          <w:sz w:val="24"/>
          <w:szCs w:val="24"/>
          <w:highlight w:val="none"/>
          <w:u w:val="single"/>
          <w:lang w:val="en-US" w:eastAsia="zh-CN"/>
        </w:rPr>
        <w:t>合同一签三年，</w:t>
      </w:r>
      <w:r>
        <w:rPr>
          <w:rFonts w:hint="eastAsia" w:ascii="宋体" w:hAnsi="宋体" w:eastAsia="宋体" w:cs="宋体"/>
          <w:color w:val="auto"/>
          <w:sz w:val="24"/>
          <w:szCs w:val="24"/>
          <w:highlight w:val="none"/>
          <w:u w:val="single"/>
          <w:lang w:val="en-US" w:eastAsia="zh-CN"/>
        </w:rPr>
        <w:t>自合同签订之日起开始计算）。</w:t>
      </w:r>
    </w:p>
    <w:p w14:paraId="51F116D5">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1.5.2服务地点</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lang w:val="en-US" w:eastAsia="zh-CN"/>
        </w:rPr>
        <w:t>滁州市内，采购人指定地点</w:t>
      </w:r>
      <w:r>
        <w:rPr>
          <w:rFonts w:hint="eastAsia" w:cs="Times New Roman" w:asciiTheme="minorEastAsia" w:hAnsiTheme="minorEastAsia" w:eastAsiaTheme="minorEastAsia"/>
          <w:color w:val="auto"/>
          <w:sz w:val="24"/>
          <w:szCs w:val="24"/>
          <w:highlight w:val="none"/>
          <w:u w:val="single"/>
        </w:rPr>
        <w:t>；</w:t>
      </w:r>
    </w:p>
    <w:p w14:paraId="682C8A89">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1.5.3服务方式：</w:t>
      </w:r>
      <w:r>
        <w:rPr>
          <w:rFonts w:hint="eastAsia" w:cs="Times New Roman" w:asciiTheme="minorEastAsia" w:hAnsiTheme="minorEastAsia" w:eastAsiaTheme="minorEastAsia"/>
          <w:color w:val="auto"/>
          <w:sz w:val="24"/>
          <w:szCs w:val="24"/>
          <w:highlight w:val="none"/>
          <w:u w:val="single"/>
        </w:rPr>
        <w:t>甲方指定方式</w:t>
      </w:r>
      <w:r>
        <w:rPr>
          <w:rFonts w:hint="eastAsia" w:cs="Times New Roman" w:asciiTheme="minorEastAsia" w:hAnsiTheme="minorEastAsia" w:eastAsiaTheme="minorEastAsia"/>
          <w:color w:val="auto"/>
          <w:sz w:val="24"/>
          <w:szCs w:val="24"/>
          <w:highlight w:val="none"/>
        </w:rPr>
        <w:t>。</w:t>
      </w:r>
    </w:p>
    <w:p w14:paraId="3A667C80">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57" w:name="_Toc19554"/>
      <w:bookmarkStart w:id="458" w:name="_Toc27250"/>
      <w:bookmarkStart w:id="459" w:name="_Toc21423"/>
      <w:r>
        <w:rPr>
          <w:rFonts w:hint="eastAsia" w:cs="Times New Roman" w:asciiTheme="minorEastAsia" w:hAnsiTheme="minorEastAsia" w:eastAsiaTheme="minorEastAsia"/>
          <w:b/>
          <w:bCs/>
          <w:color w:val="auto"/>
          <w:sz w:val="24"/>
          <w:szCs w:val="24"/>
          <w:highlight w:val="none"/>
          <w:lang w:val="zh-CN"/>
        </w:rPr>
        <w:t>1.6 违约责任</w:t>
      </w:r>
      <w:bookmarkEnd w:id="457"/>
      <w:bookmarkEnd w:id="458"/>
      <w:bookmarkEnd w:id="459"/>
    </w:p>
    <w:p w14:paraId="5E25386C">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1.6.1除不可抗力外，如果乙方没有按照本合同约定的期限、地点和方式履行，那么甲方可要求乙方支付违约金，违约金按每迟延履行一日的应提供而未提供服务价格的0.1 %计算，最高限额为本合同总价的10%；迟延履行的违约金计算数额达到前述最高限额之日起，甲方有权在要求乙方支付违约金的同时，书面通知乙方解除本合同；</w:t>
      </w:r>
    </w:p>
    <w:p w14:paraId="21816246">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1.6.2除不可抗力外，如果甲方没有按照本合同约定的付款方式付款，那么乙方可要求甲方支付违约金，违约金按每迟延付款一日的应付而未付款的0.1 %计算，最高限额为本合同总价的10%；迟延付款的违约金计算数额达到前述最高限额之日起，乙方有权在要求甲方支付违约金的同时，书面通知甲方解除本合同；</w:t>
      </w:r>
    </w:p>
    <w:p w14:paraId="04A95F0A">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13CBF3">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503EF3B">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3D018F0">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15B4CC93">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1.6.7因甲方未按合同约定支付价款、未按合同约定受领标的物、擅自解除合同</w:t>
      </w:r>
      <w:r>
        <w:rPr>
          <w:rFonts w:hint="eastAsia" w:cs="Times New Roman" w:asciiTheme="minorEastAsia" w:hAnsiTheme="minorEastAsia" w:eastAsiaTheme="minorEastAsia"/>
          <w:color w:val="auto"/>
          <w:sz w:val="24"/>
          <w:szCs w:val="24"/>
          <w:highlight w:val="none"/>
        </w:rPr>
        <w:t>、逾期退还履约保证金</w:t>
      </w:r>
      <w:r>
        <w:rPr>
          <w:rFonts w:cs="Times New Roman" w:asciiTheme="minorEastAsia" w:hAnsiTheme="minorEastAsia" w:eastAsiaTheme="minorEastAsia"/>
          <w:color w:val="auto"/>
          <w:sz w:val="24"/>
          <w:szCs w:val="24"/>
          <w:highlight w:val="none"/>
        </w:rPr>
        <w:t>导致乙方遭受的直接损失，乙方可向甲方申请赔偿，赔偿金额由双方协商一致；</w:t>
      </w:r>
      <w:r>
        <w:rPr>
          <w:rFonts w:hint="eastAsia" w:cs="Times New Roman" w:asciiTheme="minorEastAsia" w:hAnsiTheme="minorEastAsia" w:eastAsiaTheme="minorEastAsia"/>
          <w:color w:val="auto"/>
          <w:sz w:val="24"/>
          <w:szCs w:val="24"/>
          <w:highlight w:val="none"/>
        </w:rPr>
        <w:t>针对因政策变化等原因不能签订合同或解除合同时，造成乙方合法利益受损的情形，可以给予乙方合理补偿，补偿金额不得超过乙方的直接损失。</w:t>
      </w:r>
    </w:p>
    <w:p w14:paraId="1B3AE78E">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60" w:name="_Toc28375"/>
      <w:bookmarkStart w:id="461" w:name="_Toc15583"/>
      <w:bookmarkStart w:id="462" w:name="_Toc16021"/>
      <w:r>
        <w:rPr>
          <w:rFonts w:hint="eastAsia" w:cs="Times New Roman" w:asciiTheme="minorEastAsia" w:hAnsiTheme="minorEastAsia" w:eastAsiaTheme="minorEastAsia"/>
          <w:b/>
          <w:bCs/>
          <w:color w:val="auto"/>
          <w:sz w:val="24"/>
          <w:szCs w:val="24"/>
          <w:highlight w:val="none"/>
          <w:lang w:val="zh-CN"/>
        </w:rPr>
        <w:t>1.7</w:t>
      </w:r>
      <w:r>
        <w:rPr>
          <w:rFonts w:cs="Times New Roman" w:asciiTheme="minorEastAsia" w:hAnsiTheme="minorEastAsia" w:eastAsiaTheme="minorEastAsia"/>
          <w:b/>
          <w:bCs/>
          <w:color w:val="auto"/>
          <w:sz w:val="24"/>
          <w:szCs w:val="24"/>
          <w:highlight w:val="none"/>
          <w:lang w:val="zh-CN"/>
        </w:rPr>
        <w:t xml:space="preserve"> </w:t>
      </w:r>
      <w:r>
        <w:rPr>
          <w:rFonts w:hint="eastAsia" w:cs="Times New Roman" w:asciiTheme="minorEastAsia" w:hAnsiTheme="minorEastAsia" w:eastAsiaTheme="minorEastAsia"/>
          <w:b/>
          <w:bCs/>
          <w:color w:val="auto"/>
          <w:sz w:val="24"/>
          <w:szCs w:val="24"/>
          <w:highlight w:val="none"/>
          <w:lang w:val="zh-CN"/>
        </w:rPr>
        <w:t>合同</w:t>
      </w:r>
      <w:r>
        <w:rPr>
          <w:rFonts w:cs="Times New Roman" w:asciiTheme="minorEastAsia" w:hAnsiTheme="minorEastAsia" w:eastAsiaTheme="minorEastAsia"/>
          <w:b/>
          <w:bCs/>
          <w:color w:val="auto"/>
          <w:sz w:val="24"/>
          <w:szCs w:val="24"/>
          <w:highlight w:val="none"/>
          <w:lang w:val="zh-CN"/>
        </w:rPr>
        <w:t>争议的解决</w:t>
      </w:r>
      <w:bookmarkEnd w:id="460"/>
      <w:bookmarkEnd w:id="461"/>
      <w:bookmarkEnd w:id="462"/>
    </w:p>
    <w:p w14:paraId="69271389">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本合</w:t>
      </w:r>
      <w:r>
        <w:rPr>
          <w:rFonts w:cs="Times New Roman" w:asciiTheme="minorEastAsia" w:hAnsiTheme="minorEastAsia" w:eastAsiaTheme="minorEastAsia"/>
          <w:color w:val="auto"/>
          <w:sz w:val="24"/>
          <w:szCs w:val="24"/>
          <w:highlight w:val="none"/>
        </w:rPr>
        <w:t>同履行过程中发生的任何争议，双方当事人均可</w:t>
      </w:r>
      <w:r>
        <w:rPr>
          <w:rFonts w:hint="eastAsia" w:cs="Times New Roman" w:asciiTheme="minorEastAsia" w:hAnsiTheme="minorEastAsia" w:eastAsiaTheme="minorEastAsia"/>
          <w:color w:val="auto"/>
          <w:sz w:val="24"/>
          <w:szCs w:val="24"/>
          <w:highlight w:val="none"/>
        </w:rPr>
        <w:t>通过和解或者调解解决；不愿和解、调解或者和解、调解不成的，可以选择下列第</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种方式解决：</w:t>
      </w:r>
    </w:p>
    <w:p w14:paraId="11329FBF">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（1）将争议提交</w:t>
      </w:r>
      <w:r>
        <w:rPr>
          <w:rFonts w:hint="eastAsia" w:cs="Times New Roman" w:asciiTheme="minorEastAsia" w:hAnsiTheme="minorEastAsia" w:eastAsiaTheme="minorEastAsia"/>
          <w:color w:val="auto"/>
          <w:sz w:val="24"/>
          <w:szCs w:val="24"/>
          <w:highlight w:val="none"/>
          <w:u w:val="single"/>
        </w:rPr>
        <w:t xml:space="preserve">  滁州    </w:t>
      </w:r>
      <w:r>
        <w:rPr>
          <w:rFonts w:hint="eastAsia" w:cs="Times New Roman" w:asciiTheme="minorEastAsia" w:hAnsiTheme="minorEastAsia" w:eastAsiaTheme="minorEastAsia"/>
          <w:color w:val="auto"/>
          <w:sz w:val="24"/>
          <w:szCs w:val="24"/>
          <w:highlight w:val="none"/>
        </w:rPr>
        <w:t>仲裁委员会依申请仲裁时其现行有效的仲裁规则裁决；</w:t>
      </w:r>
    </w:p>
    <w:p w14:paraId="2AAD8B38">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（2）向</w:t>
      </w:r>
      <w:r>
        <w:rPr>
          <w:rFonts w:hint="eastAsia" w:cs="Times New Roman" w:asciiTheme="minorEastAsia" w:hAnsiTheme="minorEastAsia" w:eastAsiaTheme="minorEastAsia"/>
          <w:color w:val="auto"/>
          <w:sz w:val="24"/>
          <w:szCs w:val="24"/>
          <w:highlight w:val="none"/>
          <w:u w:val="single"/>
        </w:rPr>
        <w:t xml:space="preserve">  甲方（采购人） </w:t>
      </w:r>
      <w:r>
        <w:rPr>
          <w:rFonts w:hint="eastAsia" w:cs="Times New Roman" w:asciiTheme="minorEastAsia" w:hAnsiTheme="minorEastAsia" w:eastAsiaTheme="minorEastAsia"/>
          <w:color w:val="auto"/>
          <w:sz w:val="24"/>
          <w:szCs w:val="24"/>
          <w:highlight w:val="none"/>
        </w:rPr>
        <w:t>人民法院起诉。</w:t>
      </w:r>
    </w:p>
    <w:p w14:paraId="598E5BBE">
      <w:pPr>
        <w:keepNext w:val="0"/>
        <w:keepLines w:val="0"/>
        <w:pageBreakBefore w:val="0"/>
        <w:kinsoku/>
        <w:wordWrap/>
        <w:overflowPunct/>
        <w:topLinePunct w:val="0"/>
        <w:bidi w:val="0"/>
        <w:snapToGrid/>
        <w:spacing w:line="520" w:lineRule="exact"/>
        <w:ind w:firstLine="437"/>
        <w:textAlignment w:val="auto"/>
        <w:outlineLvl w:val="2"/>
        <w:rPr>
          <w:rFonts w:hint="eastAsia" w:cs="Times New Roman" w:asciiTheme="minorEastAsia" w:hAnsiTheme="minorEastAsia" w:eastAsiaTheme="minorEastAsia"/>
          <w:b/>
          <w:bCs/>
          <w:color w:val="auto"/>
          <w:sz w:val="24"/>
          <w:szCs w:val="24"/>
          <w:highlight w:val="none"/>
          <w:lang w:val="zh-CN"/>
        </w:rPr>
      </w:pPr>
      <w:bookmarkStart w:id="463" w:name="_Toc15322"/>
      <w:bookmarkStart w:id="464" w:name="_Toc11173"/>
      <w:bookmarkStart w:id="465" w:name="_Toc7245"/>
      <w:r>
        <w:rPr>
          <w:rFonts w:hint="eastAsia" w:cs="Times New Roman" w:asciiTheme="minorEastAsia" w:hAnsiTheme="minorEastAsia" w:eastAsiaTheme="minorEastAsia"/>
          <w:b/>
          <w:bCs/>
          <w:color w:val="auto"/>
          <w:sz w:val="24"/>
          <w:szCs w:val="24"/>
          <w:highlight w:val="none"/>
          <w:lang w:val="zh-CN"/>
        </w:rPr>
        <w:t>1.8</w:t>
      </w:r>
      <w:r>
        <w:rPr>
          <w:rFonts w:cs="Times New Roman" w:asciiTheme="minorEastAsia" w:hAnsiTheme="minorEastAsia" w:eastAsiaTheme="minorEastAsia"/>
          <w:b/>
          <w:bCs/>
          <w:color w:val="auto"/>
          <w:sz w:val="24"/>
          <w:szCs w:val="24"/>
          <w:highlight w:val="none"/>
          <w:lang w:val="zh-CN"/>
        </w:rPr>
        <w:t xml:space="preserve"> 合同生效</w:t>
      </w:r>
      <w:bookmarkEnd w:id="463"/>
      <w:bookmarkEnd w:id="464"/>
      <w:bookmarkEnd w:id="465"/>
    </w:p>
    <w:p w14:paraId="7E5B17F0">
      <w:pPr>
        <w:keepNext w:val="0"/>
        <w:keepLines w:val="0"/>
        <w:pageBreakBefore w:val="0"/>
        <w:kinsoku/>
        <w:wordWrap/>
        <w:overflowPunct/>
        <w:topLinePunct w:val="0"/>
        <w:bidi w:val="0"/>
        <w:snapToGrid/>
        <w:spacing w:line="520" w:lineRule="exact"/>
        <w:ind w:firstLine="435"/>
        <w:textAlignment w:val="auto"/>
        <w:rPr>
          <w:rFonts w:hint="eastAsia" w:cs="Times New Roman" w:asciiTheme="minorEastAsia" w:hAnsiTheme="minorEastAsia" w:eastAsiaTheme="minorEastAsia"/>
          <w:color w:val="auto"/>
          <w:sz w:val="24"/>
          <w:szCs w:val="24"/>
          <w:highlight w:val="none"/>
          <w:lang w:val="zh-CN"/>
        </w:rPr>
      </w:pPr>
      <w:r>
        <w:rPr>
          <w:rFonts w:cs="Times New Roman" w:asciiTheme="minorEastAsia" w:hAnsiTheme="minorEastAsia" w:eastAsiaTheme="minorEastAsia"/>
          <w:color w:val="auto"/>
          <w:sz w:val="24"/>
          <w:szCs w:val="24"/>
          <w:highlight w:val="none"/>
        </w:rPr>
        <w:t>本合同自</w:t>
      </w:r>
      <w:r>
        <w:rPr>
          <w:rFonts w:hint="eastAsia" w:cs="Times New Roman" w:asciiTheme="minorEastAsia" w:hAnsiTheme="minorEastAsia" w:eastAsiaTheme="minorEastAsia"/>
          <w:color w:val="auto"/>
          <w:sz w:val="24"/>
          <w:szCs w:val="24"/>
          <w:highlight w:val="none"/>
        </w:rPr>
        <w:t>双方当事人盖章时</w:t>
      </w:r>
      <w:r>
        <w:rPr>
          <w:rFonts w:cs="Times New Roman" w:asciiTheme="minorEastAsia" w:hAnsiTheme="minorEastAsia" w:eastAsiaTheme="minorEastAsia"/>
          <w:color w:val="auto"/>
          <w:sz w:val="24"/>
          <w:szCs w:val="24"/>
          <w:highlight w:val="none"/>
        </w:rPr>
        <w:t>生效。</w:t>
      </w:r>
    </w:p>
    <w:p w14:paraId="7F669E4A">
      <w:pPr>
        <w:keepNext w:val="0"/>
        <w:keepLines w:val="0"/>
        <w:pageBreakBefore w:val="0"/>
        <w:kinsoku/>
        <w:wordWrap/>
        <w:overflowPunct/>
        <w:topLinePunct w:val="0"/>
        <w:autoSpaceDE w:val="0"/>
        <w:autoSpaceDN w:val="0"/>
        <w:bidi w:val="0"/>
        <w:adjustRightInd w:val="0"/>
        <w:snapToGrid/>
        <w:spacing w:line="520" w:lineRule="exact"/>
        <w:textAlignment w:val="auto"/>
        <w:rPr>
          <w:rFonts w:hint="eastAsia" w:cs="Times New Roman" w:asciiTheme="minorEastAsia" w:hAnsiTheme="minorEastAsia" w:eastAsiaTheme="minorEastAsia"/>
          <w:bCs/>
          <w:color w:val="auto"/>
          <w:sz w:val="24"/>
          <w:szCs w:val="24"/>
          <w:highlight w:val="none"/>
          <w:lang w:val="zh-CN"/>
        </w:rPr>
      </w:pPr>
      <w:r>
        <w:rPr>
          <w:rFonts w:hint="eastAsia" w:cs="Times New Roman" w:asciiTheme="minorEastAsia" w:hAnsiTheme="minorEastAsia" w:eastAsiaTheme="minorEastAsia"/>
          <w:bCs/>
          <w:color w:val="auto"/>
          <w:sz w:val="24"/>
          <w:szCs w:val="24"/>
          <w:highlight w:val="none"/>
          <w:lang w:val="zh-CN"/>
        </w:rPr>
        <w:t xml:space="preserve">甲 </w:t>
      </w:r>
      <w:r>
        <w:rPr>
          <w:rFonts w:cs="Times New Roman" w:asciiTheme="minorEastAsia" w:hAnsiTheme="minorEastAsia" w:eastAsiaTheme="minorEastAsia"/>
          <w:bCs/>
          <w:color w:val="auto"/>
          <w:sz w:val="24"/>
          <w:szCs w:val="24"/>
          <w:highlight w:val="none"/>
          <w:lang w:val="zh-CN"/>
        </w:rPr>
        <w:t xml:space="preserve">   </w:t>
      </w:r>
      <w:r>
        <w:rPr>
          <w:rFonts w:hint="eastAsia" w:cs="Times New Roman" w:asciiTheme="minorEastAsia" w:hAnsiTheme="minorEastAsia" w:eastAsiaTheme="minorEastAsia"/>
          <w:bCs/>
          <w:color w:val="auto"/>
          <w:sz w:val="24"/>
          <w:szCs w:val="24"/>
          <w:highlight w:val="none"/>
          <w:lang w:val="zh-CN"/>
        </w:rPr>
        <w:t>方：</w:t>
      </w:r>
      <w:r>
        <w:rPr>
          <w:rFonts w:hint="eastAsia" w:cs="Times New Roman" w:asciiTheme="minorEastAsia" w:hAnsiTheme="minorEastAsia" w:eastAsiaTheme="minorEastAsia"/>
          <w:bCs/>
          <w:color w:val="auto"/>
          <w:sz w:val="24"/>
          <w:szCs w:val="24"/>
          <w:highlight w:val="none"/>
          <w:u w:val="single"/>
          <w:lang w:val="zh-CN"/>
        </w:rPr>
        <w:t xml:space="preserve">    （单位盖章）     </w:t>
      </w:r>
      <w:r>
        <w:rPr>
          <w:rFonts w:hint="eastAsia" w:cs="Times New Roman" w:asciiTheme="minorEastAsia" w:hAnsiTheme="minorEastAsia" w:eastAsiaTheme="minorEastAsia"/>
          <w:bCs/>
          <w:color w:val="auto"/>
          <w:sz w:val="24"/>
          <w:szCs w:val="24"/>
          <w:highlight w:val="none"/>
          <w:lang w:val="zh-CN"/>
        </w:rPr>
        <w:t xml:space="preserve">          乙方：</w:t>
      </w:r>
      <w:r>
        <w:rPr>
          <w:rFonts w:hint="eastAsia" w:cs="Times New Roman" w:asciiTheme="minorEastAsia" w:hAnsiTheme="minorEastAsia" w:eastAsiaTheme="minorEastAsia"/>
          <w:bCs/>
          <w:color w:val="auto"/>
          <w:sz w:val="24"/>
          <w:szCs w:val="24"/>
          <w:highlight w:val="none"/>
          <w:u w:val="single"/>
          <w:lang w:val="zh-CN"/>
        </w:rPr>
        <w:t xml:space="preserve">    （单位盖章）     </w:t>
      </w:r>
    </w:p>
    <w:p w14:paraId="66F70365">
      <w:pPr>
        <w:keepNext w:val="0"/>
        <w:keepLines w:val="0"/>
        <w:pageBreakBefore w:val="0"/>
        <w:kinsoku/>
        <w:wordWrap/>
        <w:overflowPunct/>
        <w:topLinePunct w:val="0"/>
        <w:autoSpaceDE w:val="0"/>
        <w:autoSpaceDN w:val="0"/>
        <w:bidi w:val="0"/>
        <w:adjustRightInd w:val="0"/>
        <w:snapToGrid/>
        <w:spacing w:line="520" w:lineRule="exact"/>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 xml:space="preserve">法定代表人                             </w:t>
      </w:r>
      <w:r>
        <w:rPr>
          <w:rFonts w:cs="Times New Roman" w:asciiTheme="minorEastAsia" w:hAnsiTheme="minorEastAsia" w:eastAsiaTheme="minorEastAsia"/>
          <w:color w:val="auto"/>
          <w:sz w:val="24"/>
          <w:szCs w:val="24"/>
          <w:highlight w:val="none"/>
          <w:lang w:val="zh-CN"/>
        </w:rPr>
        <w:t xml:space="preserve">  </w:t>
      </w:r>
      <w:r>
        <w:rPr>
          <w:rFonts w:hint="eastAsia" w:cs="Times New Roman" w:asciiTheme="minorEastAsia" w:hAnsiTheme="minorEastAsia" w:eastAsiaTheme="minorEastAsia"/>
          <w:color w:val="auto"/>
          <w:sz w:val="24"/>
          <w:szCs w:val="24"/>
          <w:highlight w:val="none"/>
          <w:lang w:val="zh-CN"/>
        </w:rPr>
        <w:t>法定代表人</w:t>
      </w:r>
    </w:p>
    <w:p w14:paraId="6A50B33F">
      <w:pPr>
        <w:keepNext w:val="0"/>
        <w:keepLines w:val="0"/>
        <w:pageBreakBefore w:val="0"/>
        <w:kinsoku/>
        <w:wordWrap/>
        <w:overflowPunct/>
        <w:topLinePunct w:val="0"/>
        <w:autoSpaceDE w:val="0"/>
        <w:autoSpaceDN w:val="0"/>
        <w:bidi w:val="0"/>
        <w:adjustRightInd w:val="0"/>
        <w:snapToGrid/>
        <w:spacing w:line="520" w:lineRule="exact"/>
        <w:textAlignment w:val="auto"/>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或授权代表（签字）：                      或授权代表（签字）：</w:t>
      </w:r>
    </w:p>
    <w:p w14:paraId="5827EABF">
      <w:pPr>
        <w:keepNext w:val="0"/>
        <w:keepLines w:val="0"/>
        <w:pageBreakBefore w:val="0"/>
        <w:widowControl/>
        <w:kinsoku/>
        <w:wordWrap/>
        <w:overflowPunct/>
        <w:topLinePunct w:val="0"/>
        <w:bidi w:val="0"/>
        <w:snapToGrid/>
        <w:spacing w:line="520" w:lineRule="exact"/>
        <w:jc w:val="left"/>
        <w:textAlignment w:val="auto"/>
        <w:rPr>
          <w:rFonts w:hint="eastAsia" w:cs="Times New Roman" w:asciiTheme="minorEastAsia" w:hAnsiTheme="minorEastAsia" w:eastAsiaTheme="minorEastAsia"/>
          <w:bCs/>
          <w:color w:val="auto"/>
          <w:sz w:val="24"/>
          <w:szCs w:val="24"/>
          <w:highlight w:val="none"/>
        </w:rPr>
      </w:pPr>
      <w:bookmarkStart w:id="466" w:name="_Toc331685783"/>
      <w:r>
        <w:rPr>
          <w:rFonts w:hint="eastAsia" w:cs="Times New Roman" w:asciiTheme="minorEastAsia" w:hAnsiTheme="minorEastAsia" w:eastAsiaTheme="minorEastAsia"/>
          <w:bCs/>
          <w:color w:val="auto"/>
          <w:sz w:val="24"/>
          <w:szCs w:val="24"/>
          <w:highlight w:val="none"/>
        </w:rPr>
        <w:t>时间：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月</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日               时间：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月</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日</w:t>
      </w:r>
    </w:p>
    <w:p w14:paraId="3A444CA4">
      <w:pPr>
        <w:keepNext w:val="0"/>
        <w:keepLines w:val="0"/>
        <w:pageBreakBefore w:val="0"/>
        <w:kinsoku/>
        <w:wordWrap/>
        <w:overflowPunct/>
        <w:topLinePunct w:val="0"/>
        <w:bidi w:val="0"/>
        <w:snapToGrid/>
        <w:spacing w:line="520" w:lineRule="exac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w:t>
      </w:r>
      <w:bookmarkStart w:id="467" w:name="_Hlk110099149"/>
      <w:r>
        <w:rPr>
          <w:rFonts w:hint="eastAsia" w:ascii="宋体" w:hAnsi="宋体" w:eastAsia="宋体"/>
          <w:color w:val="auto"/>
          <w:sz w:val="24"/>
          <w:szCs w:val="24"/>
          <w:highlight w:val="none"/>
        </w:rPr>
        <w:t>乙方账户信息</w:t>
      </w:r>
    </w:p>
    <w:p w14:paraId="17A5578E">
      <w:pPr>
        <w:keepNext w:val="0"/>
        <w:keepLines w:val="0"/>
        <w:pageBreakBefore w:val="0"/>
        <w:kinsoku/>
        <w:wordWrap/>
        <w:overflowPunct/>
        <w:topLinePunct w:val="0"/>
        <w:bidi w:val="0"/>
        <w:snapToGrid/>
        <w:spacing w:line="520" w:lineRule="exac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户名：</w:t>
      </w:r>
      <w:r>
        <w:rPr>
          <w:rFonts w:hint="eastAsia" w:ascii="宋体" w:hAnsi="宋体" w:eastAsia="宋体"/>
          <w:color w:val="auto"/>
          <w:sz w:val="24"/>
          <w:szCs w:val="24"/>
          <w:highlight w:val="none"/>
          <w:u w:val="single"/>
        </w:rPr>
        <w:t xml:space="preserve">            </w:t>
      </w:r>
    </w:p>
    <w:p w14:paraId="567C61AA">
      <w:pPr>
        <w:keepNext w:val="0"/>
        <w:keepLines w:val="0"/>
        <w:pageBreakBefore w:val="0"/>
        <w:kinsoku/>
        <w:wordWrap/>
        <w:overflowPunct/>
        <w:topLinePunct w:val="0"/>
        <w:bidi w:val="0"/>
        <w:snapToGrid/>
        <w:spacing w:line="520" w:lineRule="exac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账号：</w:t>
      </w:r>
      <w:r>
        <w:rPr>
          <w:rFonts w:hint="eastAsia" w:ascii="宋体" w:hAnsi="宋体" w:eastAsia="宋体"/>
          <w:color w:val="auto"/>
          <w:sz w:val="24"/>
          <w:szCs w:val="24"/>
          <w:highlight w:val="none"/>
          <w:u w:val="single"/>
        </w:rPr>
        <w:t xml:space="preserve">            </w:t>
      </w:r>
    </w:p>
    <w:p w14:paraId="766AC850">
      <w:pPr>
        <w:keepNext w:val="0"/>
        <w:keepLines w:val="0"/>
        <w:pageBreakBefore w:val="0"/>
        <w:kinsoku/>
        <w:wordWrap/>
        <w:overflowPunct/>
        <w:topLinePunct w:val="0"/>
        <w:bidi w:val="0"/>
        <w:snapToGrid/>
        <w:spacing w:line="520" w:lineRule="exac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开户银行：</w:t>
      </w:r>
      <w:r>
        <w:rPr>
          <w:rFonts w:hint="eastAsia" w:ascii="宋体" w:hAnsi="宋体" w:eastAsia="宋体"/>
          <w:color w:val="auto"/>
          <w:sz w:val="24"/>
          <w:szCs w:val="24"/>
          <w:highlight w:val="none"/>
          <w:u w:val="single"/>
        </w:rPr>
        <w:t xml:space="preserve">        </w:t>
      </w:r>
    </w:p>
    <w:bookmarkEnd w:id="467"/>
    <w:p w14:paraId="0A2039D6">
      <w:pPr>
        <w:widowControl/>
        <w:spacing w:line="440" w:lineRule="exact"/>
        <w:jc w:val="left"/>
        <w:rPr>
          <w:rFonts w:hint="eastAsia"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br w:type="page"/>
      </w:r>
    </w:p>
    <w:p w14:paraId="085AE74D">
      <w:pPr>
        <w:spacing w:line="440" w:lineRule="exact"/>
        <w:jc w:val="center"/>
        <w:outlineLvl w:val="1"/>
        <w:rPr>
          <w:rFonts w:hint="eastAsia" w:asciiTheme="minorEastAsia" w:hAnsiTheme="minorEastAsia" w:eastAsiaTheme="minorEastAsia"/>
          <w:b/>
          <w:color w:val="auto"/>
          <w:sz w:val="24"/>
          <w:highlight w:val="none"/>
        </w:rPr>
      </w:pPr>
      <w:bookmarkStart w:id="468" w:name="_Toc415"/>
      <w:r>
        <w:rPr>
          <w:rFonts w:hint="eastAsia" w:asciiTheme="minorEastAsia" w:hAnsiTheme="minorEastAsia" w:eastAsiaTheme="minorEastAsia"/>
          <w:b/>
          <w:color w:val="auto"/>
          <w:sz w:val="24"/>
          <w:highlight w:val="none"/>
        </w:rPr>
        <w:t>第二部分</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合同一般条款</w:t>
      </w:r>
      <w:bookmarkEnd w:id="466"/>
      <w:bookmarkEnd w:id="468"/>
    </w:p>
    <w:p w14:paraId="092EECAC">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469" w:name="_Ref467378499"/>
      <w:bookmarkStart w:id="470" w:name="_Toc19614"/>
      <w:bookmarkStart w:id="471" w:name="_Ref467379214"/>
      <w:bookmarkStart w:id="472" w:name="_Ref467379205"/>
      <w:bookmarkStart w:id="473" w:name="_Ref467378404"/>
      <w:bookmarkStart w:id="474" w:name="_Ref467379101"/>
      <w:bookmarkStart w:id="475" w:name="_Ref467379195"/>
      <w:bookmarkStart w:id="476" w:name="_Ref467379225"/>
      <w:bookmarkStart w:id="477" w:name="_Ref467378463"/>
      <w:bookmarkStart w:id="478" w:name="_Toc487900349"/>
      <w:bookmarkStart w:id="479" w:name="_Toc16917"/>
      <w:bookmarkStart w:id="480" w:name="_Toc28763"/>
      <w:bookmarkStart w:id="481" w:name="_Toc259093669"/>
      <w:bookmarkStart w:id="482" w:name="_Ref467379094"/>
      <w:bookmarkStart w:id="483" w:name="_Ref467379109"/>
      <w:bookmarkStart w:id="484" w:name="_Toc279701240"/>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 xml:space="preserve"> 定义</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585BC6DB">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本合同中的下列</w:t>
      </w:r>
      <w:r>
        <w:rPr>
          <w:rFonts w:hint="eastAsia" w:cs="Times New Roman" w:asciiTheme="minorEastAsia" w:hAnsiTheme="minorEastAsia" w:eastAsiaTheme="minorEastAsia"/>
          <w:color w:val="auto"/>
          <w:sz w:val="24"/>
          <w:szCs w:val="24"/>
          <w:highlight w:val="none"/>
        </w:rPr>
        <w:t>词</w:t>
      </w:r>
      <w:r>
        <w:rPr>
          <w:rFonts w:cs="Times New Roman" w:asciiTheme="minorEastAsia" w:hAnsiTheme="minorEastAsia" w:eastAsiaTheme="minorEastAsia"/>
          <w:color w:val="auto"/>
          <w:sz w:val="24"/>
          <w:szCs w:val="24"/>
          <w:highlight w:val="none"/>
        </w:rPr>
        <w:t>语应</w:t>
      </w:r>
      <w:r>
        <w:rPr>
          <w:rFonts w:hint="eastAsia" w:cs="Times New Roman" w:asciiTheme="minorEastAsia" w:hAnsiTheme="minorEastAsia" w:eastAsiaTheme="minorEastAsia"/>
          <w:color w:val="auto"/>
          <w:sz w:val="24"/>
          <w:szCs w:val="24"/>
          <w:highlight w:val="none"/>
        </w:rPr>
        <w:t>按以下内容进行</w:t>
      </w:r>
      <w:r>
        <w:rPr>
          <w:rFonts w:cs="Times New Roman" w:asciiTheme="minorEastAsia" w:hAnsiTheme="minorEastAsia" w:eastAsiaTheme="minorEastAsia"/>
          <w:color w:val="auto"/>
          <w:sz w:val="24"/>
          <w:szCs w:val="24"/>
          <w:highlight w:val="none"/>
        </w:rPr>
        <w:t>解释：</w:t>
      </w:r>
    </w:p>
    <w:p w14:paraId="0632565B">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.1</w:t>
      </w:r>
      <w:r>
        <w:rPr>
          <w:rFonts w:cs="Times New Roman" w:asciiTheme="minorEastAsia" w:hAnsiTheme="minorEastAsia" w:eastAsiaTheme="minorEastAsia"/>
          <w:color w:val="auto"/>
          <w:sz w:val="24"/>
          <w:szCs w:val="24"/>
          <w:highlight w:val="none"/>
        </w:rPr>
        <w:t>“合同”系指采购人和中标人签订的载明双方当事人所达成的协议，并包括所有的附件、附录和构成合同的其他文件。</w:t>
      </w:r>
    </w:p>
    <w:p w14:paraId="79A5C56F">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1.2“合同价”系指根据合同约定，中标人在完全履行合同义务后</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采购人应支付给中标人的价格。</w:t>
      </w:r>
    </w:p>
    <w:p w14:paraId="69964A1B">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1.3“</w:t>
      </w:r>
      <w:r>
        <w:rPr>
          <w:rFonts w:hint="eastAsia" w:cs="Times New Roman" w:asciiTheme="minorEastAsia" w:hAnsiTheme="minorEastAsia" w:eastAsiaTheme="minorEastAsia"/>
          <w:color w:val="auto"/>
          <w:sz w:val="24"/>
          <w:szCs w:val="24"/>
          <w:highlight w:val="none"/>
        </w:rPr>
        <w:t>服务</w:t>
      </w:r>
      <w:r>
        <w:rPr>
          <w:rFonts w:cs="Times New Roman" w:asciiTheme="minorEastAsia" w:hAnsiTheme="minorEastAsia" w:eastAsiaTheme="minorEastAsia"/>
          <w:color w:val="auto"/>
          <w:sz w:val="24"/>
          <w:szCs w:val="24"/>
          <w:highlight w:val="none"/>
        </w:rPr>
        <w:t>”系指</w:t>
      </w:r>
      <w:r>
        <w:rPr>
          <w:rFonts w:hint="eastAsia" w:cs="Times New Roman" w:asciiTheme="minorEastAsia" w:hAnsiTheme="minorEastAsia" w:eastAsiaTheme="minorEastAsia"/>
          <w:color w:val="auto"/>
          <w:sz w:val="24"/>
          <w:szCs w:val="24"/>
          <w:highlight w:val="none"/>
        </w:rPr>
        <w:t>中标人</w:t>
      </w:r>
      <w:r>
        <w:rPr>
          <w:rFonts w:cs="Times New Roman" w:asciiTheme="minorEastAsia" w:hAnsiTheme="minorEastAsia" w:eastAsiaTheme="minorEastAsia"/>
          <w:color w:val="auto"/>
          <w:sz w:val="24"/>
          <w:szCs w:val="24"/>
          <w:highlight w:val="none"/>
        </w:rPr>
        <w:t>根据合同约定应向采购人</w:t>
      </w:r>
      <w:r>
        <w:rPr>
          <w:rFonts w:hint="eastAsia" w:cs="Times New Roman" w:asciiTheme="minorEastAsia" w:hAnsiTheme="minorEastAsia" w:eastAsiaTheme="minorEastAsia"/>
          <w:color w:val="auto"/>
          <w:sz w:val="24"/>
          <w:szCs w:val="24"/>
          <w:highlight w:val="none"/>
        </w:rPr>
        <w:t>履行</w:t>
      </w:r>
      <w:r>
        <w:rPr>
          <w:rFonts w:cs="Times New Roman" w:asciiTheme="minorEastAsia" w:hAnsiTheme="minorEastAsia" w:eastAsiaTheme="minorEastAsia"/>
          <w:color w:val="auto"/>
          <w:sz w:val="24"/>
          <w:szCs w:val="24"/>
          <w:highlight w:val="none"/>
        </w:rPr>
        <w:t>的</w:t>
      </w:r>
      <w:r>
        <w:rPr>
          <w:rFonts w:hint="eastAsia" w:cs="Times New Roman" w:asciiTheme="minorEastAsia" w:hAnsiTheme="minorEastAsia" w:eastAsiaTheme="minorEastAsia"/>
          <w:color w:val="auto"/>
          <w:sz w:val="24"/>
          <w:szCs w:val="24"/>
          <w:highlight w:val="none"/>
        </w:rPr>
        <w:t>除货物和工程以外的其他政府采购对象，包括采购人自身需要的服务和向社会公众提供的公共服务。</w:t>
      </w:r>
    </w:p>
    <w:p w14:paraId="077DA576">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bookmarkStart w:id="485" w:name="_Ref467378840"/>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4</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rPr>
        <w:t>甲方</w:t>
      </w:r>
      <w:r>
        <w:rPr>
          <w:rFonts w:cs="Times New Roman" w:asciiTheme="minorEastAsia" w:hAnsiTheme="minorEastAsia" w:eastAsiaTheme="minorEastAsia"/>
          <w:color w:val="auto"/>
          <w:sz w:val="24"/>
          <w:szCs w:val="24"/>
          <w:highlight w:val="none"/>
        </w:rPr>
        <w:t>”系指与</w:t>
      </w:r>
      <w:r>
        <w:rPr>
          <w:rFonts w:hint="eastAsia" w:cs="Times New Roman" w:asciiTheme="minorEastAsia" w:hAnsiTheme="minorEastAsia" w:eastAsiaTheme="minorEastAsia"/>
          <w:color w:val="auto"/>
          <w:sz w:val="24"/>
          <w:szCs w:val="24"/>
          <w:highlight w:val="none"/>
        </w:rPr>
        <w:t>中标人</w:t>
      </w:r>
      <w:r>
        <w:rPr>
          <w:rFonts w:cs="Times New Roman" w:asciiTheme="minorEastAsia" w:hAnsiTheme="minorEastAsia" w:eastAsiaTheme="minorEastAsia"/>
          <w:color w:val="auto"/>
          <w:sz w:val="24"/>
          <w:szCs w:val="24"/>
          <w:highlight w:val="none"/>
        </w:rPr>
        <w:t>签署合同的采购人</w:t>
      </w:r>
      <w:bookmarkEnd w:id="485"/>
      <w:r>
        <w:rPr>
          <w:rFonts w:hint="eastAsia" w:cs="Times New Roman" w:asciiTheme="minorEastAsia" w:hAnsiTheme="minorEastAsia" w:eastAsiaTheme="minorEastAsia"/>
          <w:color w:val="auto"/>
          <w:sz w:val="24"/>
          <w:szCs w:val="24"/>
          <w:highlight w:val="none"/>
        </w:rPr>
        <w:t>；采购人委托采购代理机构代表其与乙方签订合同的，采购人的授权委托书作为合同附件。</w:t>
      </w:r>
    </w:p>
    <w:p w14:paraId="5EC5E6A5">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bookmarkStart w:id="486" w:name="_Ref467379400"/>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5</w:t>
      </w:r>
      <w:r>
        <w:rPr>
          <w:rFonts w:cs="Times New Roman" w:asciiTheme="minorEastAsia" w:hAnsiTheme="minorEastAsia" w:eastAsiaTheme="minorEastAsia"/>
          <w:color w:val="auto"/>
          <w:sz w:val="24"/>
          <w:szCs w:val="24"/>
          <w:highlight w:val="none"/>
        </w:rPr>
        <w:t>“乙方”系指根据合同约定</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的中标人</w:t>
      </w:r>
      <w:bookmarkEnd w:id="486"/>
      <w:r>
        <w:rPr>
          <w:rFonts w:hint="eastAsia" w:cs="Times New Roman" w:asciiTheme="minorEastAsia" w:hAnsiTheme="minorEastAsia" w:eastAsiaTheme="minorEastAsia"/>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4327500">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bookmarkStart w:id="487" w:name="_Ref467379436"/>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6</w:t>
      </w:r>
      <w:r>
        <w:rPr>
          <w:rFonts w:cs="Times New Roman" w:asciiTheme="minorEastAsia" w:hAnsiTheme="minorEastAsia" w:eastAsiaTheme="minorEastAsia"/>
          <w:color w:val="auto"/>
          <w:sz w:val="24"/>
          <w:szCs w:val="24"/>
          <w:highlight w:val="none"/>
        </w:rPr>
        <w:t>“现场”系指合同约定</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的地点。</w:t>
      </w:r>
      <w:bookmarkEnd w:id="487"/>
    </w:p>
    <w:p w14:paraId="2F379C73">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488" w:name="_Toc27635"/>
      <w:bookmarkStart w:id="489" w:name="_Toc487900350"/>
      <w:bookmarkStart w:id="490" w:name="_Toc32504"/>
      <w:bookmarkStart w:id="491" w:name="_Toc13336"/>
      <w:bookmarkStart w:id="492" w:name="_Toc259093670"/>
      <w:bookmarkStart w:id="493" w:name="_Toc279701241"/>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2 技术规范</w:t>
      </w:r>
      <w:bookmarkEnd w:id="488"/>
      <w:bookmarkEnd w:id="489"/>
      <w:bookmarkEnd w:id="490"/>
      <w:bookmarkEnd w:id="491"/>
      <w:bookmarkEnd w:id="492"/>
      <w:bookmarkEnd w:id="493"/>
    </w:p>
    <w:p w14:paraId="7896FCFA">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货物所应遵守的技术规范应与采购文件规定的技术规范和技术规范附件(如果有的话)及其技术规范偏差表(如果被甲方接受的话)相一致</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如果采购文件中没有技术规范的相应说明，那么应以国家有关部门最新颁布的相应标准</w:t>
      </w:r>
      <w:r>
        <w:rPr>
          <w:rFonts w:hint="eastAsia" w:cs="Times New Roman" w:asciiTheme="minorEastAsia" w:hAnsiTheme="minorEastAsia" w:eastAsiaTheme="minorEastAsia"/>
          <w:color w:val="auto"/>
          <w:sz w:val="24"/>
          <w:szCs w:val="24"/>
          <w:highlight w:val="none"/>
        </w:rPr>
        <w:t>和</w:t>
      </w:r>
      <w:r>
        <w:rPr>
          <w:rFonts w:cs="Times New Roman" w:asciiTheme="minorEastAsia" w:hAnsiTheme="minorEastAsia" w:eastAsiaTheme="minorEastAsia"/>
          <w:color w:val="auto"/>
          <w:sz w:val="24"/>
          <w:szCs w:val="24"/>
          <w:highlight w:val="none"/>
        </w:rPr>
        <w:t>规范为准。</w:t>
      </w:r>
    </w:p>
    <w:p w14:paraId="756F18C0">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494" w:name="_Toc279701242"/>
      <w:bookmarkStart w:id="495" w:name="_Toc9829"/>
      <w:bookmarkStart w:id="496" w:name="_Toc31634"/>
      <w:bookmarkStart w:id="497" w:name="_Toc259093671"/>
      <w:bookmarkStart w:id="498" w:name="_Toc487900351"/>
      <w:bookmarkStart w:id="499" w:name="_Toc27853"/>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3 知识产权</w:t>
      </w:r>
      <w:bookmarkEnd w:id="494"/>
      <w:bookmarkEnd w:id="495"/>
      <w:bookmarkEnd w:id="496"/>
      <w:bookmarkEnd w:id="497"/>
      <w:bookmarkEnd w:id="498"/>
      <w:bookmarkEnd w:id="499"/>
    </w:p>
    <w:p w14:paraId="5CD7FFED">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2.3.1乙</w:t>
      </w:r>
      <w:r>
        <w:rPr>
          <w:rFonts w:cs="Times New Roman" w:asciiTheme="minorEastAsia" w:hAnsiTheme="minorEastAsia" w:eastAsiaTheme="minorEastAsia"/>
          <w:color w:val="auto"/>
          <w:sz w:val="24"/>
          <w:szCs w:val="24"/>
          <w:highlight w:val="none"/>
        </w:rPr>
        <w:t>方应保证</w:t>
      </w:r>
      <w:r>
        <w:rPr>
          <w:rFonts w:hint="eastAsia" w:cs="Times New Roman" w:asciiTheme="minorEastAsia" w:hAnsiTheme="minorEastAsia" w:eastAsiaTheme="minorEastAsia"/>
          <w:color w:val="auto"/>
          <w:sz w:val="24"/>
          <w:szCs w:val="24"/>
          <w:highlight w:val="none"/>
        </w:rPr>
        <w:t>其提供的服务</w:t>
      </w:r>
      <w:r>
        <w:rPr>
          <w:rFonts w:cs="Times New Roman" w:asciiTheme="minorEastAsia" w:hAnsiTheme="minorEastAsia" w:eastAsiaTheme="minorEastAsia"/>
          <w:color w:val="auto"/>
          <w:sz w:val="24"/>
          <w:szCs w:val="24"/>
          <w:highlight w:val="none"/>
        </w:rPr>
        <w:t>不受任何第三方提出的侵犯其著作权、商标权、专利权等知识产权方面的起诉</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如果任何第三方提出侵权</w:t>
      </w:r>
      <w:r>
        <w:rPr>
          <w:rFonts w:hint="eastAsia" w:cs="Times New Roman" w:asciiTheme="minorEastAsia" w:hAnsiTheme="minorEastAsia" w:eastAsiaTheme="minorEastAsia"/>
          <w:color w:val="auto"/>
          <w:sz w:val="24"/>
          <w:szCs w:val="24"/>
          <w:highlight w:val="none"/>
        </w:rPr>
        <w:t>指控</w:t>
      </w:r>
      <w:r>
        <w:rPr>
          <w:rFonts w:cs="Times New Roman" w:asciiTheme="minorEastAsia" w:hAnsiTheme="minorEastAsia" w:eastAsiaTheme="minorEastAsia"/>
          <w:color w:val="auto"/>
          <w:sz w:val="24"/>
          <w:szCs w:val="24"/>
          <w:highlight w:val="none"/>
        </w:rPr>
        <w:t>，那么乙方须与该第三方交涉并承担由此发生的一切责任、费用和赔偿</w:t>
      </w:r>
      <w:r>
        <w:rPr>
          <w:rFonts w:hint="eastAsia" w:cs="Times New Roman" w:asciiTheme="minorEastAsia" w:hAnsiTheme="minorEastAsia" w:eastAsiaTheme="minorEastAsia"/>
          <w:color w:val="auto"/>
          <w:sz w:val="24"/>
          <w:szCs w:val="24"/>
          <w:highlight w:val="none"/>
        </w:rPr>
        <w:t>。</w:t>
      </w:r>
    </w:p>
    <w:p w14:paraId="01AD55B9">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00" w:name="_Ref467379542"/>
      <w:bookmarkStart w:id="501" w:name="_Ref467378591"/>
      <w:bookmarkStart w:id="502" w:name="_Toc279701245"/>
      <w:bookmarkStart w:id="503" w:name="_Toc487900354"/>
      <w:bookmarkStart w:id="504" w:name="_Ref467379527"/>
      <w:bookmarkStart w:id="505" w:name="_Toc259093674"/>
      <w:bookmarkStart w:id="506" w:name="_Ref467378541"/>
      <w:bookmarkStart w:id="507" w:name="_Ref467379536"/>
      <w:bookmarkStart w:id="508" w:name="_Toc19074"/>
      <w:bookmarkStart w:id="509" w:name="_Toc26182"/>
      <w:bookmarkStart w:id="510" w:name="_Toc30272"/>
      <w:r>
        <w:rPr>
          <w:rFonts w:hint="eastAsia" w:cs="Times New Roman" w:asciiTheme="minorEastAsia" w:hAnsiTheme="minorEastAsia" w:eastAsiaTheme="minorEastAsia"/>
          <w:b/>
          <w:bCs/>
          <w:color w:val="auto"/>
          <w:sz w:val="24"/>
          <w:szCs w:val="24"/>
          <w:highlight w:val="none"/>
          <w:lang w:val="zh-CN"/>
        </w:rPr>
        <w:t>2.</w:t>
      </w:r>
      <w:bookmarkEnd w:id="500"/>
      <w:bookmarkEnd w:id="501"/>
      <w:bookmarkEnd w:id="502"/>
      <w:bookmarkEnd w:id="503"/>
      <w:bookmarkEnd w:id="504"/>
      <w:bookmarkEnd w:id="505"/>
      <w:bookmarkEnd w:id="506"/>
      <w:bookmarkEnd w:id="507"/>
      <w:r>
        <w:rPr>
          <w:rFonts w:cs="Times New Roman" w:asciiTheme="minorEastAsia" w:hAnsiTheme="minorEastAsia" w:eastAsiaTheme="minorEastAsia"/>
          <w:b/>
          <w:bCs/>
          <w:color w:val="auto"/>
          <w:sz w:val="24"/>
          <w:szCs w:val="24"/>
          <w:highlight w:val="none"/>
          <w:lang w:val="zh-CN"/>
        </w:rPr>
        <w:t xml:space="preserve">4 </w:t>
      </w:r>
      <w:r>
        <w:rPr>
          <w:rFonts w:hint="eastAsia" w:cs="Times New Roman" w:asciiTheme="minorEastAsia" w:hAnsiTheme="minorEastAsia" w:eastAsiaTheme="minorEastAsia"/>
          <w:b/>
          <w:bCs/>
          <w:color w:val="auto"/>
          <w:sz w:val="24"/>
          <w:szCs w:val="24"/>
          <w:highlight w:val="none"/>
          <w:lang w:val="zh-CN"/>
        </w:rPr>
        <w:t>履约检查和问题反馈</w:t>
      </w:r>
      <w:bookmarkEnd w:id="508"/>
      <w:bookmarkEnd w:id="509"/>
      <w:bookmarkEnd w:id="510"/>
    </w:p>
    <w:p w14:paraId="28CE5807">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bookmarkStart w:id="511" w:name="_Toc186431854"/>
      <w:bookmarkStart w:id="512" w:name="_Ref467379793"/>
      <w:bookmarkStart w:id="513" w:name="_Toc487900357"/>
      <w:bookmarkStart w:id="514" w:name="_Ref467379807"/>
      <w:bookmarkStart w:id="515" w:name="_Toc259093676"/>
      <w:bookmarkStart w:id="516" w:name="_Toc279701247"/>
      <w:r>
        <w:rPr>
          <w:rFonts w:hint="eastAsia" w:cs="Times New Roman" w:asciiTheme="minorEastAsia" w:hAnsiTheme="minorEastAsia" w:eastAsiaTheme="minorEastAsia"/>
          <w:color w:val="auto"/>
          <w:sz w:val="24"/>
          <w:szCs w:val="24"/>
          <w:highlight w:val="none"/>
        </w:rPr>
        <w:t>2.4</w:t>
      </w:r>
      <w:r>
        <w:rPr>
          <w:rFonts w:cs="Times New Roman" w:asciiTheme="minorEastAsia" w:hAnsiTheme="minorEastAsia" w:eastAsiaTheme="minorEastAsia"/>
          <w:color w:val="auto"/>
          <w:sz w:val="24"/>
          <w:szCs w:val="24"/>
          <w:highlight w:val="none"/>
        </w:rPr>
        <w:t>.1甲方</w:t>
      </w:r>
      <w:r>
        <w:rPr>
          <w:rFonts w:hint="eastAsia" w:cs="Times New Roman" w:asciiTheme="minorEastAsia" w:hAnsiTheme="minorEastAsia" w:eastAsiaTheme="minorEastAsia"/>
          <w:color w:val="auto"/>
          <w:sz w:val="24"/>
          <w:szCs w:val="24"/>
          <w:highlight w:val="none"/>
        </w:rPr>
        <w:t>有权</w:t>
      </w:r>
      <w:r>
        <w:rPr>
          <w:rFonts w:cs="Times New Roman" w:asciiTheme="minorEastAsia" w:hAnsiTheme="minorEastAsia" w:eastAsiaTheme="minorEastAsia"/>
          <w:color w:val="auto"/>
          <w:sz w:val="24"/>
          <w:szCs w:val="24"/>
          <w:highlight w:val="none"/>
        </w:rPr>
        <w:t>在其认为必要时</w:t>
      </w:r>
      <w:r>
        <w:rPr>
          <w:rFonts w:hint="eastAsia" w:cs="Times New Roman" w:asciiTheme="minorEastAsia" w:hAnsiTheme="minorEastAsia" w:eastAsiaTheme="minorEastAsia"/>
          <w:color w:val="auto"/>
          <w:sz w:val="24"/>
          <w:szCs w:val="24"/>
          <w:highlight w:val="none"/>
        </w:rPr>
        <w:t>，对乙方是否能够按照合同约定提供服务进行履约检查，以确保乙方所提供的服务能够依约满足甲方项目需求，但不得因履约检查妨碍乙方的正常工作，乙方应予积极配合；</w:t>
      </w:r>
    </w:p>
    <w:p w14:paraId="566446C3">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.2合同履行期间，甲方有权将履行过程中出现的问题反馈给乙方，双方当事人应以书面形式约定需要完善和改进的内容</w:t>
      </w:r>
      <w:bookmarkEnd w:id="511"/>
      <w:bookmarkStart w:id="517" w:name="_Toc186431855"/>
      <w:r>
        <w:rPr>
          <w:rFonts w:hint="eastAsia" w:cs="Times New Roman" w:asciiTheme="minorEastAsia" w:hAnsiTheme="minorEastAsia" w:eastAsiaTheme="minorEastAsia"/>
          <w:color w:val="auto"/>
          <w:sz w:val="24"/>
          <w:szCs w:val="24"/>
          <w:highlight w:val="none"/>
        </w:rPr>
        <w:t>。</w:t>
      </w:r>
    </w:p>
    <w:bookmarkEnd w:id="517"/>
    <w:p w14:paraId="2E6B568B">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18" w:name="_Toc7836"/>
      <w:bookmarkStart w:id="519" w:name="_Toc19219"/>
      <w:bookmarkStart w:id="520" w:name="_Toc28451"/>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5</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结算方式和付款条件</w:t>
      </w:r>
      <w:bookmarkEnd w:id="512"/>
      <w:bookmarkEnd w:id="513"/>
      <w:bookmarkEnd w:id="514"/>
      <w:bookmarkEnd w:id="515"/>
      <w:bookmarkEnd w:id="516"/>
      <w:bookmarkEnd w:id="518"/>
      <w:bookmarkEnd w:id="519"/>
      <w:bookmarkEnd w:id="520"/>
    </w:p>
    <w:p w14:paraId="55E02F0C">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详见</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w:t>
      </w:r>
    </w:p>
    <w:p w14:paraId="246ED60D">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21" w:name="_Ref467379923"/>
      <w:bookmarkStart w:id="522" w:name="_Toc279701248"/>
      <w:bookmarkStart w:id="523" w:name="_Ref467379863"/>
      <w:bookmarkStart w:id="524" w:name="_Toc487900358"/>
      <w:bookmarkStart w:id="525" w:name="_Toc259093677"/>
      <w:bookmarkStart w:id="526" w:name="_Ref467379852"/>
      <w:bookmarkStart w:id="527" w:name="_Toc3225"/>
      <w:bookmarkStart w:id="528" w:name="_Toc774"/>
      <w:bookmarkStart w:id="529" w:name="_Toc16110"/>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6</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技术资料</w:t>
      </w:r>
      <w:bookmarkEnd w:id="521"/>
      <w:bookmarkEnd w:id="522"/>
      <w:bookmarkEnd w:id="523"/>
      <w:bookmarkEnd w:id="524"/>
      <w:bookmarkEnd w:id="525"/>
      <w:bookmarkEnd w:id="526"/>
      <w:r>
        <w:rPr>
          <w:rFonts w:cs="Times New Roman" w:asciiTheme="minorEastAsia" w:hAnsiTheme="minorEastAsia" w:eastAsiaTheme="minorEastAsia"/>
          <w:b/>
          <w:bCs/>
          <w:color w:val="auto"/>
          <w:sz w:val="24"/>
          <w:szCs w:val="24"/>
          <w:highlight w:val="none"/>
          <w:lang w:val="zh-CN"/>
        </w:rPr>
        <w:t>和保密义务</w:t>
      </w:r>
      <w:bookmarkEnd w:id="527"/>
      <w:bookmarkEnd w:id="528"/>
      <w:bookmarkEnd w:id="529"/>
    </w:p>
    <w:p w14:paraId="4BB31822">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6.1</w:t>
      </w:r>
      <w:r>
        <w:rPr>
          <w:rFonts w:hint="eastAsia" w:cs="Times New Roman" w:asciiTheme="minorEastAsia" w:hAnsiTheme="minorEastAsia" w:eastAsiaTheme="minorEastAsia"/>
          <w:color w:val="auto"/>
          <w:sz w:val="24"/>
          <w:szCs w:val="24"/>
          <w:highlight w:val="none"/>
        </w:rPr>
        <w:t>乙方有权依据合同约定和项目需要，向甲方了解有关情况，调阅有关资料等，甲方应予积极配合；</w:t>
      </w:r>
    </w:p>
    <w:p w14:paraId="0A4DBD74">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w:t>
      </w:r>
      <w:r>
        <w:rPr>
          <w:rFonts w:hint="eastAsia" w:cs="Times New Roman" w:asciiTheme="minorEastAsia" w:hAnsiTheme="minorEastAsia" w:eastAsiaTheme="minorEastAsia"/>
          <w:color w:val="auto"/>
          <w:sz w:val="24"/>
          <w:szCs w:val="24"/>
          <w:highlight w:val="none"/>
        </w:rPr>
        <w:t>.2乙方有义务妥善保管和保护由甲方提供的前款信息和资料等；</w:t>
      </w:r>
    </w:p>
    <w:p w14:paraId="0F8AB1E1">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w:t>
      </w:r>
      <w:r>
        <w:rPr>
          <w:rFonts w:hint="eastAsia" w:cs="Times New Roman" w:asciiTheme="minorEastAsia" w:hAnsiTheme="minorEastAsia" w:eastAsiaTheme="minorEastAsia"/>
          <w:color w:val="auto"/>
          <w:sz w:val="24"/>
          <w:szCs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cs="Times New Roman" w:asciiTheme="minorEastAsia" w:hAnsiTheme="minorEastAsia" w:eastAsiaTheme="minorEastAsia"/>
          <w:color w:val="auto"/>
          <w:sz w:val="24"/>
          <w:szCs w:val="24"/>
          <w:highlight w:val="none"/>
        </w:rPr>
        <w:t>技术情报</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技术资料</w:t>
      </w:r>
      <w:r>
        <w:rPr>
          <w:rFonts w:hint="eastAsia" w:cs="Times New Roman" w:asciiTheme="minorEastAsia" w:hAnsiTheme="minorEastAsia" w:eastAsiaTheme="minorEastAsia"/>
          <w:color w:val="auto"/>
          <w:sz w:val="24"/>
          <w:szCs w:val="24"/>
          <w:highlight w:val="none"/>
        </w:rPr>
        <w:t>、商业秘密和商业信息等，并采取一切合理和必要措施和方式防止任何第三方接触到对方当事人的上述保密信息和资料。</w:t>
      </w:r>
    </w:p>
    <w:p w14:paraId="0ECE9E2B">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30" w:name="_Toc7860"/>
      <w:r>
        <w:rPr>
          <w:rFonts w:cs="Times New Roman" w:asciiTheme="minorEastAsia" w:hAnsiTheme="minorEastAsia" w:eastAsiaTheme="minorEastAsia"/>
          <w:b/>
          <w:bCs/>
          <w:color w:val="auto"/>
          <w:sz w:val="24"/>
          <w:szCs w:val="24"/>
          <w:highlight w:val="none"/>
          <w:lang w:val="zh-CN"/>
        </w:rPr>
        <w:t>2.7 质量保证</w:t>
      </w:r>
      <w:bookmarkEnd w:id="530"/>
    </w:p>
    <w:p w14:paraId="5BF2545A">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7</w:t>
      </w:r>
      <w:r>
        <w:rPr>
          <w:rFonts w:hint="eastAsia" w:cs="Times New Roman" w:asciiTheme="minorEastAsia" w:hAnsiTheme="minorEastAsia" w:eastAsiaTheme="minorEastAsia"/>
          <w:color w:val="auto"/>
          <w:sz w:val="24"/>
          <w:szCs w:val="24"/>
          <w:highlight w:val="none"/>
        </w:rPr>
        <w:t>.1乙方应建立和完善履行合同的内部质量保证体系，并提供相关内部规章制度给甲方，以便甲方进行监督检查；</w:t>
      </w:r>
    </w:p>
    <w:p w14:paraId="69B3A8AF">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7</w:t>
      </w:r>
      <w:r>
        <w:rPr>
          <w:rFonts w:hint="eastAsia" w:cs="Times New Roman" w:asciiTheme="minorEastAsia" w:hAnsiTheme="minorEastAsia" w:eastAsiaTheme="minorEastAsia"/>
          <w:color w:val="auto"/>
          <w:sz w:val="24"/>
          <w:szCs w:val="24"/>
          <w:highlight w:val="none"/>
        </w:rPr>
        <w:t>.2乙方应保证履行合同的人员数量和素质、软件和硬件设备的配置、场地、环境和设施等满足全面履行合同的要求，并应接受甲方的监督检查。</w:t>
      </w:r>
    </w:p>
    <w:p w14:paraId="5A343690">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color w:val="auto"/>
          <w:sz w:val="24"/>
          <w:szCs w:val="24"/>
          <w:highlight w:val="none"/>
        </w:rPr>
      </w:pPr>
      <w:bookmarkStart w:id="531" w:name="_Toc22267"/>
      <w:r>
        <w:rPr>
          <w:rFonts w:hint="eastAsia" w:cs="Times New Roman" w:asciiTheme="minorEastAsia" w:hAnsiTheme="minorEastAsia" w:eastAsiaTheme="minorEastAsia"/>
          <w:b/>
          <w:color w:val="auto"/>
          <w:sz w:val="24"/>
          <w:szCs w:val="24"/>
          <w:highlight w:val="none"/>
        </w:rPr>
        <w:t>2.8 延迟履行</w:t>
      </w:r>
      <w:bookmarkEnd w:id="531"/>
    </w:p>
    <w:p w14:paraId="174BE4E3">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在合同履行过程中，如果乙方遇到不能按时</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的情况，应及时以书面形式将不能按时</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的理由、预期延误时间通知甲方</w:t>
      </w:r>
      <w:r>
        <w:rPr>
          <w:rFonts w:hint="eastAsia" w:cs="Times New Roman" w:asciiTheme="minorEastAsia" w:hAnsiTheme="minorEastAsia" w:eastAsiaTheme="minorEastAsia"/>
          <w:color w:val="auto"/>
          <w:sz w:val="24"/>
          <w:szCs w:val="24"/>
          <w:highlight w:val="none"/>
        </w:rPr>
        <w:t>；甲</w:t>
      </w:r>
      <w:r>
        <w:rPr>
          <w:rFonts w:cs="Times New Roman" w:asciiTheme="minorEastAsia" w:hAnsiTheme="minorEastAsia" w:eastAsiaTheme="minorEastAsia"/>
          <w:color w:val="auto"/>
          <w:sz w:val="24"/>
          <w:szCs w:val="24"/>
          <w:highlight w:val="none"/>
        </w:rPr>
        <w:t>方收到乙方通知后，认为其理由正当的，可以书面形式酌情同意乙方可以延长</w:t>
      </w:r>
      <w:r>
        <w:rPr>
          <w:rFonts w:hint="eastAsia" w:cs="Times New Roman" w:asciiTheme="minorEastAsia" w:hAnsiTheme="minorEastAsia" w:eastAsiaTheme="minorEastAsia"/>
          <w:color w:val="auto"/>
          <w:sz w:val="24"/>
          <w:szCs w:val="24"/>
          <w:highlight w:val="none"/>
        </w:rPr>
        <w:t>履行</w:t>
      </w:r>
      <w:r>
        <w:rPr>
          <w:rFonts w:cs="Times New Roman" w:asciiTheme="minorEastAsia" w:hAnsiTheme="minorEastAsia" w:eastAsiaTheme="minorEastAsia"/>
          <w:color w:val="auto"/>
          <w:sz w:val="24"/>
          <w:szCs w:val="24"/>
          <w:highlight w:val="none"/>
        </w:rPr>
        <w:t>的具体时间。</w:t>
      </w:r>
    </w:p>
    <w:p w14:paraId="2E4FB834">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32" w:name="_Toc7502"/>
      <w:bookmarkStart w:id="533" w:name="_Ref467378121"/>
      <w:bookmarkStart w:id="534" w:name="_Toc487900364"/>
      <w:bookmarkStart w:id="535" w:name="_Toc259093683"/>
      <w:bookmarkStart w:id="536" w:name="_Toc279701254"/>
      <w:r>
        <w:rPr>
          <w:rFonts w:cs="Times New Roman" w:asciiTheme="minorEastAsia" w:hAnsiTheme="minorEastAsia" w:eastAsiaTheme="minorEastAsia"/>
          <w:b/>
          <w:bCs/>
          <w:color w:val="auto"/>
          <w:sz w:val="24"/>
          <w:szCs w:val="24"/>
          <w:highlight w:val="none"/>
          <w:lang w:val="zh-CN"/>
        </w:rPr>
        <w:t>2.9 合同变更</w:t>
      </w:r>
      <w:bookmarkEnd w:id="532"/>
    </w:p>
    <w:p w14:paraId="55E677F0">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9</w:t>
      </w:r>
      <w:r>
        <w:rPr>
          <w:rFonts w:hint="eastAsia" w:cs="Times New Roman" w:asciiTheme="minorEastAsia" w:hAnsiTheme="minorEastAsia" w:eastAsiaTheme="minorEastAsia"/>
          <w:color w:val="auto"/>
          <w:sz w:val="24"/>
          <w:szCs w:val="24"/>
          <w:highlight w:val="none"/>
        </w:rPr>
        <w:t>.1双方当事人协商一致，可以签订书面补充合同的形式变更合同，但不得违背采购文件确定的事项；</w:t>
      </w:r>
    </w:p>
    <w:p w14:paraId="10975ABA">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9</w:t>
      </w:r>
      <w:r>
        <w:rPr>
          <w:rFonts w:hint="eastAsia" w:cs="Times New Roman" w:asciiTheme="minorEastAsia" w:hAnsiTheme="minorEastAsia" w:eastAsiaTheme="minorEastAsia"/>
          <w:color w:val="auto"/>
          <w:sz w:val="24"/>
          <w:szCs w:val="24"/>
          <w:highlight w:val="none"/>
        </w:rPr>
        <w:t>.2合同继续履行将损害国家利益和社会公共利益的，双方当事人应当以书面形式变更合同。有过错的一方应当承担赔偿责任，双方当事人都有过错的，各自承担相应的责任。</w:t>
      </w:r>
      <w:bookmarkStart w:id="537" w:name="_Toc259093688"/>
      <w:bookmarkStart w:id="538" w:name="_Toc279701259"/>
      <w:bookmarkStart w:id="539" w:name="_Toc487900369"/>
    </w:p>
    <w:p w14:paraId="10BD639E">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40" w:name="_Toc15237"/>
      <w:bookmarkStart w:id="541" w:name="_Toc22955"/>
      <w:bookmarkStart w:id="542" w:name="_Toc10366"/>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0</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合同转让</w:t>
      </w:r>
      <w:bookmarkEnd w:id="537"/>
      <w:bookmarkEnd w:id="538"/>
      <w:bookmarkEnd w:id="539"/>
      <w:r>
        <w:rPr>
          <w:rFonts w:cs="Times New Roman" w:asciiTheme="minorEastAsia" w:hAnsiTheme="minorEastAsia" w:eastAsiaTheme="minorEastAsia"/>
          <w:b/>
          <w:bCs/>
          <w:color w:val="auto"/>
          <w:sz w:val="24"/>
          <w:szCs w:val="24"/>
          <w:highlight w:val="none"/>
          <w:lang w:val="zh-CN"/>
        </w:rPr>
        <w:t>和分包</w:t>
      </w:r>
      <w:bookmarkEnd w:id="540"/>
      <w:bookmarkEnd w:id="541"/>
      <w:bookmarkEnd w:id="542"/>
    </w:p>
    <w:p w14:paraId="633014DF">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合同的权利义务依法不</w:t>
      </w:r>
      <w:r>
        <w:rPr>
          <w:rFonts w:hint="eastAsia" w:cs="Times New Roman" w:asciiTheme="minorEastAsia" w:hAnsiTheme="minorEastAsia" w:eastAsiaTheme="minorEastAsia"/>
          <w:color w:val="auto"/>
          <w:sz w:val="24"/>
          <w:szCs w:val="24"/>
          <w:highlight w:val="none"/>
        </w:rPr>
        <w:t>得</w:t>
      </w:r>
      <w:r>
        <w:rPr>
          <w:rFonts w:cs="Times New Roman" w:asciiTheme="minorEastAsia" w:hAnsiTheme="minorEastAsia" w:eastAsiaTheme="minorEastAsia"/>
          <w:color w:val="auto"/>
          <w:sz w:val="24"/>
          <w:szCs w:val="24"/>
          <w:highlight w:val="none"/>
        </w:rPr>
        <w:t>转让</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但经甲方</w:t>
      </w:r>
      <w:r>
        <w:rPr>
          <w:rFonts w:hint="eastAsia" w:cs="Times New Roman" w:asciiTheme="minorEastAsia" w:hAnsiTheme="minorEastAsia" w:eastAsiaTheme="minorEastAsia"/>
          <w:color w:val="auto"/>
          <w:sz w:val="24"/>
          <w:szCs w:val="24"/>
          <w:highlight w:val="none"/>
        </w:rPr>
        <w:t>同意，乙方可以依法采取分包方式履行合同，即：依法可以</w:t>
      </w:r>
      <w:r>
        <w:rPr>
          <w:rFonts w:cs="Times New Roman" w:asciiTheme="minorEastAsia" w:hAnsiTheme="minorEastAsia" w:eastAsiaTheme="minorEastAsia"/>
          <w:color w:val="auto"/>
          <w:sz w:val="24"/>
          <w:szCs w:val="24"/>
          <w:highlight w:val="none"/>
        </w:rPr>
        <w:t>将合同项下的部分非主体、非关键性工作分包给他人完成</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接受分包的人应当具备相应的资格条件，并不得再次分包</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且乙方应就分包项目向甲方负责</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并</w:t>
      </w:r>
      <w:r>
        <w:rPr>
          <w:rFonts w:hint="eastAsia" w:cs="Times New Roman" w:asciiTheme="minorEastAsia" w:hAnsiTheme="minorEastAsia" w:eastAsiaTheme="minorEastAsia"/>
          <w:color w:val="auto"/>
          <w:sz w:val="24"/>
          <w:szCs w:val="24"/>
          <w:highlight w:val="none"/>
        </w:rPr>
        <w:t>与分包供应商就分包项目向甲方承担连带责任。</w:t>
      </w:r>
    </w:p>
    <w:p w14:paraId="6F8CF608">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43" w:name="_Toc14066"/>
      <w:bookmarkStart w:id="544" w:name="_Toc13566"/>
      <w:bookmarkStart w:id="545" w:name="_Toc16508"/>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1 不可抗力</w:t>
      </w:r>
      <w:bookmarkEnd w:id="543"/>
      <w:bookmarkEnd w:id="544"/>
      <w:bookmarkEnd w:id="545"/>
    </w:p>
    <w:p w14:paraId="783DB60F">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1.1如果任何一方遭遇法律规定的不可抗力，致使合同履行受阻时，履行合同的期限应予延长，延长的期限应相当于不可抗力所影响的时间</w:t>
      </w:r>
      <w:r>
        <w:rPr>
          <w:rFonts w:hint="eastAsia" w:cs="Times New Roman" w:asciiTheme="minorEastAsia" w:hAnsiTheme="minorEastAsia" w:eastAsiaTheme="minorEastAsia"/>
          <w:color w:val="auto"/>
          <w:sz w:val="24"/>
          <w:szCs w:val="24"/>
          <w:highlight w:val="none"/>
        </w:rPr>
        <w:t>；</w:t>
      </w:r>
    </w:p>
    <w:p w14:paraId="415244DC">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.2因不可抗力致使不能实现合同目的的，当事人可以解除合同；</w:t>
      </w:r>
    </w:p>
    <w:p w14:paraId="0F17587C">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.3因</w:t>
      </w:r>
      <w:r>
        <w:rPr>
          <w:rFonts w:cs="Times New Roman" w:asciiTheme="minorEastAsia" w:hAnsiTheme="minorEastAsia" w:eastAsiaTheme="minorEastAsia"/>
          <w:color w:val="auto"/>
          <w:sz w:val="24"/>
          <w:szCs w:val="24"/>
          <w:highlight w:val="none"/>
        </w:rPr>
        <w:t>不可抗力致使合同有变更必要的，双方当事人应在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约定时间内以书面形式变更合同</w:t>
      </w:r>
      <w:r>
        <w:rPr>
          <w:rFonts w:hint="eastAsia" w:cs="Times New Roman" w:asciiTheme="minorEastAsia" w:hAnsiTheme="minorEastAsia" w:eastAsiaTheme="minorEastAsia"/>
          <w:color w:val="auto"/>
          <w:sz w:val="24"/>
          <w:szCs w:val="24"/>
          <w:highlight w:val="none"/>
        </w:rPr>
        <w:t>；</w:t>
      </w:r>
    </w:p>
    <w:p w14:paraId="5C39F8E2">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4</w:t>
      </w:r>
      <w:r>
        <w:rPr>
          <w:rFonts w:cs="Times New Roman" w:asciiTheme="minorEastAsia" w:hAnsiTheme="minorEastAsia" w:eastAsiaTheme="minorEastAsia"/>
          <w:color w:val="auto"/>
          <w:sz w:val="24"/>
          <w:szCs w:val="24"/>
          <w:highlight w:val="none"/>
        </w:rPr>
        <w:t>受</w:t>
      </w:r>
      <w:r>
        <w:rPr>
          <w:rFonts w:hint="eastAsia" w:cs="Times New Roman" w:asciiTheme="minorEastAsia" w:hAnsiTheme="minorEastAsia" w:eastAsiaTheme="minorEastAsia"/>
          <w:color w:val="auto"/>
          <w:sz w:val="24"/>
          <w:szCs w:val="24"/>
          <w:highlight w:val="none"/>
        </w:rPr>
        <w:t>不可抗力</w:t>
      </w:r>
      <w:r>
        <w:rPr>
          <w:rFonts w:cs="Times New Roman" w:asciiTheme="minorEastAsia" w:hAnsiTheme="minorEastAsia" w:eastAsiaTheme="minorEastAsia"/>
          <w:color w:val="auto"/>
          <w:sz w:val="24"/>
          <w:szCs w:val="24"/>
          <w:highlight w:val="none"/>
        </w:rPr>
        <w:t>影响的一方在不可抗力发生后</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应在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约定时间内以书面形式通知</w:t>
      </w:r>
      <w:r>
        <w:rPr>
          <w:rFonts w:hint="eastAsia" w:cs="Times New Roman" w:asciiTheme="minorEastAsia" w:hAnsiTheme="minorEastAsia" w:eastAsiaTheme="minorEastAsia"/>
          <w:color w:val="auto"/>
          <w:sz w:val="24"/>
          <w:szCs w:val="24"/>
          <w:highlight w:val="none"/>
        </w:rPr>
        <w:t>对</w:t>
      </w:r>
      <w:r>
        <w:rPr>
          <w:rFonts w:cs="Times New Roman" w:asciiTheme="minorEastAsia" w:hAnsiTheme="minorEastAsia" w:eastAsiaTheme="minorEastAsia"/>
          <w:color w:val="auto"/>
          <w:sz w:val="24"/>
          <w:szCs w:val="24"/>
          <w:highlight w:val="none"/>
        </w:rPr>
        <w:t>方当事人，并在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约定时间内，将有关部门出具的证明文件送达</w:t>
      </w:r>
      <w:r>
        <w:rPr>
          <w:rFonts w:hint="eastAsia" w:cs="Times New Roman" w:asciiTheme="minorEastAsia" w:hAnsiTheme="minorEastAsia" w:eastAsiaTheme="minorEastAsia"/>
          <w:color w:val="auto"/>
          <w:sz w:val="24"/>
          <w:szCs w:val="24"/>
          <w:highlight w:val="none"/>
        </w:rPr>
        <w:t>对方当事人</w:t>
      </w:r>
      <w:r>
        <w:rPr>
          <w:rFonts w:cs="Times New Roman" w:asciiTheme="minorEastAsia" w:hAnsiTheme="minorEastAsia" w:eastAsiaTheme="minorEastAsia"/>
          <w:color w:val="auto"/>
          <w:sz w:val="24"/>
          <w:szCs w:val="24"/>
          <w:highlight w:val="none"/>
        </w:rPr>
        <w:t>。</w:t>
      </w:r>
    </w:p>
    <w:p w14:paraId="5344AF97">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46" w:name="_Toc30676"/>
      <w:bookmarkStart w:id="547" w:name="_Toc689"/>
      <w:bookmarkStart w:id="548" w:name="_Toc279701255"/>
      <w:bookmarkStart w:id="549" w:name="_Toc487900365"/>
      <w:bookmarkStart w:id="550" w:name="_Toc6969"/>
      <w:bookmarkStart w:id="551" w:name="_Toc259093684"/>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12</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税费</w:t>
      </w:r>
      <w:bookmarkEnd w:id="546"/>
      <w:bookmarkEnd w:id="547"/>
      <w:bookmarkEnd w:id="548"/>
      <w:bookmarkEnd w:id="549"/>
      <w:bookmarkEnd w:id="550"/>
      <w:bookmarkEnd w:id="551"/>
    </w:p>
    <w:p w14:paraId="5F56C13D">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与合同有关的一切税费</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均按照中华人民共和国法律的相关规定</w:t>
      </w:r>
      <w:r>
        <w:rPr>
          <w:rFonts w:hint="eastAsia" w:cs="Times New Roman" w:asciiTheme="minorEastAsia" w:hAnsiTheme="minorEastAsia" w:eastAsiaTheme="minorEastAsia"/>
          <w:color w:val="auto"/>
          <w:sz w:val="24"/>
          <w:szCs w:val="24"/>
          <w:highlight w:val="none"/>
        </w:rPr>
        <w:t>缴纳</w:t>
      </w:r>
      <w:r>
        <w:rPr>
          <w:rFonts w:cs="Times New Roman" w:asciiTheme="minorEastAsia" w:hAnsiTheme="minorEastAsia" w:eastAsiaTheme="minorEastAsia"/>
          <w:color w:val="auto"/>
          <w:sz w:val="24"/>
          <w:szCs w:val="24"/>
          <w:highlight w:val="none"/>
        </w:rPr>
        <w:t>。</w:t>
      </w:r>
    </w:p>
    <w:p w14:paraId="6E11D587">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52" w:name="_Toc487900368"/>
      <w:bookmarkStart w:id="553" w:name="_Toc7102"/>
      <w:bookmarkStart w:id="554" w:name="_Toc279701258"/>
      <w:bookmarkStart w:id="555" w:name="_Toc259093687"/>
      <w:bookmarkStart w:id="556" w:name="_Toc8298"/>
      <w:bookmarkStart w:id="557" w:name="_Toc1695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13</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乙方破产</w:t>
      </w:r>
      <w:bookmarkEnd w:id="552"/>
      <w:bookmarkEnd w:id="553"/>
      <w:bookmarkEnd w:id="554"/>
      <w:bookmarkEnd w:id="555"/>
      <w:bookmarkEnd w:id="556"/>
      <w:bookmarkEnd w:id="557"/>
    </w:p>
    <w:p w14:paraId="30FFB4C8">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如果乙方破产导致合同无法履行时，甲方可以书面形式通知乙方终止合同且不给予乙方任何补偿和赔偿</w:t>
      </w:r>
      <w:r>
        <w:rPr>
          <w:rFonts w:hint="eastAsia" w:cs="Times New Roman" w:asciiTheme="minorEastAsia" w:hAnsiTheme="minorEastAsia" w:eastAsiaTheme="minorEastAsia"/>
          <w:color w:val="auto"/>
          <w:sz w:val="24"/>
          <w:szCs w:val="24"/>
          <w:highlight w:val="none"/>
        </w:rPr>
        <w:t>，但合同的</w:t>
      </w:r>
      <w:r>
        <w:rPr>
          <w:rFonts w:cs="Times New Roman" w:asciiTheme="minorEastAsia" w:hAnsiTheme="minorEastAsia" w:eastAsiaTheme="minorEastAsia"/>
          <w:color w:val="auto"/>
          <w:sz w:val="24"/>
          <w:szCs w:val="24"/>
          <w:highlight w:val="none"/>
        </w:rPr>
        <w:t>终止不损害或不影响甲方已经采取或将要采取的任何要求乙方支付违约金</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赔偿损失等的行动或补救措施的权利</w:t>
      </w:r>
      <w:r>
        <w:rPr>
          <w:rFonts w:hint="eastAsia" w:cs="Times New Roman" w:asciiTheme="minorEastAsia" w:hAnsiTheme="minorEastAsia" w:eastAsiaTheme="minorEastAsia"/>
          <w:color w:val="auto"/>
          <w:sz w:val="24"/>
          <w:szCs w:val="24"/>
          <w:highlight w:val="none"/>
        </w:rPr>
        <w:t>。</w:t>
      </w:r>
    </w:p>
    <w:p w14:paraId="29BEA9C9">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color w:val="auto"/>
          <w:sz w:val="24"/>
          <w:szCs w:val="24"/>
          <w:highlight w:val="none"/>
        </w:rPr>
      </w:pPr>
      <w:bookmarkStart w:id="558" w:name="_Toc29333"/>
      <w:bookmarkStart w:id="559" w:name="_Toc15387"/>
      <w:bookmarkStart w:id="560" w:name="_Toc6134"/>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4</w:t>
      </w:r>
      <w:r>
        <w:rPr>
          <w:rFonts w:hint="eastAsia" w:cs="Times New Roman" w:asciiTheme="minorEastAsia" w:hAnsiTheme="minorEastAsia" w:eastAsiaTheme="minorEastAsia"/>
          <w:b/>
          <w:bCs/>
          <w:color w:val="auto"/>
          <w:sz w:val="24"/>
          <w:szCs w:val="24"/>
          <w:highlight w:val="none"/>
          <w:lang w:val="zh-CN"/>
        </w:rPr>
        <w:t xml:space="preserve"> 合同中止、终止</w:t>
      </w:r>
      <w:bookmarkEnd w:id="558"/>
      <w:bookmarkEnd w:id="559"/>
      <w:bookmarkEnd w:id="560"/>
    </w:p>
    <w:p w14:paraId="2269130F">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.1双方当事人不得擅自中止或者终止合同；</w:t>
      </w:r>
    </w:p>
    <w:p w14:paraId="616E296B">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.2合同继续履行将损害国家利益和社会公共利益的，双方当事人应当中止或者终止合同。有过错的一方应当承担赔偿责任，双方当事人都有过错的，各自承担相应的责任。</w:t>
      </w:r>
    </w:p>
    <w:p w14:paraId="1F13A1F5">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lang w:val="zh-CN"/>
        </w:rPr>
      </w:pPr>
      <w:bookmarkStart w:id="561" w:name="_Toc6596"/>
      <w:bookmarkStart w:id="562" w:name="_Toc1125"/>
      <w:bookmarkStart w:id="563" w:name="_Toc14563"/>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5</w:t>
      </w:r>
      <w:r>
        <w:rPr>
          <w:rFonts w:hint="eastAsia" w:cs="Times New Roman" w:asciiTheme="minorEastAsia" w:hAnsiTheme="minorEastAsia" w:eastAsiaTheme="minorEastAsia"/>
          <w:b/>
          <w:bCs/>
          <w:color w:val="auto"/>
          <w:sz w:val="24"/>
          <w:szCs w:val="24"/>
          <w:highlight w:val="none"/>
          <w:lang w:val="zh-CN"/>
        </w:rPr>
        <w:t xml:space="preserve"> 检验和验收</w:t>
      </w:r>
      <w:bookmarkEnd w:id="561"/>
      <w:bookmarkEnd w:id="562"/>
      <w:bookmarkEnd w:id="563"/>
    </w:p>
    <w:p w14:paraId="58C3FB59">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5</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rPr>
        <w:t>1乙方按照</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的约定</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定期提交服务报告</w:t>
      </w:r>
      <w:r>
        <w:rPr>
          <w:rFonts w:hint="eastAsia" w:cs="Times New Roman" w:asciiTheme="minorEastAsia" w:hAnsiTheme="minorEastAsia" w:eastAsiaTheme="minorEastAsia"/>
          <w:color w:val="auto"/>
          <w:sz w:val="24"/>
          <w:szCs w:val="24"/>
          <w:highlight w:val="none"/>
        </w:rPr>
        <w:t>，甲方按照</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的约定进行定期验收</w:t>
      </w:r>
      <w:r>
        <w:rPr>
          <w:rFonts w:hint="eastAsia" w:cs="Times New Roman" w:asciiTheme="minorEastAsia" w:hAnsiTheme="minorEastAsia" w:eastAsiaTheme="minorEastAsia"/>
          <w:color w:val="auto"/>
          <w:sz w:val="24"/>
          <w:szCs w:val="24"/>
          <w:highlight w:val="none"/>
        </w:rPr>
        <w:t>；</w:t>
      </w:r>
    </w:p>
    <w:p w14:paraId="45A2DD5E">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F16B08">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2.15.3检验和验收标准、程序等具体内容以及前述验收书的效力详见</w:t>
      </w:r>
      <w:r>
        <w:rPr>
          <w:rFonts w:cs="Times New Roman" w:asciiTheme="minorEastAsia" w:hAnsiTheme="minorEastAsia" w:eastAsiaTheme="minorEastAsia"/>
          <w:b/>
          <w:i/>
          <w:color w:val="auto"/>
          <w:sz w:val="24"/>
          <w:szCs w:val="24"/>
          <w:highlight w:val="none"/>
          <w:u w:val="single"/>
        </w:rPr>
        <w:t>合同专用条款</w:t>
      </w:r>
      <w:r>
        <w:rPr>
          <w:rFonts w:hint="eastAsia" w:cs="Times New Roman" w:asciiTheme="minorEastAsia" w:hAnsiTheme="minorEastAsia" w:eastAsiaTheme="minorEastAsia"/>
          <w:i/>
          <w:color w:val="auto"/>
          <w:sz w:val="24"/>
          <w:szCs w:val="24"/>
          <w:highlight w:val="none"/>
        </w:rPr>
        <w:t>。</w:t>
      </w:r>
    </w:p>
    <w:bookmarkEnd w:id="533"/>
    <w:bookmarkEnd w:id="534"/>
    <w:bookmarkEnd w:id="535"/>
    <w:bookmarkEnd w:id="536"/>
    <w:p w14:paraId="7C8D0DB1">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bCs/>
          <w:color w:val="auto"/>
          <w:sz w:val="24"/>
          <w:szCs w:val="24"/>
          <w:highlight w:val="none"/>
        </w:rPr>
      </w:pPr>
      <w:bookmarkStart w:id="564" w:name="_Toc10330"/>
      <w:bookmarkStart w:id="565" w:name="_Toc18567"/>
      <w:bookmarkStart w:id="566" w:name="_Toc279701263"/>
      <w:bookmarkStart w:id="567" w:name="_Toc259093692"/>
      <w:bookmarkStart w:id="568" w:name="_Toc487900373"/>
      <w:bookmarkStart w:id="569" w:name="_Toc12773"/>
      <w:r>
        <w:rPr>
          <w:rFonts w:hint="eastAsia" w:cs="Times New Roman" w:asciiTheme="minorEastAsia" w:hAnsiTheme="minorEastAsia" w:eastAsiaTheme="minorEastAsia"/>
          <w:b/>
          <w:bCs/>
          <w:color w:val="auto"/>
          <w:sz w:val="24"/>
          <w:szCs w:val="24"/>
          <w:highlight w:val="none"/>
        </w:rPr>
        <w:t>2.</w:t>
      </w:r>
      <w:r>
        <w:rPr>
          <w:rFonts w:cs="Times New Roman" w:asciiTheme="minorEastAsia" w:hAnsiTheme="minorEastAsia" w:eastAsiaTheme="minorEastAsia"/>
          <w:b/>
          <w:bCs/>
          <w:color w:val="auto"/>
          <w:sz w:val="24"/>
          <w:szCs w:val="24"/>
          <w:highlight w:val="none"/>
        </w:rPr>
        <w:t>16</w:t>
      </w:r>
      <w:r>
        <w:rPr>
          <w:rFonts w:hint="eastAsia" w:cs="Times New Roman" w:asciiTheme="minorEastAsia" w:hAnsiTheme="minorEastAsia" w:eastAsiaTheme="minorEastAsia"/>
          <w:b/>
          <w:bCs/>
          <w:color w:val="auto"/>
          <w:sz w:val="24"/>
          <w:szCs w:val="24"/>
          <w:highlight w:val="none"/>
        </w:rPr>
        <w:t xml:space="preserve"> </w:t>
      </w:r>
      <w:r>
        <w:rPr>
          <w:rFonts w:hint="eastAsia" w:cs="Times New Roman" w:asciiTheme="minorEastAsia" w:hAnsiTheme="minorEastAsia" w:eastAsiaTheme="minorEastAsia"/>
          <w:b/>
          <w:bCs/>
          <w:color w:val="auto"/>
          <w:sz w:val="24"/>
          <w:szCs w:val="24"/>
          <w:highlight w:val="none"/>
          <w:lang w:val="zh-CN"/>
        </w:rPr>
        <w:t>合同使用的文字和</w:t>
      </w:r>
      <w:r>
        <w:rPr>
          <w:rFonts w:cs="Times New Roman" w:asciiTheme="minorEastAsia" w:hAnsiTheme="minorEastAsia" w:eastAsiaTheme="minorEastAsia"/>
          <w:b/>
          <w:bCs/>
          <w:color w:val="auto"/>
          <w:sz w:val="24"/>
          <w:szCs w:val="24"/>
          <w:highlight w:val="none"/>
          <w:lang w:val="zh-CN"/>
        </w:rPr>
        <w:t>适用的法律</w:t>
      </w:r>
      <w:bookmarkEnd w:id="564"/>
      <w:bookmarkEnd w:id="565"/>
      <w:bookmarkEnd w:id="566"/>
      <w:bookmarkEnd w:id="567"/>
      <w:bookmarkEnd w:id="568"/>
      <w:bookmarkEnd w:id="569"/>
    </w:p>
    <w:p w14:paraId="3B39E43C">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16.1合同使用汉语书就</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变更和解释</w:t>
      </w:r>
      <w:r>
        <w:rPr>
          <w:rFonts w:hint="eastAsia" w:cs="Times New Roman" w:asciiTheme="minorEastAsia" w:hAnsiTheme="minorEastAsia" w:eastAsiaTheme="minorEastAsia"/>
          <w:color w:val="auto"/>
          <w:sz w:val="24"/>
          <w:szCs w:val="24"/>
          <w:highlight w:val="none"/>
        </w:rPr>
        <w:t>；</w:t>
      </w:r>
    </w:p>
    <w:p w14:paraId="0D9A0691">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16</w:t>
      </w:r>
      <w:r>
        <w:rPr>
          <w:rFonts w:hint="eastAsia" w:cs="Times New Roman" w:asciiTheme="minorEastAsia" w:hAnsiTheme="minorEastAsia" w:eastAsiaTheme="minorEastAsia"/>
          <w:color w:val="auto"/>
          <w:sz w:val="24"/>
          <w:szCs w:val="24"/>
          <w:highlight w:val="none"/>
        </w:rPr>
        <w:t>.2合同适用</w:t>
      </w:r>
      <w:r>
        <w:rPr>
          <w:rFonts w:cs="Times New Roman" w:asciiTheme="minorEastAsia" w:hAnsiTheme="minorEastAsia" w:eastAsiaTheme="minorEastAsia"/>
          <w:color w:val="auto"/>
          <w:sz w:val="24"/>
          <w:szCs w:val="24"/>
          <w:highlight w:val="none"/>
        </w:rPr>
        <w:t>中华人民共和国法律。</w:t>
      </w:r>
    </w:p>
    <w:p w14:paraId="5A6DCF5E">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color w:val="auto"/>
          <w:sz w:val="24"/>
          <w:szCs w:val="24"/>
          <w:highlight w:val="none"/>
        </w:rPr>
      </w:pPr>
      <w:bookmarkStart w:id="570" w:name="_Toc3148"/>
      <w:bookmarkStart w:id="571" w:name="_Toc259093693"/>
      <w:bookmarkStart w:id="572" w:name="_Toc279701264"/>
      <w:bookmarkStart w:id="573" w:name="_Toc12004"/>
      <w:bookmarkStart w:id="574" w:name="_Toc16673"/>
      <w:bookmarkStart w:id="575" w:name="_Toc487900374"/>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17</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履约保证金</w:t>
      </w:r>
      <w:bookmarkEnd w:id="570"/>
      <w:bookmarkEnd w:id="571"/>
      <w:bookmarkEnd w:id="572"/>
      <w:bookmarkEnd w:id="573"/>
      <w:bookmarkEnd w:id="574"/>
    </w:p>
    <w:p w14:paraId="7E6E9F85">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w:t>
      </w:r>
      <w:r>
        <w:rPr>
          <w:rFonts w:hint="eastAsia" w:cs="Times New Roman" w:asciiTheme="minorEastAsia" w:hAnsiTheme="minorEastAsia" w:eastAsiaTheme="minorEastAsia"/>
          <w:color w:val="auto"/>
          <w:sz w:val="24"/>
          <w:szCs w:val="24"/>
          <w:highlight w:val="none"/>
        </w:rPr>
        <w:t>.1采购文件要求乙方提交履约保证金的，乙方</w:t>
      </w:r>
      <w:r>
        <w:rPr>
          <w:rFonts w:cs="Times New Roman" w:asciiTheme="minorEastAsia" w:hAnsiTheme="minorEastAsia" w:eastAsiaTheme="minorEastAsia"/>
          <w:color w:val="auto"/>
          <w:sz w:val="24"/>
          <w:szCs w:val="24"/>
          <w:highlight w:val="none"/>
        </w:rPr>
        <w:t>应按</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约定的方式</w:t>
      </w:r>
      <w:r>
        <w:rPr>
          <w:rFonts w:hint="eastAsia" w:cs="Times New Roman" w:asciiTheme="minorEastAsia" w:hAnsiTheme="minorEastAsia" w:eastAsiaTheme="minorEastAsia"/>
          <w:color w:val="auto"/>
          <w:sz w:val="24"/>
          <w:szCs w:val="24"/>
          <w:highlight w:val="none"/>
        </w:rPr>
        <w:t>，以支票、汇票、本票或者金融机构、担保机构出具的保函等非现金形式提交；</w:t>
      </w:r>
    </w:p>
    <w:p w14:paraId="5BB07C7C">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17.2履约保证金在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约定期间内不予退还或者应完全有效</w:t>
      </w:r>
      <w:r>
        <w:rPr>
          <w:rFonts w:hint="eastAsia" w:cs="Times New Roman" w:asciiTheme="minorEastAsia" w:hAnsiTheme="minorEastAsia" w:eastAsiaTheme="minorEastAsia"/>
          <w:color w:val="auto"/>
          <w:sz w:val="24"/>
          <w:szCs w:val="24"/>
          <w:highlight w:val="none"/>
        </w:rPr>
        <w:t>，前述约定期间届满</w:t>
      </w:r>
      <w:r>
        <w:rPr>
          <w:rFonts w:cs="Times New Roman" w:asciiTheme="minorEastAsia" w:hAnsiTheme="minorEastAsia" w:eastAsiaTheme="minorEastAsia"/>
          <w:color w:val="auto"/>
          <w:sz w:val="24"/>
          <w:szCs w:val="24"/>
          <w:highlight w:val="none"/>
        </w:rPr>
        <w:t>之日起</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个</w:t>
      </w:r>
      <w:r>
        <w:rPr>
          <w:rFonts w:cs="Times New Roman" w:asciiTheme="minorEastAsia" w:hAnsiTheme="minorEastAsia" w:eastAsiaTheme="minorEastAsia"/>
          <w:color w:val="auto"/>
          <w:sz w:val="24"/>
          <w:szCs w:val="24"/>
          <w:highlight w:val="none"/>
        </w:rPr>
        <w:t>工作日内，甲方应将履约保证金退还乙方</w:t>
      </w:r>
      <w:r>
        <w:rPr>
          <w:rFonts w:hint="eastAsia" w:cs="Times New Roman" w:asciiTheme="minorEastAsia" w:hAnsiTheme="minorEastAsia" w:eastAsiaTheme="minorEastAsia"/>
          <w:color w:val="auto"/>
          <w:sz w:val="24"/>
          <w:szCs w:val="24"/>
          <w:highlight w:val="none"/>
        </w:rPr>
        <w:t>，甲方逾期退还履约保证金应承担违约责任。</w:t>
      </w:r>
    </w:p>
    <w:p w14:paraId="1790AF02">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w:t>
      </w:r>
      <w:r>
        <w:rPr>
          <w:rFonts w:hint="eastAsia" w:cs="Times New Roman" w:asciiTheme="minorEastAsia" w:hAnsiTheme="minorEastAsia" w:eastAsiaTheme="minorEastAsia"/>
          <w:color w:val="auto"/>
          <w:sz w:val="24"/>
          <w:szCs w:val="24"/>
          <w:highlight w:val="none"/>
        </w:rPr>
        <w:t>.3</w:t>
      </w:r>
      <w:r>
        <w:rPr>
          <w:rFonts w:cs="Times New Roman" w:asciiTheme="minorEastAsia" w:hAnsiTheme="minorEastAsia" w:eastAsiaTheme="minorEastAsia"/>
          <w:color w:val="auto"/>
          <w:sz w:val="24"/>
          <w:szCs w:val="24"/>
          <w:highlight w:val="none"/>
        </w:rPr>
        <w:t>如果乙方不履行合同</w:t>
      </w:r>
      <w:r>
        <w:rPr>
          <w:rFonts w:hint="eastAsia" w:cs="Times New Roman" w:asciiTheme="minorEastAsia" w:hAnsiTheme="minorEastAsia" w:eastAsiaTheme="minorEastAsia"/>
          <w:color w:val="auto"/>
          <w:sz w:val="24"/>
          <w:szCs w:val="24"/>
          <w:highlight w:val="none"/>
        </w:rPr>
        <w:t>，履约保证金不予退还；如果乙方</w:t>
      </w:r>
      <w:r>
        <w:rPr>
          <w:rFonts w:cs="Times New Roman" w:asciiTheme="minorEastAsia" w:hAnsiTheme="minorEastAsia" w:eastAsiaTheme="minorEastAsia"/>
          <w:color w:val="auto"/>
          <w:sz w:val="24"/>
          <w:szCs w:val="24"/>
          <w:highlight w:val="none"/>
        </w:rPr>
        <w:t>未能按合同</w:t>
      </w:r>
      <w:r>
        <w:rPr>
          <w:rFonts w:hint="eastAsia" w:cs="Times New Roman" w:asciiTheme="minorEastAsia" w:hAnsiTheme="minorEastAsia" w:eastAsiaTheme="minorEastAsia"/>
          <w:color w:val="auto"/>
          <w:sz w:val="24"/>
          <w:szCs w:val="24"/>
          <w:highlight w:val="none"/>
        </w:rPr>
        <w:t>约</w:t>
      </w:r>
      <w:r>
        <w:rPr>
          <w:rFonts w:cs="Times New Roman" w:asciiTheme="minorEastAsia" w:hAnsiTheme="minorEastAsia" w:eastAsiaTheme="minorEastAsia"/>
          <w:color w:val="auto"/>
          <w:sz w:val="24"/>
          <w:szCs w:val="24"/>
          <w:highlight w:val="none"/>
        </w:rPr>
        <w:t>定全面履行义务，那么甲方有权从履约保证金中取得补偿或赔偿</w:t>
      </w:r>
      <w:r>
        <w:rPr>
          <w:rFonts w:hint="eastAsia" w:cs="Times New Roman" w:asciiTheme="minorEastAsia" w:hAnsiTheme="minorEastAsia" w:eastAsiaTheme="minorEastAsia"/>
          <w:color w:val="auto"/>
          <w:sz w:val="24"/>
          <w:szCs w:val="24"/>
          <w:highlight w:val="none"/>
        </w:rPr>
        <w:t>，同时不影响甲方要求乙方承担合同约定的超过履约保证金的违约责任的权利。</w:t>
      </w:r>
    </w:p>
    <w:bookmarkEnd w:id="575"/>
    <w:p w14:paraId="59E5834E">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outlineLvl w:val="2"/>
        <w:rPr>
          <w:rFonts w:hint="eastAsia" w:cs="Times New Roman" w:asciiTheme="minorEastAsia" w:hAnsiTheme="minorEastAsia" w:eastAsiaTheme="minorEastAsia"/>
          <w:b/>
          <w:color w:val="auto"/>
          <w:sz w:val="24"/>
          <w:szCs w:val="24"/>
          <w:highlight w:val="none"/>
        </w:rPr>
      </w:pPr>
      <w:bookmarkStart w:id="576" w:name="_Toc14001"/>
      <w:bookmarkStart w:id="577" w:name="_Toc19890"/>
      <w:bookmarkStart w:id="578" w:name="_Toc6885"/>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18</w:t>
      </w:r>
      <w:r>
        <w:rPr>
          <w:rFonts w:hint="eastAsia" w:cs="Times New Roman" w:asciiTheme="minorEastAsia" w:hAnsiTheme="minorEastAsia" w:eastAsiaTheme="minorEastAsia"/>
          <w:b/>
          <w:bCs/>
          <w:color w:val="auto"/>
          <w:sz w:val="24"/>
          <w:szCs w:val="24"/>
          <w:highlight w:val="none"/>
          <w:lang w:val="zh-CN"/>
        </w:rPr>
        <w:t xml:space="preserve"> 合同份数</w:t>
      </w:r>
      <w:bookmarkEnd w:id="576"/>
      <w:bookmarkEnd w:id="577"/>
      <w:bookmarkEnd w:id="578"/>
    </w:p>
    <w:p w14:paraId="6906C58F">
      <w:pPr>
        <w:keepNext w:val="0"/>
        <w:keepLines w:val="0"/>
        <w:pageBreakBefore w:val="0"/>
        <w:widowControl w:val="0"/>
        <w:kinsoku/>
        <w:wordWrap/>
        <w:overflowPunct/>
        <w:topLinePunct w:val="0"/>
        <w:autoSpaceDE/>
        <w:autoSpaceDN/>
        <w:bidi w:val="0"/>
        <w:adjustRightInd/>
        <w:snapToGrid/>
        <w:spacing w:line="520" w:lineRule="exact"/>
        <w:ind w:firstLine="435"/>
        <w:jc w:val="left"/>
        <w:textAlignment w:val="auto"/>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合同份数按</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规定</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每份均具有同等法律效力</w:t>
      </w:r>
      <w:r>
        <w:rPr>
          <w:rFonts w:hint="eastAsia" w:cs="Times New Roman" w:asciiTheme="minorEastAsia" w:hAnsiTheme="minorEastAsia" w:eastAsiaTheme="minorEastAsia"/>
          <w:color w:val="auto"/>
          <w:sz w:val="24"/>
          <w:szCs w:val="24"/>
          <w:highlight w:val="none"/>
        </w:rPr>
        <w:t>。</w:t>
      </w:r>
    </w:p>
    <w:p w14:paraId="5683EFAC">
      <w:pPr>
        <w:spacing w:line="440" w:lineRule="exact"/>
        <w:jc w:val="center"/>
        <w:outlineLvl w:val="1"/>
        <w:rPr>
          <w:rFonts w:hint="eastAsia" w:asciiTheme="minorEastAsia" w:hAnsiTheme="minorEastAsia" w:eastAsiaTheme="minorEastAsia"/>
          <w:b/>
          <w:color w:val="auto"/>
          <w:sz w:val="24"/>
          <w:highlight w:val="none"/>
        </w:rPr>
      </w:pPr>
      <w:r>
        <w:rPr>
          <w:rFonts w:cs="Times New Roman" w:asciiTheme="minorEastAsia" w:hAnsiTheme="minorEastAsia" w:eastAsiaTheme="minorEastAsia"/>
          <w:color w:val="auto"/>
          <w:sz w:val="24"/>
          <w:szCs w:val="24"/>
          <w:highlight w:val="none"/>
        </w:rPr>
        <w:br w:type="page"/>
      </w:r>
      <w:bookmarkStart w:id="579" w:name="_Toc3736"/>
      <w:r>
        <w:rPr>
          <w:rFonts w:hint="eastAsia" w:asciiTheme="minorEastAsia" w:hAnsiTheme="minorEastAsia" w:eastAsiaTheme="minorEastAsia"/>
          <w:b/>
          <w:color w:val="auto"/>
          <w:sz w:val="24"/>
          <w:highlight w:val="none"/>
        </w:rPr>
        <w:t>第三部分</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合同专用条款</w:t>
      </w:r>
      <w:bookmarkEnd w:id="579"/>
    </w:p>
    <w:p w14:paraId="626CA650">
      <w:pPr>
        <w:keepNext w:val="0"/>
        <w:keepLines w:val="0"/>
        <w:pageBreakBefore w:val="0"/>
        <w:widowControl w:val="0"/>
        <w:kinsoku/>
        <w:wordWrap/>
        <w:overflowPunct/>
        <w:topLinePunct w:val="0"/>
        <w:autoSpaceDE/>
        <w:autoSpaceDN/>
        <w:bidi w:val="0"/>
        <w:adjustRightInd/>
        <w:snapToGrid/>
        <w:spacing w:line="520" w:lineRule="exact"/>
        <w:ind w:firstLine="435"/>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本部分</w:t>
      </w:r>
      <w:r>
        <w:rPr>
          <w:rFonts w:cs="Times New Roman" w:asciiTheme="minorEastAsia" w:hAnsiTheme="minorEastAsia" w:eastAsiaTheme="minorEastAsia"/>
          <w:color w:val="auto"/>
          <w:sz w:val="24"/>
          <w:szCs w:val="24"/>
          <w:highlight w:val="none"/>
        </w:rPr>
        <w:t>是对</w:t>
      </w:r>
      <w:r>
        <w:rPr>
          <w:rFonts w:hint="eastAsia" w:cs="Times New Roman" w:asciiTheme="minorEastAsia" w:hAnsiTheme="minorEastAsia" w:eastAsiaTheme="minorEastAsia"/>
          <w:color w:val="auto"/>
          <w:sz w:val="24"/>
          <w:szCs w:val="24"/>
          <w:highlight w:val="none"/>
        </w:rPr>
        <w:t>前两</w:t>
      </w:r>
      <w:r>
        <w:rPr>
          <w:rFonts w:cs="Times New Roman" w:asciiTheme="minorEastAsia" w:hAnsiTheme="minorEastAsia" w:eastAsiaTheme="minorEastAsia"/>
          <w:color w:val="auto"/>
          <w:sz w:val="24"/>
          <w:szCs w:val="24"/>
          <w:highlight w:val="none"/>
        </w:rPr>
        <w:t>部分的补充和修改</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w:t>
      </w:r>
      <w:r>
        <w:rPr>
          <w:rFonts w:hint="eastAsia" w:cs="Times New Roman" w:asciiTheme="minorEastAsia" w:hAnsiTheme="minorEastAsia" w:eastAsiaTheme="minorEastAsia"/>
          <w:color w:val="auto"/>
          <w:sz w:val="24"/>
          <w:szCs w:val="24"/>
          <w:highlight w:val="none"/>
        </w:rPr>
        <w:t>前两</w:t>
      </w:r>
      <w:r>
        <w:rPr>
          <w:rFonts w:cs="Times New Roman" w:asciiTheme="minorEastAsia" w:hAnsiTheme="minorEastAsia" w:eastAsiaTheme="minorEastAsia"/>
          <w:color w:val="auto"/>
          <w:sz w:val="24"/>
          <w:szCs w:val="24"/>
          <w:highlight w:val="none"/>
        </w:rPr>
        <w:t>部分和本部分的约定不一致</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应以本部分的约定为准</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本部分的条款号应与</w:t>
      </w:r>
      <w:r>
        <w:rPr>
          <w:rFonts w:hint="eastAsia" w:cs="Times New Roman" w:asciiTheme="minorEastAsia" w:hAnsiTheme="minorEastAsia" w:eastAsiaTheme="minorEastAsia"/>
          <w:color w:val="auto"/>
          <w:sz w:val="24"/>
          <w:szCs w:val="24"/>
          <w:highlight w:val="none"/>
        </w:rPr>
        <w:t>前两部分</w:t>
      </w:r>
      <w:r>
        <w:rPr>
          <w:rFonts w:cs="Times New Roman" w:asciiTheme="minorEastAsia" w:hAnsiTheme="minorEastAsia" w:eastAsiaTheme="minorEastAsia"/>
          <w:color w:val="auto"/>
          <w:sz w:val="24"/>
          <w:szCs w:val="24"/>
          <w:highlight w:val="none"/>
        </w:rPr>
        <w:t>的条款号保持对应</w:t>
      </w:r>
      <w:r>
        <w:rPr>
          <w:rFonts w:hint="eastAsia" w:cs="Times New Roman" w:asciiTheme="minorEastAsia" w:hAnsiTheme="minorEastAsia" w:eastAsiaTheme="minorEastAsia"/>
          <w:color w:val="auto"/>
          <w:sz w:val="24"/>
          <w:szCs w:val="24"/>
          <w:highlight w:val="none"/>
        </w:rPr>
        <w:t>；与前两部分</w:t>
      </w:r>
      <w:r>
        <w:rPr>
          <w:rFonts w:cs="Times New Roman" w:asciiTheme="minorEastAsia" w:hAnsiTheme="minorEastAsia" w:eastAsiaTheme="minorEastAsia"/>
          <w:color w:val="auto"/>
          <w:sz w:val="24"/>
          <w:szCs w:val="24"/>
          <w:highlight w:val="none"/>
        </w:rPr>
        <w:t>无对应关系的内容可另行编制条款号</w:t>
      </w:r>
      <w:r>
        <w:rPr>
          <w:rFonts w:hint="eastAsia" w:cs="Times New Roman" w:asciiTheme="minorEastAsia" w:hAnsiTheme="minorEastAsia" w:eastAsiaTheme="minorEastAsia"/>
          <w:color w:val="auto"/>
          <w:sz w:val="24"/>
          <w:szCs w:val="24"/>
          <w:highlight w:val="none"/>
        </w:rPr>
        <w:t>。</w:t>
      </w:r>
    </w:p>
    <w:tbl>
      <w:tblPr>
        <w:tblStyle w:val="38"/>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69430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6CACF73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t>条款号</w:t>
            </w:r>
          </w:p>
        </w:tc>
        <w:tc>
          <w:tcPr>
            <w:tcW w:w="7568" w:type="dxa"/>
            <w:vAlign w:val="center"/>
          </w:tcPr>
          <w:p w14:paraId="1D9B720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t>约定内容</w:t>
            </w:r>
          </w:p>
        </w:tc>
      </w:tr>
      <w:tr w14:paraId="26615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3B709C7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2.5</w:t>
            </w:r>
          </w:p>
          <w:p w14:paraId="2B935BC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p>
        </w:tc>
        <w:tc>
          <w:tcPr>
            <w:tcW w:w="7568" w:type="dxa"/>
            <w:vAlign w:val="center"/>
          </w:tcPr>
          <w:p w14:paraId="26D312E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合同签订生效并具备实施条件后，支付第一年合同年服务费的40%作为预付款；第一年服务期满并通过采购人验收后付清合同第一年年服务费的余款，支付第二年合同年服务费的40%作为预付款；第二年服务期满并通过采购人验收后付清合同第二年年服务费的余款，支付第三年合同年服务费的40%作为预付款；第三年服务期满并通过采购人验收后付清合同第三年年服务费的余款</w:t>
            </w:r>
          </w:p>
        </w:tc>
      </w:tr>
      <w:tr w14:paraId="71480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75E0B22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2.11.3</w:t>
            </w:r>
          </w:p>
        </w:tc>
        <w:tc>
          <w:tcPr>
            <w:tcW w:w="7568" w:type="dxa"/>
            <w:vAlign w:val="center"/>
          </w:tcPr>
          <w:p w14:paraId="09CBAF9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因不可抗力致使合同有变更必要的，双方当事人应在不可抗力发生的</w:t>
            </w:r>
            <w:r>
              <w:rPr>
                <w:rFonts w:hint="eastAsia" w:cs="Times New Roman" w:asciiTheme="minorEastAsia" w:hAnsiTheme="minorEastAsia" w:eastAsiaTheme="minorEastAsia"/>
                <w:color w:val="auto"/>
                <w:sz w:val="24"/>
                <w:szCs w:val="24"/>
                <w:highlight w:val="none"/>
                <w:lang w:val="en-US" w:eastAsia="zh-CN"/>
              </w:rPr>
              <w:t>15</w:t>
            </w:r>
            <w:r>
              <w:rPr>
                <w:rFonts w:hint="eastAsia" w:cs="Times New Roman" w:asciiTheme="minorEastAsia" w:hAnsiTheme="minorEastAsia" w:eastAsiaTheme="minorEastAsia"/>
                <w:color w:val="auto"/>
                <w:sz w:val="24"/>
                <w:szCs w:val="24"/>
                <w:highlight w:val="none"/>
              </w:rPr>
              <w:t>个工作日内以书面形式变更合同</w:t>
            </w:r>
          </w:p>
        </w:tc>
      </w:tr>
      <w:tr w14:paraId="72ABA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2FDE9AC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2.11.4</w:t>
            </w:r>
          </w:p>
        </w:tc>
        <w:tc>
          <w:tcPr>
            <w:tcW w:w="7568" w:type="dxa"/>
            <w:vAlign w:val="center"/>
          </w:tcPr>
          <w:p w14:paraId="2C85233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受不可抗力影响的一方在不可抗力发生后，应在不可抗力发生的</w:t>
            </w:r>
            <w:r>
              <w:rPr>
                <w:rFonts w:hint="eastAsia" w:cs="Times New Roman" w:asciiTheme="minorEastAsia" w:hAnsiTheme="minorEastAsia" w:eastAsiaTheme="minorEastAsia"/>
                <w:color w:val="auto"/>
                <w:sz w:val="24"/>
                <w:szCs w:val="24"/>
                <w:highlight w:val="none"/>
                <w:lang w:val="en-US" w:eastAsia="zh-CN"/>
              </w:rPr>
              <w:t>3</w:t>
            </w:r>
            <w:r>
              <w:rPr>
                <w:rFonts w:hint="eastAsia" w:cs="Times New Roman" w:asciiTheme="minorEastAsia" w:hAnsiTheme="minorEastAsia" w:eastAsiaTheme="minorEastAsia"/>
                <w:color w:val="auto"/>
                <w:sz w:val="24"/>
                <w:szCs w:val="24"/>
                <w:highlight w:val="none"/>
              </w:rPr>
              <w:t>个工作日内以书面形式通知对方当事人，并在</w:t>
            </w:r>
            <w:r>
              <w:rPr>
                <w:rFonts w:hint="eastAsia" w:cs="Times New Roman" w:asciiTheme="minorEastAsia" w:hAnsiTheme="minorEastAsia" w:eastAsiaTheme="minorEastAsia"/>
                <w:color w:val="auto"/>
                <w:sz w:val="24"/>
                <w:szCs w:val="24"/>
                <w:highlight w:val="none"/>
                <w:lang w:val="en-US" w:eastAsia="zh-CN"/>
              </w:rPr>
              <w:t>3</w:t>
            </w:r>
            <w:r>
              <w:rPr>
                <w:rFonts w:hint="eastAsia" w:cs="Times New Roman" w:asciiTheme="minorEastAsia" w:hAnsiTheme="minorEastAsia" w:eastAsiaTheme="minorEastAsia"/>
                <w:color w:val="auto"/>
                <w:sz w:val="24"/>
                <w:szCs w:val="24"/>
                <w:highlight w:val="none"/>
              </w:rPr>
              <w:t>个工作日内，将有关部门出具的证明文件送达对方当事人</w:t>
            </w:r>
          </w:p>
        </w:tc>
      </w:tr>
      <w:tr w14:paraId="351CD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5CFA2C5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asciiTheme="minorEastAsia" w:hAnsiTheme="minorEastAsia" w:eastAsiaTheme="minorEastAsia"/>
                <w:color w:val="auto"/>
                <w:sz w:val="24"/>
                <w:szCs w:val="24"/>
                <w:highlight w:val="none"/>
              </w:rPr>
            </w:pPr>
            <w:r>
              <w:rPr>
                <w:rFonts w:hint="eastAsia" w:ascii="宋体" w:hAnsi="宋体" w:eastAsia="宋体" w:cs="宋体"/>
                <w:color w:val="auto"/>
                <w:sz w:val="24"/>
                <w:szCs w:val="24"/>
                <w:highlight w:val="none"/>
              </w:rPr>
              <w:t>2.15</w:t>
            </w:r>
          </w:p>
        </w:tc>
        <w:tc>
          <w:tcPr>
            <w:tcW w:w="7568" w:type="dxa"/>
            <w:vAlign w:val="center"/>
          </w:tcPr>
          <w:p w14:paraId="5832B79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2.15.1乙方须接受甲方对项目执行情况、服务质量等的监督、检查和验收，甲方有权查看与项目直接相关的凭证和资料，乙方应予以配合。</w:t>
            </w:r>
          </w:p>
          <w:p w14:paraId="568BDCF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宋体"/>
                <w:color w:val="auto"/>
                <w:highlight w:val="none"/>
                <w:lang w:val="en-US" w:eastAsia="zh-CN"/>
              </w:rPr>
            </w:pPr>
            <w:r>
              <w:rPr>
                <w:rFonts w:hint="eastAsia" w:ascii="宋体" w:hAnsi="宋体" w:eastAsia="宋体" w:cs="宋体"/>
                <w:color w:val="auto"/>
                <w:sz w:val="24"/>
                <w:szCs w:val="24"/>
                <w:highlight w:val="none"/>
              </w:rPr>
              <w:t>2.15.3验收书的内容以</w:t>
            </w:r>
            <w:r>
              <w:rPr>
                <w:rFonts w:hint="eastAsia" w:ascii="宋体" w:hAnsi="宋体" w:eastAsia="宋体" w:cs="宋体"/>
                <w:color w:val="auto"/>
                <w:sz w:val="24"/>
                <w:szCs w:val="24"/>
                <w:highlight w:val="none"/>
                <w:lang w:val="en-US" w:eastAsia="zh-CN"/>
              </w:rPr>
              <w:t>考核结论</w:t>
            </w:r>
            <w:r>
              <w:rPr>
                <w:rFonts w:hint="eastAsia" w:ascii="宋体" w:hAnsi="宋体" w:eastAsia="宋体" w:cs="宋体"/>
                <w:color w:val="auto"/>
                <w:sz w:val="24"/>
                <w:szCs w:val="24"/>
                <w:highlight w:val="none"/>
              </w:rPr>
              <w:t>作为结算依据。</w:t>
            </w:r>
          </w:p>
        </w:tc>
      </w:tr>
      <w:tr w14:paraId="6188D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69DD07D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olor w:val="auto"/>
                <w:sz w:val="24"/>
                <w:highlight w:val="none"/>
              </w:rPr>
            </w:pPr>
            <w:r>
              <w:rPr>
                <w:rFonts w:hint="eastAsia" w:ascii="宋体" w:hAnsi="宋体" w:eastAsia="宋体"/>
                <w:color w:val="auto"/>
                <w:sz w:val="24"/>
                <w:highlight w:val="none"/>
              </w:rPr>
              <w:t>2.17</w:t>
            </w:r>
          </w:p>
        </w:tc>
        <w:tc>
          <w:tcPr>
            <w:tcW w:w="7568" w:type="dxa"/>
            <w:vAlign w:val="center"/>
          </w:tcPr>
          <w:p w14:paraId="393711E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本项目免收</w:t>
            </w:r>
            <w:r>
              <w:rPr>
                <w:rFonts w:hint="eastAsia" w:cs="Times New Roman" w:asciiTheme="minorEastAsia" w:hAnsiTheme="minorEastAsia" w:eastAsiaTheme="minorEastAsia"/>
                <w:color w:val="auto"/>
                <w:sz w:val="24"/>
                <w:szCs w:val="24"/>
                <w:highlight w:val="none"/>
                <w:lang w:val="zh-CN"/>
              </w:rPr>
              <w:t>履约保证金。</w:t>
            </w:r>
          </w:p>
        </w:tc>
      </w:tr>
      <w:tr w14:paraId="7E2DD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5C10614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2.18</w:t>
            </w:r>
          </w:p>
        </w:tc>
        <w:tc>
          <w:tcPr>
            <w:tcW w:w="7568" w:type="dxa"/>
            <w:vAlign w:val="center"/>
          </w:tcPr>
          <w:p w14:paraId="15EABA5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r>
              <w:rPr>
                <w:rFonts w:hint="eastAsia" w:ascii="宋体" w:hAnsi="宋体" w:eastAsia="宋体" w:cs="宋体"/>
                <w:color w:val="auto"/>
                <w:sz w:val="24"/>
                <w:highlight w:val="none"/>
              </w:rPr>
              <w:t>合同一式陆份，甲乙双方各执叁份。</w:t>
            </w:r>
          </w:p>
        </w:tc>
      </w:tr>
      <w:tr w14:paraId="05EE2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21030ED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p>
        </w:tc>
        <w:tc>
          <w:tcPr>
            <w:tcW w:w="7568" w:type="dxa"/>
            <w:vAlign w:val="center"/>
          </w:tcPr>
          <w:p w14:paraId="4D2CCD1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（签订合同时可补充）</w:t>
            </w:r>
          </w:p>
        </w:tc>
      </w:tr>
      <w:tr w14:paraId="320A1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5630AA7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p>
        </w:tc>
        <w:tc>
          <w:tcPr>
            <w:tcW w:w="7568" w:type="dxa"/>
            <w:vAlign w:val="center"/>
          </w:tcPr>
          <w:p w14:paraId="6C6195B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Times New Roman" w:asciiTheme="minorEastAsia" w:hAnsiTheme="minorEastAsia" w:eastAsiaTheme="minorEastAsia"/>
                <w:color w:val="auto"/>
                <w:sz w:val="24"/>
                <w:szCs w:val="24"/>
                <w:highlight w:val="none"/>
              </w:rPr>
            </w:pPr>
          </w:p>
        </w:tc>
      </w:tr>
    </w:tbl>
    <w:p w14:paraId="18F1DAB5">
      <w:pPr>
        <w:widowControl/>
        <w:jc w:val="left"/>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750CE165">
      <w:pPr>
        <w:numPr>
          <w:ilvl w:val="0"/>
          <w:numId w:val="20"/>
        </w:numPr>
        <w:spacing w:line="360" w:lineRule="auto"/>
        <w:jc w:val="center"/>
        <w:outlineLvl w:val="0"/>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 投标文件格式</w:t>
      </w:r>
      <w:bookmarkEnd w:id="438"/>
    </w:p>
    <w:p w14:paraId="652030DB">
      <w:pPr>
        <w:spacing w:line="900" w:lineRule="exact"/>
        <w:jc w:val="center"/>
        <w:rPr>
          <w:rFonts w:hint="eastAsia" w:asciiTheme="minorEastAsia" w:hAnsiTheme="minorEastAsia" w:eastAsiaTheme="minorEastAsia"/>
          <w:b/>
          <w:color w:val="auto"/>
          <w:sz w:val="72"/>
          <w:highlight w:val="none"/>
        </w:rPr>
      </w:pPr>
    </w:p>
    <w:p w14:paraId="335DA130">
      <w:pPr>
        <w:spacing w:line="900" w:lineRule="exact"/>
        <w:jc w:val="center"/>
        <w:outlineLvl w:val="1"/>
        <w:rPr>
          <w:rFonts w:hint="eastAsia" w:asciiTheme="minorEastAsia" w:hAnsiTheme="minorEastAsia" w:eastAsiaTheme="minorEastAsia"/>
          <w:b/>
          <w:color w:val="auto"/>
          <w:sz w:val="72"/>
          <w:highlight w:val="none"/>
        </w:rPr>
      </w:pPr>
      <w:bookmarkStart w:id="580" w:name="_Toc5119"/>
      <w:r>
        <w:rPr>
          <w:rFonts w:hint="eastAsia" w:asciiTheme="minorEastAsia" w:hAnsiTheme="minorEastAsia" w:eastAsiaTheme="minorEastAsia"/>
          <w:b/>
          <w:color w:val="auto"/>
          <w:sz w:val="72"/>
          <w:highlight w:val="none"/>
        </w:rPr>
        <w:t>投</w:t>
      </w:r>
      <w:bookmarkEnd w:id="580"/>
    </w:p>
    <w:p w14:paraId="1001FEB0">
      <w:pPr>
        <w:spacing w:line="900" w:lineRule="exact"/>
        <w:jc w:val="center"/>
        <w:rPr>
          <w:rFonts w:hint="eastAsia" w:asciiTheme="minorEastAsia" w:hAnsiTheme="minorEastAsia" w:eastAsiaTheme="minorEastAsia"/>
          <w:b/>
          <w:color w:val="auto"/>
          <w:sz w:val="72"/>
          <w:highlight w:val="none"/>
        </w:rPr>
      </w:pPr>
    </w:p>
    <w:p w14:paraId="74F96C4D">
      <w:pPr>
        <w:spacing w:line="900" w:lineRule="exact"/>
        <w:jc w:val="center"/>
        <w:outlineLvl w:val="1"/>
        <w:rPr>
          <w:rFonts w:hint="eastAsia" w:asciiTheme="minorEastAsia" w:hAnsiTheme="minorEastAsia" w:eastAsiaTheme="minorEastAsia"/>
          <w:b/>
          <w:color w:val="auto"/>
          <w:sz w:val="72"/>
          <w:highlight w:val="none"/>
        </w:rPr>
      </w:pPr>
      <w:bookmarkStart w:id="581" w:name="_Toc4782"/>
      <w:r>
        <w:rPr>
          <w:rFonts w:hint="eastAsia" w:asciiTheme="minorEastAsia" w:hAnsiTheme="minorEastAsia" w:eastAsiaTheme="minorEastAsia"/>
          <w:b/>
          <w:color w:val="auto"/>
          <w:sz w:val="72"/>
          <w:highlight w:val="none"/>
        </w:rPr>
        <w:t>标</w:t>
      </w:r>
      <w:bookmarkEnd w:id="581"/>
    </w:p>
    <w:p w14:paraId="60DF75D1">
      <w:pPr>
        <w:spacing w:line="900" w:lineRule="exact"/>
        <w:jc w:val="center"/>
        <w:rPr>
          <w:rFonts w:hint="eastAsia" w:asciiTheme="minorEastAsia" w:hAnsiTheme="minorEastAsia" w:eastAsiaTheme="minorEastAsia"/>
          <w:b/>
          <w:color w:val="auto"/>
          <w:sz w:val="72"/>
          <w:highlight w:val="none"/>
        </w:rPr>
      </w:pPr>
    </w:p>
    <w:p w14:paraId="420861CC">
      <w:pPr>
        <w:spacing w:line="900" w:lineRule="exact"/>
        <w:jc w:val="center"/>
        <w:outlineLvl w:val="1"/>
        <w:rPr>
          <w:rFonts w:hint="eastAsia" w:asciiTheme="minorEastAsia" w:hAnsiTheme="minorEastAsia" w:eastAsiaTheme="minorEastAsia"/>
          <w:b/>
          <w:color w:val="auto"/>
          <w:sz w:val="72"/>
          <w:highlight w:val="none"/>
        </w:rPr>
      </w:pPr>
      <w:bookmarkStart w:id="582" w:name="_Toc19607"/>
      <w:r>
        <w:rPr>
          <w:rFonts w:hint="eastAsia" w:asciiTheme="minorEastAsia" w:hAnsiTheme="minorEastAsia" w:eastAsiaTheme="minorEastAsia"/>
          <w:b/>
          <w:color w:val="auto"/>
          <w:sz w:val="72"/>
          <w:highlight w:val="none"/>
        </w:rPr>
        <w:t>文</w:t>
      </w:r>
      <w:bookmarkEnd w:id="582"/>
    </w:p>
    <w:p w14:paraId="7E427ACC">
      <w:pPr>
        <w:spacing w:line="900" w:lineRule="exact"/>
        <w:jc w:val="center"/>
        <w:rPr>
          <w:rFonts w:hint="eastAsia" w:asciiTheme="minorEastAsia" w:hAnsiTheme="minorEastAsia" w:eastAsiaTheme="minorEastAsia"/>
          <w:b/>
          <w:color w:val="auto"/>
          <w:sz w:val="72"/>
          <w:highlight w:val="none"/>
        </w:rPr>
      </w:pPr>
    </w:p>
    <w:p w14:paraId="4D366DFB">
      <w:pPr>
        <w:jc w:val="center"/>
        <w:outlineLvl w:val="1"/>
        <w:rPr>
          <w:rFonts w:hint="eastAsia" w:asciiTheme="minorEastAsia" w:hAnsiTheme="minorEastAsia" w:eastAsiaTheme="minorEastAsia"/>
          <w:b/>
          <w:color w:val="auto"/>
          <w:sz w:val="72"/>
          <w:highlight w:val="none"/>
        </w:rPr>
      </w:pPr>
      <w:bookmarkStart w:id="583" w:name="_Toc8365"/>
      <w:r>
        <w:rPr>
          <w:rFonts w:hint="eastAsia" w:asciiTheme="minorEastAsia" w:hAnsiTheme="minorEastAsia" w:eastAsiaTheme="minorEastAsia"/>
          <w:b/>
          <w:color w:val="auto"/>
          <w:sz w:val="72"/>
          <w:highlight w:val="none"/>
        </w:rPr>
        <w:t>件</w:t>
      </w:r>
      <w:bookmarkEnd w:id="583"/>
    </w:p>
    <w:p w14:paraId="5DF01EC5">
      <w:pPr>
        <w:spacing w:after="156" w:afterLines="50"/>
        <w:jc w:val="center"/>
        <w:rPr>
          <w:rFonts w:hint="eastAsia" w:asciiTheme="minorEastAsia" w:hAnsiTheme="minorEastAsia" w:eastAsiaTheme="minorEastAsia"/>
          <w:b/>
          <w:color w:val="auto"/>
          <w:sz w:val="32"/>
          <w:szCs w:val="32"/>
          <w:highlight w:val="none"/>
        </w:rPr>
      </w:pPr>
      <w:bookmarkStart w:id="584" w:name="_Toc32506"/>
    </w:p>
    <w:bookmarkEnd w:id="584"/>
    <w:p w14:paraId="25578812">
      <w:pPr>
        <w:spacing w:before="156" w:beforeLines="50" w:after="156" w:afterLines="50"/>
        <w:jc w:val="center"/>
        <w:rPr>
          <w:rFonts w:hint="eastAsia" w:asciiTheme="minorEastAsia" w:hAnsiTheme="minorEastAsia" w:eastAsiaTheme="minorEastAsia"/>
          <w:b/>
          <w:color w:val="auto"/>
          <w:sz w:val="32"/>
          <w:szCs w:val="32"/>
          <w:highlight w:val="none"/>
        </w:rPr>
      </w:pPr>
    </w:p>
    <w:p w14:paraId="6D5354DA">
      <w:pPr>
        <w:spacing w:before="156" w:beforeLines="50" w:after="156" w:afterLines="50"/>
        <w:jc w:val="center"/>
        <w:rPr>
          <w:rFonts w:hint="eastAsia" w:asciiTheme="minorEastAsia" w:hAnsiTheme="minorEastAsia" w:eastAsiaTheme="minorEastAsia"/>
          <w:b/>
          <w:color w:val="auto"/>
          <w:sz w:val="32"/>
          <w:szCs w:val="32"/>
          <w:highlight w:val="none"/>
        </w:rPr>
      </w:pPr>
    </w:p>
    <w:p w14:paraId="3AA19B0E">
      <w:pPr>
        <w:spacing w:after="156" w:afterLines="50" w:line="500" w:lineRule="exact"/>
        <w:jc w:val="center"/>
        <w:rPr>
          <w:rFonts w:hint="eastAsia" w:asciiTheme="minorEastAsia" w:hAnsiTheme="minorEastAsia" w:eastAsiaTheme="minorEastAsia"/>
          <w:b/>
          <w:color w:val="auto"/>
          <w:sz w:val="28"/>
          <w:szCs w:val="28"/>
          <w:highlight w:val="none"/>
        </w:rPr>
      </w:pPr>
    </w:p>
    <w:p w14:paraId="35FEEC18">
      <w:pPr>
        <w:tabs>
          <w:tab w:val="left" w:pos="2410"/>
        </w:tabs>
        <w:autoSpaceDE w:val="0"/>
        <w:autoSpaceDN w:val="0"/>
        <w:adjustRightInd w:val="0"/>
        <w:snapToGrid w:val="0"/>
        <w:spacing w:line="360" w:lineRule="auto"/>
        <w:ind w:firstLine="1928" w:firstLineChars="600"/>
        <w:rPr>
          <w:rFonts w:hint="eastAsia" w:ascii="宋体" w:hAnsi="宋体" w:eastAsia="宋体"/>
          <w:b/>
          <w:color w:val="auto"/>
          <w:spacing w:val="20"/>
          <w:kern w:val="0"/>
          <w:sz w:val="32"/>
          <w:szCs w:val="32"/>
          <w:highlight w:val="none"/>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p>
    <w:p w14:paraId="0F6693B2">
      <w:pPr>
        <w:tabs>
          <w:tab w:val="left" w:pos="2410"/>
        </w:tabs>
        <w:autoSpaceDE w:val="0"/>
        <w:autoSpaceDN w:val="0"/>
        <w:adjustRightInd w:val="0"/>
        <w:snapToGrid w:val="0"/>
        <w:spacing w:line="360" w:lineRule="auto"/>
        <w:ind w:firstLine="1928" w:firstLineChars="600"/>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p>
    <w:p w14:paraId="61666443">
      <w:pPr>
        <w:tabs>
          <w:tab w:val="left" w:pos="2410"/>
        </w:tabs>
        <w:autoSpaceDE w:val="0"/>
        <w:autoSpaceDN w:val="0"/>
        <w:adjustRightInd w:val="0"/>
        <w:snapToGrid w:val="0"/>
        <w:spacing w:line="360" w:lineRule="auto"/>
        <w:ind w:firstLine="1928" w:firstLineChars="600"/>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投 标 人：</w:t>
      </w:r>
      <w:r>
        <w:rPr>
          <w:rFonts w:hint="eastAsia" w:asciiTheme="minorEastAsia" w:hAnsiTheme="minorEastAsia" w:eastAsiaTheme="minorEastAsia"/>
          <w:b/>
          <w:color w:val="auto"/>
          <w:sz w:val="32"/>
          <w:highlight w:val="none"/>
          <w:u w:val="single"/>
        </w:rPr>
        <w:t xml:space="preserve">                  </w:t>
      </w:r>
    </w:p>
    <w:p w14:paraId="6FAFA5EB">
      <w:pPr>
        <w:spacing w:after="156" w:afterLines="50" w:line="500" w:lineRule="exact"/>
        <w:jc w:val="center"/>
        <w:outlineLvl w:val="1"/>
        <w:rPr>
          <w:rFonts w:hint="eastAsia"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585" w:name="_Toc19687"/>
      <w:bookmarkStart w:id="586" w:name="_Toc8037"/>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585"/>
      <w:bookmarkEnd w:id="586"/>
    </w:p>
    <w:p w14:paraId="7A98BCE8">
      <w:pPr>
        <w:rPr>
          <w:rFonts w:hint="eastAsia" w:ascii="宋体" w:hAnsi="宋体" w:eastAsia="宋体" w:cs="宋体"/>
          <w:b/>
          <w:color w:val="auto"/>
          <w:sz w:val="28"/>
          <w:szCs w:val="28"/>
          <w:highlight w:val="none"/>
          <w:lang w:bidi="ar"/>
        </w:rPr>
      </w:pPr>
      <w:bookmarkStart w:id="587" w:name="_Toc28960"/>
      <w:bookmarkStart w:id="588" w:name="_Toc17986"/>
      <w:r>
        <w:rPr>
          <w:rFonts w:hint="eastAsia" w:ascii="宋体" w:hAnsi="宋体" w:eastAsia="宋体" w:cs="宋体"/>
          <w:b/>
          <w:color w:val="auto"/>
          <w:sz w:val="28"/>
          <w:szCs w:val="28"/>
          <w:highlight w:val="none"/>
          <w:lang w:bidi="ar"/>
        </w:rPr>
        <w:br w:type="page"/>
      </w:r>
    </w:p>
    <w:p w14:paraId="03E2E413">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一、资信证明格式文件</w:t>
      </w:r>
    </w:p>
    <w:p w14:paraId="63672797">
      <w:pPr>
        <w:jc w:val="cente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2246994F">
      <w:pPr>
        <w:rPr>
          <w:rFonts w:hint="eastAsia" w:ascii="宋体" w:hAnsi="宋体" w:eastAsia="宋体" w:cs="宋体"/>
          <w:b/>
          <w:color w:val="auto"/>
          <w:sz w:val="44"/>
          <w:szCs w:val="44"/>
          <w:highlight w:val="none"/>
          <w:lang w:bidi="ar"/>
        </w:rPr>
      </w:pPr>
      <w:r>
        <w:rPr>
          <w:rFonts w:hint="eastAsia" w:ascii="黑体" w:hAnsi="宋体" w:eastAsia="黑体" w:cs="黑体"/>
          <w:color w:val="auto"/>
          <w:sz w:val="20"/>
          <w:highlight w:val="none"/>
          <w:lang w:bidi="ar"/>
        </w:rPr>
        <w:t xml:space="preserve"> </w:t>
      </w:r>
    </w:p>
    <w:p w14:paraId="77F34496">
      <w:pPr>
        <w:jc w:val="center"/>
        <w:rPr>
          <w:rFonts w:hint="eastAsia" w:ascii="宋体" w:hAnsi="宋体" w:eastAsia="宋体" w:cs="宋体"/>
          <w:b/>
          <w:color w:val="auto"/>
          <w:sz w:val="44"/>
          <w:szCs w:val="44"/>
          <w:highlight w:val="none"/>
          <w:lang w:bidi="ar"/>
        </w:rPr>
      </w:pPr>
    </w:p>
    <w:p w14:paraId="3B8CBB21">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资信证明文件</w:t>
      </w:r>
    </w:p>
    <w:p w14:paraId="6A1E2514">
      <w:pPr>
        <w:jc w:val="center"/>
        <w:rPr>
          <w:rFonts w:hint="eastAsia" w:ascii="宋体" w:hAnsi="宋体" w:eastAsia="宋体" w:cs="宋体"/>
          <w:color w:val="auto"/>
          <w:sz w:val="32"/>
          <w:szCs w:val="32"/>
          <w:highlight w:val="none"/>
          <w:lang w:bidi="ar"/>
        </w:rPr>
      </w:pPr>
    </w:p>
    <w:p w14:paraId="65FB559C">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（投标文件一）</w:t>
      </w:r>
    </w:p>
    <w:p w14:paraId="06D76E77">
      <w:pPr>
        <w:jc w:val="center"/>
        <w:rPr>
          <w:rFonts w:hint="eastAsia" w:ascii="黑体" w:hAnsi="宋体" w:eastAsia="黑体" w:cs="黑体"/>
          <w:color w:val="auto"/>
          <w:sz w:val="44"/>
          <w:szCs w:val="44"/>
          <w:highlight w:val="none"/>
        </w:rPr>
      </w:pPr>
      <w:r>
        <w:rPr>
          <w:rFonts w:hint="eastAsia" w:ascii="黑体" w:hAnsi="宋体" w:eastAsia="黑体" w:cs="黑体"/>
          <w:color w:val="auto"/>
          <w:sz w:val="44"/>
          <w:szCs w:val="44"/>
          <w:highlight w:val="none"/>
          <w:lang w:bidi="ar"/>
        </w:rPr>
        <w:t xml:space="preserve"> </w:t>
      </w:r>
    </w:p>
    <w:p w14:paraId="61CDA139">
      <w:pPr>
        <w:jc w:val="center"/>
        <w:rPr>
          <w:rFonts w:hint="eastAsia" w:ascii="宋体" w:hAnsi="宋体" w:eastAsia="宋体" w:cs="宋体"/>
          <w:color w:val="auto"/>
          <w:sz w:val="32"/>
          <w:szCs w:val="32"/>
          <w:highlight w:val="none"/>
          <w:u w:val="single"/>
          <w:lang w:bidi="ar"/>
        </w:rPr>
      </w:pPr>
    </w:p>
    <w:p w14:paraId="06968E22">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525147CF">
      <w:pPr>
        <w:jc w:val="center"/>
        <w:rPr>
          <w:rFonts w:hint="eastAsia" w:ascii="宋体" w:hAnsi="宋体" w:eastAsia="宋体" w:cs="宋体"/>
          <w:color w:val="auto"/>
          <w:sz w:val="28"/>
          <w:szCs w:val="28"/>
          <w:highlight w:val="none"/>
          <w:lang w:bidi="ar"/>
        </w:rPr>
      </w:pPr>
    </w:p>
    <w:p w14:paraId="1588FC37">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1F6C75F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8785490">
      <w:pPr>
        <w:rPr>
          <w:rFonts w:hint="eastAsia" w:ascii="宋体" w:hAnsi="宋体" w:eastAsia="宋体" w:cs="宋体"/>
          <w:color w:val="auto"/>
          <w:sz w:val="28"/>
          <w:szCs w:val="28"/>
          <w:highlight w:val="none"/>
          <w:lang w:bidi="ar"/>
        </w:rPr>
      </w:pPr>
    </w:p>
    <w:p w14:paraId="0483923B">
      <w:pPr>
        <w:rPr>
          <w:rFonts w:hint="eastAsia" w:ascii="宋体" w:hAnsi="宋体" w:eastAsia="宋体" w:cs="宋体"/>
          <w:color w:val="auto"/>
          <w:sz w:val="28"/>
          <w:szCs w:val="28"/>
          <w:highlight w:val="none"/>
          <w:lang w:bidi="ar"/>
        </w:rPr>
      </w:pPr>
      <w:r>
        <w:rPr>
          <w:rFonts w:hint="eastAsia" w:ascii="宋体" w:hAnsi="宋体" w:eastAsia="宋体" w:cs="宋体"/>
          <w:color w:val="auto"/>
          <w:sz w:val="28"/>
          <w:szCs w:val="28"/>
          <w:highlight w:val="none"/>
          <w:lang w:bidi="ar"/>
        </w:rPr>
        <w:t xml:space="preserve"> </w:t>
      </w:r>
    </w:p>
    <w:p w14:paraId="5C2C13D5">
      <w:pPr>
        <w:rPr>
          <w:rFonts w:hint="eastAsia" w:ascii="宋体" w:hAnsi="宋体" w:eastAsia="宋体" w:cs="宋体"/>
          <w:color w:val="auto"/>
          <w:sz w:val="28"/>
          <w:szCs w:val="28"/>
          <w:highlight w:val="none"/>
          <w:lang w:bidi="ar"/>
        </w:rPr>
      </w:pPr>
    </w:p>
    <w:p w14:paraId="218A729F">
      <w:pPr>
        <w:rPr>
          <w:rFonts w:hint="eastAsia" w:ascii="宋体" w:hAnsi="宋体" w:eastAsia="宋体" w:cs="宋体"/>
          <w:color w:val="auto"/>
          <w:sz w:val="28"/>
          <w:szCs w:val="28"/>
          <w:highlight w:val="none"/>
          <w:lang w:bidi="ar"/>
        </w:rPr>
      </w:pPr>
    </w:p>
    <w:p w14:paraId="698B5920">
      <w:pPr>
        <w:rPr>
          <w:rFonts w:hint="eastAsia" w:ascii="宋体" w:hAnsi="宋体" w:eastAsia="宋体" w:cs="宋体"/>
          <w:color w:val="auto"/>
          <w:sz w:val="28"/>
          <w:szCs w:val="28"/>
          <w:highlight w:val="none"/>
          <w:lang w:bidi="ar"/>
        </w:rPr>
      </w:pPr>
    </w:p>
    <w:p w14:paraId="50542E88">
      <w:pPr>
        <w:jc w:val="center"/>
        <w:rPr>
          <w:rFonts w:hint="eastAsia" w:ascii="宋体" w:hAnsi="宋体" w:eastAsia="宋体" w:cs="宋体"/>
          <w:color w:val="auto"/>
          <w:sz w:val="28"/>
          <w:szCs w:val="28"/>
          <w:highlight w:val="none"/>
          <w:lang w:bidi="ar"/>
        </w:rPr>
      </w:pPr>
    </w:p>
    <w:p w14:paraId="11E7A9A9">
      <w:pPr>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42D91470">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19347C0B">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027FF180">
      <w:pPr>
        <w:spacing w:line="400" w:lineRule="exact"/>
        <w:ind w:firstLine="4130" w:firstLineChars="935"/>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79BDF939">
      <w:pPr>
        <w:rPr>
          <w:rFonts w:hint="eastAsia" w:ascii="宋体" w:hAnsi="宋体" w:eastAsia="宋体" w:cs="宋体"/>
          <w:b/>
          <w:color w:val="auto"/>
          <w:sz w:val="36"/>
          <w:szCs w:val="36"/>
          <w:highlight w:val="none"/>
          <w:lang w:bidi="ar"/>
        </w:rPr>
      </w:pPr>
      <w:r>
        <w:rPr>
          <w:rFonts w:hint="eastAsia" w:ascii="宋体" w:hAnsi="宋体" w:eastAsia="宋体" w:cs="宋体"/>
          <w:b/>
          <w:color w:val="auto"/>
          <w:sz w:val="36"/>
          <w:szCs w:val="36"/>
          <w:highlight w:val="none"/>
          <w:lang w:bidi="ar"/>
        </w:rPr>
        <w:br w:type="page"/>
      </w:r>
    </w:p>
    <w:p w14:paraId="44556E48">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36"/>
          <w:szCs w:val="36"/>
          <w:highlight w:val="none"/>
          <w:lang w:bidi="ar"/>
        </w:rPr>
        <w:t>目   录</w:t>
      </w:r>
    </w:p>
    <w:p w14:paraId="7E550D50">
      <w:pPr>
        <w:spacing w:line="4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 xml:space="preserve"> </w:t>
      </w:r>
    </w:p>
    <w:p w14:paraId="5B1C0F29">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（1）投标人资格声明书（格式见附件）；</w:t>
      </w:r>
    </w:p>
    <w:p w14:paraId="38D349D3">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（2）授权书（格式见附件）；   </w:t>
      </w:r>
    </w:p>
    <w:p w14:paraId="4B1414BA">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（3）投标人为企业（包括合伙企业）的，应提供有效的“营业执照”；</w:t>
      </w:r>
    </w:p>
    <w:p w14:paraId="1099F937">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投标人为事业单位的，应提供有效的“事业单位法人证书”；</w:t>
      </w:r>
    </w:p>
    <w:p w14:paraId="79BFB511">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投标人是非企业机构的，应提供有效的“执业许可证”、“登记证书”等证明文件；</w:t>
      </w:r>
    </w:p>
    <w:p w14:paraId="7384AD66">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投标人是个体工商户的，应提供有效的“个体工商户营业执照”；</w:t>
      </w:r>
    </w:p>
    <w:p w14:paraId="72BAD2DF">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投标人是自然人的，应提供有效的自然人身份证明；</w:t>
      </w:r>
    </w:p>
    <w:p w14:paraId="39D83E87">
      <w:pPr>
        <w:numPr>
          <w:ilvl w:val="0"/>
          <w:numId w:val="0"/>
        </w:numPr>
        <w:spacing w:line="360" w:lineRule="auto"/>
        <w:ind w:left="630" w:leftChars="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诚信投标承诺书（格式见附件）；</w:t>
      </w:r>
    </w:p>
    <w:p w14:paraId="351F07AC">
      <w:pPr>
        <w:numPr>
          <w:ilvl w:val="0"/>
          <w:numId w:val="0"/>
        </w:numPr>
        <w:spacing w:line="360" w:lineRule="auto"/>
        <w:ind w:left="630" w:leftChars="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eastAsia="zh-CN" w:bidi="ar"/>
        </w:rPr>
        <w:t>）招标文件中要求的资信评审和资信评分的支持资料；</w:t>
      </w:r>
    </w:p>
    <w:p w14:paraId="59C9A825">
      <w:pPr>
        <w:numPr>
          <w:ilvl w:val="0"/>
          <w:numId w:val="0"/>
        </w:numPr>
        <w:spacing w:line="360" w:lineRule="auto"/>
        <w:ind w:left="630" w:leftChars="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）其他（如有）。</w:t>
      </w:r>
    </w:p>
    <w:p w14:paraId="53D6A8A6">
      <w:pPr>
        <w:numPr>
          <w:ilvl w:val="0"/>
          <w:numId w:val="0"/>
        </w:numPr>
        <w:spacing w:line="360" w:lineRule="auto"/>
        <w:ind w:left="630" w:leftChars="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br w:type="page"/>
      </w:r>
    </w:p>
    <w:p w14:paraId="35F47224">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（1）投标人资格声明书</w:t>
      </w:r>
    </w:p>
    <w:p w14:paraId="64691231">
      <w:pPr>
        <w:pStyle w:val="33"/>
        <w:spacing w:before="0" w:beforeAutospacing="0" w:after="0" w:afterAutospacing="0" w:line="360" w:lineRule="auto"/>
        <w:jc w:val="both"/>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致：</w:t>
      </w:r>
      <w:r>
        <w:rPr>
          <w:rFonts w:hint="eastAsia" w:ascii="宋体" w:hAnsi="宋体" w:eastAsia="宋体" w:cs="宋体"/>
          <w:b/>
          <w:color w:val="auto"/>
          <w:kern w:val="2"/>
          <w:szCs w:val="24"/>
          <w:highlight w:val="none"/>
          <w:u w:val="single"/>
          <w:lang w:bidi="ar"/>
        </w:rPr>
        <w:t>采购人</w:t>
      </w:r>
    </w:p>
    <w:p w14:paraId="3F15C181">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在参与本次项目投标中，我单位承诺：</w:t>
      </w:r>
    </w:p>
    <w:p w14:paraId="45E0AFAE">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（一）具有良好的商业信誉和健全的财务会计制度；</w:t>
      </w:r>
    </w:p>
    <w:p w14:paraId="6C6D3C78">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（二）具有履行合同所必需的设备和专业技术能力；</w:t>
      </w:r>
    </w:p>
    <w:p w14:paraId="165F3A16">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（三）有依法缴纳税收和社会保障资金的良好记录；</w:t>
      </w:r>
    </w:p>
    <w:p w14:paraId="7BABFF26">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4D87FB9">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（五）我单位不存在为采购项目提供整体设计、规范编制或者项目管理、监理、检测等服务后，再参加该采购项目的其他采购活动的情形（单一来源采购项目除外）；</w:t>
      </w:r>
    </w:p>
    <w:p w14:paraId="271E3EA5">
      <w:pPr>
        <w:widowControl/>
        <w:autoSpaceDE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（六）与我单位存在单位负责人为同一人或者存在直接控股、管理关系的其他法人单位信息如下（如有，不论其是否参加同一合同项下的政府采购活动均须填写）：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017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tcPr>
          <w:p w14:paraId="6AF74A55">
            <w:pPr>
              <w:widowControl/>
              <w:autoSpaceDE w:val="0"/>
              <w:spacing w:before="156" w:beforeLines="50" w:after="1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序号</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49246EBF">
            <w:pPr>
              <w:pStyle w:val="33"/>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单位名称</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166EF7DD">
            <w:pPr>
              <w:pStyle w:val="33"/>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相互关系</w:t>
            </w:r>
          </w:p>
        </w:tc>
      </w:tr>
      <w:tr w14:paraId="6837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tcPr>
          <w:p w14:paraId="67235433">
            <w:pPr>
              <w:pStyle w:val="33"/>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6756D8C6">
            <w:pPr>
              <w:pStyle w:val="33"/>
              <w:autoSpaceDE w:val="0"/>
              <w:spacing w:before="156" w:beforeLines="50" w:beforeAutospacing="0" w:after="10" w:afterAutospacing="0"/>
              <w:jc w:val="center"/>
              <w:rPr>
                <w:rFonts w:hint="eastAsia" w:ascii="宋体" w:hAnsi="宋体" w:eastAsia="宋体" w:cs="宋体"/>
                <w:color w:val="auto"/>
                <w:szCs w:val="24"/>
                <w:highlight w:val="none"/>
              </w:rPr>
            </w:pP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56783F1D">
            <w:pPr>
              <w:pStyle w:val="33"/>
              <w:autoSpaceDE w:val="0"/>
              <w:spacing w:before="156" w:beforeLines="50" w:beforeAutospacing="0" w:after="10" w:afterAutospacing="0"/>
              <w:jc w:val="center"/>
              <w:rPr>
                <w:rFonts w:hint="eastAsia" w:ascii="宋体" w:hAnsi="宋体" w:eastAsia="宋体" w:cs="宋体"/>
                <w:color w:val="auto"/>
                <w:szCs w:val="24"/>
                <w:highlight w:val="none"/>
              </w:rPr>
            </w:pPr>
          </w:p>
        </w:tc>
      </w:tr>
      <w:tr w14:paraId="38B7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tcPr>
          <w:p w14:paraId="7FFB5AEA">
            <w:pPr>
              <w:pStyle w:val="33"/>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146D29E9">
            <w:pPr>
              <w:pStyle w:val="33"/>
              <w:autoSpaceDE w:val="0"/>
              <w:spacing w:before="156" w:beforeLines="50" w:beforeAutospacing="0" w:after="10" w:afterAutospacing="0"/>
              <w:jc w:val="center"/>
              <w:rPr>
                <w:rFonts w:hint="eastAsia" w:ascii="宋体" w:hAnsi="宋体" w:eastAsia="宋体" w:cs="宋体"/>
                <w:color w:val="auto"/>
                <w:szCs w:val="24"/>
                <w:highlight w:val="none"/>
              </w:rPr>
            </w:pP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53044F17">
            <w:pPr>
              <w:pStyle w:val="33"/>
              <w:autoSpaceDE w:val="0"/>
              <w:spacing w:before="156" w:beforeLines="50" w:beforeAutospacing="0" w:after="10" w:afterAutospacing="0"/>
              <w:jc w:val="center"/>
              <w:rPr>
                <w:rFonts w:hint="eastAsia" w:ascii="宋体" w:hAnsi="宋体" w:eastAsia="宋体" w:cs="宋体"/>
                <w:color w:val="auto"/>
                <w:szCs w:val="24"/>
                <w:highlight w:val="none"/>
              </w:rPr>
            </w:pPr>
          </w:p>
        </w:tc>
      </w:tr>
    </w:tbl>
    <w:p w14:paraId="0F53AE43">
      <w:pPr>
        <w:spacing w:line="360" w:lineRule="auto"/>
        <w:ind w:firstLine="435"/>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本单位对上述声明的真实性负责。如有虚假，将依法承担相应责任。</w:t>
      </w:r>
    </w:p>
    <w:p w14:paraId="605CE80D">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olor w:val="auto"/>
          <w:sz w:val="24"/>
          <w:szCs w:val="24"/>
          <w:highlight w:val="none"/>
          <w:u w:val="single"/>
          <w:lang w:bidi="ar"/>
        </w:rPr>
        <w:t xml:space="preserve">             </w:t>
      </w:r>
    </w:p>
    <w:p w14:paraId="41A5A868">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color w:val="auto"/>
          <w:sz w:val="24"/>
          <w:szCs w:val="24"/>
          <w:highlight w:val="none"/>
          <w:u w:val="single"/>
          <w:lang w:bidi="ar"/>
        </w:rPr>
        <w:t xml:space="preserve">             </w:t>
      </w:r>
    </w:p>
    <w:p w14:paraId="0816EE96">
      <w:pPr>
        <w:pStyle w:val="33"/>
        <w:spacing w:before="0" w:after="120" w:afterAutospacing="0"/>
        <w:jc w:val="both"/>
        <w:rPr>
          <w:rFonts w:hint="eastAsia" w:ascii="宋体" w:hAnsi="宋体" w:eastAsia="宋体" w:cs="宋体"/>
          <w:color w:val="auto"/>
          <w:szCs w:val="24"/>
          <w:highlight w:val="none"/>
        </w:rPr>
      </w:pPr>
    </w:p>
    <w:p w14:paraId="57904C92">
      <w:pPr>
        <w:spacing w:line="360" w:lineRule="auto"/>
        <w:jc w:val="center"/>
        <w:outlineLvl w:val="1"/>
        <w:rPr>
          <w:rFonts w:hint="eastAsia" w:asciiTheme="minorEastAsia" w:hAnsiTheme="minorEastAsia" w:eastAsiaTheme="minorEastAsia"/>
          <w:b/>
          <w:color w:val="auto"/>
          <w:sz w:val="24"/>
          <w:highlight w:val="none"/>
        </w:rPr>
      </w:pPr>
    </w:p>
    <w:p w14:paraId="1BC6669B">
      <w:pPr>
        <w:spacing w:line="360" w:lineRule="auto"/>
        <w:jc w:val="center"/>
        <w:outlineLvl w:val="1"/>
        <w:rPr>
          <w:rFonts w:hint="eastAsia" w:asciiTheme="minorEastAsia" w:hAnsiTheme="minorEastAsia" w:eastAsiaTheme="minorEastAsia"/>
          <w:b/>
          <w:color w:val="auto"/>
          <w:sz w:val="24"/>
          <w:highlight w:val="none"/>
        </w:rPr>
      </w:pPr>
    </w:p>
    <w:p w14:paraId="79D0548B">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05854F4B">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（2）授权书</w:t>
      </w:r>
    </w:p>
    <w:p w14:paraId="233066BD">
      <w:pPr>
        <w:pStyle w:val="33"/>
        <w:snapToGrid w:val="0"/>
        <w:spacing w:before="0" w:beforeAutospacing="0" w:after="0" w:afterAutospacing="0" w:line="360" w:lineRule="auto"/>
        <w:ind w:firstLine="480" w:firstLineChars="200"/>
        <w:rPr>
          <w:rFonts w:hint="eastAsia" w:ascii="宋体" w:hAnsi="宋体" w:eastAsia="宋体"/>
          <w:color w:val="auto"/>
          <w:kern w:val="2"/>
          <w:szCs w:val="24"/>
          <w:highlight w:val="none"/>
        </w:rPr>
      </w:pPr>
    </w:p>
    <w:p w14:paraId="2023F54B">
      <w:pPr>
        <w:spacing w:line="360" w:lineRule="auto"/>
        <w:ind w:firstLine="435"/>
        <w:rPr>
          <w:rFonts w:hint="eastAsia" w:hAnsi="宋体" w:eastAsia="宋体"/>
          <w:color w:val="auto"/>
          <w:sz w:val="24"/>
          <w:szCs w:val="24"/>
          <w:highlight w:val="none"/>
        </w:rPr>
      </w:pPr>
      <w:r>
        <w:rPr>
          <w:rFonts w:hint="eastAsia" w:ascii="宋体" w:hAnsi="宋体" w:eastAsia="宋体" w:cs="宋体"/>
          <w:color w:val="auto"/>
          <w:sz w:val="24"/>
          <w:szCs w:val="24"/>
          <w:highlight w:val="none"/>
          <w:lang w:bidi="ar"/>
        </w:rPr>
        <w:t>本授权书声明：</w:t>
      </w:r>
      <w:r>
        <w:rPr>
          <w:rFonts w:hint="eastAsia" w:hAnsi="宋体" w:eastAsia="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（投标人名称）授权</w:t>
      </w:r>
      <w:r>
        <w:rPr>
          <w:rFonts w:hint="eastAsia" w:hAnsi="宋体" w:eastAsia="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（投标人授权代表姓名）代表我方参加本项目</w:t>
      </w:r>
      <w:r>
        <w:rPr>
          <w:rFonts w:hint="eastAsia" w:ascii="宋体" w:hAnsi="宋体" w:eastAsia="宋体" w:cs="宋体"/>
          <w:bCs/>
          <w:color w:val="auto"/>
          <w:sz w:val="24"/>
          <w:szCs w:val="24"/>
          <w:highlight w:val="none"/>
          <w:lang w:bidi="ar"/>
        </w:rPr>
        <w:t>采购活动</w:t>
      </w:r>
      <w:r>
        <w:rPr>
          <w:rFonts w:hint="eastAsia" w:ascii="宋体" w:hAnsi="宋体" w:eastAsia="宋体" w:cs="宋体"/>
          <w:color w:val="auto"/>
          <w:sz w:val="24"/>
          <w:szCs w:val="24"/>
          <w:highlight w:val="none"/>
          <w:lang w:bidi="ar"/>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16BAEA96">
      <w:pPr>
        <w:spacing w:line="360" w:lineRule="auto"/>
        <w:ind w:firstLine="435"/>
        <w:rPr>
          <w:rFonts w:hint="eastAsia" w:hAnsi="宋体" w:eastAsia="宋体"/>
          <w:color w:val="auto"/>
          <w:sz w:val="24"/>
          <w:szCs w:val="24"/>
          <w:highlight w:val="none"/>
        </w:rPr>
      </w:pPr>
      <w:r>
        <w:rPr>
          <w:rFonts w:hint="eastAsia" w:ascii="宋体" w:hAnsi="宋体" w:eastAsia="宋体" w:cs="宋体"/>
          <w:color w:val="auto"/>
          <w:sz w:val="24"/>
          <w:szCs w:val="24"/>
          <w:highlight w:val="none"/>
          <w:lang w:bidi="ar"/>
        </w:rPr>
        <w:t>本授权书自出具之日起生效。</w:t>
      </w:r>
    </w:p>
    <w:p w14:paraId="0C8F8BB8">
      <w:pPr>
        <w:spacing w:line="360" w:lineRule="auto"/>
        <w:ind w:firstLine="435"/>
        <w:rPr>
          <w:rFonts w:hint="eastAsia" w:hAnsi="宋体" w:eastAsia="宋体"/>
          <w:color w:val="auto"/>
          <w:sz w:val="24"/>
          <w:szCs w:val="24"/>
          <w:highlight w:val="none"/>
        </w:rPr>
      </w:pPr>
      <w:r>
        <w:rPr>
          <w:rFonts w:hint="eastAsia" w:ascii="宋体" w:hAnsi="宋体" w:eastAsia="宋体" w:cs="宋体"/>
          <w:color w:val="auto"/>
          <w:sz w:val="24"/>
          <w:szCs w:val="24"/>
          <w:highlight w:val="none"/>
          <w:lang w:bidi="ar"/>
        </w:rPr>
        <w:t>授权代表身份证明扫描件：</w:t>
      </w:r>
    </w:p>
    <w:p w14:paraId="1523E227">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0A9F2928">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2F437BCF">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0E44DCCA">
      <w:pPr>
        <w:spacing w:line="360" w:lineRule="auto"/>
        <w:ind w:firstLine="435"/>
        <w:rPr>
          <w:rFonts w:hint="eastAsia" w:hAnsi="宋体" w:eastAsia="宋体"/>
          <w:color w:val="auto"/>
          <w:sz w:val="24"/>
          <w:szCs w:val="24"/>
          <w:highlight w:val="none"/>
          <w:u w:val="single"/>
        </w:rPr>
      </w:pPr>
      <w:r>
        <w:rPr>
          <w:rFonts w:hint="eastAsia" w:ascii="宋体" w:hAnsi="宋体" w:eastAsia="宋体" w:cs="宋体"/>
          <w:color w:val="auto"/>
          <w:sz w:val="24"/>
          <w:szCs w:val="24"/>
          <w:highlight w:val="none"/>
          <w:lang w:bidi="ar"/>
        </w:rPr>
        <w:t>授权代表联系方式：</w:t>
      </w:r>
      <w:r>
        <w:rPr>
          <w:rFonts w:hint="eastAsia" w:hAnsi="宋体" w:eastAsia="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bidi="ar"/>
        </w:rPr>
        <w:t>（请填写手机号码）</w:t>
      </w:r>
    </w:p>
    <w:p w14:paraId="52BFBF89">
      <w:pPr>
        <w:spacing w:line="360" w:lineRule="auto"/>
        <w:ind w:firstLine="435"/>
        <w:rPr>
          <w:rFonts w:hint="eastAsia" w:hAnsi="宋体" w:eastAsia="宋体"/>
          <w:color w:val="auto"/>
          <w:sz w:val="24"/>
          <w:szCs w:val="24"/>
          <w:highlight w:val="none"/>
        </w:rPr>
      </w:pPr>
      <w:r>
        <w:rPr>
          <w:rFonts w:hAnsi="宋体" w:eastAsia="宋体"/>
          <w:color w:val="auto"/>
          <w:sz w:val="24"/>
          <w:szCs w:val="24"/>
          <w:highlight w:val="none"/>
          <w:lang w:bidi="ar"/>
        </w:rPr>
        <w:t xml:space="preserve"> </w:t>
      </w:r>
    </w:p>
    <w:p w14:paraId="25B6E572">
      <w:pPr>
        <w:spacing w:line="360" w:lineRule="auto"/>
        <w:ind w:firstLine="435"/>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特此声明。</w:t>
      </w:r>
    </w:p>
    <w:p w14:paraId="336E784C">
      <w:pPr>
        <w:spacing w:line="360" w:lineRule="auto"/>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5E336FFC">
      <w:pPr>
        <w:spacing w:line="360" w:lineRule="auto"/>
        <w:ind w:firstLine="435"/>
        <w:jc w:val="center"/>
        <w:rPr>
          <w:rFonts w:hint="eastAsia" w:ascii="宋体" w:hAnsi="宋体" w:eastAsia="宋体"/>
          <w:bCs/>
          <w:color w:val="auto"/>
          <w:sz w:val="24"/>
          <w:szCs w:val="24"/>
          <w:highlight w:val="none"/>
        </w:rPr>
      </w:pPr>
      <w:r>
        <w:rPr>
          <w:rFonts w:hint="eastAsia" w:ascii="宋体" w:hAnsi="宋体" w:eastAsia="宋体"/>
          <w:bCs/>
          <w:color w:val="auto"/>
          <w:sz w:val="24"/>
          <w:szCs w:val="24"/>
          <w:highlight w:val="none"/>
          <w:lang w:bidi="ar"/>
        </w:rPr>
        <w:t xml:space="preserve">                            </w:t>
      </w:r>
      <w:r>
        <w:rPr>
          <w:rFonts w:hint="eastAsia" w:ascii="宋体" w:hAnsi="宋体" w:eastAsia="宋体" w:cs="宋体"/>
          <w:bCs/>
          <w:color w:val="auto"/>
          <w:sz w:val="24"/>
          <w:szCs w:val="24"/>
          <w:highlight w:val="none"/>
          <w:lang w:bidi="ar"/>
        </w:rPr>
        <w:t>投标人电子签章：</w:t>
      </w:r>
      <w:r>
        <w:rPr>
          <w:rFonts w:hint="eastAsia" w:ascii="宋体" w:hAnsi="宋体" w:eastAsia="宋体"/>
          <w:bCs/>
          <w:color w:val="auto"/>
          <w:sz w:val="24"/>
          <w:szCs w:val="24"/>
          <w:highlight w:val="none"/>
          <w:u w:val="single"/>
          <w:lang w:bidi="ar"/>
        </w:rPr>
        <w:t xml:space="preserve">                    </w:t>
      </w:r>
    </w:p>
    <w:p w14:paraId="539E4D47">
      <w:pPr>
        <w:spacing w:line="360" w:lineRule="auto"/>
        <w:ind w:firstLine="435"/>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b/>
          <w:bCs/>
          <w:color w:val="auto"/>
          <w:sz w:val="24"/>
          <w:szCs w:val="24"/>
          <w:highlight w:val="none"/>
          <w:u w:val="single"/>
          <w:lang w:bidi="ar"/>
        </w:rPr>
        <w:t xml:space="preserve">                    </w:t>
      </w:r>
    </w:p>
    <w:p w14:paraId="2363E578">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688388B7">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3636469B">
      <w:pPr>
        <w:spacing w:line="360" w:lineRule="auto"/>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注：</w:t>
      </w:r>
    </w:p>
    <w:p w14:paraId="6E8D8BA6">
      <w:pPr>
        <w:spacing w:line="360" w:lineRule="auto"/>
        <w:ind w:firstLine="435"/>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1.本项目只允许有唯一的投标人授权代表，提供身份证明扫描件；</w:t>
      </w:r>
    </w:p>
    <w:p w14:paraId="0E5E0799">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2.法定代表人参加投标的无需提供授权书，提供身份证明扫描件。</w:t>
      </w:r>
    </w:p>
    <w:p w14:paraId="70D882D0">
      <w:pPr>
        <w:spacing w:line="360" w:lineRule="auto"/>
        <w:jc w:val="center"/>
        <w:outlineLvl w:val="1"/>
        <w:rPr>
          <w:rFonts w:hint="eastAsia" w:asciiTheme="minorEastAsia" w:hAnsiTheme="minorEastAsia" w:eastAsiaTheme="minorEastAsia"/>
          <w:b/>
          <w:color w:val="auto"/>
          <w:sz w:val="24"/>
          <w:highlight w:val="none"/>
        </w:rPr>
      </w:pPr>
    </w:p>
    <w:p w14:paraId="41BBE593">
      <w:pPr>
        <w:spacing w:line="360" w:lineRule="auto"/>
        <w:jc w:val="center"/>
        <w:outlineLvl w:val="1"/>
        <w:rPr>
          <w:rFonts w:hint="eastAsia" w:asciiTheme="minorEastAsia" w:hAnsiTheme="minorEastAsia" w:eastAsiaTheme="minorEastAsia"/>
          <w:b/>
          <w:color w:val="auto"/>
          <w:sz w:val="24"/>
          <w:highlight w:val="none"/>
        </w:rPr>
      </w:pPr>
    </w:p>
    <w:p w14:paraId="17A04CD0">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6DDA9267">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（3）诚信投标承诺书</w:t>
      </w:r>
    </w:p>
    <w:p w14:paraId="5F5F82F1">
      <w:pPr>
        <w:spacing w:line="5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本人以企业法定代表人的身份郑重承诺：</w:t>
      </w:r>
    </w:p>
    <w:p w14:paraId="224955AF">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一、将遵循公开、公正和诚实信用的原则自愿参加</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项目的投标，所提供的一切材料都是真实、有效、合法的；</w:t>
      </w:r>
    </w:p>
    <w:p w14:paraId="1361DD4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2FBABB51">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三、不出借、转让资质证书，不让他人挂靠投标，不以他人名义投标或者以其他方式弄虚作假，骗取中标；</w:t>
      </w:r>
    </w:p>
    <w:p w14:paraId="01030736">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四、不与其他投标人相互串通投标报价，不排挤其他投标人的公平竞争、损害招标人的合法权益；</w:t>
      </w:r>
    </w:p>
    <w:p w14:paraId="424F8700">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五、不与招标人、招标代理机构或其他投标人串通投标，损害国家利益、社会公共利益或者他人的合法权益；</w:t>
      </w:r>
    </w:p>
    <w:p w14:paraId="2C9B5496">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六、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（企业名称）或</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企业名称）法定代表人或拟派项目经理（负责人）没有下列情形：①被列入“信用中国”网站“失信被执行人”的；②被列入“信用中国”网站“重大税收违法失信主体”的；③被列入“信用中国”网站“严重失信主体名单”的；④在“信用中国”网站上披露的仍在公示期的严重失信行为(具体行为类别及判定依据见附件2)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4B20FBF9">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七、我公司没有下列情形：被滁州市县两级公管部门记入不良行为记录且在披露期内。</w:t>
      </w:r>
    </w:p>
    <w:p w14:paraId="3C35B1E1">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八、严格遵守开标现场纪律，服从监管人员管理；</w:t>
      </w:r>
    </w:p>
    <w:p w14:paraId="266B32E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九、保证中标后不转包，若有分包征得</w:t>
      </w:r>
      <w:r>
        <w:rPr>
          <w:rFonts w:hint="eastAsia" w:ascii="宋体" w:hAnsi="宋体" w:eastAsia="宋体" w:cs="宋体"/>
          <w:color w:val="auto"/>
          <w:szCs w:val="21"/>
          <w:highlight w:val="none"/>
          <w:lang w:val="en-US" w:eastAsia="zh-CN" w:bidi="ar"/>
        </w:rPr>
        <w:t>采购</w:t>
      </w:r>
      <w:r>
        <w:rPr>
          <w:rFonts w:hint="eastAsia" w:ascii="宋体" w:hAnsi="宋体" w:eastAsia="宋体" w:cs="宋体"/>
          <w:color w:val="auto"/>
          <w:szCs w:val="21"/>
          <w:highlight w:val="none"/>
          <w:lang w:bidi="ar"/>
        </w:rPr>
        <w:t>人同意；</w:t>
      </w:r>
    </w:p>
    <w:p w14:paraId="12F6535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十、保证中标之后，按照投标文件要求提供相关后续服务；</w:t>
      </w:r>
    </w:p>
    <w:p w14:paraId="022072B5">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十一、保证企业及所属相关人员在本次投标中无行贿等犯罪行为；</w:t>
      </w:r>
    </w:p>
    <w:p w14:paraId="09846A77">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二、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738EE0CD">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以上内容我已仔细阅读，本公司若有违反承诺内容的行为，自愿接受取消投标或者中标资格、记入不良行为记录等有关处理，愿意承担法律责任，给招标人造成损失的，依法承担赔偿责任。</w:t>
      </w:r>
    </w:p>
    <w:p w14:paraId="015C945E">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21A2EFA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开户银行：                      基本账户：</w:t>
      </w:r>
    </w:p>
    <w:p w14:paraId="0840788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投标单位（签章）：              法定代表人（签章）：</w:t>
      </w:r>
    </w:p>
    <w:p w14:paraId="4EF26DD9">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61FA734A">
      <w:pPr>
        <w:spacing w:line="560" w:lineRule="exact"/>
        <w:jc w:val="right"/>
        <w:rPr>
          <w:rFonts w:hint="eastAsia" w:ascii="仿宋_GB2312" w:eastAsia="仿宋_GB2312" w:cs="仿宋_GB2312"/>
          <w:color w:val="auto"/>
          <w:sz w:val="32"/>
          <w:szCs w:val="32"/>
          <w:highlight w:val="none"/>
        </w:rPr>
      </w:pPr>
      <w:r>
        <w:rPr>
          <w:rFonts w:hint="eastAsia" w:ascii="宋体" w:hAnsi="宋体" w:eastAsia="宋体" w:cs="宋体"/>
          <w:color w:val="auto"/>
          <w:szCs w:val="21"/>
          <w:highlight w:val="none"/>
          <w:lang w:bidi="ar"/>
        </w:rPr>
        <w:t>日期：</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年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月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日</w:t>
      </w:r>
    </w:p>
    <w:p w14:paraId="00344E8D">
      <w:pPr>
        <w:spacing w:line="360" w:lineRule="auto"/>
        <w:jc w:val="center"/>
        <w:outlineLvl w:val="1"/>
        <w:rPr>
          <w:rFonts w:hint="eastAsia" w:asciiTheme="minorEastAsia" w:hAnsiTheme="minorEastAsia" w:eastAsiaTheme="minorEastAsia"/>
          <w:b/>
          <w:color w:val="auto"/>
          <w:sz w:val="24"/>
          <w:highlight w:val="none"/>
        </w:rPr>
      </w:pPr>
    </w:p>
    <w:p w14:paraId="58A55093">
      <w:pPr>
        <w:spacing w:line="360" w:lineRule="auto"/>
        <w:jc w:val="center"/>
        <w:outlineLvl w:val="1"/>
        <w:rPr>
          <w:rFonts w:hint="eastAsia" w:asciiTheme="minorEastAsia" w:hAnsiTheme="minorEastAsia" w:eastAsiaTheme="minorEastAsia"/>
          <w:b/>
          <w:color w:val="auto"/>
          <w:sz w:val="24"/>
          <w:highlight w:val="none"/>
        </w:rPr>
      </w:pPr>
    </w:p>
    <w:p w14:paraId="2A236C8F">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bookmarkStart w:id="589" w:name="_Toc9864"/>
      <w:bookmarkStart w:id="590" w:name="_Toc11594"/>
    </w:p>
    <w:p w14:paraId="0356EA23">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1D2ED7EF">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46BD180C">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03BAD210">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776F08B7">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326DCE2A">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12F82B40">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3CE09400">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79F4BFF0">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37B88F02">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0FD29AC2">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600A6EE8">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6F2E3B83">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483042C4">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7D254A76">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38FB1A47">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76818C60">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bookmarkEnd w:id="589"/>
    <w:bookmarkEnd w:id="590"/>
    <w:p w14:paraId="2FC37E1F">
      <w:pPr>
        <w:jc w:val="both"/>
        <w:rPr>
          <w:rFonts w:hint="eastAsia" w:asciiTheme="minorEastAsia" w:hAnsiTheme="minorEastAsia" w:eastAsiaTheme="minorEastAsia"/>
          <w:b/>
          <w:color w:val="auto"/>
          <w:sz w:val="24"/>
          <w:highlight w:val="none"/>
        </w:rPr>
      </w:pPr>
    </w:p>
    <w:p w14:paraId="3E2E6F06">
      <w:pPr>
        <w:jc w:val="center"/>
        <w:rPr>
          <w:rFonts w:hint="eastAsia" w:asciiTheme="minorEastAsia" w:hAnsiTheme="minorEastAsia" w:eastAsiaTheme="minorEastAsia"/>
          <w:b/>
          <w:color w:val="auto"/>
          <w:sz w:val="24"/>
          <w:highlight w:val="none"/>
        </w:rPr>
      </w:pPr>
    </w:p>
    <w:p w14:paraId="2CFCD1F8">
      <w:pPr>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3</w:t>
      </w:r>
      <w:r>
        <w:rPr>
          <w:rFonts w:hint="eastAsia" w:asciiTheme="minorEastAsia" w:hAnsiTheme="minorEastAsia" w:eastAsiaTheme="minorEastAsia"/>
          <w:b/>
          <w:color w:val="auto"/>
          <w:sz w:val="24"/>
          <w:highlight w:val="none"/>
        </w:rPr>
        <w:t>）其他相关证明材料</w:t>
      </w:r>
    </w:p>
    <w:p w14:paraId="38A41B80">
      <w:pPr>
        <w:spacing w:line="360" w:lineRule="auto"/>
        <w:ind w:firstLine="435"/>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如有</w:t>
      </w:r>
      <w:r>
        <w:rPr>
          <w:rFonts w:asciiTheme="minorEastAsia" w:hAnsiTheme="minorEastAsia" w:eastAsiaTheme="minorEastAsia"/>
          <w:color w:val="auto"/>
          <w:sz w:val="24"/>
          <w:highlight w:val="none"/>
        </w:rPr>
        <w:t>。</w:t>
      </w:r>
    </w:p>
    <w:p w14:paraId="77556315">
      <w:pP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br w:type="page"/>
      </w:r>
    </w:p>
    <w:p w14:paraId="0D6C2353">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二、技术标格式文件</w:t>
      </w:r>
    </w:p>
    <w:p w14:paraId="0830B476">
      <w:pPr>
        <w:jc w:val="cente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0C27B791">
      <w:pP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54B08DD0">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4BC2DD63">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技术标</w:t>
      </w:r>
    </w:p>
    <w:p w14:paraId="353C08E2">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（投标文件二）</w:t>
      </w:r>
    </w:p>
    <w:p w14:paraId="2D3318AF">
      <w:pPr>
        <w:jc w:val="center"/>
        <w:rPr>
          <w:rFonts w:hint="eastAsia" w:ascii="宋体" w:hAnsi="宋体" w:eastAsia="宋体" w:cs="宋体"/>
          <w:color w:val="auto"/>
          <w:sz w:val="32"/>
          <w:szCs w:val="32"/>
          <w:highlight w:val="none"/>
          <w:u w:val="single"/>
        </w:rPr>
      </w:pPr>
    </w:p>
    <w:p w14:paraId="364713C3">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4B215B5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21CF6C0">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7E9E9AAA">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1205822B">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AF39865">
      <w:pPr>
        <w:jc w:val="center"/>
        <w:rPr>
          <w:rFonts w:hint="eastAsia" w:ascii="宋体" w:hAnsi="宋体" w:eastAsia="宋体" w:cs="宋体"/>
          <w:color w:val="auto"/>
          <w:sz w:val="28"/>
          <w:szCs w:val="28"/>
          <w:highlight w:val="none"/>
        </w:rPr>
      </w:pPr>
    </w:p>
    <w:p w14:paraId="1B3D1130">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53B9F6BF">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B2C34C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5EA172C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1BA2F3F0">
      <w:pPr>
        <w:autoSpaceDE w:val="0"/>
        <w:spacing w:line="360" w:lineRule="auto"/>
        <w:jc w:val="center"/>
        <w:rPr>
          <w:rFonts w:hint="eastAsia" w:ascii="宋体" w:hAnsi="宋体" w:eastAsia="宋体" w:cs="宋体"/>
          <w:color w:val="auto"/>
          <w:sz w:val="28"/>
          <w:szCs w:val="28"/>
          <w:highlight w:val="none"/>
          <w:lang w:bidi="ar"/>
        </w:rPr>
      </w:pPr>
    </w:p>
    <w:p w14:paraId="012862A2">
      <w:pPr>
        <w:autoSpaceDE w:val="0"/>
        <w:spacing w:line="360" w:lineRule="auto"/>
        <w:jc w:val="center"/>
        <w:rPr>
          <w:rFonts w:hint="eastAsia" w:ascii="宋体" w:hAnsi="宋体" w:eastAsia="宋体" w:cs="宋体"/>
          <w:color w:val="auto"/>
          <w:sz w:val="28"/>
          <w:szCs w:val="28"/>
          <w:highlight w:val="none"/>
          <w:lang w:bidi="ar"/>
        </w:rPr>
      </w:pPr>
    </w:p>
    <w:p w14:paraId="4F8830B6">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623CF201">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5CA297EB">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603FE585">
      <w:pPr>
        <w:spacing w:line="360" w:lineRule="auto"/>
        <w:jc w:val="center"/>
        <w:outlineLvl w:val="1"/>
        <w:rPr>
          <w:rFonts w:hint="eastAsia" w:asciiTheme="minorEastAsia" w:hAnsiTheme="minorEastAsia" w:eastAsiaTheme="minorEastAsia"/>
          <w:b/>
          <w:color w:val="auto"/>
          <w:sz w:val="24"/>
          <w:highlight w:val="none"/>
        </w:rPr>
      </w:pPr>
    </w:p>
    <w:p w14:paraId="766E65C1">
      <w:pPr>
        <w:spacing w:line="360" w:lineRule="auto"/>
        <w:jc w:val="center"/>
        <w:outlineLvl w:val="1"/>
        <w:rPr>
          <w:rFonts w:hint="eastAsia" w:asciiTheme="minorEastAsia" w:hAnsiTheme="minorEastAsia" w:eastAsiaTheme="minorEastAsia"/>
          <w:b/>
          <w:color w:val="auto"/>
          <w:sz w:val="24"/>
          <w:highlight w:val="none"/>
        </w:rPr>
      </w:pPr>
    </w:p>
    <w:p w14:paraId="0E4E4CCA">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目   录</w:t>
      </w:r>
    </w:p>
    <w:p w14:paraId="6511B283">
      <w:pPr>
        <w:spacing w:line="400" w:lineRule="exact"/>
        <w:ind w:firstLine="3744" w:firstLineChars="1036"/>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 xml:space="preserve"> </w:t>
      </w:r>
    </w:p>
    <w:p w14:paraId="621582FF">
      <w:pPr>
        <w:spacing w:line="400" w:lineRule="exact"/>
        <w:ind w:firstLine="480" w:firstLineChars="200"/>
        <w:rPr>
          <w:rFonts w:hint="eastAsia" w:ascii="宋体" w:hAnsi="宋体" w:eastAsia="宋体" w:cs="宋体"/>
          <w:bCs/>
          <w:color w:val="auto"/>
          <w:sz w:val="24"/>
          <w:szCs w:val="24"/>
          <w:highlight w:val="none"/>
          <w:lang w:bidi="ar"/>
        </w:rPr>
      </w:pPr>
      <w:r>
        <w:rPr>
          <w:rFonts w:hint="eastAsia" w:cs="Times New Roman" w:asciiTheme="minorEastAsia" w:hAnsiTheme="minorEastAsia" w:eastAsiaTheme="minorEastAsia"/>
          <w:color w:val="auto"/>
          <w:sz w:val="24"/>
          <w:szCs w:val="24"/>
          <w:highlight w:val="none"/>
        </w:rPr>
        <w:t>（</w:t>
      </w:r>
      <w:r>
        <w:rPr>
          <w:rFonts w:hint="eastAsia" w:ascii="宋体" w:hAnsi="宋体" w:eastAsia="宋体" w:cs="宋体"/>
          <w:bCs/>
          <w:color w:val="auto"/>
          <w:sz w:val="24"/>
          <w:szCs w:val="24"/>
          <w:highlight w:val="none"/>
          <w:lang w:bidi="ar"/>
        </w:rPr>
        <w:t>1）投标响应表（格式见附件）；</w:t>
      </w:r>
    </w:p>
    <w:p w14:paraId="2CC2F521">
      <w:pPr>
        <w:spacing w:line="400" w:lineRule="exact"/>
        <w:ind w:firstLine="480" w:firstLineChars="20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（2）诚信履约承诺函（格式见附件）；</w:t>
      </w:r>
    </w:p>
    <w:p w14:paraId="5615E52B">
      <w:pPr>
        <w:spacing w:line="400" w:lineRule="exact"/>
        <w:ind w:firstLine="480" w:firstLineChars="20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（3）招标文件中要求的技术标评审及技术标评分的支持资料；</w:t>
      </w:r>
    </w:p>
    <w:p w14:paraId="5331A4D6">
      <w:pPr>
        <w:spacing w:line="400" w:lineRule="exact"/>
        <w:ind w:firstLine="480" w:firstLineChars="20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（4）其他（如有）。</w:t>
      </w:r>
    </w:p>
    <w:p w14:paraId="4C4241EE">
      <w:pPr>
        <w:spacing w:line="400" w:lineRule="exact"/>
        <w:ind w:firstLine="480" w:firstLineChars="200"/>
        <w:rPr>
          <w:rFonts w:hint="eastAsia" w:ascii="宋体" w:hAnsi="宋体" w:eastAsia="宋体" w:cs="宋体"/>
          <w:bCs/>
          <w:color w:val="auto"/>
          <w:sz w:val="24"/>
          <w:szCs w:val="24"/>
          <w:highlight w:val="none"/>
          <w:lang w:bidi="ar"/>
        </w:rPr>
      </w:pPr>
    </w:p>
    <w:p w14:paraId="5A0252CB">
      <w:pPr>
        <w:spacing w:line="360" w:lineRule="auto"/>
        <w:jc w:val="center"/>
        <w:outlineLvl w:val="1"/>
        <w:rPr>
          <w:rFonts w:hint="eastAsia" w:asciiTheme="minorEastAsia" w:hAnsiTheme="minorEastAsia" w:eastAsiaTheme="minorEastAsia"/>
          <w:b/>
          <w:color w:val="auto"/>
          <w:sz w:val="24"/>
          <w:highlight w:val="none"/>
        </w:rPr>
      </w:pPr>
    </w:p>
    <w:p w14:paraId="66F039C8">
      <w:pPr>
        <w:spacing w:line="360" w:lineRule="auto"/>
        <w:jc w:val="center"/>
        <w:outlineLvl w:val="1"/>
        <w:rPr>
          <w:rFonts w:hint="eastAsia" w:asciiTheme="minorEastAsia" w:hAnsiTheme="minorEastAsia" w:eastAsiaTheme="minorEastAsia"/>
          <w:b/>
          <w:color w:val="auto"/>
          <w:sz w:val="24"/>
          <w:highlight w:val="none"/>
        </w:rPr>
      </w:pPr>
    </w:p>
    <w:p w14:paraId="1185162C">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07738512">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（1）投标响应表</w:t>
      </w:r>
    </w:p>
    <w:p w14:paraId="0286824E">
      <w:pPr>
        <w:spacing w:line="360" w:lineRule="auto"/>
        <w:ind w:firstLine="435"/>
        <w:outlineLvl w:val="2"/>
        <w:rPr>
          <w:rFonts w:hint="eastAsia" w:ascii="宋体" w:hAnsi="宋体" w:eastAsia="宋体"/>
          <w:b/>
          <w:color w:val="auto"/>
          <w:sz w:val="24"/>
          <w:szCs w:val="24"/>
          <w:highlight w:val="none"/>
        </w:rPr>
      </w:pPr>
      <w:r>
        <w:rPr>
          <w:rFonts w:hint="eastAsia" w:ascii="宋体" w:hAnsi="宋体" w:eastAsia="宋体" w:cs="宋体"/>
          <w:b/>
          <w:color w:val="auto"/>
          <w:sz w:val="24"/>
          <w:szCs w:val="24"/>
          <w:highlight w:val="none"/>
          <w:lang w:bidi="ar"/>
        </w:rPr>
        <w:t>1</w:t>
      </w:r>
      <w:r>
        <w:rPr>
          <w:rFonts w:hint="eastAsia" w:ascii="宋体" w:hAnsi="宋体" w:eastAsia="宋体"/>
          <w:b/>
          <w:color w:val="auto"/>
          <w:sz w:val="24"/>
          <w:szCs w:val="24"/>
          <w:highlight w:val="none"/>
          <w:lang w:bidi="ar"/>
        </w:rPr>
        <w:t>.1</w:t>
      </w:r>
      <w:r>
        <w:rPr>
          <w:rFonts w:hint="eastAsia" w:ascii="宋体" w:hAnsi="宋体" w:eastAsia="宋体" w:cs="宋体"/>
          <w:b/>
          <w:color w:val="auto"/>
          <w:sz w:val="24"/>
          <w:szCs w:val="24"/>
          <w:highlight w:val="none"/>
          <w:lang w:bidi="ar"/>
        </w:rPr>
        <w:t>商务响应表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992"/>
        <w:gridCol w:w="2596"/>
        <w:gridCol w:w="2676"/>
        <w:gridCol w:w="842"/>
      </w:tblGrid>
      <w:tr w14:paraId="51C5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C758061">
            <w:pPr>
              <w:pStyle w:val="33"/>
              <w:spacing w:before="0" w:beforeAutospacing="0" w:after="0" w:afterAutospacing="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序号</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14:paraId="2C4CDE40">
            <w:pPr>
              <w:pStyle w:val="33"/>
              <w:spacing w:before="0" w:beforeAutospacing="0" w:after="0" w:afterAutospacing="0"/>
              <w:jc w:val="center"/>
              <w:rPr>
                <w:rFonts w:hint="eastAsia" w:ascii="宋体" w:hAnsi="宋体" w:eastAsia="宋体" w:cs="Wingdings"/>
                <w:b/>
                <w:color w:val="auto"/>
                <w:kern w:val="2"/>
                <w:szCs w:val="24"/>
                <w:highlight w:val="none"/>
              </w:rPr>
            </w:pPr>
            <w:r>
              <w:rPr>
                <w:rFonts w:hint="eastAsia" w:ascii="宋体" w:hAnsi="宋体" w:eastAsia="宋体" w:cs="宋体"/>
                <w:b/>
                <w:bCs/>
                <w:color w:val="auto"/>
                <w:kern w:val="2"/>
                <w:szCs w:val="24"/>
                <w:highlight w:val="none"/>
                <w:lang w:bidi="ar"/>
              </w:rPr>
              <w:t>商务条款</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100516A1">
            <w:pPr>
              <w:pStyle w:val="33"/>
              <w:spacing w:before="0" w:beforeAutospacing="0" w:after="0" w:afterAutospacing="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招标文件要求</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B3CF192">
            <w:pPr>
              <w:pStyle w:val="33"/>
              <w:spacing w:before="0" w:beforeAutospacing="0" w:after="0" w:afterAutospacing="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投标人承诺</w:t>
            </w: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2A50640E">
            <w:pPr>
              <w:pStyle w:val="33"/>
              <w:spacing w:before="0" w:beforeAutospacing="0" w:after="0" w:afterAutospacing="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偏离说明</w:t>
            </w:r>
          </w:p>
        </w:tc>
      </w:tr>
      <w:tr w14:paraId="40E5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69658DD0">
            <w:pPr>
              <w:jc w:val="center"/>
              <w:rPr>
                <w:rFonts w:hint="eastAsia" w:ascii="宋体" w:hAnsi="宋体" w:eastAsia="宋体"/>
                <w:color w:val="auto"/>
                <w:sz w:val="24"/>
                <w:szCs w:val="24"/>
                <w:highlight w:val="none"/>
              </w:rPr>
            </w:pPr>
            <w:r>
              <w:rPr>
                <w:rFonts w:asciiTheme="minorEastAsia" w:hAnsiTheme="minorEastAsia" w:eastAsiaTheme="minorEastAsia"/>
                <w:color w:val="auto"/>
                <w:sz w:val="24"/>
                <w:highlight w:val="none"/>
              </w:rPr>
              <w:t>1</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1799474D">
            <w:pPr>
              <w:jc w:val="center"/>
              <w:rPr>
                <w:rFonts w:hint="eastAsia" w:ascii="宋体" w:hAnsi="宋体" w:eastAsia="宋体"/>
                <w:color w:val="auto"/>
                <w:sz w:val="24"/>
                <w:szCs w:val="24"/>
                <w:highlight w:val="none"/>
              </w:rPr>
            </w:pPr>
            <w:r>
              <w:rPr>
                <w:rFonts w:asciiTheme="minorEastAsia" w:hAnsiTheme="minorEastAsia" w:eastAsiaTheme="minorEastAsia"/>
                <w:color w:val="auto"/>
                <w:sz w:val="24"/>
                <w:highlight w:val="none"/>
              </w:rPr>
              <w:t>付款方式</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3E8E092C">
            <w:pPr>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5FDFCE7">
            <w:pPr>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754D1636">
            <w:pPr>
              <w:jc w:val="center"/>
              <w:rPr>
                <w:rFonts w:hint="eastAsia" w:ascii="宋体" w:hAnsi="宋体" w:eastAsia="宋体"/>
                <w:color w:val="auto"/>
                <w:sz w:val="24"/>
                <w:szCs w:val="24"/>
                <w:highlight w:val="none"/>
              </w:rPr>
            </w:pPr>
          </w:p>
        </w:tc>
      </w:tr>
      <w:tr w14:paraId="6927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5D15D897">
            <w:pPr>
              <w:jc w:val="center"/>
              <w:rPr>
                <w:rFonts w:hint="eastAsia" w:ascii="宋体" w:hAnsi="宋体" w:eastAsia="宋体"/>
                <w:color w:val="auto"/>
                <w:sz w:val="24"/>
                <w:szCs w:val="24"/>
                <w:highlight w:val="none"/>
              </w:rPr>
            </w:pPr>
            <w:r>
              <w:rPr>
                <w:rFonts w:hint="eastAsia" w:asciiTheme="minorEastAsia" w:hAnsiTheme="minorEastAsia" w:eastAsiaTheme="minorEastAsia"/>
                <w:color w:val="auto"/>
                <w:sz w:val="24"/>
                <w:highlight w:val="none"/>
              </w:rPr>
              <w:t>2</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71ABDA43">
            <w:pPr>
              <w:jc w:val="center"/>
              <w:rPr>
                <w:rFonts w:hint="eastAsia" w:ascii="宋体" w:hAnsi="宋体" w:eastAsia="宋体"/>
                <w:color w:val="auto"/>
                <w:sz w:val="24"/>
                <w:szCs w:val="24"/>
                <w:highlight w:val="none"/>
              </w:rPr>
            </w:pPr>
            <w:r>
              <w:rPr>
                <w:rFonts w:hint="eastAsia" w:ascii="宋体" w:hAnsi="宋体" w:eastAsia="宋体"/>
                <w:color w:val="auto"/>
                <w:sz w:val="24"/>
                <w:highlight w:val="none"/>
              </w:rPr>
              <w:t>服务地点</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18A4FFCA">
            <w:pPr>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69190349">
            <w:pPr>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16CFAF8F">
            <w:pPr>
              <w:jc w:val="center"/>
              <w:rPr>
                <w:rFonts w:hint="eastAsia" w:ascii="宋体" w:hAnsi="宋体" w:eastAsia="宋体"/>
                <w:color w:val="auto"/>
                <w:sz w:val="24"/>
                <w:szCs w:val="24"/>
                <w:highlight w:val="none"/>
              </w:rPr>
            </w:pPr>
          </w:p>
        </w:tc>
      </w:tr>
      <w:tr w14:paraId="6A10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47FC3716">
            <w:pPr>
              <w:jc w:val="center"/>
              <w:rPr>
                <w:rFonts w:hint="eastAsia" w:ascii="宋体" w:hAnsi="宋体" w:eastAsia="宋体"/>
                <w:color w:val="auto"/>
                <w:sz w:val="24"/>
                <w:szCs w:val="24"/>
                <w:highlight w:val="none"/>
              </w:rPr>
            </w:pPr>
            <w:r>
              <w:rPr>
                <w:rFonts w:hint="eastAsia" w:asciiTheme="minorEastAsia" w:hAnsiTheme="minorEastAsia" w:eastAsiaTheme="minorEastAsia"/>
                <w:color w:val="auto"/>
                <w:sz w:val="24"/>
                <w:highlight w:val="none"/>
              </w:rPr>
              <w:t>3</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3B0C22A3">
            <w:pPr>
              <w:jc w:val="center"/>
              <w:rPr>
                <w:rFonts w:hint="eastAsia" w:ascii="宋体" w:hAnsi="宋体" w:eastAsia="宋体"/>
                <w:color w:val="auto"/>
                <w:sz w:val="24"/>
                <w:szCs w:val="24"/>
                <w:highlight w:val="none"/>
              </w:rPr>
            </w:pPr>
            <w:r>
              <w:rPr>
                <w:rFonts w:hint="eastAsia" w:ascii="宋体" w:hAnsi="宋体" w:eastAsia="宋体"/>
                <w:color w:val="auto"/>
                <w:sz w:val="24"/>
                <w:highlight w:val="none"/>
              </w:rPr>
              <w:t>服务期限</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41DA3A35">
            <w:pPr>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F1FBB2D">
            <w:pPr>
              <w:pStyle w:val="33"/>
              <w:spacing w:before="0" w:beforeAutospacing="0" w:after="0" w:afterAutospacing="0"/>
              <w:jc w:val="center"/>
              <w:rPr>
                <w:rFonts w:hint="eastAsia" w:ascii="宋体" w:hAnsi="宋体" w:eastAsia="宋体" w:cs="Arial"/>
                <w:color w:val="auto"/>
                <w:kern w:val="2"/>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7DB7139E">
            <w:pPr>
              <w:jc w:val="center"/>
              <w:rPr>
                <w:rFonts w:hint="eastAsia" w:ascii="宋体" w:hAnsi="宋体" w:eastAsia="宋体"/>
                <w:color w:val="auto"/>
                <w:sz w:val="24"/>
                <w:szCs w:val="24"/>
                <w:highlight w:val="none"/>
              </w:rPr>
            </w:pPr>
          </w:p>
        </w:tc>
      </w:tr>
      <w:tr w14:paraId="6646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087FC7BA">
            <w:pPr>
              <w:jc w:val="center"/>
              <w:rPr>
                <w:rFonts w:hint="eastAsia" w:ascii="宋体" w:hAnsi="宋体" w:eastAsia="宋体"/>
                <w:color w:val="auto"/>
                <w:sz w:val="24"/>
                <w:szCs w:val="24"/>
                <w:highlight w:val="none"/>
              </w:rPr>
            </w:pPr>
            <w:r>
              <w:rPr>
                <w:rFonts w:hint="eastAsia" w:asciiTheme="minorEastAsia" w:hAnsiTheme="minorEastAsia" w:eastAsiaTheme="minorEastAsia"/>
                <w:color w:val="auto"/>
                <w:sz w:val="24"/>
                <w:highlight w:val="none"/>
              </w:rPr>
              <w:t>4</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78A6D181">
            <w:pPr>
              <w:jc w:val="center"/>
              <w:rPr>
                <w:rFonts w:hint="eastAsia" w:ascii="宋体" w:hAnsi="宋体" w:eastAsia="宋体"/>
                <w:color w:val="auto"/>
                <w:sz w:val="24"/>
                <w:szCs w:val="24"/>
                <w:highlight w:val="none"/>
              </w:rPr>
            </w:pP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59650427">
            <w:pPr>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6F39DB0F">
            <w:pPr>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1485E5B5">
            <w:pPr>
              <w:jc w:val="center"/>
              <w:rPr>
                <w:rFonts w:hint="eastAsia" w:ascii="宋体" w:hAnsi="宋体" w:eastAsia="宋体"/>
                <w:color w:val="auto"/>
                <w:sz w:val="24"/>
                <w:szCs w:val="24"/>
                <w:highlight w:val="none"/>
              </w:rPr>
            </w:pPr>
          </w:p>
        </w:tc>
      </w:tr>
      <w:tr w14:paraId="0AAC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68F1D3C">
            <w:pPr>
              <w:jc w:val="center"/>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14:paraId="110B729C">
            <w:pPr>
              <w:jc w:val="center"/>
              <w:rPr>
                <w:rFonts w:hint="eastAsia" w:ascii="宋体" w:hAnsi="宋体" w:eastAsia="宋体"/>
                <w:color w:val="auto"/>
                <w:sz w:val="24"/>
                <w:szCs w:val="24"/>
                <w:highlight w:val="none"/>
              </w:rPr>
            </w:pP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4C11C891">
            <w:pPr>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3076A4F">
            <w:pPr>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19912DB0">
            <w:pPr>
              <w:jc w:val="center"/>
              <w:rPr>
                <w:rFonts w:hint="eastAsia" w:ascii="宋体" w:hAnsi="宋体" w:eastAsia="宋体"/>
                <w:color w:val="auto"/>
                <w:sz w:val="24"/>
                <w:szCs w:val="24"/>
                <w:highlight w:val="none"/>
              </w:rPr>
            </w:pPr>
          </w:p>
        </w:tc>
      </w:tr>
    </w:tbl>
    <w:p w14:paraId="394DCFFE">
      <w:pPr>
        <w:spacing w:line="360" w:lineRule="auto"/>
        <w:ind w:firstLine="4800" w:firstLineChars="2000"/>
        <w:rPr>
          <w:rFonts w:hint="eastAsia" w:ascii="宋体" w:hAnsi="宋体" w:eastAsia="宋体" w:cs="宋体"/>
          <w:color w:val="auto"/>
          <w:sz w:val="24"/>
          <w:szCs w:val="24"/>
          <w:highlight w:val="none"/>
          <w:lang w:bidi="ar"/>
        </w:rPr>
      </w:pPr>
    </w:p>
    <w:p w14:paraId="27869FB4">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olor w:val="auto"/>
          <w:sz w:val="24"/>
          <w:szCs w:val="24"/>
          <w:highlight w:val="none"/>
          <w:u w:val="single"/>
          <w:lang w:bidi="ar"/>
        </w:rPr>
        <w:t xml:space="preserve">             </w:t>
      </w:r>
    </w:p>
    <w:p w14:paraId="62D320B3">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color w:val="auto"/>
          <w:sz w:val="24"/>
          <w:szCs w:val="24"/>
          <w:highlight w:val="none"/>
          <w:u w:val="single"/>
          <w:lang w:bidi="ar"/>
        </w:rPr>
        <w:t xml:space="preserve">             </w:t>
      </w:r>
    </w:p>
    <w:p w14:paraId="237B898F">
      <w:pPr>
        <w:spacing w:line="360" w:lineRule="auto"/>
        <w:jc w:val="center"/>
        <w:outlineLvl w:val="1"/>
        <w:rPr>
          <w:rFonts w:hint="eastAsia" w:asciiTheme="minorEastAsia" w:hAnsiTheme="minorEastAsia" w:eastAsiaTheme="minorEastAsia"/>
          <w:b/>
          <w:color w:val="auto"/>
          <w:sz w:val="24"/>
          <w:highlight w:val="none"/>
        </w:rPr>
      </w:pPr>
    </w:p>
    <w:p w14:paraId="22A735AD">
      <w:pPr>
        <w:spacing w:line="360" w:lineRule="auto"/>
        <w:jc w:val="center"/>
        <w:outlineLvl w:val="1"/>
        <w:rPr>
          <w:rFonts w:hint="eastAsia" w:asciiTheme="minorEastAsia" w:hAnsiTheme="minorEastAsia" w:eastAsiaTheme="minorEastAsia"/>
          <w:b/>
          <w:color w:val="auto"/>
          <w:sz w:val="24"/>
          <w:highlight w:val="none"/>
        </w:rPr>
      </w:pPr>
    </w:p>
    <w:p w14:paraId="6C637829">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44CA3369">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（2）诚信履约承诺函</w:t>
      </w:r>
    </w:p>
    <w:p w14:paraId="5B27083E">
      <w:pPr>
        <w:spacing w:line="360" w:lineRule="auto"/>
        <w:rPr>
          <w:rFonts w:hint="eastAsia" w:ascii="宋体" w:hAnsi="宋体" w:eastAsia="宋体"/>
          <w:b/>
          <w:bCs/>
          <w:color w:val="auto"/>
          <w:sz w:val="24"/>
          <w:szCs w:val="24"/>
          <w:highlight w:val="none"/>
        </w:rPr>
      </w:pPr>
    </w:p>
    <w:p w14:paraId="5F794B90">
      <w:pPr>
        <w:spacing w:line="360" w:lineRule="auto"/>
        <w:rPr>
          <w:rFonts w:hint="eastAsia" w:ascii="宋体" w:hAnsi="宋体" w:eastAsia="宋体"/>
          <w:b/>
          <w:bCs/>
          <w:color w:val="auto"/>
          <w:sz w:val="24"/>
          <w:szCs w:val="24"/>
          <w:highlight w:val="none"/>
          <w:u w:val="single"/>
        </w:rPr>
      </w:pPr>
      <w:r>
        <w:rPr>
          <w:rFonts w:hint="eastAsia" w:ascii="宋体" w:hAnsi="宋体" w:eastAsia="宋体" w:cs="宋体"/>
          <w:b/>
          <w:bCs/>
          <w:color w:val="auto"/>
          <w:sz w:val="24"/>
          <w:szCs w:val="24"/>
          <w:highlight w:val="none"/>
          <w:lang w:bidi="ar"/>
        </w:rPr>
        <w:t>致：采购人</w:t>
      </w:r>
    </w:p>
    <w:p w14:paraId="06321E2C">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633053E2">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（1）中标或者成交后无正当理由拒不与采购人签订政府采购合同；</w:t>
      </w:r>
    </w:p>
    <w:p w14:paraId="32FB9144">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（2）未按照采购文件确定的事项签订政府采购合同；</w:t>
      </w:r>
    </w:p>
    <w:p w14:paraId="46D4FEE4">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（3）将政府采购合同转包；</w:t>
      </w:r>
    </w:p>
    <w:p w14:paraId="6769D706">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（4）提供假冒伪劣产品；</w:t>
      </w:r>
    </w:p>
    <w:p w14:paraId="447F6AF4">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（5）擅自变更、中止或者终止政府采购合同。</w:t>
      </w:r>
    </w:p>
    <w:p w14:paraId="1C489C3E">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4A7C47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本承诺声明：</w:t>
      </w:r>
      <w:r>
        <w:rPr>
          <w:rFonts w:hint="eastAsia" w:ascii="宋体" w:hAnsi="宋体" w:eastAsia="宋体" w:cs="宋体"/>
          <w:bCs/>
          <w:color w:val="auto"/>
          <w:sz w:val="24"/>
          <w:szCs w:val="24"/>
          <w:highlight w:val="none"/>
          <w:u w:val="single"/>
          <w:lang w:bidi="ar"/>
        </w:rPr>
        <w:t xml:space="preserve">                   （投标人名称）</w:t>
      </w:r>
      <w:r>
        <w:rPr>
          <w:rFonts w:hint="eastAsia" w:ascii="宋体" w:hAnsi="宋体" w:eastAsia="宋体" w:cs="宋体"/>
          <w:bCs/>
          <w:color w:val="auto"/>
          <w:sz w:val="24"/>
          <w:szCs w:val="24"/>
          <w:highlight w:val="none"/>
          <w:lang w:bidi="ar"/>
        </w:rPr>
        <w:t>对本招标文件的相关要求完全响应</w:t>
      </w:r>
      <w:r>
        <w:rPr>
          <w:rFonts w:hint="eastAsia" w:asciiTheme="minorEastAsia" w:hAnsiTheme="minorEastAsia" w:eastAsiaTheme="minorEastAsia"/>
          <w:bCs/>
          <w:color w:val="auto"/>
          <w:sz w:val="24"/>
          <w:highlight w:val="none"/>
        </w:rPr>
        <w:t>。配备人员数量</w:t>
      </w: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rPr>
        <w:t>设备</w:t>
      </w:r>
      <w:r>
        <w:rPr>
          <w:rFonts w:hint="eastAsia" w:asciiTheme="minorEastAsia" w:hAnsiTheme="minorEastAsia" w:eastAsiaTheme="minorEastAsia"/>
          <w:bCs/>
          <w:color w:val="auto"/>
          <w:sz w:val="24"/>
          <w:highlight w:val="none"/>
          <w:lang w:val="en-US" w:eastAsia="zh-CN"/>
        </w:rPr>
        <w:t>数量和采购生产资料数量均</w:t>
      </w:r>
      <w:r>
        <w:rPr>
          <w:rFonts w:hint="eastAsia" w:asciiTheme="minorEastAsia" w:hAnsiTheme="minorEastAsia" w:eastAsiaTheme="minorEastAsia"/>
          <w:bCs/>
          <w:color w:val="auto"/>
          <w:sz w:val="24"/>
          <w:highlight w:val="none"/>
        </w:rPr>
        <w:t>不低于采购需求的要求。若有幸中标将严格按照以上承诺进行服务。</w:t>
      </w:r>
    </w:p>
    <w:p w14:paraId="4EFD4026">
      <w:pPr>
        <w:spacing w:line="360" w:lineRule="auto"/>
        <w:ind w:firstLine="4320" w:firstLineChars="1800"/>
        <w:rPr>
          <w:rFonts w:hint="eastAsia" w:ascii="宋体" w:hAnsi="宋体" w:eastAsia="宋体" w:cs="宋体"/>
          <w:bCs/>
          <w:color w:val="auto"/>
          <w:sz w:val="24"/>
          <w:szCs w:val="24"/>
          <w:highlight w:val="none"/>
          <w:lang w:bidi="ar"/>
        </w:rPr>
      </w:pPr>
    </w:p>
    <w:p w14:paraId="0BF6D253">
      <w:pPr>
        <w:spacing w:line="360" w:lineRule="auto"/>
        <w:ind w:firstLine="4320" w:firstLineChars="1800"/>
        <w:rPr>
          <w:rFonts w:hint="eastAsia" w:ascii="宋体" w:hAnsi="宋体" w:eastAsia="宋体"/>
          <w:bCs/>
          <w:color w:val="auto"/>
          <w:sz w:val="24"/>
          <w:szCs w:val="24"/>
          <w:highlight w:val="none"/>
          <w:u w:val="single"/>
        </w:rPr>
      </w:pPr>
      <w:r>
        <w:rPr>
          <w:rFonts w:hint="eastAsia" w:ascii="宋体" w:hAnsi="宋体" w:eastAsia="宋体" w:cs="宋体"/>
          <w:bCs/>
          <w:color w:val="auto"/>
          <w:sz w:val="24"/>
          <w:szCs w:val="24"/>
          <w:highlight w:val="none"/>
          <w:lang w:bidi="ar"/>
        </w:rPr>
        <w:t>投标人电子签章：</w:t>
      </w:r>
      <w:r>
        <w:rPr>
          <w:rFonts w:hint="eastAsia" w:ascii="宋体" w:hAnsi="宋体" w:eastAsia="宋体"/>
          <w:bCs/>
          <w:color w:val="auto"/>
          <w:sz w:val="24"/>
          <w:szCs w:val="24"/>
          <w:highlight w:val="none"/>
          <w:u w:val="single"/>
          <w:lang w:bidi="ar"/>
        </w:rPr>
        <w:t xml:space="preserve">             </w:t>
      </w:r>
    </w:p>
    <w:p w14:paraId="5854C4DF">
      <w:pPr>
        <w:spacing w:line="360" w:lineRule="auto"/>
        <w:ind w:firstLine="4320" w:firstLineChars="18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日</w:t>
      </w:r>
      <w:r>
        <w:rPr>
          <w:rFonts w:hint="eastAsia" w:ascii="宋体" w:hAnsi="宋体" w:eastAsia="宋体"/>
          <w:bCs/>
          <w:color w:val="auto"/>
          <w:sz w:val="24"/>
          <w:szCs w:val="24"/>
          <w:highlight w:val="none"/>
          <w:lang w:bidi="ar"/>
        </w:rPr>
        <w:t xml:space="preserve">          </w:t>
      </w:r>
      <w:r>
        <w:rPr>
          <w:rFonts w:hint="eastAsia" w:ascii="宋体" w:hAnsi="宋体" w:eastAsia="宋体" w:cs="宋体"/>
          <w:bCs/>
          <w:color w:val="auto"/>
          <w:sz w:val="24"/>
          <w:szCs w:val="24"/>
          <w:highlight w:val="none"/>
          <w:lang w:bidi="ar"/>
        </w:rPr>
        <w:t>期：</w:t>
      </w:r>
      <w:r>
        <w:rPr>
          <w:rFonts w:hint="eastAsia" w:ascii="宋体" w:hAnsi="宋体" w:eastAsia="宋体"/>
          <w:bCs/>
          <w:color w:val="auto"/>
          <w:sz w:val="24"/>
          <w:szCs w:val="24"/>
          <w:highlight w:val="none"/>
          <w:u w:val="single"/>
          <w:lang w:bidi="ar"/>
        </w:rPr>
        <w:t xml:space="preserve">             </w:t>
      </w:r>
    </w:p>
    <w:p w14:paraId="2754BA0A">
      <w:pPr>
        <w:spacing w:line="360" w:lineRule="auto"/>
        <w:jc w:val="center"/>
        <w:outlineLvl w:val="1"/>
        <w:rPr>
          <w:rFonts w:hint="eastAsia" w:asciiTheme="minorEastAsia" w:hAnsiTheme="minorEastAsia" w:eastAsiaTheme="minorEastAsia"/>
          <w:b/>
          <w:color w:val="auto"/>
          <w:sz w:val="24"/>
          <w:highlight w:val="none"/>
        </w:rPr>
      </w:pPr>
    </w:p>
    <w:p w14:paraId="38CB2774">
      <w:pPr>
        <w:spacing w:line="360" w:lineRule="auto"/>
        <w:jc w:val="center"/>
        <w:outlineLvl w:val="1"/>
        <w:rPr>
          <w:rFonts w:hint="eastAsia" w:asciiTheme="minorEastAsia" w:hAnsiTheme="minorEastAsia" w:eastAsiaTheme="minorEastAsia"/>
          <w:b/>
          <w:color w:val="auto"/>
          <w:sz w:val="24"/>
          <w:highlight w:val="none"/>
        </w:rPr>
      </w:pPr>
    </w:p>
    <w:p w14:paraId="343913CD">
      <w:pP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br w:type="page"/>
      </w:r>
    </w:p>
    <w:p w14:paraId="7A3C232E">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三、商务标格式文件</w:t>
      </w:r>
    </w:p>
    <w:p w14:paraId="4C2AFEE7">
      <w:pPr>
        <w:jc w:val="cente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451D4575">
      <w:pP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40C90EFA">
      <w:pPr>
        <w:jc w:val="center"/>
        <w:rPr>
          <w:rFonts w:hint="eastAsia" w:ascii="宋体" w:hAnsi="宋体" w:eastAsia="宋体" w:cs="宋体"/>
          <w:b/>
          <w:color w:val="auto"/>
          <w:sz w:val="44"/>
          <w:szCs w:val="44"/>
          <w:highlight w:val="none"/>
        </w:rPr>
      </w:pPr>
    </w:p>
    <w:p w14:paraId="6EFBE890">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6ED5F227">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商务标</w:t>
      </w:r>
    </w:p>
    <w:p w14:paraId="690506C4">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（投标文件三）</w:t>
      </w:r>
    </w:p>
    <w:p w14:paraId="2DEDA0BF">
      <w:pPr>
        <w:jc w:val="center"/>
        <w:rPr>
          <w:rFonts w:hint="eastAsia" w:ascii="宋体" w:hAnsi="宋体" w:eastAsia="宋体" w:cs="宋体"/>
          <w:color w:val="auto"/>
          <w:sz w:val="32"/>
          <w:szCs w:val="32"/>
          <w:highlight w:val="none"/>
          <w:u w:val="single"/>
        </w:rPr>
      </w:pPr>
    </w:p>
    <w:p w14:paraId="34378755">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100EF30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E026238">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6A62BF8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72B24D4">
      <w:pPr>
        <w:rPr>
          <w:rFonts w:hint="eastAsia" w:ascii="宋体" w:hAnsi="宋体" w:eastAsia="宋体" w:cs="宋体"/>
          <w:color w:val="auto"/>
          <w:sz w:val="28"/>
          <w:szCs w:val="28"/>
          <w:highlight w:val="none"/>
        </w:rPr>
      </w:pPr>
    </w:p>
    <w:p w14:paraId="0D71B15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171A2AA2">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835B93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DA91E33">
      <w:pPr>
        <w:jc w:val="center"/>
        <w:rPr>
          <w:rFonts w:hint="eastAsia" w:ascii="宋体" w:hAnsi="宋体" w:eastAsia="宋体" w:cs="宋体"/>
          <w:color w:val="auto"/>
          <w:sz w:val="28"/>
          <w:szCs w:val="28"/>
          <w:highlight w:val="none"/>
          <w:lang w:bidi="ar"/>
        </w:rPr>
      </w:pPr>
    </w:p>
    <w:p w14:paraId="7F435CFD">
      <w:pPr>
        <w:jc w:val="center"/>
        <w:rPr>
          <w:rFonts w:hint="eastAsia" w:ascii="宋体" w:hAnsi="宋体" w:eastAsia="宋体" w:cs="宋体"/>
          <w:color w:val="auto"/>
          <w:sz w:val="28"/>
          <w:szCs w:val="28"/>
          <w:highlight w:val="none"/>
        </w:rPr>
      </w:pPr>
    </w:p>
    <w:p w14:paraId="72F367E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59C0AE10">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1E7B74B2">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1D93DE73">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620AE07A">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25E32748">
      <w:pPr>
        <w:spacing w:line="400" w:lineRule="exact"/>
        <w:ind w:firstLine="3379" w:firstLineChars="935"/>
        <w:jc w:val="left"/>
        <w:rPr>
          <w:rFonts w:hint="eastAsia" w:ascii="宋体" w:hAnsi="宋体" w:eastAsia="宋体" w:cs="宋体"/>
          <w:b/>
          <w:color w:val="auto"/>
          <w:sz w:val="36"/>
          <w:szCs w:val="36"/>
          <w:highlight w:val="none"/>
          <w:lang w:bidi="ar"/>
        </w:rPr>
      </w:pPr>
    </w:p>
    <w:p w14:paraId="1AD37B61">
      <w:pPr>
        <w:spacing w:line="400" w:lineRule="exact"/>
        <w:ind w:firstLine="3379" w:firstLineChars="935"/>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目   录</w:t>
      </w:r>
    </w:p>
    <w:p w14:paraId="073D351F">
      <w:pPr>
        <w:spacing w:line="400" w:lineRule="exact"/>
        <w:ind w:firstLine="4130" w:firstLineChars="935"/>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35901243">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（1）开标一览表（格式见附件）；</w:t>
      </w:r>
    </w:p>
    <w:p w14:paraId="3D33CD9B">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（2）投标函（格式见附件）；</w:t>
      </w:r>
    </w:p>
    <w:p w14:paraId="5218C550">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（3）中小企业声明函，残疾人福利性企业（格式见附件）（如是）；</w:t>
      </w:r>
    </w:p>
    <w:p w14:paraId="6BB997D2">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）省级以上监狱管理局、戒毒管理局（含新疆生产建设兵团）出具的属于监狱企业的证明（如是）；</w:t>
      </w:r>
    </w:p>
    <w:p w14:paraId="1129A95C">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招标文件商务评审中要求提供的其他相关资料；</w:t>
      </w:r>
    </w:p>
    <w:p w14:paraId="47D6701E">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）其他（如有）。</w:t>
      </w:r>
    </w:p>
    <w:p w14:paraId="3FCF2F58">
      <w:pPr>
        <w:spacing w:line="440" w:lineRule="exact"/>
        <w:ind w:left="420"/>
        <w:rPr>
          <w:rFonts w:hint="eastAsia" w:ascii="宋体" w:hAnsi="宋体" w:eastAsia="宋体" w:cs="宋体"/>
          <w:color w:val="auto"/>
          <w:szCs w:val="21"/>
          <w:highlight w:val="none"/>
          <w:lang w:bidi="ar"/>
        </w:rPr>
      </w:pPr>
    </w:p>
    <w:p w14:paraId="6AD7B88E">
      <w:pPr>
        <w:spacing w:line="360" w:lineRule="auto"/>
        <w:jc w:val="center"/>
        <w:outlineLvl w:val="1"/>
        <w:rPr>
          <w:rFonts w:hint="eastAsia" w:asciiTheme="minorEastAsia" w:hAnsiTheme="minorEastAsia" w:eastAsiaTheme="minorEastAsia"/>
          <w:b/>
          <w:color w:val="auto"/>
          <w:sz w:val="24"/>
          <w:highlight w:val="none"/>
        </w:rPr>
      </w:pPr>
    </w:p>
    <w:p w14:paraId="05F8930A">
      <w:pPr>
        <w:spacing w:line="360" w:lineRule="auto"/>
        <w:ind w:firstLine="482" w:firstLineChars="200"/>
        <w:rPr>
          <w:rFonts w:hint="eastAsia" w:ascii="宋体" w:hAnsi="宋体" w:eastAsia="宋体" w:cs="宋体"/>
          <w:color w:val="auto"/>
          <w:szCs w:val="21"/>
          <w:highlight w:val="none"/>
        </w:rPr>
      </w:pPr>
      <w:r>
        <w:rPr>
          <w:rFonts w:hint="eastAsia" w:asciiTheme="minorEastAsia" w:hAnsiTheme="minorEastAsia" w:eastAsiaTheme="minorEastAsia"/>
          <w:b/>
          <w:color w:val="auto"/>
          <w:sz w:val="24"/>
          <w:highlight w:val="none"/>
        </w:rPr>
        <w:br w:type="page"/>
      </w:r>
    </w:p>
    <w:p w14:paraId="7B6B9E50">
      <w:pPr>
        <w:rPr>
          <w:rFonts w:hint="eastAsia" w:asciiTheme="minorEastAsia" w:hAnsiTheme="minorEastAsia" w:eastAsiaTheme="minorEastAsia"/>
          <w:b/>
          <w:color w:val="auto"/>
          <w:sz w:val="24"/>
          <w:highlight w:val="none"/>
        </w:rPr>
      </w:pPr>
    </w:p>
    <w:p w14:paraId="5AD97381">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（1）开标一览表</w:t>
      </w:r>
      <w:bookmarkEnd w:id="587"/>
      <w:bookmarkEnd w:id="588"/>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6461"/>
      </w:tblGrid>
      <w:tr w14:paraId="5A4C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52" w:type="pct"/>
            <w:tcBorders>
              <w:top w:val="single" w:color="auto" w:sz="4" w:space="0"/>
              <w:bottom w:val="single" w:color="auto" w:sz="4" w:space="0"/>
              <w:right w:val="single" w:color="auto" w:sz="4" w:space="0"/>
            </w:tcBorders>
            <w:vAlign w:val="center"/>
          </w:tcPr>
          <w:p w14:paraId="1204F5DF">
            <w:pPr>
              <w:widowControl/>
              <w:spacing w:line="360" w:lineRule="exact"/>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项目名称</w:t>
            </w:r>
          </w:p>
        </w:tc>
        <w:tc>
          <w:tcPr>
            <w:tcW w:w="3648" w:type="pct"/>
            <w:tcBorders>
              <w:top w:val="single" w:color="auto" w:sz="4" w:space="0"/>
              <w:bottom w:val="single" w:color="auto" w:sz="4" w:space="0"/>
              <w:right w:val="single" w:color="auto" w:sz="4" w:space="0"/>
            </w:tcBorders>
            <w:vAlign w:val="center"/>
          </w:tcPr>
          <w:p w14:paraId="159B6F2C">
            <w:pPr>
              <w:spacing w:line="360" w:lineRule="exact"/>
              <w:jc w:val="center"/>
              <w:rPr>
                <w:rFonts w:hint="eastAsia" w:asciiTheme="minorEastAsia" w:hAnsiTheme="minorEastAsia" w:eastAsiaTheme="minorEastAsia"/>
                <w:bCs/>
                <w:color w:val="auto"/>
                <w:sz w:val="24"/>
                <w:highlight w:val="none"/>
                <w:u w:val="single"/>
              </w:rPr>
            </w:pPr>
          </w:p>
        </w:tc>
      </w:tr>
      <w:tr w14:paraId="755D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1352" w:type="pct"/>
            <w:tcBorders>
              <w:top w:val="nil"/>
            </w:tcBorders>
            <w:vAlign w:val="center"/>
          </w:tcPr>
          <w:p w14:paraId="5C05D31B">
            <w:pPr>
              <w:spacing w:line="360" w:lineRule="exact"/>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投标人全称</w:t>
            </w:r>
          </w:p>
        </w:tc>
        <w:tc>
          <w:tcPr>
            <w:tcW w:w="3648" w:type="pct"/>
            <w:tcBorders>
              <w:top w:val="nil"/>
            </w:tcBorders>
            <w:vAlign w:val="center"/>
          </w:tcPr>
          <w:p w14:paraId="776B07DD">
            <w:pPr>
              <w:spacing w:line="360" w:lineRule="auto"/>
              <w:rPr>
                <w:rFonts w:hint="eastAsia" w:asciiTheme="minorEastAsia" w:hAnsiTheme="minorEastAsia" w:eastAsiaTheme="minorEastAsia"/>
                <w:color w:val="auto"/>
                <w:sz w:val="24"/>
                <w:highlight w:val="none"/>
              </w:rPr>
            </w:pPr>
          </w:p>
        </w:tc>
      </w:tr>
      <w:tr w14:paraId="49D0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352" w:type="pct"/>
            <w:tcBorders>
              <w:top w:val="nil"/>
            </w:tcBorders>
            <w:vAlign w:val="center"/>
          </w:tcPr>
          <w:p w14:paraId="773AF34D">
            <w:pPr>
              <w:spacing w:line="360" w:lineRule="exact"/>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投标范围</w:t>
            </w:r>
          </w:p>
        </w:tc>
        <w:tc>
          <w:tcPr>
            <w:tcW w:w="3648" w:type="pct"/>
            <w:tcBorders>
              <w:top w:val="nil"/>
            </w:tcBorders>
            <w:vAlign w:val="center"/>
          </w:tcPr>
          <w:p w14:paraId="11824AB2">
            <w:pPr>
              <w:widowControl/>
              <w:spacing w:line="360" w:lineRule="auto"/>
              <w:rPr>
                <w:rFonts w:hint="eastAsia" w:asciiTheme="minorEastAsia" w:hAnsiTheme="minorEastAsia" w:eastAsiaTheme="minorEastAsia"/>
                <w:color w:val="auto"/>
                <w:sz w:val="24"/>
                <w:highlight w:val="none"/>
              </w:rPr>
            </w:pPr>
          </w:p>
        </w:tc>
      </w:tr>
      <w:tr w14:paraId="4BA2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352" w:type="pct"/>
            <w:tcBorders>
              <w:top w:val="nil"/>
            </w:tcBorders>
            <w:vAlign w:val="center"/>
          </w:tcPr>
          <w:p w14:paraId="25CA8335">
            <w:pPr>
              <w:spacing w:line="360" w:lineRule="exact"/>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tc>
        <w:tc>
          <w:tcPr>
            <w:tcW w:w="3648" w:type="pct"/>
            <w:tcBorders>
              <w:top w:val="nil"/>
            </w:tcBorders>
            <w:vAlign w:val="center"/>
          </w:tcPr>
          <w:p w14:paraId="7A790D34">
            <w:pPr>
              <w:keepNext w:val="0"/>
              <w:keepLines w:val="0"/>
              <w:pageBreakBefore w:val="0"/>
              <w:kinsoku/>
              <w:wordWrap/>
              <w:overflowPunct/>
              <w:topLinePunct w:val="0"/>
              <w:autoSpaceDE/>
              <w:autoSpaceDN/>
              <w:bidi w:val="0"/>
              <w:adjustRightInd/>
              <w:snapToGrid w:val="0"/>
              <w:spacing w:line="440" w:lineRule="exact"/>
              <w:jc w:val="left"/>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投标总价（注：填写三年总报价）</w:t>
            </w:r>
          </w:p>
          <w:p w14:paraId="734396F1">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4916C3DE">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rPr>
              <w:br w:type="textWrapping"/>
            </w:r>
            <w:r>
              <w:rPr>
                <w:rFonts w:hint="eastAsia" w:ascii="宋体" w:hAnsi="宋体" w:eastAsia="宋体" w:cs="宋体"/>
                <w:bCs/>
                <w:color w:val="auto"/>
                <w:sz w:val="24"/>
                <w:szCs w:val="24"/>
                <w:highlight w:val="none"/>
                <w:lang w:val="en-US" w:eastAsia="zh-CN"/>
              </w:rPr>
              <w:t>其中每年报价：</w:t>
            </w:r>
            <w:r>
              <w:rPr>
                <w:rFonts w:hint="eastAsia" w:ascii="宋体" w:hAnsi="宋体" w:eastAsia="宋体" w:cs="宋体"/>
                <w:bCs/>
                <w:color w:val="auto"/>
                <w:sz w:val="24"/>
                <w:szCs w:val="24"/>
                <w:highlight w:val="none"/>
                <w:u w:val="single"/>
                <w:lang w:val="en-US" w:eastAsia="zh-CN"/>
              </w:rPr>
              <w:br w:type="textWrapping"/>
            </w: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1345A46">
            <w:pPr>
              <w:spacing w:line="360" w:lineRule="auto"/>
              <w:ind w:right="-67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p w14:paraId="0BCF10EC">
            <w:pPr>
              <w:pStyle w:val="2"/>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u w:val="single"/>
                <w:lang w:val="en-US" w:eastAsia="zh-CN"/>
              </w:rPr>
              <w:t>综合单价报价：</w:t>
            </w:r>
          </w:p>
          <w:p w14:paraId="7BA7EB65">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2735FCB9">
            <w:pPr>
              <w:spacing w:line="360" w:lineRule="auto"/>
              <w:ind w:right="-67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元/路/月</w:t>
            </w:r>
            <w:r>
              <w:rPr>
                <w:rFonts w:hint="eastAsia" w:ascii="宋体" w:hAnsi="宋体" w:eastAsia="宋体" w:cs="宋体"/>
                <w:bCs/>
                <w:color w:val="auto"/>
                <w:sz w:val="24"/>
                <w:szCs w:val="24"/>
                <w:highlight w:val="none"/>
                <w:u w:val="single"/>
              </w:rPr>
              <w:t xml:space="preserve">       </w:t>
            </w:r>
          </w:p>
          <w:p w14:paraId="4179BE00">
            <w:pPr>
              <w:rPr>
                <w:rFonts w:hint="default"/>
                <w:lang w:val="en-US" w:eastAsia="zh-CN"/>
              </w:rPr>
            </w:pPr>
          </w:p>
        </w:tc>
      </w:tr>
      <w:tr w14:paraId="1D35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7" w:hRule="atLeast"/>
          <w:jc w:val="center"/>
        </w:trPr>
        <w:tc>
          <w:tcPr>
            <w:tcW w:w="1352" w:type="pct"/>
            <w:tcBorders>
              <w:top w:val="nil"/>
            </w:tcBorders>
            <w:vAlign w:val="center"/>
          </w:tcPr>
          <w:p w14:paraId="11DE69B6">
            <w:pPr>
              <w:spacing w:line="360" w:lineRule="auto"/>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其他</w:t>
            </w:r>
          </w:p>
        </w:tc>
        <w:tc>
          <w:tcPr>
            <w:tcW w:w="3648" w:type="pct"/>
            <w:tcBorders>
              <w:top w:val="nil"/>
            </w:tcBorders>
            <w:vAlign w:val="center"/>
          </w:tcPr>
          <w:p w14:paraId="0F280CCF">
            <w:pPr>
              <w:spacing w:line="360" w:lineRule="auto"/>
              <w:jc w:val="left"/>
              <w:rPr>
                <w:rFonts w:hint="eastAsia" w:asciiTheme="minorEastAsia" w:hAnsiTheme="minorEastAsia" w:eastAsiaTheme="minorEastAsia"/>
                <w:color w:val="auto"/>
                <w:sz w:val="24"/>
                <w:szCs w:val="28"/>
                <w:highlight w:val="none"/>
                <w:lang w:val="en-US" w:eastAsia="zh-CN"/>
              </w:rPr>
            </w:pPr>
          </w:p>
        </w:tc>
      </w:tr>
    </w:tbl>
    <w:p w14:paraId="2DCB8354">
      <w:pPr>
        <w:spacing w:line="360" w:lineRule="auto"/>
        <w:ind w:firstLine="4800" w:firstLineChars="2000"/>
        <w:rPr>
          <w:rFonts w:hint="eastAsia" w:ascii="宋体" w:hAnsi="宋体" w:eastAsia="宋体"/>
          <w:color w:val="auto"/>
          <w:sz w:val="24"/>
          <w:highlight w:val="none"/>
        </w:rPr>
      </w:pPr>
    </w:p>
    <w:p w14:paraId="603B8653">
      <w:pPr>
        <w:spacing w:line="360" w:lineRule="auto"/>
        <w:ind w:firstLine="4800" w:firstLineChars="2000"/>
        <w:rPr>
          <w:rFonts w:hint="eastAsia"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F426A0D">
      <w:pPr>
        <w:tabs>
          <w:tab w:val="left" w:pos="630"/>
        </w:tabs>
        <w:spacing w:line="360" w:lineRule="auto"/>
        <w:ind w:firstLine="4800" w:firstLineChars="2000"/>
        <w:rPr>
          <w:rFonts w:hint="eastAsia" w:asciiTheme="minorEastAsia" w:hAnsiTheme="minorEastAsia" w:eastAsiaTheme="minorEastAsia"/>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78E2B32F">
      <w:pPr>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注：</w:t>
      </w:r>
    </w:p>
    <w:p w14:paraId="18A5B118">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4EE22083">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3F91307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3.表中大写金额与小写金额不一致的，以大写金额为准。</w:t>
      </w:r>
      <w:r>
        <w:rPr>
          <w:rFonts w:asciiTheme="minorEastAsia" w:hAnsiTheme="minorEastAsia" w:eastAsiaTheme="minorEastAsia"/>
          <w:color w:val="auto"/>
          <w:sz w:val="24"/>
          <w:highlight w:val="none"/>
        </w:rPr>
        <w:br w:type="page"/>
      </w:r>
    </w:p>
    <w:p w14:paraId="1E4D899B">
      <w:pPr>
        <w:spacing w:line="360" w:lineRule="auto"/>
        <w:jc w:val="center"/>
        <w:outlineLvl w:val="1"/>
        <w:rPr>
          <w:rFonts w:hint="eastAsia" w:asciiTheme="minorEastAsia" w:hAnsiTheme="minorEastAsia" w:eastAsiaTheme="minorEastAsia"/>
          <w:b/>
          <w:color w:val="auto"/>
          <w:sz w:val="24"/>
          <w:highlight w:val="none"/>
        </w:rPr>
      </w:pPr>
      <w:bookmarkStart w:id="591" w:name="_Toc6441"/>
      <w:bookmarkStart w:id="592" w:name="_Toc6120"/>
      <w:r>
        <w:rPr>
          <w:rFonts w:hint="eastAsia" w:asciiTheme="minorEastAsia" w:hAnsiTheme="minorEastAsia" w:eastAsiaTheme="minorEastAsia"/>
          <w:b/>
          <w:color w:val="auto"/>
          <w:sz w:val="24"/>
          <w:highlight w:val="none"/>
        </w:rPr>
        <w:t>（2）投标函</w:t>
      </w:r>
      <w:bookmarkEnd w:id="591"/>
      <w:bookmarkEnd w:id="592"/>
    </w:p>
    <w:p w14:paraId="44AFCD9F">
      <w:pPr>
        <w:pStyle w:val="25"/>
        <w:spacing w:line="360" w:lineRule="auto"/>
        <w:rPr>
          <w:rFonts w:hint="eastAsia" w:ascii="宋体" w:hAnsi="宋体"/>
          <w:color w:val="auto"/>
          <w:sz w:val="24"/>
          <w:highlight w:val="none"/>
          <w:u w:val="single"/>
        </w:rPr>
      </w:pPr>
      <w:r>
        <w:rPr>
          <w:rFonts w:hint="eastAsia" w:ascii="宋体" w:hAnsi="宋体"/>
          <w:color w:val="auto"/>
          <w:sz w:val="24"/>
          <w:highlight w:val="none"/>
        </w:rPr>
        <w:t>致：</w:t>
      </w:r>
      <w:r>
        <w:rPr>
          <w:rFonts w:hint="eastAsia" w:ascii="宋体" w:hAnsi="宋体"/>
          <w:color w:val="auto"/>
          <w:sz w:val="24"/>
          <w:highlight w:val="none"/>
          <w:u w:val="single"/>
        </w:rPr>
        <w:t>采购人</w:t>
      </w:r>
    </w:p>
    <w:p w14:paraId="1E0A92E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6C8BE973">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7DF5AF98">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2.我方已详细审核全部招标文件，包括招标文件附件及更正公告（如有），我方正式认可并遵守本次招标文件，并对招标文件各项条款、规定及要求均无异议。</w:t>
      </w:r>
    </w:p>
    <w:p w14:paraId="30E16679">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3.我方同意从招标文件规定的开标日期起遵循本招标文件，并在招标文件规定的投标有效期之前均具有约束力。</w:t>
      </w:r>
    </w:p>
    <w:p w14:paraId="62B353A3">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我方声明投标文件所提供的一切资料均真实无误、及时、有效，企业运营正常。由于我方提供资料不实而造成的责任和后果由我方承担。我方同意按照贵方提出的要求，提供与投标有关的任何证据、数据或资料。</w:t>
      </w:r>
    </w:p>
    <w:p w14:paraId="6D5E9763">
      <w:pPr>
        <w:spacing w:line="360" w:lineRule="auto"/>
        <w:ind w:firstLine="4800" w:firstLineChars="2000"/>
        <w:rPr>
          <w:rFonts w:hint="eastAsia" w:ascii="宋体" w:hAnsi="宋体" w:eastAsia="宋体"/>
          <w:color w:val="auto"/>
          <w:sz w:val="24"/>
          <w:highlight w:val="none"/>
        </w:rPr>
      </w:pPr>
    </w:p>
    <w:p w14:paraId="012DD525">
      <w:pPr>
        <w:spacing w:line="360" w:lineRule="auto"/>
        <w:ind w:firstLine="4800" w:firstLineChars="2000"/>
        <w:rPr>
          <w:rFonts w:hint="eastAsia"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101CFB48">
      <w:pPr>
        <w:spacing w:line="360" w:lineRule="auto"/>
        <w:jc w:val="center"/>
        <w:outlineLvl w:val="1"/>
        <w:rPr>
          <w:rFonts w:hint="eastAsia" w:asciiTheme="minorEastAsia" w:hAnsiTheme="minorEastAsia" w:eastAsiaTheme="minorEastAsia"/>
          <w:b/>
          <w:color w:val="auto"/>
          <w:sz w:val="24"/>
          <w:highlight w:val="none"/>
        </w:rPr>
      </w:pPr>
    </w:p>
    <w:p w14:paraId="2DB71B6F">
      <w:pPr>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3</w:t>
      </w:r>
      <w:r>
        <w:rPr>
          <w:rFonts w:hint="eastAsia" w:asciiTheme="minorEastAsia" w:hAnsiTheme="minorEastAsia" w:eastAsiaTheme="minorEastAsia"/>
          <w:b/>
          <w:color w:val="auto"/>
          <w:sz w:val="24"/>
          <w:highlight w:val="none"/>
        </w:rPr>
        <w:t>）中小企业声明函</w:t>
      </w:r>
    </w:p>
    <w:p w14:paraId="23BEB8A7">
      <w:pPr>
        <w:pStyle w:val="33"/>
        <w:keepNext w:val="0"/>
        <w:keepLines w:val="0"/>
        <w:pageBreakBefore w:val="0"/>
        <w:widowControl w:val="0"/>
        <w:suppressLineNumbers w:val="0"/>
        <w:kinsoku/>
        <w:wordWrap/>
        <w:overflowPunct/>
        <w:topLinePunct w:val="0"/>
        <w:autoSpaceDE w:val="0"/>
        <w:autoSpaceDN/>
        <w:bidi w:val="0"/>
        <w:adjustRightInd/>
        <w:snapToGrid/>
        <w:spacing w:before="0" w:beforeAutospacing="0" w:after="120" w:afterAutospacing="0" w:line="240" w:lineRule="auto"/>
        <w:ind w:left="0" w:right="0"/>
        <w:jc w:val="center"/>
        <w:textAlignment w:val="auto"/>
        <w:rPr>
          <w:rFonts w:hint="eastAsia" w:ascii="宋体" w:hAnsi="宋体" w:eastAsia="宋体" w:cs="@微软简标宋"/>
          <w:b w:val="0"/>
          <w:i/>
          <w:iCs w:val="0"/>
          <w:color w:val="auto"/>
          <w:kern w:val="2"/>
          <w:sz w:val="24"/>
          <w:szCs w:val="24"/>
          <w:highlight w:val="none"/>
        </w:rPr>
      </w:pPr>
      <w:r>
        <w:rPr>
          <w:rFonts w:hint="eastAsia" w:ascii="宋体" w:hAnsi="宋体" w:eastAsia="宋体"/>
          <w:color w:val="auto"/>
          <w:sz w:val="24"/>
          <w:szCs w:val="24"/>
          <w:highlight w:val="none"/>
          <w:lang w:bidi="ar"/>
        </w:rPr>
        <w:t xml:space="preserve"> </w:t>
      </w:r>
      <w:r>
        <w:rPr>
          <w:rFonts w:hint="eastAsia" w:ascii="宋体" w:hAnsi="宋体" w:eastAsia="宋体" w:cs="宋体"/>
          <w:b w:val="0"/>
          <w:i/>
          <w:iCs w:val="0"/>
          <w:color w:val="auto"/>
          <w:kern w:val="2"/>
          <w:sz w:val="24"/>
          <w:szCs w:val="24"/>
          <w:highlight w:val="none"/>
          <w:lang w:val="en-US" w:eastAsia="zh-CN" w:bidi="ar"/>
        </w:rPr>
        <w:t>（非中小企业投标，不需此件，请删去“中小企业声明函”）</w:t>
      </w:r>
    </w:p>
    <w:p w14:paraId="425499EE">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u w:val="single"/>
        </w:rPr>
        <w:t>单位名称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rPr>
        <w:t>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 xml:space="preserve">采购活动，服务全部由符合政策要求的中小企业承接。相关企业（含联合体中的中小企业、签订分包意向协议的中小企业）的具体情况如下： </w:t>
      </w:r>
    </w:p>
    <w:p w14:paraId="15702235">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75F8117B">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13D5FB6C">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5EB8CC8B">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4C9C0C75">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7C014444">
      <w:pPr>
        <w:spacing w:line="360" w:lineRule="auto"/>
        <w:ind w:firstLine="4228" w:firstLineChars="1762"/>
        <w:rPr>
          <w:rFonts w:hint="eastAsia"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供应商</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755ABE58">
      <w:pPr>
        <w:tabs>
          <w:tab w:val="left" w:pos="4620"/>
        </w:tabs>
        <w:spacing w:line="360" w:lineRule="auto"/>
        <w:ind w:firstLine="4252" w:firstLineChars="1772"/>
        <w:rPr>
          <w:rFonts w:hint="eastAsia"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1FFF9A33">
      <w:pPr>
        <w:spacing w:line="360" w:lineRule="auto"/>
        <w:jc w:val="left"/>
        <w:rPr>
          <w:rFonts w:hint="eastAsia" w:ascii="宋体" w:hAnsi="宋体" w:eastAsia="宋体"/>
          <w:b/>
          <w:color w:val="auto"/>
          <w:szCs w:val="21"/>
          <w:highlight w:val="none"/>
        </w:rPr>
      </w:pPr>
      <w:r>
        <w:rPr>
          <w:rFonts w:hint="eastAsia" w:ascii="宋体" w:hAnsi="宋体" w:eastAsia="宋体" w:cs="宋体"/>
          <w:b/>
          <w:color w:val="auto"/>
          <w:szCs w:val="21"/>
          <w:highlight w:val="none"/>
          <w:lang w:bidi="ar"/>
        </w:rPr>
        <w:t>注：</w:t>
      </w:r>
    </w:p>
    <w:p w14:paraId="265FD604">
      <w:pPr>
        <w:spacing w:line="360" w:lineRule="auto"/>
        <w:jc w:val="left"/>
        <w:rPr>
          <w:rFonts w:hint="eastAsia" w:ascii="宋体" w:hAnsi="宋体" w:eastAsia="宋体"/>
          <w:color w:val="auto"/>
          <w:szCs w:val="21"/>
          <w:highlight w:val="none"/>
        </w:rPr>
      </w:pPr>
      <w:r>
        <w:rPr>
          <w:rFonts w:hint="eastAsia" w:ascii="宋体" w:hAnsi="宋体" w:eastAsia="宋体"/>
          <w:color w:val="auto"/>
          <w:szCs w:val="21"/>
          <w:highlight w:val="none"/>
          <w:lang w:bidi="ar"/>
        </w:rPr>
        <w:t>1.从业人员、营业收入、资产总额填报上一年数据，无上一年数据的新成立企业可不填报。</w:t>
      </w:r>
    </w:p>
    <w:p w14:paraId="00FF1F7E">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2.投标人应根据《政府采购促进中小企业发展管理办法》（财库﹝2020﹞46号）和《关于印发中小企业划型标准规定的通知》(工信部联企业〔2011〕300号)相关规定，如实填写中小企业声明函。如有虚假，将依法承担相应责任。投标人自行登录工业和信息化部官网进行中小企业规模类型自测（查询网址https://www.miit.gov.cn/）。</w:t>
      </w:r>
    </w:p>
    <w:p w14:paraId="2C9A872C">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3.上述“</w:t>
      </w:r>
      <w:r>
        <w:rPr>
          <w:rFonts w:hint="eastAsia" w:ascii="宋体" w:hAnsi="宋体" w:eastAsia="宋体" w:cs="宋体"/>
          <w:b/>
          <w:bCs/>
          <w:color w:val="auto"/>
          <w:szCs w:val="21"/>
          <w:highlight w:val="none"/>
          <w:u w:val="single"/>
          <w:lang w:bidi="ar"/>
        </w:rPr>
        <w:t>标的名称</w:t>
      </w:r>
      <w:r>
        <w:rPr>
          <w:rFonts w:hint="eastAsia" w:ascii="宋体" w:hAnsi="宋体" w:eastAsia="宋体" w:cs="宋体"/>
          <w:b/>
          <w:bCs/>
          <w:color w:val="auto"/>
          <w:szCs w:val="21"/>
          <w:highlight w:val="none"/>
          <w:lang w:bidi="ar"/>
        </w:rPr>
        <w:t>”，详见第三章采购需求中明确的“货物名称”。</w:t>
      </w:r>
    </w:p>
    <w:p w14:paraId="4B9A1413">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4.上述“</w:t>
      </w:r>
      <w:r>
        <w:rPr>
          <w:rFonts w:hint="eastAsia" w:ascii="宋体" w:hAnsi="宋体" w:eastAsia="宋体" w:cs="宋体"/>
          <w:b/>
          <w:bCs/>
          <w:color w:val="auto"/>
          <w:szCs w:val="21"/>
          <w:highlight w:val="none"/>
          <w:u w:val="single"/>
          <w:lang w:bidi="ar"/>
        </w:rPr>
        <w:t>采购文件中明确的所属行业</w:t>
      </w:r>
      <w:r>
        <w:rPr>
          <w:rFonts w:hint="eastAsia" w:ascii="宋体" w:hAnsi="宋体" w:eastAsia="宋体" w:cs="宋体"/>
          <w:b/>
          <w:bCs/>
          <w:color w:val="auto"/>
          <w:szCs w:val="21"/>
          <w:highlight w:val="none"/>
          <w:lang w:bidi="ar"/>
        </w:rPr>
        <w:t>”，详见第三章采购需求中明确的“所属行业”。</w:t>
      </w:r>
    </w:p>
    <w:p w14:paraId="0263B533">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5．填写示例：</w:t>
      </w:r>
      <w:r>
        <w:rPr>
          <w:rFonts w:hint="eastAsia" w:ascii="宋体" w:hAnsi="宋体" w:eastAsia="宋体" w:cs="宋体"/>
          <w:b/>
          <w:bCs/>
          <w:color w:val="auto"/>
          <w:szCs w:val="21"/>
          <w:highlight w:val="none"/>
          <w:u w:val="single"/>
          <w:lang w:bidi="ar"/>
        </w:rPr>
        <w:t>某设备</w:t>
      </w:r>
      <w:r>
        <w:rPr>
          <w:rFonts w:hint="eastAsia" w:ascii="宋体" w:hAnsi="宋体" w:eastAsia="宋体" w:cs="宋体"/>
          <w:b/>
          <w:bCs/>
          <w:color w:val="auto"/>
          <w:szCs w:val="21"/>
          <w:highlight w:val="none"/>
          <w:lang w:bidi="ar"/>
        </w:rPr>
        <w:t>，属于</w:t>
      </w:r>
      <w:r>
        <w:rPr>
          <w:rFonts w:hint="eastAsia" w:ascii="宋体" w:hAnsi="宋体" w:eastAsia="宋体" w:cs="宋体"/>
          <w:b/>
          <w:bCs/>
          <w:color w:val="auto"/>
          <w:szCs w:val="21"/>
          <w:highlight w:val="none"/>
          <w:u w:val="single"/>
          <w:lang w:bidi="ar"/>
        </w:rPr>
        <w:t>（填写第三章采购需求中对应货物的“所属行业”，如工业）</w:t>
      </w:r>
      <w:r>
        <w:rPr>
          <w:rFonts w:hint="eastAsia" w:ascii="宋体" w:hAnsi="宋体" w:eastAsia="宋体" w:cs="宋体"/>
          <w:b/>
          <w:bCs/>
          <w:color w:val="auto"/>
          <w:szCs w:val="21"/>
          <w:highlight w:val="none"/>
          <w:lang w:bidi="ar"/>
        </w:rPr>
        <w:t>行业；承接企业为</w:t>
      </w:r>
      <w:r>
        <w:rPr>
          <w:rFonts w:hint="eastAsia" w:ascii="宋体" w:hAnsi="宋体" w:eastAsia="宋体" w:cs="宋体"/>
          <w:b/>
          <w:bCs/>
          <w:color w:val="auto"/>
          <w:szCs w:val="21"/>
          <w:highlight w:val="none"/>
          <w:u w:val="single"/>
          <w:lang w:bidi="ar"/>
        </w:rPr>
        <w:t>某企业</w:t>
      </w:r>
      <w:r>
        <w:rPr>
          <w:rFonts w:hint="eastAsia" w:ascii="宋体" w:hAnsi="宋体" w:eastAsia="宋体" w:cs="宋体"/>
          <w:b/>
          <w:bCs/>
          <w:color w:val="auto"/>
          <w:szCs w:val="21"/>
          <w:highlight w:val="none"/>
          <w:lang w:bidi="ar"/>
        </w:rPr>
        <w:t>，从业人员</w:t>
      </w:r>
      <w:r>
        <w:rPr>
          <w:rFonts w:hint="eastAsia" w:ascii="宋体" w:hAnsi="宋体" w:eastAsia="宋体" w:cs="宋体"/>
          <w:b/>
          <w:bCs/>
          <w:color w:val="auto"/>
          <w:szCs w:val="21"/>
          <w:highlight w:val="none"/>
          <w:u w:val="single"/>
          <w:lang w:bidi="ar"/>
        </w:rPr>
        <w:t>100</w:t>
      </w:r>
      <w:r>
        <w:rPr>
          <w:rFonts w:hint="eastAsia" w:ascii="宋体" w:hAnsi="宋体" w:eastAsia="宋体" w:cs="宋体"/>
          <w:b/>
          <w:bCs/>
          <w:color w:val="auto"/>
          <w:szCs w:val="21"/>
          <w:highlight w:val="none"/>
          <w:lang w:bidi="ar"/>
        </w:rPr>
        <w:t>人，营业收入为</w:t>
      </w:r>
      <w:r>
        <w:rPr>
          <w:rFonts w:hint="eastAsia" w:ascii="宋体" w:hAnsi="宋体" w:eastAsia="宋体" w:cs="宋体"/>
          <w:b/>
          <w:bCs/>
          <w:color w:val="auto"/>
          <w:szCs w:val="21"/>
          <w:highlight w:val="none"/>
          <w:u w:val="single"/>
          <w:lang w:bidi="ar"/>
        </w:rPr>
        <w:t>10000</w:t>
      </w:r>
      <w:r>
        <w:rPr>
          <w:rFonts w:hint="eastAsia" w:ascii="宋体" w:hAnsi="宋体" w:eastAsia="宋体" w:cs="宋体"/>
          <w:b/>
          <w:bCs/>
          <w:color w:val="auto"/>
          <w:szCs w:val="21"/>
          <w:highlight w:val="none"/>
          <w:lang w:bidi="ar"/>
        </w:rPr>
        <w:t>万元，资产总额为</w:t>
      </w:r>
      <w:r>
        <w:rPr>
          <w:rFonts w:hint="eastAsia" w:ascii="宋体" w:hAnsi="宋体" w:eastAsia="宋体" w:cs="宋体"/>
          <w:b/>
          <w:bCs/>
          <w:color w:val="auto"/>
          <w:szCs w:val="21"/>
          <w:highlight w:val="none"/>
          <w:u w:val="single"/>
          <w:lang w:bidi="ar"/>
        </w:rPr>
        <w:t>5000</w:t>
      </w:r>
      <w:r>
        <w:rPr>
          <w:rFonts w:hint="eastAsia" w:ascii="宋体" w:hAnsi="宋体" w:eastAsia="宋体" w:cs="宋体"/>
          <w:b/>
          <w:bCs/>
          <w:color w:val="auto"/>
          <w:szCs w:val="21"/>
          <w:highlight w:val="none"/>
          <w:lang w:bidi="ar"/>
        </w:rPr>
        <w:t>万元，属于</w:t>
      </w:r>
      <w:r>
        <w:rPr>
          <w:rFonts w:hint="eastAsia" w:ascii="宋体" w:hAnsi="宋体" w:eastAsia="宋体" w:cs="宋体"/>
          <w:b/>
          <w:bCs/>
          <w:color w:val="auto"/>
          <w:szCs w:val="21"/>
          <w:highlight w:val="none"/>
          <w:u w:val="single"/>
          <w:lang w:bidi="ar"/>
        </w:rPr>
        <w:t>小型</w:t>
      </w:r>
      <w:r>
        <w:rPr>
          <w:rFonts w:hint="eastAsia" w:ascii="宋体" w:hAnsi="宋体" w:eastAsia="宋体" w:cs="宋体"/>
          <w:b/>
          <w:bCs/>
          <w:color w:val="auto"/>
          <w:szCs w:val="21"/>
          <w:highlight w:val="none"/>
          <w:lang w:bidi="ar"/>
        </w:rPr>
        <w:t>企业[投标人自行登录工业和信息化部官网进行中小企业规模类型自测（查询网址https://www.miit.gov.cn/）]。</w:t>
      </w:r>
    </w:p>
    <w:p w14:paraId="278E5562">
      <w:pPr>
        <w:spacing w:line="360" w:lineRule="auto"/>
        <w:jc w:val="center"/>
        <w:outlineLvl w:val="1"/>
        <w:rPr>
          <w:rFonts w:hint="eastAsia" w:asciiTheme="minorEastAsia" w:hAnsiTheme="minorEastAsia" w:eastAsiaTheme="minorEastAsia"/>
          <w:b/>
          <w:color w:val="auto"/>
          <w:sz w:val="24"/>
          <w:highlight w:val="none"/>
        </w:rPr>
      </w:pPr>
    </w:p>
    <w:p w14:paraId="5295FC57">
      <w:pPr>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4</w:t>
      </w:r>
      <w:r>
        <w:rPr>
          <w:rFonts w:hint="eastAsia" w:asciiTheme="minorEastAsia" w:hAnsiTheme="minorEastAsia" w:eastAsiaTheme="minorEastAsia"/>
          <w:b/>
          <w:color w:val="auto"/>
          <w:sz w:val="24"/>
          <w:highlight w:val="none"/>
        </w:rPr>
        <w:t>）残疾人福利性单位声明函</w:t>
      </w:r>
    </w:p>
    <w:p w14:paraId="2D2769CC">
      <w:pPr>
        <w:pStyle w:val="33"/>
        <w:autoSpaceDE w:val="0"/>
        <w:spacing w:before="0" w:after="120" w:afterAutospacing="0" w:line="360" w:lineRule="auto"/>
        <w:jc w:val="center"/>
        <w:rPr>
          <w:rFonts w:hint="eastAsia" w:ascii="宋体" w:hAnsi="宋体" w:eastAsia="宋体" w:cs="@微软简标宋"/>
          <w:i/>
          <w:color w:val="auto"/>
          <w:kern w:val="2"/>
          <w:szCs w:val="24"/>
          <w:highlight w:val="none"/>
        </w:rPr>
      </w:pPr>
      <w:r>
        <w:rPr>
          <w:rFonts w:hint="eastAsia" w:ascii="宋体" w:hAnsi="宋体" w:eastAsia="宋体" w:cs="宋体"/>
          <w:i/>
          <w:color w:val="auto"/>
          <w:kern w:val="2"/>
          <w:szCs w:val="24"/>
          <w:highlight w:val="none"/>
          <w:lang w:bidi="ar"/>
        </w:rPr>
        <w:t>（非残疾人福利性单位投标，请删去“残疾人福利性单位声明函”）</w:t>
      </w:r>
    </w:p>
    <w:p w14:paraId="07D2A464">
      <w:pPr>
        <w:spacing w:line="360" w:lineRule="auto"/>
        <w:ind w:firstLine="435"/>
        <w:rPr>
          <w:rFonts w:hint="eastAsia" w:ascii="宋体" w:hAnsi="宋体" w:eastAsia="宋体"/>
          <w:color w:val="auto"/>
          <w:spacing w:val="6"/>
          <w:sz w:val="24"/>
          <w:szCs w:val="24"/>
          <w:highlight w:val="none"/>
        </w:rPr>
      </w:pPr>
      <w:r>
        <w:rPr>
          <w:rFonts w:hint="eastAsia" w:ascii="宋体" w:hAnsi="宋体" w:eastAsia="宋体" w:cs="宋体"/>
          <w:color w:val="auto"/>
          <w:spacing w:val="6"/>
          <w:sz w:val="24"/>
          <w:szCs w:val="24"/>
          <w:highlight w:val="none"/>
          <w:lang w:bidi="ar"/>
        </w:rPr>
        <w:t>本单位</w:t>
      </w:r>
      <w:r>
        <w:rPr>
          <w:rFonts w:hint="eastAsia" w:ascii="宋体" w:hAnsi="宋体" w:eastAsia="宋体" w:cs="宋体"/>
          <w:color w:val="auto"/>
          <w:sz w:val="24"/>
          <w:szCs w:val="24"/>
          <w:highlight w:val="none"/>
          <w:lang w:bidi="ar"/>
        </w:rPr>
        <w:t>郑重</w:t>
      </w:r>
      <w:r>
        <w:rPr>
          <w:rFonts w:hint="eastAsia" w:ascii="宋体" w:hAnsi="宋体" w:eastAsia="宋体" w:cs="宋体"/>
          <w:color w:val="auto"/>
          <w:spacing w:val="6"/>
          <w:sz w:val="24"/>
          <w:szCs w:val="24"/>
          <w:highlight w:val="none"/>
          <w:lang w:bidi="ar"/>
        </w:rPr>
        <w:t>声明，根据《财政部</w:t>
      </w:r>
      <w:r>
        <w:rPr>
          <w:rFonts w:hint="eastAsia" w:ascii="宋体" w:hAnsi="宋体" w:eastAsia="宋体"/>
          <w:color w:val="auto"/>
          <w:spacing w:val="6"/>
          <w:sz w:val="24"/>
          <w:szCs w:val="24"/>
          <w:highlight w:val="none"/>
          <w:lang w:bidi="ar"/>
        </w:rPr>
        <w:t xml:space="preserve"> </w:t>
      </w:r>
      <w:r>
        <w:rPr>
          <w:rFonts w:hint="eastAsia" w:ascii="宋体" w:hAnsi="宋体" w:eastAsia="宋体" w:cs="宋体"/>
          <w:color w:val="auto"/>
          <w:spacing w:val="6"/>
          <w:sz w:val="24"/>
          <w:szCs w:val="24"/>
          <w:highlight w:val="none"/>
          <w:lang w:bidi="ar"/>
        </w:rPr>
        <w:t>民政部</w:t>
      </w:r>
      <w:r>
        <w:rPr>
          <w:rFonts w:hint="eastAsia" w:ascii="宋体" w:hAnsi="宋体" w:eastAsia="宋体"/>
          <w:color w:val="auto"/>
          <w:spacing w:val="6"/>
          <w:sz w:val="24"/>
          <w:szCs w:val="24"/>
          <w:highlight w:val="none"/>
          <w:lang w:bidi="ar"/>
        </w:rPr>
        <w:t xml:space="preserve"> </w:t>
      </w:r>
      <w:r>
        <w:rPr>
          <w:rFonts w:hint="eastAsia" w:ascii="宋体" w:hAnsi="宋体" w:eastAsia="宋体" w:cs="宋体"/>
          <w:color w:val="auto"/>
          <w:spacing w:val="6"/>
          <w:sz w:val="24"/>
          <w:szCs w:val="24"/>
          <w:highlight w:val="none"/>
          <w:lang w:bidi="ar"/>
        </w:rPr>
        <w:t>中国残疾人联合会关于促进残疾人就业政府采购政策的通知》（财库</w:t>
      </w:r>
      <w:r>
        <w:rPr>
          <w:rFonts w:hint="eastAsia" w:ascii="宋体" w:hAnsi="宋体" w:eastAsia="宋体" w:cs="宋体"/>
          <w:color w:val="auto"/>
          <w:sz w:val="24"/>
          <w:szCs w:val="24"/>
          <w:highlight w:val="none"/>
          <w:lang w:bidi="ar"/>
        </w:rPr>
        <w:t>〔2017〕141</w:t>
      </w:r>
      <w:r>
        <w:rPr>
          <w:rFonts w:hint="eastAsia" w:ascii="宋体" w:hAnsi="宋体" w:eastAsia="宋体" w:cs="宋体"/>
          <w:color w:val="auto"/>
          <w:spacing w:val="6"/>
          <w:sz w:val="24"/>
          <w:szCs w:val="24"/>
          <w:highlight w:val="none"/>
          <w:lang w:bidi="ar"/>
        </w:rPr>
        <w:t>号）的规定，本单位为</w:t>
      </w:r>
      <w:r>
        <w:rPr>
          <w:rFonts w:hint="eastAsia" w:ascii="宋体" w:hAnsi="宋体" w:eastAsia="宋体" w:cs="宋体"/>
          <w:bCs/>
          <w:color w:val="auto"/>
          <w:sz w:val="24"/>
          <w:szCs w:val="24"/>
          <w:highlight w:val="none"/>
          <w:lang w:bidi="ar"/>
        </w:rPr>
        <w:t>符合</w:t>
      </w:r>
      <w:r>
        <w:rPr>
          <w:rFonts w:hint="eastAsia" w:ascii="宋体" w:hAnsi="宋体" w:eastAsia="宋体" w:cs="宋体"/>
          <w:color w:val="auto"/>
          <w:spacing w:val="6"/>
          <w:sz w:val="24"/>
          <w:szCs w:val="24"/>
          <w:highlight w:val="none"/>
          <w:lang w:bidi="ar"/>
        </w:rPr>
        <w:t>条件的残疾人福利性单位，且本单位参加</w:t>
      </w:r>
      <w:r>
        <w:rPr>
          <w:rFonts w:hint="eastAsia" w:ascii="宋体" w:hAnsi="宋体" w:eastAsia="宋体"/>
          <w:color w:val="auto"/>
          <w:spacing w:val="6"/>
          <w:sz w:val="24"/>
          <w:szCs w:val="24"/>
          <w:highlight w:val="none"/>
          <w:u w:val="single"/>
          <w:lang w:bidi="ar"/>
        </w:rPr>
        <w:t xml:space="preserve">      </w:t>
      </w:r>
      <w:r>
        <w:rPr>
          <w:rFonts w:hint="eastAsia" w:ascii="宋体" w:hAnsi="宋体" w:eastAsia="宋体" w:cs="宋体"/>
          <w:color w:val="auto"/>
          <w:spacing w:val="6"/>
          <w:sz w:val="24"/>
          <w:szCs w:val="24"/>
          <w:highlight w:val="none"/>
          <w:lang w:bidi="ar"/>
        </w:rPr>
        <w:t>单位的</w:t>
      </w:r>
      <w:r>
        <w:rPr>
          <w:rFonts w:hint="eastAsia" w:ascii="宋体" w:hAnsi="宋体" w:eastAsia="宋体"/>
          <w:color w:val="auto"/>
          <w:spacing w:val="6"/>
          <w:sz w:val="24"/>
          <w:szCs w:val="24"/>
          <w:highlight w:val="none"/>
          <w:u w:val="single"/>
          <w:lang w:bidi="ar"/>
        </w:rPr>
        <w:t xml:space="preserve">      </w:t>
      </w:r>
      <w:r>
        <w:rPr>
          <w:rFonts w:hint="eastAsia" w:ascii="宋体" w:hAnsi="宋体" w:eastAsia="宋体" w:cs="宋体"/>
          <w:color w:val="auto"/>
          <w:spacing w:val="6"/>
          <w:sz w:val="24"/>
          <w:szCs w:val="24"/>
          <w:highlight w:val="none"/>
          <w:lang w:bidi="ar"/>
        </w:rPr>
        <w:t>项目采购活动提供本单位制造的货物（由本单位承担工程/提供服务），或者提供其他残疾人福利性单位制造的货物（不包括使用非残疾人福利性单位注册商标的货物）。</w:t>
      </w:r>
    </w:p>
    <w:p w14:paraId="53577CE2">
      <w:pPr>
        <w:spacing w:line="360" w:lineRule="auto"/>
        <w:ind w:firstLine="435"/>
        <w:rPr>
          <w:rFonts w:hint="eastAsia" w:ascii="宋体" w:hAnsi="宋体" w:eastAsia="宋体"/>
          <w:color w:val="auto"/>
          <w:spacing w:val="6"/>
          <w:sz w:val="24"/>
          <w:szCs w:val="24"/>
          <w:highlight w:val="none"/>
        </w:rPr>
      </w:pPr>
      <w:r>
        <w:rPr>
          <w:rFonts w:hint="eastAsia" w:ascii="宋体" w:hAnsi="宋体" w:eastAsia="宋体" w:cs="宋体"/>
          <w:color w:val="auto"/>
          <w:spacing w:val="6"/>
          <w:sz w:val="24"/>
          <w:szCs w:val="24"/>
          <w:highlight w:val="none"/>
          <w:lang w:bidi="ar"/>
        </w:rPr>
        <w:t>本单位对上述声明的真实性负责。如有虚假，将依法承担相应责任。</w:t>
      </w:r>
    </w:p>
    <w:p w14:paraId="04CBCE38">
      <w:pPr>
        <w:spacing w:line="360" w:lineRule="auto"/>
        <w:ind w:firstLine="4228" w:firstLineChars="1762"/>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500E7FB0">
      <w:pPr>
        <w:spacing w:line="360" w:lineRule="auto"/>
        <w:ind w:firstLine="4228" w:firstLineChars="1762"/>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54E1772B">
      <w:pPr>
        <w:spacing w:line="360" w:lineRule="auto"/>
        <w:ind w:firstLine="4228" w:firstLineChars="1762"/>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olor w:val="auto"/>
          <w:sz w:val="24"/>
          <w:szCs w:val="24"/>
          <w:highlight w:val="none"/>
          <w:u w:val="single"/>
          <w:lang w:bidi="ar"/>
        </w:rPr>
        <w:t xml:space="preserve">             </w:t>
      </w:r>
    </w:p>
    <w:p w14:paraId="4CF357DF">
      <w:pPr>
        <w:spacing w:line="360" w:lineRule="auto"/>
        <w:ind w:firstLine="4252" w:firstLineChars="1772"/>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color w:val="auto"/>
          <w:sz w:val="24"/>
          <w:szCs w:val="24"/>
          <w:highlight w:val="none"/>
          <w:u w:val="single"/>
          <w:lang w:bidi="ar"/>
        </w:rPr>
        <w:t xml:space="preserve">             </w:t>
      </w:r>
    </w:p>
    <w:p w14:paraId="3C1F34FE">
      <w:pPr>
        <w:spacing w:line="360" w:lineRule="auto"/>
        <w:jc w:val="center"/>
        <w:outlineLvl w:val="1"/>
        <w:rPr>
          <w:rFonts w:hint="eastAsia" w:asciiTheme="minorEastAsia" w:hAnsiTheme="minorEastAsia" w:eastAsiaTheme="minorEastAsia"/>
          <w:b/>
          <w:color w:val="auto"/>
          <w:sz w:val="24"/>
          <w:highlight w:val="none"/>
        </w:rPr>
      </w:pPr>
    </w:p>
    <w:p w14:paraId="4438FBDB">
      <w:pPr>
        <w:spacing w:line="360" w:lineRule="auto"/>
        <w:jc w:val="center"/>
        <w:outlineLvl w:val="1"/>
        <w:rPr>
          <w:rFonts w:hint="eastAsia" w:asciiTheme="minorEastAsia" w:hAnsiTheme="minorEastAsia" w:eastAsiaTheme="minorEastAsia"/>
          <w:b/>
          <w:color w:val="auto"/>
          <w:sz w:val="24"/>
          <w:highlight w:val="none"/>
        </w:rPr>
      </w:pPr>
    </w:p>
    <w:p w14:paraId="359E9958">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5</w:t>
      </w:r>
      <w:r>
        <w:rPr>
          <w:rFonts w:hint="eastAsia" w:asciiTheme="minorEastAsia" w:hAnsiTheme="minorEastAsia" w:eastAsiaTheme="minorEastAsia"/>
          <w:b/>
          <w:color w:val="auto"/>
          <w:sz w:val="24"/>
          <w:highlight w:val="none"/>
        </w:rPr>
        <w:t>）其他相关证明材料</w:t>
      </w:r>
    </w:p>
    <w:p w14:paraId="0925FEBA">
      <w:pPr>
        <w:spacing w:line="360" w:lineRule="auto"/>
        <w:ind w:firstLine="435"/>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如有</w:t>
      </w:r>
      <w:r>
        <w:rPr>
          <w:rFonts w:asciiTheme="minorEastAsia" w:hAnsiTheme="minorEastAsia" w:eastAsiaTheme="minorEastAsia"/>
          <w:color w:val="auto"/>
          <w:sz w:val="24"/>
          <w:highlight w:val="none"/>
        </w:rPr>
        <w:t>。</w:t>
      </w:r>
    </w:p>
    <w:p w14:paraId="72DFF6B4">
      <w:pPr>
        <w:spacing w:line="360" w:lineRule="auto"/>
        <w:ind w:firstLine="435"/>
        <w:rPr>
          <w:rFonts w:hint="eastAsia" w:asciiTheme="minorEastAsia" w:hAnsiTheme="minorEastAsia" w:eastAsiaTheme="minorEastAsia"/>
          <w:color w:val="auto"/>
          <w:sz w:val="24"/>
          <w:highlight w:val="none"/>
        </w:rPr>
      </w:pPr>
    </w:p>
    <w:p w14:paraId="3DE2D5CC">
      <w:pPr>
        <w:widowControl/>
        <w:jc w:val="left"/>
        <w:rPr>
          <w:rFonts w:hint="eastAsia" w:ascii="宋体" w:hAnsi="宋体" w:eastAsia="宋体"/>
          <w:bCs/>
          <w:color w:val="auto"/>
          <w:sz w:val="24"/>
          <w:highlight w:val="none"/>
        </w:rPr>
      </w:pPr>
      <w:r>
        <w:rPr>
          <w:rFonts w:ascii="宋体" w:hAnsi="宋体" w:eastAsia="宋体"/>
          <w:bCs/>
          <w:color w:val="auto"/>
          <w:sz w:val="24"/>
          <w:highlight w:val="none"/>
        </w:rPr>
        <w:br w:type="page"/>
      </w:r>
    </w:p>
    <w:p w14:paraId="3C728AE1">
      <w:pPr>
        <w:spacing w:line="360" w:lineRule="auto"/>
        <w:jc w:val="center"/>
        <w:outlineLvl w:val="0"/>
        <w:rPr>
          <w:rFonts w:hint="eastAsia" w:ascii="宋体" w:hAnsi="宋体" w:eastAsia="宋体"/>
          <w:b/>
          <w:bCs/>
          <w:color w:val="auto"/>
          <w:sz w:val="28"/>
          <w:highlight w:val="none"/>
        </w:rPr>
      </w:pPr>
      <w:bookmarkStart w:id="593" w:name="_Toc20819"/>
      <w:bookmarkStart w:id="594" w:name="_Toc6435"/>
      <w:r>
        <w:rPr>
          <w:rFonts w:hint="eastAsia" w:asciiTheme="minorEastAsia" w:hAnsiTheme="minorEastAsia" w:eastAsiaTheme="minorEastAsia"/>
          <w:b/>
          <w:color w:val="auto"/>
          <w:sz w:val="28"/>
          <w:highlight w:val="none"/>
        </w:rPr>
        <w:t>第七章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593"/>
      <w:bookmarkEnd w:id="594"/>
    </w:p>
    <w:p w14:paraId="6DE537A3">
      <w:pPr>
        <w:spacing w:line="360" w:lineRule="auto"/>
        <w:jc w:val="center"/>
        <w:outlineLvl w:val="1"/>
        <w:rPr>
          <w:rFonts w:hint="eastAsia" w:ascii="仿宋" w:hAnsi="仿宋" w:eastAsia="仿宋" w:cs="仿宋"/>
          <w:b/>
          <w:bCs/>
          <w:color w:val="auto"/>
          <w:sz w:val="32"/>
          <w:szCs w:val="44"/>
          <w:highlight w:val="none"/>
        </w:rPr>
      </w:pPr>
      <w:bookmarkStart w:id="595" w:name="_Toc27159"/>
      <w:bookmarkStart w:id="596" w:name="_Toc6955"/>
      <w:r>
        <w:rPr>
          <w:rFonts w:hint="eastAsia" w:ascii="仿宋" w:hAnsi="仿宋" w:eastAsia="仿宋" w:cs="仿宋"/>
          <w:b/>
          <w:bCs/>
          <w:color w:val="auto"/>
          <w:sz w:val="32"/>
          <w:szCs w:val="44"/>
          <w:highlight w:val="none"/>
        </w:rPr>
        <w:t>询问函范本</w:t>
      </w:r>
      <w:bookmarkEnd w:id="595"/>
      <w:bookmarkEnd w:id="596"/>
    </w:p>
    <w:p w14:paraId="2540C859">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4903DEC8">
      <w:pPr>
        <w:adjustRightInd w:val="0"/>
        <w:snapToGrid w:val="0"/>
        <w:spacing w:line="360" w:lineRule="auto"/>
        <w:rPr>
          <w:rFonts w:hint="eastAsia" w:cs="仿宋" w:asciiTheme="minorEastAsia" w:hAnsiTheme="minorEastAsia" w:eastAsiaTheme="minorEastAsia"/>
          <w:b/>
          <w:bCs/>
          <w:color w:val="auto"/>
          <w:sz w:val="24"/>
          <w:szCs w:val="24"/>
          <w:highlight w:val="none"/>
          <w:u w:val="single"/>
        </w:rPr>
      </w:pPr>
      <w:r>
        <w:rPr>
          <w:rFonts w:hint="eastAsia" w:cs="仿宋" w:asciiTheme="minorEastAsia" w:hAnsiTheme="minorEastAsia" w:eastAsiaTheme="minorEastAsia"/>
          <w:b/>
          <w:bCs/>
          <w:color w:val="auto"/>
          <w:sz w:val="24"/>
          <w:szCs w:val="24"/>
          <w:highlight w:val="none"/>
        </w:rPr>
        <w:t>致：采购人</w:t>
      </w:r>
    </w:p>
    <w:p w14:paraId="2A326BDF">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rPr>
        <w:t xml:space="preserve">           </w:t>
      </w:r>
      <w:r>
        <w:rPr>
          <w:rFonts w:hint="eastAsia" w:cs="仿宋" w:asciiTheme="minorEastAsia" w:hAnsiTheme="minorEastAsia" w:eastAsiaTheme="minorEastAsia"/>
          <w:color w:val="auto"/>
          <w:sz w:val="24"/>
          <w:szCs w:val="24"/>
          <w:highlight w:val="none"/>
        </w:rPr>
        <w:t>（</w:t>
      </w:r>
      <w:r>
        <w:rPr>
          <w:rFonts w:hint="eastAsia" w:cs="仿宋" w:asciiTheme="minorEastAsia" w:hAnsiTheme="minorEastAsia" w:eastAsiaTheme="minorEastAsia"/>
          <w:i/>
          <w:iCs/>
          <w:color w:val="auto"/>
          <w:sz w:val="24"/>
          <w:szCs w:val="24"/>
          <w:highlight w:val="none"/>
        </w:rPr>
        <w:t>项目名称、编号</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12DC48CC">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bookmarkStart w:id="597" w:name="_Toc13899"/>
      <w:r>
        <w:rPr>
          <w:rFonts w:hint="eastAsia" w:cs="仿宋" w:asciiTheme="minorEastAsia" w:hAnsiTheme="minorEastAsia" w:eastAsiaTheme="minorEastAsia"/>
          <w:color w:val="auto"/>
          <w:sz w:val="24"/>
          <w:szCs w:val="24"/>
          <w:highlight w:val="none"/>
        </w:rPr>
        <w:t>一、(事项一)</w:t>
      </w:r>
      <w:bookmarkEnd w:id="597"/>
    </w:p>
    <w:p w14:paraId="29BBAC96">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274A43F1">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B632D08">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06A5AC0B">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bookmarkStart w:id="598" w:name="_Toc3352"/>
      <w:r>
        <w:rPr>
          <w:rFonts w:hint="eastAsia" w:cs="仿宋" w:asciiTheme="minorEastAsia" w:hAnsiTheme="minorEastAsia" w:eastAsiaTheme="minorEastAsia"/>
          <w:color w:val="auto"/>
          <w:sz w:val="24"/>
          <w:szCs w:val="24"/>
          <w:highlight w:val="none"/>
        </w:rPr>
        <w:t>二、(事项二)</w:t>
      </w:r>
      <w:bookmarkEnd w:id="598"/>
    </w:p>
    <w:p w14:paraId="7FE36771">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46502EEE">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0A70B1E6">
      <w:pPr>
        <w:spacing w:line="360" w:lineRule="auto"/>
        <w:ind w:firstLine="4228" w:firstLineChars="1762"/>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3685C554">
      <w:pPr>
        <w:spacing w:line="360" w:lineRule="auto"/>
        <w:ind w:firstLine="4228" w:firstLineChars="1762"/>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75DDD5EA">
      <w:pPr>
        <w:tabs>
          <w:tab w:val="left" w:pos="630"/>
        </w:tabs>
        <w:spacing w:line="360" w:lineRule="auto"/>
        <w:ind w:firstLine="4228" w:firstLineChars="1762"/>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11629DD1">
      <w:pP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59B96119">
      <w:pPr>
        <w:jc w:val="center"/>
        <w:outlineLvl w:val="1"/>
        <w:rPr>
          <w:rFonts w:hint="eastAsia" w:ascii="仿宋" w:hAnsi="仿宋" w:eastAsia="仿宋" w:cs="仿宋"/>
          <w:b/>
          <w:bCs/>
          <w:color w:val="auto"/>
          <w:sz w:val="32"/>
          <w:szCs w:val="44"/>
          <w:highlight w:val="none"/>
        </w:rPr>
      </w:pPr>
      <w:bookmarkStart w:id="599" w:name="_Toc857"/>
      <w:bookmarkStart w:id="600" w:name="_Toc1575"/>
      <w:r>
        <w:rPr>
          <w:rFonts w:hint="eastAsia" w:ascii="仿宋" w:hAnsi="仿宋" w:eastAsia="仿宋" w:cs="仿宋"/>
          <w:b/>
          <w:bCs/>
          <w:color w:val="auto"/>
          <w:sz w:val="32"/>
          <w:szCs w:val="44"/>
          <w:highlight w:val="none"/>
        </w:rPr>
        <w:t>质疑函范本</w:t>
      </w:r>
      <w:bookmarkEnd w:id="599"/>
      <w:bookmarkEnd w:id="600"/>
    </w:p>
    <w:p w14:paraId="51403AF6">
      <w:pPr>
        <w:adjustRightInd w:val="0"/>
        <w:snapToGrid w:val="0"/>
        <w:spacing w:before="312" w:beforeLines="100" w:line="360" w:lineRule="auto"/>
        <w:rPr>
          <w:rFonts w:hint="eastAsia" w:cs="仿宋" w:asciiTheme="minorEastAsia" w:hAnsiTheme="minorEastAsia" w:eastAsiaTheme="minorEastAsia"/>
          <w:b/>
          <w:bCs/>
          <w:color w:val="auto"/>
          <w:sz w:val="24"/>
          <w:szCs w:val="24"/>
          <w:highlight w:val="none"/>
        </w:rPr>
      </w:pPr>
      <w:bookmarkStart w:id="601" w:name="_Toc21381"/>
      <w:r>
        <w:rPr>
          <w:rFonts w:hint="eastAsia" w:cs="仿宋" w:asciiTheme="minorEastAsia" w:hAnsiTheme="minorEastAsia" w:eastAsiaTheme="minorEastAsia"/>
          <w:b/>
          <w:bCs/>
          <w:color w:val="auto"/>
          <w:sz w:val="24"/>
          <w:szCs w:val="24"/>
          <w:highlight w:val="none"/>
        </w:rPr>
        <w:t>一、质疑供应商基本信息</w:t>
      </w:r>
      <w:bookmarkEnd w:id="601"/>
    </w:p>
    <w:p w14:paraId="181CE188">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01E5B9B6">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BDD53A1">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6C70F662">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08E8A6B8">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522DBF9A">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2F7F3FA7">
      <w:pPr>
        <w:adjustRightInd w:val="0"/>
        <w:snapToGrid w:val="0"/>
        <w:spacing w:line="360" w:lineRule="auto"/>
        <w:rPr>
          <w:rFonts w:hint="eastAsia" w:cs="仿宋" w:asciiTheme="minorEastAsia" w:hAnsiTheme="minorEastAsia" w:eastAsiaTheme="minorEastAsia"/>
          <w:b/>
          <w:bCs/>
          <w:color w:val="auto"/>
          <w:sz w:val="24"/>
          <w:szCs w:val="24"/>
          <w:highlight w:val="none"/>
        </w:rPr>
      </w:pPr>
      <w:bookmarkStart w:id="602" w:name="_Toc28415"/>
      <w:r>
        <w:rPr>
          <w:rFonts w:hint="eastAsia" w:cs="仿宋" w:asciiTheme="minorEastAsia" w:hAnsiTheme="minorEastAsia" w:eastAsiaTheme="minorEastAsia"/>
          <w:b/>
          <w:bCs/>
          <w:color w:val="auto"/>
          <w:sz w:val="24"/>
          <w:szCs w:val="24"/>
          <w:highlight w:val="none"/>
        </w:rPr>
        <w:t>二、质疑项目基本情况</w:t>
      </w:r>
      <w:bookmarkEnd w:id="602"/>
    </w:p>
    <w:p w14:paraId="77BCA941">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5BDD641F">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060ADAC0">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450FC5A3">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160AF298">
      <w:pPr>
        <w:adjustRightInd w:val="0"/>
        <w:snapToGrid w:val="0"/>
        <w:spacing w:line="360" w:lineRule="auto"/>
        <w:rPr>
          <w:rFonts w:hint="eastAsia" w:cs="仿宋" w:asciiTheme="minorEastAsia" w:hAnsiTheme="minorEastAsia" w:eastAsiaTheme="minorEastAsia"/>
          <w:b/>
          <w:bCs/>
          <w:color w:val="auto"/>
          <w:sz w:val="24"/>
          <w:szCs w:val="24"/>
          <w:highlight w:val="none"/>
        </w:rPr>
      </w:pPr>
      <w:bookmarkStart w:id="603" w:name="_Toc19014"/>
      <w:r>
        <w:rPr>
          <w:rFonts w:hint="eastAsia" w:cs="仿宋" w:asciiTheme="minorEastAsia" w:hAnsiTheme="minorEastAsia" w:eastAsiaTheme="minorEastAsia"/>
          <w:b/>
          <w:bCs/>
          <w:color w:val="auto"/>
          <w:sz w:val="24"/>
          <w:szCs w:val="24"/>
          <w:highlight w:val="none"/>
        </w:rPr>
        <w:t>三、质疑事项具体内容</w:t>
      </w:r>
      <w:bookmarkEnd w:id="603"/>
    </w:p>
    <w:p w14:paraId="4E187311">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3F230607">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3999BCF0">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44145714">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6D36BD93">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5EF5E0A2">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5CC54D5F">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6117968">
      <w:pPr>
        <w:adjustRightInd w:val="0"/>
        <w:snapToGrid w:val="0"/>
        <w:spacing w:line="360" w:lineRule="auto"/>
        <w:rPr>
          <w:rFonts w:hint="eastAsia" w:cs="仿宋" w:asciiTheme="minorEastAsia" w:hAnsiTheme="minorEastAsia" w:eastAsiaTheme="minorEastAsia"/>
          <w:b/>
          <w:bCs/>
          <w:color w:val="auto"/>
          <w:sz w:val="24"/>
          <w:szCs w:val="24"/>
          <w:highlight w:val="none"/>
        </w:rPr>
      </w:pPr>
      <w:bookmarkStart w:id="604" w:name="_Toc17919"/>
      <w:r>
        <w:rPr>
          <w:rFonts w:hint="eastAsia" w:cs="仿宋" w:asciiTheme="minorEastAsia" w:hAnsiTheme="minorEastAsia" w:eastAsiaTheme="minorEastAsia"/>
          <w:b/>
          <w:bCs/>
          <w:color w:val="auto"/>
          <w:sz w:val="24"/>
          <w:szCs w:val="24"/>
          <w:highlight w:val="none"/>
        </w:rPr>
        <w:t>四、与质疑事项相关的质疑请求</w:t>
      </w:r>
      <w:bookmarkEnd w:id="604"/>
    </w:p>
    <w:p w14:paraId="07049742">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504C3B86">
      <w:pPr>
        <w:spacing w:line="360" w:lineRule="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7045D639">
      <w:pPr>
        <w:spacing w:line="360" w:lineRule="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7C55E03D">
      <w:pPr>
        <w:widowControl/>
        <w:jc w:val="left"/>
        <w:rPr>
          <w:rFonts w:hint="eastAsia"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093ED900">
      <w:pPr>
        <w:outlineLvl w:val="0"/>
        <w:rPr>
          <w:rFonts w:hint="eastAsia" w:asciiTheme="minorEastAsia" w:hAnsiTheme="minorEastAsia" w:eastAsiaTheme="minorEastAsia"/>
          <w:b/>
          <w:color w:val="auto"/>
          <w:sz w:val="28"/>
          <w:szCs w:val="32"/>
          <w:highlight w:val="none"/>
        </w:rPr>
      </w:pPr>
      <w:bookmarkStart w:id="605" w:name="_Toc9754"/>
      <w:bookmarkStart w:id="606" w:name="_Toc22239"/>
      <w:r>
        <w:rPr>
          <w:rFonts w:hint="eastAsia" w:asciiTheme="minorEastAsia" w:hAnsiTheme="minorEastAsia" w:eastAsiaTheme="minorEastAsia"/>
          <w:b/>
          <w:color w:val="auto"/>
          <w:sz w:val="28"/>
          <w:szCs w:val="32"/>
          <w:highlight w:val="none"/>
        </w:rPr>
        <w:t>质疑函制作说明：</w:t>
      </w:r>
      <w:bookmarkEnd w:id="605"/>
      <w:bookmarkEnd w:id="606"/>
    </w:p>
    <w:p w14:paraId="3C5549F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74DCFF8B">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74D9EB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0A9303B5">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4719BA4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78DC5DAB">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39EC5DD3">
      <w:pPr>
        <w:rPr>
          <w:rFonts w:hint="eastAsia"/>
          <w:color w:val="auto"/>
          <w:highlight w:val="none"/>
        </w:rPr>
      </w:pPr>
    </w:p>
    <w:p w14:paraId="6283DA4E">
      <w:pPr>
        <w:rPr>
          <w:rFonts w:hint="eastAsia"/>
          <w:color w:val="auto"/>
          <w:highlight w:val="none"/>
        </w:rPr>
      </w:pPr>
    </w:p>
    <w:p w14:paraId="20E4D148">
      <w:pPr>
        <w:rPr>
          <w:rFonts w:hint="eastAsia"/>
          <w:color w:val="auto"/>
          <w:highlight w:val="none"/>
        </w:rPr>
      </w:pPr>
    </w:p>
    <w:p w14:paraId="47B89E48">
      <w:pPr>
        <w:rPr>
          <w:rFonts w:hint="eastAsia"/>
          <w:color w:val="auto"/>
          <w:highlight w:val="none"/>
        </w:rPr>
      </w:pPr>
    </w:p>
    <w:p w14:paraId="1DC97B1F">
      <w:pPr>
        <w:rPr>
          <w:rFonts w:hint="eastAsia"/>
          <w:color w:val="auto"/>
          <w:highlight w:val="none"/>
        </w:rPr>
      </w:pPr>
    </w:p>
    <w:p w14:paraId="46F6B0B4">
      <w:pPr>
        <w:rPr>
          <w:rFonts w:hint="eastAsia"/>
          <w:color w:val="auto"/>
          <w:highlight w:val="none"/>
        </w:rPr>
      </w:pPr>
    </w:p>
    <w:p w14:paraId="7912B35F">
      <w:pPr>
        <w:rPr>
          <w:rFonts w:hint="eastAsia"/>
          <w:color w:val="auto"/>
          <w:highlight w:val="none"/>
        </w:rPr>
      </w:pPr>
    </w:p>
    <w:p w14:paraId="68986741">
      <w:pPr>
        <w:rPr>
          <w:rFonts w:hint="eastAsia"/>
          <w:color w:val="auto"/>
          <w:highlight w:val="none"/>
        </w:rPr>
      </w:pPr>
    </w:p>
    <w:p w14:paraId="75687409">
      <w:pPr>
        <w:rPr>
          <w:rFonts w:hint="eastAsia"/>
          <w:color w:val="auto"/>
          <w:highlight w:val="none"/>
        </w:rPr>
      </w:pPr>
    </w:p>
    <w:p w14:paraId="11D38769">
      <w:pPr>
        <w:rPr>
          <w:rFonts w:hint="eastAsia"/>
          <w:color w:val="auto"/>
          <w:highlight w:val="none"/>
        </w:rPr>
      </w:pPr>
    </w:p>
    <w:p w14:paraId="4A8D8351">
      <w:pPr>
        <w:rPr>
          <w:rFonts w:hint="eastAsia"/>
          <w:color w:val="auto"/>
          <w:highlight w:val="none"/>
        </w:rPr>
      </w:pPr>
    </w:p>
    <w:p w14:paraId="087621B0">
      <w:pPr>
        <w:rPr>
          <w:rFonts w:hint="eastAsia"/>
          <w:color w:val="auto"/>
          <w:highlight w:val="none"/>
        </w:rPr>
      </w:pPr>
    </w:p>
    <w:p w14:paraId="6278EEDD">
      <w:pPr>
        <w:rPr>
          <w:rFonts w:hint="eastAsia"/>
          <w:color w:val="auto"/>
          <w:highlight w:val="none"/>
        </w:rPr>
      </w:pPr>
    </w:p>
    <w:p w14:paraId="5B68220A">
      <w:pPr>
        <w:rPr>
          <w:rFonts w:hint="eastAsia"/>
          <w:color w:val="auto"/>
          <w:highlight w:val="none"/>
        </w:rPr>
      </w:pPr>
    </w:p>
    <w:p w14:paraId="497B09BA">
      <w:pPr>
        <w:rPr>
          <w:rFonts w:hint="eastAsia"/>
          <w:color w:val="auto"/>
          <w:highlight w:val="none"/>
        </w:rPr>
      </w:pPr>
    </w:p>
    <w:p w14:paraId="62DB9348">
      <w:pPr>
        <w:rPr>
          <w:rFonts w:hint="eastAsia"/>
          <w:color w:val="auto"/>
          <w:highlight w:val="none"/>
        </w:rPr>
      </w:pPr>
    </w:p>
    <w:p w14:paraId="24C4BCEC">
      <w:pPr>
        <w:rPr>
          <w:rFonts w:hint="eastAsia"/>
          <w:color w:val="auto"/>
          <w:highlight w:val="none"/>
        </w:rPr>
      </w:pPr>
    </w:p>
    <w:p w14:paraId="3A51474F">
      <w:pPr>
        <w:rPr>
          <w:rFonts w:hint="eastAsia"/>
          <w:color w:val="auto"/>
          <w:highlight w:val="none"/>
        </w:rPr>
      </w:pPr>
    </w:p>
    <w:p w14:paraId="5ADA735E">
      <w:pPr>
        <w:rPr>
          <w:rFonts w:hint="eastAsia"/>
          <w:color w:val="auto"/>
          <w:highlight w:val="none"/>
        </w:rPr>
      </w:pPr>
    </w:p>
    <w:p w14:paraId="3F4F7DB7">
      <w:pPr>
        <w:rPr>
          <w:rFonts w:hint="eastAsia"/>
          <w:color w:val="auto"/>
          <w:highlight w:val="none"/>
        </w:rPr>
      </w:pPr>
    </w:p>
    <w:p w14:paraId="3A99C36D">
      <w:pPr>
        <w:rPr>
          <w:rFonts w:hint="eastAsia"/>
          <w:color w:val="auto"/>
          <w:highlight w:val="none"/>
        </w:rPr>
      </w:pPr>
    </w:p>
    <w:p w14:paraId="6F739321">
      <w:pPr>
        <w:rPr>
          <w:rFonts w:hint="eastAsia"/>
          <w:color w:val="auto"/>
          <w:highlight w:val="none"/>
        </w:rPr>
      </w:pPr>
    </w:p>
    <w:p w14:paraId="2D1EFC4D">
      <w:pPr>
        <w:rPr>
          <w:rFonts w:hint="eastAsia"/>
          <w:color w:val="auto"/>
          <w:highlight w:val="none"/>
        </w:rPr>
      </w:pPr>
    </w:p>
    <w:p w14:paraId="1BA804F8">
      <w:pPr>
        <w:rPr>
          <w:rFonts w:hint="eastAsia"/>
          <w:color w:val="auto"/>
          <w:highlight w:val="none"/>
        </w:rPr>
      </w:pPr>
    </w:p>
    <w:p w14:paraId="0176E6A2">
      <w:pPr>
        <w:rPr>
          <w:rFonts w:hint="eastAsia"/>
          <w:color w:val="auto"/>
          <w:highlight w:val="none"/>
        </w:rPr>
      </w:pPr>
    </w:p>
    <w:p w14:paraId="0B1B038E">
      <w:pPr>
        <w:rPr>
          <w:rFonts w:hint="eastAsia"/>
          <w:color w:val="auto"/>
          <w:highlight w:val="none"/>
        </w:rPr>
      </w:pPr>
    </w:p>
    <w:p w14:paraId="12A5D207">
      <w:pPr>
        <w:rPr>
          <w:rFonts w:hint="eastAsia"/>
          <w:color w:val="auto"/>
          <w:highlight w:val="none"/>
        </w:rPr>
      </w:pPr>
    </w:p>
    <w:p w14:paraId="7D606606">
      <w:pPr>
        <w:rPr>
          <w:rFonts w:ascii="宋体" w:hAnsi="宋体" w:eastAsia="宋体" w:cs="宋体"/>
          <w:sz w:val="28"/>
          <w:szCs w:val="28"/>
          <w:highlight w:val="none"/>
        </w:rPr>
      </w:pPr>
      <w:r>
        <w:rPr>
          <w:rFonts w:hint="eastAsia" w:ascii="宋体" w:hAnsi="宋体" w:eastAsia="宋体" w:cs="宋体"/>
          <w:b/>
          <w:sz w:val="28"/>
          <w:szCs w:val="28"/>
          <w:highlight w:val="none"/>
          <w:lang w:bidi="ar"/>
        </w:rPr>
        <w:t>附件</w:t>
      </w:r>
      <w:r>
        <w:rPr>
          <w:rFonts w:ascii="Times New Roman" w:hAnsi="Times New Roman" w:eastAsia="宋体" w:cs="Times New Roman"/>
          <w:b/>
          <w:sz w:val="28"/>
          <w:szCs w:val="28"/>
          <w:highlight w:val="none"/>
          <w:lang w:bidi="ar"/>
        </w:rPr>
        <w:t>1</w:t>
      </w:r>
    </w:p>
    <w:p w14:paraId="4B5CC386">
      <w:pPr>
        <w:jc w:val="center"/>
        <w:rPr>
          <w:rFonts w:hint="eastAsia" w:ascii="宋体" w:hAnsi="宋体" w:eastAsia="宋体" w:cs="宋体"/>
          <w:b/>
          <w:sz w:val="28"/>
          <w:szCs w:val="28"/>
          <w:highlight w:val="none"/>
          <w:lang w:bidi="ar"/>
        </w:rPr>
      </w:pPr>
      <w:r>
        <w:rPr>
          <w:rFonts w:hint="eastAsia" w:ascii="宋体" w:hAnsi="宋体" w:eastAsia="宋体" w:cs="宋体"/>
          <w:b/>
          <w:sz w:val="28"/>
          <w:szCs w:val="28"/>
          <w:highlight w:val="none"/>
          <w:lang w:bidi="ar"/>
        </w:rPr>
        <w:t>关于联合惩戒失信行为加强信用查询管理的通知</w:t>
      </w:r>
    </w:p>
    <w:p w14:paraId="00D4707E">
      <w:pPr>
        <w:adjustRightInd w:val="0"/>
        <w:snapToGrid w:val="0"/>
        <w:spacing w:line="5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一、失信行为联合惩戒的范围和查询渠道</w:t>
      </w:r>
    </w:p>
    <w:p w14:paraId="47B28FC5">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在我市公共资源交易活动中对存在下列失信行为的投标人、法定代表人及其项目经理（建造师）实施联合惩戒，禁止参与我市公共资源交易活动。</w:t>
      </w:r>
    </w:p>
    <w:p w14:paraId="44E5F88D">
      <w:pPr>
        <w:adjustRightInd w:val="0"/>
        <w:snapToGrid w:val="0"/>
        <w:spacing w:line="5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（一）工程建设项目</w:t>
      </w:r>
    </w:p>
    <w:p w14:paraId="23C1DA60">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1、“信用中国”网站（www.creditchina.gov.cn）查询</w:t>
      </w:r>
      <w:bookmarkStart w:id="607" w:name="OLE_LINK92"/>
      <w:bookmarkStart w:id="608" w:name="OLE_LINK91"/>
      <w:bookmarkStart w:id="609" w:name="OLE_LINK103"/>
      <w:bookmarkStart w:id="610" w:name="OLE_LINK93"/>
      <w:r>
        <w:rPr>
          <w:rFonts w:hint="eastAsia" w:ascii="宋体" w:hAnsi="宋体" w:eastAsia="宋体" w:cs="宋体"/>
          <w:color w:val="000000" w:themeColor="text1"/>
          <w:sz w:val="24"/>
          <w:szCs w:val="24"/>
          <w:highlight w:val="none"/>
          <w14:textFill>
            <w14:solidFill>
              <w14:schemeClr w14:val="tx1"/>
            </w14:solidFill>
          </w14:textFill>
        </w:rPr>
        <w:t>投标人、法定代表人及其项目经理(建造师)</w:t>
      </w:r>
      <w:bookmarkEnd w:id="607"/>
      <w:bookmarkEnd w:id="608"/>
      <w:bookmarkEnd w:id="609"/>
      <w:bookmarkEnd w:id="610"/>
      <w:r>
        <w:rPr>
          <w:rFonts w:hint="eastAsia" w:ascii="宋体" w:hAnsi="宋体" w:eastAsia="宋体" w:cs="宋体"/>
          <w:color w:val="000000" w:themeColor="text1"/>
          <w:sz w:val="24"/>
          <w:szCs w:val="24"/>
          <w:highlight w:val="none"/>
          <w14:textFill>
            <w14:solidFill>
              <w14:schemeClr w14:val="tx1"/>
            </w14:solidFill>
          </w14:textFill>
        </w:rPr>
        <w:t>以下失信行为：</w:t>
      </w:r>
    </w:p>
    <w:p w14:paraId="3729DBB4">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611" w:name="OLE_LINK119"/>
      <w:bookmarkStart w:id="612" w:name="OLE_LINK3"/>
      <w:bookmarkStart w:id="613" w:name="OLE_LINK86"/>
      <w:bookmarkStart w:id="614" w:name="OLE_LINK87"/>
      <w:bookmarkStart w:id="615" w:name="OLE_LINK94"/>
      <w:r>
        <w:rPr>
          <w:rFonts w:hint="eastAsia" w:ascii="宋体" w:hAnsi="宋体" w:eastAsia="宋体" w:cs="宋体"/>
          <w:color w:val="000000" w:themeColor="text1"/>
          <w:sz w:val="24"/>
          <w:szCs w:val="24"/>
          <w:highlight w:val="none"/>
          <w14:textFill>
            <w14:solidFill>
              <w14:schemeClr w14:val="tx1"/>
            </w14:solidFill>
          </w14:textFill>
        </w:rPr>
        <w:t>①被列入“失信被执行人”的;</w:t>
      </w:r>
    </w:p>
    <w:p w14:paraId="2D36335A">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②被列入</w:t>
      </w:r>
      <w:bookmarkStart w:id="616" w:name="OLE_LINK117"/>
      <w:bookmarkStart w:id="617" w:name="OLE_LINK116"/>
      <w:bookmarkStart w:id="618" w:name="OLE_LINK118"/>
      <w:bookmarkStart w:id="619" w:name="OLE_LINK115"/>
      <w:r>
        <w:rPr>
          <w:rFonts w:hint="eastAsia" w:ascii="宋体" w:hAnsi="宋体" w:eastAsia="宋体" w:cs="宋体"/>
          <w:color w:val="000000" w:themeColor="text1"/>
          <w:sz w:val="24"/>
          <w:szCs w:val="24"/>
          <w:highlight w:val="none"/>
          <w14:textFill>
            <w14:solidFill>
              <w14:schemeClr w14:val="tx1"/>
            </w14:solidFill>
          </w14:textFill>
        </w:rPr>
        <w:t>“重大税收违法失信主体”</w:t>
      </w:r>
      <w:bookmarkEnd w:id="616"/>
      <w:bookmarkEnd w:id="617"/>
      <w:bookmarkEnd w:id="618"/>
      <w:bookmarkEnd w:id="619"/>
      <w:r>
        <w:rPr>
          <w:rFonts w:hint="eastAsia" w:ascii="宋体" w:hAnsi="宋体" w:eastAsia="宋体" w:cs="宋体"/>
          <w:color w:val="000000" w:themeColor="text1"/>
          <w:sz w:val="24"/>
          <w:szCs w:val="24"/>
          <w:highlight w:val="none"/>
          <w14:textFill>
            <w14:solidFill>
              <w14:schemeClr w14:val="tx1"/>
            </w14:solidFill>
          </w14:textFill>
        </w:rPr>
        <w:t>的；</w:t>
      </w:r>
    </w:p>
    <w:p w14:paraId="67B6E317">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620" w:name="OLE_LINK2"/>
      <w:bookmarkStart w:id="621" w:name="OLE_LINK1"/>
      <w:r>
        <w:rPr>
          <w:rFonts w:hint="eastAsia" w:ascii="宋体" w:hAnsi="宋体" w:eastAsia="宋体" w:cs="宋体"/>
          <w:color w:val="000000" w:themeColor="text1"/>
          <w:sz w:val="24"/>
          <w:szCs w:val="24"/>
          <w:highlight w:val="none"/>
          <w14:textFill>
            <w14:solidFill>
              <w14:schemeClr w14:val="tx1"/>
            </w14:solidFill>
          </w14:textFill>
        </w:rPr>
        <w:t>③被列入“拖欠</w:t>
      </w:r>
      <w:bookmarkStart w:id="622" w:name="OLE_LINK85"/>
      <w:bookmarkStart w:id="623" w:name="OLE_LINK84"/>
      <w:r>
        <w:rPr>
          <w:rFonts w:hint="eastAsia" w:ascii="宋体" w:hAnsi="宋体" w:eastAsia="宋体" w:cs="宋体"/>
          <w:color w:val="000000" w:themeColor="text1"/>
          <w:sz w:val="24"/>
          <w:szCs w:val="24"/>
          <w:highlight w:val="none"/>
          <w14:textFill>
            <w14:solidFill>
              <w14:schemeClr w14:val="tx1"/>
            </w14:solidFill>
          </w14:textFill>
        </w:rPr>
        <w:t>农民工工资失信联合惩戒对象</w:t>
      </w:r>
      <w:bookmarkEnd w:id="622"/>
      <w:bookmarkEnd w:id="623"/>
      <w:r>
        <w:rPr>
          <w:rFonts w:hint="eastAsia" w:ascii="宋体" w:hAnsi="宋体" w:eastAsia="宋体" w:cs="宋体"/>
          <w:color w:val="000000" w:themeColor="text1"/>
          <w:sz w:val="24"/>
          <w:szCs w:val="24"/>
          <w:highlight w:val="none"/>
          <w14:textFill>
            <w14:solidFill>
              <w14:schemeClr w14:val="tx1"/>
            </w14:solidFill>
          </w14:textFill>
        </w:rPr>
        <w:t>名单”的；</w:t>
      </w:r>
      <w:bookmarkEnd w:id="620"/>
      <w:bookmarkEnd w:id="621"/>
    </w:p>
    <w:p w14:paraId="2E6B896E">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④被列入 “严重失信主体名单”的；</w:t>
      </w:r>
    </w:p>
    <w:p w14:paraId="304FB637">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⑤在“信用中国”网站上披露的仍在公示期的严重失信行为(具体行为类别及判定依据见附件2)的。</w:t>
      </w:r>
    </w:p>
    <w:bookmarkEnd w:id="611"/>
    <w:bookmarkEnd w:id="612"/>
    <w:bookmarkEnd w:id="613"/>
    <w:bookmarkEnd w:id="614"/>
    <w:bookmarkEnd w:id="615"/>
    <w:p w14:paraId="4FD8F5A9">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bookmarkStart w:id="624" w:name="OLE_LINK130"/>
      <w:r>
        <w:rPr>
          <w:rFonts w:hint="eastAsia" w:ascii="宋体" w:hAnsi="宋体" w:eastAsia="宋体" w:cs="宋体"/>
          <w:color w:val="000000" w:themeColor="text1"/>
          <w:sz w:val="24"/>
          <w:szCs w:val="24"/>
          <w:highlight w:val="none"/>
          <w14:textFill>
            <w14:solidFill>
              <w14:schemeClr w14:val="tx1"/>
            </w14:solidFill>
          </w14:textFill>
        </w:rPr>
        <w:t>国家企业信用信息公示系统网站</w:t>
      </w:r>
      <w:bookmarkEnd w:id="624"/>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"http://www.gsxt.gov.cn）查询" </w:instrText>
      </w:r>
      <w:r>
        <w:rPr>
          <w:rFonts w:hint="eastAsia" w:ascii="宋体" w:hAnsi="宋体" w:eastAsia="宋体" w:cs="宋体"/>
          <w:sz w:val="24"/>
          <w:szCs w:val="24"/>
          <w:highlight w:val="none"/>
        </w:rPr>
        <w:fldChar w:fldCharType="separate"/>
      </w:r>
      <w:bookmarkStart w:id="625" w:name="OLE_LINK90"/>
      <w:bookmarkStart w:id="626" w:name="OLE_LINK89"/>
      <w:r>
        <w:rPr>
          <w:rStyle w:val="48"/>
          <w:rFonts w:hint="eastAsia" w:ascii="宋体" w:hAnsi="宋体" w:eastAsia="宋体" w:cs="宋体"/>
          <w:color w:val="000000" w:themeColor="text1"/>
          <w:sz w:val="24"/>
          <w:szCs w:val="24"/>
          <w:highlight w:val="none"/>
          <w14:textFill>
            <w14:solidFill>
              <w14:schemeClr w14:val="tx1"/>
            </w14:solidFill>
          </w14:textFill>
        </w:rPr>
        <w:t>www.gsxt.gov.cn</w:t>
      </w:r>
      <w:bookmarkEnd w:id="625"/>
      <w:bookmarkEnd w:id="626"/>
      <w:r>
        <w:rPr>
          <w:rStyle w:val="48"/>
          <w:rFonts w:hint="eastAsia" w:ascii="宋体" w:hAnsi="宋体" w:eastAsia="宋体" w:cs="宋体"/>
          <w:color w:val="000000" w:themeColor="text1"/>
          <w:sz w:val="24"/>
          <w:szCs w:val="24"/>
          <w:highlight w:val="none"/>
          <w14:textFill>
            <w14:solidFill>
              <w14:schemeClr w14:val="tx1"/>
            </w14:solidFill>
          </w14:textFill>
        </w:rPr>
        <w:t>）</w:t>
      </w:r>
      <w:r>
        <w:rPr>
          <w:rStyle w:val="48"/>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查询投标人以下失信行为：</w:t>
      </w:r>
    </w:p>
    <w:p w14:paraId="38BE8F6D">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627" w:name="OLE_LINK122"/>
      <w:bookmarkStart w:id="628" w:name="OLE_LINK120"/>
      <w:bookmarkStart w:id="629" w:name="OLE_LINK121"/>
      <w:r>
        <w:rPr>
          <w:rFonts w:hint="eastAsia" w:ascii="宋体" w:hAnsi="宋体" w:eastAsia="宋体" w:cs="宋体"/>
          <w:color w:val="000000" w:themeColor="text1"/>
          <w:sz w:val="24"/>
          <w:szCs w:val="24"/>
          <w:highlight w:val="none"/>
          <w14:textFill>
            <w14:solidFill>
              <w14:schemeClr w14:val="tx1"/>
            </w14:solidFill>
          </w14:textFill>
        </w:rPr>
        <w:t>①</w:t>
      </w:r>
      <w:bookmarkStart w:id="630" w:name="OLE_LINK113"/>
      <w:bookmarkStart w:id="631" w:name="OLE_LINK114"/>
      <w:r>
        <w:rPr>
          <w:rFonts w:hint="eastAsia" w:ascii="宋体" w:hAnsi="宋体" w:eastAsia="宋体" w:cs="宋体"/>
          <w:color w:val="000000" w:themeColor="text1"/>
          <w:sz w:val="24"/>
          <w:szCs w:val="24"/>
          <w:highlight w:val="none"/>
          <w14:textFill>
            <w14:solidFill>
              <w14:schemeClr w14:val="tx1"/>
            </w14:solidFill>
          </w14:textFill>
        </w:rPr>
        <w:t>被列入“经营异常名录”或者“严重违法失信名单”的</w:t>
      </w:r>
      <w:bookmarkEnd w:id="630"/>
      <w:bookmarkEnd w:id="631"/>
      <w:r>
        <w:rPr>
          <w:rFonts w:hint="eastAsia" w:ascii="宋体" w:hAnsi="宋体" w:eastAsia="宋体" w:cs="宋体"/>
          <w:color w:val="000000" w:themeColor="text1"/>
          <w:sz w:val="24"/>
          <w:szCs w:val="24"/>
          <w:highlight w:val="none"/>
          <w14:textFill>
            <w14:solidFill>
              <w14:schemeClr w14:val="tx1"/>
            </w14:solidFill>
          </w14:textFill>
        </w:rPr>
        <w:t>。</w:t>
      </w:r>
      <w:bookmarkEnd w:id="627"/>
      <w:bookmarkEnd w:id="628"/>
      <w:bookmarkEnd w:id="629"/>
    </w:p>
    <w:p w14:paraId="4A70ACF9">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3、由</w:t>
      </w:r>
      <w:r>
        <w:rPr>
          <w:rFonts w:hint="eastAsia" w:ascii="宋体" w:hAnsi="宋体" w:eastAsia="宋体" w:cs="宋体"/>
          <w:color w:val="000000" w:themeColor="text1"/>
          <w:kern w:val="0"/>
          <w:sz w:val="24"/>
          <w:szCs w:val="24"/>
          <w:highlight w:val="none"/>
          <w14:textFill>
            <w14:solidFill>
              <w14:schemeClr w14:val="tx1"/>
            </w14:solidFill>
          </w14:textFill>
        </w:rPr>
        <w:t>投标人、法定代表人及其项目经理(建造师)</w:t>
      </w:r>
      <w:r>
        <w:rPr>
          <w:rFonts w:hint="eastAsia" w:ascii="宋体" w:hAnsi="宋体" w:eastAsia="宋体" w:cs="宋体"/>
          <w:color w:val="000000" w:themeColor="text1"/>
          <w:sz w:val="24"/>
          <w:szCs w:val="24"/>
          <w:highlight w:val="none"/>
          <w14:textFill>
            <w14:solidFill>
              <w14:schemeClr w14:val="tx1"/>
            </w14:solidFill>
          </w14:textFill>
        </w:rPr>
        <w:t>进行承诺，不进行现场网上信用查询的失信行为：</w:t>
      </w:r>
    </w:p>
    <w:p w14:paraId="34232A9C">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632" w:name="OLE_LINK124"/>
      <w:bookmarkStart w:id="633" w:name="OLE_LINK123"/>
      <w:r>
        <w:rPr>
          <w:rFonts w:hint="eastAsia" w:ascii="宋体" w:hAnsi="宋体" w:eastAsia="宋体" w:cs="宋体"/>
          <w:color w:val="000000" w:themeColor="text1"/>
          <w:sz w:val="24"/>
          <w:szCs w:val="24"/>
          <w:highlight w:val="none"/>
          <w14:textFill>
            <w14:solidFill>
              <w14:schemeClr w14:val="tx1"/>
            </w14:solidFill>
          </w14:textFill>
        </w:rPr>
        <w:t>①前三年有行贿犯罪行为的单位和个人；</w:t>
      </w:r>
    </w:p>
    <w:p w14:paraId="75874B2D">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②被滁州市县两级公管部门取消在一定期限内的投标资格且在取消期限内的；</w:t>
      </w:r>
    </w:p>
    <w:p w14:paraId="572E5941">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③被滁州市县两级各行业主管部门取消在一定期限内的投标资格且在取消期限内的；</w:t>
      </w:r>
    </w:p>
    <w:p w14:paraId="24DD835E">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④因拖欠农民工工资被</w:t>
      </w:r>
      <w:bookmarkStart w:id="634" w:name="OLE_LINK107"/>
      <w:bookmarkStart w:id="635" w:name="OLE_LINK108"/>
      <w:r>
        <w:rPr>
          <w:rFonts w:hint="eastAsia" w:ascii="宋体" w:hAnsi="宋体" w:eastAsia="宋体" w:cs="宋体"/>
          <w:color w:val="000000" w:themeColor="text1"/>
          <w:sz w:val="24"/>
          <w:szCs w:val="24"/>
          <w:highlight w:val="none"/>
          <w14:textFill>
            <w14:solidFill>
              <w14:schemeClr w14:val="tx1"/>
            </w14:solidFill>
          </w14:textFill>
        </w:rPr>
        <w:t>县级及以上有关行政主管部门限制投标资格且在限制期限内的</w:t>
      </w:r>
      <w:bookmarkEnd w:id="634"/>
      <w:bookmarkEnd w:id="635"/>
      <w:r>
        <w:rPr>
          <w:rFonts w:hint="eastAsia" w:ascii="宋体" w:hAnsi="宋体" w:eastAsia="宋体" w:cs="宋体"/>
          <w:color w:val="000000" w:themeColor="text1"/>
          <w:sz w:val="24"/>
          <w:szCs w:val="24"/>
          <w:highlight w:val="none"/>
          <w14:textFill>
            <w14:solidFill>
              <w14:schemeClr w14:val="tx1"/>
            </w14:solidFill>
          </w14:textFill>
        </w:rPr>
        <w:t>；</w:t>
      </w:r>
    </w:p>
    <w:p w14:paraId="08C68606">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632"/>
    <w:bookmarkEnd w:id="633"/>
    <w:p w14:paraId="033B3C2C">
      <w:pPr>
        <w:adjustRightInd w:val="0"/>
        <w:snapToGrid w:val="0"/>
        <w:spacing w:line="5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（二）政府采购项目</w:t>
      </w:r>
    </w:p>
    <w:p w14:paraId="00F04E13">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1、“信用中国”网站（</w:t>
      </w:r>
      <w:r>
        <w:rPr>
          <w:rStyle w:val="48"/>
          <w:rFonts w:hint="eastAsia" w:ascii="宋体" w:hAnsi="宋体" w:eastAsia="宋体" w:cs="宋体"/>
          <w:color w:val="000000" w:themeColor="text1"/>
          <w:sz w:val="24"/>
          <w:szCs w:val="24"/>
          <w:highlight w:val="none"/>
          <w14:textFill>
            <w14:solidFill>
              <w14:schemeClr w14:val="tx1"/>
            </w14:solidFill>
          </w14:textFill>
        </w:rPr>
        <w:t>www.creditchina.gov.cn</w:t>
      </w:r>
      <w:r>
        <w:rPr>
          <w:rFonts w:hint="eastAsia" w:ascii="宋体" w:hAnsi="宋体" w:eastAsia="宋体" w:cs="宋体"/>
          <w:color w:val="000000" w:themeColor="text1"/>
          <w:sz w:val="24"/>
          <w:szCs w:val="24"/>
          <w:highlight w:val="none"/>
          <w14:textFill>
            <w14:solidFill>
              <w14:schemeClr w14:val="tx1"/>
            </w14:solidFill>
          </w14:textFill>
        </w:rPr>
        <w:t>）查询供应商、法定代表人及其项目负责人以下失信行为：</w:t>
      </w:r>
    </w:p>
    <w:p w14:paraId="62E1D3CF">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①被列入“失信被执行人”的;</w:t>
      </w:r>
    </w:p>
    <w:p w14:paraId="38D5D864">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②被列入“重大税收违法失信主体”的；</w:t>
      </w:r>
    </w:p>
    <w:p w14:paraId="11F8F0A5">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③被列入 “严重失信主体名单”的；</w:t>
      </w:r>
    </w:p>
    <w:p w14:paraId="5F6C7340">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④在“信用中国”网站上披露的仍在公示期的严重失信行为(具体行为类别及判定依据见附件2)的。</w:t>
      </w:r>
    </w:p>
    <w:p w14:paraId="0B6CF4EF">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2、国家企业信用信息公示系统网站（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"http://www.gsxt.gov.cn）查询" </w:instrText>
      </w:r>
      <w:r>
        <w:rPr>
          <w:rFonts w:hint="eastAsia" w:ascii="宋体" w:hAnsi="宋体" w:eastAsia="宋体" w:cs="宋体"/>
          <w:sz w:val="24"/>
          <w:szCs w:val="24"/>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www.gsxt.gov.cn）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查询供应商以下失信行为：</w:t>
      </w:r>
    </w:p>
    <w:p w14:paraId="1CDCB380">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w:t>
      </w:r>
      <w:bookmarkStart w:id="636" w:name="OLE_LINK100"/>
      <w:bookmarkStart w:id="637" w:name="OLE_LINK101"/>
      <w:bookmarkStart w:id="638" w:name="OLE_LINK102"/>
      <w:r>
        <w:rPr>
          <w:rFonts w:hint="eastAsia" w:ascii="宋体" w:hAnsi="宋体" w:eastAsia="宋体" w:cs="宋体"/>
          <w:color w:val="000000" w:themeColor="text1"/>
          <w:sz w:val="24"/>
          <w:szCs w:val="24"/>
          <w:highlight w:val="none"/>
          <w14:textFill>
            <w14:solidFill>
              <w14:schemeClr w14:val="tx1"/>
            </w14:solidFill>
          </w14:textFill>
        </w:rPr>
        <w:t>被列入“经营异常名录”或者“严重违法失信名单”的</w:t>
      </w:r>
      <w:bookmarkEnd w:id="636"/>
      <w:bookmarkEnd w:id="637"/>
      <w:bookmarkEnd w:id="638"/>
      <w:r>
        <w:rPr>
          <w:rFonts w:hint="eastAsia" w:ascii="宋体" w:hAnsi="宋体" w:eastAsia="宋体" w:cs="宋体"/>
          <w:color w:val="000000" w:themeColor="text1"/>
          <w:sz w:val="24"/>
          <w:szCs w:val="24"/>
          <w:highlight w:val="none"/>
          <w14:textFill>
            <w14:solidFill>
              <w14:schemeClr w14:val="tx1"/>
            </w14:solidFill>
          </w14:textFill>
        </w:rPr>
        <w:t>。</w:t>
      </w:r>
    </w:p>
    <w:p w14:paraId="5E1CCC23">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3、中国政府采购网站（</w:t>
      </w:r>
      <w:bookmarkStart w:id="639" w:name="OLE_LINK96"/>
      <w:bookmarkStart w:id="640" w:name="OLE_LINK95"/>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"http://www.ccgp.gov.cn"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www.ccgp.gov.cn</w:t>
      </w:r>
      <w:r>
        <w:rPr>
          <w:rFonts w:hint="eastAsia" w:ascii="宋体" w:hAnsi="宋体" w:eastAsia="宋体" w:cs="宋体"/>
          <w:color w:val="000000" w:themeColor="text1"/>
          <w:sz w:val="24"/>
          <w:szCs w:val="24"/>
          <w:highlight w:val="none"/>
          <w14:textFill>
            <w14:solidFill>
              <w14:schemeClr w14:val="tx1"/>
            </w14:solidFill>
          </w14:textFill>
        </w:rPr>
        <w:fldChar w:fldCharType="end"/>
      </w:r>
      <w:bookmarkEnd w:id="639"/>
      <w:bookmarkEnd w:id="640"/>
      <w:r>
        <w:rPr>
          <w:rFonts w:hint="eastAsia" w:ascii="宋体" w:hAnsi="宋体" w:eastAsia="宋体" w:cs="宋体"/>
          <w:color w:val="000000" w:themeColor="text1"/>
          <w:sz w:val="24"/>
          <w:szCs w:val="24"/>
          <w:highlight w:val="none"/>
          <w14:textFill>
            <w14:solidFill>
              <w14:schemeClr w14:val="tx1"/>
            </w14:solidFill>
          </w14:textFill>
        </w:rPr>
        <w:t>）查询以下失信行为：</w:t>
      </w:r>
    </w:p>
    <w:p w14:paraId="00B18771">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w:t>
      </w:r>
      <w:bookmarkStart w:id="641" w:name="OLE_LINK105"/>
      <w:bookmarkStart w:id="642" w:name="OLE_LINK104"/>
      <w:bookmarkStart w:id="643" w:name="OLE_LINK106"/>
      <w:r>
        <w:rPr>
          <w:rFonts w:hint="eastAsia" w:ascii="宋体" w:hAnsi="宋体" w:eastAsia="宋体" w:cs="宋体"/>
          <w:color w:val="000000" w:themeColor="text1"/>
          <w:sz w:val="24"/>
          <w:szCs w:val="24"/>
          <w:highlight w:val="none"/>
          <w14:textFill>
            <w14:solidFill>
              <w14:schemeClr w14:val="tx1"/>
            </w14:solidFill>
          </w14:textFill>
        </w:rPr>
        <w:t>被列入“政府采购严重违法失信行为信息记录”的</w:t>
      </w:r>
      <w:bookmarkEnd w:id="641"/>
      <w:bookmarkEnd w:id="642"/>
      <w:bookmarkEnd w:id="643"/>
      <w:r>
        <w:rPr>
          <w:rFonts w:hint="eastAsia" w:ascii="宋体" w:hAnsi="宋体" w:eastAsia="宋体" w:cs="宋体"/>
          <w:color w:val="000000" w:themeColor="text1"/>
          <w:sz w:val="24"/>
          <w:szCs w:val="24"/>
          <w:highlight w:val="none"/>
          <w14:textFill>
            <w14:solidFill>
              <w14:schemeClr w14:val="tx1"/>
            </w14:solidFill>
          </w14:textFill>
        </w:rPr>
        <w:t>。</w:t>
      </w:r>
    </w:p>
    <w:p w14:paraId="49A5F9CC">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4、由竞争主体进行承诺，不进行现场网上信用查询的失信行为：</w:t>
      </w:r>
    </w:p>
    <w:p w14:paraId="6D29F322">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①前三年有行贿犯罪行为的单位和个人。</w:t>
      </w:r>
    </w:p>
    <w:p w14:paraId="43EE3D63">
      <w:pPr>
        <w:adjustRightInd w:val="0"/>
        <w:snapToGrid w:val="0"/>
        <w:spacing w:line="5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二、在开评标活动中的查询程序</w:t>
      </w:r>
    </w:p>
    <w:p w14:paraId="0136B81D">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63A836BA">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5AB61CC8">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3、项目单位及其委托的代理机构应当做好信用查询结果截图和记录留存。</w:t>
      </w:r>
    </w:p>
    <w:p w14:paraId="3321D610">
      <w:pPr>
        <w:adjustRightInd w:val="0"/>
        <w:snapToGrid w:val="0"/>
        <w:spacing w:line="5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三、相关要求</w:t>
      </w:r>
    </w:p>
    <w:p w14:paraId="1240C698">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1、参与公共资源交易活动的竞争主体根据上述范围查询的内容进行自查并承诺，出具《诚信投标承诺书》（诚信投标承诺书包括但不限于上述自查并承诺内容）并注明承诺日期（投标截止时间前5日内）。</w:t>
      </w:r>
    </w:p>
    <w:p w14:paraId="3F0F58A7">
      <w:pPr>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2A63D1B4">
      <w:pPr>
        <w:wordWrap w:val="0"/>
        <w:adjustRightInd w:val="0"/>
        <w:snapToGrid w:val="0"/>
        <w:spacing w:line="5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"https://credit.ah.gov.cn/xinyong-fuwu/xvbahv/index.html" </w:instrText>
      </w:r>
      <w:r>
        <w:rPr>
          <w:rFonts w:hint="eastAsia" w:ascii="宋体" w:hAnsi="宋体" w:eastAsia="宋体" w:cs="宋体"/>
          <w:sz w:val="24"/>
          <w:szCs w:val="24"/>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https://credit.ah.gov.cn/xinyong-fuwu/xvbahv/index.html</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411A06BD">
      <w:pPr>
        <w:adjustRightInd w:val="0"/>
        <w:snapToGrid w:val="0"/>
        <w:spacing w:line="5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2、“信用中国”查询的严重失信行为判定依据为各行业主管部门下发的联合惩戒文件中规定的行为（按附件2执行）。</w:t>
      </w:r>
    </w:p>
    <w:p w14:paraId="57296D1C">
      <w:pPr>
        <w:spacing w:line="440" w:lineRule="exact"/>
        <w:rPr>
          <w:rFonts w:hint="eastAsia" w:ascii="宋体" w:hAnsi="宋体" w:eastAsia="宋体" w:cs="宋体"/>
          <w:b/>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3、资格预审的项目以递交资格预审申请文件截止时间查询为准；资格后审的项目以递交投标文件截止时间查询为准。</w:t>
      </w:r>
      <w:r>
        <w:rPr>
          <w:rFonts w:hint="eastAsia" w:ascii="宋体" w:hAnsi="宋体" w:eastAsia="宋体" w:cs="宋体"/>
          <w:b/>
          <w:sz w:val="24"/>
          <w:szCs w:val="24"/>
          <w:highlight w:val="none"/>
          <w:lang w:bidi="ar"/>
        </w:rPr>
        <w:t xml:space="preserve"> </w:t>
      </w:r>
    </w:p>
    <w:p w14:paraId="74CD0614">
      <w:pPr>
        <w:pStyle w:val="37"/>
        <w:ind w:firstLine="420"/>
        <w:rPr>
          <w:highlight w:val="none"/>
        </w:rPr>
      </w:pPr>
      <w:r>
        <w:rPr>
          <w:rFonts w:hint="eastAsia"/>
          <w:highlight w:val="none"/>
        </w:rPr>
        <w:t xml:space="preserve"> </w:t>
      </w:r>
    </w:p>
    <w:p w14:paraId="26D7AAC4">
      <w:pPr>
        <w:spacing w:line="440" w:lineRule="exact"/>
        <w:rPr>
          <w:rFonts w:ascii="宋体" w:hAnsi="宋体" w:eastAsia="宋体" w:cs="宋体"/>
          <w:b/>
          <w:sz w:val="24"/>
          <w:szCs w:val="24"/>
          <w:highlight w:val="none"/>
        </w:rPr>
      </w:pPr>
      <w:r>
        <w:rPr>
          <w:rFonts w:hint="eastAsia" w:ascii="宋体" w:hAnsi="宋体" w:eastAsia="宋体" w:cs="宋体"/>
          <w:b/>
          <w:sz w:val="24"/>
          <w:szCs w:val="24"/>
          <w:highlight w:val="none"/>
          <w:lang w:bidi="ar"/>
        </w:rPr>
        <w:br w:type="page"/>
      </w:r>
      <w:r>
        <w:rPr>
          <w:rFonts w:hint="eastAsia" w:ascii="宋体" w:hAnsi="宋体" w:eastAsia="宋体" w:cs="宋体"/>
          <w:b/>
          <w:sz w:val="24"/>
          <w:szCs w:val="24"/>
          <w:highlight w:val="none"/>
          <w:lang w:bidi="ar"/>
        </w:rPr>
        <w:t>附件</w:t>
      </w:r>
      <w:r>
        <w:rPr>
          <w:rFonts w:ascii="Times New Roman" w:hAnsi="Times New Roman" w:eastAsia="宋体" w:cs="Times New Roman"/>
          <w:b/>
          <w:sz w:val="24"/>
          <w:szCs w:val="24"/>
          <w:highlight w:val="none"/>
          <w:lang w:bidi="ar"/>
        </w:rPr>
        <w:t>2</w:t>
      </w:r>
    </w:p>
    <w:p w14:paraId="12AC91EA">
      <w:pPr>
        <w:adjustRightInd w:val="0"/>
        <w:snapToGrid w:val="0"/>
        <w:spacing w:line="560" w:lineRule="exact"/>
        <w:ind w:firstLine="645"/>
        <w:jc w:val="center"/>
        <w:rPr>
          <w:rFonts w:hint="eastAsia" w:ascii="宋体" w:hAnsi="宋体" w:eastAsia="宋体" w:cs="宋体"/>
          <w:b/>
          <w:sz w:val="24"/>
          <w:szCs w:val="24"/>
          <w:highlight w:val="none"/>
          <w:lang w:eastAsia="zh-CN" w:bidi="ar"/>
        </w:rPr>
      </w:pPr>
      <w:r>
        <w:rPr>
          <w:rFonts w:hint="eastAsia" w:ascii="宋体" w:hAnsi="宋体" w:eastAsia="宋体" w:cs="宋体"/>
          <w:b/>
          <w:sz w:val="24"/>
          <w:szCs w:val="24"/>
          <w:highlight w:val="none"/>
          <w:lang w:eastAsia="zh-CN" w:bidi="ar"/>
        </w:rPr>
        <w:t>“信用中国”查询的严重失信行为类别及判定依据</w:t>
      </w:r>
    </w:p>
    <w:p w14:paraId="530A304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“信用中国”查询的严重失信行为判定依据为各行业主管部门下发的联合惩戒文件中规定的行为。下面将部分类别的严重失信行为列举如下：</w:t>
      </w:r>
    </w:p>
    <w:p w14:paraId="1F9ABE08">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一、安全生产领域严重失信行为：</w:t>
      </w:r>
    </w:p>
    <w:p w14:paraId="399E79E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（一）下列发生生产安全事故的生产经营单位及其有关人员应当列入严重失信主体名单：</w:t>
      </w:r>
    </w:p>
    <w:p w14:paraId="1080733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1、发生特别重大、重大生产安全事故的生产经营单位及其主要负责人，以及经调查认定对该事故发生负有责任，应当列入名单的其他单位和人员；</w:t>
      </w:r>
    </w:p>
    <w:p w14:paraId="39BDFEE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2、12个月内累计发生2起以上较大生产安全事故的生产经营单位及其主要负责人；</w:t>
      </w:r>
    </w:p>
    <w:p w14:paraId="481D3F8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3、发生生产安全事故，情节特别严重、影响特别恶劣，依照《中华人民共和国安全生产法》第一百一十四条的规定被处以罚款数额2倍以上5倍以下罚款的生产经营单位及其主要负责人；</w:t>
      </w:r>
    </w:p>
    <w:p w14:paraId="2149290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4、瞒报、谎报生产安全事故的生产经营单位及其有关责任人员；</w:t>
      </w:r>
    </w:p>
    <w:p w14:paraId="00CA615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5、发生生产安全事故后，不立即组织抢救或者在事故调查处理期间擅离职守或者逃匿的生产经营单位主要负责人。</w:t>
      </w:r>
    </w:p>
    <w:p w14:paraId="0FD417B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（二）下列未发生生产安全事故，但因安全生产违法行为，受到行政处罚的生产经营单位或者机构及其有关人员，应当列入严重失信主体名单：</w:t>
      </w:r>
    </w:p>
    <w:p w14:paraId="0040BE1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1、未依法取得安全生产相关许可或者许可被暂扣、吊销期间从事相关生产经营活动的生产经营单位及其主要负责人；</w:t>
      </w:r>
    </w:p>
    <w:p w14:paraId="21A2999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2、承担安全评价、认证、检测、检验职责的机构及其直接责任人员租借资质、挂靠、出具虚假报告或者证书的；</w:t>
      </w:r>
    </w:p>
    <w:p w14:paraId="4CB7A5B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3、在应急管理部门作出行政处罚后，有执行能力拒不执行或者逃避执行的生产经营单位及其主要负责人；</w:t>
      </w:r>
    </w:p>
    <w:p w14:paraId="38ED6E0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4、其他违反安全生产法律法规受到行政处罚，且性质恶劣、情节严重的。</w:t>
      </w:r>
    </w:p>
    <w:p w14:paraId="6EFAEF16">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依据：《安全生产严重失信主体名单管理办法》（2023年8月8日应急管理部令第11号）</w:t>
      </w:r>
    </w:p>
    <w:p w14:paraId="4291A8EA">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二、环境保护领域严重失信行为：</w:t>
      </w:r>
    </w:p>
    <w:p w14:paraId="10914A3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（一）因为环境违法构成</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"https://baike.sogou.com/m/fullLemma?lid=10403954&amp;g_ut=3"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环境犯罪</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的；</w:t>
      </w:r>
    </w:p>
    <w:p w14:paraId="5BBBBD0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"https://baike.sogou.com/m/fullLemma?lid=76033123&amp;g_ut=3"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建设项目环境影响评价</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文件未按规定通过审批，擅自开工建设的；</w:t>
      </w:r>
    </w:p>
    <w:p w14:paraId="6767B83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（三）建设项目环保设施未建成、环保措施未落实、未通过</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"https://baike.sogou.com/m/fullLemma?lid=6470550&amp;g_ut=3"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竣工环保验收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或者验收不合格，主体工程正式投入生产或者使用的；</w:t>
      </w:r>
    </w:p>
    <w:p w14:paraId="27F24C1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（四）建设项目性质、规模、地点、采用的生产工艺或者防治污染、防止生态破坏的措施发生重大变动，未重新报批环境影响评价文件，擅自投入生产或者使用的；</w:t>
      </w:r>
    </w:p>
    <w:p w14:paraId="3FE4164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（五）主要污染物排放总量超过控制指标的；</w:t>
      </w:r>
    </w:p>
    <w:p w14:paraId="4F5F10D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（六）私设暗管或者利用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"https://baike.sogou.com/m/fullLemma?lid=41657319&amp;g_ut=3"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渗井</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、渗坑、裂隙、溶洞等排放、倾倒、处置水污染物，或者通过私设旁路排放</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"https://baike.sogou.com/m/fullLemma?lid=7758328&amp;g_ut=3"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大气污染物</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的；</w:t>
      </w:r>
    </w:p>
    <w:p w14:paraId="6B63C52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（七）非法排放、倾倒、处置危险废物，或者向无</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"https://baike.sogou.com/m/fullLemma?lid=5923292&amp;g_ut=3"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经营许可证</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或者超出经营许可范围的单位或个人提供或者委托其收集、贮存、利用、处置危险废物的；</w:t>
      </w:r>
    </w:p>
    <w:p w14:paraId="4055E7F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"https://baike.sogou.com/m/fullLemma?lid=167759803&amp;g_ut=3"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环境违法行为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造成集中式生活饮用水水源取水中断的；</w:t>
      </w:r>
    </w:p>
    <w:p w14:paraId="7B82B29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（九）环境违法行为对生活饮用水水源保护区、自然保护区、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"https://baike.sogou.com/m/fullLemma?lid=155199213&amp;g_ut=3"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国家重点生态功能区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、风景名胜区、居住功能区、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"https://baike.sogou.com/m/fullLemma?lid=7757164&amp;g_ut=3"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基本农田保护区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等环境敏感区造成重大不利影响的；</w:t>
      </w:r>
    </w:p>
    <w:p w14:paraId="6162B9D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（十）违法从事自然资源开发、交通基础设施建设，以及其他开发建设活动，造成严重生态破坏的；</w:t>
      </w:r>
    </w:p>
    <w:p w14:paraId="7C9D158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（十一）发生较大及以上突发环境事件的；</w:t>
      </w:r>
    </w:p>
    <w:p w14:paraId="09DCD08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（十二）被环保部门挂牌督办，整改逾期未完成的；</w:t>
      </w:r>
    </w:p>
    <w:p w14:paraId="1E17F8A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（十三）以暴力、威胁等方式拒绝、阻挠环保部门工作人员现场检查的；</w:t>
      </w:r>
    </w:p>
    <w:p w14:paraId="442C69F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（十四）违反重污染天气应急预案有关规定，对重污染天气响应不力的。</w:t>
      </w:r>
    </w:p>
    <w:p w14:paraId="06FA1E23">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w:t>
      </w:r>
      <w:bookmarkStart w:id="644" w:name="OLE_LINK9"/>
      <w:bookmarkStart w:id="645" w:name="OLE_LINK10"/>
      <w:r>
        <w:rPr>
          <w:rFonts w:hint="eastAsia" w:ascii="宋体" w:hAnsi="宋体" w:eastAsia="宋体" w:cs="宋体"/>
          <w:b/>
          <w:color w:val="auto"/>
          <w:sz w:val="24"/>
          <w:szCs w:val="24"/>
          <w:highlight w:val="none"/>
        </w:rPr>
        <w:t>关于对环境保护领域失信生产经营单位及其有关人员开展联合惩戒的合作备忘录</w:t>
      </w:r>
      <w:bookmarkEnd w:id="644"/>
      <w:bookmarkEnd w:id="645"/>
      <w:r>
        <w:rPr>
          <w:rFonts w:hint="eastAsia" w:ascii="宋体" w:hAnsi="宋体" w:eastAsia="宋体" w:cs="宋体"/>
          <w:b/>
          <w:color w:val="auto"/>
          <w:sz w:val="24"/>
          <w:szCs w:val="24"/>
          <w:highlight w:val="none"/>
        </w:rPr>
        <w:t>》、《</w:t>
      </w:r>
      <w:bookmarkStart w:id="646" w:name="OLE_LINK11"/>
      <w:bookmarkStart w:id="647" w:name="OLE_LINK12"/>
      <w:r>
        <w:rPr>
          <w:rFonts w:hint="eastAsia" w:ascii="宋体" w:hAnsi="宋体" w:eastAsia="宋体" w:cs="宋体"/>
          <w:b/>
          <w:color w:val="auto"/>
          <w:sz w:val="24"/>
          <w:szCs w:val="24"/>
          <w:highlight w:val="none"/>
        </w:rPr>
        <w:t>企业环境信用评价办法（试行）</w:t>
      </w:r>
      <w:bookmarkEnd w:id="646"/>
      <w:bookmarkEnd w:id="647"/>
      <w:r>
        <w:rPr>
          <w:rFonts w:hint="eastAsia" w:ascii="宋体" w:hAnsi="宋体" w:eastAsia="宋体" w:cs="宋体"/>
          <w:b/>
          <w:color w:val="auto"/>
          <w:sz w:val="24"/>
          <w:szCs w:val="24"/>
          <w:highlight w:val="none"/>
        </w:rPr>
        <w:t>》（环发〔2013〕150号）</w:t>
      </w:r>
    </w:p>
    <w:p w14:paraId="2FD23003">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bCs/>
          <w:color w:val="auto"/>
          <w:sz w:val="24"/>
          <w:szCs w:val="24"/>
          <w:highlight w:val="none"/>
        </w:rPr>
        <w:t>公共资源交易领域严重失信行为</w:t>
      </w:r>
    </w:p>
    <w:p w14:paraId="098E4A0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（一）违反法律规定，必须进行招标的项目而不招标的，将必须进行招标的项目化整为零或者以其他任何方式规避招标的； </w:t>
      </w:r>
    </w:p>
    <w:p w14:paraId="3D3C3EB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（二）招标代理机构违反法律规定，泄露应当保密的与招标投标活动有关的情况和资料的，或者与招标人、投标人串通损害 国家利益、社会公共利益或者他人合法权益的；</w:t>
      </w:r>
    </w:p>
    <w:p w14:paraId="4F9FE22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（三）招标人以不合理的条件限制或者排斥潜在投标人的，对潜在投标人实行歧视待遇的，强制要求投标人组成联合体共同 投标的，或者限制投标人之间竞争的；</w:t>
      </w:r>
    </w:p>
    <w:p w14:paraId="654E4F4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（四）依法必须进行招标的项目的招标人向他人透露已获取招标文件的潜在投标人的名称、数量或者可能影响公平竞争的有 关招标投标的其他情况的，或者泄露标底的；</w:t>
      </w:r>
    </w:p>
    <w:p w14:paraId="239A1CB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（五）投标人相互串通投标或者与招标人串通投标的，投标人以向招标人或者评标委员会成员行贿的手段谋取中标的； </w:t>
      </w:r>
    </w:p>
    <w:p w14:paraId="4CE6815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（六）投标人以他人名义投标或者以其他方式弄虚作假，骗取中标的；</w:t>
      </w:r>
    </w:p>
    <w:p w14:paraId="02EB32A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（七）依法必须进行招标的项目，招标人违反法律规定，与投标人就投标价格、投标方案等实质性内容进行谈判的；</w:t>
      </w:r>
    </w:p>
    <w:p w14:paraId="6FE6C67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53B4767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（九）招标人在评标委员会依法推荐的中标候选人以外确定中标人的，依法必须进行招标的项目在所有投标被评标委员会否 决后自行确定中标人的； </w:t>
      </w:r>
    </w:p>
    <w:p w14:paraId="39490ED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（十）中标人将中标项目转让给他人的，将中标项目肢解后分别转让给他人的，违反法律规定将中标项目的部分主体、关键 性工作分包给他人的，或者分包人再次分包的； </w:t>
      </w:r>
    </w:p>
    <w:p w14:paraId="4134086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（十一）招标人与中标人不按照招标文件和中标人的投标文件订立合同的，或者招标人、中标人订立背离合同实质性内容的 协议的； </w:t>
      </w:r>
    </w:p>
    <w:p w14:paraId="6D4CEE5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（十二）中标人不按照与招标人订立的合同履行义务，情节严重的； </w:t>
      </w:r>
    </w:p>
    <w:p w14:paraId="187AA26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5E6E032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2955BAA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（十五）采购人对应当实行集中采购的政府采购项目，不委托集中采购机构实行集中采购的； </w:t>
      </w:r>
    </w:p>
    <w:p w14:paraId="5DB7AF4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（十六）采购人、采购代理机构违反法律规定隐匿、销毁应当保存的采购文件或者伪造、变造采购文件的； </w:t>
      </w:r>
    </w:p>
    <w:p w14:paraId="466F418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14F343B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（十八）疫苗生产企业向县级疾病预防控制机构以外的单位或者个人销售第二类疫苗的； </w:t>
      </w:r>
    </w:p>
    <w:p w14:paraId="78B2303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（十九）存在其他违反公共资源交易法律法规行为的。</w:t>
      </w:r>
    </w:p>
    <w:p w14:paraId="2F517A43">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依据：《</w:t>
      </w:r>
      <w:bookmarkStart w:id="648" w:name="OLE_LINK13"/>
      <w:bookmarkStart w:id="649" w:name="OLE_LINK14"/>
      <w:r>
        <w:rPr>
          <w:rFonts w:hint="eastAsia" w:ascii="宋体" w:hAnsi="宋体" w:eastAsia="宋体" w:cs="宋体"/>
          <w:b/>
          <w:color w:val="auto"/>
          <w:sz w:val="24"/>
          <w:szCs w:val="24"/>
          <w:highlight w:val="none"/>
        </w:rPr>
        <w:t>关于对公共资源交易领域严重失信主体开展联合惩戒的备忘录</w:t>
      </w:r>
      <w:bookmarkEnd w:id="648"/>
      <w:bookmarkEnd w:id="649"/>
      <w:r>
        <w:rPr>
          <w:rFonts w:hint="eastAsia" w:ascii="宋体" w:hAnsi="宋体" w:eastAsia="宋体" w:cs="宋体"/>
          <w:b/>
          <w:color w:val="auto"/>
          <w:sz w:val="24"/>
          <w:szCs w:val="24"/>
          <w:highlight w:val="none"/>
        </w:rPr>
        <w:t>》（发改法规〔2018〕457号）</w:t>
      </w:r>
    </w:p>
    <w:p w14:paraId="7718A581">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w:t>
      </w:r>
      <w:r>
        <w:rPr>
          <w:rFonts w:hint="eastAsia" w:ascii="宋体" w:hAnsi="宋体" w:eastAsia="宋体" w:cs="宋体"/>
          <w:b/>
          <w:bCs/>
          <w:color w:val="auto"/>
          <w:sz w:val="24"/>
          <w:szCs w:val="24"/>
          <w:highlight w:val="none"/>
        </w:rPr>
        <w:t>社会保险领域严重失信行为</w:t>
      </w:r>
    </w:p>
    <w:p w14:paraId="1EDF380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（一）用人单位未按相关规定参加社会保险且拒不整改的； </w:t>
      </w:r>
    </w:p>
    <w:p w14:paraId="27DF920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（二）用人单位未如实申报社会保险缴费基数且拒不整改的； </w:t>
      </w:r>
    </w:p>
    <w:p w14:paraId="0D48329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（三）应缴纳社会保险费却拒不缴纳的； </w:t>
      </w:r>
    </w:p>
    <w:p w14:paraId="7227A14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（四）隐匿、转移、侵占、挪用社会保险费款、基金或者违规投资运营的；</w:t>
      </w:r>
    </w:p>
    <w:p w14:paraId="39E8E26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（五）以欺诈、伪造证明材料或者其他手段参加、申报社会保险和骗取社会保险基金支出或社会保险待遇的； </w:t>
      </w:r>
    </w:p>
    <w:p w14:paraId="095F46F4">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（六）非法获取、出售或变相交易社会保险个人权益数据的； </w:t>
      </w:r>
    </w:p>
    <w:p w14:paraId="1636A3C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（七）社会保险服务机构违反服务协议或相关规定的； </w:t>
      </w:r>
    </w:p>
    <w:p w14:paraId="19D59AA4">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（八）拒绝协助社会保险行政部门、经办机构对事故和问题进 行调查核实的；拒绝接受或协助税务部门对社会保险实施监督检查， 不如实提供与社会保险相关各项资料的； </w:t>
      </w:r>
    </w:p>
    <w:p w14:paraId="5155440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（九）其他违反法律法规规定的。</w:t>
      </w:r>
    </w:p>
    <w:p w14:paraId="374FED45">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依据：《</w:t>
      </w:r>
      <w:bookmarkStart w:id="650" w:name="OLE_LINK16"/>
      <w:bookmarkStart w:id="651" w:name="OLE_LINK15"/>
      <w:r>
        <w:rPr>
          <w:rFonts w:hint="eastAsia" w:ascii="宋体" w:hAnsi="宋体" w:eastAsia="宋体" w:cs="宋体"/>
          <w:b/>
          <w:color w:val="auto"/>
          <w:sz w:val="24"/>
          <w:szCs w:val="24"/>
          <w:highlight w:val="none"/>
        </w:rPr>
        <w:t>关于对社会保险领域严重失信企业及其有关人员实施联合惩戒的合作备忘录</w:t>
      </w:r>
      <w:bookmarkEnd w:id="650"/>
      <w:bookmarkEnd w:id="651"/>
      <w:r>
        <w:rPr>
          <w:rFonts w:hint="eastAsia" w:ascii="宋体" w:hAnsi="宋体" w:eastAsia="宋体" w:cs="宋体"/>
          <w:b/>
          <w:color w:val="auto"/>
          <w:sz w:val="24"/>
          <w:szCs w:val="24"/>
          <w:highlight w:val="none"/>
        </w:rPr>
        <w:t>》（发改财金〔2018〕1704号）</w:t>
      </w:r>
    </w:p>
    <w:p w14:paraId="5B5C6487">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五、建筑市场领域</w:t>
      </w:r>
      <w:r>
        <w:rPr>
          <w:rFonts w:hint="eastAsia" w:ascii="宋体" w:hAnsi="宋体" w:eastAsia="宋体" w:cs="宋体"/>
          <w:b/>
          <w:bCs/>
          <w:color w:val="auto"/>
          <w:sz w:val="24"/>
          <w:szCs w:val="24"/>
          <w:highlight w:val="none"/>
        </w:rPr>
        <w:t>严重失信行为</w:t>
      </w:r>
    </w:p>
    <w:p w14:paraId="279C5C3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（一）利用虚假材料、以欺骗手段取得企业资质的；</w:t>
      </w:r>
    </w:p>
    <w:p w14:paraId="2D8B93C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（二）发生转包、出借资质，受到行政处罚的；</w:t>
      </w:r>
    </w:p>
    <w:p w14:paraId="3B4D1AE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（三）发生重大及以上工程质量安全事故，或1年内累计发生2次及以上较大工程质量安全事故，或发生性质恶劣、危害性严重、社会影响大的较大工程质量安全事故，受到行政处罚的；</w:t>
      </w:r>
    </w:p>
    <w:p w14:paraId="3C2D3FE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（四）经法院判决或仲裁机构裁决，认定为拖欠工程款,且拒不履行生效法律文书确定的义务的。</w:t>
      </w:r>
    </w:p>
    <w:p w14:paraId="5BF2132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各级住房城乡建设主管部门应当参照建筑市场主体“黑名单”，对被人力资源社会保障行政部门列入拖欠农民工工资“黑名单”的建筑市场各方主体加强监管。</w:t>
      </w:r>
    </w:p>
    <w:p w14:paraId="5CB0A022">
      <w:pPr>
        <w:keepNext w:val="0"/>
        <w:keepLines w:val="0"/>
        <w:pageBreakBefore w:val="0"/>
        <w:widowControl w:val="0"/>
        <w:kinsoku/>
        <w:wordWrap/>
        <w:overflowPunct/>
        <w:topLinePunct w:val="0"/>
        <w:autoSpaceDE/>
        <w:autoSpaceDN/>
        <w:bidi w:val="0"/>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w:t>
      </w:r>
      <w:bookmarkStart w:id="652" w:name="OLE_LINK18"/>
      <w:bookmarkStart w:id="653" w:name="OLE_LINK17"/>
      <w:r>
        <w:rPr>
          <w:rFonts w:hint="eastAsia" w:ascii="宋体" w:hAnsi="宋体" w:eastAsia="宋体" w:cs="宋体"/>
          <w:b/>
          <w:color w:val="auto"/>
          <w:sz w:val="24"/>
          <w:szCs w:val="24"/>
          <w:highlight w:val="none"/>
        </w:rPr>
        <w:t>建筑市场信用管理暂行办法</w:t>
      </w:r>
      <w:bookmarkEnd w:id="652"/>
      <w:bookmarkEnd w:id="653"/>
      <w:r>
        <w:rPr>
          <w:rFonts w:hint="eastAsia" w:ascii="宋体" w:hAnsi="宋体" w:eastAsia="宋体" w:cs="宋体"/>
          <w:b/>
          <w:color w:val="auto"/>
          <w:sz w:val="24"/>
          <w:szCs w:val="24"/>
          <w:highlight w:val="none"/>
        </w:rPr>
        <w:t>》（建市〔2017〕241号）</w:t>
      </w:r>
    </w:p>
    <w:p w14:paraId="66BD7FA4">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w:t>
      </w:r>
      <w:bookmarkStart w:id="654" w:name="OLE_LINK20"/>
      <w:bookmarkStart w:id="655" w:name="OLE_LINK19"/>
      <w:r>
        <w:rPr>
          <w:rFonts w:hint="eastAsia" w:ascii="宋体" w:hAnsi="宋体" w:eastAsia="宋体" w:cs="宋体"/>
          <w:b/>
          <w:color w:val="auto"/>
          <w:sz w:val="24"/>
          <w:szCs w:val="24"/>
          <w:highlight w:val="none"/>
        </w:rPr>
        <w:t>政府采购严重失信行为</w:t>
      </w:r>
      <w:bookmarkEnd w:id="654"/>
      <w:bookmarkEnd w:id="655"/>
    </w:p>
    <w:p w14:paraId="583602F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供应商、采购代理机构在三年内受到财政部门作出下列情形之一的行政处罚，列入政府采购严重违法失信行为记录名单。</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（一）三万元以上罚款；</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（二）在一至三年内禁止参加政府采购活动（处罚期限届满的除外）；</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（三）在一至三年内禁止代理政府采购业务（处罚期限届满的除外）；</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（四）撤销政府采购代理机构资格（仅针对《政府采购法》第78条修改前作出的处罚决定）。</w:t>
      </w:r>
    </w:p>
    <w:p w14:paraId="001E1782">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依据：《关于报送政府采购严重违法失信行为信息记录的通知》（财办库〔2014〕526号）</w:t>
      </w:r>
    </w:p>
    <w:p w14:paraId="12FC15E9">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rPr>
          <w:highlight w:val="none"/>
        </w:rPr>
      </w:pPr>
      <w:r>
        <w:rPr>
          <w:rFonts w:hint="eastAsia" w:ascii="宋体" w:hAnsi="宋体" w:eastAsia="宋体" w:cs="宋体"/>
          <w:b/>
          <w:color w:val="auto"/>
          <w:sz w:val="24"/>
          <w:szCs w:val="24"/>
          <w:highlight w:val="none"/>
        </w:rPr>
        <w:t>未列出的其他类别严重失信行为，由招标人（代理机构）根据各类别行业主管部门下发的联合惩戒文件进行判断。</w:t>
      </w:r>
    </w:p>
    <w:p w14:paraId="61845203">
      <w:pPr>
        <w:spacing w:line="360" w:lineRule="auto"/>
        <w:ind w:firstLine="435"/>
        <w:rPr>
          <w:rFonts w:hint="eastAsia" w:ascii="宋体" w:hAnsi="宋体" w:eastAsia="宋体" w:cs="宋体"/>
          <w:color w:val="auto"/>
          <w:sz w:val="24"/>
          <w:highlight w:val="none"/>
          <w:lang w:eastAsia="zh-CN"/>
        </w:rPr>
      </w:pPr>
    </w:p>
    <w:p w14:paraId="47DB1632">
      <w:pPr>
        <w:rPr>
          <w:rFonts w:hint="eastAsia"/>
          <w:color w:val="auto"/>
          <w:highlight w:val="none"/>
        </w:rPr>
      </w:pPr>
    </w:p>
    <w:sectPr>
      <w:headerReference r:id="rId5" w:type="default"/>
      <w:footerReference r:id="rId6" w:type="default"/>
      <w:pgSz w:w="11906" w:h="16838"/>
      <w:pgMar w:top="1440" w:right="1633" w:bottom="1440" w:left="1633"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3000509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1960">
    <w:pPr>
      <w:pStyle w:val="28"/>
      <w:tabs>
        <w:tab w:val="left" w:pos="7350"/>
      </w:tabs>
      <w:jc w:val="center"/>
      <w:rPr>
        <w:rFonts w:hint="eastAsia" w:asciiTheme="minorEastAsia" w:hAnsiTheme="minorEastAsia" w:eastAsiaTheme="minorEastAsia"/>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8CA61">
    <w:pPr>
      <w:pStyle w:val="28"/>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EB2A4">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FFEB2A4">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E0CEA">
    <w:pPr>
      <w:pStyle w:val="29"/>
      <w:pBdr>
        <w:bottom w:val="none" w:color="auto" w:sz="0" w:space="1"/>
      </w:pBdr>
      <w:jc w:val="left"/>
      <w:rPr>
        <w:rFonts w:hint="eastAsia" w:asciiTheme="minorEastAsia" w:hAnsiTheme="minorEastAsia"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B3661">
    <w:pPr>
      <w:pStyle w:val="29"/>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F6AE5"/>
    <w:multiLevelType w:val="singleLevel"/>
    <w:tmpl w:val="866F6AE5"/>
    <w:lvl w:ilvl="0" w:tentative="0">
      <w:start w:val="1"/>
      <w:numFmt w:val="decimal"/>
      <w:suff w:val="nothing"/>
      <w:lvlText w:val="%1、"/>
      <w:lvlJc w:val="left"/>
      <w:pPr>
        <w:tabs>
          <w:tab w:val="left" w:pos="0"/>
        </w:tabs>
        <w:ind w:left="0" w:firstLine="0"/>
      </w:pPr>
    </w:lvl>
  </w:abstractNum>
  <w:abstractNum w:abstractNumId="1">
    <w:nsid w:val="97792CC8"/>
    <w:multiLevelType w:val="multilevel"/>
    <w:tmpl w:val="97792CC8"/>
    <w:lvl w:ilvl="0" w:tentative="0">
      <w:start w:val="1"/>
      <w:numFmt w:val="bullet"/>
      <w:pStyle w:val="121"/>
      <w:suff w:val="nothing"/>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2">
    <w:nsid w:val="AFB05A32"/>
    <w:multiLevelType w:val="singleLevel"/>
    <w:tmpl w:val="AFB05A32"/>
    <w:lvl w:ilvl="0" w:tentative="0">
      <w:start w:val="1"/>
      <w:numFmt w:val="decimal"/>
      <w:suff w:val="nothing"/>
      <w:lvlText w:val="%1、"/>
      <w:lvlJc w:val="left"/>
      <w:pPr>
        <w:tabs>
          <w:tab w:val="left" w:pos="0"/>
        </w:tabs>
        <w:ind w:left="0" w:firstLine="0"/>
      </w:pPr>
    </w:lvl>
  </w:abstractNum>
  <w:abstractNum w:abstractNumId="3">
    <w:nsid w:val="BBE21CE8"/>
    <w:multiLevelType w:val="singleLevel"/>
    <w:tmpl w:val="BBE21CE8"/>
    <w:lvl w:ilvl="0" w:tentative="0">
      <w:start w:val="1"/>
      <w:numFmt w:val="decimal"/>
      <w:suff w:val="nothing"/>
      <w:lvlText w:val="%1、"/>
      <w:lvlJc w:val="left"/>
      <w:pPr>
        <w:tabs>
          <w:tab w:val="left" w:pos="0"/>
        </w:tabs>
        <w:ind w:left="0" w:firstLine="0"/>
      </w:pPr>
    </w:lvl>
  </w:abstractNum>
  <w:abstractNum w:abstractNumId="4">
    <w:nsid w:val="CA08C77E"/>
    <w:multiLevelType w:val="singleLevel"/>
    <w:tmpl w:val="CA08C77E"/>
    <w:lvl w:ilvl="0" w:tentative="0">
      <w:start w:val="1"/>
      <w:numFmt w:val="decimal"/>
      <w:suff w:val="nothing"/>
      <w:lvlText w:val="%1、"/>
      <w:lvlJc w:val="left"/>
      <w:pPr>
        <w:tabs>
          <w:tab w:val="left" w:pos="0"/>
        </w:tabs>
        <w:ind w:left="0" w:firstLine="0"/>
      </w:pPr>
    </w:lvl>
  </w:abstractNum>
  <w:abstractNum w:abstractNumId="5">
    <w:nsid w:val="CDC6D2BF"/>
    <w:multiLevelType w:val="singleLevel"/>
    <w:tmpl w:val="CDC6D2BF"/>
    <w:lvl w:ilvl="0" w:tentative="0">
      <w:start w:val="1"/>
      <w:numFmt w:val="decimal"/>
      <w:suff w:val="nothing"/>
      <w:lvlText w:val="%1、"/>
      <w:lvlJc w:val="left"/>
      <w:pPr>
        <w:tabs>
          <w:tab w:val="left" w:pos="0"/>
        </w:tabs>
        <w:ind w:left="0" w:firstLine="0"/>
      </w:pPr>
    </w:lvl>
  </w:abstractNum>
  <w:abstractNum w:abstractNumId="6">
    <w:nsid w:val="EB52B5EA"/>
    <w:multiLevelType w:val="singleLevel"/>
    <w:tmpl w:val="EB52B5EA"/>
    <w:lvl w:ilvl="0" w:tentative="0">
      <w:start w:val="1"/>
      <w:numFmt w:val="decimal"/>
      <w:suff w:val="nothing"/>
      <w:lvlText w:val="%1、"/>
      <w:lvlJc w:val="left"/>
      <w:pPr>
        <w:tabs>
          <w:tab w:val="left" w:pos="0"/>
        </w:tabs>
        <w:ind w:left="0" w:firstLine="0"/>
      </w:pPr>
    </w:lvl>
  </w:abstractNum>
  <w:abstractNum w:abstractNumId="7">
    <w:nsid w:val="1CE9817F"/>
    <w:multiLevelType w:val="singleLevel"/>
    <w:tmpl w:val="1CE9817F"/>
    <w:lvl w:ilvl="0" w:tentative="0">
      <w:start w:val="6"/>
      <w:numFmt w:val="chineseCounting"/>
      <w:suff w:val="space"/>
      <w:lvlText w:val="第%1章"/>
      <w:lvlJc w:val="left"/>
      <w:rPr>
        <w:rFonts w:hint="eastAsia"/>
      </w:rPr>
    </w:lvl>
  </w:abstractNum>
  <w:abstractNum w:abstractNumId="8">
    <w:nsid w:val="26AF26D1"/>
    <w:multiLevelType w:val="singleLevel"/>
    <w:tmpl w:val="26AF26D1"/>
    <w:lvl w:ilvl="0" w:tentative="0">
      <w:start w:val="1"/>
      <w:numFmt w:val="decimal"/>
      <w:suff w:val="nothing"/>
      <w:lvlText w:val="%1、"/>
      <w:lvlJc w:val="left"/>
      <w:pPr>
        <w:tabs>
          <w:tab w:val="left" w:pos="0"/>
        </w:tabs>
        <w:ind w:left="0" w:firstLine="0"/>
      </w:pPr>
    </w:lvl>
  </w:abstractNum>
  <w:abstractNum w:abstractNumId="9">
    <w:nsid w:val="2A064A37"/>
    <w:multiLevelType w:val="singleLevel"/>
    <w:tmpl w:val="2A064A37"/>
    <w:lvl w:ilvl="0" w:tentative="0">
      <w:start w:val="3"/>
      <w:numFmt w:val="chineseCounting"/>
      <w:suff w:val="space"/>
      <w:lvlText w:val="第%1章"/>
      <w:lvlJc w:val="left"/>
      <w:rPr>
        <w:rFonts w:hint="eastAsia"/>
      </w:rPr>
    </w:lvl>
  </w:abstractNum>
  <w:abstractNum w:abstractNumId="10">
    <w:nsid w:val="2A5FD5EE"/>
    <w:multiLevelType w:val="singleLevel"/>
    <w:tmpl w:val="2A5FD5EE"/>
    <w:lvl w:ilvl="0" w:tentative="0">
      <w:start w:val="1"/>
      <w:numFmt w:val="decimal"/>
      <w:suff w:val="nothing"/>
      <w:lvlText w:val="（%1）"/>
      <w:lvlJc w:val="left"/>
      <w:pPr>
        <w:tabs>
          <w:tab w:val="left" w:pos="0"/>
        </w:tabs>
        <w:ind w:left="0" w:firstLine="0"/>
      </w:pPr>
    </w:lvl>
  </w:abstractNum>
  <w:abstractNum w:abstractNumId="11">
    <w:nsid w:val="3256FCC9"/>
    <w:multiLevelType w:val="singleLevel"/>
    <w:tmpl w:val="3256FCC9"/>
    <w:lvl w:ilvl="0" w:tentative="0">
      <w:start w:val="8"/>
      <w:numFmt w:val="decimal"/>
      <w:lvlText w:val="%1."/>
      <w:lvlJc w:val="left"/>
      <w:pPr>
        <w:tabs>
          <w:tab w:val="left" w:pos="312"/>
        </w:tabs>
      </w:pPr>
    </w:lvl>
  </w:abstractNum>
  <w:abstractNum w:abstractNumId="12">
    <w:nsid w:val="33572631"/>
    <w:multiLevelType w:val="singleLevel"/>
    <w:tmpl w:val="33572631"/>
    <w:lvl w:ilvl="0" w:tentative="0">
      <w:start w:val="1"/>
      <w:numFmt w:val="decimal"/>
      <w:suff w:val="nothing"/>
      <w:lvlText w:val="%1、"/>
      <w:lvlJc w:val="left"/>
      <w:pPr>
        <w:tabs>
          <w:tab w:val="left" w:pos="0"/>
        </w:tabs>
        <w:ind w:left="0" w:firstLine="0"/>
      </w:pPr>
    </w:lvl>
  </w:abstractNum>
  <w:abstractNum w:abstractNumId="13">
    <w:nsid w:val="4A97232A"/>
    <w:multiLevelType w:val="singleLevel"/>
    <w:tmpl w:val="4A97232A"/>
    <w:lvl w:ilvl="0" w:tentative="0">
      <w:start w:val="1"/>
      <w:numFmt w:val="decimal"/>
      <w:suff w:val="nothing"/>
      <w:lvlText w:val="%1、"/>
      <w:lvlJc w:val="left"/>
      <w:pPr>
        <w:tabs>
          <w:tab w:val="left" w:pos="0"/>
        </w:tabs>
        <w:ind w:left="0" w:firstLine="0"/>
      </w:pPr>
    </w:lvl>
  </w:abstractNum>
  <w:abstractNum w:abstractNumId="14">
    <w:nsid w:val="531828AE"/>
    <w:multiLevelType w:val="singleLevel"/>
    <w:tmpl w:val="531828AE"/>
    <w:lvl w:ilvl="0" w:tentative="0">
      <w:start w:val="1"/>
      <w:numFmt w:val="decimal"/>
      <w:suff w:val="nothing"/>
      <w:lvlText w:val="%1、"/>
      <w:lvlJc w:val="left"/>
      <w:pPr>
        <w:tabs>
          <w:tab w:val="left" w:pos="0"/>
        </w:tabs>
        <w:ind w:left="0" w:firstLine="0"/>
      </w:pPr>
    </w:lvl>
  </w:abstractNum>
  <w:abstractNum w:abstractNumId="15">
    <w:nsid w:val="534133A4"/>
    <w:multiLevelType w:val="singleLevel"/>
    <w:tmpl w:val="534133A4"/>
    <w:lvl w:ilvl="0" w:tentative="0">
      <w:start w:val="1"/>
      <w:numFmt w:val="decimal"/>
      <w:suff w:val="nothing"/>
      <w:lvlText w:val="%1、"/>
      <w:lvlJc w:val="left"/>
      <w:pPr>
        <w:tabs>
          <w:tab w:val="left" w:pos="0"/>
        </w:tabs>
        <w:ind w:left="0" w:firstLine="0"/>
      </w:pPr>
    </w:lvl>
  </w:abstractNum>
  <w:abstractNum w:abstractNumId="16">
    <w:nsid w:val="5FEA195D"/>
    <w:multiLevelType w:val="singleLevel"/>
    <w:tmpl w:val="5FEA195D"/>
    <w:lvl w:ilvl="0" w:tentative="0">
      <w:start w:val="1"/>
      <w:numFmt w:val="bullet"/>
      <w:lvlText w:val=""/>
      <w:lvlJc w:val="left"/>
      <w:pPr>
        <w:tabs>
          <w:tab w:val="left" w:pos="0"/>
        </w:tabs>
        <w:ind w:left="420" w:hanging="420"/>
      </w:pPr>
      <w:rPr>
        <w:rFonts w:hint="default" w:ascii="Wingdings" w:hAnsi="Wingdings"/>
      </w:rPr>
    </w:lvl>
  </w:abstractNum>
  <w:abstractNum w:abstractNumId="17">
    <w:nsid w:val="697F8670"/>
    <w:multiLevelType w:val="singleLevel"/>
    <w:tmpl w:val="697F8670"/>
    <w:lvl w:ilvl="0" w:tentative="0">
      <w:start w:val="1"/>
      <w:numFmt w:val="decimal"/>
      <w:suff w:val="nothing"/>
      <w:lvlText w:val="%1、"/>
      <w:lvlJc w:val="left"/>
      <w:pPr>
        <w:tabs>
          <w:tab w:val="left" w:pos="0"/>
        </w:tabs>
        <w:ind w:left="0" w:firstLine="0"/>
      </w:pPr>
    </w:lvl>
  </w:abstractNum>
  <w:abstractNum w:abstractNumId="18">
    <w:nsid w:val="7008F62B"/>
    <w:multiLevelType w:val="singleLevel"/>
    <w:tmpl w:val="7008F62B"/>
    <w:lvl w:ilvl="0" w:tentative="0">
      <w:start w:val="1"/>
      <w:numFmt w:val="decimal"/>
      <w:suff w:val="nothing"/>
      <w:lvlText w:val="%1、"/>
      <w:lvlJc w:val="left"/>
      <w:pPr>
        <w:tabs>
          <w:tab w:val="left" w:pos="0"/>
        </w:tabs>
        <w:ind w:left="0" w:firstLine="0"/>
      </w:pPr>
    </w:lvl>
  </w:abstractNum>
  <w:abstractNum w:abstractNumId="19">
    <w:nsid w:val="709EDC3A"/>
    <w:multiLevelType w:val="singleLevel"/>
    <w:tmpl w:val="709EDC3A"/>
    <w:lvl w:ilvl="0" w:tentative="0">
      <w:start w:val="1"/>
      <w:numFmt w:val="decimal"/>
      <w:suff w:val="nothing"/>
      <w:lvlText w:val="%1、"/>
      <w:lvlJc w:val="left"/>
      <w:pPr>
        <w:tabs>
          <w:tab w:val="left" w:pos="0"/>
        </w:tabs>
        <w:ind w:left="0" w:firstLine="0"/>
      </w:pPr>
    </w:lvl>
  </w:abstractNum>
  <w:num w:numId="1">
    <w:abstractNumId w:val="1"/>
  </w:num>
  <w:num w:numId="2">
    <w:abstractNumId w:val="11"/>
  </w:num>
  <w:num w:numId="3">
    <w:abstractNumId w:val="9"/>
  </w:num>
  <w:num w:numId="4">
    <w:abstractNumId w:val="4"/>
  </w:num>
  <w:num w:numId="5">
    <w:abstractNumId w:val="19"/>
  </w:num>
  <w:num w:numId="6">
    <w:abstractNumId w:val="13"/>
  </w:num>
  <w:num w:numId="7">
    <w:abstractNumId w:val="0"/>
  </w:num>
  <w:num w:numId="8">
    <w:abstractNumId w:val="10"/>
  </w:num>
  <w:num w:numId="9">
    <w:abstractNumId w:val="18"/>
  </w:num>
  <w:num w:numId="10">
    <w:abstractNumId w:val="12"/>
  </w:num>
  <w:num w:numId="11">
    <w:abstractNumId w:val="16"/>
  </w:num>
  <w:num w:numId="12">
    <w:abstractNumId w:val="15"/>
  </w:num>
  <w:num w:numId="13">
    <w:abstractNumId w:val="2"/>
  </w:num>
  <w:num w:numId="14">
    <w:abstractNumId w:val="14"/>
  </w:num>
  <w:num w:numId="15">
    <w:abstractNumId w:val="8"/>
  </w:num>
  <w:num w:numId="16">
    <w:abstractNumId w:val="5"/>
  </w:num>
  <w:num w:numId="17">
    <w:abstractNumId w:val="17"/>
  </w:num>
  <w:num w:numId="18">
    <w:abstractNumId w:val="3"/>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lMTg4ODQ2ZDM1MGFlZDcxNjMyMTljYjhlNTA5OGMifQ=="/>
    <w:docVar w:name="KSO_WPS_MARK_KEY" w:val="e816610a-0a8e-4bcd-8a34-cae36f09e229"/>
  </w:docVars>
  <w:rsids>
    <w:rsidRoot w:val="00276BA1"/>
    <w:rsid w:val="0000043F"/>
    <w:rsid w:val="00003F56"/>
    <w:rsid w:val="000049DA"/>
    <w:rsid w:val="00004F40"/>
    <w:rsid w:val="000056B7"/>
    <w:rsid w:val="00012A13"/>
    <w:rsid w:val="000131F7"/>
    <w:rsid w:val="00013B38"/>
    <w:rsid w:val="00016B6C"/>
    <w:rsid w:val="00017D40"/>
    <w:rsid w:val="00017EC7"/>
    <w:rsid w:val="00020B57"/>
    <w:rsid w:val="00026768"/>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4943"/>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0F7B24"/>
    <w:rsid w:val="00100B0F"/>
    <w:rsid w:val="0010187C"/>
    <w:rsid w:val="001037E3"/>
    <w:rsid w:val="00106AE1"/>
    <w:rsid w:val="00110911"/>
    <w:rsid w:val="00113042"/>
    <w:rsid w:val="00116A70"/>
    <w:rsid w:val="0012143A"/>
    <w:rsid w:val="001222C6"/>
    <w:rsid w:val="00126A7B"/>
    <w:rsid w:val="001303BB"/>
    <w:rsid w:val="00136D80"/>
    <w:rsid w:val="00137C7C"/>
    <w:rsid w:val="00140687"/>
    <w:rsid w:val="00141707"/>
    <w:rsid w:val="00142AAF"/>
    <w:rsid w:val="00143940"/>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601E"/>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A7F45"/>
    <w:rsid w:val="001B21DF"/>
    <w:rsid w:val="001B2A54"/>
    <w:rsid w:val="001B5014"/>
    <w:rsid w:val="001B501E"/>
    <w:rsid w:val="001B7327"/>
    <w:rsid w:val="001C1409"/>
    <w:rsid w:val="001C67F2"/>
    <w:rsid w:val="001D4358"/>
    <w:rsid w:val="001D457B"/>
    <w:rsid w:val="001D53B4"/>
    <w:rsid w:val="001D7FD1"/>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6810"/>
    <w:rsid w:val="00260860"/>
    <w:rsid w:val="00260B94"/>
    <w:rsid w:val="00264F2E"/>
    <w:rsid w:val="00267521"/>
    <w:rsid w:val="00271245"/>
    <w:rsid w:val="00272CB9"/>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93C"/>
    <w:rsid w:val="002B6D27"/>
    <w:rsid w:val="002C3776"/>
    <w:rsid w:val="002C4BA9"/>
    <w:rsid w:val="002D1258"/>
    <w:rsid w:val="002D128A"/>
    <w:rsid w:val="002D2965"/>
    <w:rsid w:val="002D3D02"/>
    <w:rsid w:val="002D4CB5"/>
    <w:rsid w:val="002D684B"/>
    <w:rsid w:val="002E3B26"/>
    <w:rsid w:val="002E4AB8"/>
    <w:rsid w:val="002F092B"/>
    <w:rsid w:val="002F298D"/>
    <w:rsid w:val="002F5981"/>
    <w:rsid w:val="002F72EE"/>
    <w:rsid w:val="00310070"/>
    <w:rsid w:val="003110EC"/>
    <w:rsid w:val="00313029"/>
    <w:rsid w:val="00324D38"/>
    <w:rsid w:val="00327C92"/>
    <w:rsid w:val="0033245B"/>
    <w:rsid w:val="00333292"/>
    <w:rsid w:val="003344E7"/>
    <w:rsid w:val="0033580B"/>
    <w:rsid w:val="0033628B"/>
    <w:rsid w:val="003365E7"/>
    <w:rsid w:val="003374F8"/>
    <w:rsid w:val="003378D5"/>
    <w:rsid w:val="003419E9"/>
    <w:rsid w:val="003447AE"/>
    <w:rsid w:val="003473D7"/>
    <w:rsid w:val="00351AC8"/>
    <w:rsid w:val="00353075"/>
    <w:rsid w:val="00363E02"/>
    <w:rsid w:val="00367834"/>
    <w:rsid w:val="00373A96"/>
    <w:rsid w:val="003826C2"/>
    <w:rsid w:val="00383728"/>
    <w:rsid w:val="00383B8D"/>
    <w:rsid w:val="00391586"/>
    <w:rsid w:val="00394128"/>
    <w:rsid w:val="003947A4"/>
    <w:rsid w:val="00395235"/>
    <w:rsid w:val="0039561A"/>
    <w:rsid w:val="00397C7D"/>
    <w:rsid w:val="003A004F"/>
    <w:rsid w:val="003A20B5"/>
    <w:rsid w:val="003B4130"/>
    <w:rsid w:val="003B65AB"/>
    <w:rsid w:val="003B67D3"/>
    <w:rsid w:val="003B6C76"/>
    <w:rsid w:val="003B715B"/>
    <w:rsid w:val="003C4630"/>
    <w:rsid w:val="003D1D14"/>
    <w:rsid w:val="003D6C7C"/>
    <w:rsid w:val="003D6EFB"/>
    <w:rsid w:val="003D7E52"/>
    <w:rsid w:val="003E1F34"/>
    <w:rsid w:val="003E25C6"/>
    <w:rsid w:val="003E6BEB"/>
    <w:rsid w:val="003F145B"/>
    <w:rsid w:val="003F2122"/>
    <w:rsid w:val="003F326A"/>
    <w:rsid w:val="004011AA"/>
    <w:rsid w:val="0040202C"/>
    <w:rsid w:val="00406508"/>
    <w:rsid w:val="0041456E"/>
    <w:rsid w:val="00414F7E"/>
    <w:rsid w:val="004164F8"/>
    <w:rsid w:val="00416830"/>
    <w:rsid w:val="00417FD0"/>
    <w:rsid w:val="00420B7F"/>
    <w:rsid w:val="004234BA"/>
    <w:rsid w:val="0042488B"/>
    <w:rsid w:val="00427732"/>
    <w:rsid w:val="004427B7"/>
    <w:rsid w:val="0044349F"/>
    <w:rsid w:val="00445F1F"/>
    <w:rsid w:val="00451F60"/>
    <w:rsid w:val="00452BB2"/>
    <w:rsid w:val="00453527"/>
    <w:rsid w:val="00455467"/>
    <w:rsid w:val="0045656D"/>
    <w:rsid w:val="004578E0"/>
    <w:rsid w:val="00462D98"/>
    <w:rsid w:val="004700D9"/>
    <w:rsid w:val="00472A44"/>
    <w:rsid w:val="00473A89"/>
    <w:rsid w:val="004745C6"/>
    <w:rsid w:val="00474D3B"/>
    <w:rsid w:val="00475899"/>
    <w:rsid w:val="004802A8"/>
    <w:rsid w:val="00482C78"/>
    <w:rsid w:val="004874AE"/>
    <w:rsid w:val="00492E2B"/>
    <w:rsid w:val="00494D24"/>
    <w:rsid w:val="004951D1"/>
    <w:rsid w:val="004A27D0"/>
    <w:rsid w:val="004A4D67"/>
    <w:rsid w:val="004A6A90"/>
    <w:rsid w:val="004A6FD2"/>
    <w:rsid w:val="004B2D4C"/>
    <w:rsid w:val="004C7378"/>
    <w:rsid w:val="004D1030"/>
    <w:rsid w:val="004D3D4B"/>
    <w:rsid w:val="004D5498"/>
    <w:rsid w:val="004D66A5"/>
    <w:rsid w:val="004D6B00"/>
    <w:rsid w:val="004D7951"/>
    <w:rsid w:val="004E0AE0"/>
    <w:rsid w:val="004E1D50"/>
    <w:rsid w:val="004E502F"/>
    <w:rsid w:val="004E6C6A"/>
    <w:rsid w:val="004F0396"/>
    <w:rsid w:val="00501382"/>
    <w:rsid w:val="00501E26"/>
    <w:rsid w:val="00503E2F"/>
    <w:rsid w:val="005054B9"/>
    <w:rsid w:val="00506E4F"/>
    <w:rsid w:val="00510798"/>
    <w:rsid w:val="005146A9"/>
    <w:rsid w:val="00514ED8"/>
    <w:rsid w:val="00515F12"/>
    <w:rsid w:val="00522B2E"/>
    <w:rsid w:val="00524A11"/>
    <w:rsid w:val="00525BEE"/>
    <w:rsid w:val="00527768"/>
    <w:rsid w:val="005327FB"/>
    <w:rsid w:val="00533FCA"/>
    <w:rsid w:val="0053524C"/>
    <w:rsid w:val="00541C0B"/>
    <w:rsid w:val="0054317E"/>
    <w:rsid w:val="00544C2A"/>
    <w:rsid w:val="00546D49"/>
    <w:rsid w:val="005512EB"/>
    <w:rsid w:val="00556D4C"/>
    <w:rsid w:val="005614B4"/>
    <w:rsid w:val="005616B5"/>
    <w:rsid w:val="00571315"/>
    <w:rsid w:val="0057573B"/>
    <w:rsid w:val="00582075"/>
    <w:rsid w:val="00584A63"/>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038CC"/>
    <w:rsid w:val="00610A66"/>
    <w:rsid w:val="00613177"/>
    <w:rsid w:val="00613F7C"/>
    <w:rsid w:val="00614BF2"/>
    <w:rsid w:val="0061618E"/>
    <w:rsid w:val="00620560"/>
    <w:rsid w:val="006208CB"/>
    <w:rsid w:val="006224B8"/>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1F12"/>
    <w:rsid w:val="00662EE8"/>
    <w:rsid w:val="00663813"/>
    <w:rsid w:val="00663C3B"/>
    <w:rsid w:val="00664AFD"/>
    <w:rsid w:val="00667567"/>
    <w:rsid w:val="006737B6"/>
    <w:rsid w:val="0067391A"/>
    <w:rsid w:val="00674173"/>
    <w:rsid w:val="00674602"/>
    <w:rsid w:val="0067535A"/>
    <w:rsid w:val="00683CA0"/>
    <w:rsid w:val="00690CD9"/>
    <w:rsid w:val="00690DB1"/>
    <w:rsid w:val="00693404"/>
    <w:rsid w:val="006953D9"/>
    <w:rsid w:val="00697FE9"/>
    <w:rsid w:val="006A5FEE"/>
    <w:rsid w:val="006B1242"/>
    <w:rsid w:val="006B1DBC"/>
    <w:rsid w:val="006B61B3"/>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4AD"/>
    <w:rsid w:val="00702CF1"/>
    <w:rsid w:val="00703635"/>
    <w:rsid w:val="007054AA"/>
    <w:rsid w:val="00706D4B"/>
    <w:rsid w:val="00707B8C"/>
    <w:rsid w:val="00710804"/>
    <w:rsid w:val="0071110A"/>
    <w:rsid w:val="00711FC6"/>
    <w:rsid w:val="007130B1"/>
    <w:rsid w:val="00715071"/>
    <w:rsid w:val="0072140F"/>
    <w:rsid w:val="007231E9"/>
    <w:rsid w:val="00727C59"/>
    <w:rsid w:val="00734E5D"/>
    <w:rsid w:val="00735AF1"/>
    <w:rsid w:val="00736013"/>
    <w:rsid w:val="00737661"/>
    <w:rsid w:val="00753D83"/>
    <w:rsid w:val="00755D75"/>
    <w:rsid w:val="00756245"/>
    <w:rsid w:val="0076130F"/>
    <w:rsid w:val="00761662"/>
    <w:rsid w:val="00764043"/>
    <w:rsid w:val="007757CF"/>
    <w:rsid w:val="00776FFC"/>
    <w:rsid w:val="0078128F"/>
    <w:rsid w:val="0078683C"/>
    <w:rsid w:val="00790EDB"/>
    <w:rsid w:val="00791538"/>
    <w:rsid w:val="007918F0"/>
    <w:rsid w:val="00791CD5"/>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7E5E4A"/>
    <w:rsid w:val="007F5C72"/>
    <w:rsid w:val="00801028"/>
    <w:rsid w:val="00802CE2"/>
    <w:rsid w:val="00803793"/>
    <w:rsid w:val="008043CA"/>
    <w:rsid w:val="0080643F"/>
    <w:rsid w:val="00814052"/>
    <w:rsid w:val="008149FD"/>
    <w:rsid w:val="00817A01"/>
    <w:rsid w:val="0082083B"/>
    <w:rsid w:val="00824F21"/>
    <w:rsid w:val="0082500C"/>
    <w:rsid w:val="00825E35"/>
    <w:rsid w:val="0083320B"/>
    <w:rsid w:val="008334F8"/>
    <w:rsid w:val="008341AA"/>
    <w:rsid w:val="00835D8E"/>
    <w:rsid w:val="008372F6"/>
    <w:rsid w:val="008377CA"/>
    <w:rsid w:val="00844D03"/>
    <w:rsid w:val="00847B0F"/>
    <w:rsid w:val="00847DBC"/>
    <w:rsid w:val="00852994"/>
    <w:rsid w:val="00873D89"/>
    <w:rsid w:val="00876659"/>
    <w:rsid w:val="00876677"/>
    <w:rsid w:val="0087734C"/>
    <w:rsid w:val="008812EE"/>
    <w:rsid w:val="00882141"/>
    <w:rsid w:val="00887E3B"/>
    <w:rsid w:val="008922A8"/>
    <w:rsid w:val="00895728"/>
    <w:rsid w:val="00895BD5"/>
    <w:rsid w:val="0089742B"/>
    <w:rsid w:val="008A16C4"/>
    <w:rsid w:val="008A6FED"/>
    <w:rsid w:val="008B39C5"/>
    <w:rsid w:val="008B51AA"/>
    <w:rsid w:val="008B5AE0"/>
    <w:rsid w:val="008B7932"/>
    <w:rsid w:val="008C4704"/>
    <w:rsid w:val="008C67F2"/>
    <w:rsid w:val="008D064A"/>
    <w:rsid w:val="008D0FDB"/>
    <w:rsid w:val="008D2B0F"/>
    <w:rsid w:val="008D30BC"/>
    <w:rsid w:val="008D4BC4"/>
    <w:rsid w:val="008E449E"/>
    <w:rsid w:val="008E7062"/>
    <w:rsid w:val="008F187F"/>
    <w:rsid w:val="008F402F"/>
    <w:rsid w:val="008F55FA"/>
    <w:rsid w:val="008F5CEE"/>
    <w:rsid w:val="008F613F"/>
    <w:rsid w:val="008F76E8"/>
    <w:rsid w:val="008F7CD0"/>
    <w:rsid w:val="00902902"/>
    <w:rsid w:val="00902A4B"/>
    <w:rsid w:val="009078A1"/>
    <w:rsid w:val="00911E9C"/>
    <w:rsid w:val="00915083"/>
    <w:rsid w:val="00917405"/>
    <w:rsid w:val="00920035"/>
    <w:rsid w:val="00920F7C"/>
    <w:rsid w:val="00922958"/>
    <w:rsid w:val="00934CAE"/>
    <w:rsid w:val="0094257D"/>
    <w:rsid w:val="00942F60"/>
    <w:rsid w:val="0095211B"/>
    <w:rsid w:val="0095467C"/>
    <w:rsid w:val="00954A61"/>
    <w:rsid w:val="00955C6F"/>
    <w:rsid w:val="00966C7B"/>
    <w:rsid w:val="009701DC"/>
    <w:rsid w:val="009715D8"/>
    <w:rsid w:val="00976F32"/>
    <w:rsid w:val="00980D0D"/>
    <w:rsid w:val="00985C4B"/>
    <w:rsid w:val="00994568"/>
    <w:rsid w:val="00995BF9"/>
    <w:rsid w:val="00997C3C"/>
    <w:rsid w:val="009A0CAF"/>
    <w:rsid w:val="009A1474"/>
    <w:rsid w:val="009A2207"/>
    <w:rsid w:val="009A5147"/>
    <w:rsid w:val="009A74C4"/>
    <w:rsid w:val="009B02D2"/>
    <w:rsid w:val="009B6C42"/>
    <w:rsid w:val="009B6CC2"/>
    <w:rsid w:val="009D31F7"/>
    <w:rsid w:val="009D32C2"/>
    <w:rsid w:val="009D50DB"/>
    <w:rsid w:val="009D72A0"/>
    <w:rsid w:val="009D7989"/>
    <w:rsid w:val="009E3A0A"/>
    <w:rsid w:val="009F26D4"/>
    <w:rsid w:val="009F3E91"/>
    <w:rsid w:val="009F6CE7"/>
    <w:rsid w:val="009F7D7D"/>
    <w:rsid w:val="00A01670"/>
    <w:rsid w:val="00A1499B"/>
    <w:rsid w:val="00A20879"/>
    <w:rsid w:val="00A20AFC"/>
    <w:rsid w:val="00A23E47"/>
    <w:rsid w:val="00A314C2"/>
    <w:rsid w:val="00A43B9C"/>
    <w:rsid w:val="00A53155"/>
    <w:rsid w:val="00A546B5"/>
    <w:rsid w:val="00A566C5"/>
    <w:rsid w:val="00A56FFA"/>
    <w:rsid w:val="00A577AE"/>
    <w:rsid w:val="00A61D4E"/>
    <w:rsid w:val="00A63E86"/>
    <w:rsid w:val="00A65A1C"/>
    <w:rsid w:val="00A757C3"/>
    <w:rsid w:val="00A75E5B"/>
    <w:rsid w:val="00A7684A"/>
    <w:rsid w:val="00A80B42"/>
    <w:rsid w:val="00A82AED"/>
    <w:rsid w:val="00A83B69"/>
    <w:rsid w:val="00A86533"/>
    <w:rsid w:val="00A9176A"/>
    <w:rsid w:val="00A91CA2"/>
    <w:rsid w:val="00A92FB8"/>
    <w:rsid w:val="00A93B2F"/>
    <w:rsid w:val="00A948F1"/>
    <w:rsid w:val="00AA1D7D"/>
    <w:rsid w:val="00AA7525"/>
    <w:rsid w:val="00AB0EA9"/>
    <w:rsid w:val="00AB139D"/>
    <w:rsid w:val="00AB2C46"/>
    <w:rsid w:val="00AB3EFB"/>
    <w:rsid w:val="00AB5EF7"/>
    <w:rsid w:val="00AB6862"/>
    <w:rsid w:val="00AC0B05"/>
    <w:rsid w:val="00AC763F"/>
    <w:rsid w:val="00AD079A"/>
    <w:rsid w:val="00AD1890"/>
    <w:rsid w:val="00AE2149"/>
    <w:rsid w:val="00AE33AE"/>
    <w:rsid w:val="00AE3785"/>
    <w:rsid w:val="00AE3F91"/>
    <w:rsid w:val="00AE452F"/>
    <w:rsid w:val="00AE76E6"/>
    <w:rsid w:val="00B00ACC"/>
    <w:rsid w:val="00B02A45"/>
    <w:rsid w:val="00B039E3"/>
    <w:rsid w:val="00B043C1"/>
    <w:rsid w:val="00B122AC"/>
    <w:rsid w:val="00B22838"/>
    <w:rsid w:val="00B27D52"/>
    <w:rsid w:val="00B32BC1"/>
    <w:rsid w:val="00B33E95"/>
    <w:rsid w:val="00B34EE1"/>
    <w:rsid w:val="00B35B5E"/>
    <w:rsid w:val="00B36871"/>
    <w:rsid w:val="00B3720B"/>
    <w:rsid w:val="00B40EE3"/>
    <w:rsid w:val="00B4535A"/>
    <w:rsid w:val="00B55271"/>
    <w:rsid w:val="00B5558A"/>
    <w:rsid w:val="00B56513"/>
    <w:rsid w:val="00B56B2E"/>
    <w:rsid w:val="00B56D57"/>
    <w:rsid w:val="00B63031"/>
    <w:rsid w:val="00B64376"/>
    <w:rsid w:val="00B71533"/>
    <w:rsid w:val="00B7157A"/>
    <w:rsid w:val="00B73B2A"/>
    <w:rsid w:val="00B7401F"/>
    <w:rsid w:val="00B806A7"/>
    <w:rsid w:val="00B806C3"/>
    <w:rsid w:val="00B838F5"/>
    <w:rsid w:val="00B84FCA"/>
    <w:rsid w:val="00B877BA"/>
    <w:rsid w:val="00B9089F"/>
    <w:rsid w:val="00B91AEE"/>
    <w:rsid w:val="00B931D5"/>
    <w:rsid w:val="00B94F71"/>
    <w:rsid w:val="00B95F5A"/>
    <w:rsid w:val="00B96EAD"/>
    <w:rsid w:val="00BA22AF"/>
    <w:rsid w:val="00BA4121"/>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D6D98"/>
    <w:rsid w:val="00BE3B54"/>
    <w:rsid w:val="00BF376F"/>
    <w:rsid w:val="00BF46A6"/>
    <w:rsid w:val="00BF5AE0"/>
    <w:rsid w:val="00BF62CF"/>
    <w:rsid w:val="00BF6B98"/>
    <w:rsid w:val="00BF73D6"/>
    <w:rsid w:val="00C01467"/>
    <w:rsid w:val="00C06545"/>
    <w:rsid w:val="00C1161C"/>
    <w:rsid w:val="00C134EE"/>
    <w:rsid w:val="00C17F66"/>
    <w:rsid w:val="00C220FC"/>
    <w:rsid w:val="00C23C86"/>
    <w:rsid w:val="00C24DFA"/>
    <w:rsid w:val="00C314B9"/>
    <w:rsid w:val="00C35561"/>
    <w:rsid w:val="00C4202A"/>
    <w:rsid w:val="00C4211F"/>
    <w:rsid w:val="00C445D3"/>
    <w:rsid w:val="00C46A36"/>
    <w:rsid w:val="00C47037"/>
    <w:rsid w:val="00C53625"/>
    <w:rsid w:val="00C602C1"/>
    <w:rsid w:val="00C60C6D"/>
    <w:rsid w:val="00C61C98"/>
    <w:rsid w:val="00C63FC0"/>
    <w:rsid w:val="00C66392"/>
    <w:rsid w:val="00C74C5E"/>
    <w:rsid w:val="00C77487"/>
    <w:rsid w:val="00C77C9A"/>
    <w:rsid w:val="00C827A2"/>
    <w:rsid w:val="00C82B69"/>
    <w:rsid w:val="00C85394"/>
    <w:rsid w:val="00C8657D"/>
    <w:rsid w:val="00C91B28"/>
    <w:rsid w:val="00C91F3A"/>
    <w:rsid w:val="00C94A6F"/>
    <w:rsid w:val="00CA06E3"/>
    <w:rsid w:val="00CB328B"/>
    <w:rsid w:val="00CB5797"/>
    <w:rsid w:val="00CB6050"/>
    <w:rsid w:val="00CC1202"/>
    <w:rsid w:val="00CC4099"/>
    <w:rsid w:val="00CC45C1"/>
    <w:rsid w:val="00CD09E1"/>
    <w:rsid w:val="00CD5078"/>
    <w:rsid w:val="00CD6202"/>
    <w:rsid w:val="00CE0EF6"/>
    <w:rsid w:val="00CE2486"/>
    <w:rsid w:val="00CE4913"/>
    <w:rsid w:val="00CE66BD"/>
    <w:rsid w:val="00CF0671"/>
    <w:rsid w:val="00CF44AD"/>
    <w:rsid w:val="00CF4FC0"/>
    <w:rsid w:val="00CF7642"/>
    <w:rsid w:val="00D00717"/>
    <w:rsid w:val="00D03909"/>
    <w:rsid w:val="00D1072F"/>
    <w:rsid w:val="00D108A5"/>
    <w:rsid w:val="00D131F9"/>
    <w:rsid w:val="00D14585"/>
    <w:rsid w:val="00D20EFF"/>
    <w:rsid w:val="00D30F1B"/>
    <w:rsid w:val="00D30FC0"/>
    <w:rsid w:val="00D34F0D"/>
    <w:rsid w:val="00D3516E"/>
    <w:rsid w:val="00D36FE8"/>
    <w:rsid w:val="00D4064C"/>
    <w:rsid w:val="00D47F9F"/>
    <w:rsid w:val="00D50E65"/>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3ADD"/>
    <w:rsid w:val="00D853B5"/>
    <w:rsid w:val="00D86779"/>
    <w:rsid w:val="00D86EE1"/>
    <w:rsid w:val="00D9120E"/>
    <w:rsid w:val="00D913B1"/>
    <w:rsid w:val="00D93793"/>
    <w:rsid w:val="00D96126"/>
    <w:rsid w:val="00DB0C4C"/>
    <w:rsid w:val="00DB3F2F"/>
    <w:rsid w:val="00DB4B1C"/>
    <w:rsid w:val="00DB5085"/>
    <w:rsid w:val="00DB7706"/>
    <w:rsid w:val="00DC1062"/>
    <w:rsid w:val="00DC132C"/>
    <w:rsid w:val="00DC774B"/>
    <w:rsid w:val="00DD0DA9"/>
    <w:rsid w:val="00DD43F0"/>
    <w:rsid w:val="00DD44DE"/>
    <w:rsid w:val="00DD4C46"/>
    <w:rsid w:val="00DE09AB"/>
    <w:rsid w:val="00DE168E"/>
    <w:rsid w:val="00DE4A3F"/>
    <w:rsid w:val="00DE4E53"/>
    <w:rsid w:val="00DE7AE9"/>
    <w:rsid w:val="00DF4367"/>
    <w:rsid w:val="00E0574A"/>
    <w:rsid w:val="00E113BD"/>
    <w:rsid w:val="00E1243D"/>
    <w:rsid w:val="00E12588"/>
    <w:rsid w:val="00E12742"/>
    <w:rsid w:val="00E12E4A"/>
    <w:rsid w:val="00E146D4"/>
    <w:rsid w:val="00E20976"/>
    <w:rsid w:val="00E22079"/>
    <w:rsid w:val="00E22B44"/>
    <w:rsid w:val="00E236D8"/>
    <w:rsid w:val="00E30ACD"/>
    <w:rsid w:val="00E3184B"/>
    <w:rsid w:val="00E32735"/>
    <w:rsid w:val="00E5391D"/>
    <w:rsid w:val="00E544E5"/>
    <w:rsid w:val="00E6033F"/>
    <w:rsid w:val="00E61364"/>
    <w:rsid w:val="00E66E36"/>
    <w:rsid w:val="00E6781E"/>
    <w:rsid w:val="00E702ED"/>
    <w:rsid w:val="00E705CC"/>
    <w:rsid w:val="00E709A4"/>
    <w:rsid w:val="00E72C29"/>
    <w:rsid w:val="00E73822"/>
    <w:rsid w:val="00E772DB"/>
    <w:rsid w:val="00E8418F"/>
    <w:rsid w:val="00E86012"/>
    <w:rsid w:val="00E86BAB"/>
    <w:rsid w:val="00E901A1"/>
    <w:rsid w:val="00E94E10"/>
    <w:rsid w:val="00E954BD"/>
    <w:rsid w:val="00E96743"/>
    <w:rsid w:val="00E96A42"/>
    <w:rsid w:val="00EA0A36"/>
    <w:rsid w:val="00EA49C5"/>
    <w:rsid w:val="00EB1C1C"/>
    <w:rsid w:val="00EB5027"/>
    <w:rsid w:val="00EB73C2"/>
    <w:rsid w:val="00EC1836"/>
    <w:rsid w:val="00EC3990"/>
    <w:rsid w:val="00EC484B"/>
    <w:rsid w:val="00ED15FA"/>
    <w:rsid w:val="00ED1E00"/>
    <w:rsid w:val="00EE228F"/>
    <w:rsid w:val="00EE238D"/>
    <w:rsid w:val="00EE6E9A"/>
    <w:rsid w:val="00EF0BF1"/>
    <w:rsid w:val="00EF27DA"/>
    <w:rsid w:val="00EF2AC4"/>
    <w:rsid w:val="00EF397E"/>
    <w:rsid w:val="00F02771"/>
    <w:rsid w:val="00F06F68"/>
    <w:rsid w:val="00F10B01"/>
    <w:rsid w:val="00F1332D"/>
    <w:rsid w:val="00F1534B"/>
    <w:rsid w:val="00F1713B"/>
    <w:rsid w:val="00F212CB"/>
    <w:rsid w:val="00F23C7D"/>
    <w:rsid w:val="00F243DB"/>
    <w:rsid w:val="00F24C2D"/>
    <w:rsid w:val="00F24F1B"/>
    <w:rsid w:val="00F253D4"/>
    <w:rsid w:val="00F27356"/>
    <w:rsid w:val="00F31A2C"/>
    <w:rsid w:val="00F32A81"/>
    <w:rsid w:val="00F40B69"/>
    <w:rsid w:val="00F46998"/>
    <w:rsid w:val="00F47100"/>
    <w:rsid w:val="00F5382D"/>
    <w:rsid w:val="00F53D9C"/>
    <w:rsid w:val="00F5462B"/>
    <w:rsid w:val="00F56073"/>
    <w:rsid w:val="00F634AD"/>
    <w:rsid w:val="00F63677"/>
    <w:rsid w:val="00F63ABE"/>
    <w:rsid w:val="00F72EE6"/>
    <w:rsid w:val="00F75B81"/>
    <w:rsid w:val="00F804C4"/>
    <w:rsid w:val="00F805CC"/>
    <w:rsid w:val="00F82F83"/>
    <w:rsid w:val="00F832E5"/>
    <w:rsid w:val="00F90F40"/>
    <w:rsid w:val="00F9187D"/>
    <w:rsid w:val="00F92B30"/>
    <w:rsid w:val="00F933B9"/>
    <w:rsid w:val="00F94674"/>
    <w:rsid w:val="00F94919"/>
    <w:rsid w:val="00F94A59"/>
    <w:rsid w:val="00FA25B6"/>
    <w:rsid w:val="00FA2FAF"/>
    <w:rsid w:val="00FA5CCF"/>
    <w:rsid w:val="00FA64B1"/>
    <w:rsid w:val="00FA70F3"/>
    <w:rsid w:val="00FA71CD"/>
    <w:rsid w:val="00FA7FC5"/>
    <w:rsid w:val="00FB0453"/>
    <w:rsid w:val="00FB0C07"/>
    <w:rsid w:val="00FB298D"/>
    <w:rsid w:val="00FC1439"/>
    <w:rsid w:val="00FC3706"/>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2F73"/>
    <w:rsid w:val="00FF44E0"/>
    <w:rsid w:val="00FF4CB6"/>
    <w:rsid w:val="00FF5834"/>
    <w:rsid w:val="00FF6C72"/>
    <w:rsid w:val="010D427B"/>
    <w:rsid w:val="017C6D0A"/>
    <w:rsid w:val="01BA73E4"/>
    <w:rsid w:val="01D84625"/>
    <w:rsid w:val="02092C94"/>
    <w:rsid w:val="02105DD0"/>
    <w:rsid w:val="0214602E"/>
    <w:rsid w:val="022278B2"/>
    <w:rsid w:val="02661E94"/>
    <w:rsid w:val="02810A7C"/>
    <w:rsid w:val="0288005D"/>
    <w:rsid w:val="02B20C36"/>
    <w:rsid w:val="02B50726"/>
    <w:rsid w:val="02D87D3E"/>
    <w:rsid w:val="02EC7E74"/>
    <w:rsid w:val="03327FC8"/>
    <w:rsid w:val="03466855"/>
    <w:rsid w:val="03486B27"/>
    <w:rsid w:val="035644BB"/>
    <w:rsid w:val="037C1244"/>
    <w:rsid w:val="039D18E6"/>
    <w:rsid w:val="03A10CAA"/>
    <w:rsid w:val="03A2514E"/>
    <w:rsid w:val="03B57815"/>
    <w:rsid w:val="03B72484"/>
    <w:rsid w:val="03D472D2"/>
    <w:rsid w:val="03E272F9"/>
    <w:rsid w:val="03FB6A30"/>
    <w:rsid w:val="040A094E"/>
    <w:rsid w:val="042518DB"/>
    <w:rsid w:val="047D26D2"/>
    <w:rsid w:val="048C3708"/>
    <w:rsid w:val="049727D9"/>
    <w:rsid w:val="04B54A0D"/>
    <w:rsid w:val="04B771C9"/>
    <w:rsid w:val="04D74983"/>
    <w:rsid w:val="04DC4690"/>
    <w:rsid w:val="04DD2F90"/>
    <w:rsid w:val="04E36C96"/>
    <w:rsid w:val="04EA6DAD"/>
    <w:rsid w:val="05006DAE"/>
    <w:rsid w:val="056800F4"/>
    <w:rsid w:val="056F201D"/>
    <w:rsid w:val="05A0746B"/>
    <w:rsid w:val="05A90B68"/>
    <w:rsid w:val="05B13426"/>
    <w:rsid w:val="05B664D4"/>
    <w:rsid w:val="05C70E9C"/>
    <w:rsid w:val="05F6352F"/>
    <w:rsid w:val="06014716"/>
    <w:rsid w:val="06471FDD"/>
    <w:rsid w:val="06565D7C"/>
    <w:rsid w:val="06677F89"/>
    <w:rsid w:val="06AC1E40"/>
    <w:rsid w:val="06C90C44"/>
    <w:rsid w:val="06DE46EF"/>
    <w:rsid w:val="07076C01"/>
    <w:rsid w:val="071C12AC"/>
    <w:rsid w:val="074C09BA"/>
    <w:rsid w:val="074E231E"/>
    <w:rsid w:val="07612C2A"/>
    <w:rsid w:val="07697D31"/>
    <w:rsid w:val="07A934B3"/>
    <w:rsid w:val="08B15E54"/>
    <w:rsid w:val="08B177D1"/>
    <w:rsid w:val="08B51480"/>
    <w:rsid w:val="08BA6A96"/>
    <w:rsid w:val="08BE0866"/>
    <w:rsid w:val="08C07E24"/>
    <w:rsid w:val="08C77405"/>
    <w:rsid w:val="08DA13A0"/>
    <w:rsid w:val="091837BC"/>
    <w:rsid w:val="0972111F"/>
    <w:rsid w:val="0980799C"/>
    <w:rsid w:val="099C263F"/>
    <w:rsid w:val="099F7A3A"/>
    <w:rsid w:val="09D11FA7"/>
    <w:rsid w:val="09F61D50"/>
    <w:rsid w:val="0A0F6376"/>
    <w:rsid w:val="0A353CEA"/>
    <w:rsid w:val="0A5922DF"/>
    <w:rsid w:val="0A6A18DB"/>
    <w:rsid w:val="0AB94B2B"/>
    <w:rsid w:val="0AD53615"/>
    <w:rsid w:val="0ADD1BA9"/>
    <w:rsid w:val="0AE07845"/>
    <w:rsid w:val="0AEF3828"/>
    <w:rsid w:val="0AF77D07"/>
    <w:rsid w:val="0B057AEF"/>
    <w:rsid w:val="0B1D50BA"/>
    <w:rsid w:val="0B487B78"/>
    <w:rsid w:val="0B6E5FE8"/>
    <w:rsid w:val="0B84338B"/>
    <w:rsid w:val="0BAC2AF2"/>
    <w:rsid w:val="0BB023D2"/>
    <w:rsid w:val="0BBB665B"/>
    <w:rsid w:val="0BC96ABA"/>
    <w:rsid w:val="0BD336A2"/>
    <w:rsid w:val="0BF00A21"/>
    <w:rsid w:val="0BFC01A3"/>
    <w:rsid w:val="0C05627A"/>
    <w:rsid w:val="0C0B585A"/>
    <w:rsid w:val="0C3D65CA"/>
    <w:rsid w:val="0C566AD6"/>
    <w:rsid w:val="0C590374"/>
    <w:rsid w:val="0CA37841"/>
    <w:rsid w:val="0CB7664E"/>
    <w:rsid w:val="0CCF6888"/>
    <w:rsid w:val="0CEC11E8"/>
    <w:rsid w:val="0D154674"/>
    <w:rsid w:val="0D1C1E0B"/>
    <w:rsid w:val="0D336E17"/>
    <w:rsid w:val="0D4234FE"/>
    <w:rsid w:val="0D4E431D"/>
    <w:rsid w:val="0DA57240"/>
    <w:rsid w:val="0DAD0977"/>
    <w:rsid w:val="0DC65EDD"/>
    <w:rsid w:val="0DDB277F"/>
    <w:rsid w:val="0E042561"/>
    <w:rsid w:val="0E2826F4"/>
    <w:rsid w:val="0E55371B"/>
    <w:rsid w:val="0E5857DD"/>
    <w:rsid w:val="0E5E74D3"/>
    <w:rsid w:val="0E816EC5"/>
    <w:rsid w:val="0E864017"/>
    <w:rsid w:val="0E924011"/>
    <w:rsid w:val="0EA87391"/>
    <w:rsid w:val="0EEA6FC1"/>
    <w:rsid w:val="0EF23960"/>
    <w:rsid w:val="0EF75115"/>
    <w:rsid w:val="0EFA4090"/>
    <w:rsid w:val="0F17479B"/>
    <w:rsid w:val="0F396B78"/>
    <w:rsid w:val="0F6E6D3D"/>
    <w:rsid w:val="0F7D6A6F"/>
    <w:rsid w:val="0F841BAC"/>
    <w:rsid w:val="0F954485"/>
    <w:rsid w:val="0FB87DF5"/>
    <w:rsid w:val="0FBF344F"/>
    <w:rsid w:val="0FC621C4"/>
    <w:rsid w:val="0FDC314E"/>
    <w:rsid w:val="0FE95224"/>
    <w:rsid w:val="1004447E"/>
    <w:rsid w:val="102579CB"/>
    <w:rsid w:val="104A6951"/>
    <w:rsid w:val="10505F32"/>
    <w:rsid w:val="105A27E6"/>
    <w:rsid w:val="105F0804"/>
    <w:rsid w:val="106D43EE"/>
    <w:rsid w:val="10725EA8"/>
    <w:rsid w:val="107324CB"/>
    <w:rsid w:val="10A67900"/>
    <w:rsid w:val="10B82B7E"/>
    <w:rsid w:val="10CB462E"/>
    <w:rsid w:val="10EC17B7"/>
    <w:rsid w:val="112453F4"/>
    <w:rsid w:val="112C4C4A"/>
    <w:rsid w:val="11382C4E"/>
    <w:rsid w:val="11435E26"/>
    <w:rsid w:val="115630D4"/>
    <w:rsid w:val="118E0AC0"/>
    <w:rsid w:val="119B0711"/>
    <w:rsid w:val="11B03A95"/>
    <w:rsid w:val="11D062EE"/>
    <w:rsid w:val="11D24E50"/>
    <w:rsid w:val="11F01048"/>
    <w:rsid w:val="120D2DE4"/>
    <w:rsid w:val="12197477"/>
    <w:rsid w:val="12200B5E"/>
    <w:rsid w:val="1238653B"/>
    <w:rsid w:val="12521AED"/>
    <w:rsid w:val="12665599"/>
    <w:rsid w:val="12971BF6"/>
    <w:rsid w:val="12972845"/>
    <w:rsid w:val="129A7DEF"/>
    <w:rsid w:val="12A12EEA"/>
    <w:rsid w:val="12B471BD"/>
    <w:rsid w:val="12BE27B4"/>
    <w:rsid w:val="12D06EB6"/>
    <w:rsid w:val="12D50275"/>
    <w:rsid w:val="12D544CC"/>
    <w:rsid w:val="13070551"/>
    <w:rsid w:val="130D399B"/>
    <w:rsid w:val="13182D37"/>
    <w:rsid w:val="131C5AEC"/>
    <w:rsid w:val="1332191F"/>
    <w:rsid w:val="133236CD"/>
    <w:rsid w:val="13587E2C"/>
    <w:rsid w:val="135B2C24"/>
    <w:rsid w:val="13675A6C"/>
    <w:rsid w:val="13983E78"/>
    <w:rsid w:val="13B14F39"/>
    <w:rsid w:val="13C702B9"/>
    <w:rsid w:val="13DE0994"/>
    <w:rsid w:val="13F37300"/>
    <w:rsid w:val="13F84916"/>
    <w:rsid w:val="1413346E"/>
    <w:rsid w:val="141F5D3B"/>
    <w:rsid w:val="14270E79"/>
    <w:rsid w:val="142B4CEC"/>
    <w:rsid w:val="1466407E"/>
    <w:rsid w:val="146D70F1"/>
    <w:rsid w:val="147E16A4"/>
    <w:rsid w:val="14834E28"/>
    <w:rsid w:val="14887A48"/>
    <w:rsid w:val="148E7D65"/>
    <w:rsid w:val="14B46A8F"/>
    <w:rsid w:val="14BB35BA"/>
    <w:rsid w:val="151D4243"/>
    <w:rsid w:val="15231BF9"/>
    <w:rsid w:val="15326E68"/>
    <w:rsid w:val="153674A4"/>
    <w:rsid w:val="153D4CD7"/>
    <w:rsid w:val="15417840"/>
    <w:rsid w:val="15691286"/>
    <w:rsid w:val="1584174B"/>
    <w:rsid w:val="159643E7"/>
    <w:rsid w:val="15A46B04"/>
    <w:rsid w:val="163C6781"/>
    <w:rsid w:val="166D2F25"/>
    <w:rsid w:val="16754781"/>
    <w:rsid w:val="16A34589"/>
    <w:rsid w:val="16BF171B"/>
    <w:rsid w:val="1734012D"/>
    <w:rsid w:val="173E2BA8"/>
    <w:rsid w:val="174D5F53"/>
    <w:rsid w:val="17563169"/>
    <w:rsid w:val="17604CAC"/>
    <w:rsid w:val="176A5B87"/>
    <w:rsid w:val="177C760C"/>
    <w:rsid w:val="179F5278"/>
    <w:rsid w:val="17A728DB"/>
    <w:rsid w:val="17CF3BE0"/>
    <w:rsid w:val="17D66D1D"/>
    <w:rsid w:val="17E1094F"/>
    <w:rsid w:val="17F35B20"/>
    <w:rsid w:val="182A7068"/>
    <w:rsid w:val="1833416F"/>
    <w:rsid w:val="184C0317"/>
    <w:rsid w:val="18702CCD"/>
    <w:rsid w:val="18A24E51"/>
    <w:rsid w:val="18B23848"/>
    <w:rsid w:val="18CB084B"/>
    <w:rsid w:val="18ED08AB"/>
    <w:rsid w:val="19397834"/>
    <w:rsid w:val="1948578F"/>
    <w:rsid w:val="19666ACC"/>
    <w:rsid w:val="19BE7B35"/>
    <w:rsid w:val="19DE1DB2"/>
    <w:rsid w:val="19EA6AAF"/>
    <w:rsid w:val="19F734ED"/>
    <w:rsid w:val="1A004B69"/>
    <w:rsid w:val="1A0C2197"/>
    <w:rsid w:val="1A0E05FD"/>
    <w:rsid w:val="1A3B68AA"/>
    <w:rsid w:val="1A3E1C1E"/>
    <w:rsid w:val="1A516B2E"/>
    <w:rsid w:val="1A6C3968"/>
    <w:rsid w:val="1A840CB2"/>
    <w:rsid w:val="1A9940AD"/>
    <w:rsid w:val="1A9E3253"/>
    <w:rsid w:val="1AC07834"/>
    <w:rsid w:val="1AEB2ADF"/>
    <w:rsid w:val="1B1D634E"/>
    <w:rsid w:val="1B3721C8"/>
    <w:rsid w:val="1B544B28"/>
    <w:rsid w:val="1B747324"/>
    <w:rsid w:val="1BAD2D1F"/>
    <w:rsid w:val="1BB452D5"/>
    <w:rsid w:val="1BB90E2F"/>
    <w:rsid w:val="1BD619E1"/>
    <w:rsid w:val="1BDC3FB1"/>
    <w:rsid w:val="1BFD6F6E"/>
    <w:rsid w:val="1C141836"/>
    <w:rsid w:val="1C1E39C9"/>
    <w:rsid w:val="1C1F5136"/>
    <w:rsid w:val="1C330BE1"/>
    <w:rsid w:val="1C5841A4"/>
    <w:rsid w:val="1C705992"/>
    <w:rsid w:val="1CA76068"/>
    <w:rsid w:val="1CB25FAA"/>
    <w:rsid w:val="1CCE5013"/>
    <w:rsid w:val="1CF33FB1"/>
    <w:rsid w:val="1CF77E61"/>
    <w:rsid w:val="1D1D719C"/>
    <w:rsid w:val="1D1E3640"/>
    <w:rsid w:val="1D216541"/>
    <w:rsid w:val="1D4330A6"/>
    <w:rsid w:val="1D4872E9"/>
    <w:rsid w:val="1D813BCE"/>
    <w:rsid w:val="1D8D6BE8"/>
    <w:rsid w:val="1DB02D9D"/>
    <w:rsid w:val="1DB47B00"/>
    <w:rsid w:val="1DC67833"/>
    <w:rsid w:val="1DD106B2"/>
    <w:rsid w:val="1DDD3AAF"/>
    <w:rsid w:val="1E2E78B2"/>
    <w:rsid w:val="1E4A3FC0"/>
    <w:rsid w:val="1E51534F"/>
    <w:rsid w:val="1E53330A"/>
    <w:rsid w:val="1E5F5593"/>
    <w:rsid w:val="1E6B6A14"/>
    <w:rsid w:val="1E6C3F37"/>
    <w:rsid w:val="1E6F76A4"/>
    <w:rsid w:val="1E805C34"/>
    <w:rsid w:val="1E890F8D"/>
    <w:rsid w:val="1EBA6164"/>
    <w:rsid w:val="1EC32B6A"/>
    <w:rsid w:val="1EE77A61"/>
    <w:rsid w:val="1EE937D9"/>
    <w:rsid w:val="1EFC175F"/>
    <w:rsid w:val="1F0028D1"/>
    <w:rsid w:val="1F1840BF"/>
    <w:rsid w:val="1F5171D1"/>
    <w:rsid w:val="1F703EFB"/>
    <w:rsid w:val="1F7F5EEC"/>
    <w:rsid w:val="1F9129E6"/>
    <w:rsid w:val="1FA37E2C"/>
    <w:rsid w:val="1FA47700"/>
    <w:rsid w:val="1FCB7383"/>
    <w:rsid w:val="1FD75D28"/>
    <w:rsid w:val="1FEA5A5B"/>
    <w:rsid w:val="20174376"/>
    <w:rsid w:val="20550D9A"/>
    <w:rsid w:val="20B9542D"/>
    <w:rsid w:val="20F36B91"/>
    <w:rsid w:val="21714B53"/>
    <w:rsid w:val="218B028E"/>
    <w:rsid w:val="218E2416"/>
    <w:rsid w:val="2198776E"/>
    <w:rsid w:val="219D5641"/>
    <w:rsid w:val="21C33D3D"/>
    <w:rsid w:val="21CB5418"/>
    <w:rsid w:val="21E4134F"/>
    <w:rsid w:val="220628F4"/>
    <w:rsid w:val="22105521"/>
    <w:rsid w:val="22145011"/>
    <w:rsid w:val="221C3EC6"/>
    <w:rsid w:val="22390411"/>
    <w:rsid w:val="224D407F"/>
    <w:rsid w:val="224E718C"/>
    <w:rsid w:val="224F334D"/>
    <w:rsid w:val="226915FE"/>
    <w:rsid w:val="22AF0896"/>
    <w:rsid w:val="22B40B8E"/>
    <w:rsid w:val="22E14C32"/>
    <w:rsid w:val="22F03260"/>
    <w:rsid w:val="22F33859"/>
    <w:rsid w:val="23406563"/>
    <w:rsid w:val="23831FF5"/>
    <w:rsid w:val="23843AD1"/>
    <w:rsid w:val="238719D6"/>
    <w:rsid w:val="23A423C5"/>
    <w:rsid w:val="23AE2087"/>
    <w:rsid w:val="23F06E26"/>
    <w:rsid w:val="24082954"/>
    <w:rsid w:val="24172B97"/>
    <w:rsid w:val="2418246B"/>
    <w:rsid w:val="242552B4"/>
    <w:rsid w:val="244A2F6C"/>
    <w:rsid w:val="24883A94"/>
    <w:rsid w:val="24967F5F"/>
    <w:rsid w:val="24B97929"/>
    <w:rsid w:val="24BA2895"/>
    <w:rsid w:val="2520252D"/>
    <w:rsid w:val="25585215"/>
    <w:rsid w:val="259811BE"/>
    <w:rsid w:val="25A74283"/>
    <w:rsid w:val="25D85F35"/>
    <w:rsid w:val="25DC7BF4"/>
    <w:rsid w:val="25DD571A"/>
    <w:rsid w:val="25E44CFA"/>
    <w:rsid w:val="25FB5532"/>
    <w:rsid w:val="260D24A3"/>
    <w:rsid w:val="26163BC1"/>
    <w:rsid w:val="26263565"/>
    <w:rsid w:val="262A4E03"/>
    <w:rsid w:val="263B66B8"/>
    <w:rsid w:val="26604277"/>
    <w:rsid w:val="267E57F4"/>
    <w:rsid w:val="26CB0BA0"/>
    <w:rsid w:val="26CD1C32"/>
    <w:rsid w:val="26D46B1D"/>
    <w:rsid w:val="26F7280B"/>
    <w:rsid w:val="270A0791"/>
    <w:rsid w:val="27221F7E"/>
    <w:rsid w:val="27886455"/>
    <w:rsid w:val="27AB1F74"/>
    <w:rsid w:val="27C44DE4"/>
    <w:rsid w:val="27C70430"/>
    <w:rsid w:val="27C941A8"/>
    <w:rsid w:val="27FC457D"/>
    <w:rsid w:val="285F40CA"/>
    <w:rsid w:val="28712CB3"/>
    <w:rsid w:val="28846321"/>
    <w:rsid w:val="28B05368"/>
    <w:rsid w:val="28C01ECB"/>
    <w:rsid w:val="28EC3ECC"/>
    <w:rsid w:val="29233D8C"/>
    <w:rsid w:val="2983667C"/>
    <w:rsid w:val="29BA46F0"/>
    <w:rsid w:val="29BF71E3"/>
    <w:rsid w:val="29D15596"/>
    <w:rsid w:val="29DA067B"/>
    <w:rsid w:val="29EC0622"/>
    <w:rsid w:val="29F31B73"/>
    <w:rsid w:val="29F51284"/>
    <w:rsid w:val="2A1262DA"/>
    <w:rsid w:val="2A127B63"/>
    <w:rsid w:val="2A3F0751"/>
    <w:rsid w:val="2A41096D"/>
    <w:rsid w:val="2A536497"/>
    <w:rsid w:val="2A720B27"/>
    <w:rsid w:val="2A7F27ED"/>
    <w:rsid w:val="2A8F792B"/>
    <w:rsid w:val="2AA8279A"/>
    <w:rsid w:val="2AAA4765"/>
    <w:rsid w:val="2AB32EED"/>
    <w:rsid w:val="2ABC48AC"/>
    <w:rsid w:val="2AC21606"/>
    <w:rsid w:val="2ADC367D"/>
    <w:rsid w:val="2AEF3F25"/>
    <w:rsid w:val="2AF63C5E"/>
    <w:rsid w:val="2AFA0B1C"/>
    <w:rsid w:val="2B19248A"/>
    <w:rsid w:val="2B2C517A"/>
    <w:rsid w:val="2B2E3048"/>
    <w:rsid w:val="2B7E7608"/>
    <w:rsid w:val="2B7F04E9"/>
    <w:rsid w:val="2BBA1A67"/>
    <w:rsid w:val="2BDD46C6"/>
    <w:rsid w:val="2BE75544"/>
    <w:rsid w:val="2C02412C"/>
    <w:rsid w:val="2C305555"/>
    <w:rsid w:val="2C406A34"/>
    <w:rsid w:val="2C477D91"/>
    <w:rsid w:val="2C66290D"/>
    <w:rsid w:val="2C6B7FFF"/>
    <w:rsid w:val="2C8F37CB"/>
    <w:rsid w:val="2C903B14"/>
    <w:rsid w:val="2C907580"/>
    <w:rsid w:val="2C9A21B9"/>
    <w:rsid w:val="2C9C00DD"/>
    <w:rsid w:val="2CA70DC9"/>
    <w:rsid w:val="2CE20523"/>
    <w:rsid w:val="2CE43832"/>
    <w:rsid w:val="2D085772"/>
    <w:rsid w:val="2D496D68"/>
    <w:rsid w:val="2D4F6EFD"/>
    <w:rsid w:val="2D7B23E8"/>
    <w:rsid w:val="2D88240F"/>
    <w:rsid w:val="2D9A7FBB"/>
    <w:rsid w:val="2D9C4911"/>
    <w:rsid w:val="2DA059AB"/>
    <w:rsid w:val="2DCE2518"/>
    <w:rsid w:val="2DFB0E33"/>
    <w:rsid w:val="2E0F48DF"/>
    <w:rsid w:val="2E19750B"/>
    <w:rsid w:val="2E6609A2"/>
    <w:rsid w:val="2E6672CB"/>
    <w:rsid w:val="2E7A48DE"/>
    <w:rsid w:val="2EDC3ED8"/>
    <w:rsid w:val="2EE67D35"/>
    <w:rsid w:val="2EED2E72"/>
    <w:rsid w:val="2EF04710"/>
    <w:rsid w:val="2F1321AD"/>
    <w:rsid w:val="2F2D046C"/>
    <w:rsid w:val="2F5B5A43"/>
    <w:rsid w:val="2F6351B4"/>
    <w:rsid w:val="2F7B1AD6"/>
    <w:rsid w:val="2FA554FB"/>
    <w:rsid w:val="2FA63021"/>
    <w:rsid w:val="2FAA2B11"/>
    <w:rsid w:val="2FAA48BF"/>
    <w:rsid w:val="2FB92D54"/>
    <w:rsid w:val="2FCF199E"/>
    <w:rsid w:val="2FFD70E5"/>
    <w:rsid w:val="30027430"/>
    <w:rsid w:val="30422D49"/>
    <w:rsid w:val="30483E83"/>
    <w:rsid w:val="30A74659"/>
    <w:rsid w:val="30AA0E97"/>
    <w:rsid w:val="30DD6F16"/>
    <w:rsid w:val="30F71D86"/>
    <w:rsid w:val="313905F0"/>
    <w:rsid w:val="31480833"/>
    <w:rsid w:val="318D6246"/>
    <w:rsid w:val="31AF440F"/>
    <w:rsid w:val="31B9703B"/>
    <w:rsid w:val="31BB2DB3"/>
    <w:rsid w:val="31DB5204"/>
    <w:rsid w:val="31E16592"/>
    <w:rsid w:val="31EC7411"/>
    <w:rsid w:val="31FB560C"/>
    <w:rsid w:val="32193F7E"/>
    <w:rsid w:val="323679B1"/>
    <w:rsid w:val="326C3C50"/>
    <w:rsid w:val="327F64D7"/>
    <w:rsid w:val="327F7066"/>
    <w:rsid w:val="32D35509"/>
    <w:rsid w:val="33022C64"/>
    <w:rsid w:val="330A0480"/>
    <w:rsid w:val="334E4CD8"/>
    <w:rsid w:val="33B95A18"/>
    <w:rsid w:val="33DC5263"/>
    <w:rsid w:val="33E32E5E"/>
    <w:rsid w:val="33EE1C04"/>
    <w:rsid w:val="343C0775"/>
    <w:rsid w:val="34762628"/>
    <w:rsid w:val="347F27BE"/>
    <w:rsid w:val="34936269"/>
    <w:rsid w:val="349F2976"/>
    <w:rsid w:val="34AA76A9"/>
    <w:rsid w:val="34C06933"/>
    <w:rsid w:val="356C50EC"/>
    <w:rsid w:val="357B08F4"/>
    <w:rsid w:val="35887450"/>
    <w:rsid w:val="35B5220F"/>
    <w:rsid w:val="35D5640E"/>
    <w:rsid w:val="35D94150"/>
    <w:rsid w:val="360D5BA8"/>
    <w:rsid w:val="361108CD"/>
    <w:rsid w:val="36701E43"/>
    <w:rsid w:val="36721EAF"/>
    <w:rsid w:val="36A94A04"/>
    <w:rsid w:val="36FA437E"/>
    <w:rsid w:val="3700166C"/>
    <w:rsid w:val="3727617F"/>
    <w:rsid w:val="375969FE"/>
    <w:rsid w:val="377C4333"/>
    <w:rsid w:val="37EF1A09"/>
    <w:rsid w:val="37FE221A"/>
    <w:rsid w:val="38694EE9"/>
    <w:rsid w:val="38735A0D"/>
    <w:rsid w:val="38883C0B"/>
    <w:rsid w:val="391D4DBE"/>
    <w:rsid w:val="391F631E"/>
    <w:rsid w:val="39205BF2"/>
    <w:rsid w:val="39552058"/>
    <w:rsid w:val="395E08E9"/>
    <w:rsid w:val="39754190"/>
    <w:rsid w:val="39955296"/>
    <w:rsid w:val="39B70553"/>
    <w:rsid w:val="39CE1AF2"/>
    <w:rsid w:val="3A1C285D"/>
    <w:rsid w:val="3A4724A4"/>
    <w:rsid w:val="3A5A5133"/>
    <w:rsid w:val="3A833CEA"/>
    <w:rsid w:val="3A8920C9"/>
    <w:rsid w:val="3B1B48C3"/>
    <w:rsid w:val="3B21605C"/>
    <w:rsid w:val="3B365CC9"/>
    <w:rsid w:val="3B384E25"/>
    <w:rsid w:val="3B7D37CF"/>
    <w:rsid w:val="3B8701AA"/>
    <w:rsid w:val="3B96663F"/>
    <w:rsid w:val="3B9A7B88"/>
    <w:rsid w:val="3BC114FF"/>
    <w:rsid w:val="3BFB3CDC"/>
    <w:rsid w:val="3C026805"/>
    <w:rsid w:val="3C14387D"/>
    <w:rsid w:val="3C2660C6"/>
    <w:rsid w:val="3C664263"/>
    <w:rsid w:val="3CA932D1"/>
    <w:rsid w:val="3CD948F5"/>
    <w:rsid w:val="3D0C0967"/>
    <w:rsid w:val="3D193084"/>
    <w:rsid w:val="3D2637DD"/>
    <w:rsid w:val="3D2C7AC8"/>
    <w:rsid w:val="3D3E4550"/>
    <w:rsid w:val="3D5A3DC8"/>
    <w:rsid w:val="3D657141"/>
    <w:rsid w:val="3D762955"/>
    <w:rsid w:val="3D7E2419"/>
    <w:rsid w:val="3D855D12"/>
    <w:rsid w:val="3D860968"/>
    <w:rsid w:val="3D8B42FF"/>
    <w:rsid w:val="3D8C02DD"/>
    <w:rsid w:val="3DC20089"/>
    <w:rsid w:val="3DE47B36"/>
    <w:rsid w:val="3DE7502E"/>
    <w:rsid w:val="3DF36A6E"/>
    <w:rsid w:val="3DF40091"/>
    <w:rsid w:val="3E2C4BE1"/>
    <w:rsid w:val="3E42660A"/>
    <w:rsid w:val="3E467EA9"/>
    <w:rsid w:val="3E5C76CC"/>
    <w:rsid w:val="3E6738C1"/>
    <w:rsid w:val="3E676891"/>
    <w:rsid w:val="3EC15781"/>
    <w:rsid w:val="3EC3774B"/>
    <w:rsid w:val="3EFB0C93"/>
    <w:rsid w:val="3F1138E1"/>
    <w:rsid w:val="3F19639E"/>
    <w:rsid w:val="3F1E2BD3"/>
    <w:rsid w:val="3F217143"/>
    <w:rsid w:val="3F473ED8"/>
    <w:rsid w:val="3F620D12"/>
    <w:rsid w:val="3F792F1E"/>
    <w:rsid w:val="3F903A5F"/>
    <w:rsid w:val="3FAE3F57"/>
    <w:rsid w:val="3FE67B95"/>
    <w:rsid w:val="3FF12096"/>
    <w:rsid w:val="3FFD6C8D"/>
    <w:rsid w:val="40056037"/>
    <w:rsid w:val="400C5122"/>
    <w:rsid w:val="4012777A"/>
    <w:rsid w:val="40824826"/>
    <w:rsid w:val="40B27A77"/>
    <w:rsid w:val="40BF21D1"/>
    <w:rsid w:val="40E63923"/>
    <w:rsid w:val="40F36F47"/>
    <w:rsid w:val="40FD4018"/>
    <w:rsid w:val="41326E0A"/>
    <w:rsid w:val="4140047A"/>
    <w:rsid w:val="415C79E3"/>
    <w:rsid w:val="416A0352"/>
    <w:rsid w:val="419F7014"/>
    <w:rsid w:val="41AB7285"/>
    <w:rsid w:val="41B11ADD"/>
    <w:rsid w:val="41BF72A0"/>
    <w:rsid w:val="41D812A1"/>
    <w:rsid w:val="421B33FA"/>
    <w:rsid w:val="421E6D3F"/>
    <w:rsid w:val="423544BC"/>
    <w:rsid w:val="423A7D24"/>
    <w:rsid w:val="42861F03"/>
    <w:rsid w:val="428B4A24"/>
    <w:rsid w:val="429A4C67"/>
    <w:rsid w:val="42AE7254"/>
    <w:rsid w:val="42B443F4"/>
    <w:rsid w:val="42B54B4C"/>
    <w:rsid w:val="42B71375"/>
    <w:rsid w:val="42F43FD4"/>
    <w:rsid w:val="432509D4"/>
    <w:rsid w:val="43486471"/>
    <w:rsid w:val="435B2648"/>
    <w:rsid w:val="43884ABF"/>
    <w:rsid w:val="43A91E5B"/>
    <w:rsid w:val="43AF258B"/>
    <w:rsid w:val="43C65CEF"/>
    <w:rsid w:val="440A59C8"/>
    <w:rsid w:val="443B699C"/>
    <w:rsid w:val="44496945"/>
    <w:rsid w:val="4467501D"/>
    <w:rsid w:val="44804307"/>
    <w:rsid w:val="449776B0"/>
    <w:rsid w:val="44A17BEF"/>
    <w:rsid w:val="44BC3308"/>
    <w:rsid w:val="44C91833"/>
    <w:rsid w:val="44F87390"/>
    <w:rsid w:val="45010FCD"/>
    <w:rsid w:val="454223F1"/>
    <w:rsid w:val="455A06DD"/>
    <w:rsid w:val="4562065D"/>
    <w:rsid w:val="457C0654"/>
    <w:rsid w:val="45A73923"/>
    <w:rsid w:val="45B150B1"/>
    <w:rsid w:val="45BA48DB"/>
    <w:rsid w:val="45CF64FF"/>
    <w:rsid w:val="45FF375F"/>
    <w:rsid w:val="4618037D"/>
    <w:rsid w:val="46366A55"/>
    <w:rsid w:val="463A3650"/>
    <w:rsid w:val="463B050F"/>
    <w:rsid w:val="4670640B"/>
    <w:rsid w:val="46794B93"/>
    <w:rsid w:val="469F0116"/>
    <w:rsid w:val="46B502C1"/>
    <w:rsid w:val="46BA58D8"/>
    <w:rsid w:val="46BA7686"/>
    <w:rsid w:val="46E464B1"/>
    <w:rsid w:val="46F67293"/>
    <w:rsid w:val="471F127F"/>
    <w:rsid w:val="475259B7"/>
    <w:rsid w:val="475F1FDB"/>
    <w:rsid w:val="4765510B"/>
    <w:rsid w:val="4770243A"/>
    <w:rsid w:val="4786426F"/>
    <w:rsid w:val="47943513"/>
    <w:rsid w:val="47A143A2"/>
    <w:rsid w:val="47C562E2"/>
    <w:rsid w:val="47D06A35"/>
    <w:rsid w:val="47F768EB"/>
    <w:rsid w:val="483C19AD"/>
    <w:rsid w:val="484658EF"/>
    <w:rsid w:val="48831CF9"/>
    <w:rsid w:val="489E4954"/>
    <w:rsid w:val="48A074BC"/>
    <w:rsid w:val="48D553B1"/>
    <w:rsid w:val="48DA400F"/>
    <w:rsid w:val="4908245F"/>
    <w:rsid w:val="493059DD"/>
    <w:rsid w:val="495B2572"/>
    <w:rsid w:val="4989333F"/>
    <w:rsid w:val="499E328F"/>
    <w:rsid w:val="49A165B8"/>
    <w:rsid w:val="49AF3823"/>
    <w:rsid w:val="49B1408D"/>
    <w:rsid w:val="49CE55E8"/>
    <w:rsid w:val="49E50BF2"/>
    <w:rsid w:val="49ED20A7"/>
    <w:rsid w:val="4A1D0657"/>
    <w:rsid w:val="4A3B3BEF"/>
    <w:rsid w:val="4A503882"/>
    <w:rsid w:val="4A642260"/>
    <w:rsid w:val="4A65516F"/>
    <w:rsid w:val="4A7D37EE"/>
    <w:rsid w:val="4A7D4FD2"/>
    <w:rsid w:val="4A913C9A"/>
    <w:rsid w:val="4AA04DE4"/>
    <w:rsid w:val="4AA46683"/>
    <w:rsid w:val="4ACC3E2B"/>
    <w:rsid w:val="4AE22D2F"/>
    <w:rsid w:val="4AE611A0"/>
    <w:rsid w:val="4AFB201B"/>
    <w:rsid w:val="4B1F5B47"/>
    <w:rsid w:val="4B1F62B5"/>
    <w:rsid w:val="4B1F70AC"/>
    <w:rsid w:val="4B240F94"/>
    <w:rsid w:val="4B386AE5"/>
    <w:rsid w:val="4B474E94"/>
    <w:rsid w:val="4B553E21"/>
    <w:rsid w:val="4B774E60"/>
    <w:rsid w:val="4B810772"/>
    <w:rsid w:val="4BA75287"/>
    <w:rsid w:val="4BD10964"/>
    <w:rsid w:val="4BE17463"/>
    <w:rsid w:val="4BEA27BB"/>
    <w:rsid w:val="4BED70D6"/>
    <w:rsid w:val="4C264E5A"/>
    <w:rsid w:val="4C3B3017"/>
    <w:rsid w:val="4C3C565C"/>
    <w:rsid w:val="4C475CA7"/>
    <w:rsid w:val="4C76404F"/>
    <w:rsid w:val="4C7C718B"/>
    <w:rsid w:val="4C8C247F"/>
    <w:rsid w:val="4CCC79C7"/>
    <w:rsid w:val="4CD86AB8"/>
    <w:rsid w:val="4D135D42"/>
    <w:rsid w:val="4D551EB6"/>
    <w:rsid w:val="4D7555C7"/>
    <w:rsid w:val="4D761E2D"/>
    <w:rsid w:val="4D7F0CE1"/>
    <w:rsid w:val="4D9F1383"/>
    <w:rsid w:val="4DAB41CC"/>
    <w:rsid w:val="4DB82445"/>
    <w:rsid w:val="4DC64B62"/>
    <w:rsid w:val="4DE4323A"/>
    <w:rsid w:val="4DF07E31"/>
    <w:rsid w:val="4DF53699"/>
    <w:rsid w:val="4E025E2A"/>
    <w:rsid w:val="4E3F600C"/>
    <w:rsid w:val="4E410A31"/>
    <w:rsid w:val="4E7E62F6"/>
    <w:rsid w:val="4EA824BA"/>
    <w:rsid w:val="4EAE6DA0"/>
    <w:rsid w:val="4EC45545"/>
    <w:rsid w:val="4EC46966"/>
    <w:rsid w:val="4EFB4CDF"/>
    <w:rsid w:val="4F1418FD"/>
    <w:rsid w:val="4F4026F2"/>
    <w:rsid w:val="4F652159"/>
    <w:rsid w:val="4F754A92"/>
    <w:rsid w:val="4F934E4D"/>
    <w:rsid w:val="4FCC3F86"/>
    <w:rsid w:val="4FD037EF"/>
    <w:rsid w:val="5016514B"/>
    <w:rsid w:val="502857C7"/>
    <w:rsid w:val="502A762A"/>
    <w:rsid w:val="503264DF"/>
    <w:rsid w:val="50476D3D"/>
    <w:rsid w:val="506A3ECB"/>
    <w:rsid w:val="507408A5"/>
    <w:rsid w:val="50827466"/>
    <w:rsid w:val="508B47E9"/>
    <w:rsid w:val="50970A38"/>
    <w:rsid w:val="50B74C36"/>
    <w:rsid w:val="50D70E34"/>
    <w:rsid w:val="50FE4613"/>
    <w:rsid w:val="511659A4"/>
    <w:rsid w:val="513242BC"/>
    <w:rsid w:val="513444D8"/>
    <w:rsid w:val="51387C20"/>
    <w:rsid w:val="51493AE0"/>
    <w:rsid w:val="516B49A4"/>
    <w:rsid w:val="51A30E13"/>
    <w:rsid w:val="51C465B9"/>
    <w:rsid w:val="51CB1C78"/>
    <w:rsid w:val="51E732F9"/>
    <w:rsid w:val="51FD6A51"/>
    <w:rsid w:val="52304CA0"/>
    <w:rsid w:val="523227C6"/>
    <w:rsid w:val="5245699D"/>
    <w:rsid w:val="52592449"/>
    <w:rsid w:val="526B680A"/>
    <w:rsid w:val="52952D55"/>
    <w:rsid w:val="52AF2069"/>
    <w:rsid w:val="52B92EE7"/>
    <w:rsid w:val="52E565D0"/>
    <w:rsid w:val="52EA30A1"/>
    <w:rsid w:val="53105470"/>
    <w:rsid w:val="53150D15"/>
    <w:rsid w:val="53250E4F"/>
    <w:rsid w:val="5352083E"/>
    <w:rsid w:val="53650979"/>
    <w:rsid w:val="537D4124"/>
    <w:rsid w:val="539B3EAD"/>
    <w:rsid w:val="541A5D30"/>
    <w:rsid w:val="54817A35"/>
    <w:rsid w:val="549239F0"/>
    <w:rsid w:val="54A83213"/>
    <w:rsid w:val="54B6421E"/>
    <w:rsid w:val="54BA4CF5"/>
    <w:rsid w:val="54C45A17"/>
    <w:rsid w:val="54EA6AA5"/>
    <w:rsid w:val="54F55D2D"/>
    <w:rsid w:val="54FE4BE1"/>
    <w:rsid w:val="55110DB9"/>
    <w:rsid w:val="55287EB0"/>
    <w:rsid w:val="552B174F"/>
    <w:rsid w:val="55392A77"/>
    <w:rsid w:val="553E632F"/>
    <w:rsid w:val="55480552"/>
    <w:rsid w:val="555E7D76"/>
    <w:rsid w:val="55F068CD"/>
    <w:rsid w:val="56085F72"/>
    <w:rsid w:val="56431446"/>
    <w:rsid w:val="56442F77"/>
    <w:rsid w:val="5647080A"/>
    <w:rsid w:val="56494937"/>
    <w:rsid w:val="56576C9F"/>
    <w:rsid w:val="56635CD9"/>
    <w:rsid w:val="566C3136"/>
    <w:rsid w:val="566F4E48"/>
    <w:rsid w:val="568D04F2"/>
    <w:rsid w:val="56AD68BF"/>
    <w:rsid w:val="56BD217A"/>
    <w:rsid w:val="56EA7B13"/>
    <w:rsid w:val="571921A6"/>
    <w:rsid w:val="57201787"/>
    <w:rsid w:val="57603931"/>
    <w:rsid w:val="57770C7B"/>
    <w:rsid w:val="577E46FF"/>
    <w:rsid w:val="579637F7"/>
    <w:rsid w:val="57AF6667"/>
    <w:rsid w:val="57B3200D"/>
    <w:rsid w:val="57BB1298"/>
    <w:rsid w:val="57D42C12"/>
    <w:rsid w:val="57F87BFC"/>
    <w:rsid w:val="582708F3"/>
    <w:rsid w:val="58693734"/>
    <w:rsid w:val="588D6DD7"/>
    <w:rsid w:val="588E0972"/>
    <w:rsid w:val="58BD236E"/>
    <w:rsid w:val="5919249F"/>
    <w:rsid w:val="5923464B"/>
    <w:rsid w:val="59246BE1"/>
    <w:rsid w:val="592D6A4E"/>
    <w:rsid w:val="59372DB8"/>
    <w:rsid w:val="595474C6"/>
    <w:rsid w:val="596A0A97"/>
    <w:rsid w:val="59871F22"/>
    <w:rsid w:val="598F33C1"/>
    <w:rsid w:val="59971F55"/>
    <w:rsid w:val="59FA242A"/>
    <w:rsid w:val="59FE5684"/>
    <w:rsid w:val="5A290952"/>
    <w:rsid w:val="5A3C31FC"/>
    <w:rsid w:val="5A3F0176"/>
    <w:rsid w:val="5A526582"/>
    <w:rsid w:val="5A5C6F3F"/>
    <w:rsid w:val="5A5F5C77"/>
    <w:rsid w:val="5A76346C"/>
    <w:rsid w:val="5A7A7400"/>
    <w:rsid w:val="5A801613"/>
    <w:rsid w:val="5A9B264C"/>
    <w:rsid w:val="5AA61FA3"/>
    <w:rsid w:val="5AC661A1"/>
    <w:rsid w:val="5AE20B01"/>
    <w:rsid w:val="5AF400FB"/>
    <w:rsid w:val="5B5A324E"/>
    <w:rsid w:val="5B5F11CE"/>
    <w:rsid w:val="5B7A2D2A"/>
    <w:rsid w:val="5BAF30D9"/>
    <w:rsid w:val="5BBE39CD"/>
    <w:rsid w:val="5BC11A60"/>
    <w:rsid w:val="5C142F3C"/>
    <w:rsid w:val="5C4C26D6"/>
    <w:rsid w:val="5C603AE6"/>
    <w:rsid w:val="5C6B0413"/>
    <w:rsid w:val="5C7A4D54"/>
    <w:rsid w:val="5C7D6D34"/>
    <w:rsid w:val="5CD23B73"/>
    <w:rsid w:val="5CD5091E"/>
    <w:rsid w:val="5D1F603D"/>
    <w:rsid w:val="5D3F4EC1"/>
    <w:rsid w:val="5D6121B1"/>
    <w:rsid w:val="5D69550A"/>
    <w:rsid w:val="5D9C143B"/>
    <w:rsid w:val="5DB56D8D"/>
    <w:rsid w:val="5DC619D5"/>
    <w:rsid w:val="5DD961EC"/>
    <w:rsid w:val="5DDB01B6"/>
    <w:rsid w:val="5DDE30AB"/>
    <w:rsid w:val="5E404377"/>
    <w:rsid w:val="5E4F4700"/>
    <w:rsid w:val="5EB17168"/>
    <w:rsid w:val="5EF85ED4"/>
    <w:rsid w:val="5EFB03E4"/>
    <w:rsid w:val="5EFC4888"/>
    <w:rsid w:val="5F127819"/>
    <w:rsid w:val="5F3B334F"/>
    <w:rsid w:val="5F416AD5"/>
    <w:rsid w:val="5F443B39"/>
    <w:rsid w:val="5F63752A"/>
    <w:rsid w:val="5F78088A"/>
    <w:rsid w:val="5F84662B"/>
    <w:rsid w:val="5FA56CCD"/>
    <w:rsid w:val="5FBC3C39"/>
    <w:rsid w:val="5FBE38EB"/>
    <w:rsid w:val="5FF466EA"/>
    <w:rsid w:val="5FF72820"/>
    <w:rsid w:val="5FFE462F"/>
    <w:rsid w:val="600C3474"/>
    <w:rsid w:val="6054424F"/>
    <w:rsid w:val="60956D42"/>
    <w:rsid w:val="609E54CA"/>
    <w:rsid w:val="60E25095"/>
    <w:rsid w:val="60F1503F"/>
    <w:rsid w:val="60FB3D82"/>
    <w:rsid w:val="61025188"/>
    <w:rsid w:val="61057D5F"/>
    <w:rsid w:val="611D2893"/>
    <w:rsid w:val="6137242E"/>
    <w:rsid w:val="614D4977"/>
    <w:rsid w:val="61590F21"/>
    <w:rsid w:val="617670F5"/>
    <w:rsid w:val="617F70AA"/>
    <w:rsid w:val="618A490E"/>
    <w:rsid w:val="619964DB"/>
    <w:rsid w:val="61BD6109"/>
    <w:rsid w:val="61CB22EF"/>
    <w:rsid w:val="61CD42B9"/>
    <w:rsid w:val="623F3C58"/>
    <w:rsid w:val="62516C98"/>
    <w:rsid w:val="62571DD5"/>
    <w:rsid w:val="62685DCB"/>
    <w:rsid w:val="627B3D15"/>
    <w:rsid w:val="62A52B40"/>
    <w:rsid w:val="62C37C92"/>
    <w:rsid w:val="62D034A2"/>
    <w:rsid w:val="62D460A8"/>
    <w:rsid w:val="62D578C9"/>
    <w:rsid w:val="630E2DDB"/>
    <w:rsid w:val="631101D6"/>
    <w:rsid w:val="631F7BF8"/>
    <w:rsid w:val="635A392B"/>
    <w:rsid w:val="63C60FC0"/>
    <w:rsid w:val="63CF256B"/>
    <w:rsid w:val="63E61662"/>
    <w:rsid w:val="63FE2FD4"/>
    <w:rsid w:val="6402419A"/>
    <w:rsid w:val="64033FC2"/>
    <w:rsid w:val="64117FAB"/>
    <w:rsid w:val="641461CF"/>
    <w:rsid w:val="642D55A9"/>
    <w:rsid w:val="643F0D73"/>
    <w:rsid w:val="645C36D2"/>
    <w:rsid w:val="646A2293"/>
    <w:rsid w:val="646B505F"/>
    <w:rsid w:val="647540C9"/>
    <w:rsid w:val="647803AE"/>
    <w:rsid w:val="64816785"/>
    <w:rsid w:val="648D3BB0"/>
    <w:rsid w:val="64963088"/>
    <w:rsid w:val="649E1F3D"/>
    <w:rsid w:val="64BA3D7A"/>
    <w:rsid w:val="64F179BC"/>
    <w:rsid w:val="6502545F"/>
    <w:rsid w:val="6509385A"/>
    <w:rsid w:val="65222B6E"/>
    <w:rsid w:val="65273CE0"/>
    <w:rsid w:val="653F54CE"/>
    <w:rsid w:val="65636E69"/>
    <w:rsid w:val="65650D00"/>
    <w:rsid w:val="65A92947"/>
    <w:rsid w:val="65C94C55"/>
    <w:rsid w:val="65CE0600"/>
    <w:rsid w:val="665704D3"/>
    <w:rsid w:val="66660838"/>
    <w:rsid w:val="6686712D"/>
    <w:rsid w:val="669E4476"/>
    <w:rsid w:val="66BD7ED9"/>
    <w:rsid w:val="66EE1F4E"/>
    <w:rsid w:val="66F2031E"/>
    <w:rsid w:val="670B14F0"/>
    <w:rsid w:val="671E1113"/>
    <w:rsid w:val="673148E2"/>
    <w:rsid w:val="675445CD"/>
    <w:rsid w:val="67851192"/>
    <w:rsid w:val="67BD293C"/>
    <w:rsid w:val="67C065A4"/>
    <w:rsid w:val="67D04DBA"/>
    <w:rsid w:val="67D359C9"/>
    <w:rsid w:val="67F13C92"/>
    <w:rsid w:val="68242759"/>
    <w:rsid w:val="685748DD"/>
    <w:rsid w:val="68607DBB"/>
    <w:rsid w:val="6865349E"/>
    <w:rsid w:val="68BA4E6C"/>
    <w:rsid w:val="68D6231D"/>
    <w:rsid w:val="68F93BE6"/>
    <w:rsid w:val="68FE36DD"/>
    <w:rsid w:val="690129BE"/>
    <w:rsid w:val="694E60FC"/>
    <w:rsid w:val="694F7CAA"/>
    <w:rsid w:val="695D23C7"/>
    <w:rsid w:val="69AD360D"/>
    <w:rsid w:val="69C81DCE"/>
    <w:rsid w:val="69CA13F4"/>
    <w:rsid w:val="69D07420"/>
    <w:rsid w:val="69E91EAC"/>
    <w:rsid w:val="69EF4042"/>
    <w:rsid w:val="6A022F6E"/>
    <w:rsid w:val="6A025EBD"/>
    <w:rsid w:val="6A1143FF"/>
    <w:rsid w:val="6A1A0F4D"/>
    <w:rsid w:val="6A2B4273"/>
    <w:rsid w:val="6A3038AE"/>
    <w:rsid w:val="6A3C1FDC"/>
    <w:rsid w:val="6A5F554C"/>
    <w:rsid w:val="6A681023"/>
    <w:rsid w:val="6A7C687C"/>
    <w:rsid w:val="6A9679C4"/>
    <w:rsid w:val="6AC80207"/>
    <w:rsid w:val="6AD93CCF"/>
    <w:rsid w:val="6ADF0EEB"/>
    <w:rsid w:val="6B10467C"/>
    <w:rsid w:val="6B2D401B"/>
    <w:rsid w:val="6B482C03"/>
    <w:rsid w:val="6B773B50"/>
    <w:rsid w:val="6B99345E"/>
    <w:rsid w:val="6BC54253"/>
    <w:rsid w:val="6BC73622"/>
    <w:rsid w:val="6BF670AD"/>
    <w:rsid w:val="6C0B726A"/>
    <w:rsid w:val="6C0C59DE"/>
    <w:rsid w:val="6C133381"/>
    <w:rsid w:val="6C410A63"/>
    <w:rsid w:val="6C4A35E0"/>
    <w:rsid w:val="6C4E4249"/>
    <w:rsid w:val="6C671521"/>
    <w:rsid w:val="6C675CE6"/>
    <w:rsid w:val="6C700663"/>
    <w:rsid w:val="6C7D2D3C"/>
    <w:rsid w:val="6C895281"/>
    <w:rsid w:val="6CA94E0B"/>
    <w:rsid w:val="6CE158BA"/>
    <w:rsid w:val="6CEF35AF"/>
    <w:rsid w:val="6CF272CA"/>
    <w:rsid w:val="6CF672D1"/>
    <w:rsid w:val="6CFA2A47"/>
    <w:rsid w:val="6CFE7A1D"/>
    <w:rsid w:val="6D25144D"/>
    <w:rsid w:val="6D4573FA"/>
    <w:rsid w:val="6D4F4321"/>
    <w:rsid w:val="6D54783A"/>
    <w:rsid w:val="6D793547"/>
    <w:rsid w:val="6D8F2D6B"/>
    <w:rsid w:val="6DE95E22"/>
    <w:rsid w:val="6DFF7360"/>
    <w:rsid w:val="6E1264AD"/>
    <w:rsid w:val="6E3D6323"/>
    <w:rsid w:val="6E3E3ABC"/>
    <w:rsid w:val="6E737F96"/>
    <w:rsid w:val="6E7A5F73"/>
    <w:rsid w:val="6E82467D"/>
    <w:rsid w:val="6E890338"/>
    <w:rsid w:val="6EDC453B"/>
    <w:rsid w:val="6EEF1D13"/>
    <w:rsid w:val="6F086931"/>
    <w:rsid w:val="6F1B2B08"/>
    <w:rsid w:val="6F2B0871"/>
    <w:rsid w:val="6F2E3798"/>
    <w:rsid w:val="6F5C0AC0"/>
    <w:rsid w:val="6F63625D"/>
    <w:rsid w:val="6F7044D6"/>
    <w:rsid w:val="6F857F81"/>
    <w:rsid w:val="6F8B7B20"/>
    <w:rsid w:val="6FD73643"/>
    <w:rsid w:val="6FD74228"/>
    <w:rsid w:val="7003534A"/>
    <w:rsid w:val="700A0487"/>
    <w:rsid w:val="70187047"/>
    <w:rsid w:val="701C1F22"/>
    <w:rsid w:val="702B124D"/>
    <w:rsid w:val="7055204A"/>
    <w:rsid w:val="706032E0"/>
    <w:rsid w:val="70B825D8"/>
    <w:rsid w:val="70C431ED"/>
    <w:rsid w:val="70F76C5D"/>
    <w:rsid w:val="70F829D5"/>
    <w:rsid w:val="70FE5EDF"/>
    <w:rsid w:val="71025602"/>
    <w:rsid w:val="71120675"/>
    <w:rsid w:val="711C2B67"/>
    <w:rsid w:val="711D243B"/>
    <w:rsid w:val="711D41EA"/>
    <w:rsid w:val="71213150"/>
    <w:rsid w:val="71267542"/>
    <w:rsid w:val="712A5284"/>
    <w:rsid w:val="71633091"/>
    <w:rsid w:val="71812492"/>
    <w:rsid w:val="718D75C1"/>
    <w:rsid w:val="71A60683"/>
    <w:rsid w:val="71A87F57"/>
    <w:rsid w:val="71AC18C9"/>
    <w:rsid w:val="71B5509D"/>
    <w:rsid w:val="71D00463"/>
    <w:rsid w:val="71D22FAF"/>
    <w:rsid w:val="71FE04BF"/>
    <w:rsid w:val="72077982"/>
    <w:rsid w:val="72435ED2"/>
    <w:rsid w:val="725E7BFA"/>
    <w:rsid w:val="72620A4E"/>
    <w:rsid w:val="726522EC"/>
    <w:rsid w:val="72693B8A"/>
    <w:rsid w:val="72B64083"/>
    <w:rsid w:val="72F35B4A"/>
    <w:rsid w:val="72F5541E"/>
    <w:rsid w:val="72FE4FC5"/>
    <w:rsid w:val="73081CA5"/>
    <w:rsid w:val="73306456"/>
    <w:rsid w:val="736305DA"/>
    <w:rsid w:val="737F73DD"/>
    <w:rsid w:val="73832A2A"/>
    <w:rsid w:val="73B15AAE"/>
    <w:rsid w:val="73CB43D1"/>
    <w:rsid w:val="73CC1052"/>
    <w:rsid w:val="73EF00BF"/>
    <w:rsid w:val="73F2195D"/>
    <w:rsid w:val="73F676A0"/>
    <w:rsid w:val="740873D3"/>
    <w:rsid w:val="7420471D"/>
    <w:rsid w:val="744C72C0"/>
    <w:rsid w:val="74545B7C"/>
    <w:rsid w:val="747D56CB"/>
    <w:rsid w:val="7487762D"/>
    <w:rsid w:val="749F2380"/>
    <w:rsid w:val="74C0380A"/>
    <w:rsid w:val="75385498"/>
    <w:rsid w:val="75596138"/>
    <w:rsid w:val="75C37A55"/>
    <w:rsid w:val="762027B2"/>
    <w:rsid w:val="7662296E"/>
    <w:rsid w:val="766D79C1"/>
    <w:rsid w:val="766F5B43"/>
    <w:rsid w:val="768014A2"/>
    <w:rsid w:val="769962BD"/>
    <w:rsid w:val="76A71125"/>
    <w:rsid w:val="76B92C06"/>
    <w:rsid w:val="76BC207F"/>
    <w:rsid w:val="76DB492B"/>
    <w:rsid w:val="76EB4904"/>
    <w:rsid w:val="76FD0D45"/>
    <w:rsid w:val="77212C85"/>
    <w:rsid w:val="775D17E4"/>
    <w:rsid w:val="775D3592"/>
    <w:rsid w:val="77664B3C"/>
    <w:rsid w:val="777378F5"/>
    <w:rsid w:val="777A2D3C"/>
    <w:rsid w:val="778F2F2F"/>
    <w:rsid w:val="779A2A38"/>
    <w:rsid w:val="77A47C68"/>
    <w:rsid w:val="77D01FB6"/>
    <w:rsid w:val="77D7644A"/>
    <w:rsid w:val="77F9150C"/>
    <w:rsid w:val="780B56E4"/>
    <w:rsid w:val="781E78C9"/>
    <w:rsid w:val="783562BD"/>
    <w:rsid w:val="7851759A"/>
    <w:rsid w:val="785250C1"/>
    <w:rsid w:val="78537BEA"/>
    <w:rsid w:val="78586E35"/>
    <w:rsid w:val="78713799"/>
    <w:rsid w:val="787B0173"/>
    <w:rsid w:val="78B11DE7"/>
    <w:rsid w:val="78B123B4"/>
    <w:rsid w:val="78C0202A"/>
    <w:rsid w:val="78D43D28"/>
    <w:rsid w:val="78DB6E64"/>
    <w:rsid w:val="78FB12B4"/>
    <w:rsid w:val="79074B81"/>
    <w:rsid w:val="794F0939"/>
    <w:rsid w:val="79504B59"/>
    <w:rsid w:val="7955459F"/>
    <w:rsid w:val="79AF0FCA"/>
    <w:rsid w:val="79B853F7"/>
    <w:rsid w:val="79EF2560"/>
    <w:rsid w:val="7A011EB7"/>
    <w:rsid w:val="7A272363"/>
    <w:rsid w:val="7A3F7BFB"/>
    <w:rsid w:val="7A5B64AE"/>
    <w:rsid w:val="7A5F20A1"/>
    <w:rsid w:val="7A772BBC"/>
    <w:rsid w:val="7A903C7E"/>
    <w:rsid w:val="7AE2272C"/>
    <w:rsid w:val="7AEC5358"/>
    <w:rsid w:val="7AF9279C"/>
    <w:rsid w:val="7B226FCC"/>
    <w:rsid w:val="7B7F441F"/>
    <w:rsid w:val="7B98103C"/>
    <w:rsid w:val="7BB776A4"/>
    <w:rsid w:val="7BB840B1"/>
    <w:rsid w:val="7BC9569A"/>
    <w:rsid w:val="7BE67FFA"/>
    <w:rsid w:val="7BF0147A"/>
    <w:rsid w:val="7C2823C0"/>
    <w:rsid w:val="7C333FF5"/>
    <w:rsid w:val="7C39281F"/>
    <w:rsid w:val="7C4804C1"/>
    <w:rsid w:val="7C4C3414"/>
    <w:rsid w:val="7C653614"/>
    <w:rsid w:val="7C6F7FEF"/>
    <w:rsid w:val="7C7171B7"/>
    <w:rsid w:val="7C9E2682"/>
    <w:rsid w:val="7CA63DDC"/>
    <w:rsid w:val="7CAE3B15"/>
    <w:rsid w:val="7CBA3A3F"/>
    <w:rsid w:val="7CBB3234"/>
    <w:rsid w:val="7CC51958"/>
    <w:rsid w:val="7CCA189C"/>
    <w:rsid w:val="7CE00EED"/>
    <w:rsid w:val="7CEC40B6"/>
    <w:rsid w:val="7D2E5047"/>
    <w:rsid w:val="7D2E7EAA"/>
    <w:rsid w:val="7D4D49B8"/>
    <w:rsid w:val="7D666903"/>
    <w:rsid w:val="7D726BC1"/>
    <w:rsid w:val="7DC51E91"/>
    <w:rsid w:val="7DCF4ABD"/>
    <w:rsid w:val="7DD30A52"/>
    <w:rsid w:val="7DDF2F52"/>
    <w:rsid w:val="7DE247F1"/>
    <w:rsid w:val="7DF612B7"/>
    <w:rsid w:val="7E064983"/>
    <w:rsid w:val="7E0675C3"/>
    <w:rsid w:val="7E156974"/>
    <w:rsid w:val="7E2936C3"/>
    <w:rsid w:val="7E2E365C"/>
    <w:rsid w:val="7E3037AE"/>
    <w:rsid w:val="7E4234E1"/>
    <w:rsid w:val="7E6411B9"/>
    <w:rsid w:val="7E6C330C"/>
    <w:rsid w:val="7E751B09"/>
    <w:rsid w:val="7EBA4B37"/>
    <w:rsid w:val="7EC42148"/>
    <w:rsid w:val="7F0569E9"/>
    <w:rsid w:val="7F58348A"/>
    <w:rsid w:val="7F721BA4"/>
    <w:rsid w:val="7F9F0D72"/>
    <w:rsid w:val="7FBA5A25"/>
    <w:rsid w:val="7FC06DB4"/>
    <w:rsid w:val="7FD23434"/>
    <w:rsid w:val="7FE8721A"/>
    <w:rsid w:val="7FE93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nhideWhenUsed="0" w:uiPriority="39" w:semiHidden="0"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仿宋_GB2312" w:eastAsia="@仿宋_GB2312" w:cs="@仿宋_GB2312"/>
      <w:kern w:val="2"/>
      <w:sz w:val="21"/>
      <w:lang w:val="en-US" w:eastAsia="zh-CN" w:bidi="ar-SA"/>
    </w:rPr>
  </w:style>
  <w:style w:type="paragraph" w:styleId="3">
    <w:name w:val="heading 1"/>
    <w:basedOn w:val="1"/>
    <w:next w:val="1"/>
    <w:link w:val="89"/>
    <w:qFormat/>
    <w:uiPriority w:val="9"/>
    <w:pPr>
      <w:keepNext/>
      <w:keepLines/>
      <w:spacing w:before="340" w:after="330" w:line="578" w:lineRule="auto"/>
      <w:outlineLvl w:val="0"/>
    </w:pPr>
    <w:rPr>
      <w:b/>
      <w:bCs/>
      <w:kern w:val="44"/>
      <w:sz w:val="44"/>
      <w:szCs w:val="44"/>
    </w:rPr>
  </w:style>
  <w:style w:type="paragraph" w:styleId="4">
    <w:name w:val="heading 2"/>
    <w:basedOn w:val="1"/>
    <w:next w:val="5"/>
    <w:link w:val="100"/>
    <w:qFormat/>
    <w:uiPriority w:val="0"/>
    <w:pPr>
      <w:keepNext/>
      <w:keepLines/>
      <w:spacing w:before="260" w:after="260" w:line="415" w:lineRule="auto"/>
      <w:outlineLvl w:val="1"/>
    </w:pPr>
    <w:rPr>
      <w:rFonts w:ascii="Arial" w:hAnsi="Arial" w:eastAsia="黑体" w:cs="Arial"/>
      <w:b/>
      <w:bCs/>
      <w:sz w:val="32"/>
      <w:szCs w:val="32"/>
    </w:rPr>
  </w:style>
  <w:style w:type="paragraph" w:styleId="6">
    <w:name w:val="heading 3"/>
    <w:basedOn w:val="1"/>
    <w:next w:val="1"/>
    <w:link w:val="75"/>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80"/>
    <w:qFormat/>
    <w:uiPriority w:val="0"/>
    <w:pPr>
      <w:keepNext/>
      <w:keepLines/>
      <w:spacing w:before="280" w:after="290" w:line="376" w:lineRule="auto"/>
      <w:outlineLvl w:val="3"/>
    </w:pPr>
    <w:rPr>
      <w:b/>
      <w:bCs/>
      <w:sz w:val="28"/>
      <w:szCs w:val="28"/>
    </w:rPr>
  </w:style>
  <w:style w:type="paragraph" w:styleId="8">
    <w:name w:val="heading 5"/>
    <w:basedOn w:val="1"/>
    <w:next w:val="1"/>
    <w:unhideWhenUsed/>
    <w:qFormat/>
    <w:uiPriority w:val="0"/>
    <w:pPr>
      <w:keepNext/>
      <w:keepLines/>
      <w:spacing w:before="280" w:after="290" w:line="376" w:lineRule="auto"/>
      <w:outlineLvl w:val="4"/>
    </w:pPr>
    <w:rPr>
      <w:b/>
      <w:bCs/>
      <w:sz w:val="28"/>
      <w:szCs w:val="28"/>
    </w:rPr>
  </w:style>
  <w:style w:type="paragraph" w:styleId="9">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customStyle="1" w:styleId="5">
    <w:name w:val="段落"/>
    <w:qFormat/>
    <w:uiPriority w:val="0"/>
    <w:pPr>
      <w:adjustRightInd w:val="0"/>
      <w:snapToGrid w:val="0"/>
      <w:spacing w:before="120" w:after="120" w:line="360" w:lineRule="auto"/>
    </w:pPr>
    <w:rPr>
      <w:rFonts w:ascii="Times New Roman" w:hAnsi="Times New Roman" w:eastAsia="仿宋_GB2312" w:cs="Times New Roman"/>
      <w:b/>
      <w:kern w:val="2"/>
      <w:sz w:val="28"/>
      <w:szCs w:val="24"/>
      <w:lang w:val="en-US" w:eastAsia="zh-CN" w:bidi="ar-SA"/>
    </w:rPr>
  </w:style>
  <w:style w:type="paragraph" w:styleId="10">
    <w:name w:val="toc 7"/>
    <w:basedOn w:val="1"/>
    <w:next w:val="1"/>
    <w:qFormat/>
    <w:uiPriority w:val="39"/>
    <w:pPr>
      <w:ind w:left="1260"/>
      <w:jc w:val="left"/>
    </w:pPr>
    <w:rPr>
      <w:sz w:val="18"/>
      <w:szCs w:val="18"/>
    </w:rPr>
  </w:style>
  <w:style w:type="paragraph" w:styleId="11">
    <w:name w:val="Normal Indent"/>
    <w:basedOn w:val="1"/>
    <w:qFormat/>
    <w:uiPriority w:val="0"/>
    <w:pPr>
      <w:autoSpaceDE w:val="0"/>
      <w:autoSpaceDN w:val="0"/>
      <w:adjustRightInd w:val="0"/>
      <w:ind w:firstLine="420"/>
      <w:jc w:val="left"/>
    </w:pPr>
    <w:rPr>
      <w:rFonts w:ascii="宋体" w:hAnsi="Times New Roman" w:eastAsia="宋体" w:cs="Times New Roman"/>
      <w:kern w:val="0"/>
      <w:sz w:val="24"/>
    </w:rPr>
  </w:style>
  <w:style w:type="paragraph" w:styleId="12">
    <w:name w:val="caption"/>
    <w:basedOn w:val="1"/>
    <w:next w:val="1"/>
    <w:qFormat/>
    <w:uiPriority w:val="99"/>
    <w:pPr>
      <w:spacing w:after="120"/>
      <w:ind w:firstLine="0" w:firstLineChars="0"/>
      <w:jc w:val="center"/>
    </w:pPr>
    <w:rPr>
      <w:rFonts w:ascii="Times New Roman" w:hAnsi="Times New Roman" w:eastAsia="黑体"/>
      <w:b/>
      <w:sz w:val="24"/>
      <w:szCs w:val="20"/>
    </w:rPr>
  </w:style>
  <w:style w:type="paragraph" w:styleId="13">
    <w:name w:val="Document Map"/>
    <w:basedOn w:val="1"/>
    <w:next w:val="1"/>
    <w:qFormat/>
    <w:uiPriority w:val="0"/>
    <w:rPr>
      <w:rFonts w:ascii="宋体" w:hAnsi="Times New Roman" w:eastAsia="宋体" w:cs="Times New Roman"/>
      <w:sz w:val="18"/>
      <w:szCs w:val="18"/>
    </w:rPr>
  </w:style>
  <w:style w:type="paragraph" w:styleId="14">
    <w:name w:val="annotation text"/>
    <w:basedOn w:val="1"/>
    <w:link w:val="72"/>
    <w:qFormat/>
    <w:uiPriority w:val="0"/>
    <w:pPr>
      <w:jc w:val="left"/>
    </w:pPr>
    <w:rPr>
      <w:rFonts w:ascii="Arial" w:hAnsi="Arial" w:eastAsia="黑体" w:cs="Arial"/>
    </w:rPr>
  </w:style>
  <w:style w:type="paragraph" w:styleId="15">
    <w:name w:val="Body Text"/>
    <w:basedOn w:val="1"/>
    <w:next w:val="16"/>
    <w:qFormat/>
    <w:uiPriority w:val="0"/>
    <w:pPr>
      <w:spacing w:after="120"/>
    </w:pPr>
    <w:rPr>
      <w:rFonts w:ascii="@微软简标宋" w:hAnsi="@微软简标宋" w:eastAsia="@微软简标宋" w:cs="@微软简标宋"/>
      <w:szCs w:val="24"/>
      <w:lang w:val="zh-CN"/>
    </w:rPr>
  </w:style>
  <w:style w:type="paragraph" w:styleId="16">
    <w:name w:val="Title"/>
    <w:basedOn w:val="1"/>
    <w:next w:val="17"/>
    <w:qFormat/>
    <w:uiPriority w:val="0"/>
    <w:pPr>
      <w:spacing w:before="120" w:after="120"/>
      <w:ind w:firstLine="0" w:firstLineChars="0"/>
      <w:jc w:val="center"/>
      <w:outlineLvl w:val="0"/>
    </w:pPr>
    <w:rPr>
      <w:rFonts w:ascii="Times New Roman" w:hAnsi="Times New Roman" w:cs="Times New Roman"/>
      <w:b/>
      <w:bCs/>
      <w:sz w:val="44"/>
      <w:szCs w:val="32"/>
    </w:rPr>
  </w:style>
  <w:style w:type="paragraph" w:styleId="17">
    <w:name w:val="Subtitle"/>
    <w:basedOn w:val="1"/>
    <w:qFormat/>
    <w:uiPriority w:val="0"/>
    <w:pPr>
      <w:spacing w:before="120" w:after="120"/>
      <w:ind w:firstLine="0" w:firstLineChars="0"/>
      <w:jc w:val="center"/>
      <w:outlineLvl w:val="1"/>
    </w:pPr>
    <w:rPr>
      <w:rFonts w:ascii="Times New Roman" w:hAnsi="Times New Roman" w:cs="Times New Roman"/>
      <w:b/>
      <w:bCs/>
      <w:kern w:val="28"/>
      <w:sz w:val="32"/>
      <w:szCs w:val="32"/>
    </w:rPr>
  </w:style>
  <w:style w:type="paragraph" w:styleId="18">
    <w:name w:val="Body Text Indent"/>
    <w:basedOn w:val="1"/>
    <w:next w:val="19"/>
    <w:qFormat/>
    <w:uiPriority w:val="0"/>
    <w:pPr>
      <w:spacing w:after="120"/>
      <w:ind w:left="200" w:leftChars="200"/>
    </w:pPr>
  </w:style>
  <w:style w:type="paragraph" w:styleId="19">
    <w:name w:val="envelope return"/>
    <w:basedOn w:val="1"/>
    <w:next w:val="10"/>
    <w:qFormat/>
    <w:uiPriority w:val="0"/>
    <w:pPr>
      <w:snapToGrid w:val="0"/>
    </w:pPr>
    <w:rPr>
      <w:rFonts w:ascii="Arial" w:hAnsi="Arial"/>
    </w:rPr>
  </w:style>
  <w:style w:type="paragraph" w:styleId="20">
    <w:name w:val="List 2"/>
    <w:basedOn w:val="1"/>
    <w:qFormat/>
    <w:uiPriority w:val="0"/>
    <w:pPr>
      <w:ind w:left="100" w:leftChars="200" w:hanging="200" w:hangingChars="200"/>
    </w:pPr>
  </w:style>
  <w:style w:type="paragraph" w:styleId="21">
    <w:name w:val="Block Text"/>
    <w:basedOn w:val="1"/>
    <w:qFormat/>
    <w:uiPriority w:val="0"/>
    <w:rPr>
      <w:rFonts w:eastAsia="宋体"/>
    </w:rPr>
  </w:style>
  <w:style w:type="paragraph" w:styleId="22">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23">
    <w:name w:val="Plain Text"/>
    <w:basedOn w:val="1"/>
    <w:link w:val="62"/>
    <w:qFormat/>
    <w:uiPriority w:val="99"/>
    <w:rPr>
      <w:rFonts w:ascii="宋体" w:hAnsi="Courier New" w:eastAsiaTheme="minorEastAsia" w:cstheme="minorBidi"/>
      <w:szCs w:val="22"/>
    </w:rPr>
  </w:style>
  <w:style w:type="paragraph" w:styleId="24">
    <w:name w:val="toc 8"/>
    <w:basedOn w:val="1"/>
    <w:next w:val="1"/>
    <w:qFormat/>
    <w:uiPriority w:val="39"/>
    <w:pPr>
      <w:ind w:left="1470"/>
      <w:jc w:val="left"/>
    </w:pPr>
    <w:rPr>
      <w:rFonts w:ascii="Times New Roman" w:hAnsi="Times New Roman"/>
      <w:sz w:val="18"/>
      <w:szCs w:val="18"/>
    </w:rPr>
  </w:style>
  <w:style w:type="paragraph" w:styleId="25">
    <w:name w:val="Date"/>
    <w:basedOn w:val="1"/>
    <w:next w:val="1"/>
    <w:link w:val="69"/>
    <w:qFormat/>
    <w:uiPriority w:val="0"/>
    <w:rPr>
      <w:rFonts w:ascii="Arial" w:hAnsi="Arial" w:eastAsia="宋体" w:cs="Arial"/>
      <w:b/>
      <w:sz w:val="28"/>
    </w:rPr>
  </w:style>
  <w:style w:type="paragraph" w:styleId="26">
    <w:name w:val="Body Text Indent 2"/>
    <w:basedOn w:val="1"/>
    <w:next w:val="1"/>
    <w:qFormat/>
    <w:uiPriority w:val="0"/>
    <w:pPr>
      <w:spacing w:after="120" w:line="480" w:lineRule="auto"/>
      <w:ind w:left="200" w:leftChars="200" w:firstLine="0" w:firstLineChars="0"/>
    </w:pPr>
    <w:rPr>
      <w:rFonts w:ascii="Times New Roman" w:hAnsi="Times New Roman"/>
      <w:sz w:val="21"/>
      <w:szCs w:val="28"/>
    </w:rPr>
  </w:style>
  <w:style w:type="paragraph" w:styleId="27">
    <w:name w:val="Balloon Text"/>
    <w:basedOn w:val="1"/>
    <w:link w:val="56"/>
    <w:semiHidden/>
    <w:unhideWhenUsed/>
    <w:qFormat/>
    <w:uiPriority w:val="99"/>
    <w:rPr>
      <w:sz w:val="18"/>
      <w:szCs w:val="18"/>
    </w:rPr>
  </w:style>
  <w:style w:type="paragraph" w:styleId="28">
    <w:name w:val="footer"/>
    <w:basedOn w:val="1"/>
    <w:link w:val="61"/>
    <w:unhideWhenUsed/>
    <w:qFormat/>
    <w:uiPriority w:val="99"/>
    <w:pPr>
      <w:tabs>
        <w:tab w:val="center" w:pos="4153"/>
        <w:tab w:val="right" w:pos="8306"/>
      </w:tabs>
      <w:snapToGrid w:val="0"/>
      <w:jc w:val="left"/>
    </w:pPr>
    <w:rPr>
      <w:sz w:val="18"/>
      <w:szCs w:val="18"/>
    </w:rPr>
  </w:style>
  <w:style w:type="paragraph" w:styleId="29">
    <w:name w:val="header"/>
    <w:basedOn w:val="1"/>
    <w:link w:val="60"/>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List"/>
    <w:basedOn w:val="1"/>
    <w:next w:val="1"/>
    <w:qFormat/>
    <w:uiPriority w:val="0"/>
    <w:pPr>
      <w:spacing w:line="240" w:lineRule="auto"/>
      <w:ind w:left="200" w:hanging="200" w:hangingChars="200"/>
    </w:pPr>
    <w:rPr>
      <w:rFonts w:eastAsia="PMingLiU"/>
      <w:szCs w:val="20"/>
      <w:lang w:val="en-GB" w:eastAsia="zh-TW"/>
    </w:rPr>
  </w:style>
  <w:style w:type="paragraph" w:styleId="31">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32">
    <w:name w:val="Body Text 2"/>
    <w:basedOn w:val="1"/>
    <w:unhideWhenUsed/>
    <w:qFormat/>
    <w:uiPriority w:val="99"/>
    <w:pPr>
      <w:spacing w:after="120" w:line="480" w:lineRule="auto"/>
    </w:pPr>
  </w:style>
  <w:style w:type="paragraph" w:styleId="33">
    <w:name w:val="Normal (Web)"/>
    <w:basedOn w:val="1"/>
    <w:qFormat/>
    <w:uiPriority w:val="0"/>
    <w:pPr>
      <w:spacing w:before="100" w:beforeAutospacing="1" w:after="100" w:afterAutospacing="1"/>
      <w:jc w:val="left"/>
    </w:pPr>
    <w:rPr>
      <w:rFonts w:cs="Times New Roman"/>
      <w:kern w:val="0"/>
      <w:sz w:val="24"/>
    </w:rPr>
  </w:style>
  <w:style w:type="paragraph" w:styleId="34">
    <w:name w:val="index 1"/>
    <w:basedOn w:val="1"/>
    <w:next w:val="1"/>
    <w:qFormat/>
    <w:uiPriority w:val="0"/>
    <w:pPr>
      <w:jc w:val="center"/>
    </w:pPr>
    <w:rPr>
      <w:rFonts w:ascii="Arial" w:hAnsi="Arial" w:eastAsia="Arial" w:cs="Arial"/>
      <w:b/>
      <w:bCs/>
      <w:sz w:val="28"/>
    </w:rPr>
  </w:style>
  <w:style w:type="paragraph" w:styleId="35">
    <w:name w:val="annotation subject"/>
    <w:basedOn w:val="14"/>
    <w:next w:val="14"/>
    <w:link w:val="83"/>
    <w:semiHidden/>
    <w:unhideWhenUsed/>
    <w:qFormat/>
    <w:uiPriority w:val="99"/>
    <w:rPr>
      <w:rFonts w:ascii="@仿宋_GB2312" w:hAnsi="@仿宋_GB2312" w:eastAsia="@仿宋_GB2312" w:cs="@仿宋_GB2312"/>
      <w:b/>
      <w:bCs/>
    </w:rPr>
  </w:style>
  <w:style w:type="paragraph" w:styleId="36">
    <w:name w:val="Body Text First Indent"/>
    <w:basedOn w:val="15"/>
    <w:unhideWhenUsed/>
    <w:qFormat/>
    <w:uiPriority w:val="99"/>
    <w:pPr>
      <w:ind w:firstLine="420" w:firstLineChars="100"/>
    </w:pPr>
  </w:style>
  <w:style w:type="paragraph" w:styleId="37">
    <w:name w:val="Body Text First Indent 2"/>
    <w:basedOn w:val="18"/>
    <w:next w:val="1"/>
    <w:qFormat/>
    <w:uiPriority w:val="0"/>
    <w:pPr>
      <w:ind w:left="0" w:leftChars="0" w:firstLine="420" w:firstLineChars="200"/>
    </w:pPr>
  </w:style>
  <w:style w:type="table" w:styleId="39">
    <w:name w:val="Table Grid"/>
    <w:basedOn w:val="3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FollowedHyperlink"/>
    <w:basedOn w:val="40"/>
    <w:semiHidden/>
    <w:unhideWhenUsed/>
    <w:qFormat/>
    <w:uiPriority w:val="99"/>
    <w:rPr>
      <w:color w:val="5C5C5C"/>
      <w:u w:val="none"/>
    </w:rPr>
  </w:style>
  <w:style w:type="character" w:styleId="43">
    <w:name w:val="Emphasis"/>
    <w:basedOn w:val="40"/>
    <w:qFormat/>
    <w:uiPriority w:val="20"/>
    <w:rPr>
      <w:b/>
      <w:bCs/>
    </w:rPr>
  </w:style>
  <w:style w:type="character" w:styleId="44">
    <w:name w:val="HTML Definition"/>
    <w:basedOn w:val="40"/>
    <w:semiHidden/>
    <w:unhideWhenUsed/>
    <w:qFormat/>
    <w:uiPriority w:val="99"/>
  </w:style>
  <w:style w:type="character" w:styleId="45">
    <w:name w:val="HTML Typewriter"/>
    <w:basedOn w:val="40"/>
    <w:semiHidden/>
    <w:unhideWhenUsed/>
    <w:qFormat/>
    <w:uiPriority w:val="99"/>
    <w:rPr>
      <w:rFonts w:hint="default" w:ascii="monospace" w:hAnsi="monospace" w:eastAsia="monospace" w:cs="monospace"/>
      <w:sz w:val="20"/>
    </w:rPr>
  </w:style>
  <w:style w:type="character" w:styleId="46">
    <w:name w:val="HTML Acronym"/>
    <w:basedOn w:val="40"/>
    <w:semiHidden/>
    <w:unhideWhenUsed/>
    <w:qFormat/>
    <w:uiPriority w:val="99"/>
    <w:rPr>
      <w:rFonts w:ascii="ActionIcon ! important" w:hAnsi="ActionIcon ! important" w:eastAsia="ActionIcon ! important" w:cs="ActionIcon ! important"/>
      <w:color w:val="D6D6D6"/>
      <w:sz w:val="24"/>
      <w:szCs w:val="24"/>
    </w:rPr>
  </w:style>
  <w:style w:type="character" w:styleId="47">
    <w:name w:val="HTML Variable"/>
    <w:basedOn w:val="40"/>
    <w:semiHidden/>
    <w:unhideWhenUsed/>
    <w:qFormat/>
    <w:uiPriority w:val="99"/>
  </w:style>
  <w:style w:type="character" w:styleId="48">
    <w:name w:val="Hyperlink"/>
    <w:basedOn w:val="40"/>
    <w:unhideWhenUsed/>
    <w:qFormat/>
    <w:uiPriority w:val="99"/>
    <w:rPr>
      <w:color w:val="0000FF" w:themeColor="hyperlink"/>
      <w:u w:val="single"/>
      <w14:textFill>
        <w14:solidFill>
          <w14:schemeClr w14:val="hlink"/>
        </w14:solidFill>
      </w14:textFill>
    </w:rPr>
  </w:style>
  <w:style w:type="character" w:styleId="49">
    <w:name w:val="HTML Code"/>
    <w:basedOn w:val="40"/>
    <w:semiHidden/>
    <w:unhideWhenUsed/>
    <w:qFormat/>
    <w:uiPriority w:val="99"/>
    <w:rPr>
      <w:rFonts w:hint="default" w:ascii="monospace" w:hAnsi="monospace" w:eastAsia="monospace" w:cs="monospace"/>
      <w:sz w:val="20"/>
    </w:rPr>
  </w:style>
  <w:style w:type="character" w:styleId="50">
    <w:name w:val="annotation reference"/>
    <w:basedOn w:val="40"/>
    <w:semiHidden/>
    <w:unhideWhenUsed/>
    <w:qFormat/>
    <w:uiPriority w:val="99"/>
    <w:rPr>
      <w:sz w:val="21"/>
      <w:szCs w:val="21"/>
    </w:rPr>
  </w:style>
  <w:style w:type="character" w:styleId="51">
    <w:name w:val="HTML Cite"/>
    <w:basedOn w:val="40"/>
    <w:semiHidden/>
    <w:unhideWhenUsed/>
    <w:qFormat/>
    <w:uiPriority w:val="99"/>
  </w:style>
  <w:style w:type="character" w:styleId="52">
    <w:name w:val="HTML Keyboard"/>
    <w:basedOn w:val="40"/>
    <w:semiHidden/>
    <w:unhideWhenUsed/>
    <w:qFormat/>
    <w:uiPriority w:val="99"/>
    <w:rPr>
      <w:rFonts w:ascii="monospace" w:hAnsi="monospace" w:eastAsia="monospace" w:cs="monospace"/>
      <w:sz w:val="20"/>
    </w:rPr>
  </w:style>
  <w:style w:type="character" w:styleId="53">
    <w:name w:val="HTML Sample"/>
    <w:basedOn w:val="40"/>
    <w:semiHidden/>
    <w:unhideWhenUsed/>
    <w:qFormat/>
    <w:uiPriority w:val="99"/>
    <w:rPr>
      <w:rFonts w:hint="default" w:ascii="monospace" w:hAnsi="monospace" w:eastAsia="monospace" w:cs="monospace"/>
    </w:rPr>
  </w:style>
  <w:style w:type="paragraph" w:customStyle="1" w:styleId="54">
    <w:name w:val="_Style 2"/>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55">
    <w:name w:val="正文文字 8"/>
    <w:basedOn w:val="1"/>
    <w:next w:val="1"/>
    <w:qFormat/>
    <w:uiPriority w:val="0"/>
    <w:pPr>
      <w:ind w:left="240"/>
    </w:pPr>
    <w:rPr>
      <w:sz w:val="16"/>
    </w:rPr>
  </w:style>
  <w:style w:type="character" w:customStyle="1" w:styleId="56">
    <w:name w:val="批注框文本 字符"/>
    <w:basedOn w:val="40"/>
    <w:link w:val="27"/>
    <w:semiHidden/>
    <w:qFormat/>
    <w:uiPriority w:val="99"/>
    <w:rPr>
      <w:rFonts w:ascii="@仿宋_GB2312" w:hAnsi="@仿宋_GB2312" w:eastAsia="@仿宋_GB2312" w:cs="@仿宋_GB2312"/>
      <w:sz w:val="18"/>
      <w:szCs w:val="18"/>
    </w:rPr>
  </w:style>
  <w:style w:type="paragraph" w:customStyle="1" w:styleId="57">
    <w:name w:val="正文（缩进）"/>
    <w:basedOn w:val="1"/>
    <w:qFormat/>
    <w:uiPriority w:val="0"/>
    <w:pPr>
      <w:widowControl/>
      <w:spacing w:before="156" w:after="156"/>
      <w:ind w:firstLine="480" w:firstLineChars="200"/>
      <w:jc w:val="left"/>
    </w:pPr>
    <w:rPr>
      <w:kern w:val="0"/>
      <w:sz w:val="24"/>
      <w:szCs w:val="24"/>
    </w:rPr>
  </w:style>
  <w:style w:type="paragraph" w:customStyle="1" w:styleId="58">
    <w:name w:val="xl31"/>
    <w:basedOn w:val="1"/>
    <w:qFormat/>
    <w:uiPriority w:val="0"/>
    <w:pPr>
      <w:widowControl/>
      <w:spacing w:before="100" w:beforeAutospacing="1" w:after="100" w:afterAutospacing="1"/>
      <w:jc w:val="center"/>
    </w:pPr>
    <w:rPr>
      <w:b/>
      <w:bCs/>
      <w:kern w:val="0"/>
      <w:sz w:val="28"/>
      <w:szCs w:val="28"/>
    </w:rPr>
  </w:style>
  <w:style w:type="paragraph" w:customStyle="1" w:styleId="59">
    <w:name w:val="D&amp;L"/>
    <w:basedOn w:val="29"/>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60">
    <w:name w:val="页眉 字符"/>
    <w:basedOn w:val="40"/>
    <w:link w:val="29"/>
    <w:qFormat/>
    <w:uiPriority w:val="99"/>
    <w:rPr>
      <w:rFonts w:ascii="@仿宋_GB2312" w:hAnsi="@仿宋_GB2312" w:eastAsia="@仿宋_GB2312" w:cs="@仿宋_GB2312"/>
      <w:sz w:val="18"/>
      <w:szCs w:val="18"/>
    </w:rPr>
  </w:style>
  <w:style w:type="character" w:customStyle="1" w:styleId="61">
    <w:name w:val="页脚 字符"/>
    <w:basedOn w:val="40"/>
    <w:link w:val="28"/>
    <w:qFormat/>
    <w:uiPriority w:val="99"/>
    <w:rPr>
      <w:rFonts w:ascii="@仿宋_GB2312" w:hAnsi="@仿宋_GB2312" w:eastAsia="@仿宋_GB2312" w:cs="@仿宋_GB2312"/>
      <w:sz w:val="18"/>
      <w:szCs w:val="18"/>
    </w:rPr>
  </w:style>
  <w:style w:type="character" w:customStyle="1" w:styleId="62">
    <w:name w:val="纯文本 字符"/>
    <w:link w:val="23"/>
    <w:qFormat/>
    <w:uiPriority w:val="0"/>
    <w:rPr>
      <w:rFonts w:ascii="宋体" w:hAnsi="Courier New"/>
    </w:rPr>
  </w:style>
  <w:style w:type="character" w:customStyle="1" w:styleId="63">
    <w:name w:val="纯文本 字符1"/>
    <w:basedOn w:val="40"/>
    <w:semiHidden/>
    <w:qFormat/>
    <w:uiPriority w:val="99"/>
    <w:rPr>
      <w:rFonts w:hAnsi="Courier New" w:cs="Courier New" w:asciiTheme="minorEastAsia"/>
      <w:szCs w:val="20"/>
    </w:rPr>
  </w:style>
  <w:style w:type="character" w:customStyle="1" w:styleId="64">
    <w:name w:val="未处理的提及1"/>
    <w:basedOn w:val="40"/>
    <w:semiHidden/>
    <w:unhideWhenUsed/>
    <w:qFormat/>
    <w:uiPriority w:val="99"/>
    <w:rPr>
      <w:color w:val="605E5C"/>
      <w:shd w:val="clear" w:color="auto" w:fill="E1DFDD"/>
    </w:rPr>
  </w:style>
  <w:style w:type="paragraph" w:styleId="65">
    <w:name w:val="List Paragraph"/>
    <w:basedOn w:val="1"/>
    <w:qFormat/>
    <w:uiPriority w:val="34"/>
    <w:pPr>
      <w:ind w:firstLine="420" w:firstLineChars="200"/>
    </w:pPr>
  </w:style>
  <w:style w:type="paragraph" w:customStyle="1" w:styleId="66">
    <w:name w:val="Char Char Char Char Char Char Char1 Char"/>
    <w:basedOn w:val="1"/>
    <w:qFormat/>
    <w:uiPriority w:val="0"/>
    <w:rPr>
      <w:rFonts w:ascii="Arial" w:hAnsi="Arial" w:eastAsia="宋体" w:cs="Arial"/>
      <w:sz w:val="24"/>
    </w:rPr>
  </w:style>
  <w:style w:type="table" w:customStyle="1" w:styleId="67">
    <w:name w:val="网格表 1 浅色1"/>
    <w:basedOn w:val="3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68">
    <w:name w:val="日期 字符"/>
    <w:basedOn w:val="40"/>
    <w:semiHidden/>
    <w:qFormat/>
    <w:uiPriority w:val="99"/>
    <w:rPr>
      <w:rFonts w:ascii="@仿宋_GB2312" w:hAnsi="@仿宋_GB2312" w:eastAsia="@仿宋_GB2312" w:cs="@仿宋_GB2312"/>
      <w:szCs w:val="20"/>
    </w:rPr>
  </w:style>
  <w:style w:type="character" w:customStyle="1" w:styleId="69">
    <w:name w:val="日期 字符1"/>
    <w:link w:val="25"/>
    <w:qFormat/>
    <w:uiPriority w:val="0"/>
    <w:rPr>
      <w:rFonts w:ascii="Arial" w:hAnsi="Arial" w:eastAsia="宋体" w:cs="Arial"/>
      <w:b/>
      <w:sz w:val="28"/>
      <w:szCs w:val="20"/>
    </w:rPr>
  </w:style>
  <w:style w:type="character" w:customStyle="1" w:styleId="70">
    <w:name w:val="纯文本 Char1"/>
    <w:qFormat/>
    <w:locked/>
    <w:uiPriority w:val="99"/>
    <w:rPr>
      <w:rFonts w:ascii="Arial" w:hAnsi="Arial" w:eastAsia="Arial"/>
      <w:kern w:val="2"/>
      <w:sz w:val="21"/>
      <w:lang w:val="en-US" w:eastAsia="zh-CN" w:bidi="ar-SA"/>
    </w:rPr>
  </w:style>
  <w:style w:type="character" w:customStyle="1" w:styleId="71">
    <w:name w:val="批注文字 Char"/>
    <w:basedOn w:val="40"/>
    <w:semiHidden/>
    <w:qFormat/>
    <w:uiPriority w:val="99"/>
    <w:rPr>
      <w:rFonts w:ascii="@仿宋_GB2312" w:hAnsi="@仿宋_GB2312" w:eastAsia="@仿宋_GB2312" w:cs="@仿宋_GB2312"/>
      <w:szCs w:val="20"/>
    </w:rPr>
  </w:style>
  <w:style w:type="character" w:customStyle="1" w:styleId="72">
    <w:name w:val="批注文字 字符"/>
    <w:link w:val="14"/>
    <w:qFormat/>
    <w:uiPriority w:val="0"/>
    <w:rPr>
      <w:rFonts w:ascii="Arial" w:hAnsi="Arial" w:eastAsia="黑体" w:cs="Arial"/>
      <w:szCs w:val="20"/>
    </w:rPr>
  </w:style>
  <w:style w:type="character" w:customStyle="1" w:styleId="73">
    <w:name w:val="标题 1 Char"/>
    <w:basedOn w:val="40"/>
    <w:qFormat/>
    <w:uiPriority w:val="9"/>
    <w:rPr>
      <w:rFonts w:ascii="@仿宋_GB2312" w:hAnsi="@仿宋_GB2312" w:eastAsia="@仿宋_GB2312" w:cs="@仿宋_GB2312"/>
      <w:b/>
      <w:bCs/>
      <w:kern w:val="44"/>
      <w:sz w:val="44"/>
      <w:szCs w:val="44"/>
    </w:rPr>
  </w:style>
  <w:style w:type="paragraph" w:customStyle="1" w:styleId="74">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75">
    <w:name w:val="标题 3 字符"/>
    <w:basedOn w:val="40"/>
    <w:link w:val="6"/>
    <w:semiHidden/>
    <w:qFormat/>
    <w:uiPriority w:val="9"/>
    <w:rPr>
      <w:rFonts w:ascii="@仿宋_GB2312" w:hAnsi="@仿宋_GB2312" w:eastAsia="@仿宋_GB2312" w:cs="@仿宋_GB2312"/>
      <w:b/>
      <w:bCs/>
      <w:sz w:val="32"/>
      <w:szCs w:val="32"/>
    </w:rPr>
  </w:style>
  <w:style w:type="character" w:customStyle="1" w:styleId="76">
    <w:name w:val="fontstyle01"/>
    <w:basedOn w:val="40"/>
    <w:qFormat/>
    <w:uiPriority w:val="0"/>
    <w:rPr>
      <w:rFonts w:hint="eastAsia" w:ascii="宋体" w:hAnsi="宋体" w:eastAsia="宋体"/>
      <w:color w:val="000000"/>
      <w:sz w:val="22"/>
      <w:szCs w:val="22"/>
    </w:rPr>
  </w:style>
  <w:style w:type="character" w:customStyle="1" w:styleId="77">
    <w:name w:val="fontstyle21"/>
    <w:basedOn w:val="40"/>
    <w:qFormat/>
    <w:uiPriority w:val="0"/>
    <w:rPr>
      <w:rFonts w:hint="default" w:ascii="TimesNewRomanPSMT" w:hAnsi="TimesNewRomanPSMT"/>
      <w:color w:val="000000"/>
      <w:sz w:val="22"/>
      <w:szCs w:val="22"/>
    </w:rPr>
  </w:style>
  <w:style w:type="character" w:customStyle="1" w:styleId="78">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79">
    <w:name w:val="标题 4 字符"/>
    <w:basedOn w:val="40"/>
    <w:semiHidden/>
    <w:qFormat/>
    <w:uiPriority w:val="9"/>
    <w:rPr>
      <w:rFonts w:asciiTheme="majorHAnsi" w:hAnsiTheme="majorHAnsi" w:eastAsiaTheme="majorEastAsia" w:cstheme="majorBidi"/>
      <w:b/>
      <w:bCs/>
      <w:sz w:val="28"/>
      <w:szCs w:val="28"/>
    </w:rPr>
  </w:style>
  <w:style w:type="character" w:customStyle="1" w:styleId="80">
    <w:name w:val="标题 4 字符1"/>
    <w:link w:val="7"/>
    <w:qFormat/>
    <w:uiPriority w:val="0"/>
    <w:rPr>
      <w:rFonts w:ascii="@仿宋_GB2312" w:hAnsi="@仿宋_GB2312" w:eastAsia="@仿宋_GB2312" w:cs="@仿宋_GB2312"/>
      <w:b/>
      <w:bCs/>
      <w:sz w:val="28"/>
      <w:szCs w:val="28"/>
    </w:rPr>
  </w:style>
  <w:style w:type="character" w:customStyle="1" w:styleId="81">
    <w:name w:val="标题 4 Char"/>
    <w:qFormat/>
    <w:uiPriority w:val="0"/>
    <w:rPr>
      <w:rFonts w:ascii="Arial" w:hAnsi="Arial" w:eastAsia="Arial"/>
      <w:b/>
      <w:bCs/>
      <w:kern w:val="2"/>
      <w:sz w:val="28"/>
      <w:szCs w:val="28"/>
      <w:lang w:val="en-US" w:eastAsia="zh-CN" w:bidi="ar-SA"/>
    </w:rPr>
  </w:style>
  <w:style w:type="table" w:customStyle="1" w:styleId="82">
    <w:name w:val="网格型1"/>
    <w:basedOn w:val="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3">
    <w:name w:val="批注主题 字符"/>
    <w:basedOn w:val="72"/>
    <w:link w:val="35"/>
    <w:semiHidden/>
    <w:qFormat/>
    <w:uiPriority w:val="99"/>
    <w:rPr>
      <w:rFonts w:ascii="@仿宋_GB2312" w:hAnsi="@仿宋_GB2312" w:eastAsia="@仿宋_GB2312" w:cs="@仿宋_GB2312"/>
      <w:b/>
      <w:bCs/>
      <w:szCs w:val="20"/>
    </w:rPr>
  </w:style>
  <w:style w:type="table" w:customStyle="1" w:styleId="84">
    <w:name w:val="Table Normal"/>
    <w:semiHidden/>
    <w:unhideWhenUsed/>
    <w:qFormat/>
    <w:uiPriority w:val="0"/>
    <w:tblPr>
      <w:tblCellMar>
        <w:top w:w="0" w:type="dxa"/>
        <w:left w:w="0" w:type="dxa"/>
        <w:bottom w:w="0" w:type="dxa"/>
        <w:right w:w="0" w:type="dxa"/>
      </w:tblCellMar>
    </w:tblPr>
  </w:style>
  <w:style w:type="paragraph" w:customStyle="1" w:styleId="85">
    <w:name w:val="Table Text"/>
    <w:basedOn w:val="1"/>
    <w:semiHidden/>
    <w:qFormat/>
    <w:uiPriority w:val="0"/>
    <w:rPr>
      <w:rFonts w:ascii="Arial" w:hAnsi="Arial" w:eastAsia="Arial" w:cs="Arial"/>
      <w:szCs w:val="21"/>
      <w:lang w:eastAsia="en-US"/>
    </w:rPr>
  </w:style>
  <w:style w:type="paragraph" w:customStyle="1" w:styleId="86">
    <w:name w:val="Table Paragraph"/>
    <w:basedOn w:val="1"/>
    <w:qFormat/>
    <w:uiPriority w:val="0"/>
    <w:rPr>
      <w:rFonts w:ascii="宋体" w:hAnsi="宋体" w:eastAsia="宋体" w:cs="宋体"/>
      <w:lang w:val="zh-CN" w:bidi="zh-CN"/>
    </w:rPr>
  </w:style>
  <w:style w:type="character" w:customStyle="1" w:styleId="87">
    <w:name w:val="font31"/>
    <w:basedOn w:val="40"/>
    <w:qFormat/>
    <w:uiPriority w:val="0"/>
    <w:rPr>
      <w:rFonts w:ascii="微软雅黑" w:hAnsi="微软雅黑" w:eastAsia="微软雅黑" w:cs="微软雅黑"/>
      <w:color w:val="000000"/>
      <w:sz w:val="24"/>
      <w:szCs w:val="24"/>
      <w:u w:val="none"/>
    </w:rPr>
  </w:style>
  <w:style w:type="character" w:customStyle="1" w:styleId="88">
    <w:name w:val="font41"/>
    <w:basedOn w:val="40"/>
    <w:qFormat/>
    <w:uiPriority w:val="0"/>
    <w:rPr>
      <w:rFonts w:ascii="Calibri" w:hAnsi="Calibri" w:cs="Calibri"/>
      <w:color w:val="000000"/>
      <w:sz w:val="24"/>
      <w:szCs w:val="24"/>
      <w:u w:val="none"/>
    </w:rPr>
  </w:style>
  <w:style w:type="character" w:customStyle="1" w:styleId="89">
    <w:name w:val="标题 1 字符"/>
    <w:link w:val="3"/>
    <w:qFormat/>
    <w:uiPriority w:val="9"/>
    <w:rPr>
      <w:b/>
      <w:bCs/>
      <w:kern w:val="44"/>
      <w:sz w:val="44"/>
      <w:szCs w:val="44"/>
    </w:rPr>
  </w:style>
  <w:style w:type="paragraph" w:customStyle="1" w:styleId="90">
    <w:name w:val="Other|1"/>
    <w:basedOn w:val="1"/>
    <w:qFormat/>
    <w:uiPriority w:val="0"/>
    <w:rPr>
      <w:rFonts w:ascii="宋体" w:hAnsi="宋体" w:eastAsia="宋体" w:cs="宋体"/>
      <w:sz w:val="19"/>
      <w:szCs w:val="19"/>
      <w:lang w:val="zh-TW" w:eastAsia="zh-TW" w:bidi="zh-TW"/>
    </w:rPr>
  </w:style>
  <w:style w:type="paragraph" w:customStyle="1" w:styleId="91">
    <w:name w:val="纯文本1"/>
    <w:basedOn w:val="1"/>
    <w:qFormat/>
    <w:uiPriority w:val="0"/>
    <w:pPr>
      <w:adjustRightInd w:val="0"/>
    </w:pPr>
    <w:rPr>
      <w:rFonts w:ascii="宋体" w:hAnsi="Courier New" w:eastAsia="楷体_GB2312"/>
      <w:sz w:val="26"/>
    </w:rPr>
  </w:style>
  <w:style w:type="paragraph" w:customStyle="1" w:styleId="92">
    <w:name w:val="正文 New"/>
    <w:next w:val="93"/>
    <w:qFormat/>
    <w:uiPriority w:val="0"/>
    <w:pPr>
      <w:widowControl w:val="0"/>
      <w:spacing w:line="440" w:lineRule="exact"/>
      <w:ind w:left="357" w:hanging="357"/>
      <w:jc w:val="both"/>
    </w:pPr>
    <w:rPr>
      <w:rFonts w:ascii="Times New Roman" w:hAnsi="Times New Roman" w:eastAsia="宋体" w:cs="Times New Roman"/>
      <w:kern w:val="2"/>
      <w:sz w:val="21"/>
      <w:szCs w:val="22"/>
      <w:lang w:val="en-US" w:eastAsia="zh-CN" w:bidi="ar-SA"/>
    </w:rPr>
  </w:style>
  <w:style w:type="paragraph" w:customStyle="1" w:styleId="93">
    <w:name w:val="正文缩进1"/>
    <w:basedOn w:val="1"/>
    <w:next w:val="13"/>
    <w:qFormat/>
    <w:uiPriority w:val="0"/>
    <w:pPr>
      <w:spacing w:line="360" w:lineRule="atLeast"/>
      <w:ind w:firstLine="482"/>
    </w:pPr>
    <w:rPr>
      <w:rFonts w:ascii="Times New Roman" w:eastAsia="宋体"/>
      <w:sz w:val="24"/>
    </w:rPr>
  </w:style>
  <w:style w:type="paragraph" w:customStyle="1" w:styleId="94">
    <w:name w:val="_Style 3"/>
    <w:basedOn w:val="1"/>
    <w:qFormat/>
    <w:uiPriority w:val="0"/>
    <w:pPr>
      <w:ind w:firstLine="420" w:firstLineChars="200"/>
    </w:pPr>
    <w:rPr>
      <w:sz w:val="20"/>
    </w:rPr>
  </w:style>
  <w:style w:type="paragraph" w:customStyle="1" w:styleId="95">
    <w:name w:val="xl25"/>
    <w:basedOn w:val="1"/>
    <w:qFormat/>
    <w:uiPriority w:val="0"/>
    <w:pPr>
      <w:widowControl/>
      <w:spacing w:before="100" w:beforeAutospacing="1" w:after="100" w:afterAutospacing="1"/>
      <w:jc w:val="right"/>
    </w:pPr>
    <w:rPr>
      <w:rFonts w:ascii="Arial Unicode MS" w:hAnsi="Arial Unicode MS" w:eastAsia="宋体" w:cs="Arial Unicode MS"/>
      <w:color w:val="000000"/>
      <w:kern w:val="0"/>
      <w:sz w:val="18"/>
      <w:szCs w:val="18"/>
    </w:rPr>
  </w:style>
  <w:style w:type="character" w:customStyle="1" w:styleId="96">
    <w:name w:val="hover"/>
    <w:basedOn w:val="40"/>
    <w:qFormat/>
    <w:uiPriority w:val="0"/>
    <w:rPr>
      <w:color w:val="2590EB"/>
      <w:shd w:val="clear" w:color="auto" w:fill="E9F4FD"/>
    </w:rPr>
  </w:style>
  <w:style w:type="character" w:customStyle="1" w:styleId="97">
    <w:name w:val="hover1"/>
    <w:basedOn w:val="40"/>
    <w:qFormat/>
    <w:uiPriority w:val="0"/>
    <w:rPr>
      <w:color w:val="2590EB"/>
    </w:rPr>
  </w:style>
  <w:style w:type="character" w:customStyle="1" w:styleId="98">
    <w:name w:val="hover2"/>
    <w:basedOn w:val="40"/>
    <w:qFormat/>
    <w:uiPriority w:val="0"/>
    <w:rPr>
      <w:color w:val="2590EB"/>
    </w:rPr>
  </w:style>
  <w:style w:type="character" w:customStyle="1" w:styleId="99">
    <w:name w:val="hover3"/>
    <w:basedOn w:val="40"/>
    <w:qFormat/>
    <w:uiPriority w:val="0"/>
  </w:style>
  <w:style w:type="character" w:customStyle="1" w:styleId="100">
    <w:name w:val="标题 2 字符"/>
    <w:basedOn w:val="40"/>
    <w:link w:val="4"/>
    <w:qFormat/>
    <w:uiPriority w:val="0"/>
    <w:rPr>
      <w:rFonts w:ascii="等线 Light" w:hAnsi="等线 Light" w:eastAsia="等线 Light" w:cs="Times New Roman"/>
      <w:b/>
      <w:bCs/>
      <w:kern w:val="2"/>
      <w:sz w:val="32"/>
      <w:szCs w:val="32"/>
    </w:rPr>
  </w:style>
  <w:style w:type="character" w:customStyle="1" w:styleId="101">
    <w:name w:val="hover4"/>
    <w:basedOn w:val="40"/>
    <w:qFormat/>
    <w:uiPriority w:val="0"/>
  </w:style>
  <w:style w:type="character" w:customStyle="1" w:styleId="102">
    <w:name w:val="font21"/>
    <w:basedOn w:val="40"/>
    <w:qFormat/>
    <w:uiPriority w:val="0"/>
    <w:rPr>
      <w:rFonts w:hint="default" w:ascii="Times New Roman" w:hAnsi="Times New Roman" w:cs="Times New Roman"/>
      <w:color w:val="000000"/>
      <w:sz w:val="24"/>
      <w:szCs w:val="24"/>
      <w:u w:val="none"/>
    </w:rPr>
  </w:style>
  <w:style w:type="character" w:customStyle="1" w:styleId="103">
    <w:name w:val="font11"/>
    <w:basedOn w:val="40"/>
    <w:qFormat/>
    <w:uiPriority w:val="0"/>
    <w:rPr>
      <w:rFonts w:hint="eastAsia" w:ascii="宋体" w:hAnsi="宋体" w:eastAsia="宋体" w:cs="宋体"/>
      <w:color w:val="000000"/>
      <w:sz w:val="24"/>
      <w:szCs w:val="24"/>
      <w:u w:val="none"/>
    </w:rPr>
  </w:style>
  <w:style w:type="character" w:customStyle="1" w:styleId="104">
    <w:name w:val="font01"/>
    <w:basedOn w:val="40"/>
    <w:qFormat/>
    <w:uiPriority w:val="0"/>
    <w:rPr>
      <w:rFonts w:hint="eastAsia" w:ascii="宋体" w:hAnsi="宋体" w:eastAsia="宋体" w:cs="宋体"/>
      <w:color w:val="000000"/>
      <w:sz w:val="22"/>
      <w:szCs w:val="22"/>
      <w:u w:val="none"/>
    </w:rPr>
  </w:style>
  <w:style w:type="character" w:customStyle="1" w:styleId="105">
    <w:name w:val="font71"/>
    <w:basedOn w:val="40"/>
    <w:qFormat/>
    <w:uiPriority w:val="0"/>
    <w:rPr>
      <w:rFonts w:hint="default" w:ascii="Times New Roman" w:hAnsi="Times New Roman" w:cs="Times New Roman"/>
      <w:color w:val="000000"/>
      <w:sz w:val="22"/>
      <w:szCs w:val="22"/>
      <w:u w:val="none"/>
    </w:rPr>
  </w:style>
  <w:style w:type="character" w:customStyle="1" w:styleId="106">
    <w:name w:val="font51"/>
    <w:basedOn w:val="40"/>
    <w:qFormat/>
    <w:uiPriority w:val="0"/>
    <w:rPr>
      <w:rFonts w:ascii="黑体" w:hAnsi="宋体" w:eastAsia="黑体" w:cs="黑体"/>
      <w:color w:val="000000"/>
      <w:sz w:val="21"/>
      <w:szCs w:val="21"/>
      <w:u w:val="none"/>
    </w:rPr>
  </w:style>
  <w:style w:type="paragraph" w:customStyle="1" w:styleId="107">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108">
    <w:name w:val="focus4"/>
    <w:basedOn w:val="40"/>
    <w:qFormat/>
    <w:uiPriority w:val="0"/>
  </w:style>
  <w:style w:type="character" w:customStyle="1" w:styleId="109">
    <w:name w:val="tmpztreemove_arrow"/>
    <w:basedOn w:val="40"/>
    <w:qFormat/>
    <w:uiPriority w:val="0"/>
  </w:style>
  <w:style w:type="character" w:customStyle="1" w:styleId="110">
    <w:name w:val="button"/>
    <w:basedOn w:val="40"/>
    <w:qFormat/>
    <w:uiPriority w:val="0"/>
  </w:style>
  <w:style w:type="character" w:customStyle="1" w:styleId="111">
    <w:name w:val="txt15"/>
    <w:basedOn w:val="40"/>
    <w:qFormat/>
    <w:uiPriority w:val="0"/>
    <w:rPr>
      <w:color w:val="C0C0C0"/>
    </w:rPr>
  </w:style>
  <w:style w:type="character" w:customStyle="1" w:styleId="112">
    <w:name w:val="first-child1"/>
    <w:basedOn w:val="40"/>
    <w:qFormat/>
    <w:uiPriority w:val="0"/>
  </w:style>
  <w:style w:type="character" w:customStyle="1" w:styleId="113">
    <w:name w:val="split11"/>
    <w:basedOn w:val="40"/>
    <w:qFormat/>
    <w:uiPriority w:val="0"/>
    <w:rPr>
      <w:color w:val="C50001"/>
      <w:sz w:val="21"/>
      <w:szCs w:val="21"/>
    </w:rPr>
  </w:style>
  <w:style w:type="character" w:customStyle="1" w:styleId="114">
    <w:name w:val="focus"/>
    <w:basedOn w:val="40"/>
    <w:qFormat/>
    <w:uiPriority w:val="0"/>
  </w:style>
  <w:style w:type="character" w:customStyle="1" w:styleId="115">
    <w:name w:val="txt17"/>
    <w:basedOn w:val="40"/>
    <w:qFormat/>
    <w:uiPriority w:val="0"/>
    <w:rPr>
      <w:color w:val="C0C0C0"/>
    </w:rPr>
  </w:style>
  <w:style w:type="paragraph" w:customStyle="1" w:styleId="116">
    <w:name w:val="表格文字"/>
    <w:basedOn w:val="1"/>
    <w:qFormat/>
    <w:uiPriority w:val="0"/>
    <w:pPr>
      <w:spacing w:before="25" w:after="25"/>
      <w:jc w:val="left"/>
    </w:pPr>
    <w:rPr>
      <w:bCs/>
      <w:spacing w:val="10"/>
      <w:kern w:val="0"/>
      <w:sz w:val="24"/>
      <w:szCs w:val="20"/>
    </w:rPr>
  </w:style>
  <w:style w:type="paragraph" w:customStyle="1" w:styleId="117">
    <w:name w:val="my正文"/>
    <w:basedOn w:val="1"/>
    <w:qFormat/>
    <w:uiPriority w:val="0"/>
    <w:pPr>
      <w:ind w:firstLine="200"/>
    </w:pPr>
    <w:rPr>
      <w:rFonts w:ascii="仿宋_GB2312" w:hAnsiTheme="minorHAnsi" w:cstheme="minorBidi"/>
      <w:kern w:val="0"/>
      <w:szCs w:val="24"/>
    </w:rPr>
  </w:style>
  <w:style w:type="character" w:customStyle="1" w:styleId="118">
    <w:name w:val="NormalCharacter"/>
    <w:semiHidden/>
    <w:qFormat/>
    <w:uiPriority w:val="0"/>
  </w:style>
  <w:style w:type="paragraph" w:customStyle="1" w:styleId="119">
    <w:name w:val="*正文"/>
    <w:basedOn w:val="1"/>
    <w:qFormat/>
    <w:uiPriority w:val="0"/>
    <w:pPr>
      <w:widowControl/>
      <w:snapToGrid w:val="0"/>
      <w:ind w:firstLine="560"/>
      <w:jc w:val="left"/>
    </w:pPr>
    <w:rPr>
      <w:rFonts w:ascii="仿宋_GB2312"/>
      <w:color w:val="191919"/>
      <w:sz w:val="28"/>
      <w:szCs w:val="28"/>
    </w:rPr>
  </w:style>
  <w:style w:type="paragraph" w:customStyle="1" w:styleId="120">
    <w:name w:val="!正文"/>
    <w:basedOn w:val="1"/>
    <w:qFormat/>
    <w:uiPriority w:val="0"/>
    <w:pPr>
      <w:jc w:val="center"/>
    </w:pPr>
    <w:rPr>
      <w:rFonts w:ascii="宋体" w:eastAsia="宋体"/>
      <w:sz w:val="21"/>
      <w:szCs w:val="28"/>
    </w:rPr>
  </w:style>
  <w:style w:type="paragraph" w:customStyle="1" w:styleId="121">
    <w:name w:val="why箭头"/>
    <w:basedOn w:val="122"/>
    <w:qFormat/>
    <w:uiPriority w:val="0"/>
    <w:pPr>
      <w:numPr>
        <w:ilvl w:val="0"/>
        <w:numId w:val="1"/>
      </w:numPr>
      <w:ind w:firstLineChars="0"/>
    </w:pPr>
  </w:style>
  <w:style w:type="paragraph" w:customStyle="1" w:styleId="122">
    <w:name w:val="why正文不缩进"/>
    <w:basedOn w:val="1"/>
    <w:qFormat/>
    <w:uiPriority w:val="0"/>
  </w:style>
  <w:style w:type="paragraph" w:customStyle="1" w:styleId="123">
    <w:name w:val="why正文缩进"/>
    <w:basedOn w:val="124"/>
    <w:qFormat/>
    <w:uiPriority w:val="0"/>
    <w:rPr>
      <w:rFonts w:eastAsia="等线"/>
    </w:rPr>
  </w:style>
  <w:style w:type="paragraph" w:customStyle="1" w:styleId="124">
    <w:name w:val="正文小四宋体1.25行距"/>
    <w:basedOn w:val="1"/>
    <w:qFormat/>
    <w:uiPriority w:val="0"/>
  </w:style>
  <w:style w:type="paragraph" w:customStyle="1" w:styleId="125">
    <w:name w:val="Body Text Indent 21"/>
    <w:qFormat/>
    <w:uiPriority w:val="0"/>
    <w:pPr>
      <w:widowControl w:val="0"/>
      <w:spacing w:after="160" w:line="590" w:lineRule="exact"/>
      <w:ind w:firstLine="200" w:firstLineChars="200"/>
      <w:jc w:val="both"/>
    </w:pPr>
    <w:rPr>
      <w:rFonts w:ascii="Times New Roman" w:hAnsi="Times New Roman" w:eastAsia="方正仿宋_GBK" w:cs="黑体"/>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198</Pages>
  <Words>5557</Words>
  <Characters>6069</Characters>
  <Lines>304</Lines>
  <Paragraphs>85</Paragraphs>
  <TotalTime>21</TotalTime>
  <ScaleCrop>false</ScaleCrop>
  <LinksUpToDate>false</LinksUpToDate>
  <CharactersWithSpaces>6146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傻傻一辈子</cp:lastModifiedBy>
  <cp:lastPrinted>2025-02-26T06:35:00Z</cp:lastPrinted>
  <dcterms:modified xsi:type="dcterms:W3CDTF">2025-04-18T02:43:56Z</dcterms:modified>
  <cp:revision>509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BCE745DB96114FF486B781497106F490_13</vt:lpwstr>
  </property>
  <property fmtid="{D5CDD505-2E9C-101B-9397-08002B2CF9AE}" pid="4" name="KSOTemplateDocerSaveRecord">
    <vt:lpwstr>eyJoZGlkIjoiZDQ0ZTM1OThkNDRiNzM2OWNjMmFkYWEzNjc1MWViMTgiLCJ1c2VySWQiOiIzODU2Mzk2OTQifQ==</vt:lpwstr>
  </property>
</Properties>
</file>