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CF3D3">
      <w:pPr>
        <w:tabs>
          <w:tab w:val="left" w:pos="315"/>
          <w:tab w:val="left" w:pos="8820"/>
        </w:tabs>
        <w:spacing w:before="240" w:beforeLines="100" w:after="120" w:afterLines="50" w:line="500" w:lineRule="exact"/>
        <w:ind w:right="254" w:rightChars="127"/>
        <w:jc w:val="center"/>
        <w:rPr>
          <w:b/>
          <w:bCs/>
          <w:color w:val="auto"/>
          <w:sz w:val="52"/>
          <w:szCs w:val="52"/>
          <w:highlight w:val="none"/>
          <w:vertAlign w:val="superscript"/>
        </w:rPr>
      </w:pPr>
    </w:p>
    <w:p w14:paraId="7B8E17A4">
      <w:pPr>
        <w:tabs>
          <w:tab w:val="left" w:pos="315"/>
          <w:tab w:val="left" w:pos="8820"/>
        </w:tabs>
        <w:spacing w:before="240" w:beforeLines="100" w:after="120" w:afterLines="50" w:line="500" w:lineRule="exact"/>
        <w:ind w:right="254" w:rightChars="127"/>
        <w:jc w:val="center"/>
        <w:rPr>
          <w:b/>
          <w:bCs/>
          <w:color w:val="auto"/>
          <w:sz w:val="52"/>
          <w:szCs w:val="52"/>
          <w:highlight w:val="none"/>
        </w:rPr>
      </w:pPr>
    </w:p>
    <w:p w14:paraId="7E07E688">
      <w:pPr>
        <w:tabs>
          <w:tab w:val="left" w:pos="315"/>
          <w:tab w:val="left" w:pos="8820"/>
        </w:tabs>
        <w:spacing w:before="240" w:beforeLines="100" w:after="120" w:afterLines="50" w:line="500" w:lineRule="exact"/>
        <w:ind w:right="254" w:rightChars="127"/>
        <w:jc w:val="center"/>
        <w:rPr>
          <w:rFonts w:hint="eastAsia" w:eastAsia="宋体"/>
          <w:b/>
          <w:bCs/>
          <w:color w:val="auto"/>
          <w:sz w:val="52"/>
          <w:szCs w:val="52"/>
          <w:highlight w:val="none"/>
          <w:lang w:eastAsia="zh-CN"/>
        </w:rPr>
      </w:pPr>
      <w:bookmarkStart w:id="0" w:name="_Hlk9544796"/>
      <w:r>
        <w:rPr>
          <w:rFonts w:hint="eastAsia"/>
          <w:b/>
          <w:bCs/>
          <w:color w:val="auto"/>
          <w:sz w:val="52"/>
          <w:szCs w:val="52"/>
          <w:highlight w:val="none"/>
          <w:lang w:val="en-US" w:eastAsia="zh-CN"/>
        </w:rPr>
        <w:t>安徽省</w:t>
      </w:r>
      <w:r>
        <w:rPr>
          <w:rFonts w:hint="eastAsia"/>
          <w:b/>
          <w:bCs/>
          <w:color w:val="auto"/>
          <w:sz w:val="52"/>
          <w:szCs w:val="52"/>
          <w:highlight w:val="none"/>
        </w:rPr>
        <w:t>政府采购</w:t>
      </w:r>
      <w:r>
        <w:rPr>
          <w:rFonts w:hint="eastAsia"/>
          <w:b/>
          <w:bCs/>
          <w:color w:val="auto"/>
          <w:sz w:val="52"/>
          <w:szCs w:val="52"/>
          <w:highlight w:val="none"/>
          <w:lang w:eastAsia="zh-CN"/>
        </w:rPr>
        <w:t>项目</w:t>
      </w:r>
    </w:p>
    <w:p w14:paraId="2796FAAF">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竞争性磋商文件示范文本（工程类）</w:t>
      </w:r>
    </w:p>
    <w:p w14:paraId="0B02055E">
      <w:pPr>
        <w:tabs>
          <w:tab w:val="left" w:pos="315"/>
          <w:tab w:val="left" w:pos="8820"/>
        </w:tabs>
        <w:spacing w:before="240" w:beforeLines="100" w:after="120" w:afterLines="50" w:line="500" w:lineRule="exact"/>
        <w:ind w:right="254" w:rightChars="127"/>
        <w:jc w:val="center"/>
        <w:rPr>
          <w:b/>
          <w:bCs/>
          <w:color w:val="auto"/>
          <w:sz w:val="52"/>
          <w:szCs w:val="52"/>
          <w:highlight w:val="none"/>
        </w:rPr>
      </w:pPr>
      <w:r>
        <w:rPr>
          <w:rFonts w:hint="eastAsia"/>
          <w:b/>
          <w:bCs/>
          <w:color w:val="auto"/>
          <w:sz w:val="52"/>
          <w:szCs w:val="52"/>
          <w:highlight w:val="none"/>
        </w:rPr>
        <w:t>（</w:t>
      </w:r>
      <w:r>
        <w:rPr>
          <w:rFonts w:hint="eastAsia"/>
          <w:b/>
          <w:bCs/>
          <w:color w:val="auto"/>
          <w:sz w:val="52"/>
          <w:szCs w:val="52"/>
          <w:highlight w:val="none"/>
          <w:lang w:val="en-US" w:eastAsia="zh-CN"/>
        </w:rPr>
        <w:t>2024版本</w:t>
      </w:r>
      <w:r>
        <w:rPr>
          <w:rFonts w:hint="eastAsia"/>
          <w:b/>
          <w:bCs/>
          <w:color w:val="auto"/>
          <w:sz w:val="52"/>
          <w:szCs w:val="52"/>
          <w:highlight w:val="none"/>
        </w:rPr>
        <w:t>）</w:t>
      </w:r>
    </w:p>
    <w:bookmarkEnd w:id="0"/>
    <w:p w14:paraId="269B9641">
      <w:pPr>
        <w:tabs>
          <w:tab w:val="left" w:pos="315"/>
          <w:tab w:val="left" w:pos="8820"/>
        </w:tabs>
        <w:spacing w:before="240" w:beforeLines="100" w:after="120" w:afterLines="50" w:line="500" w:lineRule="exact"/>
        <w:ind w:right="254" w:rightChars="127"/>
        <w:jc w:val="center"/>
        <w:rPr>
          <w:bCs/>
          <w:color w:val="auto"/>
          <w:sz w:val="44"/>
          <w:szCs w:val="44"/>
          <w:highlight w:val="none"/>
        </w:rPr>
      </w:pPr>
    </w:p>
    <w:p w14:paraId="6CDA9BA8">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444CD422">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2C5BD310">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2BDAE47D">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242C1A85">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0A322DF3">
      <w:pPr>
        <w:tabs>
          <w:tab w:val="left" w:pos="2410"/>
        </w:tabs>
        <w:autoSpaceDE w:val="0"/>
        <w:autoSpaceDN w:val="0"/>
        <w:adjustRightInd w:val="0"/>
        <w:snapToGrid w:val="0"/>
        <w:spacing w:line="360" w:lineRule="auto"/>
        <w:ind w:right="-120" w:rightChars="-60"/>
        <w:jc w:val="left"/>
        <w:rPr>
          <w:rFonts w:hint="default" w:ascii="宋体" w:hAnsi="宋体" w:eastAsia="宋体"/>
          <w:b/>
          <w:color w:val="auto"/>
          <w:spacing w:val="20"/>
          <w:sz w:val="32"/>
          <w:szCs w:val="32"/>
          <w:highlight w:val="none"/>
          <w:u w:val="single"/>
          <w:lang w:val="en-US" w:eastAsia="zh-CN"/>
        </w:rPr>
      </w:pPr>
      <w:r>
        <w:rPr>
          <w:rFonts w:hint="eastAsia"/>
          <w:b/>
          <w:color w:val="auto"/>
          <w:spacing w:val="20"/>
          <w:sz w:val="32"/>
          <w:szCs w:val="32"/>
          <w:highlight w:val="none"/>
        </w:rPr>
        <w:t>项目名称：</w:t>
      </w:r>
      <w:r>
        <w:rPr>
          <w:rFonts w:hint="eastAsia" w:ascii="宋体" w:hAnsi="宋体" w:eastAsia="宋体"/>
          <w:b/>
          <w:color w:val="auto"/>
          <w:spacing w:val="20"/>
          <w:sz w:val="32"/>
          <w:szCs w:val="32"/>
          <w:highlight w:val="none"/>
          <w:u w:val="single"/>
          <w:lang w:val="en-US" w:eastAsia="zh-CN"/>
        </w:rPr>
        <w:t>滁州学院2025年校园部分楼宇屋面防水工程</w:t>
      </w:r>
    </w:p>
    <w:p w14:paraId="298CD9EC">
      <w:pPr>
        <w:tabs>
          <w:tab w:val="left" w:pos="2410"/>
        </w:tabs>
        <w:autoSpaceDE w:val="0"/>
        <w:autoSpaceDN w:val="0"/>
        <w:adjustRightInd w:val="0"/>
        <w:snapToGrid w:val="0"/>
        <w:spacing w:line="360" w:lineRule="auto"/>
        <w:rPr>
          <w:rFonts w:hint="default"/>
          <w:b/>
          <w:color w:val="auto"/>
          <w:spacing w:val="20"/>
          <w:sz w:val="32"/>
          <w:szCs w:val="32"/>
          <w:highlight w:val="none"/>
          <w:lang w:val="en-US"/>
        </w:rPr>
      </w:pPr>
      <w:r>
        <w:rPr>
          <w:rFonts w:hint="eastAsia"/>
          <w:b/>
          <w:color w:val="auto"/>
          <w:spacing w:val="20"/>
          <w:sz w:val="32"/>
          <w:szCs w:val="32"/>
          <w:highlight w:val="none"/>
        </w:rPr>
        <w:t>项目编号：</w:t>
      </w:r>
      <w:r>
        <w:rPr>
          <w:rFonts w:hint="eastAsia"/>
          <w:b/>
          <w:color w:val="auto"/>
          <w:spacing w:val="20"/>
          <w:sz w:val="32"/>
          <w:szCs w:val="32"/>
          <w:highlight w:val="none"/>
          <w:u w:val="single"/>
          <w:lang w:val="en-US" w:eastAsia="zh-CN"/>
        </w:rPr>
        <w:t xml:space="preserve">czsjcg202504-010 </w:t>
      </w:r>
    </w:p>
    <w:p w14:paraId="5123CE71">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 购 人：</w:t>
      </w:r>
      <w:r>
        <w:rPr>
          <w:rFonts w:hint="eastAsia"/>
          <w:b/>
          <w:color w:val="auto"/>
          <w:spacing w:val="20"/>
          <w:sz w:val="32"/>
          <w:szCs w:val="32"/>
          <w:highlight w:val="none"/>
          <w:u w:val="single"/>
          <w:lang w:val="en-US" w:eastAsia="zh-CN"/>
        </w:rPr>
        <w:t>滁州学院</w:t>
      </w:r>
    </w:p>
    <w:p w14:paraId="1DCC2D11">
      <w:pPr>
        <w:tabs>
          <w:tab w:val="left" w:pos="2410"/>
        </w:tabs>
        <w:autoSpaceDE w:val="0"/>
        <w:autoSpaceDN w:val="0"/>
        <w:adjustRightInd w:val="0"/>
        <w:snapToGrid w:val="0"/>
        <w:spacing w:line="360" w:lineRule="auto"/>
        <w:rPr>
          <w:b/>
          <w:color w:val="auto"/>
          <w:spacing w:val="20"/>
          <w:sz w:val="32"/>
          <w:szCs w:val="32"/>
          <w:highlight w:val="none"/>
        </w:rPr>
      </w:pPr>
      <w:r>
        <w:rPr>
          <w:rFonts w:hint="eastAsia"/>
          <w:b/>
          <w:color w:val="auto"/>
          <w:spacing w:val="20"/>
          <w:sz w:val="32"/>
          <w:szCs w:val="32"/>
          <w:highlight w:val="none"/>
        </w:rPr>
        <w:t>采购代理机构：</w:t>
      </w:r>
      <w:r>
        <w:rPr>
          <w:rFonts w:hint="eastAsia" w:ascii="宋体" w:hAnsi="宋体" w:cs="宋体"/>
          <w:b/>
          <w:color w:val="auto"/>
          <w:sz w:val="32"/>
          <w:szCs w:val="32"/>
          <w:highlight w:val="none"/>
          <w:u w:val="single"/>
        </w:rPr>
        <w:t>滁州市城投工程咨询管理有限公司</w:t>
      </w:r>
    </w:p>
    <w:p w14:paraId="1118AEE4">
      <w:pPr>
        <w:tabs>
          <w:tab w:val="left" w:pos="315"/>
          <w:tab w:val="left" w:pos="8820"/>
        </w:tabs>
        <w:spacing w:before="240" w:beforeLines="100" w:after="120" w:afterLines="50" w:line="500" w:lineRule="exact"/>
        <w:ind w:right="254" w:rightChars="127"/>
        <w:jc w:val="center"/>
        <w:rPr>
          <w:b/>
          <w:bCs/>
          <w:color w:val="auto"/>
          <w:sz w:val="44"/>
          <w:szCs w:val="44"/>
          <w:highlight w:val="none"/>
        </w:rPr>
      </w:pPr>
    </w:p>
    <w:p w14:paraId="6116E0F7">
      <w:pPr>
        <w:tabs>
          <w:tab w:val="left" w:pos="2410"/>
        </w:tabs>
        <w:autoSpaceDE w:val="0"/>
        <w:autoSpaceDN w:val="0"/>
        <w:adjustRightInd w:val="0"/>
        <w:snapToGrid w:val="0"/>
        <w:spacing w:line="360" w:lineRule="auto"/>
        <w:jc w:val="center"/>
        <w:rPr>
          <w:b/>
          <w:color w:val="auto"/>
          <w:sz w:val="36"/>
          <w:highlight w:val="none"/>
        </w:rPr>
      </w:pPr>
    </w:p>
    <w:p w14:paraId="7F963610">
      <w:pPr>
        <w:tabs>
          <w:tab w:val="left" w:pos="2410"/>
        </w:tabs>
        <w:autoSpaceDE w:val="0"/>
        <w:autoSpaceDN w:val="0"/>
        <w:adjustRightInd w:val="0"/>
        <w:snapToGrid w:val="0"/>
        <w:spacing w:line="360" w:lineRule="auto"/>
        <w:jc w:val="center"/>
        <w:rPr>
          <w:b/>
          <w:color w:val="auto"/>
          <w:sz w:val="36"/>
          <w:highlight w:val="none"/>
        </w:rPr>
      </w:pPr>
      <w:r>
        <w:rPr>
          <w:rFonts w:hint="eastAsia"/>
          <w:b/>
          <w:color w:val="auto"/>
          <w:sz w:val="36"/>
          <w:highlight w:val="none"/>
          <w:u w:val="single"/>
        </w:rPr>
        <w:t xml:space="preserve"> </w:t>
      </w:r>
      <w:r>
        <w:rPr>
          <w:rFonts w:hint="eastAsia"/>
          <w:b/>
          <w:color w:val="auto"/>
          <w:sz w:val="36"/>
          <w:highlight w:val="none"/>
          <w:u w:val="single"/>
          <w:lang w:val="en-US" w:eastAsia="zh-CN"/>
        </w:rPr>
        <w:t>2025</w:t>
      </w:r>
      <w:r>
        <w:rPr>
          <w:rFonts w:hint="eastAsia"/>
          <w:b/>
          <w:color w:val="auto"/>
          <w:sz w:val="36"/>
          <w:highlight w:val="none"/>
          <w:u w:val="single"/>
        </w:rPr>
        <w:t xml:space="preserve"> </w:t>
      </w:r>
      <w:r>
        <w:rPr>
          <w:rFonts w:hint="eastAsia"/>
          <w:b/>
          <w:color w:val="auto"/>
          <w:sz w:val="36"/>
          <w:highlight w:val="none"/>
        </w:rPr>
        <w:t>年</w:t>
      </w:r>
      <w:r>
        <w:rPr>
          <w:rFonts w:hint="eastAsia"/>
          <w:b/>
          <w:color w:val="auto"/>
          <w:sz w:val="36"/>
          <w:highlight w:val="none"/>
          <w:u w:val="single"/>
        </w:rPr>
        <w:t xml:space="preserve"> </w:t>
      </w:r>
      <w:r>
        <w:rPr>
          <w:rFonts w:hint="eastAsia"/>
          <w:b/>
          <w:color w:val="auto"/>
          <w:sz w:val="36"/>
          <w:highlight w:val="none"/>
          <w:u w:val="single"/>
          <w:lang w:val="en-US" w:eastAsia="zh-CN"/>
        </w:rPr>
        <w:t xml:space="preserve">4 </w:t>
      </w:r>
      <w:r>
        <w:rPr>
          <w:rFonts w:hint="eastAsia"/>
          <w:b/>
          <w:color w:val="auto"/>
          <w:sz w:val="36"/>
          <w:highlight w:val="none"/>
        </w:rPr>
        <w:t>月</w:t>
      </w:r>
      <w:r>
        <w:rPr>
          <w:b/>
          <w:color w:val="auto"/>
          <w:sz w:val="36"/>
          <w:highlight w:val="none"/>
        </w:rPr>
        <w:br w:type="page"/>
      </w:r>
    </w:p>
    <w:p w14:paraId="6B93B080">
      <w:pPr>
        <w:tabs>
          <w:tab w:val="left" w:pos="2410"/>
        </w:tabs>
        <w:autoSpaceDE w:val="0"/>
        <w:autoSpaceDN w:val="0"/>
        <w:adjustRightInd w:val="0"/>
        <w:snapToGrid w:val="0"/>
        <w:spacing w:line="360" w:lineRule="auto"/>
        <w:jc w:val="center"/>
        <w:rPr>
          <w:rFonts w:hint="eastAsia"/>
          <w:b/>
          <w:color w:val="auto"/>
          <w:sz w:val="28"/>
          <w:highlight w:val="none"/>
        </w:rPr>
        <w:sectPr>
          <w:headerReference r:id="rId3" w:type="default"/>
          <w:footerReference r:id="rId4" w:type="default"/>
          <w:pgSz w:w="11907" w:h="16840"/>
          <w:pgMar w:top="1474" w:right="1493" w:bottom="1474" w:left="1814" w:header="851" w:footer="992" w:gutter="0"/>
          <w:cols w:space="720" w:num="1"/>
          <w:docGrid w:linePitch="462" w:charSpace="0"/>
        </w:sectPr>
      </w:pPr>
    </w:p>
    <w:p w14:paraId="6C1489DE">
      <w:pPr>
        <w:tabs>
          <w:tab w:val="left" w:pos="2410"/>
        </w:tabs>
        <w:autoSpaceDE w:val="0"/>
        <w:autoSpaceDN w:val="0"/>
        <w:adjustRightInd w:val="0"/>
        <w:snapToGrid w:val="0"/>
        <w:spacing w:line="360" w:lineRule="auto"/>
        <w:jc w:val="center"/>
        <w:rPr>
          <w:b/>
          <w:color w:val="auto"/>
          <w:sz w:val="28"/>
          <w:highlight w:val="none"/>
        </w:rPr>
      </w:pPr>
      <w:r>
        <w:rPr>
          <w:rFonts w:hint="eastAsia"/>
          <w:b/>
          <w:color w:val="auto"/>
          <w:sz w:val="28"/>
          <w:highlight w:val="none"/>
        </w:rPr>
        <w:t>目  录</w:t>
      </w:r>
    </w:p>
    <w:p w14:paraId="17ADC71C">
      <w:pPr>
        <w:tabs>
          <w:tab w:val="left" w:pos="2410"/>
        </w:tabs>
        <w:autoSpaceDE w:val="0"/>
        <w:autoSpaceDN w:val="0"/>
        <w:adjustRightInd w:val="0"/>
        <w:snapToGrid w:val="0"/>
        <w:spacing w:line="360" w:lineRule="auto"/>
        <w:jc w:val="center"/>
        <w:rPr>
          <w:b/>
          <w:color w:val="auto"/>
          <w:sz w:val="28"/>
          <w:highlight w:val="none"/>
        </w:rPr>
      </w:pPr>
    </w:p>
    <w:p w14:paraId="628ACF53">
      <w:pPr>
        <w:pStyle w:val="35"/>
        <w:keepNext w:val="0"/>
        <w:keepLines w:val="0"/>
        <w:pageBreakBefore w:val="0"/>
        <w:widowControl/>
        <w:tabs>
          <w:tab w:val="right" w:leader="dot" w:pos="8279"/>
        </w:tabs>
        <w:kinsoku/>
        <w:wordWrap/>
        <w:overflowPunct/>
        <w:topLinePunct w:val="0"/>
        <w:autoSpaceDE/>
        <w:autoSpaceDN/>
        <w:bidi w:val="0"/>
        <w:adjustRightInd/>
        <w:snapToGrid/>
        <w:spacing w:after="0" w:line="720" w:lineRule="exact"/>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 TOC \o "1-2" \h \z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_Toc11403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第一章  磋商</w:t>
      </w:r>
      <w:r>
        <w:rPr>
          <w:rFonts w:hint="eastAsia" w:ascii="宋体" w:hAnsi="宋体" w:eastAsia="宋体" w:cs="宋体"/>
          <w:color w:val="auto"/>
          <w:sz w:val="21"/>
          <w:szCs w:val="21"/>
          <w:highlight w:val="none"/>
          <w:lang w:val="en-US" w:eastAsia="zh-CN"/>
        </w:rPr>
        <w:t>邀请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fldChar w:fldCharType="end"/>
      </w:r>
    </w:p>
    <w:p w14:paraId="5582670E">
      <w:pPr>
        <w:pStyle w:val="35"/>
        <w:keepNext w:val="0"/>
        <w:keepLines w:val="0"/>
        <w:pageBreakBefore w:val="0"/>
        <w:widowControl/>
        <w:tabs>
          <w:tab w:val="right" w:leader="dot" w:pos="8279"/>
        </w:tabs>
        <w:kinsoku/>
        <w:wordWrap/>
        <w:overflowPunct/>
        <w:topLinePunct w:val="0"/>
        <w:autoSpaceDE/>
        <w:autoSpaceDN/>
        <w:bidi w:val="0"/>
        <w:adjustRightInd/>
        <w:snapToGrid/>
        <w:spacing w:after="0" w:line="7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_Toc28080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第二章  供应商须知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fldChar w:fldCharType="end"/>
      </w:r>
    </w:p>
    <w:p w14:paraId="43B08C09">
      <w:pPr>
        <w:pStyle w:val="35"/>
        <w:keepNext w:val="0"/>
        <w:keepLines w:val="0"/>
        <w:pageBreakBefore w:val="0"/>
        <w:widowControl/>
        <w:tabs>
          <w:tab w:val="right" w:leader="dot" w:pos="8279"/>
        </w:tabs>
        <w:kinsoku/>
        <w:wordWrap/>
        <w:overflowPunct/>
        <w:topLinePunct w:val="0"/>
        <w:autoSpaceDE/>
        <w:autoSpaceDN/>
        <w:bidi w:val="0"/>
        <w:adjustRightInd/>
        <w:snapToGrid/>
        <w:spacing w:after="0" w:line="7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_Toc30873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第三章  采购需求</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4</w:t>
      </w:r>
    </w:p>
    <w:p w14:paraId="1B7BD411">
      <w:pPr>
        <w:pStyle w:val="35"/>
        <w:keepNext w:val="0"/>
        <w:keepLines w:val="0"/>
        <w:pageBreakBefore w:val="0"/>
        <w:widowControl/>
        <w:tabs>
          <w:tab w:val="right" w:leader="dot" w:pos="8279"/>
        </w:tabs>
        <w:kinsoku/>
        <w:wordWrap/>
        <w:overflowPunct/>
        <w:topLinePunct w:val="0"/>
        <w:autoSpaceDE/>
        <w:autoSpaceDN/>
        <w:bidi w:val="0"/>
        <w:adjustRightInd/>
        <w:snapToGrid/>
        <w:spacing w:after="0" w:line="7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_Toc11353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第四章  评审方法和标准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8</w:t>
      </w:r>
    </w:p>
    <w:p w14:paraId="73DC4D0F">
      <w:pPr>
        <w:pStyle w:val="35"/>
        <w:keepNext w:val="0"/>
        <w:keepLines w:val="0"/>
        <w:pageBreakBefore w:val="0"/>
        <w:widowControl/>
        <w:tabs>
          <w:tab w:val="right" w:leader="dot" w:pos="8279"/>
        </w:tabs>
        <w:kinsoku/>
        <w:wordWrap/>
        <w:overflowPunct/>
        <w:topLinePunct w:val="0"/>
        <w:autoSpaceDE/>
        <w:autoSpaceDN/>
        <w:bidi w:val="0"/>
        <w:adjustRightInd/>
        <w:snapToGrid/>
        <w:spacing w:after="0" w:line="7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_Toc31277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第五章  政府采购合同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6</w:t>
      </w:r>
    </w:p>
    <w:p w14:paraId="56C2F938">
      <w:pPr>
        <w:pStyle w:val="35"/>
        <w:keepNext w:val="0"/>
        <w:keepLines w:val="0"/>
        <w:pageBreakBefore w:val="0"/>
        <w:widowControl/>
        <w:tabs>
          <w:tab w:val="right" w:leader="dot" w:pos="8279"/>
        </w:tabs>
        <w:kinsoku/>
        <w:wordWrap/>
        <w:overflowPunct/>
        <w:topLinePunct w:val="0"/>
        <w:autoSpaceDE/>
        <w:autoSpaceDN/>
        <w:bidi w:val="0"/>
        <w:adjustRightInd/>
        <w:snapToGrid/>
        <w:spacing w:after="0" w:line="7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_Toc22734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第六章  响应文件格式</w:t>
      </w:r>
      <w:r>
        <w:rPr>
          <w:rFonts w:hint="eastAsia" w:ascii="宋体" w:hAnsi="宋体" w:eastAsia="宋体" w:cs="宋体"/>
          <w:color w:val="auto"/>
          <w:sz w:val="21"/>
          <w:szCs w:val="21"/>
          <w:highlight w:val="none"/>
        </w:rPr>
        <w:tab/>
      </w:r>
      <w:bookmarkStart w:id="627" w:name="_GoBack"/>
      <w:bookmarkEnd w:id="627"/>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1</w:t>
      </w:r>
    </w:p>
    <w:p w14:paraId="0B77B589">
      <w:pPr>
        <w:pStyle w:val="35"/>
        <w:keepNext w:val="0"/>
        <w:keepLines w:val="0"/>
        <w:pageBreakBefore w:val="0"/>
        <w:widowControl/>
        <w:tabs>
          <w:tab w:val="right" w:leader="dot" w:pos="8279"/>
        </w:tabs>
        <w:kinsoku/>
        <w:wordWrap/>
        <w:overflowPunct/>
        <w:topLinePunct w:val="0"/>
        <w:autoSpaceDE/>
        <w:autoSpaceDN/>
        <w:bidi w:val="0"/>
        <w:adjustRightInd/>
        <w:snapToGrid/>
        <w:spacing w:after="0" w:line="72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_Toc24879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七</w:t>
      </w:r>
      <w:r>
        <w:rPr>
          <w:rFonts w:hint="eastAsia" w:ascii="宋体" w:hAnsi="宋体" w:eastAsia="宋体" w:cs="宋体"/>
          <w:bCs/>
          <w:color w:val="auto"/>
          <w:sz w:val="21"/>
          <w:szCs w:val="21"/>
          <w:highlight w:val="none"/>
        </w:rPr>
        <w:t>章  政府采购</w:t>
      </w:r>
      <w:r>
        <w:rPr>
          <w:rFonts w:hint="eastAsia" w:ascii="宋体" w:hAnsi="宋体" w:eastAsia="宋体" w:cs="宋体"/>
          <w:color w:val="auto"/>
          <w:sz w:val="21"/>
          <w:szCs w:val="21"/>
          <w:highlight w:val="none"/>
        </w:rPr>
        <w:t>供应</w:t>
      </w:r>
      <w:r>
        <w:rPr>
          <w:rFonts w:hint="eastAsia" w:ascii="宋体" w:hAnsi="宋体" w:eastAsia="宋体" w:cs="宋体"/>
          <w:bCs/>
          <w:color w:val="auto"/>
          <w:sz w:val="21"/>
          <w:szCs w:val="21"/>
          <w:highlight w:val="none"/>
        </w:rPr>
        <w:t>商询问函和质疑函范本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7</w:t>
      </w:r>
    </w:p>
    <w:p w14:paraId="70660C1E">
      <w:pPr>
        <w:pStyle w:val="45"/>
        <w:keepNext w:val="0"/>
        <w:keepLines w:val="0"/>
        <w:pageBreakBefore w:val="0"/>
        <w:widowControl/>
        <w:tabs>
          <w:tab w:val="right" w:leader="dot" w:pos="8296"/>
        </w:tabs>
        <w:kinsoku/>
        <w:wordWrap/>
        <w:overflowPunct/>
        <w:topLinePunct w:val="0"/>
        <w:autoSpaceDE/>
        <w:autoSpaceDN/>
        <w:bidi w:val="0"/>
        <w:adjustRightInd/>
        <w:snapToGrid/>
        <w:spacing w:after="0" w:line="720" w:lineRule="exact"/>
        <w:textAlignment w:val="auto"/>
        <w:rPr>
          <w:rFonts w:asciiTheme="minorEastAsia" w:hAnsiTheme="minorEastAsia"/>
          <w:b/>
          <w:color w:val="auto"/>
          <w:szCs w:val="24"/>
          <w:highlight w:val="none"/>
        </w:rPr>
      </w:pPr>
      <w:r>
        <w:rPr>
          <w:rFonts w:hint="eastAsia" w:ascii="宋体" w:hAnsi="宋体" w:eastAsia="宋体" w:cs="宋体"/>
          <w:color w:val="auto"/>
          <w:sz w:val="21"/>
          <w:szCs w:val="21"/>
          <w:highlight w:val="none"/>
        </w:rPr>
        <w:fldChar w:fldCharType="end"/>
      </w:r>
    </w:p>
    <w:p w14:paraId="6A4EC8DE">
      <w:pPr>
        <w:pStyle w:val="5"/>
        <w:rPr>
          <w:color w:val="auto"/>
          <w:highlight w:val="none"/>
        </w:rPr>
        <w:sectPr>
          <w:pgSz w:w="11907" w:h="16840"/>
          <w:pgMar w:top="1474" w:right="1814" w:bottom="1474" w:left="1814" w:header="851" w:footer="992" w:gutter="0"/>
          <w:cols w:space="720" w:num="1"/>
          <w:docGrid w:linePitch="462" w:charSpace="0"/>
        </w:sectPr>
      </w:pPr>
    </w:p>
    <w:p w14:paraId="3BCD518E">
      <w:pPr>
        <w:spacing w:line="360" w:lineRule="auto"/>
        <w:jc w:val="center"/>
        <w:outlineLvl w:val="0"/>
        <w:rPr>
          <w:rFonts w:asciiTheme="minorEastAsia" w:hAnsiTheme="minorEastAsia" w:eastAsiaTheme="minorEastAsia"/>
          <w:b/>
          <w:color w:val="auto"/>
          <w:sz w:val="28"/>
          <w:highlight w:val="none"/>
        </w:rPr>
      </w:pPr>
      <w:bookmarkStart w:id="1" w:name="_Toc11403"/>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1"/>
    </w:p>
    <w:p w14:paraId="1F4E1BBE">
      <w:pPr>
        <w:keepNext/>
        <w:keepLines/>
        <w:wordWrap w:val="0"/>
        <w:ind w:firstLine="560" w:firstLineChars="200"/>
        <w:rPr>
          <w:rFonts w:hint="eastAsia" w:ascii="仿宋" w:hAnsi="仿宋" w:eastAsia="仿宋" w:cs="仿宋"/>
          <w:color w:val="auto"/>
          <w:kern w:val="2"/>
          <w:sz w:val="28"/>
          <w:szCs w:val="28"/>
          <w:highlight w:val="none"/>
          <w:lang w:bidi="ar"/>
        </w:rPr>
      </w:pPr>
      <w:bookmarkStart w:id="2" w:name="_Toc18492"/>
      <w:bookmarkStart w:id="3" w:name="_Toc8770"/>
      <w:r>
        <w:rPr>
          <w:rFonts w:hint="eastAsia" w:ascii="仿宋" w:hAnsi="仿宋" w:eastAsia="仿宋" w:cs="仿宋"/>
          <w:color w:val="auto"/>
          <w:kern w:val="2"/>
          <w:sz w:val="28"/>
          <w:szCs w:val="28"/>
          <w:highlight w:val="none"/>
          <w:lang w:bidi="ar"/>
        </w:rPr>
        <w:t>项目概况</w:t>
      </w:r>
    </w:p>
    <w:p w14:paraId="59F2799A">
      <w:pPr>
        <w:keepNext/>
        <w:keepLines/>
        <w:wordWrap w:val="0"/>
        <w:ind w:firstLine="560" w:firstLineChars="20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u w:val="single"/>
          <w:lang w:val="en-US" w:eastAsia="zh-CN" w:bidi="ar"/>
        </w:rPr>
        <w:t>滁州学院2025年校园部分楼宇屋面防水工程</w:t>
      </w:r>
      <w:r>
        <w:rPr>
          <w:rFonts w:hint="eastAsia" w:ascii="仿宋" w:hAnsi="仿宋" w:eastAsia="仿宋" w:cs="仿宋"/>
          <w:color w:val="auto"/>
          <w:kern w:val="2"/>
          <w:sz w:val="28"/>
          <w:szCs w:val="28"/>
          <w:highlight w:val="none"/>
          <w:lang w:bidi="ar"/>
        </w:rPr>
        <w:t>的潜在</w:t>
      </w:r>
      <w:r>
        <w:rPr>
          <w:rFonts w:hint="eastAsia" w:ascii="仿宋" w:hAnsi="仿宋" w:eastAsia="仿宋" w:cs="仿宋"/>
          <w:color w:val="auto"/>
          <w:kern w:val="2"/>
          <w:sz w:val="28"/>
          <w:szCs w:val="28"/>
          <w:highlight w:val="none"/>
          <w:lang w:eastAsia="zh-CN" w:bidi="ar"/>
        </w:rPr>
        <w:t>供应商</w:t>
      </w:r>
      <w:r>
        <w:rPr>
          <w:rFonts w:hint="eastAsia" w:ascii="仿宋" w:hAnsi="仿宋" w:eastAsia="仿宋" w:cs="仿宋"/>
          <w:color w:val="auto"/>
          <w:kern w:val="2"/>
          <w:sz w:val="28"/>
          <w:szCs w:val="28"/>
          <w:highlight w:val="none"/>
          <w:lang w:bidi="ar"/>
        </w:rPr>
        <w:t>应在</w:t>
      </w:r>
      <w:r>
        <w:rPr>
          <w:rFonts w:hint="eastAsia" w:ascii="仿宋" w:hAnsi="仿宋" w:eastAsia="仿宋" w:cs="仿宋"/>
          <w:color w:val="auto"/>
          <w:kern w:val="2"/>
          <w:sz w:val="28"/>
          <w:szCs w:val="28"/>
          <w:highlight w:val="none"/>
          <w:u w:val="single"/>
          <w:lang w:bidi="ar"/>
        </w:rPr>
        <w:t>滁州市公共资源交易中心网（http：//ggzy.chuzhou.gov.cn/）</w:t>
      </w:r>
      <w:r>
        <w:rPr>
          <w:rFonts w:hint="eastAsia" w:ascii="仿宋" w:hAnsi="仿宋" w:eastAsia="仿宋" w:cs="仿宋"/>
          <w:color w:val="auto"/>
          <w:kern w:val="2"/>
          <w:sz w:val="28"/>
          <w:szCs w:val="28"/>
          <w:highlight w:val="none"/>
          <w:lang w:bidi="ar"/>
        </w:rPr>
        <w:t>获取</w:t>
      </w:r>
      <w:r>
        <w:rPr>
          <w:rFonts w:hint="eastAsia" w:ascii="仿宋" w:hAnsi="仿宋" w:eastAsia="仿宋" w:cs="仿宋"/>
          <w:color w:val="auto"/>
          <w:kern w:val="2"/>
          <w:sz w:val="28"/>
          <w:szCs w:val="28"/>
          <w:highlight w:val="none"/>
          <w:lang w:val="en-US" w:eastAsia="zh-CN" w:bidi="ar"/>
        </w:rPr>
        <w:t>采购</w:t>
      </w:r>
      <w:r>
        <w:rPr>
          <w:rFonts w:hint="eastAsia" w:ascii="仿宋" w:hAnsi="仿宋" w:eastAsia="仿宋" w:cs="仿宋"/>
          <w:color w:val="auto"/>
          <w:kern w:val="2"/>
          <w:sz w:val="28"/>
          <w:szCs w:val="28"/>
          <w:highlight w:val="none"/>
          <w:lang w:bidi="ar"/>
        </w:rPr>
        <w:t>文件，并于</w:t>
      </w:r>
      <w:r>
        <w:rPr>
          <w:rFonts w:hint="eastAsia" w:ascii="仿宋" w:hAnsi="仿宋" w:eastAsia="仿宋" w:cs="仿宋"/>
          <w:color w:val="auto"/>
          <w:kern w:val="2"/>
          <w:sz w:val="28"/>
          <w:szCs w:val="28"/>
          <w:highlight w:val="none"/>
          <w:u w:val="single"/>
          <w:lang w:val="en-US" w:eastAsia="zh-CN" w:bidi="ar"/>
        </w:rPr>
        <w:t>2025</w:t>
      </w:r>
      <w:r>
        <w:rPr>
          <w:rFonts w:hint="eastAsia" w:ascii="仿宋" w:hAnsi="仿宋" w:eastAsia="仿宋" w:cs="仿宋"/>
          <w:color w:val="auto"/>
          <w:kern w:val="2"/>
          <w:sz w:val="28"/>
          <w:szCs w:val="28"/>
          <w:highlight w:val="none"/>
          <w:u w:val="single"/>
          <w:lang w:bidi="ar"/>
        </w:rPr>
        <w:t>年</w:t>
      </w:r>
      <w:r>
        <w:rPr>
          <w:rFonts w:hint="eastAsia" w:ascii="仿宋" w:hAnsi="仿宋" w:eastAsia="仿宋" w:cs="仿宋"/>
          <w:color w:val="auto"/>
          <w:kern w:val="2"/>
          <w:sz w:val="28"/>
          <w:szCs w:val="28"/>
          <w:highlight w:val="none"/>
          <w:u w:val="single"/>
          <w:lang w:val="en-US" w:eastAsia="zh-CN" w:bidi="ar"/>
        </w:rPr>
        <w:t>4</w:t>
      </w:r>
      <w:r>
        <w:rPr>
          <w:rFonts w:hint="eastAsia" w:ascii="仿宋" w:hAnsi="仿宋" w:eastAsia="仿宋" w:cs="仿宋"/>
          <w:color w:val="auto"/>
          <w:kern w:val="2"/>
          <w:sz w:val="28"/>
          <w:szCs w:val="28"/>
          <w:highlight w:val="none"/>
          <w:u w:val="single"/>
          <w:lang w:bidi="ar"/>
        </w:rPr>
        <w:t>月</w:t>
      </w:r>
      <w:r>
        <w:rPr>
          <w:rFonts w:hint="eastAsia" w:ascii="仿宋" w:hAnsi="仿宋" w:eastAsia="仿宋" w:cs="仿宋"/>
          <w:color w:val="auto"/>
          <w:kern w:val="2"/>
          <w:sz w:val="28"/>
          <w:szCs w:val="28"/>
          <w:highlight w:val="none"/>
          <w:u w:val="single"/>
          <w:lang w:val="en-US" w:eastAsia="zh-CN" w:bidi="ar"/>
        </w:rPr>
        <w:t>22</w:t>
      </w:r>
      <w:r>
        <w:rPr>
          <w:rFonts w:hint="eastAsia" w:ascii="仿宋" w:hAnsi="仿宋" w:eastAsia="仿宋" w:cs="仿宋"/>
          <w:color w:val="auto"/>
          <w:kern w:val="2"/>
          <w:sz w:val="28"/>
          <w:szCs w:val="28"/>
          <w:highlight w:val="none"/>
          <w:u w:val="single"/>
          <w:lang w:bidi="ar"/>
        </w:rPr>
        <w:t>日</w:t>
      </w:r>
      <w:r>
        <w:rPr>
          <w:rFonts w:hint="eastAsia" w:ascii="仿宋" w:hAnsi="仿宋" w:eastAsia="仿宋" w:cs="仿宋"/>
          <w:color w:val="auto"/>
          <w:kern w:val="2"/>
          <w:sz w:val="28"/>
          <w:szCs w:val="28"/>
          <w:highlight w:val="none"/>
          <w:u w:val="single"/>
          <w:lang w:val="en-US" w:eastAsia="zh-CN" w:bidi="ar"/>
        </w:rPr>
        <w:t>08</w:t>
      </w:r>
      <w:r>
        <w:rPr>
          <w:rFonts w:hint="eastAsia" w:ascii="仿宋" w:hAnsi="仿宋" w:eastAsia="仿宋" w:cs="仿宋"/>
          <w:color w:val="auto"/>
          <w:kern w:val="2"/>
          <w:sz w:val="28"/>
          <w:szCs w:val="28"/>
          <w:highlight w:val="none"/>
          <w:u w:val="single"/>
          <w:lang w:bidi="ar"/>
        </w:rPr>
        <w:t>点</w:t>
      </w:r>
      <w:r>
        <w:rPr>
          <w:rFonts w:hint="eastAsia" w:ascii="仿宋" w:hAnsi="仿宋" w:eastAsia="仿宋" w:cs="仿宋"/>
          <w:color w:val="auto"/>
          <w:kern w:val="2"/>
          <w:sz w:val="28"/>
          <w:szCs w:val="28"/>
          <w:highlight w:val="none"/>
          <w:u w:val="single"/>
          <w:lang w:val="en-US" w:eastAsia="zh-CN" w:bidi="ar"/>
        </w:rPr>
        <w:t>00</w:t>
      </w:r>
      <w:r>
        <w:rPr>
          <w:rFonts w:hint="eastAsia" w:ascii="仿宋" w:hAnsi="仿宋" w:eastAsia="仿宋" w:cs="仿宋"/>
          <w:color w:val="auto"/>
          <w:kern w:val="2"/>
          <w:sz w:val="28"/>
          <w:szCs w:val="28"/>
          <w:highlight w:val="none"/>
          <w:u w:val="single"/>
          <w:lang w:bidi="ar"/>
        </w:rPr>
        <w:t>分</w:t>
      </w:r>
      <w:r>
        <w:rPr>
          <w:rFonts w:hint="eastAsia" w:ascii="仿宋" w:hAnsi="仿宋" w:eastAsia="仿宋" w:cs="仿宋"/>
          <w:color w:val="auto"/>
          <w:kern w:val="2"/>
          <w:sz w:val="28"/>
          <w:szCs w:val="28"/>
          <w:highlight w:val="none"/>
          <w:lang w:bidi="ar"/>
        </w:rPr>
        <w:t>（北京时间）前递交</w:t>
      </w:r>
      <w:r>
        <w:rPr>
          <w:rFonts w:hint="eastAsia" w:ascii="仿宋" w:hAnsi="仿宋" w:eastAsia="仿宋" w:cs="仿宋"/>
          <w:color w:val="auto"/>
          <w:kern w:val="2"/>
          <w:sz w:val="28"/>
          <w:szCs w:val="28"/>
          <w:highlight w:val="none"/>
          <w:lang w:eastAsia="zh-CN" w:bidi="ar"/>
        </w:rPr>
        <w:t>响应</w:t>
      </w:r>
      <w:r>
        <w:rPr>
          <w:rFonts w:hint="eastAsia" w:ascii="仿宋" w:hAnsi="仿宋" w:eastAsia="仿宋" w:cs="仿宋"/>
          <w:color w:val="auto"/>
          <w:kern w:val="2"/>
          <w:sz w:val="28"/>
          <w:szCs w:val="28"/>
          <w:highlight w:val="none"/>
          <w:lang w:bidi="ar"/>
        </w:rPr>
        <w:t>文件。</w:t>
      </w:r>
    </w:p>
    <w:p w14:paraId="30F14919">
      <w:pPr>
        <w:keepNext/>
        <w:keepLines/>
        <w:spacing w:before="260" w:after="260"/>
        <w:rPr>
          <w:rFonts w:hint="eastAsia" w:ascii="黑体" w:hAnsi="宋体" w:eastAsia="黑体" w:cs="黑体"/>
          <w:color w:val="auto"/>
          <w:kern w:val="2"/>
          <w:sz w:val="28"/>
          <w:szCs w:val="28"/>
          <w:highlight w:val="none"/>
          <w:lang w:val="en-US" w:eastAsia="zh-CN" w:bidi="ar"/>
        </w:rPr>
      </w:pPr>
      <w:r>
        <w:rPr>
          <w:rFonts w:hint="eastAsia" w:ascii="黑体" w:hAnsi="宋体" w:eastAsia="黑体" w:cs="黑体"/>
          <w:color w:val="auto"/>
          <w:kern w:val="2"/>
          <w:sz w:val="28"/>
          <w:szCs w:val="28"/>
          <w:highlight w:val="none"/>
          <w:lang w:val="en-US" w:eastAsia="zh-CN" w:bidi="ar"/>
        </w:rPr>
        <w:t>一、项目基本情况</w:t>
      </w:r>
    </w:p>
    <w:p w14:paraId="6808C3AD">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项目编号：czsjcg2025</w:t>
      </w:r>
      <w:r>
        <w:rPr>
          <w:rFonts w:hint="eastAsia"/>
          <w:color w:val="auto"/>
          <w:sz w:val="24"/>
          <w:szCs w:val="24"/>
          <w:highlight w:val="none"/>
          <w:lang w:val="en-US" w:eastAsia="zh-CN"/>
        </w:rPr>
        <w:t>04-010</w:t>
      </w:r>
      <w:r>
        <w:rPr>
          <w:rFonts w:hint="eastAsia" w:ascii="宋体" w:hAnsi="宋体" w:eastAsia="宋体"/>
          <w:color w:val="auto"/>
          <w:sz w:val="24"/>
          <w:szCs w:val="24"/>
          <w:highlight w:val="none"/>
          <w:lang w:val="en-US" w:eastAsia="zh-CN"/>
        </w:rPr>
        <w:t xml:space="preserve"> </w:t>
      </w:r>
    </w:p>
    <w:p w14:paraId="24C6BF15">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项目名称：滁州学院2025年校园部分楼宇屋面防水工程</w:t>
      </w:r>
    </w:p>
    <w:p w14:paraId="27A44434">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采购方式：竞争性磋商</w:t>
      </w:r>
    </w:p>
    <w:p w14:paraId="01D59E18">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预算金额：1980000元</w:t>
      </w:r>
    </w:p>
    <w:p w14:paraId="39DB6F66">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最高限价：本项目最高限价为1979329.51元。高于最高限价的，其响应文件按无效响应处理。</w:t>
      </w:r>
    </w:p>
    <w:p w14:paraId="1E3DF08A">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采购需求：部分楼宇屋面防水维修工程</w:t>
      </w:r>
    </w:p>
    <w:p w14:paraId="06FD5B58">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合同履行期限：60个日历天</w:t>
      </w:r>
    </w:p>
    <w:p w14:paraId="4D3C413E">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本项目不接受联合体。</w:t>
      </w:r>
    </w:p>
    <w:p w14:paraId="0C4D30A8">
      <w:pPr>
        <w:keepNext/>
        <w:keepLines/>
        <w:spacing w:before="260" w:after="260"/>
        <w:rPr>
          <w:rFonts w:hint="eastAsia" w:ascii="黑体" w:hAnsi="宋体" w:eastAsia="黑体" w:cs="黑体"/>
          <w:color w:val="auto"/>
          <w:kern w:val="2"/>
          <w:sz w:val="28"/>
          <w:szCs w:val="28"/>
          <w:highlight w:val="none"/>
          <w:lang w:val="en-US" w:eastAsia="zh-CN" w:bidi="ar"/>
        </w:rPr>
      </w:pPr>
      <w:bookmarkStart w:id="4" w:name="_Toc35393630"/>
      <w:bookmarkStart w:id="5" w:name="_Toc35393799"/>
      <w:bookmarkStart w:id="6" w:name="_Toc28359013"/>
      <w:bookmarkStart w:id="7" w:name="_Toc28359090"/>
      <w:r>
        <w:rPr>
          <w:rFonts w:hint="eastAsia" w:ascii="黑体" w:hAnsi="宋体" w:eastAsia="黑体" w:cs="黑体"/>
          <w:color w:val="auto"/>
          <w:kern w:val="2"/>
          <w:sz w:val="28"/>
          <w:szCs w:val="28"/>
          <w:highlight w:val="none"/>
          <w:lang w:val="en-US" w:eastAsia="zh-CN" w:bidi="ar"/>
        </w:rPr>
        <w:t>二、申请人的资格要求：</w:t>
      </w:r>
      <w:bookmarkEnd w:id="4"/>
      <w:bookmarkEnd w:id="5"/>
      <w:bookmarkEnd w:id="6"/>
      <w:bookmarkEnd w:id="7"/>
    </w:p>
    <w:p w14:paraId="2129AD79">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1.满足《中华人民共和国政府采购法》第二十二条规定；</w:t>
      </w:r>
    </w:p>
    <w:p w14:paraId="0CBA2FBA">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eastAsia="zh-CN"/>
        </w:rPr>
      </w:pPr>
      <w:bookmarkStart w:id="8" w:name="_Toc28359014"/>
      <w:bookmarkStart w:id="9" w:name="_Toc28359091"/>
      <w:r>
        <w:rPr>
          <w:rFonts w:hint="eastAsia" w:ascii="宋体" w:hAnsi="宋体" w:eastAsia="宋体"/>
          <w:color w:val="auto"/>
          <w:sz w:val="24"/>
          <w:szCs w:val="24"/>
          <w:highlight w:val="none"/>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w:t>
      </w:r>
      <w:r>
        <w:rPr>
          <w:rFonts w:hint="eastAsia" w:ascii="宋体" w:hAnsi="宋体" w:eastAsia="宋体"/>
          <w:color w:val="auto"/>
          <w:sz w:val="24"/>
          <w:szCs w:val="24"/>
          <w:highlight w:val="none"/>
          <w:lang w:eastAsia="zh-CN"/>
        </w:rPr>
        <w:t>。</w:t>
      </w:r>
    </w:p>
    <w:p w14:paraId="3B609AD3">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3.本项目的特定资格要求：</w:t>
      </w:r>
      <w:bookmarkStart w:id="10" w:name="_Toc35393631"/>
      <w:bookmarkStart w:id="11" w:name="_Toc35393800"/>
    </w:p>
    <w:p w14:paraId="1526ABBB">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①</w:t>
      </w:r>
      <w:r>
        <w:rPr>
          <w:rFonts w:hint="eastAsia" w:ascii="宋体" w:hAnsi="宋体" w:eastAsia="宋体"/>
          <w:color w:val="auto"/>
          <w:sz w:val="24"/>
          <w:szCs w:val="24"/>
          <w:highlight w:val="none"/>
          <w:lang w:val="en-US" w:eastAsia="zh-CN"/>
        </w:rPr>
        <w:t>防水防腐保温工程专业承包二级（或以上）资质且同时具有有效的安全生产许可证</w:t>
      </w:r>
      <w:r>
        <w:rPr>
          <w:rFonts w:hint="eastAsia" w:ascii="宋体" w:hAnsi="宋体" w:eastAsia="宋体"/>
          <w:color w:val="auto"/>
          <w:sz w:val="24"/>
          <w:szCs w:val="24"/>
          <w:highlight w:val="none"/>
          <w:lang w:eastAsia="zh-CN"/>
        </w:rPr>
        <w:t>；</w:t>
      </w:r>
    </w:p>
    <w:p w14:paraId="46E9E68A">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②</w:t>
      </w:r>
      <w:r>
        <w:rPr>
          <w:rFonts w:hint="eastAsia" w:ascii="宋体" w:hAnsi="宋体" w:eastAsia="宋体"/>
          <w:color w:val="auto"/>
          <w:sz w:val="24"/>
          <w:szCs w:val="24"/>
          <w:highlight w:val="none"/>
          <w:lang w:val="en-US" w:eastAsia="zh-CN"/>
        </w:rPr>
        <w:t>项目经理须具备注册在供应商的建筑工程专业二级（或以上）注册建造师证书且同时具有安全生产考核合格证书（B证）</w:t>
      </w:r>
      <w:r>
        <w:rPr>
          <w:rFonts w:hint="eastAsia" w:ascii="宋体" w:hAnsi="宋体" w:eastAsia="宋体"/>
          <w:color w:val="auto"/>
          <w:sz w:val="24"/>
          <w:szCs w:val="24"/>
          <w:highlight w:val="none"/>
          <w:lang w:eastAsia="zh-CN"/>
        </w:rPr>
        <w:t>；</w:t>
      </w:r>
    </w:p>
    <w:p w14:paraId="27AAE75B">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.信誉要求：</w:t>
      </w:r>
      <w:r>
        <w:rPr>
          <w:rFonts w:hint="eastAsia" w:ascii="宋体" w:hAnsi="宋体" w:eastAsia="宋体"/>
          <w:color w:val="auto"/>
          <w:sz w:val="24"/>
          <w:szCs w:val="24"/>
          <w:highlight w:val="none"/>
          <w:lang w:eastAsia="zh-CN"/>
        </w:rPr>
        <w:t>供应商</w:t>
      </w:r>
      <w:r>
        <w:rPr>
          <w:rFonts w:hint="eastAsia" w:ascii="宋体" w:hAnsi="宋体" w:eastAsia="宋体"/>
          <w:color w:val="auto"/>
          <w:sz w:val="24"/>
          <w:szCs w:val="24"/>
          <w:highlight w:val="none"/>
        </w:rPr>
        <w:t>不得存在以下情形：</w:t>
      </w:r>
    </w:p>
    <w:p w14:paraId="3BD073E5">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①被列入“信用中国”网站“失信被执行人”的；</w:t>
      </w:r>
    </w:p>
    <w:p w14:paraId="7C2AE5EB">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②被列入“信用中国”网站“重大税收违法失信主体”的；</w:t>
      </w:r>
    </w:p>
    <w:p w14:paraId="0496B590">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③被列入“信用中国”网站 “严重失信主体名单”的；</w:t>
      </w:r>
    </w:p>
    <w:p w14:paraId="608B1BA4">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④在</w:t>
      </w:r>
      <w:bookmarkStart w:id="12" w:name="OLE_LINK127"/>
      <w:bookmarkStart w:id="13" w:name="OLE_LINK128"/>
      <w:bookmarkStart w:id="14" w:name="OLE_LINK129"/>
      <w:r>
        <w:rPr>
          <w:rFonts w:hint="eastAsia" w:ascii="宋体" w:hAnsi="宋体" w:eastAsia="宋体"/>
          <w:color w:val="auto"/>
          <w:sz w:val="24"/>
          <w:szCs w:val="24"/>
          <w:highlight w:val="none"/>
          <w:lang w:eastAsia="zh-CN"/>
        </w:rPr>
        <w:t>“信用中国”网站</w:t>
      </w:r>
      <w:bookmarkEnd w:id="12"/>
      <w:bookmarkEnd w:id="13"/>
      <w:bookmarkEnd w:id="14"/>
      <w:r>
        <w:rPr>
          <w:rFonts w:hint="eastAsia" w:ascii="宋体" w:hAnsi="宋体" w:eastAsia="宋体"/>
          <w:color w:val="auto"/>
          <w:sz w:val="24"/>
          <w:szCs w:val="24"/>
          <w:highlight w:val="none"/>
          <w:lang w:eastAsia="zh-CN"/>
        </w:rPr>
        <w:t>上披露的仍在公示期的严重失信行为(具体行为类别及判定依据见“信用中国”查询的严重失信行为类别及判定依据)的。</w:t>
      </w:r>
    </w:p>
    <w:p w14:paraId="54D87E4A">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⑤被列入国家企业信用信息公示系统网站“经营异常名录”或者“严重违法失信名单”的。</w:t>
      </w:r>
    </w:p>
    <w:p w14:paraId="3222BA55">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eastAsia="zh-CN"/>
        </w:rPr>
      </w:pPr>
      <w:bookmarkStart w:id="15" w:name="OLE_LINK114"/>
      <w:bookmarkStart w:id="16" w:name="OLE_LINK113"/>
      <w:r>
        <w:rPr>
          <w:rFonts w:hint="eastAsia" w:ascii="宋体" w:hAnsi="宋体" w:eastAsia="宋体"/>
          <w:color w:val="auto"/>
          <w:sz w:val="24"/>
          <w:szCs w:val="24"/>
          <w:highlight w:val="none"/>
          <w:lang w:eastAsia="zh-CN"/>
        </w:rPr>
        <w:t>⑥</w:t>
      </w:r>
      <w:bookmarkEnd w:id="15"/>
      <w:bookmarkEnd w:id="16"/>
      <w:r>
        <w:rPr>
          <w:rFonts w:hint="eastAsia" w:ascii="宋体" w:hAnsi="宋体" w:eastAsia="宋体"/>
          <w:color w:val="auto"/>
          <w:sz w:val="24"/>
          <w:szCs w:val="24"/>
          <w:highlight w:val="none"/>
          <w:lang w:eastAsia="zh-CN"/>
        </w:rPr>
        <w:t>被列入中国政府采购网站“政府采购严重违法失信行为信息记录”的。</w:t>
      </w:r>
    </w:p>
    <w:p w14:paraId="784F2C78">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⑦前三年有行贿犯罪行为的单位和个人。</w:t>
      </w:r>
    </w:p>
    <w:p w14:paraId="034FF5A1">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hint="eastAsia" w:ascii="宋体" w:hAnsi="宋体" w:eastAsia="宋体"/>
          <w:color w:val="auto"/>
          <w:sz w:val="24"/>
          <w:szCs w:val="24"/>
          <w:highlight w:val="none"/>
        </w:rPr>
        <w:t>.供应商所属分公司、办事处等分支机构存在第4条信誉要求①-⑦项情形之一的，接受其被确定为成交供应商。</w:t>
      </w:r>
    </w:p>
    <w:p w14:paraId="6F8E0526">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备注：第4、5条按照“关于联合惩戒失信行为加强信用查询管理的通知”查询或承诺</w:t>
      </w:r>
      <w:r>
        <w:rPr>
          <w:rFonts w:hint="eastAsia" w:ascii="宋体" w:hAnsi="宋体" w:eastAsia="宋体"/>
          <w:color w:val="auto"/>
          <w:sz w:val="24"/>
          <w:szCs w:val="24"/>
          <w:highlight w:val="none"/>
          <w:lang w:eastAsia="zh-CN"/>
        </w:rPr>
        <w:t>。</w:t>
      </w:r>
    </w:p>
    <w:p w14:paraId="04E6C6EA">
      <w:pPr>
        <w:keepNext/>
        <w:keepLines/>
        <w:spacing w:before="260" w:after="260"/>
        <w:rPr>
          <w:rFonts w:hint="eastAsia" w:ascii="黑体" w:hAnsi="宋体" w:eastAsia="黑体" w:cs="黑体"/>
          <w:color w:val="auto"/>
          <w:kern w:val="2"/>
          <w:sz w:val="28"/>
          <w:szCs w:val="28"/>
          <w:highlight w:val="none"/>
          <w:lang w:val="en-US" w:eastAsia="zh-CN" w:bidi="ar"/>
        </w:rPr>
      </w:pPr>
      <w:r>
        <w:rPr>
          <w:rFonts w:hint="eastAsia" w:ascii="黑体" w:hAnsi="宋体" w:eastAsia="黑体" w:cs="黑体"/>
          <w:color w:val="auto"/>
          <w:kern w:val="2"/>
          <w:sz w:val="28"/>
          <w:szCs w:val="28"/>
          <w:highlight w:val="none"/>
          <w:lang w:val="en-US" w:eastAsia="zh-CN" w:bidi="ar"/>
        </w:rPr>
        <w:t>三、获取采购文件</w:t>
      </w:r>
      <w:bookmarkEnd w:id="8"/>
      <w:bookmarkEnd w:id="9"/>
      <w:bookmarkEnd w:id="10"/>
      <w:bookmarkEnd w:id="11"/>
    </w:p>
    <w:p w14:paraId="500483D8">
      <w:pPr>
        <w:ind w:firstLine="54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时间：</w:t>
      </w:r>
      <w:r>
        <w:rPr>
          <w:rFonts w:hint="eastAsia" w:ascii="仿宋" w:hAnsi="仿宋" w:eastAsia="仿宋" w:cs="仿宋"/>
          <w:color w:val="auto"/>
          <w:kern w:val="2"/>
          <w:sz w:val="28"/>
          <w:szCs w:val="28"/>
          <w:highlight w:val="none"/>
          <w:lang w:val="en-US" w:eastAsia="zh-CN" w:bidi="ar"/>
        </w:rPr>
        <w:t>2025</w:t>
      </w:r>
      <w:r>
        <w:rPr>
          <w:rFonts w:hint="eastAsia" w:ascii="仿宋" w:hAnsi="仿宋" w:eastAsia="仿宋" w:cs="仿宋"/>
          <w:color w:val="auto"/>
          <w:kern w:val="2"/>
          <w:sz w:val="28"/>
          <w:szCs w:val="28"/>
          <w:highlight w:val="none"/>
          <w:lang w:bidi="ar"/>
        </w:rPr>
        <w:t>年</w:t>
      </w:r>
      <w:r>
        <w:rPr>
          <w:rFonts w:hint="eastAsia" w:ascii="仿宋" w:hAnsi="仿宋" w:eastAsia="仿宋" w:cs="仿宋"/>
          <w:color w:val="auto"/>
          <w:kern w:val="2"/>
          <w:sz w:val="28"/>
          <w:szCs w:val="28"/>
          <w:highlight w:val="none"/>
          <w:lang w:val="en-US" w:eastAsia="zh-CN" w:bidi="ar"/>
        </w:rPr>
        <w:t>4</w:t>
      </w:r>
      <w:r>
        <w:rPr>
          <w:rFonts w:hint="eastAsia" w:ascii="仿宋" w:hAnsi="仿宋" w:eastAsia="仿宋" w:cs="仿宋"/>
          <w:color w:val="auto"/>
          <w:kern w:val="2"/>
          <w:sz w:val="28"/>
          <w:szCs w:val="28"/>
          <w:highlight w:val="none"/>
          <w:lang w:bidi="ar"/>
        </w:rPr>
        <w:t>月</w:t>
      </w:r>
      <w:r>
        <w:rPr>
          <w:rFonts w:hint="eastAsia" w:ascii="仿宋" w:hAnsi="仿宋" w:eastAsia="仿宋" w:cs="仿宋"/>
          <w:color w:val="auto"/>
          <w:kern w:val="2"/>
          <w:sz w:val="28"/>
          <w:szCs w:val="28"/>
          <w:highlight w:val="none"/>
          <w:lang w:val="en-US" w:eastAsia="zh-CN" w:bidi="ar"/>
        </w:rPr>
        <w:t>9</w:t>
      </w:r>
      <w:r>
        <w:rPr>
          <w:rFonts w:hint="eastAsia" w:ascii="仿宋" w:hAnsi="仿宋" w:eastAsia="仿宋" w:cs="仿宋"/>
          <w:color w:val="auto"/>
          <w:kern w:val="2"/>
          <w:sz w:val="28"/>
          <w:szCs w:val="28"/>
          <w:highlight w:val="none"/>
          <w:lang w:bidi="ar"/>
        </w:rPr>
        <w:t>日至</w:t>
      </w:r>
      <w:r>
        <w:rPr>
          <w:rFonts w:hint="eastAsia" w:ascii="仿宋" w:hAnsi="仿宋" w:eastAsia="仿宋" w:cs="仿宋"/>
          <w:color w:val="auto"/>
          <w:kern w:val="2"/>
          <w:sz w:val="28"/>
          <w:szCs w:val="28"/>
          <w:highlight w:val="none"/>
          <w:lang w:val="en-US" w:eastAsia="zh-CN" w:bidi="ar"/>
        </w:rPr>
        <w:t>2025</w:t>
      </w:r>
      <w:r>
        <w:rPr>
          <w:rFonts w:hint="eastAsia" w:ascii="仿宋" w:hAnsi="仿宋" w:eastAsia="仿宋" w:cs="仿宋"/>
          <w:color w:val="auto"/>
          <w:kern w:val="2"/>
          <w:sz w:val="28"/>
          <w:szCs w:val="28"/>
          <w:highlight w:val="none"/>
          <w:lang w:bidi="ar"/>
        </w:rPr>
        <w:t>年</w:t>
      </w:r>
      <w:r>
        <w:rPr>
          <w:rFonts w:hint="eastAsia" w:ascii="仿宋" w:hAnsi="仿宋" w:eastAsia="仿宋" w:cs="仿宋"/>
          <w:color w:val="auto"/>
          <w:kern w:val="2"/>
          <w:sz w:val="28"/>
          <w:szCs w:val="28"/>
          <w:highlight w:val="none"/>
          <w:lang w:val="en-US" w:eastAsia="zh-CN" w:bidi="ar"/>
        </w:rPr>
        <w:t>4</w:t>
      </w:r>
      <w:r>
        <w:rPr>
          <w:rFonts w:hint="eastAsia" w:ascii="仿宋" w:hAnsi="仿宋" w:eastAsia="仿宋" w:cs="仿宋"/>
          <w:color w:val="auto"/>
          <w:kern w:val="2"/>
          <w:sz w:val="28"/>
          <w:szCs w:val="28"/>
          <w:highlight w:val="none"/>
          <w:lang w:bidi="ar"/>
        </w:rPr>
        <w:t>月</w:t>
      </w:r>
      <w:r>
        <w:rPr>
          <w:rFonts w:hint="eastAsia" w:ascii="仿宋" w:hAnsi="仿宋" w:eastAsia="仿宋" w:cs="仿宋"/>
          <w:color w:val="auto"/>
          <w:kern w:val="2"/>
          <w:sz w:val="28"/>
          <w:szCs w:val="28"/>
          <w:highlight w:val="none"/>
          <w:lang w:val="en-US" w:eastAsia="zh-CN" w:bidi="ar"/>
        </w:rPr>
        <w:t>22</w:t>
      </w:r>
      <w:r>
        <w:rPr>
          <w:rFonts w:hint="eastAsia" w:ascii="仿宋" w:hAnsi="仿宋" w:eastAsia="仿宋" w:cs="仿宋"/>
          <w:color w:val="auto"/>
          <w:kern w:val="2"/>
          <w:sz w:val="28"/>
          <w:szCs w:val="28"/>
          <w:highlight w:val="none"/>
          <w:lang w:bidi="ar"/>
        </w:rPr>
        <w:t>日</w:t>
      </w:r>
    </w:p>
    <w:p w14:paraId="438B51BE">
      <w:pPr>
        <w:ind w:firstLine="54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地点：滁州市公共资源交易中心网</w:t>
      </w:r>
    </w:p>
    <w:p w14:paraId="010A86EF">
      <w:pPr>
        <w:ind w:firstLine="54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方式：</w:t>
      </w:r>
      <w:r>
        <w:rPr>
          <w:rFonts w:hint="eastAsia" w:ascii="仿宋" w:hAnsi="仿宋" w:eastAsia="仿宋" w:cs="仿宋"/>
          <w:color w:val="auto"/>
          <w:kern w:val="2"/>
          <w:sz w:val="28"/>
          <w:szCs w:val="28"/>
          <w:highlight w:val="none"/>
          <w:lang w:eastAsia="zh-CN" w:bidi="ar"/>
        </w:rPr>
        <w:t>网上下载</w:t>
      </w:r>
    </w:p>
    <w:p w14:paraId="3DA01D39">
      <w:pPr>
        <w:ind w:firstLine="54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售价：</w:t>
      </w:r>
      <w:r>
        <w:rPr>
          <w:rFonts w:hint="eastAsia" w:ascii="仿宋" w:hAnsi="仿宋" w:eastAsia="仿宋" w:cs="仿宋"/>
          <w:color w:val="auto"/>
          <w:kern w:val="2"/>
          <w:sz w:val="28"/>
          <w:szCs w:val="28"/>
          <w:highlight w:val="none"/>
          <w:lang w:val="en-US" w:eastAsia="zh-CN" w:bidi="ar"/>
        </w:rPr>
        <w:t>0元</w:t>
      </w:r>
    </w:p>
    <w:p w14:paraId="216B8913">
      <w:pPr>
        <w:keepNext/>
        <w:keepLines/>
        <w:spacing w:before="260" w:after="260"/>
        <w:rPr>
          <w:rFonts w:hint="eastAsia" w:ascii="黑体" w:hAnsi="宋体" w:eastAsia="黑体" w:cs="黑体"/>
          <w:color w:val="auto"/>
          <w:kern w:val="2"/>
          <w:sz w:val="28"/>
          <w:szCs w:val="28"/>
          <w:highlight w:val="none"/>
          <w:lang w:val="en-US" w:eastAsia="zh-CN" w:bidi="ar"/>
        </w:rPr>
      </w:pPr>
      <w:bookmarkStart w:id="17" w:name="_Toc28359092"/>
      <w:bookmarkStart w:id="18" w:name="_Toc28359015"/>
      <w:bookmarkStart w:id="19" w:name="_Toc35393801"/>
      <w:bookmarkStart w:id="20" w:name="_Toc35393632"/>
      <w:r>
        <w:rPr>
          <w:rFonts w:hint="eastAsia" w:ascii="黑体" w:hAnsi="宋体" w:eastAsia="黑体" w:cs="黑体"/>
          <w:color w:val="auto"/>
          <w:kern w:val="2"/>
          <w:sz w:val="28"/>
          <w:szCs w:val="28"/>
          <w:highlight w:val="none"/>
          <w:lang w:val="en-US" w:eastAsia="zh-CN" w:bidi="ar"/>
        </w:rPr>
        <w:t>四、响应文件提交</w:t>
      </w:r>
      <w:bookmarkEnd w:id="17"/>
      <w:bookmarkEnd w:id="18"/>
      <w:bookmarkEnd w:id="19"/>
      <w:bookmarkEnd w:id="20"/>
    </w:p>
    <w:p w14:paraId="6247578A">
      <w:pPr>
        <w:ind w:firstLine="54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截止时间：</w:t>
      </w:r>
      <w:r>
        <w:rPr>
          <w:rFonts w:hint="eastAsia" w:ascii="仿宋" w:hAnsi="仿宋" w:eastAsia="仿宋" w:cs="仿宋"/>
          <w:color w:val="auto"/>
          <w:kern w:val="2"/>
          <w:sz w:val="28"/>
          <w:szCs w:val="28"/>
          <w:highlight w:val="none"/>
          <w:lang w:val="en-US" w:eastAsia="zh-CN" w:bidi="ar"/>
        </w:rPr>
        <w:t>2025</w:t>
      </w:r>
      <w:r>
        <w:rPr>
          <w:rFonts w:hint="eastAsia" w:ascii="仿宋" w:hAnsi="仿宋" w:eastAsia="仿宋" w:cs="仿宋"/>
          <w:color w:val="auto"/>
          <w:kern w:val="2"/>
          <w:sz w:val="28"/>
          <w:szCs w:val="28"/>
          <w:highlight w:val="none"/>
          <w:lang w:bidi="ar"/>
        </w:rPr>
        <w:t>年</w:t>
      </w:r>
      <w:r>
        <w:rPr>
          <w:rFonts w:hint="eastAsia" w:ascii="仿宋" w:hAnsi="仿宋" w:eastAsia="仿宋" w:cs="仿宋"/>
          <w:color w:val="auto"/>
          <w:kern w:val="2"/>
          <w:sz w:val="28"/>
          <w:szCs w:val="28"/>
          <w:highlight w:val="none"/>
          <w:lang w:val="en-US" w:eastAsia="zh-CN" w:bidi="ar"/>
        </w:rPr>
        <w:t>4</w:t>
      </w:r>
      <w:r>
        <w:rPr>
          <w:rFonts w:hint="eastAsia" w:ascii="仿宋" w:hAnsi="仿宋" w:eastAsia="仿宋" w:cs="仿宋"/>
          <w:color w:val="auto"/>
          <w:kern w:val="2"/>
          <w:sz w:val="28"/>
          <w:szCs w:val="28"/>
          <w:highlight w:val="none"/>
          <w:lang w:bidi="ar"/>
        </w:rPr>
        <w:t>月</w:t>
      </w:r>
      <w:r>
        <w:rPr>
          <w:rFonts w:hint="eastAsia" w:ascii="仿宋" w:hAnsi="仿宋" w:eastAsia="仿宋" w:cs="仿宋"/>
          <w:color w:val="auto"/>
          <w:kern w:val="2"/>
          <w:sz w:val="28"/>
          <w:szCs w:val="28"/>
          <w:highlight w:val="none"/>
          <w:lang w:val="en-US" w:eastAsia="zh-CN" w:bidi="ar"/>
        </w:rPr>
        <w:t>22</w:t>
      </w:r>
      <w:r>
        <w:rPr>
          <w:rFonts w:hint="eastAsia" w:ascii="仿宋" w:hAnsi="仿宋" w:eastAsia="仿宋" w:cs="仿宋"/>
          <w:color w:val="auto"/>
          <w:kern w:val="2"/>
          <w:sz w:val="28"/>
          <w:szCs w:val="28"/>
          <w:highlight w:val="none"/>
          <w:lang w:bidi="ar"/>
        </w:rPr>
        <w:t>日</w:t>
      </w:r>
      <w:r>
        <w:rPr>
          <w:rFonts w:hint="eastAsia" w:ascii="仿宋" w:hAnsi="仿宋" w:eastAsia="仿宋" w:cs="仿宋"/>
          <w:color w:val="auto"/>
          <w:kern w:val="2"/>
          <w:sz w:val="28"/>
          <w:szCs w:val="28"/>
          <w:highlight w:val="none"/>
          <w:lang w:val="en-US" w:eastAsia="zh-CN" w:bidi="ar"/>
        </w:rPr>
        <w:t>08</w:t>
      </w:r>
      <w:r>
        <w:rPr>
          <w:rFonts w:hint="eastAsia" w:ascii="仿宋" w:hAnsi="仿宋" w:eastAsia="仿宋" w:cs="仿宋"/>
          <w:color w:val="auto"/>
          <w:kern w:val="2"/>
          <w:sz w:val="28"/>
          <w:szCs w:val="28"/>
          <w:highlight w:val="none"/>
          <w:lang w:bidi="ar"/>
        </w:rPr>
        <w:t>点</w:t>
      </w:r>
      <w:r>
        <w:rPr>
          <w:rFonts w:hint="eastAsia" w:ascii="仿宋" w:hAnsi="仿宋" w:eastAsia="仿宋" w:cs="仿宋"/>
          <w:color w:val="auto"/>
          <w:kern w:val="2"/>
          <w:sz w:val="28"/>
          <w:szCs w:val="28"/>
          <w:highlight w:val="none"/>
          <w:lang w:val="en-US" w:eastAsia="zh-CN" w:bidi="ar"/>
        </w:rPr>
        <w:t>00</w:t>
      </w:r>
      <w:r>
        <w:rPr>
          <w:rFonts w:hint="eastAsia" w:ascii="仿宋" w:hAnsi="仿宋" w:eastAsia="仿宋" w:cs="仿宋"/>
          <w:color w:val="auto"/>
          <w:kern w:val="2"/>
          <w:sz w:val="28"/>
          <w:szCs w:val="28"/>
          <w:highlight w:val="none"/>
          <w:lang w:bidi="ar"/>
        </w:rPr>
        <w:t>分（北京时间）</w:t>
      </w:r>
    </w:p>
    <w:p w14:paraId="5E3ED871">
      <w:pPr>
        <w:ind w:firstLine="54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地点：滁州市公共资源交易平台电子交易系统</w:t>
      </w:r>
    </w:p>
    <w:p w14:paraId="3022BA6C">
      <w:pPr>
        <w:keepNext/>
        <w:keepLines/>
        <w:spacing w:before="260" w:after="260"/>
        <w:rPr>
          <w:rFonts w:hint="eastAsia" w:ascii="黑体" w:hAnsi="宋体" w:eastAsia="黑体" w:cs="黑体"/>
          <w:color w:val="auto"/>
          <w:kern w:val="2"/>
          <w:sz w:val="28"/>
          <w:szCs w:val="28"/>
          <w:highlight w:val="none"/>
          <w:lang w:val="en-US" w:eastAsia="zh-CN" w:bidi="ar"/>
        </w:rPr>
      </w:pPr>
      <w:r>
        <w:rPr>
          <w:rFonts w:hint="eastAsia" w:ascii="黑体" w:hAnsi="宋体" w:eastAsia="黑体" w:cs="黑体"/>
          <w:color w:val="auto"/>
          <w:kern w:val="2"/>
          <w:sz w:val="28"/>
          <w:szCs w:val="28"/>
          <w:highlight w:val="none"/>
          <w:lang w:val="en-US" w:eastAsia="zh-CN" w:bidi="ar"/>
        </w:rPr>
        <w:t>五、开启</w:t>
      </w:r>
    </w:p>
    <w:p w14:paraId="4818A67A">
      <w:pPr>
        <w:ind w:firstLine="54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时间：</w:t>
      </w:r>
      <w:r>
        <w:rPr>
          <w:rFonts w:hint="eastAsia" w:ascii="仿宋" w:hAnsi="仿宋" w:eastAsia="仿宋" w:cs="仿宋"/>
          <w:color w:val="auto"/>
          <w:kern w:val="2"/>
          <w:sz w:val="28"/>
          <w:szCs w:val="28"/>
          <w:highlight w:val="none"/>
          <w:lang w:val="en-US" w:eastAsia="zh-CN" w:bidi="ar"/>
        </w:rPr>
        <w:t>2025</w:t>
      </w:r>
      <w:r>
        <w:rPr>
          <w:rFonts w:hint="eastAsia" w:ascii="仿宋" w:hAnsi="仿宋" w:eastAsia="仿宋" w:cs="仿宋"/>
          <w:color w:val="auto"/>
          <w:kern w:val="2"/>
          <w:sz w:val="28"/>
          <w:szCs w:val="28"/>
          <w:highlight w:val="none"/>
          <w:lang w:bidi="ar"/>
        </w:rPr>
        <w:t>年</w:t>
      </w:r>
      <w:r>
        <w:rPr>
          <w:rFonts w:hint="eastAsia" w:ascii="仿宋" w:hAnsi="仿宋" w:eastAsia="仿宋" w:cs="仿宋"/>
          <w:color w:val="auto"/>
          <w:kern w:val="2"/>
          <w:sz w:val="28"/>
          <w:szCs w:val="28"/>
          <w:highlight w:val="none"/>
          <w:lang w:val="en-US" w:eastAsia="zh-CN" w:bidi="ar"/>
        </w:rPr>
        <w:t>4</w:t>
      </w:r>
      <w:r>
        <w:rPr>
          <w:rFonts w:hint="eastAsia" w:ascii="仿宋" w:hAnsi="仿宋" w:eastAsia="仿宋" w:cs="仿宋"/>
          <w:color w:val="auto"/>
          <w:kern w:val="2"/>
          <w:sz w:val="28"/>
          <w:szCs w:val="28"/>
          <w:highlight w:val="none"/>
          <w:lang w:bidi="ar"/>
        </w:rPr>
        <w:t>月</w:t>
      </w:r>
      <w:r>
        <w:rPr>
          <w:rFonts w:hint="eastAsia" w:ascii="仿宋" w:hAnsi="仿宋" w:eastAsia="仿宋" w:cs="仿宋"/>
          <w:color w:val="auto"/>
          <w:kern w:val="2"/>
          <w:sz w:val="28"/>
          <w:szCs w:val="28"/>
          <w:highlight w:val="none"/>
          <w:lang w:val="en-US" w:eastAsia="zh-CN" w:bidi="ar"/>
        </w:rPr>
        <w:t>22</w:t>
      </w:r>
      <w:r>
        <w:rPr>
          <w:rFonts w:hint="eastAsia" w:ascii="仿宋" w:hAnsi="仿宋" w:eastAsia="仿宋" w:cs="仿宋"/>
          <w:color w:val="auto"/>
          <w:kern w:val="2"/>
          <w:sz w:val="28"/>
          <w:szCs w:val="28"/>
          <w:highlight w:val="none"/>
          <w:lang w:bidi="ar"/>
        </w:rPr>
        <w:t>日</w:t>
      </w:r>
      <w:r>
        <w:rPr>
          <w:rFonts w:hint="eastAsia" w:ascii="仿宋" w:hAnsi="仿宋" w:eastAsia="仿宋" w:cs="仿宋"/>
          <w:color w:val="auto"/>
          <w:kern w:val="2"/>
          <w:sz w:val="28"/>
          <w:szCs w:val="28"/>
          <w:highlight w:val="none"/>
          <w:lang w:val="en-US" w:eastAsia="zh-CN" w:bidi="ar"/>
        </w:rPr>
        <w:t>08</w:t>
      </w:r>
      <w:r>
        <w:rPr>
          <w:rFonts w:hint="eastAsia" w:ascii="仿宋" w:hAnsi="仿宋" w:eastAsia="仿宋" w:cs="仿宋"/>
          <w:color w:val="auto"/>
          <w:kern w:val="2"/>
          <w:sz w:val="28"/>
          <w:szCs w:val="28"/>
          <w:highlight w:val="none"/>
          <w:lang w:bidi="ar"/>
        </w:rPr>
        <w:t>点</w:t>
      </w:r>
      <w:r>
        <w:rPr>
          <w:rFonts w:hint="eastAsia" w:ascii="仿宋" w:hAnsi="仿宋" w:eastAsia="仿宋" w:cs="仿宋"/>
          <w:color w:val="auto"/>
          <w:kern w:val="2"/>
          <w:sz w:val="28"/>
          <w:szCs w:val="28"/>
          <w:highlight w:val="none"/>
          <w:lang w:val="en-US" w:eastAsia="zh-CN" w:bidi="ar"/>
        </w:rPr>
        <w:t>00</w:t>
      </w:r>
      <w:r>
        <w:rPr>
          <w:rFonts w:hint="eastAsia" w:ascii="仿宋" w:hAnsi="仿宋" w:eastAsia="仿宋" w:cs="仿宋"/>
          <w:color w:val="auto"/>
          <w:kern w:val="2"/>
          <w:sz w:val="28"/>
          <w:szCs w:val="28"/>
          <w:highlight w:val="none"/>
          <w:lang w:bidi="ar"/>
        </w:rPr>
        <w:t>分（北京时间）</w:t>
      </w:r>
    </w:p>
    <w:p w14:paraId="30E2488A">
      <w:pPr>
        <w:ind w:firstLine="54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地点：滁州市公共资源交易平台电子交易系统</w:t>
      </w:r>
    </w:p>
    <w:p w14:paraId="2E70662D">
      <w:pPr>
        <w:keepNext/>
        <w:keepLines/>
        <w:spacing w:before="260" w:after="260"/>
        <w:rPr>
          <w:rFonts w:hint="eastAsia" w:ascii="黑体" w:hAnsi="宋体" w:eastAsia="黑体" w:cs="黑体"/>
          <w:color w:val="auto"/>
          <w:kern w:val="2"/>
          <w:sz w:val="28"/>
          <w:szCs w:val="28"/>
          <w:highlight w:val="none"/>
          <w:lang w:val="en-US" w:eastAsia="zh-CN" w:bidi="ar"/>
        </w:rPr>
      </w:pPr>
      <w:r>
        <w:rPr>
          <w:rFonts w:hint="eastAsia" w:ascii="黑体" w:hAnsi="宋体" w:eastAsia="黑体" w:cs="黑体"/>
          <w:color w:val="auto"/>
          <w:kern w:val="2"/>
          <w:sz w:val="28"/>
          <w:szCs w:val="28"/>
          <w:highlight w:val="none"/>
          <w:lang w:val="en-US" w:eastAsia="zh-CN" w:bidi="ar"/>
        </w:rPr>
        <w:t>六、公告期限</w:t>
      </w:r>
    </w:p>
    <w:p w14:paraId="74F33C12">
      <w:pPr>
        <w:ind w:firstLine="560" w:firstLineChars="200"/>
        <w:rPr>
          <w:rFonts w:hint="eastAsia" w:ascii="仿宋" w:hAnsi="仿宋" w:eastAsia="仿宋" w:cs="仿宋"/>
          <w:color w:val="auto"/>
          <w:kern w:val="0"/>
          <w:sz w:val="28"/>
          <w:szCs w:val="28"/>
          <w:highlight w:val="none"/>
          <w:lang w:eastAsia="zh-CN" w:bidi="ar"/>
        </w:rPr>
      </w:pPr>
      <w:r>
        <w:rPr>
          <w:rFonts w:hint="eastAsia" w:ascii="仿宋" w:hAnsi="仿宋" w:eastAsia="仿宋" w:cs="仿宋"/>
          <w:color w:val="auto"/>
          <w:kern w:val="0"/>
          <w:sz w:val="28"/>
          <w:szCs w:val="28"/>
          <w:highlight w:val="none"/>
          <w:lang w:eastAsia="zh-CN" w:bidi="ar"/>
        </w:rPr>
        <w:t>自本公告发布之日起</w:t>
      </w:r>
      <w:r>
        <w:rPr>
          <w:rFonts w:hint="eastAsia" w:ascii="仿宋" w:hAnsi="仿宋" w:eastAsia="仿宋" w:cs="仿宋"/>
          <w:color w:val="auto"/>
          <w:kern w:val="0"/>
          <w:sz w:val="28"/>
          <w:szCs w:val="28"/>
          <w:highlight w:val="none"/>
          <w:lang w:val="en-US" w:eastAsia="zh-CN" w:bidi="ar"/>
        </w:rPr>
        <w:t>3</w:t>
      </w:r>
      <w:r>
        <w:rPr>
          <w:rFonts w:hint="eastAsia" w:ascii="仿宋" w:hAnsi="仿宋" w:eastAsia="仿宋" w:cs="仿宋"/>
          <w:color w:val="auto"/>
          <w:kern w:val="0"/>
          <w:sz w:val="28"/>
          <w:szCs w:val="28"/>
          <w:highlight w:val="none"/>
          <w:lang w:eastAsia="zh-CN" w:bidi="ar"/>
        </w:rPr>
        <w:t>个工作日。</w:t>
      </w:r>
    </w:p>
    <w:p w14:paraId="1087DAD1">
      <w:pPr>
        <w:keepNext/>
        <w:keepLines/>
        <w:spacing w:before="260" w:after="260"/>
        <w:rPr>
          <w:rFonts w:hint="default" w:ascii="黑体" w:hAnsi="宋体" w:eastAsia="黑体" w:cs="黑体"/>
          <w:color w:val="auto"/>
          <w:kern w:val="2"/>
          <w:sz w:val="28"/>
          <w:szCs w:val="28"/>
          <w:highlight w:val="none"/>
          <w:lang w:val="en-US" w:eastAsia="zh-CN" w:bidi="ar"/>
        </w:rPr>
      </w:pPr>
      <w:r>
        <w:rPr>
          <w:rFonts w:hint="eastAsia" w:ascii="黑体" w:hAnsi="宋体" w:eastAsia="黑体" w:cs="黑体"/>
          <w:color w:val="auto"/>
          <w:kern w:val="2"/>
          <w:sz w:val="28"/>
          <w:szCs w:val="28"/>
          <w:highlight w:val="none"/>
          <w:lang w:val="en-US" w:eastAsia="zh-CN" w:bidi="ar"/>
        </w:rPr>
        <w:t>七、保证金金额及缴纳账户</w:t>
      </w:r>
    </w:p>
    <w:p w14:paraId="174ED2EE">
      <w:pPr>
        <w:ind w:firstLine="560" w:firstLineChars="200"/>
        <w:rPr>
          <w:rFonts w:hint="eastAsia" w:ascii="黑体" w:eastAsia="黑体" w:cs="黑体"/>
          <w:color w:val="auto"/>
          <w:kern w:val="2"/>
          <w:sz w:val="28"/>
          <w:szCs w:val="28"/>
          <w:highlight w:val="none"/>
          <w:lang w:val="en-US" w:eastAsia="zh-CN" w:bidi="ar"/>
        </w:rPr>
      </w:pPr>
      <w:r>
        <w:rPr>
          <w:rFonts w:hint="eastAsia" w:ascii="仿宋" w:hAnsi="仿宋" w:eastAsia="仿宋" w:cs="仿宋"/>
          <w:color w:val="auto"/>
          <w:kern w:val="0"/>
          <w:sz w:val="28"/>
          <w:szCs w:val="28"/>
          <w:highlight w:val="none"/>
          <w:lang w:eastAsia="zh-CN" w:bidi="ar"/>
        </w:rPr>
        <w:t>是否要求供应商提交保证金：不要求。</w:t>
      </w:r>
    </w:p>
    <w:p w14:paraId="7D43F4DE">
      <w:pPr>
        <w:keepNext/>
        <w:keepLines/>
        <w:spacing w:before="260" w:after="260"/>
        <w:rPr>
          <w:rFonts w:hint="default" w:ascii="黑体" w:hAnsi="宋体" w:eastAsia="黑体" w:cs="黑体"/>
          <w:color w:val="auto"/>
          <w:kern w:val="2"/>
          <w:sz w:val="28"/>
          <w:szCs w:val="28"/>
          <w:highlight w:val="none"/>
          <w:lang w:val="en-US" w:eastAsia="zh-CN" w:bidi="ar"/>
        </w:rPr>
      </w:pPr>
      <w:r>
        <w:rPr>
          <w:rFonts w:hint="eastAsia" w:ascii="黑体" w:eastAsia="黑体" w:cs="黑体"/>
          <w:color w:val="auto"/>
          <w:kern w:val="2"/>
          <w:sz w:val="28"/>
          <w:szCs w:val="28"/>
          <w:highlight w:val="none"/>
          <w:lang w:val="en-US" w:eastAsia="zh-CN" w:bidi="ar"/>
        </w:rPr>
        <w:t>八</w:t>
      </w:r>
      <w:r>
        <w:rPr>
          <w:rFonts w:hint="eastAsia" w:ascii="黑体" w:hAnsi="宋体" w:eastAsia="黑体" w:cs="黑体"/>
          <w:color w:val="auto"/>
          <w:kern w:val="2"/>
          <w:sz w:val="28"/>
          <w:szCs w:val="28"/>
          <w:highlight w:val="none"/>
          <w:lang w:val="en-US" w:eastAsia="zh-CN" w:bidi="ar"/>
        </w:rPr>
        <w:t>、其他补充事宜</w:t>
      </w:r>
    </w:p>
    <w:p w14:paraId="5908CC7A">
      <w:pPr>
        <w:wordWrap w:val="0"/>
        <w:autoSpaceDE w:val="0"/>
        <w:ind w:firstLine="560" w:firstLineChars="20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1.本项目只接受在安徽省公共资源交易市场主体库（</w:t>
      </w:r>
      <w:r>
        <w:rPr>
          <w:rFonts w:hint="eastAsia" w:ascii="仿宋" w:hAnsi="仿宋" w:eastAsia="仿宋" w:cs="仿宋"/>
          <w:color w:val="auto"/>
          <w:kern w:val="2"/>
          <w:sz w:val="28"/>
          <w:szCs w:val="28"/>
          <w:highlight w:val="none"/>
          <w:lang w:eastAsia="zh-CN" w:bidi="ar"/>
        </w:rPr>
        <w:t>http://ggzy.ah.gov.cn/ahggfwpt-zhutiku/dengludenglu</w:t>
      </w:r>
      <w:r>
        <w:rPr>
          <w:rFonts w:hint="eastAsia" w:ascii="仿宋" w:hAnsi="仿宋" w:eastAsia="仿宋" w:cs="仿宋"/>
          <w:color w:val="auto"/>
          <w:kern w:val="2"/>
          <w:sz w:val="28"/>
          <w:szCs w:val="28"/>
          <w:highlight w:val="none"/>
          <w:lang w:bidi="ar"/>
        </w:rPr>
        <w:t>）登记并进行信息确认提交的</w:t>
      </w:r>
      <w:r>
        <w:rPr>
          <w:rFonts w:hint="eastAsia" w:ascii="仿宋" w:hAnsi="仿宋" w:eastAsia="仿宋" w:cs="仿宋"/>
          <w:color w:val="auto"/>
          <w:kern w:val="2"/>
          <w:sz w:val="28"/>
          <w:szCs w:val="28"/>
          <w:highlight w:val="none"/>
          <w:lang w:val="en-US" w:eastAsia="zh-CN" w:bidi="ar"/>
        </w:rPr>
        <w:t>供应商参加</w:t>
      </w:r>
      <w:r>
        <w:rPr>
          <w:rFonts w:hint="eastAsia" w:ascii="仿宋" w:hAnsi="仿宋" w:eastAsia="仿宋" w:cs="仿宋"/>
          <w:color w:val="auto"/>
          <w:kern w:val="2"/>
          <w:sz w:val="28"/>
          <w:szCs w:val="28"/>
          <w:highlight w:val="none"/>
          <w:lang w:bidi="ar"/>
        </w:rPr>
        <w:t>，未登记的</w:t>
      </w:r>
      <w:r>
        <w:rPr>
          <w:rFonts w:hint="eastAsia" w:ascii="仿宋" w:hAnsi="仿宋" w:eastAsia="仿宋" w:cs="仿宋"/>
          <w:color w:val="auto"/>
          <w:kern w:val="2"/>
          <w:sz w:val="28"/>
          <w:szCs w:val="28"/>
          <w:highlight w:val="none"/>
          <w:lang w:val="en-US" w:eastAsia="zh-CN" w:bidi="ar"/>
        </w:rPr>
        <w:t>供应商</w:t>
      </w:r>
      <w:r>
        <w:rPr>
          <w:rFonts w:hint="eastAsia" w:ascii="仿宋" w:hAnsi="仿宋" w:eastAsia="仿宋" w:cs="仿宋"/>
          <w:color w:val="auto"/>
          <w:kern w:val="2"/>
          <w:sz w:val="28"/>
          <w:szCs w:val="28"/>
          <w:highlight w:val="none"/>
          <w:lang w:bidi="ar"/>
        </w:rPr>
        <w:t>请及时办理CA数字证书并登录安徽省公共资源交易市场主体库进行信息填写及确认提交；已办理过CA数字证书视为已在省库登记，进行信息更新及确认提交即可。办理流程为登</w:t>
      </w:r>
      <w:r>
        <w:rPr>
          <w:rFonts w:hint="eastAsia" w:ascii="仿宋" w:hAnsi="仿宋" w:eastAsia="仿宋" w:cs="仿宋"/>
          <w:color w:val="auto"/>
          <w:kern w:val="2"/>
          <w:sz w:val="28"/>
          <w:szCs w:val="28"/>
          <w:highlight w:val="none"/>
          <w:lang w:val="en-US" w:eastAsia="zh-CN" w:bidi="ar"/>
        </w:rPr>
        <w:t>录</w:t>
      </w:r>
      <w:r>
        <w:rPr>
          <w:rFonts w:hint="eastAsia" w:ascii="仿宋" w:hAnsi="仿宋" w:eastAsia="仿宋" w:cs="仿宋"/>
          <w:color w:val="auto"/>
          <w:kern w:val="2"/>
          <w:sz w:val="28"/>
          <w:szCs w:val="28"/>
          <w:highlight w:val="none"/>
          <w:lang w:bidi="ar"/>
        </w:rPr>
        <w:t>滁州市公共资源交易中心网&gt;服务指南&gt;办事指南中的“CA数字证书和电子签章”及“市场主体登记”。相关服务电话：1.安徽省公共资源交易市场主体库使用相关问题（系统登录、信息登记、录入及提交、数字证书关联等）：010-86483801转5-2 ；2. 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w:t>
      </w:r>
      <w:r>
        <w:rPr>
          <w:rFonts w:hint="eastAsia" w:ascii="仿宋" w:hAnsi="仿宋" w:eastAsia="仿宋" w:cs="仿宋"/>
          <w:color w:val="auto"/>
          <w:kern w:val="2"/>
          <w:sz w:val="28"/>
          <w:szCs w:val="28"/>
          <w:highlight w:val="none"/>
          <w:lang w:val="en-US" w:eastAsia="zh-CN" w:bidi="ar"/>
        </w:rPr>
        <w:t>响应</w:t>
      </w:r>
      <w:r>
        <w:rPr>
          <w:rFonts w:hint="eastAsia" w:ascii="仿宋" w:hAnsi="仿宋" w:eastAsia="仿宋" w:cs="仿宋"/>
          <w:color w:val="auto"/>
          <w:kern w:val="2"/>
          <w:sz w:val="28"/>
          <w:szCs w:val="28"/>
          <w:highlight w:val="none"/>
          <w:lang w:bidi="ar"/>
        </w:rPr>
        <w:t>的，责任自负。为保证系统使用过程中产生的问题能够及时得到解决，请各主体在工作时间进行主体信息登记、更新、</w:t>
      </w:r>
      <w:r>
        <w:rPr>
          <w:rFonts w:hint="eastAsia" w:ascii="仿宋" w:hAnsi="仿宋" w:eastAsia="仿宋" w:cs="仿宋"/>
          <w:color w:val="auto"/>
          <w:kern w:val="2"/>
          <w:sz w:val="28"/>
          <w:szCs w:val="28"/>
          <w:highlight w:val="none"/>
          <w:lang w:val="en-US" w:eastAsia="zh-CN" w:bidi="ar"/>
        </w:rPr>
        <w:t>响应</w:t>
      </w:r>
      <w:r>
        <w:rPr>
          <w:rFonts w:hint="eastAsia" w:ascii="仿宋" w:hAnsi="仿宋" w:eastAsia="仿宋" w:cs="仿宋"/>
          <w:color w:val="auto"/>
          <w:kern w:val="2"/>
          <w:sz w:val="28"/>
          <w:szCs w:val="28"/>
          <w:highlight w:val="none"/>
          <w:lang w:bidi="ar"/>
        </w:rPr>
        <w:t>文件制作等相关操作。</w:t>
      </w:r>
    </w:p>
    <w:p w14:paraId="7EC1B6F7">
      <w:pPr>
        <w:wordWrap w:val="0"/>
        <w:autoSpaceDE w:val="0"/>
        <w:ind w:firstLine="560" w:firstLineChars="20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2.请</w:t>
      </w:r>
      <w:r>
        <w:rPr>
          <w:rFonts w:hint="eastAsia" w:ascii="仿宋" w:hAnsi="仿宋" w:eastAsia="仿宋" w:cs="仿宋"/>
          <w:color w:val="auto"/>
          <w:kern w:val="2"/>
          <w:sz w:val="28"/>
          <w:szCs w:val="28"/>
          <w:highlight w:val="none"/>
          <w:lang w:val="en-US" w:eastAsia="zh-CN" w:bidi="ar"/>
        </w:rPr>
        <w:t>供应商</w:t>
      </w:r>
      <w:r>
        <w:rPr>
          <w:rFonts w:hint="eastAsia" w:ascii="仿宋" w:hAnsi="仿宋" w:eastAsia="仿宋" w:cs="仿宋"/>
          <w:color w:val="auto"/>
          <w:kern w:val="2"/>
          <w:sz w:val="28"/>
          <w:szCs w:val="28"/>
          <w:highlight w:val="none"/>
          <w:lang w:bidi="ar"/>
        </w:rPr>
        <w:t>登录滁州市公共资源交易中心网站查看参加本项目的程序。（具体操作步骤和程序请参见服务指南&gt;交易须知&gt;投标人填写投标信息、下载文件及网上提问操作手册）。</w:t>
      </w:r>
    </w:p>
    <w:p w14:paraId="75F17592">
      <w:pPr>
        <w:wordWrap w:val="0"/>
        <w:autoSpaceDE w:val="0"/>
        <w:ind w:firstLine="560" w:firstLineChars="20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3.本项目采用不见面开标（远程解密)方式，</w:t>
      </w:r>
      <w:r>
        <w:rPr>
          <w:rFonts w:hint="eastAsia" w:ascii="仿宋" w:hAnsi="仿宋" w:eastAsia="仿宋" w:cs="仿宋"/>
          <w:color w:val="auto"/>
          <w:kern w:val="2"/>
          <w:sz w:val="28"/>
          <w:szCs w:val="28"/>
          <w:highlight w:val="none"/>
          <w:lang w:val="en-US" w:eastAsia="zh-CN" w:bidi="ar"/>
        </w:rPr>
        <w:t>开启</w:t>
      </w:r>
      <w:r>
        <w:rPr>
          <w:rFonts w:hint="eastAsia" w:ascii="仿宋" w:hAnsi="仿宋" w:eastAsia="仿宋" w:cs="仿宋"/>
          <w:color w:val="auto"/>
          <w:kern w:val="2"/>
          <w:sz w:val="28"/>
          <w:szCs w:val="28"/>
          <w:highlight w:val="none"/>
          <w:lang w:bidi="ar"/>
        </w:rPr>
        <w:t>时</w:t>
      </w:r>
      <w:r>
        <w:rPr>
          <w:rFonts w:hint="eastAsia" w:ascii="仿宋" w:hAnsi="仿宋" w:eastAsia="仿宋" w:cs="仿宋"/>
          <w:color w:val="auto"/>
          <w:kern w:val="2"/>
          <w:sz w:val="28"/>
          <w:szCs w:val="28"/>
          <w:highlight w:val="none"/>
          <w:lang w:val="en-US" w:eastAsia="zh-CN" w:bidi="ar"/>
        </w:rPr>
        <w:t>供应商</w:t>
      </w:r>
      <w:r>
        <w:rPr>
          <w:rFonts w:hint="eastAsia" w:ascii="仿宋" w:hAnsi="仿宋" w:eastAsia="仿宋" w:cs="仿宋"/>
          <w:color w:val="auto"/>
          <w:kern w:val="2"/>
          <w:sz w:val="28"/>
          <w:szCs w:val="28"/>
          <w:highlight w:val="none"/>
          <w:lang w:bidi="ar"/>
        </w:rPr>
        <w:t>无须至</w:t>
      </w:r>
      <w:r>
        <w:rPr>
          <w:rFonts w:hint="eastAsia" w:ascii="仿宋" w:hAnsi="仿宋" w:eastAsia="仿宋" w:cs="仿宋"/>
          <w:color w:val="auto"/>
          <w:kern w:val="2"/>
          <w:sz w:val="28"/>
          <w:szCs w:val="28"/>
          <w:highlight w:val="none"/>
          <w:lang w:val="en-US" w:eastAsia="zh-CN" w:bidi="ar"/>
        </w:rPr>
        <w:t>磋商</w:t>
      </w:r>
      <w:r>
        <w:rPr>
          <w:rFonts w:hint="eastAsia" w:ascii="仿宋" w:hAnsi="仿宋" w:eastAsia="仿宋" w:cs="仿宋"/>
          <w:color w:val="auto"/>
          <w:kern w:val="2"/>
          <w:sz w:val="28"/>
          <w:szCs w:val="28"/>
          <w:highlight w:val="none"/>
          <w:lang w:bidi="ar"/>
        </w:rPr>
        <w:t>现场进行解密，</w:t>
      </w:r>
      <w:r>
        <w:rPr>
          <w:rFonts w:hint="eastAsia" w:ascii="仿宋" w:hAnsi="仿宋" w:eastAsia="仿宋" w:cs="仿宋"/>
          <w:color w:val="auto"/>
          <w:kern w:val="2"/>
          <w:sz w:val="28"/>
          <w:szCs w:val="28"/>
          <w:highlight w:val="none"/>
          <w:lang w:val="en-US" w:eastAsia="zh-CN" w:bidi="ar"/>
        </w:rPr>
        <w:t>磋商</w:t>
      </w:r>
      <w:r>
        <w:rPr>
          <w:rFonts w:hint="eastAsia" w:ascii="仿宋" w:hAnsi="仿宋" w:eastAsia="仿宋" w:cs="仿宋"/>
          <w:color w:val="auto"/>
          <w:kern w:val="2"/>
          <w:sz w:val="28"/>
          <w:szCs w:val="28"/>
          <w:highlight w:val="none"/>
          <w:lang w:bidi="ar"/>
        </w:rPr>
        <w:t>采取远程解密方式解密</w:t>
      </w:r>
      <w:r>
        <w:rPr>
          <w:rFonts w:hint="eastAsia" w:ascii="仿宋" w:hAnsi="仿宋" w:eastAsia="仿宋" w:cs="仿宋"/>
          <w:color w:val="auto"/>
          <w:kern w:val="2"/>
          <w:sz w:val="28"/>
          <w:szCs w:val="28"/>
          <w:highlight w:val="none"/>
          <w:lang w:val="en-US" w:eastAsia="zh-CN" w:bidi="ar"/>
        </w:rPr>
        <w:t>响应</w:t>
      </w:r>
      <w:r>
        <w:rPr>
          <w:rFonts w:hint="eastAsia" w:ascii="仿宋" w:hAnsi="仿宋" w:eastAsia="仿宋" w:cs="仿宋"/>
          <w:color w:val="auto"/>
          <w:kern w:val="2"/>
          <w:sz w:val="28"/>
          <w:szCs w:val="28"/>
          <w:highlight w:val="none"/>
          <w:lang w:bidi="ar"/>
        </w:rPr>
        <w:t>文件，</w:t>
      </w:r>
      <w:r>
        <w:rPr>
          <w:rFonts w:hint="eastAsia" w:ascii="仿宋" w:hAnsi="仿宋" w:eastAsia="仿宋" w:cs="仿宋"/>
          <w:color w:val="auto"/>
          <w:kern w:val="2"/>
          <w:sz w:val="28"/>
          <w:szCs w:val="28"/>
          <w:highlight w:val="none"/>
          <w:lang w:val="en-US" w:eastAsia="zh-CN" w:bidi="ar"/>
        </w:rPr>
        <w:t>供应商</w:t>
      </w:r>
      <w:r>
        <w:rPr>
          <w:rFonts w:hint="eastAsia" w:ascii="仿宋" w:hAnsi="仿宋" w:eastAsia="仿宋" w:cs="仿宋"/>
          <w:color w:val="auto"/>
          <w:kern w:val="2"/>
          <w:sz w:val="28"/>
          <w:szCs w:val="28"/>
          <w:highlight w:val="none"/>
          <w:lang w:bidi="ar"/>
        </w:rPr>
        <w:t>在</w:t>
      </w:r>
      <w:r>
        <w:rPr>
          <w:rFonts w:hint="eastAsia" w:ascii="仿宋" w:hAnsi="仿宋" w:eastAsia="仿宋" w:cs="仿宋"/>
          <w:color w:val="auto"/>
          <w:kern w:val="2"/>
          <w:sz w:val="28"/>
          <w:szCs w:val="28"/>
          <w:highlight w:val="none"/>
          <w:lang w:val="en-US" w:eastAsia="zh-CN" w:bidi="ar"/>
        </w:rPr>
        <w:t>开启</w:t>
      </w:r>
      <w:r>
        <w:rPr>
          <w:rFonts w:hint="eastAsia" w:ascii="仿宋" w:hAnsi="仿宋" w:eastAsia="仿宋" w:cs="仿宋"/>
          <w:color w:val="auto"/>
          <w:kern w:val="2"/>
          <w:sz w:val="28"/>
          <w:szCs w:val="28"/>
          <w:highlight w:val="none"/>
          <w:lang w:bidi="ar"/>
        </w:rPr>
        <w:t>时间前使用CA数字证书登录滁州市“不见面开标系统”，网址为https://ggzy.chuzhou.gov.cn/BidOpening,等待</w:t>
      </w:r>
      <w:r>
        <w:rPr>
          <w:rFonts w:hint="eastAsia" w:ascii="仿宋" w:hAnsi="仿宋" w:eastAsia="仿宋" w:cs="仿宋"/>
          <w:color w:val="auto"/>
          <w:kern w:val="2"/>
          <w:sz w:val="28"/>
          <w:szCs w:val="28"/>
          <w:highlight w:val="none"/>
          <w:lang w:val="en-US" w:eastAsia="zh-CN" w:bidi="ar"/>
        </w:rPr>
        <w:t>开启</w:t>
      </w:r>
      <w:r>
        <w:rPr>
          <w:rFonts w:hint="eastAsia" w:ascii="仿宋" w:hAnsi="仿宋" w:eastAsia="仿宋" w:cs="仿宋"/>
          <w:color w:val="auto"/>
          <w:kern w:val="2"/>
          <w:sz w:val="28"/>
          <w:szCs w:val="28"/>
          <w:highlight w:val="none"/>
          <w:lang w:bidi="ar"/>
        </w:rPr>
        <w:t>并按系统提示进行相应的</w:t>
      </w:r>
      <w:r>
        <w:rPr>
          <w:rFonts w:hint="eastAsia" w:ascii="仿宋" w:hAnsi="仿宋" w:eastAsia="仿宋" w:cs="仿宋"/>
          <w:color w:val="auto"/>
          <w:kern w:val="2"/>
          <w:sz w:val="28"/>
          <w:szCs w:val="28"/>
          <w:highlight w:val="none"/>
          <w:lang w:val="en-US" w:eastAsia="zh-CN" w:bidi="ar"/>
        </w:rPr>
        <w:t>供应商</w:t>
      </w:r>
      <w:r>
        <w:rPr>
          <w:rFonts w:hint="eastAsia" w:ascii="仿宋" w:hAnsi="仿宋" w:eastAsia="仿宋" w:cs="仿宋"/>
          <w:color w:val="auto"/>
          <w:kern w:val="2"/>
          <w:sz w:val="28"/>
          <w:szCs w:val="28"/>
          <w:highlight w:val="none"/>
          <w:lang w:bidi="ar"/>
        </w:rPr>
        <w:t>解密等事项，无需到</w:t>
      </w:r>
      <w:r>
        <w:rPr>
          <w:rFonts w:hint="eastAsia" w:ascii="仿宋" w:hAnsi="仿宋" w:eastAsia="仿宋" w:cs="仿宋"/>
          <w:color w:val="auto"/>
          <w:kern w:val="2"/>
          <w:sz w:val="28"/>
          <w:szCs w:val="28"/>
          <w:highlight w:val="none"/>
          <w:lang w:val="en-US" w:eastAsia="zh-CN" w:bidi="ar"/>
        </w:rPr>
        <w:t>磋商</w:t>
      </w:r>
      <w:r>
        <w:rPr>
          <w:rFonts w:hint="eastAsia" w:ascii="仿宋" w:hAnsi="仿宋" w:eastAsia="仿宋" w:cs="仿宋"/>
          <w:color w:val="auto"/>
          <w:kern w:val="2"/>
          <w:sz w:val="28"/>
          <w:szCs w:val="28"/>
          <w:highlight w:val="none"/>
          <w:lang w:bidi="ar"/>
        </w:rPr>
        <w:t>现场。采用本方式可以观看</w:t>
      </w:r>
      <w:r>
        <w:rPr>
          <w:rFonts w:hint="eastAsia" w:ascii="仿宋" w:hAnsi="仿宋" w:eastAsia="仿宋" w:cs="仿宋"/>
          <w:color w:val="auto"/>
          <w:kern w:val="2"/>
          <w:sz w:val="28"/>
          <w:szCs w:val="28"/>
          <w:highlight w:val="none"/>
          <w:lang w:val="en-US" w:eastAsia="zh-CN" w:bidi="ar"/>
        </w:rPr>
        <w:t>磋商</w:t>
      </w:r>
      <w:r>
        <w:rPr>
          <w:rFonts w:hint="eastAsia" w:ascii="仿宋" w:hAnsi="仿宋" w:eastAsia="仿宋" w:cs="仿宋"/>
          <w:color w:val="auto"/>
          <w:kern w:val="2"/>
          <w:sz w:val="28"/>
          <w:szCs w:val="28"/>
          <w:highlight w:val="none"/>
          <w:lang w:bidi="ar"/>
        </w:rPr>
        <w:t>现场音视频直播并进行互动交流。具体操作方法见中心网站&gt;服务指南&gt;交易须知中的《滁州市不见面开标系统操作手册》。</w:t>
      </w:r>
    </w:p>
    <w:p w14:paraId="7F5FA855">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bidi="ar"/>
        </w:rPr>
        <w:t>4.</w:t>
      </w:r>
      <w:r>
        <w:rPr>
          <w:rFonts w:hint="eastAsia" w:ascii="仿宋" w:hAnsi="仿宋" w:eastAsia="仿宋" w:cs="仿宋"/>
          <w:color w:val="auto"/>
          <w:kern w:val="2"/>
          <w:sz w:val="28"/>
          <w:szCs w:val="28"/>
          <w:highlight w:val="none"/>
          <w:lang w:val="en-US" w:eastAsia="zh-CN" w:bidi="ar"/>
        </w:rPr>
        <w:t>供应商</w:t>
      </w:r>
      <w:r>
        <w:rPr>
          <w:rFonts w:hint="eastAsia" w:ascii="仿宋" w:hAnsi="仿宋" w:eastAsia="仿宋" w:cs="仿宋"/>
          <w:color w:val="auto"/>
          <w:kern w:val="2"/>
          <w:sz w:val="28"/>
          <w:szCs w:val="28"/>
          <w:highlight w:val="none"/>
          <w:lang w:bidi="ar"/>
        </w:rPr>
        <w:t>接到远程解密指令后，须在规定时间内解密。因</w:t>
      </w:r>
      <w:r>
        <w:rPr>
          <w:rFonts w:hint="eastAsia" w:ascii="仿宋" w:hAnsi="仿宋" w:eastAsia="仿宋" w:cs="仿宋"/>
          <w:color w:val="auto"/>
          <w:kern w:val="2"/>
          <w:sz w:val="28"/>
          <w:szCs w:val="28"/>
          <w:highlight w:val="none"/>
          <w:lang w:val="en-US" w:eastAsia="zh-CN" w:bidi="ar"/>
        </w:rPr>
        <w:t>供应商</w:t>
      </w:r>
      <w:r>
        <w:rPr>
          <w:rFonts w:hint="eastAsia" w:ascii="仿宋" w:hAnsi="仿宋" w:eastAsia="仿宋" w:cs="仿宋"/>
          <w:color w:val="auto"/>
          <w:kern w:val="2"/>
          <w:sz w:val="28"/>
          <w:szCs w:val="28"/>
          <w:highlight w:val="none"/>
          <w:lang w:bidi="ar"/>
        </w:rPr>
        <w:t>自身原因导致</w:t>
      </w:r>
      <w:r>
        <w:rPr>
          <w:rFonts w:hint="eastAsia" w:ascii="仿宋" w:hAnsi="仿宋" w:eastAsia="仿宋" w:cs="仿宋"/>
          <w:color w:val="auto"/>
          <w:kern w:val="2"/>
          <w:sz w:val="28"/>
          <w:szCs w:val="28"/>
          <w:highlight w:val="none"/>
          <w:lang w:val="en-US" w:eastAsia="zh-CN" w:bidi="ar"/>
        </w:rPr>
        <w:t>响应</w:t>
      </w:r>
      <w:r>
        <w:rPr>
          <w:rFonts w:hint="eastAsia" w:ascii="仿宋" w:hAnsi="仿宋" w:eastAsia="仿宋" w:cs="仿宋"/>
          <w:color w:val="auto"/>
          <w:kern w:val="2"/>
          <w:sz w:val="28"/>
          <w:szCs w:val="28"/>
          <w:highlight w:val="none"/>
          <w:lang w:bidi="ar"/>
        </w:rPr>
        <w:t>文件在规定时间内未能解密、解密失败或解密超时，</w:t>
      </w:r>
      <w:r>
        <w:rPr>
          <w:rFonts w:hint="eastAsia" w:ascii="仿宋" w:hAnsi="仿宋" w:eastAsia="仿宋" w:cs="仿宋"/>
          <w:color w:val="auto"/>
          <w:kern w:val="2"/>
          <w:sz w:val="28"/>
          <w:szCs w:val="28"/>
          <w:highlight w:val="none"/>
          <w:lang w:val="en-US" w:eastAsia="zh-CN" w:bidi="ar"/>
        </w:rPr>
        <w:t>响应</w:t>
      </w:r>
      <w:r>
        <w:rPr>
          <w:rFonts w:hint="eastAsia" w:ascii="仿宋" w:hAnsi="仿宋" w:eastAsia="仿宋" w:cs="仿宋"/>
          <w:color w:val="auto"/>
          <w:kern w:val="2"/>
          <w:sz w:val="28"/>
          <w:szCs w:val="28"/>
          <w:highlight w:val="none"/>
          <w:lang w:bidi="ar"/>
        </w:rPr>
        <w:t>文件无效；因采购代理机构原因或网上平台发生故障，导致无法按时完成</w:t>
      </w:r>
      <w:r>
        <w:rPr>
          <w:rFonts w:hint="eastAsia" w:ascii="仿宋" w:hAnsi="仿宋" w:eastAsia="仿宋" w:cs="仿宋"/>
          <w:color w:val="auto"/>
          <w:kern w:val="2"/>
          <w:sz w:val="28"/>
          <w:szCs w:val="28"/>
          <w:highlight w:val="none"/>
          <w:lang w:val="en-US" w:eastAsia="zh-CN" w:bidi="ar"/>
        </w:rPr>
        <w:t>响应</w:t>
      </w:r>
      <w:r>
        <w:rPr>
          <w:rFonts w:hint="eastAsia" w:ascii="仿宋" w:hAnsi="仿宋" w:eastAsia="仿宋" w:cs="仿宋"/>
          <w:color w:val="auto"/>
          <w:kern w:val="2"/>
          <w:sz w:val="28"/>
          <w:szCs w:val="28"/>
          <w:highlight w:val="none"/>
          <w:lang w:bidi="ar"/>
        </w:rPr>
        <w:t>文件解密的，经采购代理机构申请后可延迟解密时间</w:t>
      </w:r>
      <w:r>
        <w:rPr>
          <w:rFonts w:hint="eastAsia" w:ascii="仿宋" w:hAnsi="仿宋" w:eastAsia="仿宋" w:cs="仿宋"/>
          <w:color w:val="auto"/>
          <w:kern w:val="2"/>
          <w:sz w:val="28"/>
          <w:szCs w:val="28"/>
          <w:highlight w:val="none"/>
          <w:lang w:val="en-US" w:eastAsia="zh-CN" w:bidi="ar"/>
        </w:rPr>
        <w:t>。</w:t>
      </w:r>
    </w:p>
    <w:p w14:paraId="23318D72">
      <w:pPr>
        <w:keepNext/>
        <w:keepLines/>
        <w:spacing w:before="260" w:after="260"/>
        <w:rPr>
          <w:rFonts w:hint="eastAsia" w:ascii="黑体" w:hAnsi="宋体" w:eastAsia="黑体" w:cs="黑体"/>
          <w:color w:val="auto"/>
          <w:kern w:val="2"/>
          <w:sz w:val="28"/>
          <w:szCs w:val="28"/>
          <w:highlight w:val="none"/>
          <w:lang w:bidi="ar"/>
        </w:rPr>
      </w:pPr>
      <w:r>
        <w:rPr>
          <w:rFonts w:hint="eastAsia" w:ascii="黑体" w:eastAsia="黑体" w:cs="黑体"/>
          <w:color w:val="auto"/>
          <w:kern w:val="2"/>
          <w:sz w:val="28"/>
          <w:szCs w:val="28"/>
          <w:highlight w:val="none"/>
          <w:lang w:val="en-US" w:eastAsia="zh-CN" w:bidi="ar"/>
        </w:rPr>
        <w:t>九</w:t>
      </w:r>
      <w:r>
        <w:rPr>
          <w:rFonts w:hint="eastAsia" w:ascii="黑体" w:hAnsi="宋体" w:eastAsia="黑体" w:cs="黑体"/>
          <w:color w:val="auto"/>
          <w:kern w:val="2"/>
          <w:sz w:val="28"/>
          <w:szCs w:val="28"/>
          <w:highlight w:val="none"/>
          <w:lang w:bidi="ar"/>
        </w:rPr>
        <w:t>、对本次招标提出询问，请按以下方式联系</w:t>
      </w:r>
    </w:p>
    <w:bookmarkEnd w:id="2"/>
    <w:bookmarkEnd w:id="3"/>
    <w:p w14:paraId="046C8C8F">
      <w:pPr>
        <w:wordWrap w:val="0"/>
        <w:autoSpaceDE w:val="0"/>
        <w:ind w:firstLine="560" w:firstLineChars="200"/>
        <w:rPr>
          <w:rFonts w:hint="eastAsia" w:ascii="仿宋" w:hAnsi="仿宋" w:eastAsia="仿宋" w:cs="仿宋"/>
          <w:color w:val="auto"/>
          <w:kern w:val="2"/>
          <w:sz w:val="28"/>
          <w:szCs w:val="28"/>
          <w:highlight w:val="none"/>
          <w:lang w:val="en-US" w:eastAsia="zh-CN" w:bidi="ar"/>
        </w:rPr>
      </w:pPr>
      <w:bookmarkStart w:id="21" w:name="_Toc13220"/>
      <w:r>
        <w:rPr>
          <w:rFonts w:hint="eastAsia" w:ascii="仿宋" w:hAnsi="仿宋" w:eastAsia="仿宋" w:cs="仿宋"/>
          <w:color w:val="auto"/>
          <w:kern w:val="2"/>
          <w:sz w:val="28"/>
          <w:szCs w:val="28"/>
          <w:highlight w:val="none"/>
          <w:lang w:bidi="ar"/>
        </w:rPr>
        <w:t>1.采购人</w:t>
      </w:r>
      <w:r>
        <w:rPr>
          <w:rFonts w:hint="eastAsia" w:ascii="仿宋" w:hAnsi="仿宋" w:eastAsia="仿宋" w:cs="仿宋"/>
          <w:color w:val="auto"/>
          <w:kern w:val="2"/>
          <w:sz w:val="28"/>
          <w:szCs w:val="28"/>
          <w:highlight w:val="none"/>
          <w:lang w:val="en-US" w:eastAsia="zh-CN" w:bidi="ar"/>
        </w:rPr>
        <w:t>信息</w:t>
      </w:r>
    </w:p>
    <w:p w14:paraId="0FE4B14E">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名  称</w:t>
      </w:r>
      <w:r>
        <w:rPr>
          <w:rFonts w:hint="eastAsia" w:ascii="仿宋" w:hAnsi="仿宋" w:eastAsia="仿宋" w:cs="仿宋"/>
          <w:color w:val="auto"/>
          <w:kern w:val="2"/>
          <w:sz w:val="28"/>
          <w:szCs w:val="28"/>
          <w:highlight w:val="none"/>
          <w:lang w:bidi="ar"/>
        </w:rPr>
        <w:t>：</w:t>
      </w:r>
      <w:r>
        <w:rPr>
          <w:rFonts w:hint="eastAsia" w:ascii="仿宋" w:hAnsi="仿宋" w:eastAsia="仿宋" w:cs="仿宋"/>
          <w:color w:val="auto"/>
          <w:kern w:val="2"/>
          <w:sz w:val="28"/>
          <w:szCs w:val="28"/>
          <w:highlight w:val="none"/>
          <w:u w:val="single"/>
          <w:lang w:val="en-US" w:eastAsia="zh-CN" w:bidi="ar"/>
        </w:rPr>
        <w:t>滁州学院</w:t>
      </w:r>
    </w:p>
    <w:p w14:paraId="1595D5BE">
      <w:pPr>
        <w:tabs>
          <w:tab w:val="left" w:pos="1600"/>
        </w:tabs>
        <w:wordWrap w:val="0"/>
        <w:autoSpaceDE w:val="0"/>
        <w:ind w:firstLine="560" w:firstLineChars="20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地  址：</w:t>
      </w:r>
      <w:r>
        <w:rPr>
          <w:rFonts w:hint="eastAsia" w:ascii="仿宋" w:hAnsi="仿宋" w:eastAsia="仿宋" w:cs="仿宋"/>
          <w:color w:val="auto"/>
          <w:kern w:val="2"/>
          <w:sz w:val="28"/>
          <w:szCs w:val="28"/>
          <w:highlight w:val="none"/>
          <w:u w:val="single"/>
          <w:lang w:val="en-US" w:eastAsia="zh-CN" w:bidi="ar"/>
        </w:rPr>
        <w:t>安徽省滁州市会峰西路1号滁州学院会峰校区</w:t>
      </w:r>
    </w:p>
    <w:p w14:paraId="456AA8BC">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联系人：</w:t>
      </w:r>
      <w:r>
        <w:rPr>
          <w:rFonts w:hint="eastAsia" w:ascii="仿宋" w:hAnsi="仿宋" w:eastAsia="仿宋" w:cs="仿宋"/>
          <w:color w:val="auto"/>
          <w:kern w:val="2"/>
          <w:sz w:val="28"/>
          <w:szCs w:val="28"/>
          <w:highlight w:val="none"/>
          <w:u w:val="single"/>
          <w:lang w:val="en-US" w:eastAsia="zh-CN" w:bidi="ar"/>
        </w:rPr>
        <w:t>王老师</w:t>
      </w:r>
    </w:p>
    <w:p w14:paraId="2FFA140A">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bidi="ar"/>
        </w:rPr>
        <w:t>联系</w:t>
      </w:r>
      <w:r>
        <w:rPr>
          <w:rFonts w:hint="eastAsia" w:ascii="仿宋" w:hAnsi="仿宋" w:eastAsia="仿宋" w:cs="仿宋"/>
          <w:color w:val="auto"/>
          <w:kern w:val="2"/>
          <w:sz w:val="28"/>
          <w:szCs w:val="28"/>
          <w:highlight w:val="none"/>
          <w:lang w:val="en-US" w:eastAsia="zh-CN" w:bidi="ar"/>
        </w:rPr>
        <w:t>方式</w:t>
      </w:r>
      <w:r>
        <w:rPr>
          <w:rFonts w:hint="eastAsia" w:ascii="仿宋" w:hAnsi="仿宋" w:eastAsia="仿宋" w:cs="仿宋"/>
          <w:color w:val="auto"/>
          <w:kern w:val="2"/>
          <w:sz w:val="28"/>
          <w:szCs w:val="28"/>
          <w:highlight w:val="none"/>
          <w:lang w:bidi="ar"/>
        </w:rPr>
        <w:t>：</w:t>
      </w:r>
      <w:r>
        <w:rPr>
          <w:rFonts w:hint="eastAsia" w:ascii="仿宋" w:hAnsi="仿宋" w:eastAsia="仿宋" w:cs="仿宋"/>
          <w:color w:val="auto"/>
          <w:kern w:val="2"/>
          <w:sz w:val="28"/>
          <w:szCs w:val="28"/>
          <w:highlight w:val="none"/>
          <w:u w:val="single"/>
          <w:lang w:val="en-US" w:eastAsia="zh-CN" w:bidi="ar"/>
        </w:rPr>
        <w:t>0550-3512003</w:t>
      </w:r>
    </w:p>
    <w:p w14:paraId="42BF5C59">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bidi="ar"/>
        </w:rPr>
        <w:t>2.采购代理机构</w:t>
      </w:r>
      <w:r>
        <w:rPr>
          <w:rFonts w:hint="eastAsia" w:ascii="仿宋" w:hAnsi="仿宋" w:eastAsia="仿宋" w:cs="仿宋"/>
          <w:color w:val="auto"/>
          <w:kern w:val="2"/>
          <w:sz w:val="28"/>
          <w:szCs w:val="28"/>
          <w:highlight w:val="none"/>
          <w:lang w:val="en-US" w:eastAsia="zh-CN" w:bidi="ar"/>
        </w:rPr>
        <w:t>信息</w:t>
      </w:r>
    </w:p>
    <w:p w14:paraId="19FD24C7">
      <w:pPr>
        <w:wordWrap w:val="0"/>
        <w:autoSpaceDE w:val="0"/>
        <w:ind w:firstLine="560" w:firstLineChars="20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val="en-US" w:eastAsia="zh-CN" w:bidi="ar"/>
        </w:rPr>
        <w:t>名  称</w:t>
      </w:r>
      <w:r>
        <w:rPr>
          <w:rFonts w:hint="eastAsia" w:ascii="仿宋" w:hAnsi="仿宋" w:eastAsia="仿宋" w:cs="仿宋"/>
          <w:color w:val="auto"/>
          <w:kern w:val="2"/>
          <w:sz w:val="28"/>
          <w:szCs w:val="28"/>
          <w:highlight w:val="none"/>
          <w:lang w:bidi="ar"/>
        </w:rPr>
        <w:t>：</w:t>
      </w:r>
      <w:r>
        <w:rPr>
          <w:rFonts w:hint="eastAsia" w:ascii="仿宋" w:hAnsi="仿宋" w:eastAsia="仿宋" w:cs="仿宋"/>
          <w:color w:val="auto"/>
          <w:kern w:val="2"/>
          <w:sz w:val="28"/>
          <w:szCs w:val="28"/>
          <w:highlight w:val="none"/>
          <w:u w:val="single"/>
          <w:lang w:bidi="ar"/>
        </w:rPr>
        <w:t>滁州市城投工程咨询管理有限公司</w:t>
      </w:r>
    </w:p>
    <w:p w14:paraId="562EB3EF">
      <w:pPr>
        <w:wordWrap w:val="0"/>
        <w:autoSpaceDE w:val="0"/>
        <w:ind w:firstLine="560" w:firstLineChars="200"/>
        <w:rPr>
          <w:rFonts w:hint="eastAsia" w:ascii="仿宋" w:hAnsi="仿宋" w:eastAsia="仿宋" w:cs="仿宋"/>
          <w:color w:val="auto"/>
          <w:kern w:val="2"/>
          <w:sz w:val="28"/>
          <w:szCs w:val="28"/>
          <w:highlight w:val="none"/>
          <w:lang w:bidi="ar"/>
        </w:rPr>
      </w:pPr>
      <w:r>
        <w:rPr>
          <w:rFonts w:hint="eastAsia" w:ascii="仿宋" w:hAnsi="仿宋" w:eastAsia="仿宋" w:cs="仿宋"/>
          <w:color w:val="auto"/>
          <w:kern w:val="2"/>
          <w:sz w:val="28"/>
          <w:szCs w:val="28"/>
          <w:highlight w:val="none"/>
          <w:lang w:bidi="ar"/>
        </w:rPr>
        <w:t>地  址：</w:t>
      </w:r>
      <w:r>
        <w:rPr>
          <w:rFonts w:hint="eastAsia" w:ascii="仿宋" w:hAnsi="仿宋" w:eastAsia="仿宋" w:cs="仿宋"/>
          <w:color w:val="auto"/>
          <w:kern w:val="2"/>
          <w:sz w:val="28"/>
          <w:szCs w:val="28"/>
          <w:highlight w:val="none"/>
          <w:u w:val="single"/>
          <w:lang w:bidi="ar"/>
        </w:rPr>
        <w:t>滁州市龙蟠大道109号房产大厦6楼</w:t>
      </w:r>
    </w:p>
    <w:p w14:paraId="43A4AEA7">
      <w:pPr>
        <w:wordWrap w:val="0"/>
        <w:autoSpaceDE w:val="0"/>
        <w:ind w:firstLine="560" w:firstLineChars="200"/>
        <w:rPr>
          <w:rFonts w:hint="default"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联系人：</w:t>
      </w:r>
      <w:r>
        <w:rPr>
          <w:rFonts w:hint="eastAsia" w:ascii="仿宋" w:hAnsi="仿宋" w:eastAsia="仿宋" w:cs="仿宋"/>
          <w:color w:val="auto"/>
          <w:kern w:val="2"/>
          <w:sz w:val="28"/>
          <w:szCs w:val="28"/>
          <w:highlight w:val="none"/>
          <w:u w:val="single"/>
          <w:lang w:val="en-US" w:eastAsia="zh-CN" w:bidi="ar"/>
        </w:rPr>
        <w:t>杨韦</w:t>
      </w:r>
    </w:p>
    <w:p w14:paraId="6E3141D6">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联系方式：</w:t>
      </w:r>
      <w:r>
        <w:rPr>
          <w:rFonts w:hint="eastAsia" w:ascii="仿宋" w:hAnsi="仿宋" w:eastAsia="仿宋" w:cs="仿宋"/>
          <w:color w:val="auto"/>
          <w:kern w:val="2"/>
          <w:sz w:val="28"/>
          <w:szCs w:val="28"/>
          <w:highlight w:val="none"/>
          <w:u w:val="single"/>
          <w:lang w:val="en-US" w:eastAsia="zh-CN" w:bidi="ar"/>
        </w:rPr>
        <w:t>0550-3519590、18005501210</w:t>
      </w:r>
    </w:p>
    <w:p w14:paraId="55B11098">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3.</w:t>
      </w:r>
      <w:bookmarkEnd w:id="21"/>
      <w:r>
        <w:rPr>
          <w:rFonts w:hint="eastAsia" w:ascii="仿宋" w:hAnsi="仿宋" w:eastAsia="仿宋" w:cs="仿宋"/>
          <w:color w:val="auto"/>
          <w:kern w:val="2"/>
          <w:sz w:val="28"/>
          <w:szCs w:val="28"/>
          <w:highlight w:val="none"/>
          <w:lang w:val="en-US" w:eastAsia="zh-CN" w:bidi="ar"/>
        </w:rPr>
        <w:t>政府采购监督管理部门信息</w:t>
      </w:r>
    </w:p>
    <w:p w14:paraId="71C33E4C">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名  称：</w:t>
      </w:r>
      <w:r>
        <w:rPr>
          <w:rFonts w:hint="eastAsia" w:ascii="仿宋" w:hAnsi="仿宋" w:eastAsia="仿宋" w:cs="仿宋"/>
          <w:color w:val="auto"/>
          <w:kern w:val="2"/>
          <w:sz w:val="28"/>
          <w:szCs w:val="28"/>
          <w:highlight w:val="none"/>
          <w:u w:val="single"/>
          <w:lang w:val="en-US" w:eastAsia="zh-CN" w:bidi="ar"/>
        </w:rPr>
        <w:t>安徽省财政厅</w:t>
      </w:r>
    </w:p>
    <w:p w14:paraId="6F379ABA">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地  址：</w:t>
      </w:r>
      <w:r>
        <w:rPr>
          <w:rFonts w:hint="eastAsia" w:ascii="仿宋" w:hAnsi="仿宋" w:eastAsia="仿宋" w:cs="仿宋"/>
          <w:color w:val="auto"/>
          <w:kern w:val="2"/>
          <w:sz w:val="28"/>
          <w:szCs w:val="28"/>
          <w:highlight w:val="none"/>
          <w:u w:val="single"/>
          <w:lang w:val="en-US" w:eastAsia="zh-CN" w:bidi="ar"/>
        </w:rPr>
        <w:t>合肥市阜南西路238号</w:t>
      </w:r>
    </w:p>
    <w:p w14:paraId="3699538B">
      <w:pPr>
        <w:wordWrap w:val="0"/>
        <w:autoSpaceDE w:val="0"/>
        <w:ind w:firstLine="560" w:firstLineChars="200"/>
        <w:rPr>
          <w:rFonts w:hint="eastAsia" w:ascii="仿宋" w:hAnsi="仿宋" w:eastAsia="仿宋" w:cs="仿宋"/>
          <w:color w:val="auto"/>
          <w:kern w:val="2"/>
          <w:sz w:val="28"/>
          <w:szCs w:val="28"/>
          <w:highlight w:val="none"/>
          <w:lang w:val="en-US" w:eastAsia="zh-CN" w:bidi="ar"/>
        </w:rPr>
      </w:pPr>
      <w:r>
        <w:rPr>
          <w:rFonts w:hint="eastAsia" w:ascii="仿宋" w:hAnsi="仿宋" w:eastAsia="仿宋" w:cs="仿宋"/>
          <w:color w:val="auto"/>
          <w:kern w:val="2"/>
          <w:sz w:val="28"/>
          <w:szCs w:val="28"/>
          <w:highlight w:val="none"/>
          <w:lang w:val="en-US" w:eastAsia="zh-CN" w:bidi="ar"/>
        </w:rPr>
        <w:t>联系方式：</w:t>
      </w:r>
      <w:r>
        <w:rPr>
          <w:rFonts w:hint="eastAsia" w:ascii="仿宋" w:hAnsi="仿宋" w:eastAsia="仿宋" w:cs="仿宋"/>
          <w:color w:val="auto"/>
          <w:kern w:val="2"/>
          <w:sz w:val="28"/>
          <w:szCs w:val="28"/>
          <w:highlight w:val="none"/>
          <w:u w:val="single"/>
          <w:lang w:val="en-US" w:eastAsia="zh-CN" w:bidi="ar"/>
        </w:rPr>
        <w:t>0551-68150413</w:t>
      </w:r>
    </w:p>
    <w:p w14:paraId="745B1D5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br w:type="page"/>
      </w:r>
    </w:p>
    <w:p w14:paraId="550CDE70">
      <w:pPr>
        <w:spacing w:line="360" w:lineRule="auto"/>
        <w:jc w:val="center"/>
        <w:outlineLvl w:val="0"/>
        <w:rPr>
          <w:rFonts w:hint="eastAsia" w:asciiTheme="minorEastAsia" w:hAnsiTheme="minorEastAsia" w:eastAsiaTheme="minorEastAsia"/>
          <w:b/>
          <w:color w:val="auto"/>
          <w:sz w:val="28"/>
          <w:highlight w:val="none"/>
        </w:rPr>
      </w:pPr>
      <w:bookmarkStart w:id="22" w:name="_Toc28080"/>
      <w:r>
        <w:rPr>
          <w:rFonts w:hint="eastAsia" w:asciiTheme="minorEastAsia" w:hAnsiTheme="minorEastAsia" w:eastAsiaTheme="minorEastAsia"/>
          <w:b/>
          <w:color w:val="auto"/>
          <w:sz w:val="28"/>
          <w:highlight w:val="none"/>
        </w:rPr>
        <w:t>第二章  供应商须知</w:t>
      </w:r>
      <w:bookmarkEnd w:id="22"/>
    </w:p>
    <w:p w14:paraId="284E81EC">
      <w:pPr>
        <w:keepNext w:val="0"/>
        <w:keepLines w:val="0"/>
        <w:pageBreakBefore w:val="0"/>
        <w:kinsoku/>
        <w:overflowPunct/>
        <w:autoSpaceDE/>
        <w:autoSpaceDN/>
        <w:bidi w:val="0"/>
        <w:spacing w:line="520" w:lineRule="exact"/>
        <w:jc w:val="center"/>
        <w:textAlignment w:val="auto"/>
        <w:outlineLvl w:val="1"/>
        <w:rPr>
          <w:rFonts w:asciiTheme="minorEastAsia" w:hAnsiTheme="minorEastAsia" w:eastAsiaTheme="minorEastAsia"/>
          <w:b/>
          <w:color w:val="auto"/>
          <w:sz w:val="24"/>
          <w:highlight w:val="none"/>
        </w:rPr>
      </w:pPr>
      <w:bookmarkStart w:id="23" w:name="_Toc12027"/>
      <w:bookmarkStart w:id="24" w:name="_Toc18621"/>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23"/>
      <w:bookmarkEnd w:id="24"/>
    </w:p>
    <w:p w14:paraId="4DB65BD7">
      <w:pPr>
        <w:keepNext w:val="0"/>
        <w:keepLines w:val="0"/>
        <w:pageBreakBefore w:val="0"/>
        <w:kinsoku/>
        <w:overflowPunct/>
        <w:autoSpaceDE/>
        <w:autoSpaceDN/>
        <w:bidi w:val="0"/>
        <w:spacing w:line="520" w:lineRule="exact"/>
        <w:ind w:firstLine="435"/>
        <w:textAlignment w:val="auto"/>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本表是本项目的具体要求，是对供应商须知的具体补充和修改，如有不一致，以本表为准。</w:t>
      </w:r>
    </w:p>
    <w:tbl>
      <w:tblPr>
        <w:tblStyle w:val="55"/>
        <w:tblW w:w="5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2253"/>
        <w:gridCol w:w="6767"/>
      </w:tblGrid>
      <w:tr w14:paraId="071D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6A33BF18">
            <w:pPr>
              <w:pStyle w:val="69"/>
              <w:keepNext w:val="0"/>
              <w:keepLines w:val="0"/>
              <w:pageBreakBefore w:val="0"/>
              <w:widowControl w:val="0"/>
              <w:kinsoku/>
              <w:overflowPunct/>
              <w:autoSpaceDE/>
              <w:autoSpaceDN/>
              <w:bidi w:val="0"/>
              <w:spacing w:before="0" w:beforeAutospacing="0" w:after="0" w:afterAutospacing="0" w:line="520" w:lineRule="exact"/>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条款号</w:t>
            </w:r>
          </w:p>
        </w:tc>
        <w:tc>
          <w:tcPr>
            <w:tcW w:w="1110" w:type="pct"/>
            <w:vAlign w:val="center"/>
          </w:tcPr>
          <w:p w14:paraId="5740AE66">
            <w:pPr>
              <w:pStyle w:val="69"/>
              <w:keepNext w:val="0"/>
              <w:keepLines w:val="0"/>
              <w:pageBreakBefore w:val="0"/>
              <w:widowControl w:val="0"/>
              <w:kinsoku/>
              <w:overflowPunct/>
              <w:autoSpaceDE/>
              <w:autoSpaceDN/>
              <w:bidi w:val="0"/>
              <w:spacing w:before="0" w:beforeAutospacing="0" w:after="0" w:afterAutospacing="0" w:line="520" w:lineRule="exact"/>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条款名称</w:t>
            </w:r>
          </w:p>
        </w:tc>
        <w:tc>
          <w:tcPr>
            <w:tcW w:w="3334" w:type="pct"/>
            <w:vAlign w:val="center"/>
          </w:tcPr>
          <w:p w14:paraId="3562C6ED">
            <w:pPr>
              <w:pStyle w:val="69"/>
              <w:keepNext w:val="0"/>
              <w:keepLines w:val="0"/>
              <w:pageBreakBefore w:val="0"/>
              <w:widowControl w:val="0"/>
              <w:kinsoku/>
              <w:overflowPunct/>
              <w:autoSpaceDE/>
              <w:autoSpaceDN/>
              <w:bidi w:val="0"/>
              <w:spacing w:before="0" w:beforeAutospacing="0" w:after="0" w:afterAutospacing="0" w:line="520" w:lineRule="exact"/>
              <w:textAlignment w:val="auto"/>
              <w:rPr>
                <w:rFonts w:hint="eastAsia" w:ascii="宋体" w:hAnsi="宋体" w:eastAsia="宋体" w:cs="宋体"/>
                <w:bCs w:val="0"/>
                <w:color w:val="auto"/>
                <w:kern w:val="2"/>
                <w:sz w:val="24"/>
                <w:szCs w:val="24"/>
                <w:highlight w:val="none"/>
              </w:rPr>
            </w:pPr>
            <w:r>
              <w:rPr>
                <w:rFonts w:hint="eastAsia" w:ascii="宋体" w:hAnsi="宋体" w:eastAsia="宋体" w:cs="宋体"/>
                <w:bCs w:val="0"/>
                <w:color w:val="auto"/>
                <w:kern w:val="2"/>
                <w:sz w:val="24"/>
                <w:szCs w:val="24"/>
                <w:highlight w:val="none"/>
              </w:rPr>
              <w:t>内容、说明与要求</w:t>
            </w:r>
          </w:p>
        </w:tc>
      </w:tr>
      <w:tr w14:paraId="2C05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76E62375">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5</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2</w:t>
            </w:r>
          </w:p>
        </w:tc>
        <w:tc>
          <w:tcPr>
            <w:tcW w:w="1110" w:type="pct"/>
            <w:vAlign w:val="center"/>
          </w:tcPr>
          <w:p w14:paraId="30270BDA">
            <w:pPr>
              <w:pStyle w:val="69"/>
              <w:keepNext w:val="0"/>
              <w:keepLines w:val="0"/>
              <w:pageBreakBefore w:val="0"/>
              <w:widowControl w:val="0"/>
              <w:kinsoku/>
              <w:overflowPunct/>
              <w:autoSpaceDE/>
              <w:autoSpaceDN/>
              <w:bidi w:val="0"/>
              <w:spacing w:before="0" w:beforeAutospacing="0" w:after="0" w:afterAutospacing="0" w:line="52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现场考察</w:t>
            </w:r>
            <w:r>
              <w:rPr>
                <w:rFonts w:hint="eastAsia" w:ascii="宋体" w:hAnsi="宋体" w:eastAsia="宋体" w:cs="宋体"/>
                <w:b w:val="0"/>
                <w:color w:val="auto"/>
                <w:sz w:val="24"/>
                <w:szCs w:val="24"/>
                <w:highlight w:val="none"/>
                <w:lang w:val="en-US" w:eastAsia="zh-CN"/>
              </w:rPr>
              <w:t>或标前答疑会</w:t>
            </w:r>
          </w:p>
        </w:tc>
        <w:tc>
          <w:tcPr>
            <w:tcW w:w="3334" w:type="pct"/>
            <w:vAlign w:val="center"/>
          </w:tcPr>
          <w:p w14:paraId="32F5682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val="en-US" w:eastAsia="zh-CN"/>
              </w:rPr>
              <w:t>或不召开</w:t>
            </w:r>
          </w:p>
          <w:p w14:paraId="613CBFB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统一组织</w:t>
            </w:r>
            <w:r>
              <w:rPr>
                <w:rFonts w:hint="eastAsia" w:ascii="宋体" w:hAnsi="宋体" w:eastAsia="宋体" w:cs="宋体"/>
                <w:bCs/>
                <w:color w:val="auto"/>
                <w:sz w:val="24"/>
                <w:szCs w:val="24"/>
                <w:highlight w:val="none"/>
                <w:lang w:val="en-US" w:eastAsia="zh-CN"/>
              </w:rPr>
              <w:t>或统一召开</w:t>
            </w:r>
          </w:p>
          <w:p w14:paraId="7D53BC7C">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时间：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分</w:t>
            </w:r>
          </w:p>
          <w:p w14:paraId="013D697E">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地点：</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p>
          <w:p w14:paraId="5DC2154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联系人及联系电话：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p>
          <w:p w14:paraId="3A278B5B">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lang w:eastAsia="zh-CN"/>
              </w:rPr>
              <w:t>注：</w:t>
            </w:r>
            <w:r>
              <w:rPr>
                <w:rFonts w:hint="eastAsia" w:ascii="宋体" w:hAnsi="宋体" w:eastAsia="宋体" w:cs="宋体"/>
                <w:bCs w:val="0"/>
                <w:color w:val="auto"/>
                <w:sz w:val="24"/>
                <w:szCs w:val="24"/>
                <w:highlight w:val="none"/>
              </w:rPr>
              <w:t>如</w:t>
            </w:r>
            <w:r>
              <w:rPr>
                <w:rFonts w:hint="eastAsia" w:ascii="宋体" w:hAnsi="宋体" w:eastAsia="宋体" w:cs="宋体"/>
                <w:bCs w:val="0"/>
                <w:color w:val="auto"/>
                <w:sz w:val="24"/>
                <w:szCs w:val="24"/>
                <w:highlight w:val="none"/>
                <w:lang w:val="en-US" w:eastAsia="zh-CN"/>
              </w:rPr>
              <w:t>供应商</w:t>
            </w:r>
            <w:r>
              <w:rPr>
                <w:rFonts w:hint="eastAsia" w:ascii="宋体" w:hAnsi="宋体" w:eastAsia="宋体" w:cs="宋体"/>
                <w:bCs w:val="0"/>
                <w:color w:val="auto"/>
                <w:sz w:val="24"/>
                <w:szCs w:val="24"/>
                <w:highlight w:val="none"/>
              </w:rPr>
              <w:t>未参加采购人统一组织的现场考察</w:t>
            </w:r>
            <w:r>
              <w:rPr>
                <w:rFonts w:hint="eastAsia" w:ascii="宋体" w:hAnsi="宋体" w:eastAsia="宋体" w:cs="宋体"/>
                <w:bCs w:val="0"/>
                <w:color w:val="auto"/>
                <w:sz w:val="24"/>
                <w:szCs w:val="24"/>
                <w:highlight w:val="none"/>
                <w:lang w:val="en-US" w:eastAsia="zh-CN"/>
              </w:rPr>
              <w:t>或采购人统一召开的标前答疑会</w:t>
            </w:r>
            <w:r>
              <w:rPr>
                <w:rFonts w:hint="eastAsia" w:ascii="宋体" w:hAnsi="宋体" w:eastAsia="宋体" w:cs="宋体"/>
                <w:bCs w:val="0"/>
                <w:color w:val="auto"/>
                <w:sz w:val="24"/>
                <w:szCs w:val="24"/>
                <w:highlight w:val="none"/>
              </w:rPr>
              <w:t>，视同放弃现场考察</w:t>
            </w:r>
            <w:r>
              <w:rPr>
                <w:rFonts w:hint="eastAsia" w:ascii="宋体" w:hAnsi="宋体" w:eastAsia="宋体" w:cs="宋体"/>
                <w:bCs w:val="0"/>
                <w:color w:val="auto"/>
                <w:sz w:val="24"/>
                <w:szCs w:val="24"/>
                <w:highlight w:val="none"/>
                <w:lang w:val="en-US" w:eastAsia="zh-CN"/>
              </w:rPr>
              <w:t>或标前答疑会</w:t>
            </w:r>
            <w:r>
              <w:rPr>
                <w:rFonts w:hint="eastAsia" w:ascii="宋体" w:hAnsi="宋体" w:eastAsia="宋体" w:cs="宋体"/>
                <w:bCs w:val="0"/>
                <w:color w:val="auto"/>
                <w:sz w:val="24"/>
                <w:szCs w:val="24"/>
                <w:highlight w:val="none"/>
              </w:rPr>
              <w:t>，由此引起的一切责任由</w:t>
            </w:r>
            <w:r>
              <w:rPr>
                <w:rFonts w:hint="eastAsia" w:ascii="宋体" w:hAnsi="宋体" w:eastAsia="宋体" w:cs="宋体"/>
                <w:bCs w:val="0"/>
                <w:color w:val="auto"/>
                <w:sz w:val="24"/>
                <w:szCs w:val="24"/>
                <w:highlight w:val="none"/>
                <w:lang w:val="en-US" w:eastAsia="zh-CN"/>
              </w:rPr>
              <w:t>供应商</w:t>
            </w:r>
            <w:r>
              <w:rPr>
                <w:rFonts w:hint="eastAsia" w:ascii="宋体" w:hAnsi="宋体" w:eastAsia="宋体" w:cs="宋体"/>
                <w:bCs w:val="0"/>
                <w:color w:val="auto"/>
                <w:sz w:val="24"/>
                <w:szCs w:val="24"/>
                <w:highlight w:val="none"/>
              </w:rPr>
              <w:t>自行承担。</w:t>
            </w:r>
          </w:p>
        </w:tc>
      </w:tr>
      <w:tr w14:paraId="79F19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5" w:type="pct"/>
            <w:vAlign w:val="center"/>
          </w:tcPr>
          <w:p w14:paraId="750F0D89">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6</w:t>
            </w:r>
            <w:r>
              <w:rPr>
                <w:rFonts w:hint="eastAsia" w:ascii="宋体" w:hAnsi="宋体" w:eastAsia="宋体" w:cs="宋体"/>
                <w:bCs/>
                <w:color w:val="auto"/>
                <w:kern w:val="2"/>
                <w:sz w:val="24"/>
                <w:szCs w:val="24"/>
                <w:highlight w:val="none"/>
              </w:rPr>
              <w:t>.1</w:t>
            </w:r>
          </w:p>
        </w:tc>
        <w:tc>
          <w:tcPr>
            <w:tcW w:w="1110" w:type="pct"/>
            <w:vAlign w:val="center"/>
          </w:tcPr>
          <w:p w14:paraId="7D52B3AD">
            <w:pPr>
              <w:pStyle w:val="69"/>
              <w:keepNext w:val="0"/>
              <w:keepLines w:val="0"/>
              <w:pageBreakBefore w:val="0"/>
              <w:widowControl w:val="0"/>
              <w:kinsoku/>
              <w:overflowPunct/>
              <w:autoSpaceDE/>
              <w:autoSpaceDN/>
              <w:bidi w:val="0"/>
              <w:spacing w:before="0" w:beforeAutospacing="0" w:after="0" w:afterAutospacing="0" w:line="52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网上询问截止时间</w:t>
            </w:r>
          </w:p>
        </w:tc>
        <w:tc>
          <w:tcPr>
            <w:tcW w:w="3334" w:type="pct"/>
            <w:vAlign w:val="center"/>
          </w:tcPr>
          <w:p w14:paraId="7913F2FB">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default" w:ascii="宋体" w:hAnsi="宋体" w:eastAsia="宋体" w:cs="宋体"/>
                <w:b w:val="0"/>
                <w:color w:val="auto"/>
                <w:sz w:val="24"/>
                <w:szCs w:val="24"/>
                <w:highlight w:val="none"/>
                <w:lang w:val="en-US" w:eastAsia="zh-CN"/>
              </w:rPr>
            </w:pPr>
            <w:r>
              <w:rPr>
                <w:rFonts w:hint="eastAsia"/>
                <w:b w:val="0"/>
                <w:color w:val="auto"/>
                <w:sz w:val="24"/>
                <w:highlight w:val="none"/>
              </w:rPr>
              <w:t>202</w:t>
            </w:r>
            <w:r>
              <w:rPr>
                <w:rFonts w:hint="eastAsia"/>
                <w:b w:val="0"/>
                <w:color w:val="auto"/>
                <w:sz w:val="24"/>
                <w:highlight w:val="none"/>
                <w:lang w:val="en-US" w:eastAsia="zh-CN"/>
              </w:rPr>
              <w:t>5</w:t>
            </w:r>
            <w:r>
              <w:rPr>
                <w:rFonts w:hint="eastAsia"/>
                <w:b w:val="0"/>
                <w:color w:val="auto"/>
                <w:sz w:val="24"/>
                <w:highlight w:val="none"/>
              </w:rPr>
              <w:t>年</w:t>
            </w:r>
            <w:r>
              <w:rPr>
                <w:rFonts w:hint="eastAsia"/>
                <w:b w:val="0"/>
                <w:color w:val="auto"/>
                <w:sz w:val="24"/>
                <w:highlight w:val="none"/>
                <w:lang w:val="en-US" w:eastAsia="zh-CN"/>
              </w:rPr>
              <w:t>4</w:t>
            </w:r>
            <w:r>
              <w:rPr>
                <w:rFonts w:hint="eastAsia"/>
                <w:b w:val="0"/>
                <w:color w:val="auto"/>
                <w:sz w:val="24"/>
                <w:highlight w:val="none"/>
              </w:rPr>
              <w:t>月</w:t>
            </w:r>
            <w:r>
              <w:rPr>
                <w:rFonts w:hint="eastAsia"/>
                <w:b w:val="0"/>
                <w:color w:val="auto"/>
                <w:sz w:val="24"/>
                <w:highlight w:val="none"/>
                <w:lang w:val="en-US" w:eastAsia="zh-CN"/>
              </w:rPr>
              <w:t>14</w:t>
            </w:r>
            <w:r>
              <w:rPr>
                <w:rFonts w:hint="eastAsia"/>
                <w:b w:val="0"/>
                <w:color w:val="auto"/>
                <w:sz w:val="24"/>
                <w:highlight w:val="none"/>
              </w:rPr>
              <w:t>日</w:t>
            </w:r>
            <w:r>
              <w:rPr>
                <w:rFonts w:hint="eastAsia"/>
                <w:b w:val="0"/>
                <w:color w:val="auto"/>
                <w:sz w:val="24"/>
                <w:highlight w:val="none"/>
                <w:lang w:val="en-US" w:eastAsia="zh-CN"/>
              </w:rPr>
              <w:t>17</w:t>
            </w:r>
            <w:r>
              <w:rPr>
                <w:rFonts w:hint="eastAsia"/>
                <w:b w:val="0"/>
                <w:color w:val="auto"/>
                <w:sz w:val="24"/>
                <w:highlight w:val="none"/>
              </w:rPr>
              <w:t>点</w:t>
            </w:r>
            <w:r>
              <w:rPr>
                <w:rFonts w:hint="eastAsia"/>
                <w:b w:val="0"/>
                <w:color w:val="auto"/>
                <w:sz w:val="24"/>
                <w:highlight w:val="none"/>
                <w:lang w:val="en-US" w:eastAsia="zh-CN"/>
              </w:rPr>
              <w:t>30</w:t>
            </w:r>
            <w:r>
              <w:rPr>
                <w:rFonts w:hint="eastAsia"/>
                <w:b w:val="0"/>
                <w:color w:val="auto"/>
                <w:sz w:val="24"/>
                <w:highlight w:val="none"/>
              </w:rPr>
              <w:t>分</w:t>
            </w:r>
          </w:p>
        </w:tc>
      </w:tr>
      <w:tr w14:paraId="0C3B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55" w:type="pct"/>
            <w:vAlign w:val="center"/>
          </w:tcPr>
          <w:p w14:paraId="57DD7774">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7</w:t>
            </w:r>
            <w:r>
              <w:rPr>
                <w:rFonts w:hint="eastAsia" w:ascii="宋体" w:hAnsi="宋体" w:eastAsia="宋体" w:cs="宋体"/>
                <w:bCs/>
                <w:color w:val="auto"/>
                <w:kern w:val="2"/>
                <w:sz w:val="24"/>
                <w:szCs w:val="24"/>
                <w:highlight w:val="none"/>
              </w:rPr>
              <w:t>.1</w:t>
            </w:r>
          </w:p>
        </w:tc>
        <w:tc>
          <w:tcPr>
            <w:tcW w:w="1110" w:type="pct"/>
            <w:vAlign w:val="center"/>
          </w:tcPr>
          <w:p w14:paraId="2FCA6C01">
            <w:pPr>
              <w:pStyle w:val="69"/>
              <w:keepNext w:val="0"/>
              <w:keepLines w:val="0"/>
              <w:pageBreakBefore w:val="0"/>
              <w:widowControl w:val="0"/>
              <w:kinsoku/>
              <w:overflowPunct/>
              <w:autoSpaceDE/>
              <w:autoSpaceDN/>
              <w:bidi w:val="0"/>
              <w:spacing w:before="0" w:beforeAutospacing="0" w:after="0" w:afterAutospacing="0" w:line="52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包别划分</w:t>
            </w:r>
          </w:p>
        </w:tc>
        <w:tc>
          <w:tcPr>
            <w:tcW w:w="3334" w:type="pct"/>
            <w:vAlign w:val="center"/>
          </w:tcPr>
          <w:p w14:paraId="2CD7706C">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szCs w:val="24"/>
                <w:highlight w:val="none"/>
              </w:rPr>
              <w:t>不分包     □分为  个包</w:t>
            </w:r>
          </w:p>
          <w:p w14:paraId="3BBDF211">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供应商参加多个包磋商的成交包数规定：</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     </w:t>
            </w:r>
          </w:p>
        </w:tc>
      </w:tr>
      <w:tr w14:paraId="4429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55" w:type="pct"/>
            <w:vAlign w:val="center"/>
          </w:tcPr>
          <w:p w14:paraId="1C1D72A0">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.1</w:t>
            </w:r>
          </w:p>
        </w:tc>
        <w:tc>
          <w:tcPr>
            <w:tcW w:w="1110" w:type="pct"/>
            <w:vAlign w:val="center"/>
          </w:tcPr>
          <w:p w14:paraId="15837EA4">
            <w:pPr>
              <w:pStyle w:val="69"/>
              <w:keepNext w:val="0"/>
              <w:keepLines w:val="0"/>
              <w:pageBreakBefore w:val="0"/>
              <w:widowControl w:val="0"/>
              <w:kinsoku/>
              <w:overflowPunct/>
              <w:autoSpaceDE/>
              <w:autoSpaceDN/>
              <w:bidi w:val="0"/>
              <w:spacing w:before="0" w:beforeAutospacing="0" w:after="0" w:afterAutospacing="0" w:line="52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磋商保证金</w:t>
            </w:r>
          </w:p>
        </w:tc>
        <w:tc>
          <w:tcPr>
            <w:tcW w:w="3334" w:type="pct"/>
            <w:vAlign w:val="center"/>
          </w:tcPr>
          <w:p w14:paraId="74472276">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不收取</w:t>
            </w:r>
          </w:p>
        </w:tc>
      </w:tr>
      <w:tr w14:paraId="0AEF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3DD0FC1B">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1</w:t>
            </w:r>
            <w:r>
              <w:rPr>
                <w:rFonts w:hint="eastAsia" w:ascii="宋体" w:hAnsi="宋体" w:eastAsia="宋体" w:cs="宋体"/>
                <w:bCs/>
                <w:color w:val="auto"/>
                <w:kern w:val="2"/>
                <w:sz w:val="24"/>
                <w:szCs w:val="24"/>
                <w:highlight w:val="none"/>
              </w:rPr>
              <w:t>.1</w:t>
            </w:r>
          </w:p>
        </w:tc>
        <w:tc>
          <w:tcPr>
            <w:tcW w:w="1110" w:type="pct"/>
            <w:vAlign w:val="center"/>
          </w:tcPr>
          <w:p w14:paraId="0FE42448">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磋商有效期</w:t>
            </w:r>
          </w:p>
        </w:tc>
        <w:tc>
          <w:tcPr>
            <w:tcW w:w="3334" w:type="pct"/>
            <w:vAlign w:val="center"/>
          </w:tcPr>
          <w:p w14:paraId="0CDF8435">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90</w:t>
            </w:r>
            <w:r>
              <w:rPr>
                <w:rFonts w:hint="eastAsia" w:ascii="宋体" w:hAnsi="宋体" w:eastAsia="宋体" w:cs="宋体"/>
                <w:b w:val="0"/>
                <w:color w:val="auto"/>
                <w:sz w:val="24"/>
                <w:szCs w:val="24"/>
                <w:highlight w:val="none"/>
              </w:rPr>
              <w:t>日历日</w:t>
            </w:r>
          </w:p>
        </w:tc>
      </w:tr>
      <w:tr w14:paraId="3B3B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3BF48BEA">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.3</w:t>
            </w:r>
          </w:p>
        </w:tc>
        <w:tc>
          <w:tcPr>
            <w:tcW w:w="1110" w:type="pct"/>
            <w:vAlign w:val="center"/>
          </w:tcPr>
          <w:p w14:paraId="0D624B2D">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响应文件解密时间</w:t>
            </w:r>
          </w:p>
        </w:tc>
        <w:tc>
          <w:tcPr>
            <w:tcW w:w="3334" w:type="pct"/>
            <w:vAlign w:val="center"/>
          </w:tcPr>
          <w:p w14:paraId="3D91DD7C">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u w:val="none"/>
              </w:rPr>
              <w:t>响应文件提交截止时间后</w:t>
            </w:r>
            <w:r>
              <w:rPr>
                <w:rFonts w:hint="eastAsia" w:ascii="宋体" w:hAnsi="宋体" w:eastAsia="宋体" w:cs="宋体"/>
                <w:b w:val="0"/>
                <w:color w:val="auto"/>
                <w:sz w:val="24"/>
                <w:szCs w:val="24"/>
                <w:highlight w:val="none"/>
                <w:u w:val="single"/>
                <w:lang w:val="en-US" w:eastAsia="zh-CN"/>
              </w:rPr>
              <w:t xml:space="preserve"> 60 </w:t>
            </w:r>
            <w:r>
              <w:rPr>
                <w:rFonts w:hint="eastAsia" w:ascii="宋体" w:hAnsi="宋体" w:eastAsia="宋体" w:cs="宋体"/>
                <w:b w:val="0"/>
                <w:color w:val="auto"/>
                <w:sz w:val="24"/>
                <w:szCs w:val="24"/>
                <w:highlight w:val="none"/>
                <w:u w:val="none"/>
              </w:rPr>
              <w:t>分钟内</w:t>
            </w:r>
          </w:p>
        </w:tc>
      </w:tr>
      <w:tr w14:paraId="6316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0D628459">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4</w:t>
            </w:r>
            <w:r>
              <w:rPr>
                <w:rFonts w:hint="eastAsia" w:ascii="宋体" w:hAnsi="宋体" w:eastAsia="宋体" w:cs="宋体"/>
                <w:bCs/>
                <w:color w:val="auto"/>
                <w:kern w:val="2"/>
                <w:sz w:val="24"/>
                <w:szCs w:val="24"/>
                <w:highlight w:val="none"/>
              </w:rPr>
              <w:t>.3</w:t>
            </w:r>
          </w:p>
        </w:tc>
        <w:tc>
          <w:tcPr>
            <w:tcW w:w="1110" w:type="pct"/>
            <w:vAlign w:val="center"/>
          </w:tcPr>
          <w:p w14:paraId="02703B44">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评审方法</w:t>
            </w:r>
          </w:p>
        </w:tc>
        <w:tc>
          <w:tcPr>
            <w:tcW w:w="3334" w:type="pct"/>
            <w:vAlign w:val="center"/>
          </w:tcPr>
          <w:p w14:paraId="4010E505">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u w:val="none"/>
              </w:rPr>
              <w:t>综合评分法</w:t>
            </w:r>
          </w:p>
        </w:tc>
      </w:tr>
      <w:tr w14:paraId="46EA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37E71398">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17</w:t>
            </w:r>
            <w:r>
              <w:rPr>
                <w:rFonts w:hint="eastAsia" w:ascii="宋体" w:hAnsi="宋体" w:eastAsia="宋体" w:cs="宋体"/>
                <w:bCs/>
                <w:color w:val="auto"/>
                <w:kern w:val="2"/>
                <w:sz w:val="24"/>
                <w:szCs w:val="24"/>
                <w:highlight w:val="none"/>
              </w:rPr>
              <w:t>.4</w:t>
            </w:r>
          </w:p>
        </w:tc>
        <w:tc>
          <w:tcPr>
            <w:tcW w:w="1110" w:type="pct"/>
            <w:vAlign w:val="center"/>
          </w:tcPr>
          <w:p w14:paraId="2F179F0B">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最后报价扣除</w:t>
            </w:r>
          </w:p>
        </w:tc>
        <w:tc>
          <w:tcPr>
            <w:tcW w:w="3334" w:type="pct"/>
            <w:vAlign w:val="center"/>
          </w:tcPr>
          <w:p w14:paraId="7DFCB3E4">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（1）小型和微型企业价格扣除：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34E1DC77">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2CD6E0D0">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2C2DE88D">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（4）符合条件的联合体价格扣除：</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180C6994">
            <w:pPr>
              <w:pStyle w:val="69"/>
              <w:keepNext w:val="0"/>
              <w:keepLines w:val="0"/>
              <w:pageBreakBefore w:val="0"/>
              <w:widowControl w:val="0"/>
              <w:kinsoku/>
              <w:overflowPunct/>
              <w:autoSpaceDE/>
              <w:autoSpaceDN/>
              <w:bidi w:val="0"/>
              <w:spacing w:before="0" w:beforeAutospacing="0" w:after="0" w:afterAutospacing="0" w:line="520" w:lineRule="exact"/>
              <w:jc w:val="left"/>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（5）符合条件的向小微企业分包的大中型企业价格扣除：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val="0"/>
                <w:color w:val="auto"/>
                <w:sz w:val="24"/>
                <w:szCs w:val="24"/>
                <w:highlight w:val="none"/>
              </w:rPr>
              <w:t>。</w:t>
            </w:r>
          </w:p>
        </w:tc>
      </w:tr>
      <w:tr w14:paraId="24B4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Merge w:val="restart"/>
            <w:vAlign w:val="center"/>
          </w:tcPr>
          <w:p w14:paraId="12A96990">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19</w:t>
            </w:r>
            <w:r>
              <w:rPr>
                <w:rFonts w:hint="eastAsia" w:ascii="宋体" w:hAnsi="宋体" w:eastAsia="宋体" w:cs="宋体"/>
                <w:bCs/>
                <w:color w:val="auto"/>
                <w:kern w:val="2"/>
                <w:sz w:val="24"/>
                <w:szCs w:val="24"/>
                <w:highlight w:val="none"/>
              </w:rPr>
              <w:t>.1</w:t>
            </w:r>
          </w:p>
        </w:tc>
        <w:tc>
          <w:tcPr>
            <w:tcW w:w="1110" w:type="pct"/>
            <w:vMerge w:val="restart"/>
            <w:vAlign w:val="center"/>
          </w:tcPr>
          <w:p w14:paraId="6AA8113F">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确定成交候选供应商和成交供应商</w:t>
            </w:r>
          </w:p>
        </w:tc>
        <w:tc>
          <w:tcPr>
            <w:tcW w:w="3334" w:type="pct"/>
            <w:vAlign w:val="center"/>
          </w:tcPr>
          <w:p w14:paraId="428FDF9B">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磋商小组推荐成交候选供应商的数量：3家</w:t>
            </w:r>
          </w:p>
          <w:p w14:paraId="4EBB57D1">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u w:val="single"/>
              </w:rPr>
            </w:pPr>
            <w:r>
              <w:rPr>
                <w:rFonts w:hint="eastAsia" w:ascii="宋体" w:hAnsi="宋体" w:eastAsia="宋体" w:cs="宋体"/>
                <w:b w:val="0"/>
                <w:color w:val="auto"/>
                <w:sz w:val="24"/>
                <w:szCs w:val="24"/>
                <w:highlight w:val="none"/>
                <w:lang w:val="en-US" w:eastAsia="zh-CN"/>
              </w:rPr>
              <w:t>注：法律、法规另有规定的，从其规定</w:t>
            </w:r>
          </w:p>
        </w:tc>
      </w:tr>
      <w:tr w14:paraId="5321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Merge w:val="continue"/>
            <w:vAlign w:val="center"/>
          </w:tcPr>
          <w:p w14:paraId="08A242F2">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p>
        </w:tc>
        <w:tc>
          <w:tcPr>
            <w:tcW w:w="1110" w:type="pct"/>
            <w:vMerge w:val="continue"/>
            <w:vAlign w:val="center"/>
          </w:tcPr>
          <w:p w14:paraId="4B48C56F">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p>
        </w:tc>
        <w:tc>
          <w:tcPr>
            <w:tcW w:w="3334" w:type="pct"/>
            <w:vAlign w:val="center"/>
          </w:tcPr>
          <w:p w14:paraId="13B8A597">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确定成交供应商：</w:t>
            </w:r>
          </w:p>
          <w:p w14:paraId="35821008">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sym w:font="Wingdings" w:char="00FE"/>
            </w:r>
            <w:r>
              <w:rPr>
                <w:rFonts w:hint="eastAsia" w:ascii="宋体" w:hAnsi="宋体" w:eastAsia="宋体" w:cs="宋体"/>
                <w:b w:val="0"/>
                <w:color w:val="auto"/>
                <w:sz w:val="24"/>
                <w:szCs w:val="24"/>
                <w:highlight w:val="none"/>
              </w:rPr>
              <w:t xml:space="preserve">采购人委托磋商小组确定     </w:t>
            </w:r>
            <w:r>
              <w:rPr>
                <w:rFonts w:hint="eastAsia" w:cs="宋体"/>
                <w:b w:val="0"/>
                <w:color w:val="auto"/>
                <w:sz w:val="24"/>
                <w:szCs w:val="24"/>
                <w:highlight w:val="none"/>
                <w:lang w:eastAsia="zh-CN"/>
              </w:rPr>
              <w:t>□</w:t>
            </w:r>
            <w:r>
              <w:rPr>
                <w:rFonts w:hint="eastAsia" w:ascii="宋体" w:hAnsi="宋体" w:eastAsia="宋体" w:cs="宋体"/>
                <w:b w:val="0"/>
                <w:color w:val="auto"/>
                <w:sz w:val="24"/>
                <w:szCs w:val="24"/>
                <w:highlight w:val="none"/>
              </w:rPr>
              <w:t>采购人确定</w:t>
            </w:r>
          </w:p>
        </w:tc>
      </w:tr>
      <w:tr w14:paraId="5EA68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3ED386C1">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2</w:t>
            </w:r>
            <w:r>
              <w:rPr>
                <w:rFonts w:hint="eastAsia" w:ascii="宋体" w:hAnsi="宋体" w:eastAsia="宋体" w:cs="宋体"/>
                <w:bCs/>
                <w:color w:val="auto"/>
                <w:kern w:val="2"/>
                <w:sz w:val="24"/>
                <w:szCs w:val="24"/>
                <w:highlight w:val="none"/>
              </w:rPr>
              <w:t>.2</w:t>
            </w:r>
          </w:p>
        </w:tc>
        <w:tc>
          <w:tcPr>
            <w:tcW w:w="1110" w:type="pct"/>
            <w:vAlign w:val="center"/>
          </w:tcPr>
          <w:p w14:paraId="70DD1118">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随成交结果公告同时公告的内容</w:t>
            </w:r>
          </w:p>
        </w:tc>
        <w:tc>
          <w:tcPr>
            <w:tcW w:w="3334" w:type="pct"/>
            <w:vAlign w:val="center"/>
          </w:tcPr>
          <w:p w14:paraId="638CFC39">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u w:val="none"/>
              </w:rPr>
            </w:pPr>
            <w:r>
              <w:rPr>
                <w:rFonts w:hint="eastAsia" w:ascii="宋体" w:hAnsi="宋体" w:eastAsia="宋体" w:cs="宋体"/>
                <w:b w:val="0"/>
                <w:color w:val="auto"/>
                <w:sz w:val="24"/>
                <w:szCs w:val="24"/>
                <w:highlight w:val="none"/>
                <w:u w:val="none"/>
              </w:rPr>
              <w:t>（</w:t>
            </w:r>
            <w:r>
              <w:rPr>
                <w:rFonts w:hint="eastAsia" w:ascii="宋体" w:hAnsi="宋体" w:eastAsia="宋体" w:cs="宋体"/>
                <w:b w:val="0"/>
                <w:color w:val="auto"/>
                <w:sz w:val="24"/>
                <w:szCs w:val="24"/>
                <w:highlight w:val="none"/>
                <w:u w:val="none"/>
                <w:lang w:val="en-US" w:eastAsia="zh-CN"/>
              </w:rPr>
              <w:t>1</w:t>
            </w:r>
            <w:r>
              <w:rPr>
                <w:rFonts w:hint="eastAsia" w:ascii="宋体" w:hAnsi="宋体" w:eastAsia="宋体" w:cs="宋体"/>
                <w:b w:val="0"/>
                <w:color w:val="auto"/>
                <w:sz w:val="24"/>
                <w:szCs w:val="24"/>
                <w:highlight w:val="none"/>
                <w:u w:val="none"/>
              </w:rPr>
              <w:t>）中小企业声明函；</w:t>
            </w:r>
            <w:r>
              <w:rPr>
                <w:rFonts w:hint="eastAsia" w:ascii="宋体" w:hAnsi="宋体" w:eastAsia="宋体" w:cs="宋体"/>
                <w:b w:val="0"/>
                <w:i/>
                <w:iCs/>
                <w:color w:val="auto"/>
                <w:sz w:val="24"/>
                <w:szCs w:val="24"/>
                <w:highlight w:val="none"/>
                <w:u w:val="none"/>
              </w:rPr>
              <w:t>（如有）</w:t>
            </w:r>
          </w:p>
          <w:p w14:paraId="045B4749">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i/>
                <w:color w:val="auto"/>
                <w:sz w:val="24"/>
                <w:szCs w:val="24"/>
                <w:highlight w:val="none"/>
                <w:u w:val="none"/>
              </w:rPr>
            </w:pPr>
            <w:r>
              <w:rPr>
                <w:rFonts w:hint="eastAsia" w:ascii="宋体" w:hAnsi="宋体" w:eastAsia="宋体" w:cs="宋体"/>
                <w:b w:val="0"/>
                <w:color w:val="auto"/>
                <w:sz w:val="24"/>
                <w:szCs w:val="24"/>
                <w:highlight w:val="none"/>
                <w:u w:val="none"/>
              </w:rPr>
              <w:t>（</w:t>
            </w:r>
            <w:r>
              <w:rPr>
                <w:rFonts w:hint="eastAsia" w:ascii="宋体" w:hAnsi="宋体" w:eastAsia="宋体" w:cs="宋体"/>
                <w:b w:val="0"/>
                <w:color w:val="auto"/>
                <w:sz w:val="24"/>
                <w:szCs w:val="24"/>
                <w:highlight w:val="none"/>
                <w:u w:val="none"/>
                <w:lang w:val="en-US" w:eastAsia="zh-CN"/>
              </w:rPr>
              <w:t>2）</w:t>
            </w:r>
            <w:r>
              <w:rPr>
                <w:rFonts w:hint="eastAsia" w:ascii="宋体" w:hAnsi="宋体" w:eastAsia="宋体" w:cs="宋体"/>
                <w:b w:val="0"/>
                <w:color w:val="auto"/>
                <w:sz w:val="24"/>
                <w:szCs w:val="24"/>
                <w:highlight w:val="none"/>
                <w:u w:val="none"/>
              </w:rPr>
              <w:t>残疾人福利性单位声明函；</w:t>
            </w:r>
            <w:r>
              <w:rPr>
                <w:rFonts w:hint="eastAsia" w:ascii="宋体" w:hAnsi="宋体" w:eastAsia="宋体" w:cs="宋体"/>
                <w:b w:val="0"/>
                <w:i/>
                <w:iCs/>
                <w:color w:val="auto"/>
                <w:sz w:val="24"/>
                <w:szCs w:val="24"/>
                <w:highlight w:val="none"/>
                <w:u w:val="none"/>
              </w:rPr>
              <w:t>（如有）</w:t>
            </w:r>
          </w:p>
          <w:p w14:paraId="484CD06A">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u w:val="none"/>
                <w:lang w:eastAsia="zh-CN"/>
              </w:rPr>
            </w:pP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lang w:val="en-US" w:eastAsia="zh-CN"/>
              </w:rPr>
              <w:t>3</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中标</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成交</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rPr>
              <w:t>供应商的评审总得分</w:t>
            </w:r>
          </w:p>
          <w:p w14:paraId="232BA4B0">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lang w:val="en-US" w:eastAsia="zh-CN"/>
              </w:rPr>
              <w:t>4</w:t>
            </w:r>
            <w:r>
              <w:rPr>
                <w:rFonts w:hint="eastAsia" w:ascii="宋体" w:hAnsi="宋体" w:eastAsia="宋体" w:cs="宋体"/>
                <w:b w:val="0"/>
                <w:color w:val="auto"/>
                <w:sz w:val="24"/>
                <w:szCs w:val="24"/>
                <w:highlight w:val="none"/>
                <w:u w:val="none"/>
                <w:lang w:eastAsia="zh-CN"/>
              </w:rPr>
              <w:t>）</w:t>
            </w:r>
            <w:r>
              <w:rPr>
                <w:rFonts w:hint="eastAsia" w:ascii="宋体" w:hAnsi="宋体" w:eastAsia="宋体" w:cs="宋体"/>
                <w:b w:val="0"/>
                <w:color w:val="auto"/>
                <w:sz w:val="24"/>
                <w:szCs w:val="24"/>
                <w:highlight w:val="none"/>
                <w:u w:val="none"/>
                <w:lang w:val="en-US" w:eastAsia="zh-CN"/>
              </w:rPr>
              <w:t xml:space="preserve">成交供应商的评审业绩  </w:t>
            </w:r>
          </w:p>
        </w:tc>
      </w:tr>
      <w:tr w14:paraId="2973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3E086446">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2</w:t>
            </w:r>
            <w:r>
              <w:rPr>
                <w:rFonts w:hint="eastAsia" w:ascii="宋体" w:hAnsi="宋体" w:eastAsia="宋体" w:cs="宋体"/>
                <w:bCs/>
                <w:color w:val="auto"/>
                <w:kern w:val="2"/>
                <w:sz w:val="24"/>
                <w:szCs w:val="24"/>
                <w:highlight w:val="none"/>
                <w:lang w:val="en-US" w:eastAsia="zh-CN"/>
              </w:rPr>
              <w:t>3</w:t>
            </w:r>
            <w:r>
              <w:rPr>
                <w:rFonts w:hint="eastAsia" w:ascii="宋体" w:hAnsi="宋体" w:eastAsia="宋体" w:cs="宋体"/>
                <w:bCs/>
                <w:color w:val="auto"/>
                <w:kern w:val="2"/>
                <w:sz w:val="24"/>
                <w:szCs w:val="24"/>
                <w:highlight w:val="none"/>
              </w:rPr>
              <w:t>.1</w:t>
            </w:r>
          </w:p>
        </w:tc>
        <w:tc>
          <w:tcPr>
            <w:tcW w:w="1110" w:type="pct"/>
            <w:vAlign w:val="center"/>
          </w:tcPr>
          <w:p w14:paraId="3F8FFF94">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成交通知书发出的形式</w:t>
            </w:r>
          </w:p>
        </w:tc>
        <w:tc>
          <w:tcPr>
            <w:tcW w:w="3334" w:type="pct"/>
            <w:vAlign w:val="center"/>
          </w:tcPr>
          <w:p w14:paraId="744AFEC3">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 xml:space="preserve">□书面     </w:t>
            </w:r>
            <w:r>
              <w:rPr>
                <w:rFonts w:hint="eastAsia" w:ascii="宋体" w:hAnsi="宋体" w:eastAsia="宋体" w:cs="宋体"/>
                <w:b w:val="0"/>
                <w:bCs w:val="0"/>
                <w:color w:val="auto"/>
                <w:sz w:val="24"/>
                <w:szCs w:val="24"/>
                <w:highlight w:val="none"/>
              </w:rPr>
              <w:sym w:font="Wingdings" w:char="00FE"/>
            </w:r>
            <w:r>
              <w:rPr>
                <w:rFonts w:hint="eastAsia" w:ascii="宋体" w:hAnsi="宋体" w:eastAsia="宋体" w:cs="宋体"/>
                <w:b w:val="0"/>
                <w:color w:val="auto"/>
                <w:sz w:val="24"/>
                <w:szCs w:val="24"/>
                <w:highlight w:val="none"/>
              </w:rPr>
              <w:t>数据电文</w:t>
            </w:r>
          </w:p>
        </w:tc>
      </w:tr>
      <w:tr w14:paraId="38A3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08724234">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 w:val="0"/>
                <w:bCs/>
                <w:color w:val="auto"/>
                <w:sz w:val="24"/>
                <w:szCs w:val="24"/>
                <w:highlight w:val="none"/>
                <w:lang w:val="en-US" w:eastAsia="zh-CN"/>
              </w:rPr>
              <w:t>24.1</w:t>
            </w:r>
          </w:p>
        </w:tc>
        <w:tc>
          <w:tcPr>
            <w:tcW w:w="1110" w:type="pct"/>
            <w:vAlign w:val="center"/>
          </w:tcPr>
          <w:p w14:paraId="0C1A5CED">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告知磋商结果的形式</w:t>
            </w:r>
          </w:p>
        </w:tc>
        <w:tc>
          <w:tcPr>
            <w:tcW w:w="3334" w:type="pct"/>
            <w:vAlign w:val="center"/>
          </w:tcPr>
          <w:p w14:paraId="3636AB0E">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sym w:font="Wingdings" w:char="00FE"/>
            </w:r>
            <w:r>
              <w:rPr>
                <w:rFonts w:hint="eastAsia" w:ascii="宋体" w:hAnsi="宋体" w:eastAsia="宋体" w:cs="宋体"/>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b w:val="0"/>
                <w:bCs w:val="0"/>
                <w:color w:val="auto"/>
                <w:sz w:val="24"/>
                <w:szCs w:val="24"/>
                <w:highlight w:val="none"/>
              </w:rPr>
              <w:t>系统查看</w:t>
            </w:r>
          </w:p>
          <w:p w14:paraId="1DFDC53F">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□磋商现场告知</w:t>
            </w:r>
          </w:p>
        </w:tc>
      </w:tr>
      <w:tr w14:paraId="025E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1A4E2521">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25</w:t>
            </w:r>
            <w:r>
              <w:rPr>
                <w:rFonts w:hint="eastAsia" w:ascii="宋体" w:hAnsi="宋体" w:eastAsia="宋体" w:cs="宋体"/>
                <w:bCs/>
                <w:color w:val="auto"/>
                <w:kern w:val="2"/>
                <w:sz w:val="24"/>
                <w:szCs w:val="24"/>
                <w:highlight w:val="none"/>
              </w:rPr>
              <w:t>.1</w:t>
            </w:r>
          </w:p>
        </w:tc>
        <w:tc>
          <w:tcPr>
            <w:tcW w:w="1110" w:type="pct"/>
            <w:vAlign w:val="center"/>
          </w:tcPr>
          <w:p w14:paraId="767CA2E3">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履约保证金</w:t>
            </w:r>
          </w:p>
        </w:tc>
        <w:tc>
          <w:tcPr>
            <w:tcW w:w="3334" w:type="pct"/>
          </w:tcPr>
          <w:p w14:paraId="0D6C1D86">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（1）金额：</w:t>
            </w:r>
          </w:p>
          <w:p w14:paraId="42C17DE3">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□免收</w:t>
            </w:r>
          </w:p>
          <w:p w14:paraId="3DEF5440">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合同价的</w:t>
            </w:r>
            <w:r>
              <w:rPr>
                <w:rFonts w:hint="eastAsia" w:ascii="宋体" w:hAnsi="宋体" w:eastAsia="宋体" w:cs="宋体"/>
                <w:bCs/>
                <w:color w:val="auto"/>
                <w:sz w:val="24"/>
                <w:szCs w:val="24"/>
                <w:highlight w:val="none"/>
                <w:u w:val="single"/>
                <w:lang w:val="en-US" w:eastAsia="zh-CN"/>
              </w:rPr>
              <w:t>2.5</w:t>
            </w:r>
            <w:r>
              <w:rPr>
                <w:rFonts w:hint="eastAsia" w:ascii="宋体" w:hAnsi="宋体" w:eastAsia="宋体" w:cs="宋体"/>
                <w:bCs/>
                <w:color w:val="auto"/>
                <w:sz w:val="24"/>
                <w:szCs w:val="24"/>
                <w:highlight w:val="none"/>
              </w:rPr>
              <w:t>%</w:t>
            </w:r>
          </w:p>
          <w:p w14:paraId="036FA37B">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□定额收取：人民币</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元</w:t>
            </w:r>
          </w:p>
          <w:p w14:paraId="5C625BB5">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（2）支付方式：</w:t>
            </w:r>
          </w:p>
          <w:p w14:paraId="24F9D0B8">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 xml:space="preserve">转账/电汇 </w:t>
            </w: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 xml:space="preserve">支票 </w:t>
            </w: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 xml:space="preserve">汇票 </w:t>
            </w: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 xml:space="preserve">本票 </w:t>
            </w: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 xml:space="preserve">保险 </w:t>
            </w:r>
            <w:r>
              <w:rPr>
                <w:rFonts w:hint="eastAsia" w:ascii="宋体" w:hAnsi="宋体" w:eastAsia="宋体" w:cs="宋体"/>
                <w:bCs/>
                <w:color w:val="auto"/>
                <w:sz w:val="24"/>
                <w:szCs w:val="24"/>
                <w:highlight w:val="none"/>
              </w:rPr>
              <w:sym w:font="Wingdings" w:char="00FE"/>
            </w:r>
            <w:r>
              <w:rPr>
                <w:rFonts w:hint="eastAsia" w:ascii="宋体" w:hAnsi="宋体" w:eastAsia="宋体" w:cs="宋体"/>
                <w:bCs/>
                <w:color w:val="auto"/>
                <w:sz w:val="24"/>
                <w:szCs w:val="24"/>
                <w:highlight w:val="none"/>
              </w:rPr>
              <w:t>保函</w:t>
            </w:r>
          </w:p>
          <w:p w14:paraId="46D2726D">
            <w:pPr>
              <w:keepNext w:val="0"/>
              <w:keepLines w:val="0"/>
              <w:pageBreakBefore w:val="0"/>
              <w:numPr>
                <w:ilvl w:val="0"/>
                <w:numId w:val="0"/>
              </w:numPr>
              <w:kinsoku/>
              <w:overflowPunct/>
              <w:autoSpaceDE/>
              <w:autoSpaceDN/>
              <w:bidi w:val="0"/>
              <w:spacing w:line="52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3</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收取单位：</w:t>
            </w:r>
            <w:r>
              <w:rPr>
                <w:rFonts w:hint="eastAsia" w:ascii="宋体" w:hAnsi="宋体" w:eastAsia="宋体" w:cs="宋体"/>
                <w:bCs/>
                <w:color w:val="auto"/>
                <w:kern w:val="0"/>
                <w:sz w:val="24"/>
                <w:szCs w:val="24"/>
                <w:highlight w:val="none"/>
                <w:u w:val="single"/>
                <w:lang w:val="en-US" w:eastAsia="zh-CN"/>
              </w:rPr>
              <w:t>滁州学院</w:t>
            </w:r>
            <w:r>
              <w:rPr>
                <w:rFonts w:hint="eastAsia" w:ascii="宋体" w:hAnsi="宋体" w:eastAsia="宋体" w:cs="宋体"/>
                <w:bCs/>
                <w:color w:val="auto"/>
                <w:kern w:val="0"/>
                <w:sz w:val="24"/>
                <w:szCs w:val="24"/>
                <w:highlight w:val="none"/>
              </w:rPr>
              <w:t xml:space="preserve">              </w:t>
            </w:r>
          </w:p>
          <w:p w14:paraId="49D22F18">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（4）收取账号：</w:t>
            </w:r>
            <w:r>
              <w:rPr>
                <w:rFonts w:hint="eastAsia" w:ascii="宋体" w:hAnsi="宋体" w:eastAsia="宋体" w:cs="宋体"/>
                <w:bCs/>
                <w:color w:val="auto"/>
                <w:kern w:val="0"/>
                <w:sz w:val="24"/>
                <w:szCs w:val="24"/>
                <w:highlight w:val="none"/>
                <w:u w:val="single"/>
                <w:lang w:val="en-US" w:eastAsia="zh-CN"/>
              </w:rPr>
              <w:t>另行通知</w:t>
            </w:r>
          </w:p>
          <w:p w14:paraId="1EC27285">
            <w:pPr>
              <w:keepNext w:val="0"/>
              <w:keepLines w:val="0"/>
              <w:pageBreakBefore w:val="0"/>
              <w:kinsoku/>
              <w:overflowPunct/>
              <w:autoSpaceDE/>
              <w:autoSpaceDN/>
              <w:bidi w:val="0"/>
              <w:spacing w:line="5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rPr>
              <w:t>（</w:t>
            </w: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w:t>
            </w:r>
            <w:r>
              <w:rPr>
                <w:rFonts w:hint="eastAsia" w:ascii="宋体" w:hAnsi="宋体" w:eastAsia="宋体" w:cs="宋体"/>
                <w:color w:val="auto"/>
                <w:sz w:val="24"/>
                <w:szCs w:val="24"/>
                <w:highlight w:val="none"/>
              </w:rPr>
              <w:t>退还时间：</w:t>
            </w:r>
            <w:r>
              <w:rPr>
                <w:rFonts w:hint="eastAsia" w:ascii="宋体" w:hAnsi="宋体" w:eastAsia="宋体" w:cs="宋体"/>
                <w:bCs/>
                <w:color w:val="auto"/>
                <w:kern w:val="0"/>
                <w:sz w:val="24"/>
                <w:szCs w:val="24"/>
                <w:highlight w:val="none"/>
                <w:u w:val="single"/>
                <w:lang w:val="en-US" w:eastAsia="zh-CN"/>
              </w:rPr>
              <w:t>验收合格后，一次性退还。</w:t>
            </w:r>
          </w:p>
          <w:p w14:paraId="14EC3764">
            <w:pPr>
              <w:keepNext w:val="0"/>
              <w:keepLines w:val="0"/>
              <w:pageBreakBefore w:val="0"/>
              <w:kinsoku/>
              <w:overflowPunct/>
              <w:autoSpaceDE/>
              <w:autoSpaceDN/>
              <w:bidi w:val="0"/>
              <w:spacing w:line="5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72C1FBA7">
            <w:pPr>
              <w:keepNext w:val="0"/>
              <w:keepLines w:val="0"/>
              <w:pageBreakBefore w:val="0"/>
              <w:kinsoku/>
              <w:overflowPunct/>
              <w:autoSpaceDE/>
              <w:autoSpaceDN/>
              <w:bidi w:val="0"/>
              <w:spacing w:line="52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（1）以上各类机构出具的以担保函、保证保险承担责任的方式均须满足无条件见索即付条件。</w:t>
            </w:r>
          </w:p>
          <w:p w14:paraId="48018C25">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（2）以担保函、保证保险形式缴纳履约保证金的，受益人和收取单位须为采购人。</w:t>
            </w:r>
          </w:p>
        </w:tc>
      </w:tr>
      <w:tr w14:paraId="6DD3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34AC8537">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rPr>
              <w:t>26.1</w:t>
            </w:r>
          </w:p>
        </w:tc>
        <w:tc>
          <w:tcPr>
            <w:tcW w:w="1110" w:type="pct"/>
            <w:vAlign w:val="center"/>
          </w:tcPr>
          <w:p w14:paraId="4125C4F0">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代理费用</w:t>
            </w:r>
          </w:p>
        </w:tc>
        <w:tc>
          <w:tcPr>
            <w:tcW w:w="3334" w:type="pct"/>
            <w:vAlign w:val="center"/>
          </w:tcPr>
          <w:p w14:paraId="672340F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收费对象</w:t>
            </w:r>
            <w:r>
              <w:rPr>
                <w:rFonts w:hint="eastAsia" w:ascii="宋体" w:hAnsi="宋体" w:eastAsia="宋体" w:cs="宋体"/>
                <w:color w:val="auto"/>
                <w:spacing w:val="-12"/>
                <w:sz w:val="24"/>
                <w:szCs w:val="24"/>
                <w:highlight w:val="none"/>
              </w:rPr>
              <w:t>：</w:t>
            </w:r>
            <w:r>
              <w:rPr>
                <w:rFonts w:hint="eastAsia" w:ascii="宋体" w:hAnsi="宋体" w:eastAsia="宋体" w:cs="宋体"/>
                <w:bCs/>
                <w:color w:val="auto"/>
                <w:kern w:val="0"/>
                <w:sz w:val="24"/>
                <w:szCs w:val="24"/>
                <w:highlight w:val="none"/>
              </w:rPr>
              <w:sym w:font="Wingdings" w:char="00A8"/>
            </w:r>
            <w:r>
              <w:rPr>
                <w:rFonts w:hint="eastAsia"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cs="宋体"/>
                <w:bCs/>
                <w:color w:val="auto"/>
                <w:kern w:val="0"/>
                <w:sz w:val="24"/>
                <w:szCs w:val="24"/>
                <w:highlight w:val="none"/>
              </w:rPr>
              <w:sym w:font="Wingdings" w:char="00FE"/>
            </w:r>
            <w:r>
              <w:rPr>
                <w:rFonts w:hint="eastAsia" w:ascii="宋体" w:hAnsi="宋体" w:eastAsia="宋体" w:cs="宋体"/>
                <w:color w:val="auto"/>
                <w:spacing w:val="14"/>
                <w:sz w:val="24"/>
                <w:szCs w:val="24"/>
                <w:highlight w:val="none"/>
                <w:lang w:val="en-US" w:eastAsia="zh-CN"/>
              </w:rPr>
              <w:t>成交供应商</w:t>
            </w:r>
          </w:p>
          <w:p w14:paraId="1CFD96D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color w:val="auto"/>
                <w:kern w:val="0"/>
                <w:sz w:val="24"/>
                <w:szCs w:val="24"/>
                <w:highlight w:val="none"/>
                <w:u w:val="single"/>
                <w:lang w:eastAsia="zh-CN"/>
              </w:rPr>
            </w:pPr>
            <w:r>
              <w:rPr>
                <w:rFonts w:hint="eastAsia" w:ascii="宋体" w:hAnsi="宋体" w:eastAsia="宋体" w:cs="宋体"/>
                <w:bCs/>
                <w:color w:val="auto"/>
                <w:kern w:val="0"/>
                <w:sz w:val="24"/>
                <w:szCs w:val="24"/>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成交供应商</w:t>
            </w:r>
            <w:r>
              <w:rPr>
                <w:rFonts w:hint="eastAsia" w:ascii="宋体" w:hAnsi="宋体" w:eastAsia="宋体" w:cs="宋体"/>
                <w:color w:val="auto"/>
                <w:sz w:val="24"/>
                <w:szCs w:val="24"/>
                <w:highlight w:val="none"/>
                <w:u w:val="single"/>
              </w:rPr>
              <w:t>在获取成交通知书时一次性支付给代理机构</w:t>
            </w:r>
          </w:p>
          <w:p w14:paraId="3BDE8402">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 w:val="0"/>
                <w:bCs w:val="0"/>
                <w:color w:val="auto"/>
                <w:kern w:val="0"/>
                <w:sz w:val="24"/>
                <w:szCs w:val="24"/>
                <w:highlight w:val="none"/>
              </w:rPr>
              <w:t>（3）</w:t>
            </w:r>
            <w:r>
              <w:rPr>
                <w:rFonts w:hint="eastAsia" w:ascii="宋体" w:hAnsi="宋体" w:eastAsia="宋体" w:cs="宋体"/>
                <w:b w:val="0"/>
                <w:bCs/>
                <w:color w:val="auto"/>
                <w:kern w:val="0"/>
                <w:sz w:val="24"/>
                <w:szCs w:val="24"/>
                <w:highlight w:val="none"/>
                <w:lang w:val="en-US" w:eastAsia="zh-CN" w:bidi="ar-SA"/>
              </w:rPr>
              <w:t>收费标准：</w:t>
            </w:r>
            <w:r>
              <w:rPr>
                <w:rFonts w:hint="eastAsia" w:ascii="宋体" w:hAnsi="宋体" w:eastAsia="宋体" w:cs="宋体"/>
                <w:b w:val="0"/>
                <w:bCs/>
                <w:color w:val="auto"/>
                <w:kern w:val="0"/>
                <w:sz w:val="24"/>
                <w:szCs w:val="24"/>
                <w:highlight w:val="none"/>
                <w:u w:val="single"/>
                <w:lang w:val="en-US" w:eastAsia="zh-CN" w:bidi="ar-SA"/>
              </w:rPr>
              <w:t>按照计价格[2002]1980 号文规定标准的80%收取采购代理服务费。</w:t>
            </w:r>
          </w:p>
        </w:tc>
      </w:tr>
      <w:tr w14:paraId="56BB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4FA94C9E">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rPr>
              <w:t>27.1</w:t>
            </w:r>
          </w:p>
        </w:tc>
        <w:tc>
          <w:tcPr>
            <w:tcW w:w="1110" w:type="pct"/>
            <w:vAlign w:val="center"/>
          </w:tcPr>
          <w:p w14:paraId="20F5B890">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签订合同和合同公告时间</w:t>
            </w:r>
          </w:p>
        </w:tc>
        <w:tc>
          <w:tcPr>
            <w:tcW w:w="3334" w:type="pct"/>
            <w:vAlign w:val="center"/>
          </w:tcPr>
          <w:p w14:paraId="0C308259">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（1）采购人与成交供应商应当自发出成交通知书之日起7个工作日内签订合同，采购合同签订之日起2个工作日内完成政府采购合同公开。</w:t>
            </w:r>
          </w:p>
          <w:p w14:paraId="20C1CDBB">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不得擅自变更合同，依照政府采购法确需变更政府采购合同内容的，采购人应当自合同变更之日起2个工作日内在安徽省政府采购网、滁州市公共资源交易中心网发布政府采购合同变更公告，但涉及国家秘密、商业秘密的信息和其他依法不得公开的信息除外。</w:t>
            </w:r>
          </w:p>
        </w:tc>
      </w:tr>
      <w:tr w14:paraId="4F58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65814DA6">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29.3</w:t>
            </w:r>
          </w:p>
        </w:tc>
        <w:tc>
          <w:tcPr>
            <w:tcW w:w="1110" w:type="pct"/>
            <w:vAlign w:val="center"/>
          </w:tcPr>
          <w:p w14:paraId="495CD35B">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质疑函递交方式、接收部门、联系电话和通讯地址</w:t>
            </w:r>
          </w:p>
        </w:tc>
        <w:tc>
          <w:tcPr>
            <w:tcW w:w="3334" w:type="pct"/>
            <w:vAlign w:val="center"/>
          </w:tcPr>
          <w:p w14:paraId="0BB79A37">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递交方式：</w:t>
            </w:r>
            <w:r>
              <w:rPr>
                <w:rFonts w:hint="eastAsia" w:ascii="宋体" w:hAnsi="宋体" w:eastAsia="宋体" w:cs="宋体"/>
                <w:b w:val="0"/>
                <w:color w:val="auto"/>
                <w:sz w:val="24"/>
                <w:szCs w:val="24"/>
                <w:highlight w:val="none"/>
                <w:u w:val="single"/>
                <w:lang w:val="en-US" w:eastAsia="zh-CN"/>
              </w:rPr>
              <w:t>如供应商对磋商文件有质疑，依据中华人民共和国财政部令第94号《政府采购质疑和投诉办法》规定提出质疑；</w:t>
            </w:r>
            <w:r>
              <w:rPr>
                <w:rFonts w:hint="eastAsia" w:ascii="宋体" w:hAnsi="宋体" w:eastAsia="宋体" w:cs="宋体"/>
                <w:b w:val="0"/>
                <w:bCs w:val="0"/>
                <w:color w:val="auto"/>
                <w:sz w:val="24"/>
                <w:szCs w:val="24"/>
                <w:highlight w:val="none"/>
                <w:u w:val="single"/>
                <w:lang w:val="en-US" w:eastAsia="zh-CN"/>
              </w:rPr>
              <w:t xml:space="preserve">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 </w:t>
            </w:r>
          </w:p>
          <w:p w14:paraId="23D90B0E">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t>接收部门：</w:t>
            </w:r>
            <w:r>
              <w:rPr>
                <w:rFonts w:hint="eastAsia" w:ascii="宋体" w:hAnsi="宋体" w:eastAsia="宋体" w:cs="宋体"/>
                <w:b w:val="0"/>
                <w:bCs w:val="0"/>
                <w:color w:val="auto"/>
                <w:sz w:val="24"/>
                <w:szCs w:val="24"/>
                <w:highlight w:val="none"/>
                <w:u w:val="single"/>
                <w:lang w:val="en-US" w:eastAsia="zh-CN"/>
              </w:rPr>
              <w:t xml:space="preserve">滁州学院、滁州市城投工程咨询管理有限公司 </w:t>
            </w:r>
            <w:r>
              <w:rPr>
                <w:rFonts w:hint="eastAsia" w:ascii="宋体" w:hAnsi="宋体" w:eastAsia="宋体" w:cs="宋体"/>
                <w:bCs/>
                <w:color w:val="auto"/>
                <w:kern w:val="0"/>
                <w:sz w:val="24"/>
                <w:szCs w:val="24"/>
                <w:highlight w:val="none"/>
                <w:u w:val="single"/>
              </w:rPr>
              <w:t xml:space="preserve">  </w:t>
            </w:r>
          </w:p>
          <w:p w14:paraId="3B247F40">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color w:val="auto"/>
                <w:sz w:val="24"/>
                <w:szCs w:val="24"/>
                <w:highlight w:val="none"/>
              </w:rPr>
              <w:t>联系电话</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kern w:val="0"/>
                <w:sz w:val="24"/>
                <w:szCs w:val="24"/>
                <w:highlight w:val="none"/>
                <w:u w:val="single"/>
                <w:lang w:val="en-US" w:eastAsia="zh-CN"/>
              </w:rPr>
              <w:t>0550-3512003、0550-3159590</w:t>
            </w:r>
            <w:r>
              <w:rPr>
                <w:rFonts w:hint="eastAsia" w:ascii="宋体" w:hAnsi="宋体" w:eastAsia="宋体" w:cs="宋体"/>
                <w:b w:val="0"/>
                <w:bCs/>
                <w:color w:val="auto"/>
                <w:kern w:val="0"/>
                <w:sz w:val="24"/>
                <w:szCs w:val="24"/>
                <w:highlight w:val="none"/>
                <w:u w:val="single"/>
              </w:rPr>
              <w:t xml:space="preserve"> </w:t>
            </w:r>
          </w:p>
          <w:p w14:paraId="7469BE4F">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bCs/>
                <w:color w:val="auto"/>
                <w:sz w:val="24"/>
                <w:szCs w:val="24"/>
                <w:highlight w:val="none"/>
              </w:rPr>
              <w:t>通讯地址：</w:t>
            </w:r>
            <w:r>
              <w:rPr>
                <w:rFonts w:hint="eastAsia" w:ascii="宋体" w:hAnsi="宋体" w:eastAsia="宋体" w:cs="宋体"/>
                <w:b w:val="0"/>
                <w:bCs/>
                <w:color w:val="auto"/>
                <w:kern w:val="0"/>
                <w:sz w:val="24"/>
                <w:szCs w:val="24"/>
                <w:highlight w:val="none"/>
                <w:u w:val="single"/>
              </w:rPr>
              <w:t>安徽省滁州市会峰西路1号滁州学院会峰校区</w:t>
            </w:r>
            <w:r>
              <w:rPr>
                <w:rFonts w:hint="eastAsia" w:ascii="宋体" w:hAnsi="宋体" w:eastAsia="宋体" w:cs="宋体"/>
                <w:b w:val="0"/>
                <w:bCs/>
                <w:color w:val="auto"/>
                <w:kern w:val="0"/>
                <w:sz w:val="24"/>
                <w:szCs w:val="24"/>
                <w:highlight w:val="none"/>
                <w:u w:val="single"/>
                <w:lang w:eastAsia="zh-CN"/>
              </w:rPr>
              <w:t>、滁州市龙蟠大道109号房产大厦6楼</w:t>
            </w:r>
          </w:p>
        </w:tc>
      </w:tr>
      <w:tr w14:paraId="22BF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599DF95E">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p>
        </w:tc>
        <w:tc>
          <w:tcPr>
            <w:tcW w:w="1110" w:type="pct"/>
            <w:vAlign w:val="center"/>
          </w:tcPr>
          <w:p w14:paraId="1786F0E4">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其他内容</w:t>
            </w:r>
          </w:p>
        </w:tc>
        <w:tc>
          <w:tcPr>
            <w:tcW w:w="3334" w:type="pct"/>
            <w:vAlign w:val="center"/>
          </w:tcPr>
          <w:p w14:paraId="02399E5A">
            <w:pPr>
              <w:keepNext w:val="0"/>
              <w:keepLines w:val="0"/>
              <w:pageBreakBefore w:val="0"/>
              <w:kinsoku/>
              <w:wordWrap w:val="0"/>
              <w:overflowPunct/>
              <w:autoSpaceDE/>
              <w:autoSpaceDN/>
              <w:bidi w:val="0"/>
              <w:spacing w:line="520" w:lineRule="exac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1、系统中提供的表格与磋商文件中不一致时，以磋商文件中提供的表格格式为准。</w:t>
            </w:r>
          </w:p>
          <w:p w14:paraId="6AB1D577">
            <w:pPr>
              <w:keepNext w:val="0"/>
              <w:keepLines w:val="0"/>
              <w:pageBreakBefore w:val="0"/>
              <w:kinsoku/>
              <w:wordWrap w:val="0"/>
              <w:overflowPunct/>
              <w:autoSpaceDE/>
              <w:autoSpaceDN/>
              <w:bidi w:val="0"/>
              <w:spacing w:line="520" w:lineRule="exac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2、本磋商文件前后条款若有不一致之处，在澄清答疑时又未作出明确规定时，各供应商的响应文件只要满足其中任一条款，均视为对本磋商文件的响应。</w:t>
            </w:r>
          </w:p>
          <w:p w14:paraId="152C393C">
            <w:pPr>
              <w:keepNext w:val="0"/>
              <w:keepLines w:val="0"/>
              <w:pageBreakBefore w:val="0"/>
              <w:kinsoku/>
              <w:wordWrap w:val="0"/>
              <w:overflowPunct/>
              <w:autoSpaceDE/>
              <w:autoSpaceDN/>
              <w:bidi w:val="0"/>
              <w:spacing w:line="520" w:lineRule="exac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3、本项目竞争性磋商公告与本磋商文件不一致之处，以本磋商文件为准；如供应商须知前附表的规定与供应商须知的规定不一致，以供应商须知前附表为准。</w:t>
            </w:r>
          </w:p>
          <w:p w14:paraId="1E59F083">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4、本文件的最终解释权归采购人、采购代理机构所有。</w:t>
            </w:r>
          </w:p>
          <w:p w14:paraId="0065AFA1">
            <w:pPr>
              <w:keepNext w:val="0"/>
              <w:keepLines w:val="0"/>
              <w:pageBreakBefore w:val="0"/>
              <w:kinsoku/>
              <w:wordWrap w:val="0"/>
              <w:overflowPunct/>
              <w:autoSpaceDE/>
              <w:autoSpaceDN/>
              <w:bidi w:val="0"/>
              <w:spacing w:line="520" w:lineRule="exac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5、投诉</w:t>
            </w:r>
          </w:p>
          <w:p w14:paraId="2A3B2F49">
            <w:pPr>
              <w:keepNext w:val="0"/>
              <w:keepLines w:val="0"/>
              <w:pageBreakBefore w:val="0"/>
              <w:kinsoku/>
              <w:wordWrap w:val="0"/>
              <w:overflowPunct/>
              <w:autoSpaceDE/>
              <w:autoSpaceDN/>
              <w:bidi w:val="0"/>
              <w:spacing w:line="520" w:lineRule="exac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质疑供应商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7D6E84D5">
            <w:pPr>
              <w:keepNext w:val="0"/>
              <w:keepLines w:val="0"/>
              <w:pageBreakBefore w:val="0"/>
              <w:kinsoku/>
              <w:wordWrap w:val="0"/>
              <w:overflowPunct/>
              <w:autoSpaceDE/>
              <w:autoSpaceDN/>
              <w:bidi w:val="0"/>
              <w:spacing w:line="520" w:lineRule="exac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1F01EF84">
            <w:pPr>
              <w:keepNext w:val="0"/>
              <w:keepLines w:val="0"/>
              <w:pageBreakBefore w:val="0"/>
              <w:kinsoku/>
              <w:wordWrap w:val="0"/>
              <w:overflowPunct/>
              <w:autoSpaceDE/>
              <w:autoSpaceDN/>
              <w:bidi w:val="0"/>
              <w:spacing w:line="520" w:lineRule="exac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（3）政府采购监督管理部门在处理投诉事项期间，可以视具体情况书面通知采购人暂停采购活动，但暂停时间最长不得超过30日。</w:t>
            </w:r>
          </w:p>
        </w:tc>
      </w:tr>
      <w:tr w14:paraId="7492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55" w:type="pct"/>
            <w:vAlign w:val="center"/>
          </w:tcPr>
          <w:p w14:paraId="054A41A1">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.1</w:t>
            </w:r>
          </w:p>
        </w:tc>
        <w:tc>
          <w:tcPr>
            <w:tcW w:w="1110" w:type="pct"/>
            <w:vAlign w:val="center"/>
          </w:tcPr>
          <w:p w14:paraId="3F266C67">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承包方式</w:t>
            </w:r>
          </w:p>
        </w:tc>
        <w:tc>
          <w:tcPr>
            <w:tcW w:w="3334" w:type="pct"/>
            <w:vAlign w:val="center"/>
          </w:tcPr>
          <w:p w14:paraId="4B23AEBB">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cs="宋体"/>
                <w:b w:val="0"/>
                <w:color w:val="auto"/>
                <w:sz w:val="24"/>
                <w:szCs w:val="24"/>
                <w:highlight w:val="none"/>
                <w:lang w:eastAsia="zh-CN"/>
              </w:rPr>
              <w:t>□</w:t>
            </w:r>
            <w:r>
              <w:rPr>
                <w:rFonts w:hint="eastAsia" w:ascii="宋体" w:hAnsi="宋体" w:eastAsia="宋体" w:cs="宋体"/>
                <w:b w:val="0"/>
                <w:color w:val="auto"/>
                <w:sz w:val="24"/>
                <w:szCs w:val="24"/>
                <w:highlight w:val="none"/>
              </w:rPr>
              <w:t xml:space="preserve">施工总承包  </w:t>
            </w:r>
            <w:r>
              <w:rPr>
                <w:rFonts w:hint="eastAsia" w:cs="宋体"/>
                <w:b w:val="0"/>
                <w:color w:val="auto"/>
                <w:sz w:val="24"/>
                <w:szCs w:val="24"/>
                <w:highlight w:val="none"/>
                <w:lang w:eastAsia="zh-CN"/>
              </w:rPr>
              <w:t>☑</w:t>
            </w:r>
            <w:r>
              <w:rPr>
                <w:rFonts w:hint="eastAsia" w:ascii="宋体" w:hAnsi="宋体" w:eastAsia="宋体" w:cs="宋体"/>
                <w:b w:val="0"/>
                <w:color w:val="auto"/>
                <w:sz w:val="24"/>
                <w:szCs w:val="24"/>
                <w:highlight w:val="none"/>
              </w:rPr>
              <w:t>专业承包</w:t>
            </w:r>
          </w:p>
        </w:tc>
      </w:tr>
      <w:tr w14:paraId="2D66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1D5940C7">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.2</w:t>
            </w:r>
          </w:p>
        </w:tc>
        <w:tc>
          <w:tcPr>
            <w:tcW w:w="1110" w:type="pct"/>
            <w:vAlign w:val="center"/>
          </w:tcPr>
          <w:p w14:paraId="642571B0">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计价方式</w:t>
            </w:r>
          </w:p>
        </w:tc>
        <w:tc>
          <w:tcPr>
            <w:tcW w:w="3334" w:type="pct"/>
            <w:vAlign w:val="center"/>
          </w:tcPr>
          <w:p w14:paraId="3A7F83B0">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工程量清单综合单价报价法</w:t>
            </w:r>
          </w:p>
          <w:p w14:paraId="6267F730">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cs="宋体"/>
                <w:b w:val="0"/>
                <w:color w:val="auto"/>
                <w:sz w:val="24"/>
                <w:szCs w:val="24"/>
                <w:highlight w:val="none"/>
                <w:lang w:eastAsia="zh-CN"/>
              </w:rPr>
              <w:t>□</w:t>
            </w:r>
            <w:r>
              <w:rPr>
                <w:rFonts w:hint="eastAsia" w:ascii="宋体" w:hAnsi="宋体" w:eastAsia="宋体" w:cs="宋体"/>
                <w:b w:val="0"/>
                <w:color w:val="auto"/>
                <w:sz w:val="24"/>
                <w:szCs w:val="24"/>
                <w:highlight w:val="none"/>
              </w:rPr>
              <w:t>全费用综合单价报价法</w:t>
            </w:r>
          </w:p>
        </w:tc>
      </w:tr>
      <w:tr w14:paraId="7855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169AA4D0">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.3</w:t>
            </w:r>
          </w:p>
        </w:tc>
        <w:tc>
          <w:tcPr>
            <w:tcW w:w="1110" w:type="pct"/>
            <w:vAlign w:val="center"/>
          </w:tcPr>
          <w:p w14:paraId="0F49E5E0">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计划工期</w:t>
            </w:r>
          </w:p>
        </w:tc>
        <w:tc>
          <w:tcPr>
            <w:tcW w:w="3334" w:type="pct"/>
            <w:vAlign w:val="center"/>
          </w:tcPr>
          <w:p w14:paraId="5724B2C1">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计划工期：</w:t>
            </w:r>
            <w:r>
              <w:rPr>
                <w:rFonts w:hint="eastAsia" w:ascii="宋体" w:hAnsi="宋体" w:eastAsia="宋体" w:cs="宋体"/>
                <w:b w:val="0"/>
                <w:color w:val="auto"/>
                <w:sz w:val="24"/>
                <w:szCs w:val="24"/>
                <w:highlight w:val="none"/>
                <w:lang w:val="en-US" w:eastAsia="zh-CN"/>
              </w:rPr>
              <w:t>60</w:t>
            </w:r>
            <w:r>
              <w:rPr>
                <w:rFonts w:hint="eastAsia" w:ascii="宋体" w:hAnsi="宋体" w:eastAsia="宋体" w:cs="宋体"/>
                <w:b w:val="0"/>
                <w:color w:val="auto"/>
                <w:sz w:val="24"/>
                <w:szCs w:val="24"/>
                <w:highlight w:val="none"/>
              </w:rPr>
              <w:t>个日历天。具体开工时间以开工</w:t>
            </w:r>
            <w:r>
              <w:rPr>
                <w:rFonts w:hint="eastAsia" w:ascii="宋体" w:hAnsi="宋体" w:eastAsia="宋体" w:cs="宋体"/>
                <w:b w:val="0"/>
                <w:color w:val="auto"/>
                <w:sz w:val="24"/>
                <w:szCs w:val="24"/>
                <w:highlight w:val="none"/>
                <w:lang w:val="en-US" w:eastAsia="zh-CN"/>
              </w:rPr>
              <w:t>通知</w:t>
            </w:r>
            <w:r>
              <w:rPr>
                <w:rFonts w:hint="eastAsia" w:ascii="宋体" w:hAnsi="宋体" w:eastAsia="宋体" w:cs="宋体"/>
                <w:b w:val="0"/>
                <w:color w:val="auto"/>
                <w:sz w:val="24"/>
                <w:szCs w:val="24"/>
                <w:highlight w:val="none"/>
              </w:rPr>
              <w:t>时间为准。成交人按合同工期要求，每延迟一天，按5000元/天处以违约金，从工程结算款中扣除。如延误工期超出合同工期50%的，</w:t>
            </w:r>
            <w:r>
              <w:rPr>
                <w:rFonts w:hint="eastAsia" w:ascii="宋体" w:hAnsi="宋体" w:eastAsia="宋体" w:cs="宋体"/>
                <w:b w:val="0"/>
                <w:color w:val="auto"/>
                <w:sz w:val="24"/>
                <w:szCs w:val="24"/>
                <w:highlight w:val="none"/>
                <w:lang w:val="en-US" w:eastAsia="zh-CN"/>
              </w:rPr>
              <w:t>采购人有权终止合同且</w:t>
            </w:r>
            <w:r>
              <w:rPr>
                <w:rFonts w:hint="eastAsia" w:ascii="宋体" w:hAnsi="宋体" w:eastAsia="宋体" w:cs="宋体"/>
                <w:b w:val="0"/>
                <w:color w:val="auto"/>
                <w:sz w:val="24"/>
                <w:szCs w:val="24"/>
                <w:highlight w:val="none"/>
              </w:rPr>
              <w:t>不予支付工程款。如因采购人要求增加工程量、教育教学、重大活动、极端天气等不可抗拒因素造成</w:t>
            </w:r>
            <w:r>
              <w:rPr>
                <w:rFonts w:hint="eastAsia" w:ascii="宋体" w:hAnsi="宋体" w:eastAsia="宋体" w:cs="宋体"/>
                <w:b w:val="0"/>
                <w:color w:val="auto"/>
                <w:sz w:val="24"/>
                <w:szCs w:val="24"/>
                <w:highlight w:val="none"/>
                <w:lang w:val="en-US" w:eastAsia="zh-CN"/>
              </w:rPr>
              <w:t>延期，经采购人和成交供应商书面确认后，工期予以顺延，具体以实际发生时间为依据。</w:t>
            </w:r>
          </w:p>
          <w:p w14:paraId="77636FF1">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计划开工日期：</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年</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月</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u w:val="single"/>
                <w:lang w:val="en-US" w:eastAsia="zh-CN"/>
              </w:rPr>
              <w:t>/</w:t>
            </w:r>
            <w:r>
              <w:rPr>
                <w:rFonts w:hint="eastAsia" w:ascii="宋体" w:hAnsi="宋体" w:eastAsia="宋体" w:cs="宋体"/>
                <w:b w:val="0"/>
                <w:color w:val="auto"/>
                <w:sz w:val="24"/>
                <w:szCs w:val="24"/>
                <w:highlight w:val="none"/>
                <w:u w:val="single"/>
              </w:rPr>
              <w:t xml:space="preserve"> </w:t>
            </w:r>
            <w:r>
              <w:rPr>
                <w:rFonts w:hint="eastAsia" w:ascii="宋体" w:hAnsi="宋体" w:eastAsia="宋体" w:cs="宋体"/>
                <w:b w:val="0"/>
                <w:color w:val="auto"/>
                <w:sz w:val="24"/>
                <w:szCs w:val="24"/>
                <w:highlight w:val="none"/>
              </w:rPr>
              <w:t>日，具体开工时间以开工</w:t>
            </w:r>
            <w:r>
              <w:rPr>
                <w:rFonts w:hint="eastAsia" w:ascii="宋体" w:hAnsi="宋体" w:eastAsia="宋体" w:cs="宋体"/>
                <w:b w:val="0"/>
                <w:color w:val="auto"/>
                <w:sz w:val="24"/>
                <w:szCs w:val="24"/>
                <w:highlight w:val="none"/>
                <w:lang w:val="en-US" w:eastAsia="zh-CN"/>
              </w:rPr>
              <w:t>通知</w:t>
            </w:r>
            <w:r>
              <w:rPr>
                <w:rFonts w:hint="eastAsia" w:ascii="宋体" w:hAnsi="宋体" w:eastAsia="宋体" w:cs="宋体"/>
                <w:b w:val="0"/>
                <w:color w:val="auto"/>
                <w:sz w:val="24"/>
                <w:szCs w:val="24"/>
                <w:highlight w:val="none"/>
              </w:rPr>
              <w:t>时间为准</w:t>
            </w:r>
            <w:r>
              <w:rPr>
                <w:rFonts w:hint="eastAsia" w:cs="宋体"/>
                <w:b w:val="0"/>
                <w:color w:val="auto"/>
                <w:sz w:val="24"/>
                <w:szCs w:val="24"/>
                <w:highlight w:val="none"/>
                <w:lang w:eastAsia="zh-CN"/>
              </w:rPr>
              <w:t>。</w:t>
            </w:r>
          </w:p>
        </w:tc>
      </w:tr>
      <w:tr w14:paraId="4DDE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19C9F679">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.4</w:t>
            </w:r>
          </w:p>
        </w:tc>
        <w:tc>
          <w:tcPr>
            <w:tcW w:w="1110" w:type="pct"/>
            <w:vAlign w:val="center"/>
          </w:tcPr>
          <w:p w14:paraId="6419A83D">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质量标准要求</w:t>
            </w:r>
          </w:p>
        </w:tc>
        <w:tc>
          <w:tcPr>
            <w:tcW w:w="3334" w:type="pct"/>
            <w:vAlign w:val="center"/>
          </w:tcPr>
          <w:p w14:paraId="16D44874">
            <w:pPr>
              <w:pStyle w:val="96"/>
              <w:keepNext w:val="0"/>
              <w:keepLines w:val="0"/>
              <w:pageBreakBefore w:val="0"/>
              <w:tabs>
                <w:tab w:val="left" w:pos="1152"/>
              </w:tabs>
              <w:kinsoku/>
              <w:overflowPunct/>
              <w:autoSpaceDE/>
              <w:autoSpaceDN/>
              <w:bidi w:val="0"/>
              <w:spacing w:before="0" w:beforeAutospacing="0" w:after="0" w:afterAutospacing="0" w:line="520" w:lineRule="exact"/>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lang w:val="en-US" w:eastAsia="zh-CN" w:bidi="ar-SA"/>
              </w:rPr>
              <w:t>工程质量必须达到国家工程施工质量验收合格标准</w:t>
            </w:r>
          </w:p>
        </w:tc>
      </w:tr>
      <w:tr w14:paraId="4DDA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155EDEA9">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5</w:t>
            </w:r>
          </w:p>
        </w:tc>
        <w:tc>
          <w:tcPr>
            <w:tcW w:w="1110" w:type="pct"/>
            <w:vAlign w:val="center"/>
          </w:tcPr>
          <w:p w14:paraId="4EC29EB9">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安全文明要求</w:t>
            </w:r>
          </w:p>
        </w:tc>
        <w:tc>
          <w:tcPr>
            <w:tcW w:w="3334" w:type="pct"/>
            <w:vAlign w:val="center"/>
          </w:tcPr>
          <w:p w14:paraId="1E60F048">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必须确保安全文明施工，符合国家和项目所在地现行相关规定</w:t>
            </w:r>
          </w:p>
        </w:tc>
      </w:tr>
      <w:tr w14:paraId="4387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1FBDF65C">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6</w:t>
            </w:r>
          </w:p>
        </w:tc>
        <w:tc>
          <w:tcPr>
            <w:tcW w:w="1110" w:type="pct"/>
            <w:vAlign w:val="center"/>
          </w:tcPr>
          <w:p w14:paraId="1F9DA5FE">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总包及分包规定</w:t>
            </w:r>
          </w:p>
        </w:tc>
        <w:tc>
          <w:tcPr>
            <w:tcW w:w="3334" w:type="pct"/>
            <w:vAlign w:val="center"/>
          </w:tcPr>
          <w:p w14:paraId="7AE09674">
            <w:pPr>
              <w:keepNext w:val="0"/>
              <w:keepLines w:val="0"/>
              <w:pageBreakBefore w:val="0"/>
              <w:kinsoku/>
              <w:overflowPunct/>
              <w:autoSpaceDE/>
              <w:autoSpaceDN/>
              <w:bidi w:val="0"/>
              <w:spacing w:line="520" w:lineRule="exac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供应商不得在成交后将工程转包给其它施工单位。</w:t>
            </w:r>
          </w:p>
          <w:p w14:paraId="24CF2D10">
            <w:pPr>
              <w:keepNext w:val="0"/>
              <w:keepLines w:val="0"/>
              <w:pageBreakBefore w:val="0"/>
              <w:kinsoku/>
              <w:overflowPunct/>
              <w:autoSpaceDE/>
              <w:autoSpaceDN/>
              <w:bidi w:val="0"/>
              <w:spacing w:line="520" w:lineRule="exact"/>
              <w:jc w:val="left"/>
              <w:textAlignment w:val="auto"/>
              <w:rPr>
                <w:rFonts w:hint="eastAsia" w:ascii="宋体" w:hAnsi="宋体" w:eastAsia="宋体" w:cs="宋体"/>
                <w:b w:val="0"/>
                <w:bCs w:val="0"/>
                <w:color w:val="auto"/>
                <w:kern w:val="2"/>
                <w:sz w:val="24"/>
                <w:szCs w:val="24"/>
                <w:highlight w:val="none"/>
                <w:lang w:eastAsia="zh-CN"/>
              </w:rPr>
            </w:pPr>
            <w:r>
              <w:rPr>
                <w:rFonts w:hint="eastAsia" w:ascii="宋体" w:hAnsi="宋体" w:eastAsia="宋体" w:cs="宋体"/>
                <w:b w:val="0"/>
                <w:bCs w:val="0"/>
                <w:color w:val="auto"/>
                <w:kern w:val="2"/>
                <w:sz w:val="24"/>
                <w:szCs w:val="24"/>
                <w:highlight w:val="none"/>
              </w:rPr>
              <w:t>分包情况</w:t>
            </w:r>
            <w:r>
              <w:rPr>
                <w:rFonts w:hint="eastAsia" w:cs="宋体"/>
                <w:b w:val="0"/>
                <w:bCs w:val="0"/>
                <w:color w:val="auto"/>
                <w:kern w:val="2"/>
                <w:sz w:val="24"/>
                <w:szCs w:val="24"/>
                <w:highlight w:val="none"/>
                <w:lang w:eastAsia="zh-CN"/>
              </w:rPr>
              <w:t>：</w:t>
            </w:r>
          </w:p>
          <w:p w14:paraId="1CB33C6D">
            <w:pPr>
              <w:keepNext w:val="0"/>
              <w:keepLines w:val="0"/>
              <w:pageBreakBefore w:val="0"/>
              <w:kinsoku/>
              <w:overflowPunct/>
              <w:autoSpaceDE/>
              <w:autoSpaceDN/>
              <w:bidi w:val="0"/>
              <w:spacing w:line="520" w:lineRule="exact"/>
              <w:jc w:val="left"/>
              <w:textAlignment w:val="auto"/>
              <w:rPr>
                <w:rFonts w:hint="eastAsia" w:ascii="宋体" w:hAnsi="宋体" w:eastAsia="宋体" w:cs="宋体"/>
                <w:b w:val="0"/>
                <w:bCs w:val="0"/>
                <w:color w:val="auto"/>
                <w:kern w:val="2"/>
                <w:sz w:val="24"/>
                <w:szCs w:val="24"/>
                <w:highlight w:val="none"/>
              </w:rPr>
            </w:pPr>
            <w:r>
              <w:rPr>
                <w:rFonts w:hint="eastAsia" w:ascii="宋体" w:hAnsi="宋体" w:eastAsia="宋体" w:cs="宋体"/>
                <w:b w:val="0"/>
                <w:bCs w:val="0"/>
                <w:color w:val="auto"/>
                <w:kern w:val="2"/>
                <w:sz w:val="24"/>
                <w:szCs w:val="24"/>
                <w:highlight w:val="none"/>
              </w:rPr>
              <w:t>□允许专业分包，分包项目、内容及分包商须经采购人及监理单位同意和认可</w:t>
            </w:r>
          </w:p>
          <w:p w14:paraId="480D8483">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2"/>
                <w:sz w:val="24"/>
                <w:szCs w:val="24"/>
                <w:highlight w:val="none"/>
                <w:lang w:eastAsia="zh-CN"/>
              </w:rPr>
              <w:t>☑</w:t>
            </w:r>
            <w:r>
              <w:rPr>
                <w:rFonts w:hint="eastAsia" w:ascii="宋体" w:hAnsi="宋体" w:eastAsia="宋体" w:cs="宋体"/>
                <w:b w:val="0"/>
                <w:bCs w:val="0"/>
                <w:color w:val="auto"/>
                <w:kern w:val="2"/>
                <w:sz w:val="24"/>
                <w:szCs w:val="24"/>
                <w:highlight w:val="none"/>
              </w:rPr>
              <w:t>不允许</w:t>
            </w:r>
          </w:p>
        </w:tc>
      </w:tr>
      <w:tr w14:paraId="384A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5804C9B1">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7</w:t>
            </w:r>
          </w:p>
        </w:tc>
        <w:tc>
          <w:tcPr>
            <w:tcW w:w="1110" w:type="pct"/>
            <w:vAlign w:val="center"/>
          </w:tcPr>
          <w:p w14:paraId="60DDAEF2">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现场条件</w:t>
            </w:r>
          </w:p>
        </w:tc>
        <w:tc>
          <w:tcPr>
            <w:tcW w:w="3334" w:type="pct"/>
            <w:vAlign w:val="center"/>
          </w:tcPr>
          <w:p w14:paraId="386B224B">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具备开工条件</w:t>
            </w:r>
          </w:p>
        </w:tc>
      </w:tr>
      <w:tr w14:paraId="3106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66201C42">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8</w:t>
            </w:r>
          </w:p>
        </w:tc>
        <w:tc>
          <w:tcPr>
            <w:tcW w:w="1110" w:type="pct"/>
            <w:vAlign w:val="center"/>
          </w:tcPr>
          <w:p w14:paraId="76045DAF">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采购人提供的资料</w:t>
            </w:r>
          </w:p>
        </w:tc>
        <w:tc>
          <w:tcPr>
            <w:tcW w:w="3334" w:type="pct"/>
            <w:vAlign w:val="center"/>
          </w:tcPr>
          <w:p w14:paraId="6FCBFFB2">
            <w:pPr>
              <w:keepNext w:val="0"/>
              <w:keepLines w:val="0"/>
              <w:pageBreakBefore w:val="0"/>
              <w:kinsoku/>
              <w:overflowPunct/>
              <w:autoSpaceDE/>
              <w:autoSpaceDN/>
              <w:bidi w:val="0"/>
              <w:adjustRightInd w:val="0"/>
              <w:snapToGrid w:val="0"/>
              <w:spacing w:line="52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磋商文件</w:t>
            </w:r>
          </w:p>
          <w:p w14:paraId="51581543">
            <w:pPr>
              <w:keepNext w:val="0"/>
              <w:keepLines w:val="0"/>
              <w:pageBreakBefore w:val="0"/>
              <w:kinsoku/>
              <w:overflowPunct/>
              <w:autoSpaceDE/>
              <w:autoSpaceDN/>
              <w:bidi w:val="0"/>
              <w:adjustRightInd w:val="0"/>
              <w:snapToGrid w:val="0"/>
              <w:spacing w:line="52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工程量清单</w:t>
            </w:r>
          </w:p>
          <w:p w14:paraId="099674AA">
            <w:pPr>
              <w:keepNext w:val="0"/>
              <w:keepLines w:val="0"/>
              <w:pageBreakBefore w:val="0"/>
              <w:kinsoku/>
              <w:overflowPunct/>
              <w:autoSpaceDE/>
              <w:autoSpaceDN/>
              <w:bidi w:val="0"/>
              <w:adjustRightInd w:val="0"/>
              <w:snapToGrid w:val="0"/>
              <w:spacing w:line="52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最高投标限价</w:t>
            </w:r>
          </w:p>
          <w:p w14:paraId="3B96E39C">
            <w:pPr>
              <w:keepNext w:val="0"/>
              <w:keepLines w:val="0"/>
              <w:pageBreakBefore w:val="0"/>
              <w:kinsoku/>
              <w:overflowPunct/>
              <w:autoSpaceDE/>
              <w:autoSpaceDN/>
              <w:bidi w:val="0"/>
              <w:adjustRightInd w:val="0"/>
              <w:snapToGrid w:val="0"/>
              <w:spacing w:line="520" w:lineRule="exact"/>
              <w:jc w:val="left"/>
              <w:textAlignment w:val="auto"/>
              <w:rPr>
                <w:rFonts w:hint="eastAsia" w:ascii="宋体" w:hAnsi="宋体" w:eastAsia="宋体" w:cs="宋体"/>
                <w:bCs/>
                <w:color w:val="auto"/>
                <w:sz w:val="24"/>
                <w:szCs w:val="24"/>
                <w:highlight w:val="none"/>
              </w:rPr>
            </w:pP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电子版图纸</w:t>
            </w:r>
          </w:p>
          <w:p w14:paraId="51DF7B7A">
            <w:pPr>
              <w:keepNext w:val="0"/>
              <w:keepLines w:val="0"/>
              <w:pageBreakBefore w:val="0"/>
              <w:kinsoku/>
              <w:overflowPunct/>
              <w:autoSpaceDE/>
              <w:autoSpaceDN/>
              <w:bidi w:val="0"/>
              <w:adjustRightInd w:val="0"/>
              <w:snapToGrid w:val="0"/>
              <w:spacing w:line="520" w:lineRule="exact"/>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获得方式：</w:t>
            </w:r>
            <w:r>
              <w:rPr>
                <w:rFonts w:hint="eastAsia" w:ascii="宋体" w:hAnsi="宋体" w:eastAsia="宋体" w:cs="宋体"/>
                <w:bCs/>
                <w:color w:val="auto"/>
                <w:sz w:val="24"/>
                <w:szCs w:val="24"/>
                <w:highlight w:val="none"/>
                <w:lang w:val="en-US" w:eastAsia="zh-CN"/>
              </w:rPr>
              <w:t>网上下载</w:t>
            </w:r>
          </w:p>
          <w:p w14:paraId="052FF5C8">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color w:val="auto"/>
                <w:sz w:val="24"/>
                <w:szCs w:val="24"/>
                <w:highlight w:val="none"/>
              </w:rPr>
              <w:t>上述资料请供应商在获取磋商文件后，自行登录电子交易系统下载本项目附件。</w:t>
            </w:r>
          </w:p>
        </w:tc>
      </w:tr>
      <w:tr w14:paraId="31F9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4D8AFB34">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9</w:t>
            </w:r>
          </w:p>
        </w:tc>
        <w:tc>
          <w:tcPr>
            <w:tcW w:w="1110" w:type="pct"/>
            <w:vAlign w:val="center"/>
          </w:tcPr>
          <w:p w14:paraId="65EAC562">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sz w:val="24"/>
                <w:szCs w:val="24"/>
                <w:highlight w:val="none"/>
              </w:rPr>
              <w:t>工程量清单和最高投标限价编制费</w:t>
            </w:r>
          </w:p>
        </w:tc>
        <w:tc>
          <w:tcPr>
            <w:tcW w:w="3334" w:type="pct"/>
            <w:vAlign w:val="center"/>
          </w:tcPr>
          <w:p w14:paraId="66D99A8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收费对象</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2"/>
                <w:sz w:val="24"/>
                <w:szCs w:val="24"/>
                <w:highlight w:val="none"/>
                <w:u w:val="single"/>
                <w:lang w:val="en-US" w:eastAsia="zh-CN"/>
              </w:rPr>
              <w:t>采购人</w:t>
            </w:r>
          </w:p>
          <w:p w14:paraId="7FE6585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转账</w:t>
            </w:r>
          </w:p>
          <w:p w14:paraId="3A2A69E1">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val="0"/>
                <w:color w:val="auto"/>
                <w:kern w:val="0"/>
                <w:sz w:val="24"/>
                <w:szCs w:val="24"/>
                <w:highlight w:val="none"/>
              </w:rPr>
              <w:t>（3）</w:t>
            </w:r>
            <w:r>
              <w:rPr>
                <w:rFonts w:hint="eastAsia" w:ascii="宋体" w:hAnsi="宋体" w:eastAsia="宋体" w:cs="宋体"/>
                <w:b w:val="0"/>
                <w:bCs/>
                <w:color w:val="auto"/>
                <w:kern w:val="0"/>
                <w:sz w:val="24"/>
                <w:szCs w:val="24"/>
                <w:highlight w:val="none"/>
                <w:lang w:val="en-US" w:eastAsia="zh-CN" w:bidi="ar-SA"/>
              </w:rPr>
              <w:t>收费标准：</w:t>
            </w:r>
            <w:r>
              <w:rPr>
                <w:rFonts w:hint="eastAsia" w:ascii="宋体" w:hAnsi="宋体" w:eastAsia="宋体" w:cs="宋体"/>
                <w:b w:val="0"/>
                <w:bCs/>
                <w:color w:val="auto"/>
                <w:kern w:val="0"/>
                <w:sz w:val="24"/>
                <w:szCs w:val="24"/>
                <w:highlight w:val="none"/>
                <w:u w:val="single"/>
                <w:lang w:val="en-US" w:eastAsia="zh-CN" w:bidi="ar-SA"/>
              </w:rPr>
              <w:t>双方约定为准</w:t>
            </w:r>
          </w:p>
        </w:tc>
      </w:tr>
      <w:tr w14:paraId="4ED8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2EDE0DE9">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rPr>
              <w:t>3</w:t>
            </w:r>
            <w:r>
              <w:rPr>
                <w:rFonts w:hint="eastAsia" w:ascii="宋体" w:hAnsi="宋体" w:eastAsia="宋体" w:cs="宋体"/>
                <w:bCs/>
                <w:color w:val="auto"/>
                <w:kern w:val="2"/>
                <w:sz w:val="24"/>
                <w:szCs w:val="24"/>
                <w:highlight w:val="none"/>
                <w:lang w:val="en-US" w:eastAsia="zh-CN"/>
              </w:rPr>
              <w:t>0</w:t>
            </w:r>
            <w:r>
              <w:rPr>
                <w:rFonts w:hint="eastAsia" w:ascii="宋体" w:hAnsi="宋体" w:eastAsia="宋体" w:cs="宋体"/>
                <w:bCs/>
                <w:color w:val="auto"/>
                <w:kern w:val="2"/>
                <w:sz w:val="24"/>
                <w:szCs w:val="24"/>
                <w:highlight w:val="none"/>
              </w:rPr>
              <w:t>.1</w:t>
            </w:r>
            <w:r>
              <w:rPr>
                <w:rFonts w:hint="eastAsia" w:ascii="宋体" w:hAnsi="宋体" w:eastAsia="宋体" w:cs="宋体"/>
                <w:bCs/>
                <w:color w:val="auto"/>
                <w:kern w:val="2"/>
                <w:sz w:val="24"/>
                <w:szCs w:val="24"/>
                <w:highlight w:val="none"/>
                <w:lang w:val="en-US" w:eastAsia="zh-CN"/>
              </w:rPr>
              <w:t>0</w:t>
            </w:r>
          </w:p>
        </w:tc>
        <w:tc>
          <w:tcPr>
            <w:tcW w:w="1110" w:type="pct"/>
            <w:vAlign w:val="center"/>
          </w:tcPr>
          <w:p w14:paraId="627A65F3">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其他补充说明</w:t>
            </w:r>
          </w:p>
        </w:tc>
        <w:tc>
          <w:tcPr>
            <w:tcW w:w="3334" w:type="pct"/>
            <w:vAlign w:val="center"/>
          </w:tcPr>
          <w:p w14:paraId="23236200">
            <w:pPr>
              <w:keepNext w:val="0"/>
              <w:keepLines w:val="0"/>
              <w:pageBreakBefore w:val="0"/>
              <w:numPr>
                <w:ilvl w:val="0"/>
                <w:numId w:val="0"/>
              </w:numPr>
              <w:kinsoku/>
              <w:overflowPunct/>
              <w:autoSpaceDE/>
              <w:autoSpaceDN/>
              <w:bidi w:val="0"/>
              <w:spacing w:line="520" w:lineRule="exac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1、解释权：</w:t>
            </w:r>
          </w:p>
          <w:p w14:paraId="274263D1">
            <w:pPr>
              <w:keepNext w:val="0"/>
              <w:keepLines w:val="0"/>
              <w:pageBreakBefore w:val="0"/>
              <w:numPr>
                <w:ilvl w:val="0"/>
                <w:numId w:val="0"/>
              </w:numPr>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（1）构成本磋商文件的各个组成文件应互为解释，互为说明；</w:t>
            </w:r>
          </w:p>
          <w:p w14:paraId="2175EA38">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5C4C5A55">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5344AFFE">
            <w:pPr>
              <w:keepNext w:val="0"/>
              <w:keepLines w:val="0"/>
              <w:pageBreakBefore w:val="0"/>
              <w:kinsoku/>
              <w:overflowPunct/>
              <w:autoSpaceDE/>
              <w:autoSpaceDN/>
              <w:bidi w:val="0"/>
              <w:spacing w:line="520" w:lineRule="exac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（4）除磋商文件中有特别规定外，仅适用于磋商及响应文件提交阶段的规定，按竞争性磋商公告、磋商邀请、供应商须知、评审方法和标准、响应文件格式的先后顺序解释；</w:t>
            </w:r>
          </w:p>
          <w:p w14:paraId="64C7B809">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（5）按本款前述规定仍不能形成结论的，由采购人负责解释。</w:t>
            </w:r>
          </w:p>
          <w:p w14:paraId="70F3F82A">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p>
          <w:p w14:paraId="572EF841">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3、电子保函指引：成交供应商可访问安徽省政府采购网“融资/保函”栏目，申请办理电子保函（包括：履约保函、预付款保函）。</w:t>
            </w:r>
          </w:p>
          <w:p w14:paraId="4B01BF78">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4、部分可提供线下政采贷的金融机构</w:t>
            </w:r>
          </w:p>
          <w:p w14:paraId="6EF524E2">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市本级</w:t>
            </w:r>
          </w:p>
          <w:p w14:paraId="291F78BE">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金融机构名称：兴业银行滁州分行</w:t>
            </w:r>
          </w:p>
          <w:p w14:paraId="2DD3B41F">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安徽省滁州市琅琊区丰乐大道1090号</w:t>
            </w:r>
          </w:p>
          <w:p w14:paraId="18E2FFCA">
            <w:pPr>
              <w:pStyle w:val="69"/>
              <w:keepNext w:val="0"/>
              <w:keepLines w:val="0"/>
              <w:pageBreakBefore w:val="0"/>
              <w:widowControl w:val="0"/>
              <w:kinsoku/>
              <w:overflowPunct/>
              <w:autoSpaceDE/>
              <w:autoSpaceDN/>
              <w:bidi w:val="0"/>
              <w:spacing w:before="0" w:beforeAutospacing="0" w:after="0" w:afterAutospacing="0" w:line="520" w:lineRule="exact"/>
              <w:jc w:val="both"/>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伏庚：17755080811</w:t>
            </w:r>
          </w:p>
        </w:tc>
      </w:tr>
      <w:tr w14:paraId="2F85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28F04A24">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30.11</w:t>
            </w:r>
          </w:p>
        </w:tc>
        <w:tc>
          <w:tcPr>
            <w:tcW w:w="1110" w:type="pct"/>
            <w:vAlign w:val="center"/>
          </w:tcPr>
          <w:p w14:paraId="603786BF">
            <w:pPr>
              <w:keepNext w:val="0"/>
              <w:keepLines w:val="0"/>
              <w:pageBreakBefore w:val="0"/>
              <w:kinsoku/>
              <w:overflowPunct/>
              <w:autoSpaceDE/>
              <w:autoSpaceDN/>
              <w:bidi w:val="0"/>
              <w:spacing w:line="520" w:lineRule="exact"/>
              <w:jc w:val="center"/>
              <w:textAlignment w:val="auto"/>
              <w:rPr>
                <w:rFonts w:hint="eastAsia" w:ascii="宋体" w:hAnsi="宋体" w:eastAsia="宋体" w:cs="宋体"/>
                <w:b w:val="0"/>
                <w:color w:val="auto"/>
                <w:sz w:val="24"/>
                <w:szCs w:val="24"/>
                <w:highlight w:val="none"/>
              </w:rPr>
            </w:pPr>
            <w:r>
              <w:rPr>
                <w:rFonts w:hint="eastAsia" w:ascii="宋体" w:hAnsi="宋体" w:eastAsia="宋体" w:cs="宋体"/>
                <w:b w:val="0"/>
                <w:bCs/>
                <w:color w:val="auto"/>
                <w:sz w:val="24"/>
                <w:szCs w:val="24"/>
                <w:highlight w:val="none"/>
              </w:rPr>
              <w:t>特别提示</w:t>
            </w:r>
          </w:p>
        </w:tc>
        <w:tc>
          <w:tcPr>
            <w:tcW w:w="3334" w:type="pct"/>
            <w:vAlign w:val="top"/>
          </w:tcPr>
          <w:p w14:paraId="41BAF4F3">
            <w:pPr>
              <w:keepNext w:val="0"/>
              <w:keepLines w:val="0"/>
              <w:pageBreakBefore w:val="0"/>
              <w:numPr>
                <w:ilvl w:val="0"/>
                <w:numId w:val="0"/>
              </w:numPr>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供应商</w:t>
            </w:r>
            <w:r>
              <w:rPr>
                <w:rFonts w:hint="eastAsia" w:ascii="宋体" w:hAnsi="宋体" w:eastAsia="宋体" w:cs="宋体"/>
                <w:bCs/>
                <w:color w:val="auto"/>
                <w:sz w:val="24"/>
                <w:szCs w:val="24"/>
                <w:highlight w:val="none"/>
                <w:lang w:bidi="ar"/>
              </w:rPr>
              <w:t>应填写信息并下载磋商文件，否则无法上传响应文件。</w:t>
            </w:r>
          </w:p>
          <w:p w14:paraId="3C245511">
            <w:pPr>
              <w:keepNext w:val="0"/>
              <w:keepLines w:val="0"/>
              <w:pageBreakBefore w:val="0"/>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2.本项目采用电子磋商，请供应商在滁州市公共资源交易中心网&gt;服务指南&gt;软件下载栏目点击下载响应文件制作工具。供应商需采用最新版响应文件制作工具。软件运行需在国际互联网络通畅状态，供应商需注意更新，以免造成响应文件制作错误，如因此导致评审委员会否决其磋商资格，责任自负。如有技术问题请联系0550-3801701，4009980000。</w:t>
            </w:r>
          </w:p>
          <w:p w14:paraId="26D19AD0">
            <w:pPr>
              <w:keepNext w:val="0"/>
              <w:keepLines w:val="0"/>
              <w:pageBreakBefore w:val="0"/>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3.如果过程中出现磋商文件更改，应以最后发布的招标答疑澄清文件中的模板制作本项目最新响应文件。</w:t>
            </w:r>
          </w:p>
          <w:p w14:paraId="0B63D493">
            <w:pPr>
              <w:keepNext w:val="0"/>
              <w:keepLines w:val="0"/>
              <w:pageBreakBefore w:val="0"/>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 xml:space="preserve">4.供应商应当用本单位CA数字证书制作响应文件，制作成功后进行响应文件上传。 </w:t>
            </w:r>
          </w:p>
          <w:p w14:paraId="10D6FD85">
            <w:pPr>
              <w:keepNext w:val="0"/>
              <w:keepLines w:val="0"/>
              <w:pageBreakBefore w:val="0"/>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w:t>
            </w:r>
            <w:r>
              <w:rPr>
                <w:rFonts w:hint="eastAsia" w:cs="宋体"/>
                <w:bCs/>
                <w:color w:val="auto"/>
                <w:sz w:val="24"/>
                <w:szCs w:val="24"/>
                <w:highlight w:val="none"/>
                <w:lang w:val="en-US" w:eastAsia="zh-CN" w:bidi="ar"/>
              </w:rPr>
              <w:t>参与</w:t>
            </w:r>
            <w:r>
              <w:rPr>
                <w:rFonts w:hint="eastAsia" w:ascii="宋体" w:hAnsi="宋体" w:eastAsia="宋体" w:cs="宋体"/>
                <w:bCs/>
                <w:color w:val="auto"/>
                <w:sz w:val="24"/>
                <w:szCs w:val="24"/>
                <w:highlight w:val="none"/>
                <w:lang w:bidi="ar"/>
              </w:rPr>
              <w:t>的，责任自负。</w:t>
            </w:r>
          </w:p>
          <w:p w14:paraId="634353BB">
            <w:pPr>
              <w:keepNext w:val="0"/>
              <w:keepLines w:val="0"/>
              <w:pageBreakBefore w:val="0"/>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6.请供应商注意加密响应文件CA数字证书的有效期，不在有效期的CA数字证书无法解密响应文件。</w:t>
            </w:r>
          </w:p>
          <w:p w14:paraId="36BE1214">
            <w:pPr>
              <w:keepNext w:val="0"/>
              <w:keepLines w:val="0"/>
              <w:pageBreakBefore w:val="0"/>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7.供应商响应MAC地址或供应商联系人或联系电话相同的，否决其响应，并报告监管部门作不良行为处理和进一步调查。</w:t>
            </w:r>
          </w:p>
          <w:p w14:paraId="39D6423D">
            <w:pPr>
              <w:keepNext w:val="0"/>
              <w:keepLines w:val="0"/>
              <w:pageBreakBefore w:val="0"/>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8.供应商单方面出现其他供应商材料的，否决其磋商资格。</w:t>
            </w:r>
          </w:p>
          <w:p w14:paraId="7BA4C0AC">
            <w:pPr>
              <w:keepNext w:val="0"/>
              <w:keepLines w:val="0"/>
              <w:pageBreakBefore w:val="0"/>
              <w:kinsoku/>
              <w:overflowPunct/>
              <w:autoSpaceDE/>
              <w:autoSpaceDN/>
              <w:bidi w:val="0"/>
              <w:spacing w:line="520" w:lineRule="exact"/>
              <w:jc w:val="left"/>
              <w:textAlignment w:val="auto"/>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bidi="ar"/>
              </w:rPr>
              <w:t>9.评审时查询响应文件制作机器码、文件创建标识码及造价软件加密锁号。若存在响应文件制作机器码或创建标识码或造价软件加密锁号信息与其他供应商</w:t>
            </w:r>
            <w:r>
              <w:rPr>
                <w:rFonts w:hint="eastAsia" w:ascii="宋体" w:hAnsi="宋体" w:eastAsia="宋体" w:cs="宋体"/>
                <w:bCs/>
                <w:color w:val="auto"/>
                <w:spacing w:val="-4"/>
                <w:sz w:val="24"/>
                <w:szCs w:val="24"/>
                <w:highlight w:val="none"/>
                <w:lang w:bidi="ar"/>
              </w:rPr>
              <w:t>雷同的，</w:t>
            </w:r>
            <w:r>
              <w:rPr>
                <w:rFonts w:hint="eastAsia" w:cs="宋体"/>
                <w:bCs/>
                <w:color w:val="auto"/>
                <w:spacing w:val="-4"/>
                <w:sz w:val="24"/>
                <w:szCs w:val="24"/>
                <w:highlight w:val="none"/>
                <w:lang w:val="en-US" w:eastAsia="zh-CN" w:bidi="ar"/>
              </w:rPr>
              <w:t>由评审委员会</w:t>
            </w:r>
            <w:r>
              <w:rPr>
                <w:rFonts w:hint="eastAsia" w:ascii="宋体" w:hAnsi="宋体" w:eastAsia="宋体" w:cs="宋体"/>
                <w:bCs/>
                <w:color w:val="auto"/>
                <w:spacing w:val="-4"/>
                <w:sz w:val="24"/>
                <w:szCs w:val="24"/>
                <w:highlight w:val="none"/>
                <w:lang w:bidi="ar"/>
              </w:rPr>
              <w:t>否决其磋商资格，依法依规予以处理。</w:t>
            </w:r>
          </w:p>
          <w:p w14:paraId="213FB619">
            <w:pPr>
              <w:keepNext w:val="0"/>
              <w:keepLines w:val="0"/>
              <w:pageBreakBefore w:val="0"/>
              <w:kinsoku/>
              <w:overflowPunct/>
              <w:autoSpaceDE/>
              <w:autoSpaceDN/>
              <w:bidi w:val="0"/>
              <w:spacing w:line="520" w:lineRule="exact"/>
              <w:jc w:val="lef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Cs/>
                <w:color w:val="auto"/>
                <w:sz w:val="24"/>
                <w:szCs w:val="24"/>
                <w:highlight w:val="none"/>
                <w:lang w:bidi="ar"/>
              </w:rPr>
              <w:t>10.</w:t>
            </w:r>
            <w:r>
              <w:rPr>
                <w:rFonts w:hint="eastAsia" w:ascii="宋体" w:hAnsi="宋体" w:eastAsia="宋体" w:cs="宋体"/>
                <w:color w:val="auto"/>
                <w:sz w:val="24"/>
                <w:szCs w:val="24"/>
                <w:highlight w:val="none"/>
                <w:lang w:bidi="ar"/>
              </w:rPr>
              <w:t>电子加密响应文件上传到系统后，需要供应商和代理公司到磋商截止时间后共同解锁，不存在商务报价等信息通过系统泄密的风险；磋商截止时间前，已上传的响应文件也可以撤回修改。集中到磋商截止时间前上传电子加密响应文件，可能出现由于供应商制作电子响应文件不熟练、网络拥堵等不可预知的情况而且无法及时解决，丧失磋商机会，请各供应商提前制作、上传电子加密响应文件，否则由于无法及时上传电子加密响应文件而无效响应的情况，责任自负！</w:t>
            </w:r>
          </w:p>
        </w:tc>
      </w:tr>
      <w:tr w14:paraId="7F9C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105DB6C3">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30.12</w:t>
            </w:r>
          </w:p>
        </w:tc>
        <w:tc>
          <w:tcPr>
            <w:tcW w:w="1110" w:type="pct"/>
            <w:vAlign w:val="center"/>
          </w:tcPr>
          <w:p w14:paraId="0816837C">
            <w:pPr>
              <w:keepNext w:val="0"/>
              <w:keepLines w:val="0"/>
              <w:pageBreakBefore w:val="0"/>
              <w:kinsoku/>
              <w:overflowPunct/>
              <w:autoSpaceDE/>
              <w:autoSpaceDN/>
              <w:bidi w:val="0"/>
              <w:spacing w:line="520" w:lineRule="exact"/>
              <w:jc w:val="center"/>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rPr>
              <w:t>重要要求</w:t>
            </w:r>
          </w:p>
        </w:tc>
        <w:tc>
          <w:tcPr>
            <w:tcW w:w="3334" w:type="pct"/>
            <w:vAlign w:val="top"/>
          </w:tcPr>
          <w:p w14:paraId="14D97629">
            <w:pPr>
              <w:keepNext w:val="0"/>
              <w:keepLines w:val="0"/>
              <w:pageBreakBefore w:val="0"/>
              <w:kinsoku/>
              <w:overflowPunct/>
              <w:topLinePunct/>
              <w:autoSpaceDE/>
              <w:autoSpaceDN/>
              <w:bidi w:val="0"/>
              <w:spacing w:line="52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1.本项目为面向中小企业预留份额的采购包，专门面向中小企业采购。专门面向中小企业采购的项目或者采购包，不再执行价格评审优惠的扶持政策。</w:t>
            </w:r>
          </w:p>
          <w:p w14:paraId="494A0681">
            <w:pPr>
              <w:keepNext w:val="0"/>
              <w:keepLines w:val="0"/>
              <w:pageBreakBefore w:val="0"/>
              <w:kinsoku/>
              <w:overflowPunct/>
              <w:topLinePunct/>
              <w:autoSpaceDE/>
              <w:autoSpaceDN/>
              <w:bidi w:val="0"/>
              <w:spacing w:line="520" w:lineRule="exact"/>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rPr>
              <w:t>2.采购标的对应的中小企业划分标准所属行业：建筑业。</w:t>
            </w:r>
          </w:p>
        </w:tc>
      </w:tr>
      <w:tr w14:paraId="013D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5" w:type="pct"/>
            <w:vAlign w:val="center"/>
          </w:tcPr>
          <w:p w14:paraId="18CCBD11">
            <w:pPr>
              <w:pStyle w:val="70"/>
              <w:keepNext w:val="0"/>
              <w:keepLines w:val="0"/>
              <w:pageBreakBefore w:val="0"/>
              <w:pBdr>
                <w:bottom w:val="none" w:color="auto" w:sz="0" w:space="0"/>
              </w:pBdr>
              <w:tabs>
                <w:tab w:val="clear" w:pos="4153"/>
                <w:tab w:val="clear" w:pos="8306"/>
              </w:tabs>
              <w:kinsoku/>
              <w:overflowPunct/>
              <w:autoSpaceDE/>
              <w:autoSpaceDN/>
              <w:bidi w:val="0"/>
              <w:adjustRightInd/>
              <w:spacing w:line="520" w:lineRule="exact"/>
              <w:textAlignment w:val="auto"/>
              <w:rPr>
                <w:rFonts w:hint="eastAsia" w:ascii="宋体" w:hAnsi="宋体" w:eastAsia="宋体" w:cs="宋体"/>
                <w:bCs/>
                <w:color w:val="auto"/>
                <w:kern w:val="2"/>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30.13</w:t>
            </w:r>
          </w:p>
        </w:tc>
        <w:tc>
          <w:tcPr>
            <w:tcW w:w="1110" w:type="pct"/>
            <w:vAlign w:val="center"/>
          </w:tcPr>
          <w:p w14:paraId="2E074DAA">
            <w:pPr>
              <w:keepNext w:val="0"/>
              <w:keepLines w:val="0"/>
              <w:pageBreakBefore w:val="0"/>
              <w:widowControl/>
              <w:kinsoku/>
              <w:overflowPunct/>
              <w:autoSpaceDE/>
              <w:autoSpaceDN/>
              <w:bidi w:val="0"/>
              <w:spacing w:line="52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评审过程中的澄清、说明或补正</w:t>
            </w:r>
          </w:p>
        </w:tc>
        <w:tc>
          <w:tcPr>
            <w:tcW w:w="3334" w:type="pct"/>
            <w:vAlign w:val="center"/>
          </w:tcPr>
          <w:p w14:paraId="09C34A46">
            <w:pPr>
              <w:keepNext w:val="0"/>
              <w:keepLines w:val="0"/>
              <w:pageBreakBefore w:val="0"/>
              <w:widowControl/>
              <w:kinsoku/>
              <w:overflowPunct/>
              <w:autoSpaceDE/>
              <w:autoSpaceDN/>
              <w:bidi w:val="0"/>
              <w:spacing w:line="52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（1）磋商小组通过网上招投标系统将需要澄清、说明或补正的内容以询标函的形式发送给供应商，供应商应安排专人登录网上招投标系统并保持在线状态，以便及时接收磋商小组可能发出的询标函。</w:t>
            </w:r>
          </w:p>
          <w:p w14:paraId="23AE436B">
            <w:pPr>
              <w:keepNext w:val="0"/>
              <w:keepLines w:val="0"/>
              <w:pageBreakBefore w:val="0"/>
              <w:widowControl/>
              <w:kinsoku/>
              <w:overflowPunct/>
              <w:autoSpaceDE/>
              <w:autoSpaceDN/>
              <w:bidi w:val="0"/>
              <w:spacing w:line="52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2）因供应商未登录网上招投标系统导致无法及时接收询标函（远程网上询标）或未在规定时间内按磋商小组要求进行澄清、说明或补正内容的视同供应商放弃澄清、说明或补正内容的权利，磋商小组可按对供应商不利的解释进行判定。</w:t>
            </w:r>
          </w:p>
        </w:tc>
      </w:tr>
    </w:tbl>
    <w:p w14:paraId="71417AF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1"/>
        <w:rPr>
          <w:rFonts w:hint="eastAsia" w:ascii="宋体" w:hAnsi="宋体" w:eastAsia="宋体" w:cs="宋体"/>
          <w:b/>
          <w:color w:val="auto"/>
          <w:sz w:val="24"/>
          <w:highlight w:val="none"/>
        </w:rPr>
      </w:pPr>
      <w:r>
        <w:rPr>
          <w:rFonts w:asciiTheme="minorEastAsia" w:hAnsiTheme="minorEastAsia" w:eastAsiaTheme="minorEastAsia"/>
          <w:b/>
          <w:color w:val="auto"/>
          <w:sz w:val="28"/>
          <w:highlight w:val="none"/>
        </w:rPr>
        <w:br w:type="page"/>
      </w:r>
      <w:bookmarkStart w:id="25" w:name="_Toc26858"/>
      <w:bookmarkStart w:id="26" w:name="_Toc18784"/>
      <w:r>
        <w:rPr>
          <w:rFonts w:hint="eastAsia" w:ascii="宋体" w:hAnsi="宋体" w:eastAsia="宋体" w:cs="宋体"/>
          <w:b/>
          <w:color w:val="auto"/>
          <w:sz w:val="24"/>
          <w:highlight w:val="none"/>
        </w:rPr>
        <w:t>二、供应商须知正文</w:t>
      </w:r>
      <w:bookmarkEnd w:id="25"/>
      <w:bookmarkEnd w:id="26"/>
    </w:p>
    <w:p w14:paraId="254A6E95">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.采购人、采购代理机构及供应商</w:t>
      </w:r>
    </w:p>
    <w:p w14:paraId="2DAE2B9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.1采购人：是指依法开展政府采购活动的国家机关、事业单位、团体组织。</w:t>
      </w:r>
    </w:p>
    <w:p w14:paraId="63B0F63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.3政府采购监督管理部门：各级人民政府指定的有关部门依法履行与政府采购活动有关的监督管理职责。</w:t>
      </w:r>
    </w:p>
    <w:p w14:paraId="1B2C882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.4供应商：是指向采购人提供货物、工程或者服务的法人、</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组织或者自然人。分支机构不得参加政府采购活动，但银行、保险、石油石化、电力、电信等特殊行业除外。本项目的供应商须满足以下条件：</w:t>
      </w:r>
    </w:p>
    <w:p w14:paraId="5AD39E1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651EE8C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以采购代理机构认可的方式获得了本项目的磋商文件。</w:t>
      </w:r>
    </w:p>
    <w:p w14:paraId="3F24C9A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bCs/>
          <w:color w:val="auto"/>
          <w:sz w:val="24"/>
          <w:szCs w:val="28"/>
          <w:highlight w:val="none"/>
          <w:lang w:val="en-US" w:eastAsia="zh-CN"/>
        </w:rPr>
        <w:t>1</w:t>
      </w:r>
      <w:r>
        <w:rPr>
          <w:rFonts w:hint="eastAsia" w:ascii="宋体" w:hAnsi="宋体" w:eastAsia="宋体" w:cs="宋体"/>
          <w:bCs/>
          <w:color w:val="auto"/>
          <w:sz w:val="24"/>
          <w:szCs w:val="28"/>
          <w:highlight w:val="none"/>
        </w:rPr>
        <w:t>.5若竞争性磋商公告中允许联合体参加磋商，对联合体规定如下：</w:t>
      </w:r>
    </w:p>
    <w:p w14:paraId="1327120B">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.5.1两个以上供应商可以组成一个磋商联合体，以一个供应商的身份磋商。</w:t>
      </w:r>
      <w:r>
        <w:rPr>
          <w:rFonts w:hint="eastAsia" w:ascii="宋体" w:hAnsi="宋体" w:eastAsia="宋体" w:cs="宋体"/>
          <w:b w:val="0"/>
          <w:color w:val="auto"/>
          <w:sz w:val="24"/>
          <w:highlight w:val="none"/>
        </w:rPr>
        <w:t>联合体参加磋商的，磋商文件获取手续由联合体中任一成员单位办理均可。</w:t>
      </w:r>
    </w:p>
    <w:p w14:paraId="2A8DD59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.5.2联合体各方均应符合《中华人民共和国政府采购法》第二十二条规定的条件。</w:t>
      </w:r>
    </w:p>
    <w:p w14:paraId="574F49F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.5.3采购人根据采购项目对供应商的特殊要求，联合体中至少应当有一方符合相关规定。</w:t>
      </w:r>
    </w:p>
    <w:p w14:paraId="6027B99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.5.4联合体各方应签订联合协议，明确约定联合体各方承担的工作和相应的责任，并将联合协议作为响应文件的一部分提交。</w:t>
      </w:r>
    </w:p>
    <w:p w14:paraId="125DF39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.5.5大中型企业、其他自然人、法人或者非法人组织与小型、微型企业组成联合体共同参加磋商，联合协议中应写明小型、微型企业的协议合同金额占到联合协议合同总金额的比例。</w:t>
      </w:r>
    </w:p>
    <w:p w14:paraId="4B40D3D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.5.6联合体中有同类资质的供应商按照联合体分工承担相同工作的，应当按照资质等级较低的供应商确定资质等级。</w:t>
      </w:r>
    </w:p>
    <w:p w14:paraId="666DC66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.5.7以联合体形式参加政府采购活动的，联合体各方不得再单独参加或者与其他供应商另外组成联合体参加本项目磋商，否则相关响应文件将被认定为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52AD743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.5.8对联合体参加磋商的其他资格要求见</w:t>
      </w:r>
      <w:r>
        <w:rPr>
          <w:rFonts w:hint="eastAsia" w:ascii="宋体" w:hAnsi="宋体" w:eastAsia="宋体" w:cs="宋体"/>
          <w:color w:val="auto"/>
          <w:sz w:val="24"/>
          <w:highlight w:val="none"/>
          <w:lang w:val="en-US" w:eastAsia="zh-CN"/>
        </w:rPr>
        <w:t>申请人的</w:t>
      </w:r>
      <w:r>
        <w:rPr>
          <w:rFonts w:hint="eastAsia" w:ascii="宋体" w:hAnsi="宋体" w:eastAsia="宋体" w:cs="宋体"/>
          <w:color w:val="auto"/>
          <w:sz w:val="24"/>
          <w:highlight w:val="none"/>
        </w:rPr>
        <w:t>资格</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14:paraId="1226EC19">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.资金</w:t>
      </w:r>
      <w:r>
        <w:rPr>
          <w:rFonts w:hint="eastAsia" w:ascii="宋体" w:hAnsi="宋体" w:eastAsia="宋体" w:cs="宋体"/>
          <w:b/>
          <w:color w:val="auto"/>
          <w:sz w:val="24"/>
          <w:highlight w:val="none"/>
          <w:lang w:val="en-US" w:eastAsia="zh-CN"/>
        </w:rPr>
        <w:t>落实情况</w:t>
      </w:r>
    </w:p>
    <w:p w14:paraId="29B199A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.1本项目的采购人已获得足以支付本次磋商后所签订的合同项下的资金。</w:t>
      </w:r>
    </w:p>
    <w:p w14:paraId="2E2FD87B">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.磋商费用</w:t>
      </w:r>
    </w:p>
    <w:p w14:paraId="3F06173A">
      <w:pPr>
        <w:keepNext w:val="0"/>
        <w:keepLines w:val="0"/>
        <w:pageBreakBefore w:val="0"/>
        <w:widowControl w:val="0"/>
        <w:kinsoku/>
        <w:wordWrap/>
        <w:overflowPunct/>
        <w:topLinePunct w:val="0"/>
        <w:autoSpaceDE/>
        <w:autoSpaceDN/>
        <w:bidi w:val="0"/>
        <w:adjustRightInd/>
        <w:snapToGrid/>
        <w:spacing w:line="520" w:lineRule="exact"/>
        <w:ind w:firstLine="43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不论磋商的结果如何，供应商应承担其所有与准备和参加磋商有关的费用。</w:t>
      </w:r>
    </w:p>
    <w:p w14:paraId="21392A72">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.适用法律</w:t>
      </w:r>
    </w:p>
    <w:p w14:paraId="461204F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456C4FEF">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.磋商文件构成</w:t>
      </w:r>
    </w:p>
    <w:p w14:paraId="5A4D413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.1磋商文件包括下列内容：</w:t>
      </w:r>
    </w:p>
    <w:p w14:paraId="552DA47E">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磋商邀请</w:t>
      </w:r>
    </w:p>
    <w:p w14:paraId="021484EF">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供应商须知</w:t>
      </w:r>
    </w:p>
    <w:p w14:paraId="56E7217F">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4023BF45">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评审方法和标准</w:t>
      </w:r>
    </w:p>
    <w:p w14:paraId="1AA00950">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143D2A5D">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响应文件格式</w:t>
      </w:r>
    </w:p>
    <w:p w14:paraId="38902637">
      <w:pPr>
        <w:keepNext w:val="0"/>
        <w:keepLines w:val="0"/>
        <w:pageBreakBefore w:val="0"/>
        <w:widowControl w:val="0"/>
        <w:kinsoku/>
        <w:wordWrap/>
        <w:overflowPunct/>
        <w:topLinePunct w:val="0"/>
        <w:autoSpaceDE/>
        <w:autoSpaceDN/>
        <w:bidi w:val="0"/>
        <w:adjustRightInd/>
        <w:snapToGrid/>
        <w:spacing w:line="520" w:lineRule="exact"/>
        <w:ind w:firstLine="840" w:firstLineChars="3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章  政府采购供应商询问函和质疑函范本</w:t>
      </w:r>
    </w:p>
    <w:p w14:paraId="74806CF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现场考察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标前答疑会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7DA0E72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供应商应认真阅读磋商文件所有的事项、格式、条款和技术规范等。</w:t>
      </w:r>
    </w:p>
    <w:p w14:paraId="515EF33A">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.磋商文件的澄清与修改</w:t>
      </w:r>
    </w:p>
    <w:p w14:paraId="0B6DE9D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.1供应商如对磋商文件内容有疑问，必须在</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规定的网上询问截止时间前以网上提问形式（电子交易系统）提交给采购代理机构。</w:t>
      </w:r>
    </w:p>
    <w:p w14:paraId="489FA6A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.2采购人可主动地或在</w:t>
      </w:r>
      <w:r>
        <w:rPr>
          <w:rFonts w:hint="eastAsia" w:ascii="宋体" w:hAnsi="宋体" w:eastAsia="宋体" w:cs="宋体"/>
          <w:color w:val="auto"/>
          <w:sz w:val="24"/>
          <w:highlight w:val="none"/>
          <w:lang w:val="en-US" w:eastAsia="zh-CN"/>
        </w:rPr>
        <w:t>答复供应商</w:t>
      </w:r>
      <w:r>
        <w:rPr>
          <w:rFonts w:hint="eastAsia" w:ascii="宋体" w:hAnsi="宋体" w:eastAsia="宋体" w:cs="宋体"/>
          <w:color w:val="auto"/>
          <w:sz w:val="24"/>
          <w:highlight w:val="none"/>
        </w:rPr>
        <w:t>提出的</w:t>
      </w:r>
      <w:r>
        <w:rPr>
          <w:rFonts w:hint="eastAsia" w:ascii="宋体" w:hAnsi="宋体" w:eastAsia="宋体" w:cs="宋体"/>
          <w:color w:val="auto"/>
          <w:sz w:val="24"/>
          <w:highlight w:val="none"/>
          <w:lang w:val="en-US" w:eastAsia="zh-CN"/>
        </w:rPr>
        <w:t>询问</w:t>
      </w:r>
      <w:r>
        <w:rPr>
          <w:rFonts w:hint="eastAsia" w:ascii="宋体" w:hAnsi="宋体" w:eastAsia="宋体" w:cs="宋体"/>
          <w:color w:val="auto"/>
          <w:sz w:val="24"/>
          <w:highlight w:val="none"/>
        </w:rPr>
        <w:t>时对</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文件进行澄清与修改。采购代理机构将在</w:t>
      </w:r>
      <w:bookmarkStart w:id="27" w:name="_Hlk16458572"/>
      <w:r>
        <w:rPr>
          <w:rFonts w:hint="eastAsia" w:ascii="宋体" w:hAnsi="宋体" w:eastAsia="宋体" w:cs="宋体"/>
          <w:color w:val="auto"/>
          <w:sz w:val="24"/>
          <w:szCs w:val="18"/>
          <w:highlight w:val="none"/>
        </w:rPr>
        <w:t>安徽省政府采购网</w:t>
      </w:r>
      <w:bookmarkEnd w:id="27"/>
      <w:r>
        <w:rPr>
          <w:rFonts w:hint="eastAsia" w:ascii="宋体" w:hAnsi="宋体" w:eastAsia="宋体" w:cs="宋体"/>
          <w:color w:val="auto"/>
          <w:sz w:val="24"/>
          <w:highlight w:val="none"/>
        </w:rPr>
        <w:t>发布更正公告的方式澄清或者修改磋商文件，更正公告的内容作为磋商文件的组成部分，对供应商起约束作用。供应商应主动上网查询。采购代理机构不承担供应商未及时关注相关信息引发的相关责任。</w:t>
      </w:r>
    </w:p>
    <w:p w14:paraId="24939AC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663D676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iCs/>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.4对于没有提出询问又参与了本项目磋商的供应商将被视为完全认同本磋商文件（含更正公告的内容）</w:t>
      </w:r>
      <w:r>
        <w:rPr>
          <w:rFonts w:hint="eastAsia" w:ascii="宋体" w:hAnsi="宋体" w:eastAsia="宋体" w:cs="宋体"/>
          <w:i/>
          <w:color w:val="auto"/>
          <w:sz w:val="24"/>
          <w:highlight w:val="none"/>
        </w:rPr>
        <w:t>。</w:t>
      </w:r>
    </w:p>
    <w:p w14:paraId="595479D2">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.磋商范围及响应文件中标准和计量单位的使用</w:t>
      </w:r>
    </w:p>
    <w:p w14:paraId="0C28427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.1项目有分包的，供应商可参与其中某一个或多个分包的磋商，成交包数详见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w:t>
      </w:r>
    </w:p>
    <w:p w14:paraId="31C9F26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.2无论磋商文件中是否要求，供应商所承担工程及伴随的货物和服务均应符合国家强制性标准。</w:t>
      </w:r>
    </w:p>
    <w:p w14:paraId="12A652D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06B202D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.4除磋商文件中有特殊要求外，响应文件中所使用的计量单位，应采用中华人民共和国法定计量单位。</w:t>
      </w:r>
    </w:p>
    <w:p w14:paraId="1CD8D083">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.响应文件构成</w:t>
      </w:r>
    </w:p>
    <w:p w14:paraId="77A98562">
      <w:pPr>
        <w:keepNext w:val="0"/>
        <w:keepLines w:val="0"/>
        <w:pageBreakBefore w:val="0"/>
        <w:widowControl w:val="0"/>
        <w:kinsoku/>
        <w:wordWrap/>
        <w:overflowPunct/>
        <w:topLinePunct w:val="0"/>
        <w:autoSpaceDE/>
        <w:autoSpaceDN/>
        <w:bidi w:val="0"/>
        <w:adjustRightInd/>
        <w:snapToGrid/>
        <w:spacing w:line="520" w:lineRule="exact"/>
        <w:ind w:firstLine="43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.1供应商应完整地按磋商文件提供的响应文件格式及要求编写响应文件，具体内容详见第六章响应文件格式的相关内容。</w:t>
      </w:r>
    </w:p>
    <w:p w14:paraId="164619C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供应商应提交磋商文件要求的证明文件，证明其响应内容符合磋商文件规定。该证明文件是响应文件的一部分。证明文件</w:t>
      </w:r>
      <w:r>
        <w:rPr>
          <w:rFonts w:hint="eastAsia" w:ascii="宋体" w:hAnsi="宋体" w:eastAsia="宋体" w:cs="宋体"/>
          <w:color w:val="auto"/>
          <w:sz w:val="24"/>
          <w:highlight w:val="none"/>
          <w:lang w:val="en-US" w:eastAsia="zh-CN"/>
        </w:rPr>
        <w:t>形式</w:t>
      </w:r>
      <w:r>
        <w:rPr>
          <w:rFonts w:hint="eastAsia" w:ascii="宋体" w:hAnsi="宋体" w:eastAsia="宋体" w:cs="宋体"/>
          <w:color w:val="auto"/>
          <w:sz w:val="24"/>
          <w:highlight w:val="none"/>
        </w:rPr>
        <w:t>可以是文字资料、图纸和数据</w:t>
      </w:r>
      <w:bookmarkStart w:id="28" w:name="_Hlk11703583"/>
      <w:r>
        <w:rPr>
          <w:rFonts w:hint="eastAsia" w:ascii="宋体" w:hAnsi="宋体" w:eastAsia="宋体" w:cs="宋体"/>
          <w:color w:val="auto"/>
          <w:sz w:val="24"/>
          <w:highlight w:val="none"/>
        </w:rPr>
        <w:t>。</w:t>
      </w:r>
      <w:bookmarkEnd w:id="28"/>
    </w:p>
    <w:p w14:paraId="68C78D8B">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为保证公平公正，除非磋商文件另有规定或说明，供应商对同一项目磋商时，不得同时提供备选磋商方案。</w:t>
      </w:r>
    </w:p>
    <w:p w14:paraId="45369C90">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.报价</w:t>
      </w:r>
    </w:p>
    <w:p w14:paraId="7725601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.1供应商的报价应当包括满足本次磋商全部内容。所有报价均应以人民币报价，供应商的磋商报价应遵守《中华人民共和国价格法》。</w:t>
      </w:r>
    </w:p>
    <w:p w14:paraId="7CE9931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最后报价均不得高于磋商文件（公告）列明的项目预算、最高投标限价，否则其响应文件将被认定为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5A94ED0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报价在合同履行过程中是固定不变的，不得以任何理由予以变更。任何包含价格调整要求的报价，其响应文件将被认定为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72D01D0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采购人不接受具有附加条件的报价。</w:t>
      </w:r>
    </w:p>
    <w:p w14:paraId="6F3281A6">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.磋商保证金</w:t>
      </w:r>
    </w:p>
    <w:p w14:paraId="1B37B2B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.1本项目不收取磋商保证金。</w:t>
      </w:r>
    </w:p>
    <w:p w14:paraId="64D39BC4">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11</w:t>
      </w:r>
      <w:r>
        <w:rPr>
          <w:rFonts w:hint="eastAsia" w:ascii="宋体" w:hAnsi="宋体" w:eastAsia="宋体" w:cs="宋体"/>
          <w:b/>
          <w:color w:val="auto"/>
          <w:sz w:val="24"/>
          <w:highlight w:val="none"/>
        </w:rPr>
        <w:t>.磋商有效期</w:t>
      </w:r>
    </w:p>
    <w:p w14:paraId="29C52B8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.1磋商有效期为从响应文件提交截止之日算起的日历天数，磋商有效期详见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2BAF3D0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.2在磋商有效期内，供应商的磋商保持有效，供应商不得要求撤销或修改其响应文件。磋商有效期不满足要求的响应，其响应文件将被认定为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544421B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5301E1A3">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.响应文件的提交、修改与撤回</w:t>
      </w:r>
    </w:p>
    <w:p w14:paraId="469BDC5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.1响应文件的提交</w:t>
      </w:r>
    </w:p>
    <w:p w14:paraId="2781626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在滁州市公共资源交易中心网，利用用户名或CA锁登录下载磋商文件(.czzf格式)后，在下载“响应文件制作工具”安装后，在线制作响应文件，制作好的响应文件格式有2种:第一种.cztf格式加密响应文件；第二种.ncztf格式是非加密响应文件。请供应商将第一种响应文件通过系统“上传响应文件”上传到系统中。</w:t>
      </w:r>
    </w:p>
    <w:p w14:paraId="3FE7927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（2）如果一个项目有多个标段，则需按标段下载对应标段磋商文件分别生成对应的响应文件，通过系统“上传响应文件”按标段分别上传到系统中。</w:t>
      </w:r>
    </w:p>
    <w:p w14:paraId="0CED3A7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（3）请供应商通过系统下载“响应文件制作工具”制作响应文件，并利用CA锁进行上传响应文件，上传已加密的响应文件，务必通过此方式上传响应文件。</w:t>
      </w:r>
    </w:p>
    <w:p w14:paraId="47AA256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（4）供应商在响应文件编制、签章、上传过程中如有任何操作的疑问请及时联系技术支持，电话：0550-3801701。</w:t>
      </w:r>
    </w:p>
    <w:p w14:paraId="61AD749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如果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66BD545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060D628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.3供应商应在</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规定的解密时间前对</w:t>
      </w:r>
      <w:r>
        <w:rPr>
          <w:rFonts w:hint="eastAsia" w:ascii="宋体" w:hAnsi="宋体" w:eastAsia="宋体" w:cs="宋体"/>
          <w:color w:val="auto"/>
          <w:sz w:val="24"/>
          <w:highlight w:val="none"/>
          <w:lang w:val="en-US" w:eastAsia="zh-CN"/>
        </w:rPr>
        <w:t>其</w:t>
      </w:r>
      <w:r>
        <w:rPr>
          <w:rFonts w:hint="eastAsia" w:ascii="宋体" w:hAnsi="宋体" w:eastAsia="宋体" w:cs="宋体"/>
          <w:color w:val="auto"/>
          <w:sz w:val="24"/>
          <w:highlight w:val="none"/>
        </w:rPr>
        <w:t>响应文件进行解密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未在规定时间内进行解密的，</w:t>
      </w:r>
      <w:r>
        <w:rPr>
          <w:rFonts w:hint="eastAsia" w:ascii="宋体" w:hAnsi="宋体" w:eastAsia="宋体" w:cs="宋体"/>
          <w:b/>
          <w:color w:val="auto"/>
          <w:sz w:val="24"/>
          <w:highlight w:val="none"/>
        </w:rPr>
        <w:t>响应无效</w:t>
      </w:r>
      <w:r>
        <w:rPr>
          <w:rFonts w:hint="eastAsia" w:ascii="宋体" w:hAnsi="宋体" w:eastAsia="宋体" w:cs="宋体"/>
          <w:b/>
          <w:color w:val="auto"/>
          <w:sz w:val="24"/>
          <w:highlight w:val="none"/>
          <w:lang w:eastAsia="zh-CN"/>
        </w:rPr>
        <w:t>。</w:t>
      </w:r>
    </w:p>
    <w:p w14:paraId="0EDB0D0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.4在响应文件提交截止时间之后，供应商不得对其响应文件做任何修改。但属于磋商小组在评审中发现的计算错误并进行核实的修改、按照磋商文件的变动情况和磋商小组的要求重新提交响应文件的，不在此列。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2EF817A0">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rPr>
        <w:t>.磋商小组</w:t>
      </w:r>
    </w:p>
    <w:p w14:paraId="0E896C1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.1本项目将依法组建磋商小组，磋商小组成员由3人以上单数组成，磋商小组及其成员应当依照政府采购的有关规定履行相关职责和义务。</w:t>
      </w:r>
    </w:p>
    <w:p w14:paraId="7C6A089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.2磋商小组依法对响应文件进行评审，并根据磋商文件规定的程序、评定成交的标准等事项与实质性响应磋商文件要求的供应商进行磋商。</w:t>
      </w:r>
    </w:p>
    <w:p w14:paraId="6333F0E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.3磋商小组应当从质量和服务均能满足磋商文件实质性响应要求的供应商中，按照评审方法和标准推荐成交候选供应商，并编写评审报告。</w:t>
      </w:r>
    </w:p>
    <w:p w14:paraId="2B97E4AE">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.响应文件的评审与磋商</w:t>
      </w:r>
    </w:p>
    <w:p w14:paraId="256A9B9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.1采购人和采购代理机构将在</w:t>
      </w:r>
      <w:r>
        <w:rPr>
          <w:rFonts w:hint="eastAsia" w:ascii="宋体" w:hAnsi="宋体" w:eastAsia="宋体" w:cs="宋体"/>
          <w:color w:val="auto"/>
          <w:kern w:val="2"/>
          <w:sz w:val="24"/>
          <w:highlight w:val="none"/>
          <w:u w:val="none"/>
          <w:lang w:val="en-US" w:eastAsia="zh-CN"/>
        </w:rPr>
        <w:t>竞争性磋商公告</w:t>
      </w:r>
      <w:r>
        <w:rPr>
          <w:rFonts w:hint="eastAsia" w:ascii="宋体" w:hAnsi="宋体" w:eastAsia="宋体" w:cs="宋体"/>
          <w:color w:val="auto"/>
          <w:sz w:val="24"/>
          <w:highlight w:val="none"/>
        </w:rPr>
        <w:t>规定的时间和地点组织磋商。</w:t>
      </w:r>
    </w:p>
    <w:p w14:paraId="509C0A4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.2竞争性磋商活动采用综合评分法评审。</w:t>
      </w:r>
    </w:p>
    <w:p w14:paraId="24A05BAB">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综合评分法，是指响应文件满足磋商文件全部实质性要求且按评审因素的量化指标评审得分最高的供应商为成交候选供应商的评审方法。</w:t>
      </w:r>
    </w:p>
    <w:p w14:paraId="4776B83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.3磋商小组将按照磋商文件规定的评审方法和标准对供应商独立进行评审。评审程序如下：</w:t>
      </w:r>
    </w:p>
    <w:p w14:paraId="399B7E8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.3.1</w:t>
      </w:r>
      <w:r>
        <w:rPr>
          <w:rFonts w:hint="eastAsia" w:ascii="宋体" w:hAnsi="宋体" w:eastAsia="宋体" w:cs="宋体"/>
          <w:b/>
          <w:color w:val="auto"/>
          <w:sz w:val="24"/>
          <w:highlight w:val="none"/>
        </w:rPr>
        <w:t>初审</w:t>
      </w:r>
      <w:r>
        <w:rPr>
          <w:rFonts w:hint="eastAsia" w:ascii="宋体" w:hAnsi="宋体" w:eastAsia="宋体" w:cs="宋体"/>
          <w:color w:val="auto"/>
          <w:sz w:val="24"/>
          <w:highlight w:val="none"/>
        </w:rPr>
        <w:t>。磋商小组对供应商必须满足和实质性响应的内容进行评审，供应商未实质性响应磋商文件要求导致响应无效的，磋商小组将以书面询标的方式告知有关供应商。</w:t>
      </w:r>
    </w:p>
    <w:p w14:paraId="5375C9FA">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67563EE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0E5733E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7B40332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.3.2</w:t>
      </w:r>
      <w:r>
        <w:rPr>
          <w:rFonts w:hint="eastAsia" w:ascii="宋体" w:hAnsi="宋体" w:eastAsia="宋体" w:cs="宋体"/>
          <w:b/>
          <w:color w:val="auto"/>
          <w:sz w:val="24"/>
          <w:highlight w:val="none"/>
        </w:rPr>
        <w:t>磋商</w:t>
      </w:r>
      <w:r>
        <w:rPr>
          <w:rFonts w:hint="eastAsia" w:ascii="宋体" w:hAnsi="宋体" w:eastAsia="宋体" w:cs="宋体"/>
          <w:color w:val="auto"/>
          <w:sz w:val="24"/>
          <w:highlight w:val="none"/>
        </w:rPr>
        <w:t>。初审合格后，磋商小组将按网上加密电子响应文件提交顺序集中与单一供应商分别进行磋商，并给予所有参加磋商的供应商平等的磋商机会。</w:t>
      </w:r>
    </w:p>
    <w:p w14:paraId="72D623A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.3.3</w:t>
      </w:r>
      <w:r>
        <w:rPr>
          <w:rFonts w:hint="eastAsia" w:ascii="宋体" w:hAnsi="宋体" w:eastAsia="宋体" w:cs="宋体"/>
          <w:b/>
          <w:color w:val="auto"/>
          <w:sz w:val="24"/>
          <w:highlight w:val="none"/>
        </w:rPr>
        <w:t>报价</w:t>
      </w:r>
      <w:r>
        <w:rPr>
          <w:rFonts w:hint="eastAsia" w:ascii="宋体" w:hAnsi="宋体" w:eastAsia="宋体" w:cs="宋体"/>
          <w:color w:val="auto"/>
          <w:sz w:val="24"/>
          <w:highlight w:val="none"/>
        </w:rPr>
        <w:t>。磋商结束后，磋商小组应当要求所有实质性响应的供应商在规定时间内提交最后报价。</w:t>
      </w:r>
    </w:p>
    <w:p w14:paraId="1635925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.3.4</w:t>
      </w:r>
      <w:r>
        <w:rPr>
          <w:rFonts w:hint="eastAsia" w:ascii="宋体" w:hAnsi="宋体" w:eastAsia="宋体" w:cs="宋体"/>
          <w:b/>
          <w:color w:val="auto"/>
          <w:sz w:val="24"/>
          <w:highlight w:val="none"/>
        </w:rPr>
        <w:t>综合评分</w:t>
      </w:r>
      <w:r>
        <w:rPr>
          <w:rFonts w:hint="eastAsia" w:ascii="宋体" w:hAnsi="宋体" w:eastAsia="宋体" w:cs="宋体"/>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1FA2076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.4相关说明。</w:t>
      </w:r>
    </w:p>
    <w:p w14:paraId="6B9519B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.4.1为保证磋商活动顺利进行，供应商可派相关技术人员进行网上答疑； </w:t>
      </w:r>
    </w:p>
    <w:p w14:paraId="5E1C577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4.2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0A5DD4A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宋体" w:hAnsi="宋体" w:eastAsia="宋体" w:cs="宋体"/>
          <w:b/>
          <w:color w:val="auto"/>
          <w:sz w:val="24"/>
          <w:highlight w:val="none"/>
        </w:rPr>
        <w:t>响应无效。</w:t>
      </w:r>
    </w:p>
    <w:p w14:paraId="608EB57B">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.4.4无论何种原因，即使供应商磋商时携带了证书材料的原件，但响应文件中未提供与之内容完全一致的扫描件的，磋商小组可以视同其未提供。</w:t>
      </w:r>
    </w:p>
    <w:p w14:paraId="327CF3C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.4.5磋商小组决定响应文件的响应性及符合性只根据响应文件本身的内容，而不寻求其他外部证据。</w:t>
      </w:r>
    </w:p>
    <w:p w14:paraId="63B0DBBB">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.5供应商授权代表对磋商过程有疑义，以及认为采购人、采购代理机构相关工作人员有需要回避的情形的，应当场提出询问或者回避申请，并说明理由。 </w:t>
      </w:r>
    </w:p>
    <w:p w14:paraId="6123854C">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rPr>
        <w:t>.终止竞争性磋商</w:t>
      </w:r>
    </w:p>
    <w:p w14:paraId="740D1A9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.1出现下列情况之一时，采购人和采购代理机构有权宣布终止竞争性磋商采购，并将理由通知所有供应商：</w:t>
      </w:r>
    </w:p>
    <w:p w14:paraId="2F4C3FA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（1）有效供应商数量不足，导致本次磋商缺乏竞争的；</w:t>
      </w:r>
    </w:p>
    <w:p w14:paraId="102A3B4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0957A131">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（3）因重大变故，采购任务取消的；</w:t>
      </w:r>
    </w:p>
    <w:p w14:paraId="4D95E47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（4）政府采购法律法规规定的其他情形。</w:t>
      </w:r>
    </w:p>
    <w:p w14:paraId="5C10F741">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16</w:t>
      </w:r>
      <w:r>
        <w:rPr>
          <w:rFonts w:hint="eastAsia" w:ascii="宋体" w:hAnsi="宋体" w:eastAsia="宋体" w:cs="宋体"/>
          <w:b/>
          <w:color w:val="auto"/>
          <w:sz w:val="24"/>
          <w:highlight w:val="none"/>
        </w:rPr>
        <w:t>.响应文件的澄清、说明或更正</w:t>
      </w:r>
    </w:p>
    <w:p w14:paraId="43F6D0AD">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2E1A3CF">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电子签章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72AD6B7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cs="宋体"/>
          <w:b/>
          <w:bCs/>
          <w:color w:val="auto"/>
          <w:sz w:val="24"/>
          <w:highlight w:val="none"/>
        </w:rPr>
        <w:t>、没有及时登录系统等情形</w:t>
      </w:r>
      <w:r>
        <w:rPr>
          <w:rFonts w:hint="eastAsia" w:ascii="宋体" w:hAnsi="宋体" w:eastAsia="宋体" w:cs="宋体"/>
          <w:b/>
          <w:color w:val="auto"/>
          <w:sz w:val="24"/>
          <w:highlight w:val="none"/>
        </w:rPr>
        <w:t>而无法接受磋商小组询标的，供应商自行承担相关风险。</w:t>
      </w:r>
    </w:p>
    <w:p w14:paraId="34DE251E">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17</w:t>
      </w:r>
      <w:r>
        <w:rPr>
          <w:rFonts w:hint="eastAsia" w:ascii="宋体" w:hAnsi="宋体" w:eastAsia="宋体" w:cs="宋体"/>
          <w:b/>
          <w:color w:val="auto"/>
          <w:sz w:val="24"/>
          <w:highlight w:val="none"/>
        </w:rPr>
        <w:t>.最后报价</w:t>
      </w:r>
    </w:p>
    <w:p w14:paraId="45FC921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.1磋商并不限定只进行二轮报价，如果磋商小组认为有必要，可以要求供应商进行多轮报价。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本项目约定为两次报价</w:t>
      </w:r>
      <w:r>
        <w:rPr>
          <w:rFonts w:hint="eastAsia" w:ascii="宋体" w:hAnsi="宋体" w:eastAsia="宋体" w:cs="宋体"/>
          <w:color w:val="auto"/>
          <w:sz w:val="24"/>
          <w:highlight w:val="none"/>
          <w:lang w:eastAsia="zh-CN"/>
        </w:rPr>
        <w:t>）</w:t>
      </w:r>
    </w:p>
    <w:p w14:paraId="059E22D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szCs w:val="20"/>
          <w:highlight w:val="none"/>
          <w:lang w:val="en-US" w:eastAsia="zh-CN" w:bidi="ar-SA"/>
        </w:rPr>
        <w:t>本次磋商实行两次报价。第一次报价为供应商在响应文件中填报的报价，第二次报价在响应文件通过评审后，由磋商小组通过评标系统以询标方式，向响应文件评审有效的各供应商进行询标，各供应商应在评标系统询标规定的时间内，通过“评标澄清回复”进行二次报价。各供应商应及时查看系统质询问题并及时进行二次报价，第二次报价即为最后报价，若供应商未在系统询标规定的时间内进行二次报价（最后报价）或二次报价被磋商小组认为不符合要求的，磋商小组默认其响应文件中填报的价格为供应商的最后报价，磋商价格分以供应商的最后报价为准，即满足磋商文件要求且最后报价最低的供应商的价格为磋商基准价，其价格分为满分。二次报价（最后报价）不得高于其一次报价，否则取消其磋商资格。望各供应商务必全程在线，及时进行回复，否则，因此给其造成相关后果，自行承担。</w:t>
      </w:r>
    </w:p>
    <w:p w14:paraId="4F2E05D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.2在磋商内容不做实质性变更或重大调整的前提下，供应商下轮报价不得高于上一轮报价。</w:t>
      </w:r>
    </w:p>
    <w:p w14:paraId="3EA5A22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.3最后报价是供应商响应文件的有效组成部分，最后报价也是签订合同的依据。</w:t>
      </w:r>
    </w:p>
    <w:p w14:paraId="5F48424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bookmarkStart w:id="29" w:name="_Hlk60607655"/>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4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响应文件中提交了《中小企业声明函》、《残疾人福利性单位声明函》或省级以上监狱管理局、戒毒管理局（含新疆生产建设兵团）出具的属于监狱企业的证明文件的供应商，其最后报价按照</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中规定的标准扣除后的价格参与评审。对于同时属于小微企业、监狱企业或残疾人福利性单位的，不重复进行最后报价扣除。</w:t>
      </w:r>
    </w:p>
    <w:p w14:paraId="7197B0F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最后报价按照</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5CF883F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bookmarkEnd w:id="29"/>
    </w:p>
    <w:p w14:paraId="154CF6B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17</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5</w:t>
      </w:r>
      <w:r>
        <w:rPr>
          <w:rFonts w:hint="eastAsia" w:ascii="宋体" w:hAnsi="宋体" w:eastAsia="宋体" w:cs="宋体"/>
          <w:color w:val="auto"/>
          <w:kern w:val="2"/>
          <w:sz w:val="24"/>
          <w:szCs w:val="22"/>
          <w:highlight w:val="none"/>
        </w:rPr>
        <w:t>供应商应当按照企业定额或项目所在地最新建设工程计价依据以及材料市场价格信息等，结合自身实力、施工经验、现场环境以及磋商文件的要求自主报价。</w:t>
      </w:r>
    </w:p>
    <w:p w14:paraId="3247591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6</w:t>
      </w:r>
      <w:r>
        <w:rPr>
          <w:rFonts w:hint="eastAsia" w:ascii="宋体" w:hAnsi="宋体" w:eastAsia="宋体" w:cs="宋体"/>
          <w:color w:val="auto"/>
          <w:kern w:val="2"/>
          <w:sz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6762FE1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7</w:t>
      </w:r>
      <w:r>
        <w:rPr>
          <w:rFonts w:hint="eastAsia" w:ascii="宋体" w:hAnsi="宋体" w:eastAsia="宋体" w:cs="宋体"/>
          <w:color w:val="auto"/>
          <w:kern w:val="2"/>
          <w:sz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403E6DA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8</w:t>
      </w:r>
      <w:r>
        <w:rPr>
          <w:rFonts w:hint="eastAsia" w:ascii="宋体" w:hAnsi="宋体" w:eastAsia="宋体" w:cs="宋体"/>
          <w:color w:val="auto"/>
          <w:kern w:val="2"/>
          <w:sz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3129F6B3">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工程造价的确定与控制</w:t>
      </w:r>
    </w:p>
    <w:p w14:paraId="5774943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.1本工程确定成交供应商后，工程总造价在磋商范围内包定，除经批准的设计变更、经济签证外，其它工程造价增减均不予签证计价。</w:t>
      </w:r>
    </w:p>
    <w:p w14:paraId="116CB40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7611140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6820C71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4</w:t>
      </w:r>
      <w:r>
        <w:rPr>
          <w:rFonts w:hint="eastAsia" w:ascii="宋体" w:hAnsi="宋体" w:eastAsia="宋体" w:cs="宋体"/>
          <w:color w:val="auto"/>
          <w:kern w:val="2"/>
          <w:sz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1B2A156D">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17.10</w:t>
      </w:r>
      <w:r>
        <w:rPr>
          <w:rFonts w:hint="eastAsia" w:ascii="宋体" w:hAnsi="宋体" w:eastAsia="宋体" w:cs="宋体"/>
          <w:color w:val="auto"/>
          <w:kern w:val="2"/>
          <w:sz w:val="24"/>
          <w:highlight w:val="none"/>
        </w:rPr>
        <w:t>成交供应商在工程量清单报价书中所报的综合单价一律不予调整。</w:t>
      </w:r>
    </w:p>
    <w:p w14:paraId="73327B2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kern w:val="2"/>
          <w:sz w:val="24"/>
          <w:highlight w:val="none"/>
          <w:lang w:val="en-US" w:eastAsia="zh-CN"/>
        </w:rPr>
        <w:t>17.11</w:t>
      </w:r>
      <w:r>
        <w:rPr>
          <w:rFonts w:hint="eastAsia" w:ascii="宋体" w:hAnsi="宋体" w:eastAsia="宋体" w:cs="宋体"/>
          <w:color w:val="auto"/>
          <w:kern w:val="2"/>
          <w:sz w:val="24"/>
          <w:highlight w:val="none"/>
        </w:rPr>
        <w:t>本工程不接受恶意不平衡报价，不保证最低价成交。</w:t>
      </w:r>
    </w:p>
    <w:p w14:paraId="008E28D1">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.成交候选供应商的推荐原则及标准</w:t>
      </w:r>
    </w:p>
    <w:p w14:paraId="550B3F3C">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55A2DF55">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.确定成交候选供应商和成交供应商</w:t>
      </w:r>
    </w:p>
    <w:p w14:paraId="58A0D914">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.1磋商小组根据综合评分的结果和</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中规定确定成交候选供应商，并标明排列顺序。按</w:t>
      </w:r>
      <w:r>
        <w:rPr>
          <w:rFonts w:hint="eastAsia" w:ascii="宋体" w:hAnsi="宋体" w:eastAsia="宋体" w:cs="宋体"/>
          <w:color w:val="auto"/>
          <w:sz w:val="24"/>
          <w:highlight w:val="none"/>
          <w:u w:val="single"/>
          <w:lang w:val="en-US" w:eastAsia="zh-CN"/>
        </w:rPr>
        <w:t>供应商</w:t>
      </w:r>
      <w:r>
        <w:rPr>
          <w:rFonts w:hint="eastAsia" w:ascii="宋体" w:hAnsi="宋体" w:eastAsia="宋体" w:cs="宋体"/>
          <w:color w:val="auto"/>
          <w:sz w:val="24"/>
          <w:highlight w:val="none"/>
          <w:u w:val="single"/>
        </w:rPr>
        <w:t>须知前附表</w:t>
      </w:r>
      <w:r>
        <w:rPr>
          <w:rFonts w:hint="eastAsia" w:ascii="宋体" w:hAnsi="宋体" w:eastAsia="宋体" w:cs="宋体"/>
          <w:color w:val="auto"/>
          <w:sz w:val="24"/>
          <w:highlight w:val="none"/>
        </w:rPr>
        <w:t>中规定，由</w:t>
      </w:r>
      <w:r>
        <w:rPr>
          <w:rFonts w:hint="eastAsia" w:ascii="宋体" w:hAnsi="宋体" w:eastAsia="宋体" w:cs="宋体"/>
          <w:color w:val="auto"/>
          <w:sz w:val="24"/>
          <w:highlight w:val="none"/>
          <w:lang w:val="en-US" w:eastAsia="zh-CN"/>
        </w:rPr>
        <w:t>磋商小组</w:t>
      </w:r>
      <w:r>
        <w:rPr>
          <w:rFonts w:hint="eastAsia" w:ascii="宋体" w:hAnsi="宋体" w:eastAsia="宋体" w:cs="宋体"/>
          <w:color w:val="auto"/>
          <w:sz w:val="24"/>
          <w:highlight w:val="none"/>
        </w:rPr>
        <w:t>或采购人确定</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w:t>
      </w:r>
    </w:p>
    <w:p w14:paraId="613EFA60">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.编写评审报告</w:t>
      </w:r>
    </w:p>
    <w:p w14:paraId="1B3A7C2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1689E319">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.保密要求</w:t>
      </w:r>
    </w:p>
    <w:p w14:paraId="09FD0149">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.1评审将在严格保密的情况下进行。</w:t>
      </w:r>
    </w:p>
    <w:p w14:paraId="25D8633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.2有关人员应当遵守评审工作纪律，不得泄露评审文件、评审情况和评审中获悉的国家秘密、商业秘密。</w:t>
      </w:r>
    </w:p>
    <w:p w14:paraId="42D0D141">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.成交结果公告</w:t>
      </w:r>
    </w:p>
    <w:p w14:paraId="1DC5F4D5">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.1为体现“公开、公平、公正”的原则，磋商结束后，采购代理机构将</w:t>
      </w:r>
      <w:r>
        <w:rPr>
          <w:rFonts w:hint="eastAsia" w:ascii="宋体" w:hAnsi="宋体" w:eastAsia="宋体" w:cs="宋体"/>
          <w:color w:val="auto"/>
          <w:sz w:val="24"/>
          <w:szCs w:val="18"/>
          <w:highlight w:val="none"/>
        </w:rPr>
        <w:t>在安徽省政府采购网（www.ccgp-anhui.gov.cn）上</w:t>
      </w:r>
      <w:r>
        <w:rPr>
          <w:rFonts w:hint="eastAsia" w:ascii="宋体" w:hAnsi="宋体" w:eastAsia="宋体" w:cs="宋体"/>
          <w:color w:val="auto"/>
          <w:sz w:val="24"/>
          <w:highlight w:val="none"/>
        </w:rPr>
        <w:t>发布成交结果公告。</w:t>
      </w:r>
    </w:p>
    <w:p w14:paraId="5E53422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中约定进行公告的内容。</w:t>
      </w:r>
    </w:p>
    <w:p w14:paraId="49BF671B">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23</w:t>
      </w:r>
      <w:r>
        <w:rPr>
          <w:rFonts w:hint="eastAsia" w:ascii="宋体" w:hAnsi="宋体" w:eastAsia="宋体" w:cs="宋体"/>
          <w:b/>
          <w:color w:val="auto"/>
          <w:sz w:val="24"/>
          <w:highlight w:val="none"/>
        </w:rPr>
        <w:t>.成交通知书</w:t>
      </w:r>
    </w:p>
    <w:p w14:paraId="034195A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.1采购代理机构发布成交结果公告的同时以</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规定的形式向成交供应商发出成交通知书。</w:t>
      </w:r>
    </w:p>
    <w:p w14:paraId="1B8B584E">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.2成交通知书对采购人和成交供应商具有同等法律效力。成交通知书发出以后，采购人改变成交结果或者成交供应商放弃成交资格，应当承担相应的法律责任。</w:t>
      </w:r>
    </w:p>
    <w:p w14:paraId="247B721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.3成交通知书是合同的组成部分。</w:t>
      </w:r>
    </w:p>
    <w:p w14:paraId="3845DDF7">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.告知磋商结果</w:t>
      </w:r>
    </w:p>
    <w:p w14:paraId="5E52825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.1在公告成交结果的同时，采购代理机构同时以</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规定的形式告知未成交供应商本人的评审得分和排序。</w:t>
      </w:r>
    </w:p>
    <w:p w14:paraId="54B9EA1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.2采购代理机构对未成交的供应商不做未成交原因的解释。</w:t>
      </w:r>
    </w:p>
    <w:p w14:paraId="74531C4E">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.履约保证金</w:t>
      </w:r>
    </w:p>
    <w:p w14:paraId="420E6C46">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.1成交供应商应按照</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规定缴纳履约保证金。</w:t>
      </w:r>
    </w:p>
    <w:p w14:paraId="294619A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023A6D65">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代理费用</w:t>
      </w:r>
    </w:p>
    <w:p w14:paraId="4A85064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val="en-US" w:eastAsia="zh-CN"/>
        </w:rPr>
        <w:t>代理费用</w:t>
      </w:r>
      <w:r>
        <w:rPr>
          <w:rFonts w:hint="eastAsia" w:ascii="宋体" w:hAnsi="宋体" w:eastAsia="宋体" w:cs="宋体"/>
          <w:color w:val="auto"/>
          <w:sz w:val="24"/>
          <w:highlight w:val="none"/>
        </w:rPr>
        <w:t>的收取按</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的规定执行。</w:t>
      </w:r>
    </w:p>
    <w:p w14:paraId="74A1979A">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.签订合同</w:t>
      </w:r>
    </w:p>
    <w:p w14:paraId="0B14A18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641AB8A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.2磋商文件、成交供应商的响应文件及其澄清文件等，均为签订合同的依据。</w:t>
      </w:r>
    </w:p>
    <w:p w14:paraId="16A3400E">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3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w:t>
      </w:r>
    </w:p>
    <w:p w14:paraId="54C97F9F">
      <w:pPr>
        <w:keepNext w:val="0"/>
        <w:keepLines w:val="0"/>
        <w:pageBreakBefore w:val="0"/>
        <w:widowControl w:val="0"/>
        <w:kinsoku/>
        <w:wordWrap/>
        <w:overflowPunct/>
        <w:topLinePunct w:val="0"/>
        <w:autoSpaceDE/>
        <w:autoSpaceDN/>
        <w:bidi w:val="0"/>
        <w:adjustRightInd/>
        <w:snapToGrid/>
        <w:spacing w:line="520" w:lineRule="exact"/>
        <w:ind w:firstLine="470" w:firstLineChars="196"/>
        <w:textAlignment w:val="auto"/>
        <w:rPr>
          <w:rFonts w:hint="eastAsia" w:ascii="宋体" w:hAnsi="宋体" w:eastAsia="宋体" w:cs="宋体"/>
          <w:color w:val="auto"/>
          <w:sz w:val="24"/>
          <w:highlight w:val="none"/>
        </w:rPr>
      </w:pPr>
      <w:bookmarkStart w:id="30" w:name="_Hlk60264926"/>
      <w:r>
        <w:rPr>
          <w:rFonts w:hint="eastAsia" w:ascii="宋体" w:hAnsi="宋体" w:eastAsia="宋体" w:cs="宋体"/>
          <w:color w:val="auto"/>
          <w:sz w:val="24"/>
          <w:highlight w:val="none"/>
          <w:lang w:val="en-US" w:eastAsia="zh-CN"/>
        </w:rPr>
        <w:t>27.4</w:t>
      </w:r>
      <w:r>
        <w:rPr>
          <w:rFonts w:hint="eastAsia" w:ascii="宋体" w:hAnsi="宋体" w:eastAsia="宋体" w:cs="宋体"/>
          <w:color w:val="auto"/>
          <w:sz w:val="24"/>
          <w:highlight w:val="none"/>
        </w:rPr>
        <w:t>依据《政府采购促进中小企业发展管理办法》（财库〔2020〕46号）规定享受扶持政策获得政府采购合同的，小微企业不得将合同分包给大中型企业，中型企业不得将合同分包给大型企业。</w:t>
      </w:r>
      <w:bookmarkEnd w:id="30"/>
    </w:p>
    <w:p w14:paraId="69B57E33">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.廉洁自律规定</w:t>
      </w:r>
    </w:p>
    <w:p w14:paraId="7FBB5C1B">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.1采购代理机构工作人员不得以不正当手段获取政府采购代理业务，不得与采购人、供应商恶意串通。</w:t>
      </w:r>
    </w:p>
    <w:p w14:paraId="1F8D7022">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2EA223E0">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29</w:t>
      </w:r>
      <w:r>
        <w:rPr>
          <w:rFonts w:hint="eastAsia" w:ascii="宋体" w:hAnsi="宋体" w:eastAsia="宋体" w:cs="宋体"/>
          <w:b/>
          <w:color w:val="auto"/>
          <w:sz w:val="24"/>
          <w:highlight w:val="none"/>
        </w:rPr>
        <w:t>.质疑的提出与接收</w:t>
      </w:r>
    </w:p>
    <w:p w14:paraId="2586EFF4">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77DC57B0">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7577083F">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采购代理机构质疑函接收部门、联系电话和通讯地址，见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6FD328B8">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注：上述条款中所要求的书面形式包含通过电子交易系统递交方式。</w:t>
      </w:r>
    </w:p>
    <w:p w14:paraId="3E364223">
      <w:pPr>
        <w:keepNext w:val="0"/>
        <w:keepLines w:val="0"/>
        <w:pageBreakBefore w:val="0"/>
        <w:widowControl w:val="0"/>
        <w:kinsoku/>
        <w:wordWrap/>
        <w:overflowPunct/>
        <w:topLinePunct w:val="0"/>
        <w:autoSpaceDE/>
        <w:autoSpaceDN/>
        <w:bidi w:val="0"/>
        <w:adjustRightInd/>
        <w:snapToGrid/>
        <w:spacing w:line="520" w:lineRule="exact"/>
        <w:ind w:firstLine="437"/>
        <w:textAlignment w:val="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.需要补充的其他内容</w:t>
      </w:r>
    </w:p>
    <w:p w14:paraId="54C97A27">
      <w:pPr>
        <w:keepNext w:val="0"/>
        <w:keepLines w:val="0"/>
        <w:pageBreakBefore w:val="0"/>
        <w:widowControl w:val="0"/>
        <w:kinsoku/>
        <w:wordWrap/>
        <w:overflowPunct/>
        <w:topLinePunct w:val="0"/>
        <w:autoSpaceDE/>
        <w:autoSpaceDN/>
        <w:bidi w:val="0"/>
        <w:adjustRightInd/>
        <w:snapToGrid/>
        <w:spacing w:line="520" w:lineRule="exact"/>
        <w:ind w:firstLine="43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1B6FAC70">
      <w:pPr>
        <w:widowControl/>
        <w:jc w:val="left"/>
        <w:rPr>
          <w:rFonts w:asciiTheme="minorEastAsia" w:hAnsiTheme="minorEastAsia" w:eastAsiaTheme="minorEastAsia"/>
          <w:b/>
          <w:color w:val="auto"/>
          <w:sz w:val="28"/>
          <w:highlight w:val="none"/>
        </w:rPr>
      </w:pPr>
      <w:r>
        <w:rPr>
          <w:rFonts w:asciiTheme="minorEastAsia" w:hAnsiTheme="minorEastAsia" w:eastAsiaTheme="minorEastAsia"/>
          <w:color w:val="auto"/>
          <w:sz w:val="24"/>
          <w:highlight w:val="none"/>
        </w:rPr>
        <w:br w:type="page"/>
      </w:r>
    </w:p>
    <w:p w14:paraId="26EB6F7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Theme="minorEastAsia" w:hAnsiTheme="minorEastAsia" w:eastAsiaTheme="minorEastAsia"/>
          <w:b/>
          <w:color w:val="auto"/>
          <w:sz w:val="28"/>
          <w:highlight w:val="none"/>
        </w:rPr>
      </w:pPr>
      <w:bookmarkStart w:id="31" w:name="_Toc30873"/>
      <w:r>
        <w:rPr>
          <w:rFonts w:hint="eastAsia" w:asciiTheme="minorEastAsia" w:hAnsiTheme="minorEastAsia" w:eastAsiaTheme="minorEastAsia"/>
          <w:b/>
          <w:color w:val="auto"/>
          <w:sz w:val="28"/>
          <w:highlight w:val="none"/>
        </w:rPr>
        <w:t>第三章  采购需求</w:t>
      </w:r>
      <w:bookmarkEnd w:id="31"/>
    </w:p>
    <w:tbl>
      <w:tblPr>
        <w:tblStyle w:val="97"/>
        <w:tblW w:w="5709" w:type="pct"/>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020"/>
        <w:gridCol w:w="7905"/>
      </w:tblGrid>
      <w:tr w14:paraId="282D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14:paraId="497633A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序号</w:t>
            </w:r>
          </w:p>
        </w:tc>
        <w:tc>
          <w:tcPr>
            <w:tcW w:w="522" w:type="pct"/>
            <w:vAlign w:val="center"/>
          </w:tcPr>
          <w:p w14:paraId="4DF36BD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内容</w:t>
            </w:r>
          </w:p>
        </w:tc>
        <w:tc>
          <w:tcPr>
            <w:tcW w:w="4047" w:type="pct"/>
            <w:vAlign w:val="center"/>
          </w:tcPr>
          <w:p w14:paraId="5A4B00C3">
            <w:pPr>
              <w:keepNext w:val="0"/>
              <w:keepLines w:val="0"/>
              <w:pageBreakBefore w:val="0"/>
              <w:widowControl w:val="0"/>
              <w:kinsoku/>
              <w:wordWrap/>
              <w:overflowPunct/>
              <w:topLinePunct w:val="0"/>
              <w:autoSpaceDE/>
              <w:autoSpaceDN/>
              <w:bidi w:val="0"/>
              <w:adjustRightInd/>
              <w:snapToGrid/>
              <w:spacing w:line="520" w:lineRule="exact"/>
              <w:ind w:firstLine="435"/>
              <w:jc w:val="center"/>
              <w:textAlignment w:val="auto"/>
              <w:rPr>
                <w:rFonts w:cs="@仿宋_GB2312" w:asciiTheme="minorEastAsia" w:hAnsiTheme="minorEastAsia" w:eastAsiaTheme="minorEastAsia"/>
                <w:b/>
                <w:color w:val="auto"/>
                <w:kern w:val="2"/>
                <w:sz w:val="24"/>
                <w:szCs w:val="22"/>
                <w:highlight w:val="none"/>
              </w:rPr>
            </w:pPr>
            <w:r>
              <w:rPr>
                <w:rFonts w:hint="eastAsia" w:cs="@仿宋_GB2312" w:asciiTheme="minorEastAsia" w:hAnsiTheme="minorEastAsia" w:eastAsiaTheme="minorEastAsia"/>
                <w:b/>
                <w:color w:val="auto"/>
                <w:kern w:val="2"/>
                <w:sz w:val="24"/>
                <w:szCs w:val="22"/>
                <w:highlight w:val="none"/>
              </w:rPr>
              <w:t>说明和要求</w:t>
            </w:r>
          </w:p>
        </w:tc>
      </w:tr>
      <w:tr w14:paraId="0BAC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14:paraId="33D7DD5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1</w:t>
            </w:r>
          </w:p>
        </w:tc>
        <w:tc>
          <w:tcPr>
            <w:tcW w:w="522" w:type="pct"/>
            <w:vAlign w:val="center"/>
          </w:tcPr>
          <w:p w14:paraId="74E84AE3">
            <w:pPr>
              <w:keepNext w:val="0"/>
              <w:keepLines w:val="0"/>
              <w:pageBreakBefore w:val="0"/>
              <w:widowControl w:val="0"/>
              <w:kinsoku/>
              <w:wordWrap/>
              <w:overflowPunct/>
              <w:topLinePunct w:val="0"/>
              <w:autoSpaceDE/>
              <w:autoSpaceDN/>
              <w:bidi w:val="0"/>
              <w:adjustRightInd/>
              <w:snapToGrid/>
              <w:spacing w:line="52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人员到岗及履约要求</w:t>
            </w:r>
          </w:p>
        </w:tc>
        <w:tc>
          <w:tcPr>
            <w:tcW w:w="4047" w:type="pct"/>
            <w:vAlign w:val="center"/>
          </w:tcPr>
          <w:p w14:paraId="048A50CD">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1、项目经理驻场要求：不得更换项目经理；项目经理驻场时间不得低于实际工期的80%，不得无故脱离施工现场，缺勤一天按5000元/天从工程结算价抵扣，</w:t>
            </w:r>
            <w:r>
              <w:rPr>
                <w:rFonts w:hint="eastAsia" w:cs="宋体"/>
                <w:color w:val="auto"/>
                <w:kern w:val="2"/>
                <w:sz w:val="21"/>
                <w:szCs w:val="21"/>
                <w:highlight w:val="none"/>
                <w:u w:val="none"/>
                <w:lang w:val="en-US" w:eastAsia="zh-CN"/>
              </w:rPr>
              <w:t>无故不参加采购人召开的例会、</w:t>
            </w:r>
            <w:r>
              <w:rPr>
                <w:rFonts w:hint="eastAsia" w:cs="@仿宋_GB2312" w:asciiTheme="minorEastAsia" w:hAnsiTheme="minorEastAsia" w:eastAsiaTheme="minorEastAsia"/>
                <w:color w:val="auto"/>
                <w:kern w:val="2"/>
                <w:sz w:val="24"/>
                <w:szCs w:val="22"/>
                <w:highlight w:val="none"/>
                <w:lang w:val="en-US" w:eastAsia="zh-CN"/>
              </w:rPr>
              <w:t>连续缺勤3天、累计缺勤5天或在施工关键技术环节缺勤的，采购人终止合同并对已完工程不予以计量计价，视为成交人违约并承担一切损失和赔偿。</w:t>
            </w:r>
          </w:p>
          <w:p w14:paraId="61B4E89F">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2、成交人在施工期间，做好采购人既有设施设备的保护和管理，因施工给采购人带来损失的，应予以修复或赔偿,赔偿款从工程结算款价中抵扣。工程结束后提交验收前应做好现场保洁，确保整洁干净。</w:t>
            </w:r>
          </w:p>
          <w:p w14:paraId="4B8C06A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3、本项目工程，成交人在施工中所使用的水电费，据实结算，从工程结算款价中抵扣。对无法装表计量的用水用电，分别按工程结算价款的0.3%和0.4%收取水电费。</w:t>
            </w:r>
          </w:p>
        </w:tc>
      </w:tr>
      <w:tr w14:paraId="1BB7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14:paraId="69DFACF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2</w:t>
            </w:r>
          </w:p>
        </w:tc>
        <w:tc>
          <w:tcPr>
            <w:tcW w:w="522" w:type="pct"/>
            <w:vAlign w:val="center"/>
          </w:tcPr>
          <w:p w14:paraId="6D9D047B">
            <w:pPr>
              <w:keepNext w:val="0"/>
              <w:keepLines w:val="0"/>
              <w:pageBreakBefore w:val="0"/>
              <w:widowControl w:val="0"/>
              <w:kinsoku/>
              <w:wordWrap/>
              <w:overflowPunct/>
              <w:topLinePunct w:val="0"/>
              <w:autoSpaceDE/>
              <w:autoSpaceDN/>
              <w:bidi w:val="0"/>
              <w:adjustRightInd/>
              <w:snapToGrid/>
              <w:spacing w:line="52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材料要求</w:t>
            </w:r>
          </w:p>
        </w:tc>
        <w:tc>
          <w:tcPr>
            <w:tcW w:w="4047" w:type="pct"/>
            <w:vAlign w:val="center"/>
          </w:tcPr>
          <w:p w14:paraId="33C5583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1、本项目主材：4mm弹性体改性沥青防水卷材，硅酸盐水泥。</w:t>
            </w:r>
          </w:p>
          <w:p w14:paraId="47D1BB2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2、供应商在响应文件中应提供防水卷材品牌，承诺进场前提供4mmSBS防水卷材的第三方有权机构出具“CMA”或“CNAS”标识的产品检验报告和出厂合格证，检测依据：GB18242-2008《弹性体改性沥青防水卷材》，各项指标均满足国家标准要求。</w:t>
            </w:r>
          </w:p>
          <w:p w14:paraId="587BF6A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3、水泥标号为硅酸盐425，供应商在响应文件中应提供</w:t>
            </w:r>
            <w:r>
              <w:rPr>
                <w:rFonts w:hint="eastAsia" w:cs="@仿宋_GB2312" w:asciiTheme="minorEastAsia" w:hAnsiTheme="minorEastAsia" w:eastAsiaTheme="minorEastAsia"/>
                <w:color w:val="auto"/>
                <w:kern w:val="2"/>
                <w:sz w:val="24"/>
                <w:szCs w:val="22"/>
                <w:highlight w:val="none"/>
                <w:lang w:val="en-US" w:eastAsia="zh-CN"/>
              </w:rPr>
              <w:t>硅酸盐水泥品牌</w:t>
            </w:r>
            <w:r>
              <w:rPr>
                <w:rFonts w:hint="eastAsia" w:cs="@仿宋_GB2312" w:asciiTheme="minorEastAsia" w:hAnsiTheme="minorEastAsia" w:eastAsiaTheme="minorEastAsia"/>
                <w:color w:val="auto"/>
                <w:kern w:val="2"/>
                <w:sz w:val="24"/>
                <w:szCs w:val="22"/>
                <w:highlight w:val="none"/>
                <w:lang w:val="en-US" w:eastAsia="zh-CN"/>
              </w:rPr>
              <w:t>，承诺进场前提供第三方有权机构出具“CMA”或“CNAS”标识的产品检验报告，检测依据：</w:t>
            </w:r>
            <w:r>
              <w:rPr>
                <w:rFonts w:hint="eastAsia" w:cs="@仿宋_GB2312" w:asciiTheme="minorEastAsia" w:hAnsiTheme="minorEastAsia" w:eastAsiaTheme="minorEastAsia"/>
                <w:color w:val="auto"/>
                <w:kern w:val="2"/>
                <w:sz w:val="24"/>
                <w:szCs w:val="22"/>
                <w:highlight w:val="none"/>
                <w:lang w:val="en-US" w:eastAsia="zh-CN"/>
              </w:rPr>
              <w:t>GB175-2023《通用硅酸盐水泥》。</w:t>
            </w:r>
          </w:p>
          <w:p w14:paraId="13B6676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lang w:val="en-US" w:eastAsia="zh-CN"/>
              </w:rPr>
              <w:t>3、供应商须在响应文件中提供防水卷材和硅酸盐水泥的材料品牌（不得简略填写国产或自制，否则按无效响应处理）、规格或型号（格式见附件）。未在响应文件中提供的，按无效响应处理。</w:t>
            </w:r>
          </w:p>
          <w:p w14:paraId="0AD5A7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4.</w:t>
            </w:r>
            <w:r>
              <w:rPr>
                <w:rFonts w:hint="eastAsia" w:cs="@仿宋_GB2312" w:asciiTheme="minorEastAsia" w:hAnsiTheme="minorEastAsia" w:eastAsiaTheme="minorEastAsia"/>
                <w:color w:val="auto"/>
                <w:kern w:val="2"/>
                <w:sz w:val="24"/>
                <w:szCs w:val="22"/>
                <w:highlight w:val="none"/>
              </w:rPr>
              <w:t>所有主材和辅材、主件和配件应为市面可见的全新正规产品，不得使用二手产品；所购设备及材料必须符合招标要求和国家相关安全、环保标准。</w:t>
            </w:r>
          </w:p>
        </w:tc>
      </w:tr>
      <w:tr w14:paraId="1927E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14:paraId="5141997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3</w:t>
            </w:r>
          </w:p>
        </w:tc>
        <w:tc>
          <w:tcPr>
            <w:tcW w:w="522" w:type="pct"/>
            <w:vAlign w:val="center"/>
          </w:tcPr>
          <w:p w14:paraId="1866106E">
            <w:pPr>
              <w:keepNext w:val="0"/>
              <w:keepLines w:val="0"/>
              <w:pageBreakBefore w:val="0"/>
              <w:widowControl w:val="0"/>
              <w:kinsoku/>
              <w:wordWrap/>
              <w:overflowPunct/>
              <w:topLinePunct w:val="0"/>
              <w:autoSpaceDE/>
              <w:autoSpaceDN/>
              <w:bidi w:val="0"/>
              <w:adjustRightInd/>
              <w:snapToGrid/>
              <w:spacing w:line="52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工程施工重点难点</w:t>
            </w:r>
          </w:p>
        </w:tc>
        <w:tc>
          <w:tcPr>
            <w:tcW w:w="4047" w:type="pct"/>
            <w:vAlign w:val="center"/>
          </w:tcPr>
          <w:p w14:paraId="1D6CF6EE">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w:t>
            </w:r>
          </w:p>
        </w:tc>
      </w:tr>
      <w:tr w14:paraId="0825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30" w:type="pct"/>
            <w:vAlign w:val="center"/>
          </w:tcPr>
          <w:p w14:paraId="6F96A30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4</w:t>
            </w:r>
          </w:p>
        </w:tc>
        <w:tc>
          <w:tcPr>
            <w:tcW w:w="522" w:type="pct"/>
            <w:vAlign w:val="center"/>
          </w:tcPr>
          <w:p w14:paraId="068F5F07">
            <w:pPr>
              <w:keepNext w:val="0"/>
              <w:keepLines w:val="0"/>
              <w:pageBreakBefore w:val="0"/>
              <w:widowControl w:val="0"/>
              <w:kinsoku/>
              <w:wordWrap/>
              <w:overflowPunct/>
              <w:topLinePunct w:val="0"/>
              <w:autoSpaceDE/>
              <w:autoSpaceDN/>
              <w:bidi w:val="0"/>
              <w:adjustRightInd/>
              <w:snapToGrid/>
              <w:spacing w:line="52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报价须知</w:t>
            </w:r>
          </w:p>
        </w:tc>
        <w:tc>
          <w:tcPr>
            <w:tcW w:w="4047" w:type="pct"/>
            <w:vAlign w:val="center"/>
          </w:tcPr>
          <w:p w14:paraId="406DD433">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eastAsia="@微软简标宋"/>
                <w:color w:val="auto"/>
                <w:kern w:val="2"/>
                <w:sz w:val="21"/>
                <w:szCs w:val="22"/>
                <w:highlight w:val="none"/>
                <w:lang w:eastAsia="zh-CN"/>
              </w:rPr>
            </w:pPr>
            <w:r>
              <w:rPr>
                <w:rFonts w:hint="eastAsia" w:cs="@仿宋_GB2312" w:asciiTheme="minorEastAsia" w:hAnsiTheme="minorEastAsia" w:eastAsiaTheme="minorEastAsia"/>
                <w:color w:val="auto"/>
                <w:kern w:val="2"/>
                <w:sz w:val="24"/>
                <w:szCs w:val="22"/>
                <w:highlight w:val="none"/>
                <w:lang w:val="en-US" w:eastAsia="zh-CN"/>
              </w:rPr>
              <w:t>1、</w:t>
            </w:r>
            <w:r>
              <w:rPr>
                <w:rFonts w:hint="eastAsia" w:cs="@仿宋_GB2312" w:asciiTheme="minorEastAsia" w:hAnsiTheme="minorEastAsia" w:eastAsiaTheme="minorEastAsia"/>
                <w:color w:val="auto"/>
                <w:kern w:val="2"/>
                <w:sz w:val="24"/>
                <w:szCs w:val="22"/>
                <w:highlight w:val="none"/>
              </w:rPr>
              <w:t>供应商最后报价均不得高于磋商文件（公告）列明的项目预算、最高投标限价，否则其响应文件将被认定为响应无效。</w:t>
            </w:r>
          </w:p>
        </w:tc>
      </w:tr>
      <w:tr w14:paraId="4925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14:paraId="44E9C1C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5</w:t>
            </w:r>
          </w:p>
        </w:tc>
        <w:tc>
          <w:tcPr>
            <w:tcW w:w="522" w:type="pct"/>
            <w:vAlign w:val="center"/>
          </w:tcPr>
          <w:p w14:paraId="0872A142">
            <w:pPr>
              <w:keepNext w:val="0"/>
              <w:keepLines w:val="0"/>
              <w:pageBreakBefore w:val="0"/>
              <w:widowControl w:val="0"/>
              <w:kinsoku/>
              <w:wordWrap/>
              <w:overflowPunct/>
              <w:topLinePunct w:val="0"/>
              <w:autoSpaceDE/>
              <w:autoSpaceDN/>
              <w:bidi w:val="0"/>
              <w:adjustRightInd/>
              <w:snapToGrid/>
              <w:spacing w:line="52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重要说明</w:t>
            </w:r>
          </w:p>
        </w:tc>
        <w:tc>
          <w:tcPr>
            <w:tcW w:w="4047" w:type="pct"/>
            <w:vAlign w:val="center"/>
          </w:tcPr>
          <w:p w14:paraId="1F6A6C9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olor w:val="auto"/>
                <w:kern w:val="2"/>
                <w:sz w:val="24"/>
                <w:szCs w:val="18"/>
                <w:highlight w:val="none"/>
              </w:rPr>
            </w:pPr>
            <w:r>
              <w:rPr>
                <w:rFonts w:hint="eastAsia" w:cs="宋体"/>
                <w:color w:val="auto"/>
                <w:kern w:val="2"/>
                <w:sz w:val="24"/>
                <w:szCs w:val="24"/>
                <w:highlight w:val="none"/>
                <w:lang w:val="en-US" w:eastAsia="zh-CN"/>
              </w:rPr>
              <w:t>1、</w:t>
            </w:r>
            <w:r>
              <w:rPr>
                <w:rFonts w:ascii="宋体" w:hAnsi="宋体" w:eastAsia="宋体" w:cs="宋体"/>
                <w:color w:val="auto"/>
                <w:kern w:val="2"/>
                <w:sz w:val="24"/>
                <w:szCs w:val="24"/>
                <w:highlight w:val="none"/>
              </w:rPr>
              <w:t>政府采购政策（包括但不限于下列具体政策要求</w:t>
            </w:r>
            <w:r>
              <w:rPr>
                <w:rFonts w:hint="eastAsia" w:ascii="宋体" w:hAnsi="宋体" w:eastAsia="宋体" w:cs="宋体"/>
                <w:color w:val="auto"/>
                <w:kern w:val="2"/>
                <w:sz w:val="24"/>
                <w:szCs w:val="24"/>
                <w:highlight w:val="none"/>
                <w:lang w:eastAsia="zh-CN"/>
              </w:rPr>
              <w:t>）</w:t>
            </w:r>
            <w:r>
              <w:rPr>
                <w:rFonts w:hint="eastAsia" w:ascii="宋体" w:hAnsi="宋体" w:eastAsia="宋体"/>
                <w:color w:val="auto"/>
                <w:kern w:val="2"/>
                <w:sz w:val="24"/>
                <w:szCs w:val="18"/>
                <w:highlight w:val="none"/>
              </w:rPr>
              <w:t>：</w:t>
            </w:r>
          </w:p>
          <w:p w14:paraId="6330159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1BB4DE0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cs="@仿宋_GB2312" w:asciiTheme="minorEastAsia" w:hAnsiTheme="minorEastAsia" w:eastAsiaTheme="minorEastAsia"/>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655F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14:paraId="71A8FAE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cs="@仿宋_GB2312" w:asciiTheme="minorEastAsia" w:hAnsiTheme="minorEastAsia" w:eastAsiaTheme="minorEastAsia"/>
                <w:color w:val="auto"/>
                <w:kern w:val="2"/>
                <w:sz w:val="24"/>
                <w:szCs w:val="22"/>
                <w:highlight w:val="none"/>
              </w:rPr>
            </w:pPr>
            <w:r>
              <w:rPr>
                <w:rFonts w:cs="@仿宋_GB2312" w:asciiTheme="minorEastAsia" w:hAnsiTheme="minorEastAsia" w:eastAsiaTheme="minorEastAsia"/>
                <w:color w:val="auto"/>
                <w:kern w:val="2"/>
                <w:sz w:val="24"/>
                <w:szCs w:val="22"/>
                <w:highlight w:val="none"/>
              </w:rPr>
              <w:t>6</w:t>
            </w:r>
          </w:p>
        </w:tc>
        <w:tc>
          <w:tcPr>
            <w:tcW w:w="522" w:type="pct"/>
            <w:vAlign w:val="center"/>
          </w:tcPr>
          <w:p w14:paraId="2F951747">
            <w:pPr>
              <w:keepNext w:val="0"/>
              <w:keepLines w:val="0"/>
              <w:pageBreakBefore w:val="0"/>
              <w:widowControl w:val="0"/>
              <w:kinsoku/>
              <w:wordWrap/>
              <w:overflowPunct/>
              <w:topLinePunct w:val="0"/>
              <w:autoSpaceDE/>
              <w:autoSpaceDN/>
              <w:bidi w:val="0"/>
              <w:adjustRightInd/>
              <w:snapToGrid/>
              <w:spacing w:line="520" w:lineRule="exact"/>
              <w:textAlignment w:val="auto"/>
              <w:rPr>
                <w:rFonts w:cs="@仿宋_GB2312" w:asciiTheme="minorEastAsia" w:hAnsiTheme="minorEastAsia" w:eastAsiaTheme="minorEastAsia"/>
                <w:color w:val="auto"/>
                <w:kern w:val="2"/>
                <w:sz w:val="24"/>
                <w:szCs w:val="22"/>
                <w:highlight w:val="none"/>
              </w:rPr>
            </w:pPr>
            <w:r>
              <w:rPr>
                <w:rFonts w:hint="eastAsia" w:cs="@仿宋_GB2312" w:asciiTheme="minorEastAsia" w:hAnsiTheme="minorEastAsia" w:eastAsiaTheme="minorEastAsia"/>
                <w:color w:val="auto"/>
                <w:kern w:val="2"/>
                <w:sz w:val="24"/>
                <w:szCs w:val="22"/>
                <w:highlight w:val="none"/>
              </w:rPr>
              <w:t>项目经理</w:t>
            </w:r>
          </w:p>
        </w:tc>
        <w:tc>
          <w:tcPr>
            <w:tcW w:w="4047" w:type="pct"/>
            <w:vAlign w:val="center"/>
          </w:tcPr>
          <w:p w14:paraId="0DA65692">
            <w:pPr>
              <w:keepNext w:val="0"/>
              <w:keepLines w:val="0"/>
              <w:pageBreakBefore w:val="0"/>
              <w:widowControl w:val="0"/>
              <w:kinsoku/>
              <w:wordWrap/>
              <w:overflowPunct/>
              <w:topLinePunct w:val="0"/>
              <w:autoSpaceDE/>
              <w:autoSpaceDN/>
              <w:bidi w:val="0"/>
              <w:adjustRightInd/>
              <w:snapToGrid/>
              <w:spacing w:line="520" w:lineRule="exact"/>
              <w:textAlignment w:val="auto"/>
              <w:rPr>
                <w:rFonts w:cs="@仿宋_GB2312" w:asciiTheme="minorEastAsia" w:hAnsiTheme="minorEastAsia" w:eastAsiaTheme="minorEastAsia"/>
                <w:color w:val="auto"/>
                <w:kern w:val="2"/>
                <w:sz w:val="24"/>
                <w:szCs w:val="22"/>
                <w:highlight w:val="none"/>
              </w:rPr>
            </w:pPr>
            <w:r>
              <w:rPr>
                <w:rFonts w:hint="eastAsia" w:ascii="宋体" w:hAnsi="宋体" w:eastAsia="宋体" w:cs="@仿宋_GB2312"/>
                <w:color w:val="auto"/>
                <w:kern w:val="2"/>
                <w:sz w:val="24"/>
                <w:szCs w:val="22"/>
                <w:highlight w:val="none"/>
                <w:lang w:val="en-US" w:eastAsia="zh-CN"/>
              </w:rPr>
              <w:t>见第一章《磋商邀请》</w:t>
            </w:r>
          </w:p>
        </w:tc>
      </w:tr>
      <w:tr w14:paraId="5DFE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14:paraId="08D65BD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7</w:t>
            </w:r>
          </w:p>
        </w:tc>
        <w:tc>
          <w:tcPr>
            <w:tcW w:w="522" w:type="pct"/>
            <w:vAlign w:val="center"/>
          </w:tcPr>
          <w:p w14:paraId="59A70D1E">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cs="@仿宋_GB2312" w:asciiTheme="minorEastAsia" w:hAnsiTheme="minorEastAsia" w:eastAsiaTheme="minorEastAsia"/>
                <w:color w:val="auto"/>
                <w:kern w:val="2"/>
                <w:sz w:val="24"/>
                <w:highlight w:val="none"/>
              </w:rPr>
            </w:pPr>
            <w:r>
              <w:rPr>
                <w:rFonts w:hint="eastAsia" w:asciiTheme="minorHAnsi" w:hAnsiTheme="minorHAnsi" w:eastAsiaTheme="minorEastAsia"/>
                <w:b w:val="0"/>
                <w:color w:val="auto"/>
                <w:kern w:val="2"/>
                <w:sz w:val="24"/>
                <w:highlight w:val="none"/>
              </w:rPr>
              <w:t>本项目采购标的名称及所属行业</w:t>
            </w:r>
          </w:p>
        </w:tc>
        <w:tc>
          <w:tcPr>
            <w:tcW w:w="4047" w:type="pct"/>
            <w:vAlign w:val="center"/>
          </w:tcPr>
          <w:p w14:paraId="0636D5F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heme="minorEastAsia" w:hAnsiTheme="minorEastAsia"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4"/>
                <w:szCs w:val="22"/>
                <w:highlight w:val="none"/>
              </w:rPr>
              <w:t>标的名称：</w:t>
            </w:r>
            <w:r>
              <w:rPr>
                <w:rFonts w:hint="eastAsia" w:asciiTheme="minorEastAsia" w:hAnsiTheme="minorEastAsia" w:eastAsiaTheme="minorEastAsia"/>
                <w:color w:val="auto"/>
                <w:kern w:val="2"/>
                <w:sz w:val="24"/>
                <w:szCs w:val="22"/>
                <w:highlight w:val="none"/>
                <w:lang w:val="en-US" w:eastAsia="zh-CN"/>
              </w:rPr>
              <w:t>滁州学院2025年校园部分楼宇屋面防水工程</w:t>
            </w:r>
          </w:p>
          <w:p w14:paraId="0D72948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heme="minorHAnsi" w:hAnsiTheme="minorHAnsi"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4"/>
                <w:szCs w:val="22"/>
                <w:highlight w:val="none"/>
              </w:rPr>
              <w:t>所属行业：</w:t>
            </w:r>
            <w:r>
              <w:rPr>
                <w:rFonts w:hint="eastAsia" w:asciiTheme="minorEastAsia" w:hAnsiTheme="minorEastAsia" w:eastAsiaTheme="minorEastAsia"/>
                <w:color w:val="auto"/>
                <w:kern w:val="2"/>
                <w:sz w:val="24"/>
                <w:szCs w:val="22"/>
                <w:highlight w:val="none"/>
                <w:lang w:val="en-US" w:eastAsia="zh-CN"/>
              </w:rPr>
              <w:t>建筑业</w:t>
            </w:r>
          </w:p>
        </w:tc>
      </w:tr>
      <w:tr w14:paraId="729B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14:paraId="32A3C21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8</w:t>
            </w:r>
          </w:p>
        </w:tc>
        <w:tc>
          <w:tcPr>
            <w:tcW w:w="522" w:type="pct"/>
            <w:vAlign w:val="center"/>
          </w:tcPr>
          <w:p w14:paraId="5CA6514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质保期服务要求</w:t>
            </w:r>
          </w:p>
        </w:tc>
        <w:tc>
          <w:tcPr>
            <w:tcW w:w="4047" w:type="pct"/>
            <w:vAlign w:val="center"/>
          </w:tcPr>
          <w:p w14:paraId="3CD3EE9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heme="minorEastAsia" w:hAnsiTheme="minorEastAsia"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4"/>
                <w:szCs w:val="22"/>
                <w:highlight w:val="none"/>
                <w:lang w:val="en-US" w:eastAsia="zh-CN"/>
              </w:rPr>
              <w:t>1、最低质保年限为</w:t>
            </w:r>
            <w:r>
              <w:rPr>
                <w:rFonts w:hint="eastAsia" w:asciiTheme="minorEastAsia" w:hAnsiTheme="minorEastAsia" w:eastAsiaTheme="minorEastAsia"/>
                <w:color w:val="auto"/>
                <w:kern w:val="2"/>
                <w:sz w:val="24"/>
                <w:szCs w:val="22"/>
                <w:highlight w:val="none"/>
              </w:rPr>
              <w:t>5年，具体期限以成交人评审时承诺的期限为准。</w:t>
            </w:r>
          </w:p>
          <w:p w14:paraId="2E6D084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olor w:val="auto"/>
                <w:kern w:val="2"/>
                <w:sz w:val="24"/>
                <w:szCs w:val="22"/>
                <w:highlight w:val="none"/>
              </w:rPr>
            </w:pPr>
            <w:r>
              <w:rPr>
                <w:rFonts w:hint="eastAsia" w:asciiTheme="minorEastAsia" w:hAnsiTheme="minorEastAsia" w:eastAsiaTheme="minorEastAsia"/>
                <w:color w:val="auto"/>
                <w:kern w:val="2"/>
                <w:sz w:val="24"/>
                <w:szCs w:val="22"/>
                <w:highlight w:val="none"/>
                <w:lang w:val="en-US" w:eastAsia="zh-CN"/>
              </w:rPr>
              <w:t>2、质保期内发生渗漏等质量问题，成交人收到采购人通知时，应及时响应及时处置，符合维修条件时，3天内完成渗漏问题，如遇紧急情况，按采购人要求执行。不能按采购人要求及时到达及时维修的，由采购人组织维修，费用从质保金中支付，其发生的费用无需征得成交人同意。质保金费用不足以支付的，应由成交人另行支付。质保期内单体建筑屋面漏水累计发生20次以上的，全额扣除质量保证金。成交人不服从采购人要求，给采购人造成损失或社会不良影响的，视为违约行为，采购人依法依规追究其法律责任。</w:t>
            </w:r>
          </w:p>
        </w:tc>
      </w:tr>
      <w:tr w14:paraId="79B5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14:paraId="46D75DB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9</w:t>
            </w:r>
          </w:p>
        </w:tc>
        <w:tc>
          <w:tcPr>
            <w:tcW w:w="522" w:type="pct"/>
            <w:vAlign w:val="center"/>
          </w:tcPr>
          <w:p w14:paraId="1058A20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cs="@仿宋_GB2312" w:asciiTheme="minorEastAsia" w:hAnsiTheme="minorEastAsia" w:eastAsiaTheme="minorEastAsia"/>
                <w:color w:val="auto"/>
                <w:kern w:val="2"/>
                <w:sz w:val="24"/>
                <w:szCs w:val="22"/>
                <w:highlight w:val="none"/>
                <w:lang w:val="en-US" w:eastAsia="zh-CN"/>
              </w:rPr>
            </w:pPr>
            <w:r>
              <w:rPr>
                <w:rFonts w:hint="eastAsia" w:cs="@仿宋_GB2312" w:asciiTheme="minorEastAsia" w:hAnsiTheme="minorEastAsia" w:eastAsiaTheme="minorEastAsia"/>
                <w:color w:val="auto"/>
                <w:kern w:val="2"/>
                <w:sz w:val="24"/>
                <w:szCs w:val="22"/>
                <w:highlight w:val="none"/>
                <w:lang w:val="en-US" w:eastAsia="zh-CN"/>
              </w:rPr>
              <w:t>工程量、工艺要求</w:t>
            </w:r>
          </w:p>
        </w:tc>
        <w:tc>
          <w:tcPr>
            <w:tcW w:w="4047" w:type="pct"/>
            <w:vAlign w:val="center"/>
          </w:tcPr>
          <w:p w14:paraId="2B7D1F5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4"/>
                <w:szCs w:val="22"/>
                <w:highlight w:val="none"/>
                <w:lang w:val="en-US" w:eastAsia="zh-CN"/>
              </w:rPr>
              <w:t>具体工程量和施工内容以工程量清单及其项目特征描述为准，施工工艺按设计国家、行业规范执行；清单之外的以签证为准。</w:t>
            </w:r>
          </w:p>
          <w:p w14:paraId="34B1C6E5">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4"/>
                <w:szCs w:val="22"/>
                <w:highlight w:val="none"/>
                <w:lang w:val="en-US" w:eastAsia="zh-CN"/>
              </w:rPr>
              <w:t>1.屋面防水工艺做法</w:t>
            </w:r>
          </w:p>
          <w:p w14:paraId="295BAB54">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r>
              <w:rPr>
                <w:color w:val="auto"/>
                <w:kern w:val="2"/>
                <w:sz w:val="21"/>
                <w:szCs w:val="22"/>
                <w:highlight w:val="none"/>
              </w:rPr>
              <w:drawing>
                <wp:anchor distT="0" distB="0" distL="114300" distR="114300" simplePos="0" relativeHeight="251659264" behindDoc="0" locked="0" layoutInCell="1" allowOverlap="1">
                  <wp:simplePos x="0" y="0"/>
                  <wp:positionH relativeFrom="column">
                    <wp:posOffset>-8255</wp:posOffset>
                  </wp:positionH>
                  <wp:positionV relativeFrom="paragraph">
                    <wp:posOffset>5080</wp:posOffset>
                  </wp:positionV>
                  <wp:extent cx="4516120" cy="2346325"/>
                  <wp:effectExtent l="0" t="0" r="17780" b="158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4516120" cy="2346325"/>
                          </a:xfrm>
                          <a:prstGeom prst="rect">
                            <a:avLst/>
                          </a:prstGeom>
                        </pic:spPr>
                      </pic:pic>
                    </a:graphicData>
                  </a:graphic>
                </wp:anchor>
              </w:drawing>
            </w:r>
          </w:p>
          <w:p w14:paraId="178F5EB9">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2EEFFDD8">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08FEDC13">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1658683B">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688A54EB">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olor w:val="auto"/>
                <w:kern w:val="2"/>
                <w:sz w:val="24"/>
                <w:szCs w:val="22"/>
                <w:highlight w:val="none"/>
                <w:lang w:val="en-US" w:eastAsia="zh-CN"/>
              </w:rPr>
            </w:pPr>
          </w:p>
          <w:p w14:paraId="6F117F73">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olor w:val="auto"/>
                <w:kern w:val="2"/>
                <w:sz w:val="24"/>
                <w:szCs w:val="22"/>
                <w:highlight w:val="none"/>
                <w:lang w:val="en-US" w:eastAsia="zh-CN"/>
              </w:rPr>
            </w:pPr>
          </w:p>
          <w:p w14:paraId="23935A4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4"/>
                <w:szCs w:val="22"/>
                <w:highlight w:val="none"/>
                <w:lang w:val="en-US" w:eastAsia="zh-CN"/>
              </w:rPr>
              <w:t>2.檐口及女儿墙工艺做法</w:t>
            </w:r>
          </w:p>
          <w:p w14:paraId="352F666D">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r>
              <w:rPr>
                <w:color w:val="auto"/>
                <w:kern w:val="2"/>
                <w:sz w:val="21"/>
                <w:szCs w:val="22"/>
                <w:highlight w:val="none"/>
              </w:rPr>
              <w:drawing>
                <wp:anchor distT="0" distB="0" distL="114300" distR="114300" simplePos="0" relativeHeight="251661312" behindDoc="0" locked="0" layoutInCell="1" allowOverlap="1">
                  <wp:simplePos x="0" y="0"/>
                  <wp:positionH relativeFrom="column">
                    <wp:posOffset>9525</wp:posOffset>
                  </wp:positionH>
                  <wp:positionV relativeFrom="paragraph">
                    <wp:posOffset>52070</wp:posOffset>
                  </wp:positionV>
                  <wp:extent cx="4510405" cy="2489835"/>
                  <wp:effectExtent l="0" t="0" r="4445" b="571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4510405" cy="2489835"/>
                          </a:xfrm>
                          <a:prstGeom prst="rect">
                            <a:avLst/>
                          </a:prstGeom>
                        </pic:spPr>
                      </pic:pic>
                    </a:graphicData>
                  </a:graphic>
                </wp:anchor>
              </w:drawing>
            </w:r>
          </w:p>
          <w:p w14:paraId="6C703492">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0A9ACDB2">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2C604E9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7489BBA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24D2C909">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7545E35F">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olor w:val="auto"/>
                <w:kern w:val="2"/>
                <w:sz w:val="24"/>
                <w:szCs w:val="22"/>
                <w:highlight w:val="none"/>
                <w:lang w:val="en-US" w:eastAsia="zh-CN"/>
              </w:rPr>
            </w:pPr>
          </w:p>
          <w:p w14:paraId="0970C648">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olor w:val="auto"/>
                <w:kern w:val="2"/>
                <w:sz w:val="24"/>
                <w:szCs w:val="22"/>
                <w:highlight w:val="none"/>
                <w:lang w:val="en-US" w:eastAsia="zh-CN"/>
              </w:rPr>
            </w:pPr>
          </w:p>
          <w:p w14:paraId="66E5C57E">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4"/>
                <w:szCs w:val="22"/>
                <w:highlight w:val="none"/>
                <w:lang w:val="en-US" w:eastAsia="zh-CN"/>
              </w:rPr>
              <w:t>3.屋面透气孔工艺做法</w:t>
            </w:r>
          </w:p>
          <w:p w14:paraId="0EFDAA2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r>
              <w:rPr>
                <w:color w:val="auto"/>
                <w:kern w:val="2"/>
                <w:sz w:val="21"/>
                <w:szCs w:val="22"/>
                <w:highlight w:val="none"/>
              </w:rPr>
              <w:drawing>
                <wp:anchor distT="0" distB="0" distL="114300" distR="114300" simplePos="0" relativeHeight="251662336" behindDoc="0" locked="0" layoutInCell="1" allowOverlap="1">
                  <wp:simplePos x="0" y="0"/>
                  <wp:positionH relativeFrom="column">
                    <wp:posOffset>-7620</wp:posOffset>
                  </wp:positionH>
                  <wp:positionV relativeFrom="paragraph">
                    <wp:posOffset>49530</wp:posOffset>
                  </wp:positionV>
                  <wp:extent cx="4518660" cy="2562225"/>
                  <wp:effectExtent l="0" t="0" r="1524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4518660" cy="2562225"/>
                          </a:xfrm>
                          <a:prstGeom prst="rect">
                            <a:avLst/>
                          </a:prstGeom>
                        </pic:spPr>
                      </pic:pic>
                    </a:graphicData>
                  </a:graphic>
                </wp:anchor>
              </w:drawing>
            </w:r>
          </w:p>
          <w:p w14:paraId="606F9FB5">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633542B5">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54FA7F72">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2CA557F2">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6E687D7D">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042C6902">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25BBC804">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050E8F96">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05A5155C">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r>
              <w:rPr>
                <w:rFonts w:hint="eastAsia" w:asciiTheme="minorEastAsia" w:hAnsiTheme="minorEastAsia" w:eastAsiaTheme="minorEastAsia"/>
                <w:color w:val="auto"/>
                <w:kern w:val="2"/>
                <w:sz w:val="24"/>
                <w:szCs w:val="22"/>
                <w:highlight w:val="none"/>
                <w:lang w:val="en-US" w:eastAsia="zh-CN"/>
              </w:rPr>
              <w:t>4.雨水口工艺做法</w:t>
            </w:r>
          </w:p>
          <w:p w14:paraId="5D53E467">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r>
              <w:rPr>
                <w:color w:val="auto"/>
                <w:kern w:val="2"/>
                <w:sz w:val="21"/>
                <w:szCs w:val="22"/>
                <w:highlight w:val="none"/>
              </w:rPr>
              <w:drawing>
                <wp:anchor distT="0" distB="0" distL="114300" distR="114300" simplePos="0" relativeHeight="251663360" behindDoc="1" locked="0" layoutInCell="1" allowOverlap="1">
                  <wp:simplePos x="0" y="0"/>
                  <wp:positionH relativeFrom="column">
                    <wp:posOffset>126365</wp:posOffset>
                  </wp:positionH>
                  <wp:positionV relativeFrom="paragraph">
                    <wp:posOffset>6350</wp:posOffset>
                  </wp:positionV>
                  <wp:extent cx="4265930" cy="2462530"/>
                  <wp:effectExtent l="0" t="0" r="1270" b="1397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4265930" cy="2462530"/>
                          </a:xfrm>
                          <a:prstGeom prst="rect">
                            <a:avLst/>
                          </a:prstGeom>
                        </pic:spPr>
                      </pic:pic>
                    </a:graphicData>
                  </a:graphic>
                </wp:anchor>
              </w:drawing>
            </w:r>
          </w:p>
          <w:p w14:paraId="65BD48B5">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060D0B51">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6BD4F1E4">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54863D76">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4A0748F4">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4B9B1967">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p w14:paraId="5B72D3DA">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heme="minorEastAsia" w:hAnsiTheme="minorEastAsia" w:eastAsiaTheme="minorEastAsia"/>
                <w:color w:val="auto"/>
                <w:kern w:val="2"/>
                <w:sz w:val="24"/>
                <w:szCs w:val="22"/>
                <w:highlight w:val="none"/>
                <w:lang w:val="en-US" w:eastAsia="zh-CN"/>
              </w:rPr>
            </w:pPr>
          </w:p>
        </w:tc>
      </w:tr>
    </w:tbl>
    <w:p w14:paraId="1FC96676">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44870BD">
      <w:pPr>
        <w:spacing w:line="360" w:lineRule="auto"/>
        <w:jc w:val="center"/>
        <w:outlineLvl w:val="0"/>
        <w:rPr>
          <w:rFonts w:hint="eastAsia" w:ascii="宋体" w:hAnsi="宋体" w:eastAsia="宋体" w:cs="宋体"/>
          <w:b/>
          <w:color w:val="auto"/>
          <w:sz w:val="28"/>
          <w:highlight w:val="none"/>
        </w:rPr>
      </w:pPr>
      <w:bookmarkStart w:id="32" w:name="_Toc11353"/>
      <w:r>
        <w:rPr>
          <w:rFonts w:hint="eastAsia" w:ascii="宋体" w:hAnsi="宋体" w:eastAsia="宋体" w:cs="宋体"/>
          <w:b/>
          <w:color w:val="auto"/>
          <w:sz w:val="28"/>
          <w:highlight w:val="none"/>
        </w:rPr>
        <w:t>第四章  评审方法和标准</w:t>
      </w:r>
      <w:bookmarkEnd w:id="32"/>
    </w:p>
    <w:p w14:paraId="08CBA1B8">
      <w:pPr>
        <w:keepNext w:val="0"/>
        <w:keepLines w:val="0"/>
        <w:pageBreakBefore w:val="0"/>
        <w:kinsoku/>
        <w:wordWrap/>
        <w:overflowPunct/>
        <w:topLinePunct w:val="0"/>
        <w:autoSpaceDE/>
        <w:autoSpaceDN/>
        <w:bidi w:val="0"/>
        <w:spacing w:line="520" w:lineRule="exact"/>
        <w:ind w:firstLine="437"/>
        <w:outlineLvl w:val="1"/>
        <w:rPr>
          <w:rFonts w:hint="eastAsia" w:ascii="宋体" w:hAnsi="宋体" w:eastAsia="宋体" w:cs="宋体"/>
          <w:b/>
          <w:color w:val="auto"/>
          <w:sz w:val="24"/>
          <w:szCs w:val="24"/>
          <w:highlight w:val="none"/>
        </w:rPr>
      </w:pPr>
      <w:bookmarkStart w:id="33" w:name="_Toc3679"/>
      <w:bookmarkStart w:id="34" w:name="_Toc31533"/>
      <w:r>
        <w:rPr>
          <w:rFonts w:hint="eastAsia" w:ascii="宋体" w:hAnsi="宋体" w:eastAsia="宋体" w:cs="宋体"/>
          <w:b/>
          <w:color w:val="auto"/>
          <w:sz w:val="24"/>
          <w:szCs w:val="24"/>
          <w:highlight w:val="none"/>
        </w:rPr>
        <w:t>一、总则</w:t>
      </w:r>
      <w:bookmarkEnd w:id="33"/>
      <w:bookmarkEnd w:id="34"/>
    </w:p>
    <w:p w14:paraId="48BAAA18">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本项目将按照磋商文件第二章供应商须知的相关要求及本章的规定评审。</w:t>
      </w:r>
    </w:p>
    <w:p w14:paraId="5489E954">
      <w:pPr>
        <w:keepNext w:val="0"/>
        <w:keepLines w:val="0"/>
        <w:pageBreakBefore w:val="0"/>
        <w:kinsoku/>
        <w:wordWrap/>
        <w:overflowPunct/>
        <w:topLinePunct w:val="0"/>
        <w:autoSpaceDE/>
        <w:autoSpaceDN/>
        <w:bidi w:val="0"/>
        <w:spacing w:line="520" w:lineRule="exact"/>
        <w:ind w:firstLine="437"/>
        <w:outlineLvl w:val="1"/>
        <w:rPr>
          <w:rFonts w:hint="eastAsia" w:ascii="宋体" w:hAnsi="宋体" w:eastAsia="宋体" w:cs="宋体"/>
          <w:b/>
          <w:color w:val="auto"/>
          <w:sz w:val="24"/>
          <w:szCs w:val="24"/>
          <w:highlight w:val="none"/>
        </w:rPr>
      </w:pPr>
      <w:bookmarkStart w:id="35" w:name="_Toc13405"/>
      <w:bookmarkStart w:id="36" w:name="_Toc16232"/>
      <w:r>
        <w:rPr>
          <w:rFonts w:hint="eastAsia" w:ascii="宋体" w:hAnsi="宋体" w:eastAsia="宋体" w:cs="宋体"/>
          <w:b/>
          <w:color w:val="auto"/>
          <w:sz w:val="24"/>
          <w:szCs w:val="24"/>
          <w:highlight w:val="none"/>
        </w:rPr>
        <w:t>二、评审方法</w:t>
      </w:r>
      <w:bookmarkEnd w:id="35"/>
      <w:bookmarkEnd w:id="36"/>
    </w:p>
    <w:p w14:paraId="24B84895">
      <w:pPr>
        <w:keepNext w:val="0"/>
        <w:keepLines w:val="0"/>
        <w:pageBreakBefore w:val="0"/>
        <w:kinsoku/>
        <w:wordWrap/>
        <w:overflowPunct/>
        <w:topLinePunct w:val="0"/>
        <w:autoSpaceDE/>
        <w:autoSpaceDN/>
        <w:bidi w:val="0"/>
        <w:spacing w:line="520" w:lineRule="exact"/>
        <w:ind w:firstLine="435"/>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2.1初审</w:t>
      </w:r>
    </w:p>
    <w:p w14:paraId="063B9AA8">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磋商小组对供应商的响应文件进行初审，以确定其是否满足磋商文件的实质性要求。初审表如下：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361"/>
        <w:gridCol w:w="3881"/>
        <w:gridCol w:w="2609"/>
      </w:tblGrid>
      <w:tr w14:paraId="069F0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147BA3B6">
            <w:pPr>
              <w:keepNext w:val="0"/>
              <w:keepLines w:val="0"/>
              <w:pageBreakBefore w:val="0"/>
              <w:kinsoku/>
              <w:wordWrap/>
              <w:overflowPunct/>
              <w:topLinePunct w:val="0"/>
              <w:autoSpaceDE/>
              <w:autoSpaceDN/>
              <w:bidi w:val="0"/>
              <w:adjustRightInd w:val="0"/>
              <w:snapToGrid w:val="0"/>
              <w:spacing w:line="520" w:lineRule="exact"/>
              <w:ind w:right="-10"/>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初审表</w:t>
            </w:r>
          </w:p>
        </w:tc>
      </w:tr>
      <w:tr w14:paraId="65A5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0" w:type="pct"/>
            <w:tcBorders>
              <w:bottom w:val="single" w:color="auto" w:sz="4" w:space="0"/>
            </w:tcBorders>
            <w:vAlign w:val="center"/>
          </w:tcPr>
          <w:p w14:paraId="7BAD2F97">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rPr>
              <w:t>序号</w:t>
            </w:r>
          </w:p>
        </w:tc>
        <w:tc>
          <w:tcPr>
            <w:tcW w:w="796" w:type="pct"/>
            <w:tcBorders>
              <w:bottom w:val="single" w:color="auto" w:sz="4" w:space="0"/>
            </w:tcBorders>
            <w:vAlign w:val="center"/>
          </w:tcPr>
          <w:p w14:paraId="68FFA6A5">
            <w:pPr>
              <w:pStyle w:val="70"/>
              <w:keepNext w:val="0"/>
              <w:keepLines w:val="0"/>
              <w:pageBreakBefore w:val="0"/>
              <w:pBdr>
                <w:bottom w:val="none" w:color="auto" w:sz="0" w:space="0"/>
              </w:pBdr>
              <w:tabs>
                <w:tab w:val="clear" w:pos="4153"/>
                <w:tab w:val="clear" w:pos="8306"/>
              </w:tabs>
              <w:kinsoku/>
              <w:wordWrap/>
              <w:overflowPunct/>
              <w:topLinePunct w:val="0"/>
              <w:autoSpaceDE/>
              <w:autoSpaceDN/>
              <w:bidi w:val="0"/>
              <w:snapToGrid w:val="0"/>
              <w:spacing w:line="520" w:lineRule="exact"/>
              <w:ind w:right="-10" w:rightChars="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rPr>
              <w:t>审查因素</w:t>
            </w:r>
          </w:p>
        </w:tc>
        <w:tc>
          <w:tcPr>
            <w:tcW w:w="2268" w:type="pct"/>
            <w:tcBorders>
              <w:bottom w:val="single" w:color="auto" w:sz="4" w:space="0"/>
            </w:tcBorders>
            <w:vAlign w:val="center"/>
          </w:tcPr>
          <w:p w14:paraId="04E69DDF">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lang w:val="en-US" w:eastAsia="zh-CN"/>
              </w:rPr>
              <w:t>审查内容</w:t>
            </w:r>
          </w:p>
        </w:tc>
        <w:tc>
          <w:tcPr>
            <w:tcW w:w="1524" w:type="pct"/>
            <w:tcBorders>
              <w:bottom w:val="single" w:color="auto" w:sz="4" w:space="0"/>
            </w:tcBorders>
            <w:vAlign w:val="center"/>
          </w:tcPr>
          <w:p w14:paraId="0B081276">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rPr>
              <w:t>格式要求</w:t>
            </w:r>
          </w:p>
        </w:tc>
      </w:tr>
      <w:tr w14:paraId="50BE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10" w:type="pct"/>
            <w:tcBorders>
              <w:bottom w:val="single" w:color="auto" w:sz="4" w:space="0"/>
            </w:tcBorders>
            <w:vAlign w:val="center"/>
          </w:tcPr>
          <w:p w14:paraId="05AC91A0">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1</w:t>
            </w:r>
          </w:p>
        </w:tc>
        <w:tc>
          <w:tcPr>
            <w:tcW w:w="796" w:type="pct"/>
            <w:tcBorders>
              <w:bottom w:val="single" w:color="auto" w:sz="4" w:space="0"/>
            </w:tcBorders>
            <w:vAlign w:val="center"/>
          </w:tcPr>
          <w:p w14:paraId="6402E7C6">
            <w:pPr>
              <w:keepNext w:val="0"/>
              <w:keepLines w:val="0"/>
              <w:pageBreakBefore w:val="0"/>
              <w:kinsoku/>
              <w:wordWrap/>
              <w:overflowPunct/>
              <w:topLinePunct w:val="0"/>
              <w:autoSpaceDE/>
              <w:autoSpaceDN/>
              <w:bidi w:val="0"/>
              <w:spacing w:after="50"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pacing w:val="9"/>
                <w:sz w:val="24"/>
                <w:szCs w:val="24"/>
                <w:highlight w:val="none"/>
              </w:rPr>
              <w:t>营业执照等证明</w:t>
            </w:r>
            <w:r>
              <w:rPr>
                <w:rFonts w:hint="eastAsia" w:ascii="宋体" w:hAnsi="宋体" w:eastAsia="宋体" w:cs="宋体"/>
                <w:color w:val="auto"/>
                <w:spacing w:val="-3"/>
                <w:sz w:val="24"/>
                <w:szCs w:val="24"/>
                <w:highlight w:val="none"/>
              </w:rPr>
              <w:t>文件</w:t>
            </w:r>
          </w:p>
        </w:tc>
        <w:tc>
          <w:tcPr>
            <w:tcW w:w="2268" w:type="pct"/>
            <w:tcBorders>
              <w:bottom w:val="single" w:color="auto" w:sz="4" w:space="0"/>
            </w:tcBorders>
            <w:vAlign w:val="center"/>
          </w:tcPr>
          <w:p w14:paraId="34D8B513">
            <w:pPr>
              <w:keepNext w:val="0"/>
              <w:keepLines w:val="0"/>
              <w:pageBreakBefore w:val="0"/>
              <w:kinsoku/>
              <w:wordWrap/>
              <w:overflowPunct/>
              <w:topLinePunct w:val="0"/>
              <w:autoSpaceDE/>
              <w:autoSpaceDN/>
              <w:bidi w:val="0"/>
              <w:spacing w:after="50" w:line="520" w:lineRule="exact"/>
              <w:ind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供有效的营业执照；</w:t>
            </w:r>
          </w:p>
          <w:p w14:paraId="646F567E">
            <w:pPr>
              <w:keepNext w:val="0"/>
              <w:keepLines w:val="0"/>
              <w:pageBreakBefore w:val="0"/>
              <w:kinsoku/>
              <w:wordWrap/>
              <w:overflowPunct/>
              <w:topLinePunct w:val="0"/>
              <w:autoSpaceDE/>
              <w:autoSpaceDN/>
              <w:bidi w:val="0"/>
              <w:spacing w:after="50" w:line="520" w:lineRule="exact"/>
              <w:ind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供有效的事业单位法人证书；</w:t>
            </w:r>
          </w:p>
          <w:p w14:paraId="7494EFC8">
            <w:pPr>
              <w:keepNext w:val="0"/>
              <w:keepLines w:val="0"/>
              <w:pageBreakBefore w:val="0"/>
              <w:kinsoku/>
              <w:wordWrap/>
              <w:overflowPunct/>
              <w:topLinePunct w:val="0"/>
              <w:autoSpaceDE/>
              <w:autoSpaceDN/>
              <w:bidi w:val="0"/>
              <w:spacing w:after="50" w:line="520" w:lineRule="exact"/>
              <w:ind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登记证书等证明文件；</w:t>
            </w:r>
          </w:p>
          <w:p w14:paraId="447948EC">
            <w:pPr>
              <w:keepNext w:val="0"/>
              <w:keepLines w:val="0"/>
              <w:pageBreakBefore w:val="0"/>
              <w:kinsoku/>
              <w:wordWrap/>
              <w:overflowPunct/>
              <w:topLinePunct w:val="0"/>
              <w:autoSpaceDE/>
              <w:autoSpaceDN/>
              <w:bidi w:val="0"/>
              <w:spacing w:after="50" w:line="520" w:lineRule="exact"/>
              <w:ind w:right="-1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供有效的个体工商户营业执照；</w:t>
            </w:r>
          </w:p>
          <w:p w14:paraId="48AD85FE">
            <w:pPr>
              <w:keepNext w:val="0"/>
              <w:keepLines w:val="0"/>
              <w:pageBreakBefore w:val="0"/>
              <w:kinsoku/>
              <w:wordWrap/>
              <w:overflowPunct/>
              <w:topLinePunct w:val="0"/>
              <w:autoSpaceDE/>
              <w:autoSpaceDN/>
              <w:bidi w:val="0"/>
              <w:spacing w:after="50" w:line="520" w:lineRule="exact"/>
              <w:ind w:right="-10" w:right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供有效的自然人身份证明。</w:t>
            </w:r>
          </w:p>
        </w:tc>
        <w:tc>
          <w:tcPr>
            <w:tcW w:w="1524" w:type="pct"/>
            <w:tcBorders>
              <w:bottom w:val="single" w:color="auto" w:sz="4" w:space="0"/>
            </w:tcBorders>
            <w:vAlign w:val="center"/>
          </w:tcPr>
          <w:p w14:paraId="40974DD7">
            <w:pPr>
              <w:keepNext w:val="0"/>
              <w:keepLines w:val="0"/>
              <w:pageBreakBefore w:val="0"/>
              <w:kinsoku/>
              <w:wordWrap/>
              <w:overflowPunct/>
              <w:topLinePunct w:val="0"/>
              <w:autoSpaceDE/>
              <w:autoSpaceDN/>
              <w:bidi w:val="0"/>
              <w:spacing w:line="520" w:lineRule="exact"/>
              <w:jc w:val="left"/>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3EA9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4817B312">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2</w:t>
            </w:r>
          </w:p>
        </w:tc>
        <w:tc>
          <w:tcPr>
            <w:tcW w:w="796" w:type="pct"/>
            <w:vAlign w:val="center"/>
          </w:tcPr>
          <w:p w14:paraId="5E592503">
            <w:pPr>
              <w:keepNext w:val="0"/>
              <w:keepLines w:val="0"/>
              <w:pageBreakBefore w:val="0"/>
              <w:kinsoku/>
              <w:wordWrap/>
              <w:overflowPunct/>
              <w:topLinePunct w:val="0"/>
              <w:autoSpaceDE/>
              <w:autoSpaceDN/>
              <w:bidi w:val="0"/>
              <w:spacing w:after="50"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供应商资格声明书</w:t>
            </w:r>
          </w:p>
        </w:tc>
        <w:tc>
          <w:tcPr>
            <w:tcW w:w="2268" w:type="pct"/>
            <w:vAlign w:val="center"/>
          </w:tcPr>
          <w:p w14:paraId="4372A4A9">
            <w:pPr>
              <w:keepNext w:val="0"/>
              <w:keepLines w:val="0"/>
              <w:pageBreakBefore w:val="0"/>
              <w:kinsoku/>
              <w:wordWrap/>
              <w:overflowPunct/>
              <w:topLinePunct w:val="0"/>
              <w:autoSpaceDE/>
              <w:autoSpaceDN/>
              <w:bidi w:val="0"/>
              <w:spacing w:after="50" w:line="520" w:lineRule="exact"/>
              <w:ind w:right="-10" w:right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524" w:type="pct"/>
            <w:vAlign w:val="center"/>
          </w:tcPr>
          <w:p w14:paraId="30D580EE">
            <w:pPr>
              <w:keepNext w:val="0"/>
              <w:keepLines w:val="0"/>
              <w:pageBreakBefore w:val="0"/>
              <w:kinsoku/>
              <w:wordWrap/>
              <w:overflowPunct/>
              <w:topLinePunct w:val="0"/>
              <w:autoSpaceDE/>
              <w:autoSpaceDN/>
              <w:bidi w:val="0"/>
              <w:spacing w:line="520" w:lineRule="exact"/>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详见第六章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lang w:eastAsia="zh-CN"/>
              </w:rPr>
              <w:t>。</w:t>
            </w:r>
          </w:p>
        </w:tc>
      </w:tr>
      <w:tr w14:paraId="57F0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10BB1DF">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3</w:t>
            </w:r>
          </w:p>
        </w:tc>
        <w:tc>
          <w:tcPr>
            <w:tcW w:w="796" w:type="pct"/>
            <w:vAlign w:val="center"/>
          </w:tcPr>
          <w:p w14:paraId="618C8013">
            <w:pPr>
              <w:keepNext w:val="0"/>
              <w:keepLines w:val="0"/>
              <w:pageBreakBefore w:val="0"/>
              <w:kinsoku/>
              <w:wordWrap/>
              <w:overflowPunct/>
              <w:topLinePunct w:val="0"/>
              <w:autoSpaceDE/>
              <w:autoSpaceDN/>
              <w:bidi w:val="0"/>
              <w:spacing w:after="50"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w:t>
            </w:r>
          </w:p>
        </w:tc>
        <w:tc>
          <w:tcPr>
            <w:tcW w:w="2268" w:type="pct"/>
            <w:vAlign w:val="center"/>
          </w:tcPr>
          <w:p w14:paraId="7727A22B">
            <w:pPr>
              <w:keepNext w:val="0"/>
              <w:keepLines w:val="0"/>
              <w:pageBreakBefore w:val="0"/>
              <w:kinsoku/>
              <w:wordWrap/>
              <w:overflowPunct/>
              <w:topLinePunct w:val="0"/>
              <w:autoSpaceDE/>
              <w:autoSpaceDN/>
              <w:bidi w:val="0"/>
              <w:spacing w:after="50" w:line="520" w:lineRule="exact"/>
              <w:ind w:right="-10" w:right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s="宋体"/>
                <w:color w:val="auto"/>
                <w:sz w:val="24"/>
                <w:szCs w:val="24"/>
                <w:highlight w:val="none"/>
              </w:rPr>
              <w:t>的不良信用记录情形</w:t>
            </w:r>
          </w:p>
        </w:tc>
        <w:tc>
          <w:tcPr>
            <w:tcW w:w="1524" w:type="pct"/>
            <w:vAlign w:val="center"/>
          </w:tcPr>
          <w:p w14:paraId="087E2F75">
            <w:pPr>
              <w:keepNext w:val="0"/>
              <w:keepLines w:val="0"/>
              <w:pageBreakBefore w:val="0"/>
              <w:kinsoku/>
              <w:wordWrap/>
              <w:overflowPunct/>
              <w:topLinePunct w:val="0"/>
              <w:autoSpaceDE/>
              <w:autoSpaceDN/>
              <w:bidi w:val="0"/>
              <w:spacing w:line="520" w:lineRule="exact"/>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60F4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61955FC5">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4</w:t>
            </w:r>
          </w:p>
        </w:tc>
        <w:tc>
          <w:tcPr>
            <w:tcW w:w="796" w:type="pct"/>
            <w:vAlign w:val="center"/>
          </w:tcPr>
          <w:p w14:paraId="7CA518FC">
            <w:pPr>
              <w:keepNext w:val="0"/>
              <w:keepLines w:val="0"/>
              <w:pageBreakBefore w:val="0"/>
              <w:kinsoku/>
              <w:wordWrap/>
              <w:overflowPunct/>
              <w:topLinePunct w:val="0"/>
              <w:autoSpaceDE/>
              <w:autoSpaceDN/>
              <w:bidi w:val="0"/>
              <w:spacing w:after="50"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中小企业证明文件</w:t>
            </w:r>
          </w:p>
        </w:tc>
        <w:tc>
          <w:tcPr>
            <w:tcW w:w="2268" w:type="pct"/>
            <w:vAlign w:val="top"/>
          </w:tcPr>
          <w:p w14:paraId="33DA479E">
            <w:pPr>
              <w:keepNext w:val="0"/>
              <w:keepLines w:val="0"/>
              <w:pageBreakBefore w:val="0"/>
              <w:kinsoku/>
              <w:wordWrap/>
              <w:overflowPunct/>
              <w:topLinePunct w:val="0"/>
              <w:autoSpaceDE/>
              <w:autoSpaceDN/>
              <w:bidi w:val="0"/>
              <w:spacing w:after="50" w:line="520" w:lineRule="exact"/>
              <w:ind w:right="-1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符合</w:t>
            </w:r>
            <w:r>
              <w:rPr>
                <w:rFonts w:hint="eastAsia" w:ascii="宋体" w:hAnsi="宋体" w:eastAsia="宋体" w:cs="宋体"/>
                <w:color w:val="auto"/>
                <w:sz w:val="24"/>
                <w:szCs w:val="24"/>
                <w:highlight w:val="none"/>
                <w:lang w:val="en-US" w:eastAsia="zh-CN"/>
              </w:rPr>
              <w:t>申请人的</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中落实政府采购政策需满足的资格要求</w:t>
            </w:r>
            <w:r>
              <w:rPr>
                <w:rFonts w:hint="eastAsia" w:ascii="宋体" w:hAnsi="宋体" w:eastAsia="宋体" w:cs="宋体"/>
                <w:color w:val="auto"/>
                <w:sz w:val="24"/>
                <w:szCs w:val="24"/>
                <w:highlight w:val="none"/>
                <w:lang w:eastAsia="zh-CN"/>
              </w:rPr>
              <w:t>：</w:t>
            </w:r>
          </w:p>
          <w:p w14:paraId="4B0B906E">
            <w:pPr>
              <w:keepNext w:val="0"/>
              <w:keepLines w:val="0"/>
              <w:pageBreakBefore w:val="0"/>
              <w:kinsoku/>
              <w:wordWrap/>
              <w:overflowPunct/>
              <w:topLinePunct w:val="0"/>
              <w:autoSpaceDE/>
              <w:autoSpaceDN/>
              <w:bidi w:val="0"/>
              <w:spacing w:after="50" w:line="520" w:lineRule="exact"/>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p w14:paraId="02CA4810">
            <w:pPr>
              <w:keepNext w:val="0"/>
              <w:keepLines w:val="0"/>
              <w:pageBreakBefore w:val="0"/>
              <w:kinsoku/>
              <w:wordWrap/>
              <w:overflowPunct/>
              <w:topLinePunct w:val="0"/>
              <w:autoSpaceDE/>
              <w:autoSpaceDN/>
              <w:bidi w:val="0"/>
              <w:spacing w:after="50" w:line="520" w:lineRule="exact"/>
              <w:ind w:right="-10" w:rightChars="0"/>
              <w:jc w:val="left"/>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文件要求以联合体形式参加或者要求合同分包的，且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文件关于预留份额的要求。</w:t>
            </w:r>
          </w:p>
        </w:tc>
        <w:tc>
          <w:tcPr>
            <w:tcW w:w="1524" w:type="pct"/>
            <w:vAlign w:val="center"/>
          </w:tcPr>
          <w:p w14:paraId="3F40BBA2">
            <w:pPr>
              <w:keepNext w:val="0"/>
              <w:keepLines w:val="0"/>
              <w:pageBreakBefore w:val="0"/>
              <w:kinsoku/>
              <w:wordWrap/>
              <w:overflowPunct/>
              <w:topLinePunct w:val="0"/>
              <w:autoSpaceDE/>
              <w:autoSpaceDN/>
              <w:bidi w:val="0"/>
              <w:spacing w:after="50"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详见第六章</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文件格式</w:t>
            </w:r>
            <w:r>
              <w:rPr>
                <w:rFonts w:hint="eastAsia" w:ascii="宋体" w:hAnsi="宋体" w:eastAsia="宋体" w:cs="宋体"/>
                <w:color w:val="auto"/>
                <w:sz w:val="24"/>
                <w:szCs w:val="24"/>
                <w:highlight w:val="none"/>
                <w:lang w:eastAsia="zh-CN"/>
              </w:rPr>
              <w:t>。</w:t>
            </w:r>
          </w:p>
        </w:tc>
      </w:tr>
      <w:tr w14:paraId="1BBB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0" w:type="pct"/>
            <w:vAlign w:val="center"/>
          </w:tcPr>
          <w:p w14:paraId="4327B85E">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rPr>
            </w:pPr>
            <w:r>
              <w:rPr>
                <w:rFonts w:hint="eastAsia" w:cs="宋体"/>
                <w:color w:val="auto"/>
                <w:sz w:val="24"/>
                <w:szCs w:val="24"/>
                <w:highlight w:val="none"/>
                <w:lang w:val="en-US" w:eastAsia="zh-CN"/>
              </w:rPr>
              <w:t>5</w:t>
            </w:r>
          </w:p>
        </w:tc>
        <w:tc>
          <w:tcPr>
            <w:tcW w:w="796" w:type="pct"/>
            <w:vAlign w:val="center"/>
          </w:tcPr>
          <w:p w14:paraId="121EFA63">
            <w:pPr>
              <w:keepNext w:val="0"/>
              <w:keepLines w:val="0"/>
              <w:pageBreakBefore w:val="0"/>
              <w:kinsoku/>
              <w:wordWrap/>
              <w:overflowPunct/>
              <w:topLinePunct w:val="0"/>
              <w:autoSpaceDE/>
              <w:autoSpaceDN/>
              <w:bidi w:val="0"/>
              <w:spacing w:after="50" w:line="520" w:lineRule="exact"/>
              <w:ind w:right="-10" w:righ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10"/>
                <w:sz w:val="24"/>
                <w:szCs w:val="24"/>
                <w:highlight w:val="none"/>
              </w:rPr>
              <w:t>其他特定资格要求</w:t>
            </w:r>
          </w:p>
        </w:tc>
        <w:tc>
          <w:tcPr>
            <w:tcW w:w="2268" w:type="pct"/>
            <w:vAlign w:val="center"/>
          </w:tcPr>
          <w:p w14:paraId="78F9463A">
            <w:pPr>
              <w:keepNext w:val="0"/>
              <w:keepLines w:val="0"/>
              <w:pageBreakBefore w:val="0"/>
              <w:kinsoku/>
              <w:wordWrap/>
              <w:overflowPunct/>
              <w:topLinePunct w:val="0"/>
              <w:autoSpaceDE/>
              <w:autoSpaceDN/>
              <w:bidi w:val="0"/>
              <w:spacing w:after="50" w:line="520" w:lineRule="exact"/>
              <w:ind w:right="-10" w:righ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spacing w:val="10"/>
                <w:sz w:val="24"/>
                <w:szCs w:val="24"/>
                <w:highlight w:val="none"/>
              </w:rPr>
              <w:t>如有，见第一章《</w:t>
            </w:r>
            <w:r>
              <w:rPr>
                <w:rFonts w:hint="eastAsia" w:ascii="宋体" w:hAnsi="宋体" w:eastAsia="宋体" w:cs="宋体"/>
                <w:color w:val="auto"/>
                <w:spacing w:val="10"/>
                <w:sz w:val="24"/>
                <w:szCs w:val="24"/>
                <w:highlight w:val="none"/>
                <w:lang w:val="en-US" w:eastAsia="zh-CN"/>
              </w:rPr>
              <w:t>磋商</w:t>
            </w:r>
            <w:r>
              <w:rPr>
                <w:rFonts w:hint="eastAsia" w:ascii="宋体" w:hAnsi="宋体" w:eastAsia="宋体" w:cs="宋体"/>
                <w:color w:val="auto"/>
                <w:spacing w:val="10"/>
                <w:sz w:val="24"/>
                <w:szCs w:val="24"/>
                <w:highlight w:val="none"/>
              </w:rPr>
              <w:t>邀请》</w:t>
            </w:r>
          </w:p>
        </w:tc>
        <w:tc>
          <w:tcPr>
            <w:tcW w:w="1524" w:type="pct"/>
            <w:vAlign w:val="center"/>
          </w:tcPr>
          <w:p w14:paraId="47C6D9EA">
            <w:pPr>
              <w:keepNext w:val="0"/>
              <w:keepLines w:val="0"/>
              <w:pageBreakBefore w:val="0"/>
              <w:kinsoku/>
              <w:wordWrap/>
              <w:overflowPunct/>
              <w:topLinePunct w:val="0"/>
              <w:autoSpaceDE/>
              <w:autoSpaceDN/>
              <w:bidi w:val="0"/>
              <w:spacing w:after="50" w:line="520" w:lineRule="exact"/>
              <w:ind w:right="-10" w:rightChars="0"/>
              <w:jc w:val="both"/>
              <w:rPr>
                <w:rFonts w:hint="eastAsia" w:ascii="宋体" w:hAnsi="宋体" w:eastAsia="宋体" w:cs="宋体"/>
                <w:color w:val="auto"/>
                <w:kern w:val="2"/>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r>
              <w:rPr>
                <w:rFonts w:hint="eastAsia" w:ascii="宋体" w:hAnsi="宋体" w:eastAsia="宋体" w:cs="宋体"/>
                <w:b w:val="0"/>
                <w:bCs w:val="0"/>
                <w:color w:val="auto"/>
                <w:sz w:val="24"/>
                <w:szCs w:val="24"/>
                <w:highlight w:val="none"/>
                <w:lang w:eastAsia="zh-CN"/>
              </w:rPr>
              <w:t>。</w:t>
            </w:r>
          </w:p>
        </w:tc>
      </w:tr>
      <w:tr w14:paraId="3908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60BC419">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lang w:eastAsia="zh-CN"/>
              </w:rPr>
            </w:pPr>
            <w:r>
              <w:rPr>
                <w:rFonts w:hint="eastAsia" w:cs="宋体"/>
                <w:color w:val="auto"/>
                <w:kern w:val="2"/>
                <w:sz w:val="24"/>
                <w:szCs w:val="24"/>
                <w:highlight w:val="none"/>
                <w:lang w:val="en-US" w:eastAsia="zh-CN"/>
              </w:rPr>
              <w:t>6</w:t>
            </w:r>
          </w:p>
        </w:tc>
        <w:tc>
          <w:tcPr>
            <w:tcW w:w="796" w:type="pct"/>
            <w:vAlign w:val="center"/>
          </w:tcPr>
          <w:p w14:paraId="054BF07F">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授权书</w:t>
            </w:r>
          </w:p>
        </w:tc>
        <w:tc>
          <w:tcPr>
            <w:tcW w:w="2268" w:type="pct"/>
            <w:vAlign w:val="center"/>
          </w:tcPr>
          <w:p w14:paraId="6DA8EA88">
            <w:pPr>
              <w:keepNext w:val="0"/>
              <w:keepLines w:val="0"/>
              <w:pageBreakBefore w:val="0"/>
              <w:kinsoku/>
              <w:wordWrap/>
              <w:overflowPunct/>
              <w:topLinePunct w:val="0"/>
              <w:autoSpaceDE/>
              <w:autoSpaceDN/>
              <w:bidi w:val="0"/>
              <w:spacing w:after="50" w:line="520" w:lineRule="exact"/>
              <w:ind w:right="-10" w:rightChars="0"/>
              <w:jc w:val="both"/>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格式、填写要求符合磋商文件规定并加盖供应商电子签章</w:t>
            </w:r>
          </w:p>
        </w:tc>
        <w:tc>
          <w:tcPr>
            <w:tcW w:w="1524" w:type="pct"/>
            <w:vAlign w:val="center"/>
          </w:tcPr>
          <w:p w14:paraId="778819C5">
            <w:pPr>
              <w:keepNext w:val="0"/>
              <w:keepLines w:val="0"/>
              <w:pageBreakBefore w:val="0"/>
              <w:kinsoku/>
              <w:wordWrap/>
              <w:overflowPunct/>
              <w:topLinePunct w:val="0"/>
              <w:autoSpaceDE/>
              <w:autoSpaceDN/>
              <w:bidi w:val="0"/>
              <w:spacing w:after="50" w:line="520" w:lineRule="exact"/>
              <w:ind w:right="-10" w:rightChars="0"/>
              <w:jc w:val="both"/>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法定代表人参加磋商的无需此件，提供身份证明即可。详见第六章响应文件格式。</w:t>
            </w:r>
          </w:p>
        </w:tc>
      </w:tr>
      <w:tr w14:paraId="2BC7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E1A9037">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lang w:eastAsia="zh-CN"/>
              </w:rPr>
            </w:pPr>
            <w:r>
              <w:rPr>
                <w:rFonts w:hint="eastAsia" w:cs="宋体"/>
                <w:color w:val="auto"/>
                <w:kern w:val="2"/>
                <w:sz w:val="24"/>
                <w:szCs w:val="24"/>
                <w:highlight w:val="none"/>
                <w:lang w:val="en-US" w:eastAsia="zh-CN"/>
              </w:rPr>
              <w:t>7</w:t>
            </w:r>
          </w:p>
        </w:tc>
        <w:tc>
          <w:tcPr>
            <w:tcW w:w="796" w:type="pct"/>
            <w:vAlign w:val="center"/>
          </w:tcPr>
          <w:p w14:paraId="5E0DA86E">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响应函</w:t>
            </w:r>
          </w:p>
        </w:tc>
        <w:tc>
          <w:tcPr>
            <w:tcW w:w="2268" w:type="pct"/>
            <w:vAlign w:val="center"/>
          </w:tcPr>
          <w:p w14:paraId="7245B193">
            <w:pPr>
              <w:keepNext w:val="0"/>
              <w:keepLines w:val="0"/>
              <w:pageBreakBefore w:val="0"/>
              <w:kinsoku/>
              <w:wordWrap/>
              <w:overflowPunct/>
              <w:topLinePunct w:val="0"/>
              <w:autoSpaceDE/>
              <w:autoSpaceDN/>
              <w:bidi w:val="0"/>
              <w:spacing w:after="50" w:line="520" w:lineRule="exact"/>
              <w:ind w:right="-10" w:rightChars="0"/>
              <w:jc w:val="both"/>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符合磋商文件要求</w:t>
            </w:r>
          </w:p>
        </w:tc>
        <w:tc>
          <w:tcPr>
            <w:tcW w:w="1524" w:type="pct"/>
            <w:vAlign w:val="center"/>
          </w:tcPr>
          <w:p w14:paraId="598D008F">
            <w:pPr>
              <w:keepNext w:val="0"/>
              <w:keepLines w:val="0"/>
              <w:pageBreakBefore w:val="0"/>
              <w:kinsoku/>
              <w:wordWrap/>
              <w:overflowPunct/>
              <w:topLinePunct w:val="0"/>
              <w:autoSpaceDE/>
              <w:autoSpaceDN/>
              <w:bidi w:val="0"/>
              <w:spacing w:after="50" w:line="520" w:lineRule="exact"/>
              <w:ind w:right="-10" w:rightChars="0"/>
              <w:jc w:val="both"/>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详见第六章响应文件格式</w:t>
            </w:r>
          </w:p>
        </w:tc>
      </w:tr>
      <w:tr w14:paraId="270E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5A81E861">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lang w:eastAsia="zh-CN"/>
              </w:rPr>
            </w:pPr>
            <w:r>
              <w:rPr>
                <w:rFonts w:hint="eastAsia" w:cs="宋体"/>
                <w:color w:val="auto"/>
                <w:sz w:val="24"/>
                <w:szCs w:val="24"/>
                <w:highlight w:val="none"/>
                <w:lang w:val="en-US" w:eastAsia="zh-CN"/>
              </w:rPr>
              <w:t>8</w:t>
            </w:r>
          </w:p>
        </w:tc>
        <w:tc>
          <w:tcPr>
            <w:tcW w:w="796" w:type="pct"/>
            <w:vAlign w:val="center"/>
          </w:tcPr>
          <w:p w14:paraId="5B56DA74">
            <w:pPr>
              <w:keepNext w:val="0"/>
              <w:keepLines w:val="0"/>
              <w:pageBreakBefore w:val="0"/>
              <w:kinsoku/>
              <w:wordWrap/>
              <w:overflowPunct/>
              <w:topLinePunct w:val="0"/>
              <w:autoSpaceDE/>
              <w:autoSpaceDN/>
              <w:bidi w:val="0"/>
              <w:spacing w:after="50" w:line="520" w:lineRule="exact"/>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报价</w:t>
            </w:r>
          </w:p>
        </w:tc>
        <w:tc>
          <w:tcPr>
            <w:tcW w:w="2268" w:type="pct"/>
            <w:vAlign w:val="center"/>
          </w:tcPr>
          <w:p w14:paraId="24B8A2BC">
            <w:pPr>
              <w:keepNext w:val="0"/>
              <w:keepLines w:val="0"/>
              <w:pageBreakBefore w:val="0"/>
              <w:kinsoku/>
              <w:wordWrap/>
              <w:overflowPunct/>
              <w:topLinePunct w:val="0"/>
              <w:autoSpaceDE/>
              <w:autoSpaceDN/>
              <w:bidi w:val="0"/>
              <w:spacing w:after="50" w:line="520" w:lineRule="exact"/>
              <w:ind w:right="-10" w:rightChars="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符合</w:t>
            </w: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要求</w:t>
            </w:r>
          </w:p>
        </w:tc>
        <w:tc>
          <w:tcPr>
            <w:tcW w:w="1524" w:type="pct"/>
            <w:vAlign w:val="center"/>
          </w:tcPr>
          <w:p w14:paraId="09E2A845">
            <w:pPr>
              <w:keepNext w:val="0"/>
              <w:keepLines w:val="0"/>
              <w:pageBreakBefore w:val="0"/>
              <w:kinsoku/>
              <w:wordWrap/>
              <w:overflowPunct/>
              <w:topLinePunct w:val="0"/>
              <w:autoSpaceDE/>
              <w:autoSpaceDN/>
              <w:bidi w:val="0"/>
              <w:adjustRightInd w:val="0"/>
              <w:snapToGrid w:val="0"/>
              <w:spacing w:line="520" w:lineRule="exact"/>
              <w:ind w:right="-10" w:rightChars="0"/>
              <w:jc w:val="center"/>
              <w:rPr>
                <w:rFonts w:hint="eastAsia" w:ascii="宋体" w:hAnsi="宋体" w:eastAsia="宋体" w:cs="宋体"/>
                <w:color w:val="auto"/>
                <w:kern w:val="2"/>
                <w:sz w:val="24"/>
                <w:szCs w:val="24"/>
                <w:highlight w:val="none"/>
              </w:rPr>
            </w:pPr>
          </w:p>
        </w:tc>
      </w:tr>
      <w:tr w14:paraId="5DA5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5" w:type="pct"/>
            <w:gridSpan w:val="3"/>
            <w:tcBorders>
              <w:bottom w:val="single" w:color="auto" w:sz="4" w:space="0"/>
            </w:tcBorders>
            <w:vAlign w:val="center"/>
          </w:tcPr>
          <w:p w14:paraId="179F74AE">
            <w:pPr>
              <w:keepNext w:val="0"/>
              <w:keepLines w:val="0"/>
              <w:pageBreakBefore w:val="0"/>
              <w:kinsoku/>
              <w:wordWrap/>
              <w:overflowPunct/>
              <w:topLinePunct w:val="0"/>
              <w:autoSpaceDE/>
              <w:autoSpaceDN/>
              <w:bidi w:val="0"/>
              <w:adjustRightInd w:val="0"/>
              <w:snapToGrid w:val="0"/>
              <w:spacing w:line="520" w:lineRule="exact"/>
              <w:ind w:right="-1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评审指标通过标准：供应商必须通过上述全部指标。</w:t>
            </w:r>
          </w:p>
        </w:tc>
        <w:tc>
          <w:tcPr>
            <w:tcW w:w="1524" w:type="pct"/>
            <w:tcBorders>
              <w:bottom w:val="single" w:color="auto" w:sz="4" w:space="0"/>
            </w:tcBorders>
            <w:vAlign w:val="center"/>
          </w:tcPr>
          <w:p w14:paraId="1C09DFA5">
            <w:pPr>
              <w:keepNext w:val="0"/>
              <w:keepLines w:val="0"/>
              <w:pageBreakBefore w:val="0"/>
              <w:kinsoku/>
              <w:wordWrap/>
              <w:overflowPunct/>
              <w:topLinePunct w:val="0"/>
              <w:autoSpaceDE/>
              <w:autoSpaceDN/>
              <w:bidi w:val="0"/>
              <w:adjustRightInd w:val="0"/>
              <w:snapToGrid w:val="0"/>
              <w:spacing w:line="520" w:lineRule="exact"/>
              <w:ind w:right="-10"/>
              <w:jc w:val="left"/>
              <w:rPr>
                <w:rFonts w:hint="eastAsia" w:ascii="宋体" w:hAnsi="宋体" w:eastAsia="宋体" w:cs="宋体"/>
                <w:color w:val="auto"/>
                <w:kern w:val="2"/>
                <w:sz w:val="24"/>
                <w:szCs w:val="24"/>
                <w:highlight w:val="none"/>
              </w:rPr>
            </w:pPr>
          </w:p>
        </w:tc>
      </w:tr>
    </w:tbl>
    <w:p w14:paraId="56165FE9">
      <w:pPr>
        <w:keepNext w:val="0"/>
        <w:keepLines w:val="0"/>
        <w:pageBreakBefore w:val="0"/>
        <w:kinsoku/>
        <w:wordWrap/>
        <w:overflowPunct/>
        <w:topLinePunct w:val="0"/>
        <w:autoSpaceDE/>
        <w:autoSpaceDN/>
        <w:bidi w:val="0"/>
        <w:spacing w:line="520" w:lineRule="exact"/>
        <w:ind w:firstLine="581" w:firstLineChars="241"/>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color w:val="auto"/>
          <w:sz w:val="24"/>
          <w:szCs w:val="24"/>
          <w:highlight w:val="none"/>
        </w:rPr>
        <w:t>供应商拟委任</w:t>
      </w:r>
      <w:r>
        <w:rPr>
          <w:rFonts w:hint="eastAsia" w:ascii="宋体" w:hAnsi="宋体" w:eastAsia="宋体" w:cs="宋体"/>
          <w:b/>
          <w:color w:val="auto"/>
          <w:sz w:val="24"/>
          <w:szCs w:val="24"/>
          <w:highlight w:val="none"/>
          <w:lang w:val="en-US" w:eastAsia="zh-CN"/>
        </w:rPr>
        <w:t>项目经理</w:t>
      </w:r>
      <w:r>
        <w:rPr>
          <w:rFonts w:hint="eastAsia" w:ascii="宋体" w:hAnsi="宋体" w:eastAsia="宋体" w:cs="宋体"/>
          <w:b/>
          <w:color w:val="auto"/>
          <w:sz w:val="24"/>
          <w:szCs w:val="24"/>
          <w:highlight w:val="none"/>
        </w:rPr>
        <w:t>为注册建造师（含一级、二级）的，须提供有效的纸质版电子证书。一级建造师打印电子证书后，应在个人签名处手写本人签名，未手写签名或与签名图像笔迹不一致的，该电子证书无效。</w:t>
      </w:r>
    </w:p>
    <w:p w14:paraId="07AD3D2F">
      <w:pPr>
        <w:keepNext w:val="0"/>
        <w:keepLines w:val="0"/>
        <w:pageBreakBefore w:val="0"/>
        <w:kinsoku/>
        <w:wordWrap/>
        <w:overflowPunct/>
        <w:topLinePunct w:val="0"/>
        <w:autoSpaceDE/>
        <w:autoSpaceDN/>
        <w:bidi w:val="0"/>
        <w:spacing w:line="520" w:lineRule="exact"/>
        <w:ind w:firstLine="581" w:firstLineChars="241"/>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供应商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p>
    <w:p w14:paraId="15DB162D">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初审指标通过标准：</w:t>
      </w:r>
      <w:r>
        <w:rPr>
          <w:rFonts w:hint="eastAsia" w:ascii="宋体" w:hAnsi="宋体" w:eastAsia="宋体" w:cs="宋体"/>
          <w:color w:val="auto"/>
          <w:sz w:val="24"/>
          <w:szCs w:val="24"/>
          <w:highlight w:val="none"/>
        </w:rPr>
        <w:t>供应商必须通过初审表中的全部评审指标。</w:t>
      </w:r>
    </w:p>
    <w:p w14:paraId="53E75183">
      <w:pPr>
        <w:keepNext w:val="0"/>
        <w:keepLines w:val="0"/>
        <w:pageBreakBefore w:val="0"/>
        <w:kinsoku/>
        <w:wordWrap/>
        <w:overflowPunct/>
        <w:topLinePunct w:val="0"/>
        <w:autoSpaceDE/>
        <w:autoSpaceDN/>
        <w:bidi w:val="0"/>
        <w:spacing w:line="520" w:lineRule="exact"/>
        <w:ind w:firstLine="435"/>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2.2综合评分</w:t>
      </w:r>
    </w:p>
    <w:p w14:paraId="2C67EFB1">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2.2.1磋商小组按照下表对进入综合评分的所有供应商的响应文件进行综合评分。</w:t>
      </w:r>
    </w:p>
    <w:p w14:paraId="014ED228">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2.2.2本项目综合评分满分为100分，其中：资信分值占总分值的权重为</w:t>
      </w:r>
      <w:r>
        <w:rPr>
          <w:rFonts w:hint="eastAsia" w:cs="宋体"/>
          <w:color w:val="auto"/>
          <w:sz w:val="24"/>
          <w:szCs w:val="24"/>
          <w:highlight w:val="none"/>
          <w:u w:val="single"/>
          <w:lang w:val="en-US" w:eastAsia="zh-CN"/>
        </w:rPr>
        <w:t>8</w:t>
      </w:r>
      <w:r>
        <w:rPr>
          <w:rFonts w:hint="eastAsia" w:ascii="宋体" w:hAnsi="宋体" w:eastAsia="宋体" w:cs="宋体"/>
          <w:color w:val="auto"/>
          <w:sz w:val="24"/>
          <w:szCs w:val="24"/>
          <w:highlight w:val="none"/>
        </w:rPr>
        <w:t>%技术分值占总分值的权重为</w:t>
      </w:r>
      <w:r>
        <w:rPr>
          <w:rFonts w:hint="eastAsia" w:cs="宋体"/>
          <w:color w:val="auto"/>
          <w:sz w:val="24"/>
          <w:szCs w:val="24"/>
          <w:highlight w:val="none"/>
          <w:u w:val="single"/>
          <w:lang w:val="en-US" w:eastAsia="zh-CN"/>
        </w:rPr>
        <w:t>60</w:t>
      </w:r>
      <w:r>
        <w:rPr>
          <w:rFonts w:hint="eastAsia" w:ascii="宋体" w:hAnsi="宋体" w:eastAsia="宋体" w:cs="宋体"/>
          <w:color w:val="auto"/>
          <w:sz w:val="24"/>
          <w:szCs w:val="24"/>
          <w:highlight w:val="none"/>
        </w:rPr>
        <w:t>%，价格分值占总分值的权重为</w:t>
      </w:r>
      <w:r>
        <w:rPr>
          <w:rFonts w:hint="eastAsia" w:cs="宋体"/>
          <w:color w:val="auto"/>
          <w:sz w:val="24"/>
          <w:szCs w:val="24"/>
          <w:highlight w:val="none"/>
          <w:u w:val="single"/>
          <w:lang w:val="en-US" w:eastAsia="zh-CN"/>
        </w:rPr>
        <w:t>32</w:t>
      </w:r>
      <w:r>
        <w:rPr>
          <w:rFonts w:hint="eastAsia" w:ascii="宋体" w:hAnsi="宋体" w:eastAsia="宋体" w:cs="宋体"/>
          <w:color w:val="auto"/>
          <w:sz w:val="24"/>
          <w:szCs w:val="24"/>
          <w:highlight w:val="none"/>
        </w:rPr>
        <w:t>%。具体评分细则如下：</w:t>
      </w:r>
    </w:p>
    <w:tbl>
      <w:tblPr>
        <w:tblStyle w:val="55"/>
        <w:tblW w:w="6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420"/>
        <w:gridCol w:w="6906"/>
        <w:gridCol w:w="881"/>
      </w:tblGrid>
      <w:tr w14:paraId="6B6B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90" w:type="pct"/>
            <w:tcBorders>
              <w:top w:val="single" w:color="auto" w:sz="4" w:space="0"/>
              <w:left w:val="single" w:color="auto" w:sz="4" w:space="0"/>
              <w:bottom w:val="single" w:color="auto" w:sz="4" w:space="0"/>
              <w:right w:val="single" w:color="auto" w:sz="4" w:space="0"/>
            </w:tcBorders>
            <w:noWrap w:val="0"/>
            <w:vAlign w:val="center"/>
          </w:tcPr>
          <w:p w14:paraId="6A25CD3D">
            <w:pPr>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类别</w:t>
            </w:r>
          </w:p>
        </w:tc>
        <w:tc>
          <w:tcPr>
            <w:tcW w:w="680" w:type="pct"/>
            <w:tcBorders>
              <w:top w:val="single" w:color="auto" w:sz="4" w:space="0"/>
              <w:left w:val="single" w:color="auto" w:sz="4" w:space="0"/>
              <w:bottom w:val="single" w:color="auto" w:sz="4" w:space="0"/>
              <w:right w:val="single" w:color="auto" w:sz="4" w:space="0"/>
            </w:tcBorders>
            <w:noWrap w:val="0"/>
            <w:vAlign w:val="center"/>
          </w:tcPr>
          <w:p w14:paraId="7656BC57">
            <w:pPr>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评分内容</w:t>
            </w:r>
          </w:p>
        </w:tc>
        <w:tc>
          <w:tcPr>
            <w:tcW w:w="3307" w:type="pct"/>
            <w:tcBorders>
              <w:top w:val="single" w:color="auto" w:sz="4" w:space="0"/>
              <w:left w:val="single" w:color="auto" w:sz="4" w:space="0"/>
              <w:bottom w:val="single" w:color="auto" w:sz="4" w:space="0"/>
              <w:right w:val="single" w:color="auto" w:sz="4" w:space="0"/>
            </w:tcBorders>
            <w:noWrap w:val="0"/>
            <w:vAlign w:val="center"/>
          </w:tcPr>
          <w:p w14:paraId="29878FBF">
            <w:pPr>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评分标准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5488C6C">
            <w:pPr>
              <w:spacing w:line="360" w:lineRule="auto"/>
              <w:jc w:val="center"/>
              <w:rPr>
                <w:rFonts w:ascii="宋体" w:hAnsi="宋体" w:eastAsia="宋体"/>
                <w:b/>
                <w:bCs/>
                <w:color w:val="auto"/>
                <w:sz w:val="24"/>
                <w:highlight w:val="none"/>
              </w:rPr>
            </w:pPr>
            <w:r>
              <w:rPr>
                <w:rFonts w:hint="eastAsia" w:ascii="宋体" w:hAnsi="宋体" w:eastAsia="宋体"/>
                <w:b/>
                <w:bCs/>
                <w:color w:val="auto"/>
                <w:sz w:val="24"/>
                <w:highlight w:val="none"/>
              </w:rPr>
              <w:t>分值范围</w:t>
            </w:r>
          </w:p>
        </w:tc>
      </w:tr>
      <w:tr w14:paraId="1CF8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restart"/>
            <w:tcBorders>
              <w:top w:val="single" w:color="auto" w:sz="4" w:space="0"/>
              <w:left w:val="single" w:color="auto" w:sz="4" w:space="0"/>
              <w:right w:val="single" w:color="auto" w:sz="4" w:space="0"/>
            </w:tcBorders>
            <w:noWrap w:val="0"/>
            <w:vAlign w:val="center"/>
          </w:tcPr>
          <w:p w14:paraId="559C749C">
            <w:pPr>
              <w:spacing w:line="360" w:lineRule="auto"/>
              <w:jc w:val="center"/>
              <w:rPr>
                <w:rFonts w:ascii="宋体" w:hAnsi="宋体" w:eastAsia="宋体"/>
                <w:color w:val="auto"/>
                <w:sz w:val="24"/>
                <w:highlight w:val="none"/>
              </w:rPr>
            </w:pPr>
            <w:r>
              <w:rPr>
                <w:rFonts w:hint="eastAsia" w:ascii="宋体" w:hAnsi="宋体" w:eastAsia="宋体"/>
                <w:color w:val="auto"/>
                <w:sz w:val="24"/>
                <w:highlight w:val="none"/>
              </w:rPr>
              <w:t>资信分</w:t>
            </w:r>
          </w:p>
          <w:p w14:paraId="539A86A8">
            <w:pPr>
              <w:spacing w:line="360" w:lineRule="auto"/>
              <w:jc w:val="center"/>
              <w:rPr>
                <w:rFonts w:ascii="宋体" w:hAnsi="宋体" w:eastAsia="宋体"/>
                <w:b/>
                <w:bCs/>
                <w:color w:val="auto"/>
                <w:sz w:val="24"/>
                <w:highlight w:val="none"/>
              </w:rPr>
            </w:pPr>
            <w:r>
              <w:rPr>
                <w:rFonts w:hint="eastAsia" w:ascii="宋体" w:hAnsi="宋体" w:eastAsia="宋体"/>
                <w:color w:val="auto"/>
                <w:sz w:val="24"/>
                <w:highlight w:val="none"/>
              </w:rPr>
              <w:t>（</w:t>
            </w:r>
            <w:r>
              <w:rPr>
                <w:rFonts w:hint="eastAsia"/>
                <w:color w:val="auto"/>
                <w:sz w:val="24"/>
                <w:highlight w:val="none"/>
                <w:u w:val="single"/>
                <w:lang w:val="en-US" w:eastAsia="zh-CN"/>
              </w:rPr>
              <w:t>8</w:t>
            </w:r>
            <w:r>
              <w:rPr>
                <w:rFonts w:hint="eastAsia" w:ascii="宋体" w:hAnsi="宋体" w:eastAsia="宋体"/>
                <w:color w:val="auto"/>
                <w:sz w:val="24"/>
                <w:highlight w:val="none"/>
              </w:rPr>
              <w:t>分）</w:t>
            </w:r>
          </w:p>
        </w:tc>
        <w:tc>
          <w:tcPr>
            <w:tcW w:w="680" w:type="pct"/>
            <w:tcBorders>
              <w:top w:val="single" w:color="auto" w:sz="4" w:space="0"/>
              <w:left w:val="single" w:color="auto" w:sz="4" w:space="0"/>
              <w:bottom w:val="single" w:color="auto" w:sz="4" w:space="0"/>
              <w:right w:val="single" w:color="auto" w:sz="4" w:space="0"/>
            </w:tcBorders>
            <w:noWrap w:val="0"/>
            <w:vAlign w:val="center"/>
          </w:tcPr>
          <w:p w14:paraId="400AFD59">
            <w:pPr>
              <w:widowControl/>
              <w:spacing w:line="440" w:lineRule="exact"/>
              <w:textAlignment w:val="baseline"/>
              <w:rPr>
                <w:rFonts w:ascii="宋体" w:hAnsi="宋体" w:eastAsia="宋体"/>
                <w:bCs/>
                <w:color w:val="auto"/>
                <w:sz w:val="24"/>
                <w:highlight w:val="none"/>
              </w:rPr>
            </w:pPr>
            <w:r>
              <w:rPr>
                <w:rFonts w:hint="eastAsia" w:ascii="宋体" w:hAnsi="宋体" w:eastAsia="宋体"/>
                <w:bCs/>
                <w:color w:val="auto"/>
                <w:sz w:val="24"/>
                <w:highlight w:val="none"/>
                <w:lang w:eastAsia="zh-CN"/>
              </w:rPr>
              <w:t>供应商</w:t>
            </w:r>
            <w:r>
              <w:rPr>
                <w:rFonts w:hint="eastAsia" w:ascii="宋体" w:hAnsi="宋体" w:eastAsia="宋体"/>
                <w:bCs/>
                <w:color w:val="auto"/>
                <w:sz w:val="24"/>
                <w:highlight w:val="none"/>
              </w:rPr>
              <w:t>业绩</w:t>
            </w:r>
          </w:p>
        </w:tc>
        <w:tc>
          <w:tcPr>
            <w:tcW w:w="3307" w:type="pct"/>
            <w:tcBorders>
              <w:top w:val="single" w:color="auto" w:sz="4" w:space="0"/>
              <w:left w:val="single" w:color="auto" w:sz="4" w:space="0"/>
              <w:bottom w:val="single" w:color="auto" w:sz="4" w:space="0"/>
              <w:right w:val="single" w:color="auto" w:sz="4" w:space="0"/>
            </w:tcBorders>
            <w:noWrap w:val="0"/>
            <w:vAlign w:val="center"/>
          </w:tcPr>
          <w:p w14:paraId="5D099DAE">
            <w:pPr>
              <w:spacing w:line="360" w:lineRule="auto"/>
              <w:jc w:val="left"/>
              <w:rPr>
                <w:rFonts w:hint="eastAsia" w:ascii="宋体" w:hAnsi="宋体" w:eastAsia="宋体"/>
                <w:bCs/>
                <w:color w:val="auto"/>
                <w:sz w:val="24"/>
                <w:highlight w:val="none"/>
              </w:rPr>
            </w:pPr>
            <w:r>
              <w:rPr>
                <w:rFonts w:hint="eastAsia" w:ascii="宋体" w:hAnsi="宋体" w:eastAsia="宋体"/>
                <w:bCs/>
                <w:color w:val="auto"/>
                <w:sz w:val="24"/>
                <w:highlight w:val="none"/>
              </w:rPr>
              <w:t>自202</w:t>
            </w:r>
            <w:r>
              <w:rPr>
                <w:rFonts w:hint="eastAsia"/>
                <w:bCs/>
                <w:color w:val="auto"/>
                <w:sz w:val="24"/>
                <w:highlight w:val="none"/>
                <w:lang w:val="en-US" w:eastAsia="zh-CN"/>
              </w:rPr>
              <w:t>2年1月1日以来（已合同签订时间为准）</w:t>
            </w:r>
            <w:r>
              <w:rPr>
                <w:rFonts w:hint="eastAsia" w:ascii="宋体" w:hAnsi="宋体" w:eastAsia="宋体"/>
                <w:bCs/>
                <w:color w:val="auto"/>
                <w:sz w:val="24"/>
                <w:highlight w:val="none"/>
              </w:rPr>
              <w:t>，每提供一个防水工程业绩得2分，满分4分。</w:t>
            </w:r>
          </w:p>
          <w:p w14:paraId="10C1D604">
            <w:pPr>
              <w:spacing w:line="360" w:lineRule="auto"/>
              <w:jc w:val="left"/>
              <w:rPr>
                <w:rFonts w:hint="eastAsia" w:ascii="宋体" w:hAnsi="宋体" w:eastAsia="宋体"/>
                <w:bCs/>
                <w:color w:val="auto"/>
                <w:sz w:val="24"/>
                <w:highlight w:val="none"/>
              </w:rPr>
            </w:pPr>
            <w:r>
              <w:rPr>
                <w:rFonts w:hint="eastAsia" w:ascii="宋体" w:hAnsi="宋体" w:eastAsia="宋体"/>
                <w:bCs/>
                <w:color w:val="auto"/>
                <w:sz w:val="24"/>
                <w:highlight w:val="none"/>
              </w:rPr>
              <w:t>【须提供以下证明材料扫描件：合同。若合同中无法反映评审因素的，须另提供相关证明材料（如中标官网截图或业主单位（合同甲方） 出具的证明材料】</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C997813">
            <w:pPr>
              <w:spacing w:line="360" w:lineRule="auto"/>
              <w:jc w:val="center"/>
              <w:rPr>
                <w:rFonts w:hint="default" w:ascii="宋体" w:hAnsi="宋体" w:eastAsia="宋体"/>
                <w:b/>
                <w:bCs/>
                <w:color w:val="auto"/>
                <w:sz w:val="24"/>
                <w:highlight w:val="none"/>
                <w:lang w:val="en-US" w:eastAsia="zh-CN"/>
              </w:rPr>
            </w:pPr>
            <w:r>
              <w:rPr>
                <w:rFonts w:hint="eastAsia"/>
                <w:b/>
                <w:bCs/>
                <w:color w:val="auto"/>
                <w:sz w:val="24"/>
                <w:highlight w:val="none"/>
                <w:lang w:val="en-US" w:eastAsia="zh-CN"/>
              </w:rPr>
              <w:t>4</w:t>
            </w:r>
            <w:r>
              <w:rPr>
                <w:rFonts w:hint="eastAsia" w:ascii="宋体" w:hAnsi="宋体" w:eastAsia="宋体"/>
                <w:b/>
                <w:bCs/>
                <w:color w:val="auto"/>
                <w:sz w:val="24"/>
                <w:highlight w:val="none"/>
                <w:lang w:val="en-US" w:eastAsia="zh-CN"/>
              </w:rPr>
              <w:t>分</w:t>
            </w:r>
          </w:p>
        </w:tc>
      </w:tr>
      <w:tr w14:paraId="5731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31C71BB0">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14:paraId="42A00733">
            <w:pPr>
              <w:widowControl/>
              <w:spacing w:line="440" w:lineRule="exact"/>
              <w:textAlignment w:val="baseline"/>
              <w:rPr>
                <w:rFonts w:hint="default"/>
                <w:bCs/>
                <w:color w:val="auto"/>
                <w:sz w:val="24"/>
                <w:highlight w:val="none"/>
                <w:lang w:val="en-US" w:eastAsia="zh-CN"/>
              </w:rPr>
            </w:pPr>
            <w:r>
              <w:rPr>
                <w:rFonts w:hint="eastAsia" w:ascii="宋体" w:hAnsi="宋体" w:eastAsia="宋体" w:cs="宋体"/>
                <w:color w:val="auto"/>
                <w:kern w:val="0"/>
                <w:sz w:val="24"/>
                <w:szCs w:val="24"/>
                <w:highlight w:val="none"/>
                <w:u w:color="000000"/>
                <w:lang w:val="en-US" w:eastAsia="zh-CN"/>
              </w:rPr>
              <w:t>项目经理</w:t>
            </w:r>
            <w:r>
              <w:rPr>
                <w:rFonts w:hint="eastAsia" w:ascii="宋体" w:hAnsi="宋体" w:eastAsia="宋体" w:cs="宋体"/>
                <w:color w:val="auto"/>
                <w:kern w:val="0"/>
                <w:sz w:val="24"/>
                <w:szCs w:val="24"/>
                <w:highlight w:val="none"/>
                <w:u w:color="000000"/>
              </w:rPr>
              <w:t>能力</w:t>
            </w:r>
          </w:p>
        </w:tc>
        <w:tc>
          <w:tcPr>
            <w:tcW w:w="3307" w:type="pct"/>
            <w:tcBorders>
              <w:top w:val="single" w:color="auto" w:sz="4" w:space="0"/>
              <w:left w:val="single" w:color="auto" w:sz="4" w:space="0"/>
              <w:bottom w:val="single" w:color="auto" w:sz="4" w:space="0"/>
              <w:right w:val="single" w:color="auto" w:sz="4" w:space="0"/>
            </w:tcBorders>
            <w:noWrap w:val="0"/>
            <w:vAlign w:val="center"/>
          </w:tcPr>
          <w:p w14:paraId="62D5692A">
            <w:pPr>
              <w:keepNext w:val="0"/>
              <w:keepLines w:val="0"/>
              <w:pageBreakBefore w:val="0"/>
              <w:widowControl/>
              <w:kinsoku/>
              <w:wordWrap/>
              <w:overflowPunct/>
              <w:topLinePunct w:val="0"/>
              <w:autoSpaceDE/>
              <w:autoSpaceDN/>
              <w:bidi w:val="0"/>
              <w:spacing w:line="520" w:lineRule="exac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w:t>
            </w:r>
            <w:r>
              <w:rPr>
                <w:rFonts w:hint="eastAsia" w:ascii="宋体" w:hAnsi="宋体" w:eastAsia="宋体" w:cs="宋体"/>
                <w:bCs/>
                <w:color w:val="auto"/>
                <w:sz w:val="24"/>
                <w:szCs w:val="24"/>
                <w:highlight w:val="none"/>
                <w:lang w:val="en-US" w:eastAsia="zh-CN"/>
              </w:rPr>
              <w:t>经理</w:t>
            </w:r>
            <w:r>
              <w:rPr>
                <w:rFonts w:hint="eastAsia" w:ascii="宋体" w:hAnsi="宋体" w:eastAsia="宋体" w:cs="宋体"/>
                <w:bCs/>
                <w:color w:val="auto"/>
                <w:sz w:val="24"/>
                <w:szCs w:val="24"/>
                <w:highlight w:val="none"/>
              </w:rPr>
              <w:t>具有建筑工程或防水工程相关的职称：</w:t>
            </w:r>
          </w:p>
          <w:p w14:paraId="14419C38">
            <w:pPr>
              <w:keepNext w:val="0"/>
              <w:keepLines w:val="0"/>
              <w:pageBreakBefore w:val="0"/>
              <w:widowControl/>
              <w:kinsoku/>
              <w:wordWrap/>
              <w:overflowPunct/>
              <w:topLinePunct w:val="0"/>
              <w:autoSpaceDE/>
              <w:autoSpaceDN/>
              <w:bidi w:val="0"/>
              <w:spacing w:line="520" w:lineRule="exac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1.高级工程师职称得2分；</w:t>
            </w:r>
          </w:p>
          <w:p w14:paraId="7565BF91">
            <w:pPr>
              <w:keepNext w:val="0"/>
              <w:keepLines w:val="0"/>
              <w:pageBreakBefore w:val="0"/>
              <w:widowControl/>
              <w:kinsoku/>
              <w:wordWrap/>
              <w:overflowPunct/>
              <w:topLinePunct w:val="0"/>
              <w:autoSpaceDE/>
              <w:autoSpaceDN/>
              <w:bidi w:val="0"/>
              <w:spacing w:line="520" w:lineRule="exac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2.中级工程师职称得1分；</w:t>
            </w:r>
          </w:p>
          <w:p w14:paraId="15DC8C88">
            <w:pPr>
              <w:keepNext w:val="0"/>
              <w:keepLines w:val="0"/>
              <w:pageBreakBefore w:val="0"/>
              <w:widowControl/>
              <w:kinsoku/>
              <w:wordWrap/>
              <w:overflowPunct/>
              <w:topLinePunct w:val="0"/>
              <w:autoSpaceDE/>
              <w:autoSpaceDN/>
              <w:bidi w:val="0"/>
              <w:spacing w:line="520" w:lineRule="exac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本项满分2分。</w:t>
            </w:r>
          </w:p>
          <w:p w14:paraId="0F35E421">
            <w:pPr>
              <w:spacing w:line="360" w:lineRule="auto"/>
              <w:jc w:val="left"/>
              <w:rPr>
                <w:rFonts w:hint="eastAsia" w:ascii="宋体" w:hAnsi="宋体" w:eastAsia="宋体"/>
                <w:bCs/>
                <w:color w:val="auto"/>
                <w:sz w:val="24"/>
                <w:highlight w:val="none"/>
                <w:lang w:val="en-US" w:eastAsia="zh-CN"/>
              </w:rPr>
            </w:pPr>
            <w:r>
              <w:rPr>
                <w:rFonts w:hint="eastAsia" w:ascii="宋体" w:hAnsi="宋体" w:eastAsia="宋体" w:cs="宋体"/>
                <w:bCs/>
                <w:color w:val="auto"/>
                <w:sz w:val="24"/>
                <w:szCs w:val="24"/>
                <w:highlight w:val="none"/>
              </w:rPr>
              <w:t>【须提供职称证书扫描件和社保部门出具的本单位为其缴纳的</w:t>
            </w:r>
            <w:r>
              <w:rPr>
                <w:rFonts w:hint="eastAsia" w:cs="宋体"/>
                <w:bCs/>
                <w:color w:val="auto"/>
                <w:sz w:val="24"/>
                <w:szCs w:val="24"/>
                <w:highlight w:val="none"/>
                <w:lang w:val="en-US" w:eastAsia="zh-CN"/>
              </w:rPr>
              <w:t>响应</w:t>
            </w:r>
            <w:r>
              <w:rPr>
                <w:rFonts w:hint="eastAsia" w:ascii="宋体" w:hAnsi="宋体" w:eastAsia="宋体" w:cs="宋体"/>
                <w:bCs/>
                <w:color w:val="auto"/>
                <w:sz w:val="24"/>
                <w:szCs w:val="24"/>
                <w:highlight w:val="none"/>
              </w:rPr>
              <w:t>前近三个月内任意一个月的养老保险证明（含官网在线打印件，证明文件两个月内有效）（或供应商提供已为上述人员缴纳养老保险证明的承诺书（格式自拟））】</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564B322">
            <w:pPr>
              <w:spacing w:line="360" w:lineRule="auto"/>
              <w:jc w:val="center"/>
              <w:rPr>
                <w:rFonts w:hint="default"/>
                <w:b/>
                <w:bCs/>
                <w:color w:val="auto"/>
                <w:sz w:val="24"/>
                <w:highlight w:val="none"/>
                <w:lang w:val="en-US" w:eastAsia="zh-CN"/>
              </w:rPr>
            </w:pPr>
            <w:r>
              <w:rPr>
                <w:rFonts w:hint="eastAsia"/>
                <w:b/>
                <w:bCs/>
                <w:color w:val="auto"/>
                <w:sz w:val="24"/>
                <w:highlight w:val="none"/>
                <w:lang w:val="en-US" w:eastAsia="zh-CN"/>
              </w:rPr>
              <w:t>2分</w:t>
            </w:r>
          </w:p>
        </w:tc>
      </w:tr>
      <w:tr w14:paraId="5FEE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7301C1B8">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D7AEBC">
            <w:pPr>
              <w:widowControl/>
              <w:spacing w:line="440" w:lineRule="exact"/>
              <w:textAlignment w:val="baseline"/>
              <w:rPr>
                <w:rFonts w:hint="eastAsia" w:ascii="宋体" w:hAnsi="宋体" w:eastAsia="宋体" w:cs="Times New Roman"/>
                <w:b w:val="0"/>
                <w:bCs w:val="0"/>
                <w:color w:val="auto"/>
                <w:kern w:val="0"/>
                <w:szCs w:val="21"/>
                <w:highlight w:val="none"/>
                <w:u w:val="none" w:color="000000"/>
                <w:lang w:val="en-US" w:eastAsia="zh-CN" w:bidi="ar-SA"/>
              </w:rPr>
            </w:pPr>
            <w:r>
              <w:rPr>
                <w:rFonts w:hint="eastAsia" w:ascii="宋体" w:hAnsi="宋体" w:eastAsia="宋体" w:cs="宋体"/>
                <w:color w:val="auto"/>
                <w:kern w:val="0"/>
                <w:sz w:val="24"/>
                <w:szCs w:val="24"/>
                <w:highlight w:val="none"/>
                <w:u w:color="000000"/>
              </w:rPr>
              <w:t>技术负责人能力</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6CD206">
            <w:pPr>
              <w:keepNext w:val="0"/>
              <w:keepLines w:val="0"/>
              <w:pageBreakBefore w:val="0"/>
              <w:widowControl/>
              <w:kinsoku/>
              <w:wordWrap/>
              <w:overflowPunct/>
              <w:topLinePunct w:val="0"/>
              <w:autoSpaceDE/>
              <w:autoSpaceDN/>
              <w:bidi w:val="0"/>
              <w:spacing w:line="520" w:lineRule="exac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技术负责人具有建筑工程或防水工程相关的职称：</w:t>
            </w:r>
          </w:p>
          <w:p w14:paraId="75638A27">
            <w:pPr>
              <w:keepNext w:val="0"/>
              <w:keepLines w:val="0"/>
              <w:pageBreakBefore w:val="0"/>
              <w:widowControl/>
              <w:kinsoku/>
              <w:wordWrap/>
              <w:overflowPunct/>
              <w:topLinePunct w:val="0"/>
              <w:autoSpaceDE/>
              <w:autoSpaceDN/>
              <w:bidi w:val="0"/>
              <w:spacing w:line="520" w:lineRule="exac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1.高级工程师职称得2分；</w:t>
            </w:r>
          </w:p>
          <w:p w14:paraId="63166330">
            <w:pPr>
              <w:keepNext w:val="0"/>
              <w:keepLines w:val="0"/>
              <w:pageBreakBefore w:val="0"/>
              <w:widowControl/>
              <w:kinsoku/>
              <w:wordWrap/>
              <w:overflowPunct/>
              <w:topLinePunct w:val="0"/>
              <w:autoSpaceDE/>
              <w:autoSpaceDN/>
              <w:bidi w:val="0"/>
              <w:spacing w:line="520" w:lineRule="exac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2.中级工程师职称得1分；</w:t>
            </w:r>
          </w:p>
          <w:p w14:paraId="5C996AB7">
            <w:pPr>
              <w:keepNext w:val="0"/>
              <w:keepLines w:val="0"/>
              <w:pageBreakBefore w:val="0"/>
              <w:widowControl/>
              <w:kinsoku/>
              <w:wordWrap/>
              <w:overflowPunct/>
              <w:topLinePunct w:val="0"/>
              <w:autoSpaceDE/>
              <w:autoSpaceDN/>
              <w:bidi w:val="0"/>
              <w:spacing w:line="520" w:lineRule="exac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本项满分2分。</w:t>
            </w:r>
          </w:p>
          <w:p w14:paraId="011A111D">
            <w:pPr>
              <w:spacing w:line="360" w:lineRule="auto"/>
              <w:jc w:val="left"/>
              <w:rPr>
                <w:rFonts w:hint="eastAsia" w:ascii="宋体" w:hAnsi="宋体" w:eastAsia="宋体" w:cstheme="minorBidi"/>
                <w:bCs/>
                <w:color w:val="auto"/>
                <w:sz w:val="24"/>
                <w:highlight w:val="none"/>
                <w:lang w:val="en-US" w:eastAsia="zh-CN" w:bidi="ar-SA"/>
              </w:rPr>
            </w:pPr>
            <w:r>
              <w:rPr>
                <w:rFonts w:hint="eastAsia" w:ascii="宋体" w:hAnsi="宋体" w:eastAsia="宋体" w:cs="宋体"/>
                <w:bCs/>
                <w:color w:val="auto"/>
                <w:sz w:val="24"/>
                <w:szCs w:val="24"/>
                <w:highlight w:val="none"/>
              </w:rPr>
              <w:t>【须提供职称证书扫描件和社保部门出具的本单位为其缴纳的</w:t>
            </w:r>
            <w:r>
              <w:rPr>
                <w:rFonts w:hint="eastAsia" w:cs="宋体"/>
                <w:bCs/>
                <w:color w:val="auto"/>
                <w:sz w:val="24"/>
                <w:szCs w:val="24"/>
                <w:highlight w:val="none"/>
                <w:lang w:val="en-US" w:eastAsia="zh-CN"/>
              </w:rPr>
              <w:t>响应</w:t>
            </w:r>
            <w:r>
              <w:rPr>
                <w:rFonts w:hint="eastAsia" w:ascii="宋体" w:hAnsi="宋体" w:eastAsia="宋体" w:cs="宋体"/>
                <w:bCs/>
                <w:color w:val="auto"/>
                <w:sz w:val="24"/>
                <w:szCs w:val="24"/>
                <w:highlight w:val="none"/>
              </w:rPr>
              <w:t>前近三个月内任意一个月的养老保险证明（含官网在线打印件，证明文件两个月内有效）（或供应商提供已为上述人员缴纳养老保险证明的承诺书（格式自拟））】</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8D866EA">
            <w:pPr>
              <w:spacing w:line="360" w:lineRule="auto"/>
              <w:jc w:val="center"/>
              <w:rPr>
                <w:rFonts w:hint="default"/>
                <w:b/>
                <w:bCs/>
                <w:color w:val="auto"/>
                <w:sz w:val="24"/>
                <w:highlight w:val="none"/>
                <w:lang w:val="en-US" w:eastAsia="zh-CN"/>
              </w:rPr>
            </w:pPr>
            <w:r>
              <w:rPr>
                <w:rFonts w:hint="eastAsia"/>
                <w:b/>
                <w:bCs/>
                <w:color w:val="auto"/>
                <w:sz w:val="24"/>
                <w:highlight w:val="none"/>
                <w:lang w:val="en-US" w:eastAsia="zh-CN"/>
              </w:rPr>
              <w:t>2分</w:t>
            </w:r>
          </w:p>
        </w:tc>
      </w:tr>
      <w:tr w14:paraId="54E6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restart"/>
            <w:tcBorders>
              <w:left w:val="single" w:color="auto" w:sz="4" w:space="0"/>
              <w:right w:val="single" w:color="auto" w:sz="4" w:space="0"/>
            </w:tcBorders>
            <w:noWrap w:val="0"/>
            <w:vAlign w:val="center"/>
          </w:tcPr>
          <w:p w14:paraId="1DEAF3E2">
            <w:pPr>
              <w:spacing w:line="360" w:lineRule="auto"/>
              <w:jc w:val="center"/>
              <w:rPr>
                <w:rFonts w:hint="default" w:ascii="宋体" w:hAnsi="宋体" w:eastAsia="宋体"/>
                <w:color w:val="auto"/>
                <w:sz w:val="24"/>
                <w:highlight w:val="none"/>
                <w:lang w:val="en-US" w:eastAsia="zh-CN"/>
              </w:rPr>
            </w:pPr>
            <w:r>
              <w:rPr>
                <w:rFonts w:hint="eastAsia"/>
                <w:color w:val="auto"/>
                <w:sz w:val="24"/>
                <w:highlight w:val="none"/>
                <w:lang w:val="en-US" w:eastAsia="zh-CN"/>
              </w:rPr>
              <w:t>技术分值（60分）</w:t>
            </w: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578D18">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1.</w:t>
            </w:r>
            <w:r>
              <w:rPr>
                <w:rFonts w:hint="eastAsia" w:ascii="宋体" w:hAnsi="宋体" w:eastAsia="宋体" w:cs="宋体"/>
                <w:bCs/>
                <w:color w:val="auto"/>
                <w:sz w:val="24"/>
                <w:szCs w:val="24"/>
                <w:highlight w:val="none"/>
                <w:lang w:val="en-US" w:eastAsia="zh-CN"/>
              </w:rPr>
              <w:t>项目总体方案</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3992CF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为屋面防水改造工程，涉及两个校区7栋楼宇，既有教学楼又有公寓楼等，各楼宇层数、高度、屋面防水层结构均不相同，了解改造楼宇屋面现状以及施工作业环境。充分论证原屋面防水设施拆除、垃圾处理、屋面荷载、吊装作业、动火作业、既有设备防护等。根据供应商提供的总体方案进行综合评分：</w:t>
            </w:r>
          </w:p>
          <w:p w14:paraId="1BC08D09">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1.项目总体方案涵盖内容全面、详实、实施性强，得4分；</w:t>
            </w:r>
          </w:p>
          <w:p w14:paraId="25F681A2">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2.项目总体方案涵盖内容比较全面、内容较为详实、有实施性，得3分；</w:t>
            </w:r>
          </w:p>
          <w:p w14:paraId="027AAF5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3.项目总体方案涵盖内容不全面、内容不够详实、实施性不足，得2分；</w:t>
            </w:r>
          </w:p>
          <w:p w14:paraId="49C1F26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4.项目总体方案不符合项目实际或未提供的不得分。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67F7C45">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4分</w:t>
            </w:r>
          </w:p>
        </w:tc>
      </w:tr>
      <w:tr w14:paraId="2E8E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5143A443">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5ECA81">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2.主要施工技术方案</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3C2E6D4">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根据供应商提供的各分部分项工程的主要施工技术方案进行综合评分：</w:t>
            </w:r>
          </w:p>
          <w:p w14:paraId="07FF200C">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1.施工技术方案贴合项目实际，方案详尽，工艺先进、方法可行，能够高质高效的施工并确保安全的，得4分；</w:t>
            </w:r>
          </w:p>
          <w:p w14:paraId="62427CD0">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2.施工技术方案基本符合项目实际，工艺技术大部分符合施工需求，可以指导施工并确保安全的，得3分；</w:t>
            </w:r>
          </w:p>
          <w:p w14:paraId="1E1CB3F8">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3.施工技术方案需要再完善，不能完全指导具体施工的，得2分；</w:t>
            </w:r>
          </w:p>
          <w:p w14:paraId="04099786">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4.方案不能满足项目实施要求或未提供的不得分。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A022484">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4分</w:t>
            </w:r>
          </w:p>
        </w:tc>
      </w:tr>
      <w:tr w14:paraId="26B6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49619BA3">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C971B5">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3.工程质量控制措施</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CCCBF79">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根据供应商提供的各分部分项工程质量的控制措施进行综合评分：</w:t>
            </w:r>
          </w:p>
          <w:p w14:paraId="02A7E5B7">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1.工程质量的控制措施内容分析全面、详细，处理方法及步骤清晰，有专门的质量技术管理班子和制度，且人员配备齐全，制度健全，能有效的保证技术质量，达到承诺的质量标准的，得5分；</w:t>
            </w:r>
          </w:p>
          <w:p w14:paraId="5CA35525">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2.工程质量的控制措施内容分析清楚，处理方法及步骤较清晰，符合实际，有专门的质量技术管理班子和制度，且人员配备较齐全，制度比较健全，能够保证技术质量，基本达到承诺的质量标准的，得4分；</w:t>
            </w:r>
          </w:p>
          <w:p w14:paraId="149F14B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3.工程质量的控制措施内容分析不完整，方案需完善，处理方法步骤不全，存在不足的，得3分；</w:t>
            </w:r>
          </w:p>
          <w:p w14:paraId="6CC564B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4.无专门针对该项目分析内容和解决措施的或者未提供的不得分。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BA2ED4A">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5分</w:t>
            </w:r>
          </w:p>
        </w:tc>
      </w:tr>
      <w:tr w14:paraId="24F2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27CC74B8">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86FA7A7">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4.安全生产管理措施</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80D8DB9">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根据供应商提供的各分部分项工程的安全生产的管理措施进行综合评分：</w:t>
            </w:r>
          </w:p>
          <w:p w14:paraId="544A1E8A">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安全生产的管理措施应有专门的安全管理人员和制度，且人员配备齐全，制度健全，各道工序安全技术措施针对性强，符合实际且满足有关安全技术标准要求。现场防火、社会治安安全措施得力，处理方法及步骤清晰，可行性强的，得5分；</w:t>
            </w:r>
          </w:p>
          <w:p w14:paraId="13477C53">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安全生产的管理措施有专门的安全管理人员和制度，且人员配备较齐全，制度比较健全，各道工序安全技术措施较完善，基本符合实际且满足有关安全技术标准要求。现场防火、社会治安安全措施比较得力，处理方法及步骤较清晰，符合实际的，得4分；</w:t>
            </w:r>
          </w:p>
          <w:p w14:paraId="75E60744">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3.安全生产的管理措施内容、人员配备、制度、工序等环节不完善，得3分；</w:t>
            </w:r>
          </w:p>
          <w:p w14:paraId="1FBAD971">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4.无专门针对该项目分析内容和解决措施的或者未提供的不得分。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8FF9528">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5分</w:t>
            </w:r>
          </w:p>
        </w:tc>
      </w:tr>
      <w:tr w14:paraId="3D819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6F37313E">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E7E974">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5.工程进度控制措施</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5C72659">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根据供应商提供的各分部分项工程的工程进度控制进行综合评分：</w:t>
            </w:r>
          </w:p>
          <w:p w14:paraId="176CD856">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1.工程进度在施工工艺、施工方法、材料选用、劳动力安排、技术等方面有保证工期的具体措施且措施得当，控制工期的施工进度计划合理，得5分；</w:t>
            </w:r>
          </w:p>
          <w:p w14:paraId="1F4B2A26">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2.工程进度在施工工艺、施工方法、材料选用、劳动力安排、技术等方面有保证工期的措施且措施比较得当，有控制工期的施工进度计划，得4分；</w:t>
            </w:r>
          </w:p>
          <w:p w14:paraId="7751BA32">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3.工程进度在施工工艺、施工方法、材料选用、劳动力安排、技术等保证工期的具体措施不详细，还需要完善的，得3分；</w:t>
            </w:r>
          </w:p>
          <w:p w14:paraId="4BE87C8E">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4.无专门针对该项目分析内容和解决措施的或者未提供的不得分。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474E6C7C">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5分</w:t>
            </w:r>
          </w:p>
        </w:tc>
      </w:tr>
      <w:tr w14:paraId="20C4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78AA7883">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E85AFB">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6.主要物资供应计划</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B6E56E0">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根据供应商提供的各分部分项工程的物资供应计划进行综合评分：</w:t>
            </w:r>
          </w:p>
          <w:p w14:paraId="4CE8D183">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1.物资供应计划贴合项目实际，步骤节点内容完整，时间安排可行性强，供货方案完整、清楚、周密，完全满足服务工期要求的，得4分；</w:t>
            </w:r>
          </w:p>
          <w:p w14:paraId="57BB0B7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2.物资供应计划每个步骤节点内容比较完整，时间安排具有可行性，保证措施需完善，能满足服务工期要求的，得3分；</w:t>
            </w:r>
          </w:p>
          <w:p w14:paraId="793B79F2">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3.物资供应计划完整性需调整，保证措施需完善的，得2分；</w:t>
            </w:r>
          </w:p>
          <w:p w14:paraId="4A02701E">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4.计划不能满足项目实施要求或未提供的不得分。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6CC4271">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4分</w:t>
            </w:r>
          </w:p>
        </w:tc>
      </w:tr>
      <w:tr w14:paraId="3C66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5C9D87A4">
            <w:pPr>
              <w:spacing w:line="360" w:lineRule="auto"/>
              <w:jc w:val="center"/>
              <w:rPr>
                <w:rFonts w:hint="eastAsia" w:ascii="宋体" w:hAnsi="宋体" w:eastAsia="宋体"/>
                <w:color w:val="auto"/>
                <w:sz w:val="24"/>
                <w:highlight w:val="none"/>
              </w:rPr>
            </w:pPr>
          </w:p>
          <w:p w14:paraId="0D21F677">
            <w:pPr>
              <w:pStyle w:val="54"/>
              <w:rPr>
                <w:rFonts w:hint="eastAsia"/>
                <w:color w:val="auto"/>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A8D1BD">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7.投入的劳动力计划</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5AC5187">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根据供应商投入的各分部分项工程劳动力计划进行综合评分：</w:t>
            </w:r>
          </w:p>
          <w:p w14:paraId="2A95FED5">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1.施工工序应有详细周密的劳动力安排计划明细，有各工种劳动力安排计划，劳动力投入计划可行性、实用性、针对性强，得</w:t>
            </w:r>
            <w:r>
              <w:rPr>
                <w:rFonts w:hint="eastAsia" w:cs="宋体"/>
                <w:bCs/>
                <w:color w:val="auto"/>
                <w:sz w:val="24"/>
                <w:szCs w:val="24"/>
                <w:highlight w:val="none"/>
                <w:lang w:val="en-US" w:eastAsia="zh-CN"/>
              </w:rPr>
              <w:t>4</w:t>
            </w:r>
            <w:r>
              <w:rPr>
                <w:rFonts w:hint="eastAsia" w:ascii="宋体" w:hAnsi="宋体" w:eastAsia="宋体" w:cs="宋体"/>
                <w:bCs/>
                <w:color w:val="auto"/>
                <w:sz w:val="24"/>
                <w:szCs w:val="24"/>
                <w:highlight w:val="none"/>
                <w:lang w:val="en-US" w:eastAsia="zh-CN"/>
              </w:rPr>
              <w:t>分；</w:t>
            </w:r>
          </w:p>
          <w:p w14:paraId="4E3CA701">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2.施工工序应有劳动力安排计划，有各工种劳动力安排计划，劳动力投入计划具有可行性、实用性、针对性，得</w:t>
            </w:r>
            <w:r>
              <w:rPr>
                <w:rFonts w:hint="eastAsia"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w:t>
            </w:r>
          </w:p>
          <w:p w14:paraId="59A913AD">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3.劳动力安排计划需调整，各工种劳动力安排计划可行性、实用性、针对性有待改善的，得</w:t>
            </w:r>
            <w:r>
              <w:rPr>
                <w:rFonts w:hint="eastAsia"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w:t>
            </w:r>
          </w:p>
          <w:p w14:paraId="6BCC33D8">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4.计划不能满足项目实施要求或未提供的不得分。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9FF15A2">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4分</w:t>
            </w:r>
          </w:p>
        </w:tc>
      </w:tr>
      <w:tr w14:paraId="119B0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tcBorders>
              <w:left w:val="single" w:color="auto" w:sz="4" w:space="0"/>
              <w:right w:val="single" w:color="auto" w:sz="4" w:space="0"/>
            </w:tcBorders>
            <w:noWrap w:val="0"/>
            <w:vAlign w:val="center"/>
          </w:tcPr>
          <w:p w14:paraId="55418E7F">
            <w:pPr>
              <w:pStyle w:val="54"/>
              <w:rPr>
                <w:rFonts w:hint="eastAsia"/>
                <w:color w:val="auto"/>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D5DAE62">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8.施工机械设备计划</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085D6A8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根据供应商投入的施工机械设备计划进行综合评分：</w:t>
            </w:r>
          </w:p>
          <w:p w14:paraId="4FF3CF49">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1.施工机械设备计划每个步骤节点内容完整、详细，时间安排可行性强，保证措施完整、清楚，投入的施工机械、设备、机具有详细计划且计划周密，设备数量、选型配置、进场数量，完全满足要求的，得4分；</w:t>
            </w:r>
          </w:p>
          <w:p w14:paraId="5849FED5">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2.施工机械设备计划每个步骤节点内容较完整，时间安排具有可行性，保证措施需完善，基本满足服务工期要求的，得3分；</w:t>
            </w:r>
          </w:p>
          <w:p w14:paraId="6727FB51">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3.投入的施工机械、设备、机具设备数量基本满足要求、选型配置、进场数量、时间安排有待改善的，得2分；</w:t>
            </w:r>
          </w:p>
          <w:p w14:paraId="0B88C005">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 计划不能满足项目实施要求或未提供的不得分。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D6E8318">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4分</w:t>
            </w:r>
          </w:p>
        </w:tc>
      </w:tr>
      <w:tr w14:paraId="6158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Merge w:val="continue"/>
            <w:tcBorders>
              <w:left w:val="single" w:color="auto" w:sz="4" w:space="0"/>
              <w:right w:val="single" w:color="auto" w:sz="4" w:space="0"/>
            </w:tcBorders>
            <w:noWrap w:val="0"/>
            <w:vAlign w:val="center"/>
          </w:tcPr>
          <w:p w14:paraId="03F42202">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0A64E6">
            <w:pPr>
              <w:spacing w:line="360" w:lineRule="auto"/>
              <w:jc w:val="left"/>
              <w:rPr>
                <w:rFonts w:hint="eastAsia"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9.雨季施工方案</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4A018A60">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依据供应商的雨季施工方案情况进行综合评分：</w:t>
            </w:r>
          </w:p>
          <w:p w14:paraId="02548562">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1.项目方案编制思路清晰、准确、方案完整、内容全面、可行性强，得4分；</w:t>
            </w:r>
          </w:p>
          <w:p w14:paraId="4F2EDA72">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2.项目方案编制思路较为清晰、准确，方案内容较为全面、具有一定可行性的，得3分；</w:t>
            </w:r>
          </w:p>
          <w:p w14:paraId="2371D1B0">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3.项目方案能够基本满足项目要求，但技术措施内容需要完善的，得2分；</w:t>
            </w:r>
          </w:p>
          <w:p w14:paraId="2F11CBF8">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4.方案不能满足项目实施要求或未提供的不得分。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39C54CA">
            <w:pPr>
              <w:spacing w:line="360" w:lineRule="auto"/>
              <w:jc w:val="center"/>
              <w:rPr>
                <w:rFonts w:hint="default" w:ascii="宋体" w:hAnsi="宋体" w:eastAsia="宋体"/>
                <w:b w:val="0"/>
                <w:bCs w:val="0"/>
                <w:color w:val="auto"/>
                <w:sz w:val="24"/>
                <w:highlight w:val="none"/>
                <w:lang w:val="en-US" w:eastAsia="zh-CN"/>
              </w:rPr>
            </w:pPr>
            <w:r>
              <w:rPr>
                <w:rFonts w:hint="eastAsia"/>
                <w:b w:val="0"/>
                <w:bCs w:val="0"/>
                <w:color w:val="auto"/>
                <w:sz w:val="24"/>
                <w:highlight w:val="none"/>
                <w:lang w:val="en-US" w:eastAsia="zh-CN"/>
              </w:rPr>
              <w:t>4分</w:t>
            </w:r>
          </w:p>
        </w:tc>
      </w:tr>
      <w:tr w14:paraId="6306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Merge w:val="continue"/>
            <w:tcBorders>
              <w:left w:val="single" w:color="auto" w:sz="4" w:space="0"/>
              <w:right w:val="single" w:color="auto" w:sz="4" w:space="0"/>
            </w:tcBorders>
            <w:noWrap w:val="0"/>
            <w:vAlign w:val="center"/>
          </w:tcPr>
          <w:p w14:paraId="4641CB84">
            <w:pPr>
              <w:spacing w:line="360" w:lineRule="auto"/>
              <w:jc w:val="center"/>
              <w:rPr>
                <w:rFonts w:hint="eastAsia" w:ascii="宋体" w:hAnsi="宋体" w:eastAsia="宋体"/>
                <w:color w:val="auto"/>
                <w:sz w:val="24"/>
                <w:highlight w:val="none"/>
              </w:rPr>
            </w:pPr>
          </w:p>
          <w:p w14:paraId="6454F5C4">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902858">
            <w:pPr>
              <w:spacing w:line="360" w:lineRule="auto"/>
              <w:jc w:val="left"/>
              <w:rPr>
                <w:rFonts w:hint="default" w:cs="宋体"/>
                <w:bCs/>
                <w:color w:val="auto"/>
                <w:sz w:val="24"/>
                <w:szCs w:val="24"/>
                <w:highlight w:val="none"/>
                <w:lang w:val="en-US" w:eastAsia="zh-CN"/>
              </w:rPr>
            </w:pPr>
            <w:r>
              <w:rPr>
                <w:rFonts w:hint="eastAsia" w:cs="宋体"/>
                <w:bCs/>
                <w:color w:val="auto"/>
                <w:sz w:val="24"/>
                <w:szCs w:val="24"/>
                <w:highlight w:val="none"/>
                <w:lang w:val="en-US" w:eastAsia="zh-CN"/>
              </w:rPr>
              <w:t>10.</w:t>
            </w:r>
            <w:r>
              <w:rPr>
                <w:rFonts w:hint="eastAsia" w:ascii="宋体" w:hAnsi="宋体" w:eastAsia="宋体" w:cs="宋体"/>
                <w:bCs/>
                <w:color w:val="auto"/>
                <w:sz w:val="24"/>
                <w:szCs w:val="24"/>
                <w:highlight w:val="none"/>
                <w:lang w:val="en-US" w:eastAsia="zh-CN"/>
              </w:rPr>
              <w:t>文明施工管理措施</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1617578">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根据供应商提供的各分部分项工程文明施工的管理措施进行综合评分：</w:t>
            </w:r>
          </w:p>
          <w:p w14:paraId="70F56177">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1.针对本项目特点，有现场文明施工计划，环境保护措施，各项措施周全、具体、有效。有具体实现现场文明施工目标的承诺，得4分；</w:t>
            </w:r>
          </w:p>
          <w:p w14:paraId="714EEF0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2.针对本项目特点，有现场文明施工计划，环境保护措施，得3分；</w:t>
            </w:r>
          </w:p>
          <w:p w14:paraId="348D293C">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3.针对本项目特点，现场文明施工计划、环境保护措施不完整，还需要完善的，得2分；</w:t>
            </w:r>
          </w:p>
          <w:p w14:paraId="667A08EA">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4.无专门针对该项目分析内容和解决措施的或者未提供的不得分。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024EFB6">
            <w:pPr>
              <w:spacing w:line="360" w:lineRule="auto"/>
              <w:jc w:val="center"/>
              <w:rPr>
                <w:rFonts w:hint="default"/>
                <w:b w:val="0"/>
                <w:bCs w:val="0"/>
                <w:color w:val="auto"/>
                <w:sz w:val="24"/>
                <w:highlight w:val="none"/>
                <w:lang w:val="en-US" w:eastAsia="zh-CN"/>
              </w:rPr>
            </w:pPr>
            <w:r>
              <w:rPr>
                <w:rFonts w:hint="eastAsia"/>
                <w:b w:val="0"/>
                <w:bCs w:val="0"/>
                <w:color w:val="auto"/>
                <w:sz w:val="24"/>
                <w:highlight w:val="none"/>
                <w:lang w:val="en-US" w:eastAsia="zh-CN"/>
              </w:rPr>
              <w:t>4分</w:t>
            </w:r>
          </w:p>
        </w:tc>
      </w:tr>
      <w:tr w14:paraId="1451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Merge w:val="continue"/>
            <w:tcBorders>
              <w:left w:val="single" w:color="auto" w:sz="4" w:space="0"/>
              <w:right w:val="single" w:color="auto" w:sz="4" w:space="0"/>
            </w:tcBorders>
            <w:noWrap w:val="0"/>
            <w:vAlign w:val="center"/>
          </w:tcPr>
          <w:p w14:paraId="627C9C43">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B688ED">
            <w:pPr>
              <w:spacing w:line="360" w:lineRule="auto"/>
              <w:jc w:val="left"/>
              <w:rPr>
                <w:rFonts w:hint="default" w:cs="宋体"/>
                <w:bCs/>
                <w:color w:val="auto"/>
                <w:sz w:val="24"/>
                <w:szCs w:val="24"/>
                <w:highlight w:val="none"/>
                <w:lang w:val="en-US" w:eastAsia="zh-CN"/>
              </w:rPr>
            </w:pPr>
            <w:r>
              <w:rPr>
                <w:rFonts w:hint="eastAsia" w:cs="宋体"/>
                <w:bCs/>
                <w:color w:val="auto"/>
                <w:sz w:val="24"/>
                <w:szCs w:val="24"/>
                <w:highlight w:val="none"/>
                <w:lang w:val="en-US" w:eastAsia="zh-CN"/>
              </w:rPr>
              <w:t>11.楼宇屋面防水施工平面布置</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2B407D2F">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平面布置应充分结合学校教学、交通、安全等综合筹划。据供应商提供的各分部分项工程总体筹划与各楼宇平面布置进行综合评分：</w:t>
            </w:r>
          </w:p>
          <w:p w14:paraId="6A6AF95D">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1.平面布置内容分析全面、详细，各项计划图表编制完善，符合本项目施工实际要求的，得4分；</w:t>
            </w:r>
          </w:p>
          <w:p w14:paraId="30511560">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2.平面布置内容分析比较清楚，各项计划图表编制比较完善，处理方法及步骤比较清晰，符合本项目施工实际要求的，得3分；</w:t>
            </w:r>
          </w:p>
          <w:p w14:paraId="4FE37DC5">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3.平面布置内容分析不完整，各项计划图表编制需完善，处理方法步骤有待改善，得2分；</w:t>
            </w:r>
          </w:p>
          <w:p w14:paraId="5987CAA5">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4.无专门针对该项目内容和解决措施的或者未提供的不得分。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32247B3">
            <w:pPr>
              <w:spacing w:line="360" w:lineRule="auto"/>
              <w:jc w:val="center"/>
              <w:rPr>
                <w:rFonts w:hint="default"/>
                <w:b w:val="0"/>
                <w:bCs w:val="0"/>
                <w:color w:val="auto"/>
                <w:sz w:val="24"/>
                <w:highlight w:val="none"/>
                <w:lang w:val="en-US" w:eastAsia="zh-CN"/>
              </w:rPr>
            </w:pPr>
            <w:r>
              <w:rPr>
                <w:rFonts w:hint="eastAsia"/>
                <w:b w:val="0"/>
                <w:bCs w:val="0"/>
                <w:color w:val="auto"/>
                <w:sz w:val="24"/>
                <w:highlight w:val="none"/>
                <w:lang w:val="en-US" w:eastAsia="zh-CN"/>
              </w:rPr>
              <w:t>4分</w:t>
            </w:r>
          </w:p>
        </w:tc>
      </w:tr>
      <w:tr w14:paraId="301A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Merge w:val="continue"/>
            <w:tcBorders>
              <w:left w:val="single" w:color="auto" w:sz="4" w:space="0"/>
              <w:right w:val="single" w:color="auto" w:sz="4" w:space="0"/>
            </w:tcBorders>
            <w:noWrap w:val="0"/>
            <w:vAlign w:val="center"/>
          </w:tcPr>
          <w:p w14:paraId="575E7E7F">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0B1ABBF">
            <w:pPr>
              <w:spacing w:line="360" w:lineRule="auto"/>
              <w:jc w:val="left"/>
              <w:rPr>
                <w:rFonts w:hint="default" w:cs="宋体"/>
                <w:bCs/>
                <w:color w:val="auto"/>
                <w:sz w:val="24"/>
                <w:szCs w:val="24"/>
                <w:highlight w:val="none"/>
                <w:lang w:val="en-US" w:eastAsia="zh-CN"/>
              </w:rPr>
            </w:pPr>
            <w:r>
              <w:rPr>
                <w:rFonts w:hint="eastAsia" w:cs="宋体"/>
                <w:bCs/>
                <w:color w:val="auto"/>
                <w:sz w:val="24"/>
                <w:szCs w:val="24"/>
                <w:highlight w:val="none"/>
                <w:lang w:val="en-US" w:eastAsia="zh-CN"/>
              </w:rPr>
              <w:t>12.重难点分析及应对措施</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4E02DEB">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根据供应商提供的各分部分项工程的工程重难点及应对措施进行综合评分：</w:t>
            </w:r>
          </w:p>
          <w:p w14:paraId="05980DC7">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1.对施工中可能会产生的重点、难点进行分析梳理全面、详细，处理方法及步骤清晰，可行性、实用性、针对性强的，得4分；</w:t>
            </w:r>
          </w:p>
          <w:p w14:paraId="5EFBB0C3">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2.对施工中可能会产生的重点、难点进行分析梳理较清楚，处理方法及步骤较清晰，具有可行性、实用性、针对性，得3分；</w:t>
            </w:r>
          </w:p>
          <w:p w14:paraId="3859FC07">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3.对施工中可能会产生的重点、难点进行分析梳理不完整，可行性、实用性、针对性有待改善，得2分；</w:t>
            </w:r>
          </w:p>
          <w:p w14:paraId="76162269">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4.无专门针对该项目治理过程中重点、难点分析内容和解决措施的或者未提供的不得分。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47B2B126">
            <w:pPr>
              <w:spacing w:line="360" w:lineRule="auto"/>
              <w:jc w:val="center"/>
              <w:rPr>
                <w:rFonts w:hint="default"/>
                <w:b w:val="0"/>
                <w:bCs w:val="0"/>
                <w:color w:val="auto"/>
                <w:sz w:val="24"/>
                <w:highlight w:val="none"/>
                <w:lang w:val="en-US" w:eastAsia="zh-CN"/>
              </w:rPr>
            </w:pPr>
            <w:r>
              <w:rPr>
                <w:rFonts w:hint="eastAsia"/>
                <w:b w:val="0"/>
                <w:bCs w:val="0"/>
                <w:color w:val="auto"/>
                <w:sz w:val="24"/>
                <w:highlight w:val="none"/>
                <w:lang w:val="en-US" w:eastAsia="zh-CN"/>
              </w:rPr>
              <w:t>4分</w:t>
            </w:r>
          </w:p>
        </w:tc>
      </w:tr>
      <w:tr w14:paraId="2284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Merge w:val="continue"/>
            <w:tcBorders>
              <w:left w:val="single" w:color="auto" w:sz="4" w:space="0"/>
              <w:right w:val="single" w:color="auto" w:sz="4" w:space="0"/>
            </w:tcBorders>
            <w:noWrap w:val="0"/>
            <w:vAlign w:val="center"/>
          </w:tcPr>
          <w:p w14:paraId="080CC8F9">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E5079E">
            <w:pPr>
              <w:spacing w:line="360" w:lineRule="auto"/>
              <w:jc w:val="left"/>
              <w:rPr>
                <w:rFonts w:hint="default" w:cs="宋体"/>
                <w:bCs/>
                <w:color w:val="auto"/>
                <w:sz w:val="24"/>
                <w:szCs w:val="24"/>
                <w:highlight w:val="none"/>
                <w:lang w:val="en-US" w:eastAsia="zh-CN"/>
              </w:rPr>
            </w:pPr>
            <w:r>
              <w:rPr>
                <w:rFonts w:hint="eastAsia" w:cs="宋体"/>
                <w:bCs/>
                <w:color w:val="auto"/>
                <w:sz w:val="24"/>
                <w:szCs w:val="24"/>
                <w:highlight w:val="none"/>
                <w:lang w:val="en-US" w:eastAsia="zh-CN"/>
              </w:rPr>
              <w:t>13</w:t>
            </w:r>
            <w:r>
              <w:rPr>
                <w:rFonts w:hint="eastAsia" w:cs="宋体"/>
                <w:bCs/>
                <w:color w:val="auto"/>
                <w:sz w:val="24"/>
                <w:szCs w:val="24"/>
                <w:highlight w:val="none"/>
                <w:lang w:val="en-US" w:eastAsia="zh-CN"/>
              </w:rPr>
              <w:t>质保期</w:t>
            </w:r>
            <w:r>
              <w:rPr>
                <w:rFonts w:hint="eastAsia" w:cs="宋体"/>
                <w:bCs/>
                <w:color w:val="auto"/>
                <w:sz w:val="24"/>
                <w:szCs w:val="24"/>
                <w:highlight w:val="none"/>
                <w:lang w:val="en-US" w:eastAsia="zh-CN"/>
              </w:rPr>
              <w:t>内服务方案</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7E2A2363">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根据采购文件要求和提供的</w:t>
            </w:r>
            <w:r>
              <w:rPr>
                <w:rFonts w:hint="eastAsia" w:cs="宋体"/>
                <w:bCs/>
                <w:color w:val="auto"/>
                <w:sz w:val="24"/>
                <w:szCs w:val="24"/>
                <w:highlight w:val="none"/>
                <w:lang w:val="en-US" w:eastAsia="zh-CN"/>
              </w:rPr>
              <w:t>质保期</w:t>
            </w:r>
            <w:r>
              <w:rPr>
                <w:rFonts w:hint="eastAsia" w:ascii="宋体" w:hAnsi="宋体" w:eastAsia="宋体" w:cs="宋体"/>
                <w:bCs/>
                <w:color w:val="auto"/>
                <w:sz w:val="24"/>
                <w:szCs w:val="24"/>
                <w:highlight w:val="none"/>
                <w:lang w:val="en-US" w:eastAsia="zh-CN"/>
              </w:rPr>
              <w:t>内服务方案进行综合评分：</w:t>
            </w:r>
          </w:p>
          <w:p w14:paraId="2E0DB076">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1.方案符合实际，方案可行性、实用性、针对性强的，得4分；</w:t>
            </w:r>
          </w:p>
          <w:p w14:paraId="275E784D">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2.方案符合实际，方案具有可行性、实用性、针对性，得3分；</w:t>
            </w:r>
          </w:p>
          <w:p w14:paraId="776F47E4">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3.方案不符合实际，方案可行性、实用性、针对性有待改善，得2分；</w:t>
            </w:r>
          </w:p>
          <w:p w14:paraId="4AE207FA">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4.方案不符合项目实际或未提供的不得分。</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41AE7392">
            <w:pPr>
              <w:spacing w:line="360" w:lineRule="auto"/>
              <w:jc w:val="center"/>
              <w:rPr>
                <w:rFonts w:hint="default"/>
                <w:b w:val="0"/>
                <w:bCs w:val="0"/>
                <w:color w:val="auto"/>
                <w:sz w:val="24"/>
                <w:highlight w:val="none"/>
                <w:lang w:val="en-US" w:eastAsia="zh-CN"/>
              </w:rPr>
            </w:pPr>
            <w:r>
              <w:rPr>
                <w:rFonts w:hint="eastAsia"/>
                <w:b w:val="0"/>
                <w:bCs w:val="0"/>
                <w:color w:val="auto"/>
                <w:sz w:val="24"/>
                <w:highlight w:val="none"/>
                <w:lang w:val="en-US" w:eastAsia="zh-CN"/>
              </w:rPr>
              <w:t>4分</w:t>
            </w:r>
          </w:p>
        </w:tc>
      </w:tr>
      <w:tr w14:paraId="11AC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pct"/>
            <w:vMerge w:val="continue"/>
            <w:tcBorders>
              <w:left w:val="single" w:color="auto" w:sz="4" w:space="0"/>
              <w:right w:val="single" w:color="auto" w:sz="4" w:space="0"/>
            </w:tcBorders>
            <w:noWrap w:val="0"/>
            <w:vAlign w:val="center"/>
          </w:tcPr>
          <w:p w14:paraId="26CC5F5C">
            <w:pPr>
              <w:spacing w:line="360" w:lineRule="auto"/>
              <w:jc w:val="center"/>
              <w:rPr>
                <w:rFonts w:hint="eastAsia" w:ascii="宋体" w:hAnsi="宋体" w:eastAsia="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1B3850">
            <w:pPr>
              <w:spacing w:line="360" w:lineRule="auto"/>
              <w:jc w:val="left"/>
              <w:rPr>
                <w:rFonts w:hint="default" w:cs="宋体"/>
                <w:bCs/>
                <w:color w:val="auto"/>
                <w:sz w:val="24"/>
                <w:szCs w:val="24"/>
                <w:highlight w:val="none"/>
                <w:lang w:val="en-US" w:eastAsia="zh-CN"/>
              </w:rPr>
            </w:pPr>
            <w:r>
              <w:rPr>
                <w:rFonts w:hint="eastAsia" w:cs="宋体"/>
                <w:bCs/>
                <w:color w:val="auto"/>
                <w:sz w:val="24"/>
                <w:szCs w:val="24"/>
                <w:highlight w:val="none"/>
                <w:lang w:val="en-US" w:eastAsia="zh-CN"/>
              </w:rPr>
              <w:t>14质保期</w:t>
            </w:r>
          </w:p>
        </w:tc>
        <w:tc>
          <w:tcPr>
            <w:tcW w:w="3307"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397F615C">
            <w:pPr>
              <w:spacing w:line="360" w:lineRule="auto"/>
              <w:jc w:val="left"/>
              <w:rPr>
                <w:rFonts w:hint="eastAsia" w:ascii="宋体" w:hAnsi="宋体" w:eastAsia="宋体"/>
                <w:bCs/>
                <w:color w:val="auto"/>
                <w:sz w:val="24"/>
                <w:highlight w:val="none"/>
                <w:lang w:val="en-US" w:eastAsia="zh-CN"/>
              </w:rPr>
            </w:pPr>
            <w:r>
              <w:rPr>
                <w:rFonts w:hint="eastAsia"/>
                <w:bCs/>
                <w:color w:val="auto"/>
                <w:sz w:val="24"/>
                <w:highlight w:val="none"/>
                <w:lang w:val="en-US" w:eastAsia="zh-CN"/>
              </w:rPr>
              <w:t>工程质量保证期基本年限为5</w:t>
            </w:r>
            <w:r>
              <w:rPr>
                <w:rFonts w:hint="eastAsia" w:ascii="宋体" w:hAnsi="宋体" w:eastAsia="宋体"/>
                <w:bCs/>
                <w:color w:val="auto"/>
                <w:sz w:val="24"/>
                <w:highlight w:val="none"/>
                <w:lang w:val="en-US" w:eastAsia="zh-CN"/>
              </w:rPr>
              <w:t>年，每延保一年得1分，满分5分。</w:t>
            </w:r>
            <w:r>
              <w:rPr>
                <w:rFonts w:hint="eastAsia" w:ascii="宋体" w:hAnsi="宋体" w:eastAsia="宋体"/>
                <w:bCs/>
                <w:color w:val="auto"/>
                <w:sz w:val="24"/>
                <w:highlight w:val="none"/>
                <w:lang w:val="en-US" w:eastAsia="zh-CN"/>
              </w:rPr>
              <w:t>延保期间按合同执行</w:t>
            </w:r>
            <w:r>
              <w:rPr>
                <w:rFonts w:hint="eastAsia" w:ascii="宋体" w:hAnsi="宋体" w:eastAsia="宋体"/>
                <w:bCs/>
                <w:color w:val="auto"/>
                <w:sz w:val="24"/>
                <w:highlight w:val="none"/>
                <w:lang w:val="en-US" w:eastAsia="zh-CN"/>
              </w:rPr>
              <w:t xml:space="preserve">，且质保金同时一并延期。延长不足一年的部分不得分。 </w:t>
            </w:r>
          </w:p>
          <w:p w14:paraId="6761712C">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b/>
                <w:bCs w:val="0"/>
                <w:color w:val="auto"/>
                <w:sz w:val="24"/>
                <w:highlight w:val="none"/>
                <w:lang w:val="en-US" w:eastAsia="zh-CN"/>
              </w:rPr>
              <w:t>注：以供应商承诺的免费质保期为准。提供承诺函扫描件。</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4A202792">
            <w:pPr>
              <w:spacing w:line="360" w:lineRule="auto"/>
              <w:jc w:val="center"/>
              <w:rPr>
                <w:rFonts w:hint="default"/>
                <w:b w:val="0"/>
                <w:bCs w:val="0"/>
                <w:color w:val="auto"/>
                <w:sz w:val="24"/>
                <w:highlight w:val="none"/>
                <w:lang w:val="en-US" w:eastAsia="zh-CN"/>
              </w:rPr>
            </w:pPr>
            <w:r>
              <w:rPr>
                <w:rFonts w:hint="eastAsia"/>
                <w:b w:val="0"/>
                <w:bCs w:val="0"/>
                <w:color w:val="auto"/>
                <w:sz w:val="24"/>
                <w:highlight w:val="none"/>
                <w:lang w:val="en-US" w:eastAsia="zh-CN"/>
              </w:rPr>
              <w:t>5分</w:t>
            </w:r>
          </w:p>
        </w:tc>
      </w:tr>
      <w:tr w14:paraId="6645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tcBorders>
              <w:left w:val="single" w:color="auto" w:sz="4" w:space="0"/>
              <w:right w:val="single" w:color="auto" w:sz="4" w:space="0"/>
            </w:tcBorders>
            <w:noWrap w:val="0"/>
            <w:vAlign w:val="center"/>
          </w:tcPr>
          <w:p w14:paraId="7AED550A">
            <w:pPr>
              <w:keepNext w:val="0"/>
              <w:keepLines w:val="0"/>
              <w:pageBreakBefore w:val="0"/>
              <w:kinsoku/>
              <w:wordWrap/>
              <w:overflowPunct/>
              <w:topLinePunct w:val="0"/>
              <w:autoSpaceDE/>
              <w:autoSpaceDN/>
              <w:bidi w:val="0"/>
              <w:spacing w:line="5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40E4B465">
            <w:pPr>
              <w:keepNext w:val="0"/>
              <w:keepLines w:val="0"/>
              <w:pageBreakBefore w:val="0"/>
              <w:kinsoku/>
              <w:wordWrap/>
              <w:overflowPunct/>
              <w:topLinePunct w:val="0"/>
              <w:autoSpaceDE/>
              <w:autoSpaceDN/>
              <w:bidi w:val="0"/>
              <w:spacing w:line="520" w:lineRule="exact"/>
              <w:jc w:val="center"/>
              <w:rPr>
                <w:rFonts w:ascii="宋体" w:hAnsi="宋体" w:eastAsia="宋体"/>
                <w:b/>
                <w:bCs/>
                <w:color w:val="auto"/>
                <w:sz w:val="24"/>
                <w:highlight w:val="none"/>
              </w:rPr>
            </w:pPr>
            <w:r>
              <w:rPr>
                <w:rFonts w:hint="eastAsia" w:ascii="宋体" w:hAnsi="宋体" w:eastAsia="宋体" w:cs="宋体"/>
                <w:color w:val="auto"/>
                <w:sz w:val="24"/>
                <w:szCs w:val="24"/>
                <w:highlight w:val="none"/>
              </w:rPr>
              <w:t>（</w:t>
            </w:r>
            <w:r>
              <w:rPr>
                <w:rFonts w:hint="eastAsia" w:cs="宋体"/>
                <w:color w:val="auto"/>
                <w:sz w:val="24"/>
                <w:szCs w:val="24"/>
                <w:highlight w:val="none"/>
                <w:u w:val="single"/>
                <w:lang w:val="en-US" w:eastAsia="zh-CN"/>
              </w:rPr>
              <w:t>32</w:t>
            </w:r>
            <w:r>
              <w:rPr>
                <w:rFonts w:hint="eastAsia" w:ascii="宋体" w:hAnsi="宋体" w:eastAsia="宋体" w:cs="宋体"/>
                <w:color w:val="auto"/>
                <w:sz w:val="24"/>
                <w:szCs w:val="24"/>
                <w:highlight w:val="none"/>
              </w:rPr>
              <w:t>分）</w:t>
            </w:r>
          </w:p>
        </w:tc>
        <w:tc>
          <w:tcPr>
            <w:tcW w:w="4409" w:type="pct"/>
            <w:gridSpan w:val="3"/>
            <w:tcBorders>
              <w:top w:val="single" w:color="auto" w:sz="4" w:space="0"/>
              <w:left w:val="single" w:color="auto" w:sz="4" w:space="0"/>
              <w:bottom w:val="single" w:color="auto" w:sz="4" w:space="0"/>
              <w:right w:val="single" w:color="auto" w:sz="4" w:space="0"/>
            </w:tcBorders>
            <w:noWrap w:val="0"/>
            <w:vAlign w:val="center"/>
          </w:tcPr>
          <w:p w14:paraId="125A2814">
            <w:pPr>
              <w:keepNext w:val="0"/>
              <w:keepLines w:val="0"/>
              <w:pageBreakBefore w:val="0"/>
              <w:kinsoku/>
              <w:wordWrap/>
              <w:overflowPunct/>
              <w:topLinePunct w:val="0"/>
              <w:autoSpaceDE/>
              <w:autoSpaceDN/>
              <w:bidi w:val="0"/>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价格分统一采用低价优先法，即满足磋商文件要求且最后报价最低的供应商的价格为磋商基准价，其价格分为满分</w:t>
            </w:r>
            <w:r>
              <w:rPr>
                <w:rFonts w:hint="eastAsia" w:cs="宋体"/>
                <w:color w:val="auto"/>
                <w:sz w:val="24"/>
                <w:szCs w:val="24"/>
                <w:highlight w:val="none"/>
                <w:u w:val="single"/>
                <w:lang w:val="en-US" w:eastAsia="zh-CN"/>
              </w:rPr>
              <w:t>32</w:t>
            </w:r>
            <w:r>
              <w:rPr>
                <w:rFonts w:hint="eastAsia" w:ascii="宋体" w:hAnsi="宋体" w:eastAsia="宋体" w:cs="宋体"/>
                <w:color w:val="auto"/>
                <w:sz w:val="24"/>
                <w:szCs w:val="24"/>
                <w:highlight w:val="none"/>
              </w:rPr>
              <w:t>分。其他供应商的价格分统一按照下列公式计算：</w:t>
            </w:r>
          </w:p>
          <w:p w14:paraId="510C96D1">
            <w:pPr>
              <w:keepNext w:val="0"/>
              <w:keepLines w:val="0"/>
              <w:pageBreakBefore w:val="0"/>
              <w:kinsoku/>
              <w:wordWrap/>
              <w:overflowPunct/>
              <w:topLinePunct w:val="0"/>
              <w:autoSpaceDE/>
              <w:autoSpaceDN/>
              <w:bidi w:val="0"/>
              <w:spacing w:line="520" w:lineRule="exact"/>
              <w:rPr>
                <w:rFonts w:ascii="宋体" w:hAnsi="宋体" w:eastAsia="宋体"/>
                <w:b/>
                <w:bCs/>
                <w:color w:val="auto"/>
                <w:sz w:val="24"/>
                <w:highlight w:val="none"/>
              </w:rPr>
            </w:pPr>
            <w:r>
              <w:rPr>
                <w:rFonts w:hint="eastAsia" w:ascii="宋体" w:hAnsi="宋体" w:eastAsia="宋体" w:cs="宋体"/>
                <w:color w:val="auto"/>
                <w:sz w:val="24"/>
                <w:szCs w:val="24"/>
                <w:highlight w:val="none"/>
              </w:rPr>
              <w:t>磋商报价得分＝（磋商基准价/最后磋商报价）×</w:t>
            </w:r>
            <w:r>
              <w:rPr>
                <w:rFonts w:hint="eastAsia" w:cs="宋体"/>
                <w:color w:val="auto"/>
                <w:sz w:val="24"/>
                <w:szCs w:val="24"/>
                <w:highlight w:val="none"/>
                <w:u w:val="single"/>
                <w:lang w:val="en-US" w:eastAsia="zh-CN"/>
              </w:rPr>
              <w:t>32</w:t>
            </w:r>
            <w:r>
              <w:rPr>
                <w:rFonts w:hint="eastAsia" w:ascii="宋体" w:hAnsi="宋体" w:eastAsia="宋体" w:cs="宋体"/>
                <w:color w:val="auto"/>
                <w:sz w:val="24"/>
                <w:szCs w:val="24"/>
                <w:highlight w:val="none"/>
              </w:rPr>
              <w:t>％×100</w:t>
            </w:r>
          </w:p>
        </w:tc>
      </w:tr>
    </w:tbl>
    <w:p w14:paraId="54246F1E">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2.2.3分值汇总</w:t>
      </w:r>
    </w:p>
    <w:p w14:paraId="2960E56E">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383599AE">
      <w:pPr>
        <w:keepNext w:val="0"/>
        <w:keepLines w:val="0"/>
        <w:pageBreakBefore w:val="0"/>
        <w:kinsoku/>
        <w:wordWrap/>
        <w:overflowPunct/>
        <w:topLinePunct w:val="0"/>
        <w:autoSpaceDE/>
        <w:autoSpaceDN/>
        <w:bidi w:val="0"/>
        <w:spacing w:line="52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（2）将每个供应商的技术资信分加上根据上述标准计算出的价格分，即为该供应商的综合总得分。</w:t>
      </w:r>
    </w:p>
    <w:p w14:paraId="49E2BBFD">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672B4B1">
      <w:pPr>
        <w:spacing w:line="360" w:lineRule="auto"/>
        <w:jc w:val="center"/>
        <w:outlineLvl w:val="0"/>
        <w:rPr>
          <w:rFonts w:hint="eastAsia" w:asciiTheme="minorEastAsia" w:hAnsiTheme="minorEastAsia" w:eastAsiaTheme="minorEastAsia"/>
          <w:b/>
          <w:color w:val="auto"/>
          <w:sz w:val="28"/>
          <w:highlight w:val="none"/>
        </w:rPr>
      </w:pPr>
      <w:bookmarkStart w:id="37" w:name="_Toc31277"/>
      <w:r>
        <w:rPr>
          <w:rFonts w:hint="eastAsia" w:asciiTheme="minorEastAsia" w:hAnsiTheme="minorEastAsia" w:eastAsiaTheme="minorEastAsia"/>
          <w:b/>
          <w:color w:val="auto"/>
          <w:sz w:val="28"/>
          <w:highlight w:val="none"/>
        </w:rPr>
        <w:t>第五章  政府采购合同</w:t>
      </w:r>
      <w:bookmarkEnd w:id="37"/>
    </w:p>
    <w:p w14:paraId="067D2465">
      <w:pPr>
        <w:pStyle w:val="20"/>
        <w:spacing w:before="293" w:line="234" w:lineRule="auto"/>
        <w:jc w:val="both"/>
        <w:outlineLvl w:val="0"/>
        <w:rPr>
          <w:rFonts w:hint="default" w:eastAsia="方正小标宋简体"/>
          <w:color w:val="auto"/>
          <w:spacing w:val="15"/>
          <w:sz w:val="28"/>
          <w:szCs w:val="28"/>
          <w:highlight w:val="none"/>
          <w:u w:val="single"/>
          <w:lang w:val="en-US" w:eastAsia="zh-CN"/>
        </w:rPr>
      </w:pPr>
      <w:bookmarkStart w:id="38" w:name="_Toc130919120"/>
      <w:bookmarkStart w:id="39" w:name="_Toc9907"/>
      <w:bookmarkStart w:id="40" w:name="_Toc28799376"/>
      <w:bookmarkStart w:id="41" w:name="_Toc351203633"/>
      <w:r>
        <w:rPr>
          <w:rFonts w:hint="eastAsia" w:ascii="方正小标宋简体" w:hAnsi="方正小标宋简体" w:eastAsia="方正小标宋简体" w:cs="方正小标宋简体"/>
          <w:color w:val="auto"/>
          <w:spacing w:val="15"/>
          <w:sz w:val="28"/>
          <w:szCs w:val="28"/>
          <w:highlight w:val="none"/>
          <w:lang w:val="en-US" w:eastAsia="zh-CN"/>
        </w:rPr>
        <w:t>合同编号：</w:t>
      </w:r>
      <w:r>
        <w:rPr>
          <w:rFonts w:hint="eastAsia" w:ascii="方正小标宋简体" w:hAnsi="方正小标宋简体" w:eastAsia="方正小标宋简体" w:cs="方正小标宋简体"/>
          <w:color w:val="auto"/>
          <w:spacing w:val="15"/>
          <w:sz w:val="28"/>
          <w:szCs w:val="28"/>
          <w:highlight w:val="none"/>
          <w:u w:val="single"/>
          <w:lang w:val="en-US" w:eastAsia="zh-CN"/>
        </w:rPr>
        <w:t xml:space="preserve">              </w:t>
      </w:r>
    </w:p>
    <w:p w14:paraId="65311B36">
      <w:pPr>
        <w:pStyle w:val="20"/>
        <w:spacing w:before="287" w:line="185" w:lineRule="auto"/>
        <w:ind w:left="596"/>
        <w:outlineLvl w:val="0"/>
        <w:rPr>
          <w:rFonts w:hint="eastAsia" w:ascii="方正小标宋简体" w:hAnsi="方正小标宋简体" w:eastAsia="方正小标宋简体" w:cs="方正小标宋简体"/>
          <w:color w:val="auto"/>
          <w:spacing w:val="12"/>
          <w:sz w:val="72"/>
          <w:szCs w:val="72"/>
          <w:highlight w:val="none"/>
        </w:rPr>
      </w:pPr>
    </w:p>
    <w:p w14:paraId="7E427CD8">
      <w:pPr>
        <w:pStyle w:val="20"/>
        <w:spacing w:before="287" w:line="185" w:lineRule="auto"/>
        <w:ind w:left="596"/>
        <w:outlineLvl w:val="0"/>
        <w:rPr>
          <w:color w:val="auto"/>
          <w:sz w:val="72"/>
          <w:szCs w:val="72"/>
          <w:highlight w:val="none"/>
        </w:rPr>
      </w:pPr>
      <w:r>
        <w:rPr>
          <w:rFonts w:hint="eastAsia" w:ascii="方正小标宋简体" w:hAnsi="方正小标宋简体" w:eastAsia="方正小标宋简体" w:cs="方正小标宋简体"/>
          <w:color w:val="auto"/>
          <w:spacing w:val="12"/>
          <w:sz w:val="72"/>
          <w:szCs w:val="72"/>
          <w:highlight w:val="none"/>
        </w:rPr>
        <w:t>滁州学院政府采购合同</w:t>
      </w:r>
    </w:p>
    <w:p w14:paraId="3B1E8E67">
      <w:pPr>
        <w:spacing w:line="242" w:lineRule="auto"/>
        <w:rPr>
          <w:rFonts w:ascii="Arial"/>
          <w:color w:val="auto"/>
          <w:sz w:val="72"/>
          <w:szCs w:val="72"/>
          <w:highlight w:val="none"/>
        </w:rPr>
      </w:pPr>
    </w:p>
    <w:p w14:paraId="60E9A19B">
      <w:pPr>
        <w:spacing w:line="242" w:lineRule="auto"/>
        <w:rPr>
          <w:rFonts w:ascii="Arial"/>
          <w:color w:val="auto"/>
          <w:sz w:val="21"/>
          <w:highlight w:val="none"/>
        </w:rPr>
      </w:pPr>
    </w:p>
    <w:p w14:paraId="1A93B793">
      <w:pPr>
        <w:spacing w:line="242" w:lineRule="auto"/>
        <w:rPr>
          <w:rFonts w:ascii="Arial"/>
          <w:color w:val="auto"/>
          <w:sz w:val="21"/>
          <w:highlight w:val="none"/>
        </w:rPr>
      </w:pPr>
    </w:p>
    <w:p w14:paraId="2740E926">
      <w:pPr>
        <w:spacing w:line="243" w:lineRule="auto"/>
        <w:rPr>
          <w:rFonts w:ascii="Arial"/>
          <w:color w:val="auto"/>
          <w:sz w:val="21"/>
          <w:highlight w:val="none"/>
        </w:rPr>
      </w:pPr>
    </w:p>
    <w:p w14:paraId="6C31E876">
      <w:pPr>
        <w:pStyle w:val="20"/>
        <w:spacing w:before="226" w:line="182" w:lineRule="auto"/>
        <w:ind w:left="2749"/>
        <w:rPr>
          <w:color w:val="auto"/>
          <w:sz w:val="52"/>
          <w:szCs w:val="52"/>
          <w:highlight w:val="none"/>
        </w:rPr>
      </w:pPr>
      <w:r>
        <w:rPr>
          <w:rFonts w:hint="eastAsia" w:ascii="方正小标宋简体" w:hAnsi="方正小标宋简体" w:eastAsia="方正小标宋简体" w:cs="方正小标宋简体"/>
          <w:color w:val="auto"/>
          <w:spacing w:val="-4"/>
          <w:sz w:val="52"/>
          <w:szCs w:val="52"/>
          <w:highlight w:val="none"/>
        </w:rPr>
        <w:t>（ 工程类</w:t>
      </w:r>
      <w:r>
        <w:rPr>
          <w:rFonts w:hint="eastAsia" w:ascii="方正小标宋简体" w:hAnsi="方正小标宋简体" w:eastAsia="方正小标宋简体" w:cs="方正小标宋简体"/>
          <w:color w:val="auto"/>
          <w:spacing w:val="-63"/>
          <w:sz w:val="52"/>
          <w:szCs w:val="52"/>
          <w:highlight w:val="none"/>
        </w:rPr>
        <w:t xml:space="preserve"> </w:t>
      </w:r>
      <w:r>
        <w:rPr>
          <w:rFonts w:hint="eastAsia" w:ascii="方正小标宋简体" w:hAnsi="方正小标宋简体" w:eastAsia="方正小标宋简体" w:cs="方正小标宋简体"/>
          <w:color w:val="auto"/>
          <w:spacing w:val="-4"/>
          <w:sz w:val="52"/>
          <w:szCs w:val="52"/>
          <w:highlight w:val="none"/>
        </w:rPr>
        <w:t>）</w:t>
      </w:r>
    </w:p>
    <w:p w14:paraId="4DB1369C">
      <w:pPr>
        <w:spacing w:line="246" w:lineRule="auto"/>
        <w:rPr>
          <w:rFonts w:ascii="Arial"/>
          <w:color w:val="auto"/>
          <w:sz w:val="21"/>
          <w:highlight w:val="none"/>
        </w:rPr>
      </w:pPr>
    </w:p>
    <w:p w14:paraId="192B6697">
      <w:pPr>
        <w:spacing w:line="246" w:lineRule="auto"/>
        <w:rPr>
          <w:rFonts w:ascii="Arial"/>
          <w:color w:val="auto"/>
          <w:sz w:val="21"/>
          <w:highlight w:val="none"/>
        </w:rPr>
      </w:pPr>
    </w:p>
    <w:p w14:paraId="31A65BCC">
      <w:pPr>
        <w:spacing w:line="246" w:lineRule="auto"/>
        <w:rPr>
          <w:rFonts w:ascii="Arial"/>
          <w:color w:val="auto"/>
          <w:sz w:val="21"/>
          <w:highlight w:val="none"/>
        </w:rPr>
      </w:pPr>
    </w:p>
    <w:p w14:paraId="2F2F29BB">
      <w:pPr>
        <w:spacing w:line="246" w:lineRule="auto"/>
        <w:rPr>
          <w:rFonts w:ascii="Arial"/>
          <w:color w:val="auto"/>
          <w:sz w:val="21"/>
          <w:highlight w:val="none"/>
        </w:rPr>
      </w:pPr>
    </w:p>
    <w:p w14:paraId="57751BA7">
      <w:pPr>
        <w:spacing w:line="246" w:lineRule="auto"/>
        <w:rPr>
          <w:rFonts w:ascii="Arial"/>
          <w:color w:val="auto"/>
          <w:sz w:val="21"/>
          <w:highlight w:val="none"/>
        </w:rPr>
      </w:pPr>
    </w:p>
    <w:p w14:paraId="7BDF921E">
      <w:pPr>
        <w:spacing w:line="246" w:lineRule="auto"/>
        <w:rPr>
          <w:rFonts w:ascii="Arial"/>
          <w:color w:val="auto"/>
          <w:sz w:val="21"/>
          <w:highlight w:val="none"/>
        </w:rPr>
      </w:pPr>
    </w:p>
    <w:p w14:paraId="4C3E3FB5">
      <w:pPr>
        <w:spacing w:line="246" w:lineRule="auto"/>
        <w:rPr>
          <w:rFonts w:ascii="Arial"/>
          <w:color w:val="auto"/>
          <w:sz w:val="21"/>
          <w:highlight w:val="none"/>
        </w:rPr>
      </w:pPr>
    </w:p>
    <w:p w14:paraId="52DBDD44">
      <w:pPr>
        <w:spacing w:line="246" w:lineRule="auto"/>
        <w:rPr>
          <w:rFonts w:ascii="Arial"/>
          <w:color w:val="auto"/>
          <w:sz w:val="21"/>
          <w:highlight w:val="none"/>
        </w:rPr>
      </w:pPr>
    </w:p>
    <w:p w14:paraId="552EBA3A">
      <w:pPr>
        <w:spacing w:line="246" w:lineRule="auto"/>
        <w:rPr>
          <w:rFonts w:ascii="Arial"/>
          <w:color w:val="auto"/>
          <w:sz w:val="21"/>
          <w:highlight w:val="none"/>
        </w:rPr>
      </w:pPr>
    </w:p>
    <w:p w14:paraId="6503A32D">
      <w:pPr>
        <w:spacing w:line="246" w:lineRule="auto"/>
        <w:rPr>
          <w:rFonts w:ascii="Arial"/>
          <w:color w:val="auto"/>
          <w:sz w:val="21"/>
          <w:highlight w:val="none"/>
        </w:rPr>
      </w:pPr>
    </w:p>
    <w:p w14:paraId="01E70CA1">
      <w:pPr>
        <w:spacing w:line="246" w:lineRule="auto"/>
        <w:rPr>
          <w:rFonts w:ascii="Arial"/>
          <w:color w:val="auto"/>
          <w:sz w:val="21"/>
          <w:highlight w:val="none"/>
        </w:rPr>
      </w:pPr>
    </w:p>
    <w:p w14:paraId="0C1F7E6A">
      <w:pPr>
        <w:spacing w:line="246" w:lineRule="auto"/>
        <w:rPr>
          <w:rFonts w:ascii="Arial"/>
          <w:color w:val="auto"/>
          <w:sz w:val="21"/>
          <w:highlight w:val="none"/>
        </w:rPr>
      </w:pPr>
    </w:p>
    <w:p w14:paraId="22653FFF">
      <w:pPr>
        <w:spacing w:line="246" w:lineRule="auto"/>
        <w:rPr>
          <w:rFonts w:ascii="Arial"/>
          <w:color w:val="auto"/>
          <w:sz w:val="21"/>
          <w:highlight w:val="none"/>
        </w:rPr>
      </w:pPr>
    </w:p>
    <w:p w14:paraId="5F0E81C9">
      <w:pPr>
        <w:pStyle w:val="54"/>
        <w:rPr>
          <w:color w:val="auto"/>
          <w:highlight w:val="none"/>
        </w:rPr>
      </w:pPr>
    </w:p>
    <w:p w14:paraId="543FA34B">
      <w:pPr>
        <w:spacing w:line="246" w:lineRule="auto"/>
        <w:rPr>
          <w:rFonts w:ascii="Arial"/>
          <w:color w:val="auto"/>
          <w:sz w:val="21"/>
          <w:highlight w:val="none"/>
        </w:rPr>
      </w:pPr>
    </w:p>
    <w:p w14:paraId="1AE036B3">
      <w:pPr>
        <w:spacing w:line="247" w:lineRule="auto"/>
        <w:rPr>
          <w:rFonts w:ascii="Arial"/>
          <w:color w:val="auto"/>
          <w:sz w:val="21"/>
          <w:highlight w:val="none"/>
        </w:rPr>
      </w:pPr>
    </w:p>
    <w:p w14:paraId="4B33A47B">
      <w:pPr>
        <w:pStyle w:val="20"/>
        <w:keepNext w:val="0"/>
        <w:keepLines w:val="0"/>
        <w:pageBreakBefore w:val="0"/>
        <w:widowControl w:val="0"/>
        <w:kinsoku/>
        <w:wordWrap/>
        <w:overflowPunct/>
        <w:topLinePunct w:val="0"/>
        <w:autoSpaceDE/>
        <w:autoSpaceDN/>
        <w:bidi w:val="0"/>
        <w:adjustRightInd/>
        <w:snapToGrid/>
        <w:spacing w:before="122" w:line="500" w:lineRule="exact"/>
        <w:ind w:left="0" w:leftChars="0" w:right="0"/>
        <w:textAlignment w:val="auto"/>
        <w:rPr>
          <w:rFonts w:hint="eastAsia" w:ascii="方正小标宋简体" w:hAnsi="方正小标宋简体" w:eastAsia="方正小标宋简体" w:cs="方正小标宋简体"/>
          <w:color w:val="auto"/>
          <w:spacing w:val="2"/>
          <w:sz w:val="28"/>
          <w:szCs w:val="28"/>
          <w:highlight w:val="none"/>
          <w:u w:val="single" w:color="auto"/>
        </w:rPr>
      </w:pPr>
      <w:r>
        <w:rPr>
          <w:rFonts w:hint="eastAsia" w:ascii="方正小标宋简体" w:hAnsi="方正小标宋简体" w:eastAsia="方正小标宋简体" w:cs="方正小标宋简体"/>
          <w:color w:val="auto"/>
          <w:spacing w:val="3"/>
          <w:sz w:val="28"/>
          <w:szCs w:val="28"/>
          <w:highlight w:val="none"/>
        </w:rPr>
        <w:t>项目名称：</w:t>
      </w:r>
      <w:r>
        <w:rPr>
          <w:rFonts w:hint="eastAsia" w:ascii="方正小标宋简体" w:hAnsi="方正小标宋简体" w:eastAsia="方正小标宋简体" w:cs="方正小标宋简体"/>
          <w:color w:val="auto"/>
          <w:spacing w:val="3"/>
          <w:sz w:val="28"/>
          <w:szCs w:val="28"/>
          <w:highlight w:val="none"/>
          <w:u w:val="single" w:color="auto"/>
        </w:rPr>
        <w:t xml:space="preserve"> 滁州学院202</w:t>
      </w:r>
      <w:r>
        <w:rPr>
          <w:rFonts w:hint="eastAsia" w:ascii="方正小标宋简体" w:hAnsi="方正小标宋简体" w:eastAsia="方正小标宋简体" w:cs="方正小标宋简体"/>
          <w:color w:val="auto"/>
          <w:spacing w:val="3"/>
          <w:sz w:val="28"/>
          <w:szCs w:val="28"/>
          <w:highlight w:val="none"/>
          <w:u w:val="single" w:color="auto"/>
          <w:lang w:val="en-US" w:eastAsia="zh-CN"/>
        </w:rPr>
        <w:t>5</w:t>
      </w:r>
      <w:r>
        <w:rPr>
          <w:rFonts w:hint="eastAsia" w:ascii="方正小标宋简体" w:hAnsi="方正小标宋简体" w:eastAsia="方正小标宋简体" w:cs="方正小标宋简体"/>
          <w:color w:val="auto"/>
          <w:spacing w:val="3"/>
          <w:sz w:val="28"/>
          <w:szCs w:val="28"/>
          <w:highlight w:val="none"/>
          <w:u w:val="single" w:color="auto"/>
        </w:rPr>
        <w:t>年</w:t>
      </w:r>
      <w:r>
        <w:rPr>
          <w:rFonts w:hint="eastAsia" w:ascii="方正小标宋简体" w:hAnsi="方正小标宋简体" w:eastAsia="方正小标宋简体" w:cs="方正小标宋简体"/>
          <w:color w:val="auto"/>
          <w:spacing w:val="3"/>
          <w:sz w:val="28"/>
          <w:szCs w:val="28"/>
          <w:highlight w:val="none"/>
          <w:u w:val="single" w:color="auto"/>
          <w:lang w:val="en-US" w:eastAsia="zh-CN"/>
        </w:rPr>
        <w:t>校园</w:t>
      </w:r>
      <w:r>
        <w:rPr>
          <w:rFonts w:hint="eastAsia" w:ascii="方正小标宋简体" w:hAnsi="方正小标宋简体" w:eastAsia="方正小标宋简体" w:cs="方正小标宋简体"/>
          <w:color w:val="auto"/>
          <w:spacing w:val="3"/>
          <w:sz w:val="28"/>
          <w:szCs w:val="28"/>
          <w:highlight w:val="none"/>
          <w:u w:val="single" w:color="auto"/>
        </w:rPr>
        <w:t xml:space="preserve">部分楼宇屋面防水工程 </w:t>
      </w:r>
    </w:p>
    <w:p w14:paraId="07056D11">
      <w:pPr>
        <w:pStyle w:val="20"/>
        <w:keepNext w:val="0"/>
        <w:keepLines w:val="0"/>
        <w:pageBreakBefore w:val="0"/>
        <w:widowControl w:val="0"/>
        <w:tabs>
          <w:tab w:val="left" w:pos="6914"/>
          <w:tab w:val="left" w:pos="6937"/>
          <w:tab w:val="left" w:pos="7047"/>
        </w:tabs>
        <w:kinsoku/>
        <w:wordWrap/>
        <w:overflowPunct/>
        <w:topLinePunct w:val="0"/>
        <w:autoSpaceDE/>
        <w:autoSpaceDN/>
        <w:bidi w:val="0"/>
        <w:adjustRightInd/>
        <w:snapToGrid/>
        <w:spacing w:before="122" w:line="500" w:lineRule="exact"/>
        <w:ind w:left="280" w:leftChars="0" w:right="0" w:hanging="280" w:hangingChars="100"/>
        <w:jc w:val="both"/>
        <w:textAlignment w:val="auto"/>
        <w:rPr>
          <w:rFonts w:hint="eastAsia" w:ascii="方正小标宋简体" w:hAnsi="方正小标宋简体" w:eastAsia="方正小标宋简体" w:cs="方正小标宋简体"/>
          <w:color w:val="auto"/>
          <w:sz w:val="28"/>
          <w:szCs w:val="28"/>
          <w:highlight w:val="none"/>
          <w:u w:val="single" w:color="auto"/>
          <w:lang w:val="en-US" w:eastAsia="zh-CN"/>
        </w:rPr>
      </w:pPr>
      <w:r>
        <w:rPr>
          <w:rFonts w:hint="eastAsia" w:ascii="方正小标宋简体" w:hAnsi="方正小标宋简体" w:eastAsia="方正小标宋简体" w:cs="方正小标宋简体"/>
          <w:color w:val="auto"/>
          <w:sz w:val="28"/>
          <w:szCs w:val="28"/>
          <w:highlight w:val="none"/>
        </w:rPr>
        <w:t>项目编号：</w:t>
      </w:r>
      <w:r>
        <w:rPr>
          <w:rFonts w:hint="eastAsia" w:ascii="方正小标宋简体" w:hAnsi="方正小标宋简体" w:eastAsia="方正小标宋简体" w:cs="方正小标宋简体"/>
          <w:color w:val="auto"/>
          <w:sz w:val="28"/>
          <w:szCs w:val="28"/>
          <w:highlight w:val="none"/>
          <w:u w:val="single" w:color="auto"/>
        </w:rPr>
        <w:t xml:space="preserve">          </w:t>
      </w:r>
      <w:r>
        <w:rPr>
          <w:rFonts w:hint="eastAsia" w:ascii="方正小标宋简体" w:hAnsi="方正小标宋简体" w:eastAsia="方正小标宋简体" w:cs="方正小标宋简体"/>
          <w:color w:val="auto"/>
          <w:sz w:val="28"/>
          <w:szCs w:val="28"/>
          <w:highlight w:val="none"/>
          <w:u w:val="single" w:color="auto"/>
          <w:lang w:val="en-US" w:eastAsia="zh-CN"/>
        </w:rPr>
        <w:t xml:space="preserve">                                </w:t>
      </w:r>
    </w:p>
    <w:p w14:paraId="08EF3EEB">
      <w:pPr>
        <w:pStyle w:val="20"/>
        <w:keepNext w:val="0"/>
        <w:keepLines w:val="0"/>
        <w:pageBreakBefore w:val="0"/>
        <w:widowControl w:val="0"/>
        <w:tabs>
          <w:tab w:val="left" w:pos="6914"/>
          <w:tab w:val="left" w:pos="6937"/>
          <w:tab w:val="left" w:pos="7047"/>
        </w:tabs>
        <w:kinsoku/>
        <w:wordWrap/>
        <w:overflowPunct/>
        <w:topLinePunct w:val="0"/>
        <w:autoSpaceDE/>
        <w:autoSpaceDN/>
        <w:bidi w:val="0"/>
        <w:adjustRightInd/>
        <w:snapToGrid/>
        <w:spacing w:before="122" w:line="500" w:lineRule="exact"/>
        <w:ind w:left="270" w:leftChars="0" w:right="0" w:hanging="270" w:hangingChars="100"/>
        <w:jc w:val="both"/>
        <w:textAlignment w:val="auto"/>
        <w:rPr>
          <w:rFonts w:hint="eastAsia"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pacing w:val="-5"/>
          <w:sz w:val="28"/>
          <w:szCs w:val="28"/>
          <w:highlight w:val="none"/>
        </w:rPr>
        <w:t>甲方（发包人</w:t>
      </w:r>
      <w:r>
        <w:rPr>
          <w:rFonts w:hint="eastAsia" w:ascii="方正小标宋简体" w:hAnsi="方正小标宋简体" w:eastAsia="方正小标宋简体" w:cs="方正小标宋简体"/>
          <w:color w:val="auto"/>
          <w:spacing w:val="5"/>
          <w:sz w:val="28"/>
          <w:szCs w:val="28"/>
          <w:highlight w:val="none"/>
        </w:rPr>
        <w:t>）：</w:t>
      </w:r>
      <w:r>
        <w:rPr>
          <w:rFonts w:hint="eastAsia" w:ascii="方正小标宋简体" w:hAnsi="方正小标宋简体" w:eastAsia="方正小标宋简体" w:cs="方正小标宋简体"/>
          <w:color w:val="auto"/>
          <w:sz w:val="28"/>
          <w:szCs w:val="28"/>
          <w:highlight w:val="none"/>
          <w:u w:val="single" w:color="auto"/>
        </w:rPr>
        <w:t xml:space="preserve">   </w:t>
      </w:r>
      <w:r>
        <w:rPr>
          <w:rFonts w:hint="eastAsia" w:ascii="方正小标宋简体" w:hAnsi="方正小标宋简体" w:eastAsia="方正小标宋简体" w:cs="方正小标宋简体"/>
          <w:color w:val="auto"/>
          <w:spacing w:val="-5"/>
          <w:sz w:val="28"/>
          <w:szCs w:val="28"/>
          <w:highlight w:val="none"/>
          <w:u w:val="single" w:color="auto"/>
        </w:rPr>
        <w:t>滁州学院</w:t>
      </w:r>
      <w:r>
        <w:rPr>
          <w:rFonts w:hint="eastAsia" w:ascii="方正小标宋简体" w:hAnsi="方正小标宋简体" w:eastAsia="方正小标宋简体" w:cs="方正小标宋简体"/>
          <w:color w:val="auto"/>
          <w:spacing w:val="-5"/>
          <w:sz w:val="28"/>
          <w:szCs w:val="28"/>
          <w:highlight w:val="none"/>
          <w:u w:val="single" w:color="auto"/>
          <w:lang w:val="en-US" w:eastAsia="zh-CN"/>
        </w:rPr>
        <w:t xml:space="preserve">                        </w:t>
      </w:r>
      <w:r>
        <w:rPr>
          <w:rFonts w:hint="eastAsia" w:ascii="方正小标宋简体" w:hAnsi="方正小标宋简体" w:eastAsia="方正小标宋简体" w:cs="方正小标宋简体"/>
          <w:color w:val="auto"/>
          <w:sz w:val="28"/>
          <w:szCs w:val="28"/>
          <w:highlight w:val="none"/>
        </w:rPr>
        <w:t xml:space="preserve">  </w:t>
      </w:r>
    </w:p>
    <w:p w14:paraId="57E6CC5D">
      <w:pPr>
        <w:pStyle w:val="20"/>
        <w:keepNext w:val="0"/>
        <w:keepLines w:val="0"/>
        <w:pageBreakBefore w:val="0"/>
        <w:widowControl w:val="0"/>
        <w:tabs>
          <w:tab w:val="left" w:pos="6914"/>
          <w:tab w:val="left" w:pos="6937"/>
          <w:tab w:val="left" w:pos="7047"/>
        </w:tabs>
        <w:kinsoku/>
        <w:wordWrap/>
        <w:overflowPunct/>
        <w:topLinePunct w:val="0"/>
        <w:autoSpaceDE/>
        <w:autoSpaceDN/>
        <w:bidi w:val="0"/>
        <w:adjustRightInd/>
        <w:snapToGrid/>
        <w:spacing w:before="122" w:line="500" w:lineRule="exact"/>
        <w:ind w:left="272" w:leftChars="0" w:right="0" w:hanging="272" w:hangingChars="100"/>
        <w:jc w:val="both"/>
        <w:textAlignment w:val="auto"/>
        <w:rPr>
          <w:rFonts w:hint="default" w:ascii="方正小标宋简体" w:hAnsi="方正小标宋简体" w:eastAsia="方正小标宋简体" w:cs="方正小标宋简体"/>
          <w:color w:val="auto"/>
          <w:spacing w:val="4"/>
          <w:sz w:val="28"/>
          <w:szCs w:val="28"/>
          <w:highlight w:val="none"/>
          <w:u w:val="single" w:color="auto"/>
          <w:lang w:val="en-US" w:eastAsia="zh-CN"/>
        </w:rPr>
      </w:pPr>
      <w:r>
        <w:rPr>
          <w:rFonts w:hint="eastAsia" w:ascii="方正小标宋简体" w:hAnsi="方正小标宋简体" w:eastAsia="方正小标宋简体" w:cs="方正小标宋简体"/>
          <w:color w:val="auto"/>
          <w:spacing w:val="-4"/>
          <w:sz w:val="28"/>
          <w:szCs w:val="28"/>
          <w:highlight w:val="none"/>
        </w:rPr>
        <w:t>乙方（承包人</w:t>
      </w:r>
      <w:r>
        <w:rPr>
          <w:rFonts w:hint="eastAsia" w:ascii="方正小标宋简体" w:hAnsi="方正小标宋简体" w:eastAsia="方正小标宋简体" w:cs="方正小标宋简体"/>
          <w:color w:val="auto"/>
          <w:spacing w:val="14"/>
          <w:sz w:val="28"/>
          <w:szCs w:val="28"/>
          <w:highlight w:val="none"/>
        </w:rPr>
        <w:t>）：</w:t>
      </w:r>
      <w:r>
        <w:rPr>
          <w:rFonts w:hint="eastAsia" w:ascii="方正小标宋简体" w:hAnsi="方正小标宋简体" w:eastAsia="方正小标宋简体" w:cs="方正小标宋简体"/>
          <w:color w:val="auto"/>
          <w:spacing w:val="4"/>
          <w:sz w:val="28"/>
          <w:szCs w:val="28"/>
          <w:highlight w:val="none"/>
          <w:u w:val="single" w:color="auto"/>
        </w:rPr>
        <w:t xml:space="preserve">  </w:t>
      </w:r>
      <w:r>
        <w:rPr>
          <w:rFonts w:hint="eastAsia" w:ascii="方正小标宋简体" w:hAnsi="方正小标宋简体" w:eastAsia="方正小标宋简体" w:cs="方正小标宋简体"/>
          <w:color w:val="auto"/>
          <w:spacing w:val="4"/>
          <w:sz w:val="28"/>
          <w:szCs w:val="28"/>
          <w:highlight w:val="none"/>
          <w:u w:val="single" w:color="auto"/>
          <w:lang w:val="en-US" w:eastAsia="zh-CN"/>
        </w:rPr>
        <w:t xml:space="preserve">                             </w:t>
      </w:r>
    </w:p>
    <w:p w14:paraId="6EF3BA1F">
      <w:pPr>
        <w:pStyle w:val="20"/>
        <w:keepNext w:val="0"/>
        <w:keepLines w:val="0"/>
        <w:pageBreakBefore w:val="0"/>
        <w:widowControl w:val="0"/>
        <w:tabs>
          <w:tab w:val="left" w:pos="6914"/>
          <w:tab w:val="left" w:pos="6937"/>
          <w:tab w:val="left" w:pos="7047"/>
        </w:tabs>
        <w:kinsoku/>
        <w:wordWrap/>
        <w:overflowPunct/>
        <w:topLinePunct w:val="0"/>
        <w:autoSpaceDE/>
        <w:autoSpaceDN/>
        <w:bidi w:val="0"/>
        <w:adjustRightInd/>
        <w:snapToGrid/>
        <w:spacing w:before="122" w:line="500" w:lineRule="exact"/>
        <w:ind w:left="0" w:leftChars="0" w:right="0" w:hanging="2"/>
        <w:jc w:val="both"/>
        <w:textAlignment w:val="auto"/>
        <w:rPr>
          <w:rFonts w:hint="eastAsia"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pacing w:val="-1"/>
          <w:sz w:val="28"/>
          <w:szCs w:val="28"/>
          <w:highlight w:val="none"/>
        </w:rPr>
        <w:t>签订地点：</w:t>
      </w:r>
      <w:r>
        <w:rPr>
          <w:rFonts w:hint="eastAsia" w:ascii="方正小标宋简体" w:hAnsi="方正小标宋简体" w:eastAsia="方正小标宋简体" w:cs="方正小标宋简体"/>
          <w:color w:val="auto"/>
          <w:spacing w:val="-1"/>
          <w:sz w:val="28"/>
          <w:szCs w:val="28"/>
          <w:highlight w:val="none"/>
          <w:u w:val="single" w:color="auto"/>
        </w:rPr>
        <w:t xml:space="preserve">          滁州学院会峰校区</w:t>
      </w:r>
      <w:r>
        <w:rPr>
          <w:rFonts w:hint="eastAsia" w:ascii="方正小标宋简体" w:hAnsi="方正小标宋简体" w:eastAsia="方正小标宋简体" w:cs="方正小标宋简体"/>
          <w:color w:val="auto"/>
          <w:sz w:val="28"/>
          <w:szCs w:val="28"/>
          <w:highlight w:val="none"/>
          <w:u w:val="single" w:color="auto"/>
        </w:rPr>
        <w:tab/>
      </w:r>
      <w:r>
        <w:rPr>
          <w:rFonts w:hint="eastAsia" w:ascii="方正小标宋简体" w:hAnsi="方正小标宋简体" w:eastAsia="方正小标宋简体" w:cs="方正小标宋简体"/>
          <w:color w:val="auto"/>
          <w:sz w:val="28"/>
          <w:szCs w:val="28"/>
          <w:highlight w:val="none"/>
          <w:u w:val="single" w:color="auto"/>
        </w:rPr>
        <w:tab/>
      </w:r>
      <w:r>
        <w:rPr>
          <w:rFonts w:hint="eastAsia" w:ascii="方正小标宋简体" w:hAnsi="方正小标宋简体" w:eastAsia="方正小标宋简体" w:cs="方正小标宋简体"/>
          <w:color w:val="auto"/>
          <w:sz w:val="28"/>
          <w:szCs w:val="28"/>
          <w:highlight w:val="none"/>
          <w:u w:val="single" w:color="auto"/>
        </w:rPr>
        <w:tab/>
      </w:r>
      <w:r>
        <w:rPr>
          <w:rFonts w:hint="eastAsia" w:ascii="方正小标宋简体" w:hAnsi="方正小标宋简体" w:eastAsia="方正小标宋简体" w:cs="方正小标宋简体"/>
          <w:color w:val="auto"/>
          <w:sz w:val="28"/>
          <w:szCs w:val="28"/>
          <w:highlight w:val="none"/>
        </w:rPr>
        <w:t xml:space="preserve"> </w:t>
      </w:r>
    </w:p>
    <w:p w14:paraId="7DEC91F6">
      <w:pPr>
        <w:pStyle w:val="20"/>
        <w:keepNext w:val="0"/>
        <w:keepLines w:val="0"/>
        <w:pageBreakBefore w:val="0"/>
        <w:widowControl w:val="0"/>
        <w:tabs>
          <w:tab w:val="left" w:pos="6914"/>
          <w:tab w:val="left" w:pos="6937"/>
          <w:tab w:val="left" w:pos="7047"/>
        </w:tabs>
        <w:kinsoku/>
        <w:wordWrap/>
        <w:overflowPunct/>
        <w:topLinePunct w:val="0"/>
        <w:autoSpaceDE/>
        <w:autoSpaceDN/>
        <w:bidi w:val="0"/>
        <w:adjustRightInd/>
        <w:snapToGrid/>
        <w:spacing w:before="122" w:line="500" w:lineRule="exact"/>
        <w:ind w:left="0" w:leftChars="0" w:right="0" w:hanging="2"/>
        <w:jc w:val="both"/>
        <w:textAlignment w:val="auto"/>
        <w:rPr>
          <w:rFonts w:hint="eastAsia"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pacing w:val="-2"/>
          <w:sz w:val="28"/>
          <w:szCs w:val="28"/>
          <w:highlight w:val="none"/>
        </w:rPr>
        <w:t>签订日期：</w:t>
      </w:r>
      <w:r>
        <w:rPr>
          <w:rFonts w:hint="eastAsia" w:ascii="方正小标宋简体" w:hAnsi="方正小标宋简体" w:eastAsia="方正小标宋简体" w:cs="方正小标宋简体"/>
          <w:color w:val="auto"/>
          <w:spacing w:val="-2"/>
          <w:sz w:val="28"/>
          <w:szCs w:val="28"/>
          <w:highlight w:val="none"/>
          <w:u w:val="single" w:color="auto"/>
        </w:rPr>
        <w:t xml:space="preserve"> </w:t>
      </w:r>
      <w:r>
        <w:rPr>
          <w:rFonts w:hint="eastAsia" w:ascii="方正小标宋简体" w:hAnsi="方正小标宋简体" w:eastAsia="方正小标宋简体" w:cs="方正小标宋简体"/>
          <w:color w:val="auto"/>
          <w:spacing w:val="-2"/>
          <w:sz w:val="28"/>
          <w:szCs w:val="28"/>
          <w:highlight w:val="none"/>
          <w:u w:val="single" w:color="auto"/>
          <w:lang w:val="en-US" w:eastAsia="zh-CN"/>
        </w:rPr>
        <w:t xml:space="preserve">      </w:t>
      </w:r>
      <w:r>
        <w:rPr>
          <w:rFonts w:hint="eastAsia" w:ascii="方正小标宋简体" w:hAnsi="方正小标宋简体" w:eastAsia="方正小标宋简体" w:cs="方正小标宋简体"/>
          <w:color w:val="auto"/>
          <w:spacing w:val="-29"/>
          <w:sz w:val="28"/>
          <w:szCs w:val="28"/>
          <w:highlight w:val="none"/>
        </w:rPr>
        <w:t xml:space="preserve"> </w:t>
      </w:r>
      <w:r>
        <w:rPr>
          <w:rFonts w:hint="eastAsia" w:ascii="方正小标宋简体" w:hAnsi="方正小标宋简体" w:eastAsia="方正小标宋简体" w:cs="方正小标宋简体"/>
          <w:color w:val="auto"/>
          <w:spacing w:val="-2"/>
          <w:sz w:val="28"/>
          <w:szCs w:val="28"/>
          <w:highlight w:val="none"/>
        </w:rPr>
        <w:t>年</w:t>
      </w:r>
      <w:r>
        <w:rPr>
          <w:rFonts w:hint="eastAsia" w:ascii="方正小标宋简体" w:hAnsi="方正小标宋简体" w:eastAsia="方正小标宋简体" w:cs="方正小标宋简体"/>
          <w:color w:val="auto"/>
          <w:spacing w:val="-2"/>
          <w:sz w:val="28"/>
          <w:szCs w:val="28"/>
          <w:highlight w:val="none"/>
          <w:u w:val="single" w:color="auto"/>
        </w:rPr>
        <w:t xml:space="preserve"> </w:t>
      </w:r>
      <w:r>
        <w:rPr>
          <w:rFonts w:hint="eastAsia" w:ascii="方正小标宋简体" w:hAnsi="方正小标宋简体" w:eastAsia="方正小标宋简体" w:cs="方正小标宋简体"/>
          <w:color w:val="auto"/>
          <w:spacing w:val="-2"/>
          <w:sz w:val="28"/>
          <w:szCs w:val="28"/>
          <w:highlight w:val="none"/>
          <w:u w:val="single" w:color="auto"/>
          <w:lang w:val="en-US" w:eastAsia="zh-CN"/>
        </w:rPr>
        <w:t xml:space="preserve">   </w:t>
      </w:r>
      <w:r>
        <w:rPr>
          <w:rFonts w:hint="eastAsia" w:ascii="方正小标宋简体" w:hAnsi="方正小标宋简体" w:eastAsia="方正小标宋简体" w:cs="方正小标宋简体"/>
          <w:color w:val="auto"/>
          <w:spacing w:val="-3"/>
          <w:sz w:val="28"/>
          <w:szCs w:val="28"/>
          <w:highlight w:val="none"/>
        </w:rPr>
        <w:t>月</w:t>
      </w:r>
      <w:r>
        <w:rPr>
          <w:rFonts w:hint="eastAsia" w:ascii="方正小标宋简体" w:hAnsi="方正小标宋简体" w:eastAsia="方正小标宋简体" w:cs="方正小标宋简体"/>
          <w:color w:val="auto"/>
          <w:spacing w:val="-3"/>
          <w:sz w:val="28"/>
          <w:szCs w:val="28"/>
          <w:highlight w:val="none"/>
          <w:u w:val="single" w:color="auto"/>
        </w:rPr>
        <w:t xml:space="preserve"> </w:t>
      </w:r>
      <w:r>
        <w:rPr>
          <w:rFonts w:hint="eastAsia" w:ascii="方正小标宋简体" w:hAnsi="方正小标宋简体" w:eastAsia="方正小标宋简体" w:cs="方正小标宋简体"/>
          <w:color w:val="auto"/>
          <w:spacing w:val="-3"/>
          <w:sz w:val="28"/>
          <w:szCs w:val="28"/>
          <w:highlight w:val="none"/>
          <w:u w:val="single" w:color="auto"/>
          <w:lang w:val="en-US" w:eastAsia="zh-CN"/>
        </w:rPr>
        <w:t xml:space="preserve">   </w:t>
      </w:r>
      <w:r>
        <w:rPr>
          <w:rFonts w:hint="eastAsia" w:ascii="方正小标宋简体" w:hAnsi="方正小标宋简体" w:eastAsia="方正小标宋简体" w:cs="方正小标宋简体"/>
          <w:color w:val="auto"/>
          <w:spacing w:val="-3"/>
          <w:sz w:val="28"/>
          <w:szCs w:val="28"/>
          <w:highlight w:val="none"/>
        </w:rPr>
        <w:t>日</w:t>
      </w:r>
    </w:p>
    <w:p w14:paraId="2A5EE2E2">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方正小标宋简体" w:hAnsi="方正小标宋简体" w:eastAsia="方正小标宋简体" w:cs="方正小标宋简体"/>
          <w:color w:val="auto"/>
          <w:sz w:val="28"/>
          <w:szCs w:val="28"/>
          <w:highlight w:val="none"/>
        </w:rPr>
        <w:sectPr>
          <w:footerReference r:id="rId5" w:type="default"/>
          <w:pgSz w:w="11906" w:h="16840"/>
          <w:pgMar w:top="1431" w:right="1785" w:bottom="0" w:left="1785" w:header="0" w:footer="0" w:gutter="0"/>
          <w:pgNumType w:fmt="numberInDash" w:start="1"/>
          <w:cols w:space="720" w:num="1"/>
        </w:sectPr>
      </w:pPr>
    </w:p>
    <w:p w14:paraId="232E4F68">
      <w:pPr>
        <w:keepNext/>
        <w:keepLines/>
        <w:pageBreakBefore w:val="0"/>
        <w:kinsoku/>
        <w:wordWrap/>
        <w:topLinePunct w:val="0"/>
        <w:bidi w:val="0"/>
        <w:snapToGrid w:val="0"/>
        <w:spacing w:beforeAutospacing="0" w:line="400" w:lineRule="exact"/>
        <w:jc w:val="center"/>
        <w:outlineLvl w:val="1"/>
        <w:rPr>
          <w:rFonts w:cs="宋体"/>
          <w:b/>
          <w:bCs/>
          <w:color w:val="auto"/>
          <w:sz w:val="21"/>
          <w:szCs w:val="21"/>
          <w:highlight w:val="none"/>
        </w:rPr>
      </w:pPr>
      <w:r>
        <w:rPr>
          <w:rFonts w:hint="eastAsia" w:cs="宋体"/>
          <w:b/>
          <w:bCs/>
          <w:color w:val="auto"/>
          <w:sz w:val="21"/>
          <w:szCs w:val="21"/>
          <w:highlight w:val="none"/>
        </w:rPr>
        <w:t>第一节  合同协议书</w:t>
      </w:r>
      <w:bookmarkEnd w:id="38"/>
      <w:bookmarkEnd w:id="39"/>
      <w:bookmarkEnd w:id="40"/>
    </w:p>
    <w:p w14:paraId="61B53D8B">
      <w:pPr>
        <w:keepNext w:val="0"/>
        <w:keepLines w:val="0"/>
        <w:pageBreakBefore w:val="0"/>
        <w:widowControl w:val="0"/>
        <w:kinsoku/>
        <w:wordWrap/>
        <w:overflowPunct/>
        <w:topLinePunct w:val="0"/>
        <w:bidi w:val="0"/>
        <w:spacing w:beforeAutospacing="0" w:line="500" w:lineRule="exact"/>
        <w:textAlignment w:val="auto"/>
        <w:rPr>
          <w:rFonts w:cs="宋体"/>
          <w:b/>
          <w:color w:val="auto"/>
          <w:sz w:val="24"/>
          <w:szCs w:val="24"/>
          <w:highlight w:val="none"/>
          <w:u w:val="single"/>
        </w:rPr>
      </w:pPr>
      <w:r>
        <w:rPr>
          <w:rFonts w:hint="eastAsia" w:cs="宋体"/>
          <w:b/>
          <w:color w:val="auto"/>
          <w:sz w:val="24"/>
          <w:szCs w:val="24"/>
          <w:highlight w:val="none"/>
        </w:rPr>
        <w:t>发包人（全称）：</w:t>
      </w:r>
      <w:r>
        <w:rPr>
          <w:rFonts w:hint="eastAsia" w:cs="宋体"/>
          <w:b/>
          <w:color w:val="auto"/>
          <w:sz w:val="24"/>
          <w:szCs w:val="24"/>
          <w:highlight w:val="none"/>
          <w:u w:val="single"/>
          <w:lang w:val="en-US" w:eastAsia="zh-CN"/>
        </w:rPr>
        <w:t>滁州学院</w:t>
      </w:r>
      <w:r>
        <w:rPr>
          <w:rFonts w:hint="eastAsia" w:cs="宋体"/>
          <w:b/>
          <w:color w:val="auto"/>
          <w:sz w:val="24"/>
          <w:szCs w:val="24"/>
          <w:highlight w:val="none"/>
          <w:u w:val="single"/>
        </w:rPr>
        <w:t xml:space="preserve">  </w:t>
      </w:r>
      <w:r>
        <w:rPr>
          <w:rFonts w:hint="eastAsia" w:cs="宋体"/>
          <w:b/>
          <w:color w:val="auto"/>
          <w:sz w:val="24"/>
          <w:szCs w:val="24"/>
          <w:highlight w:val="none"/>
          <w:u w:val="single"/>
          <w:lang w:val="en-US" w:eastAsia="zh-CN"/>
        </w:rPr>
        <w:t xml:space="preserve">      </w:t>
      </w:r>
      <w:r>
        <w:rPr>
          <w:rFonts w:hint="eastAsia" w:cs="宋体"/>
          <w:b/>
          <w:color w:val="auto"/>
          <w:sz w:val="24"/>
          <w:szCs w:val="24"/>
          <w:highlight w:val="none"/>
          <w:u w:val="single"/>
        </w:rPr>
        <w:t xml:space="preserve"> </w:t>
      </w:r>
    </w:p>
    <w:p w14:paraId="748E964F">
      <w:pPr>
        <w:keepNext w:val="0"/>
        <w:keepLines w:val="0"/>
        <w:pageBreakBefore w:val="0"/>
        <w:widowControl w:val="0"/>
        <w:kinsoku/>
        <w:wordWrap/>
        <w:overflowPunct/>
        <w:topLinePunct w:val="0"/>
        <w:bidi w:val="0"/>
        <w:spacing w:beforeAutospacing="0" w:line="500" w:lineRule="exact"/>
        <w:textAlignment w:val="auto"/>
        <w:rPr>
          <w:rFonts w:hint="default" w:eastAsia="宋体" w:cs="宋体"/>
          <w:b/>
          <w:color w:val="auto"/>
          <w:sz w:val="24"/>
          <w:szCs w:val="24"/>
          <w:highlight w:val="none"/>
          <w:u w:val="single"/>
          <w:lang w:val="en-US" w:eastAsia="zh-CN"/>
        </w:rPr>
      </w:pPr>
      <w:r>
        <w:rPr>
          <w:rFonts w:hint="eastAsia" w:cs="宋体"/>
          <w:b/>
          <w:color w:val="auto"/>
          <w:sz w:val="24"/>
          <w:szCs w:val="24"/>
          <w:highlight w:val="none"/>
        </w:rPr>
        <w:t>承包人（全称）：</w:t>
      </w:r>
      <w:r>
        <w:rPr>
          <w:rFonts w:hint="eastAsia" w:cs="宋体"/>
          <w:b/>
          <w:color w:val="auto"/>
          <w:sz w:val="24"/>
          <w:szCs w:val="24"/>
          <w:highlight w:val="none"/>
          <w:u w:val="single"/>
        </w:rPr>
        <w:t xml:space="preserve"> </w:t>
      </w:r>
      <w:r>
        <w:rPr>
          <w:rFonts w:hint="eastAsia" w:cs="宋体"/>
          <w:b/>
          <w:color w:val="auto"/>
          <w:sz w:val="24"/>
          <w:szCs w:val="24"/>
          <w:highlight w:val="none"/>
          <w:u w:val="single"/>
          <w:lang w:val="en-US" w:eastAsia="zh-CN"/>
        </w:rPr>
        <w:t xml:space="preserve">                     </w:t>
      </w:r>
    </w:p>
    <w:p w14:paraId="004291EE">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根据《中华人民共和国民法典》《中华人民共和国建筑法》及有关法律规定，遵循平等、自愿、公平和诚实信用的原则，双方就</w:t>
      </w:r>
      <w:r>
        <w:rPr>
          <w:rFonts w:hint="eastAsia" w:cs="宋体"/>
          <w:color w:val="auto"/>
          <w:sz w:val="21"/>
          <w:szCs w:val="21"/>
          <w:highlight w:val="none"/>
          <w:u w:val="single"/>
        </w:rPr>
        <w:t xml:space="preserve"> 滁州学院202</w:t>
      </w:r>
      <w:r>
        <w:rPr>
          <w:rFonts w:hint="eastAsia" w:cs="宋体"/>
          <w:color w:val="auto"/>
          <w:sz w:val="21"/>
          <w:szCs w:val="21"/>
          <w:highlight w:val="none"/>
          <w:u w:val="single"/>
          <w:lang w:val="en-US" w:eastAsia="zh-CN"/>
        </w:rPr>
        <w:t>5</w:t>
      </w:r>
      <w:r>
        <w:rPr>
          <w:rFonts w:hint="eastAsia" w:cs="宋体"/>
          <w:color w:val="auto"/>
          <w:sz w:val="21"/>
          <w:szCs w:val="21"/>
          <w:highlight w:val="none"/>
          <w:u w:val="single"/>
        </w:rPr>
        <w:t>年</w:t>
      </w:r>
      <w:r>
        <w:rPr>
          <w:rFonts w:hint="eastAsia" w:cs="宋体"/>
          <w:color w:val="auto"/>
          <w:sz w:val="21"/>
          <w:szCs w:val="21"/>
          <w:highlight w:val="none"/>
          <w:u w:val="single"/>
          <w:lang w:val="en-US" w:eastAsia="zh-CN"/>
        </w:rPr>
        <w:t>校园</w:t>
      </w:r>
      <w:r>
        <w:rPr>
          <w:rFonts w:hint="eastAsia" w:cs="宋体"/>
          <w:color w:val="auto"/>
          <w:sz w:val="21"/>
          <w:szCs w:val="21"/>
          <w:highlight w:val="none"/>
          <w:u w:val="single"/>
        </w:rPr>
        <w:t>部分楼宇屋面防水工程</w:t>
      </w:r>
      <w:r>
        <w:rPr>
          <w:rFonts w:hint="eastAsia" w:cs="宋体"/>
          <w:color w:val="auto"/>
          <w:sz w:val="21"/>
          <w:szCs w:val="21"/>
          <w:highlight w:val="none"/>
          <w:u w:val="single"/>
          <w:lang w:eastAsia="zh-CN"/>
        </w:rPr>
        <w:t xml:space="preserve"> </w:t>
      </w:r>
      <w:r>
        <w:rPr>
          <w:rFonts w:hint="eastAsia" w:cs="宋体"/>
          <w:color w:val="auto"/>
          <w:sz w:val="21"/>
          <w:szCs w:val="21"/>
          <w:highlight w:val="none"/>
        </w:rPr>
        <w:t>工程施工及有关事项协商一致，共同达成如下协议：</w:t>
      </w:r>
    </w:p>
    <w:p w14:paraId="2A2A6A3A">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cs="宋体"/>
          <w:color w:val="auto"/>
          <w:sz w:val="21"/>
          <w:szCs w:val="21"/>
          <w:highlight w:val="none"/>
        </w:rPr>
      </w:pPr>
      <w:r>
        <w:rPr>
          <w:rFonts w:hint="eastAsia" w:cs="宋体"/>
          <w:b/>
          <w:color w:val="auto"/>
          <w:sz w:val="21"/>
          <w:szCs w:val="21"/>
          <w:highlight w:val="none"/>
        </w:rPr>
        <w:t>一、工程概况</w:t>
      </w:r>
    </w:p>
    <w:p w14:paraId="53B015DD">
      <w:pPr>
        <w:keepNext w:val="0"/>
        <w:keepLines w:val="0"/>
        <w:pageBreakBefore w:val="0"/>
        <w:widowControl w:val="0"/>
        <w:kinsoku/>
        <w:wordWrap/>
        <w:overflowPunct/>
        <w:topLinePunct w:val="0"/>
        <w:bidi w:val="0"/>
        <w:snapToGrid w:val="0"/>
        <w:spacing w:beforeAutospacing="0" w:line="500" w:lineRule="exact"/>
        <w:ind w:firstLine="411" w:firstLineChars="196"/>
        <w:textAlignment w:val="auto"/>
        <w:rPr>
          <w:rFonts w:cs="宋体"/>
          <w:color w:val="auto"/>
          <w:sz w:val="21"/>
          <w:szCs w:val="21"/>
          <w:highlight w:val="none"/>
          <w:u w:val="single"/>
        </w:rPr>
      </w:pPr>
      <w:r>
        <w:rPr>
          <w:rFonts w:hint="eastAsia" w:cs="宋体"/>
          <w:bCs/>
          <w:color w:val="auto"/>
          <w:sz w:val="21"/>
          <w:szCs w:val="21"/>
          <w:highlight w:val="none"/>
        </w:rPr>
        <w:t>1. 工程名称</w:t>
      </w:r>
      <w:r>
        <w:rPr>
          <w:rFonts w:hint="eastAsia" w:cs="宋体"/>
          <w:color w:val="auto"/>
          <w:sz w:val="21"/>
          <w:szCs w:val="21"/>
          <w:highlight w:val="none"/>
        </w:rPr>
        <w:t>：</w:t>
      </w:r>
      <w:r>
        <w:rPr>
          <w:rFonts w:hint="eastAsia" w:cs="宋体"/>
          <w:color w:val="auto"/>
          <w:sz w:val="21"/>
          <w:szCs w:val="21"/>
          <w:highlight w:val="none"/>
          <w:u w:val="single"/>
        </w:rPr>
        <w:t xml:space="preserve"> 滁州学院202</w:t>
      </w:r>
      <w:r>
        <w:rPr>
          <w:rFonts w:hint="eastAsia" w:cs="宋体"/>
          <w:color w:val="auto"/>
          <w:sz w:val="21"/>
          <w:szCs w:val="21"/>
          <w:highlight w:val="none"/>
          <w:u w:val="single"/>
          <w:lang w:val="en-US" w:eastAsia="zh-CN"/>
        </w:rPr>
        <w:t>5</w:t>
      </w:r>
      <w:r>
        <w:rPr>
          <w:rFonts w:hint="eastAsia" w:cs="宋体"/>
          <w:color w:val="auto"/>
          <w:sz w:val="21"/>
          <w:szCs w:val="21"/>
          <w:highlight w:val="none"/>
          <w:u w:val="single"/>
        </w:rPr>
        <w:t>年</w:t>
      </w:r>
      <w:r>
        <w:rPr>
          <w:rFonts w:hint="eastAsia" w:cs="宋体"/>
          <w:color w:val="auto"/>
          <w:sz w:val="21"/>
          <w:szCs w:val="21"/>
          <w:highlight w:val="none"/>
          <w:u w:val="single"/>
          <w:lang w:val="en-US" w:eastAsia="zh-CN"/>
        </w:rPr>
        <w:t>校园</w:t>
      </w:r>
      <w:r>
        <w:rPr>
          <w:rFonts w:hint="eastAsia" w:cs="宋体"/>
          <w:color w:val="auto"/>
          <w:sz w:val="21"/>
          <w:szCs w:val="21"/>
          <w:highlight w:val="none"/>
          <w:u w:val="single"/>
        </w:rPr>
        <w:t xml:space="preserve">部分楼宇屋面防水工程 </w:t>
      </w:r>
      <w:r>
        <w:rPr>
          <w:rFonts w:hint="eastAsia" w:cs="宋体"/>
          <w:color w:val="auto"/>
          <w:sz w:val="21"/>
          <w:szCs w:val="21"/>
          <w:highlight w:val="none"/>
        </w:rPr>
        <w:t>。</w:t>
      </w:r>
    </w:p>
    <w:p w14:paraId="4BD44846">
      <w:pPr>
        <w:keepNext w:val="0"/>
        <w:keepLines w:val="0"/>
        <w:pageBreakBefore w:val="0"/>
        <w:widowControl w:val="0"/>
        <w:kinsoku/>
        <w:wordWrap/>
        <w:overflowPunct/>
        <w:topLinePunct w:val="0"/>
        <w:bidi w:val="0"/>
        <w:snapToGrid w:val="0"/>
        <w:spacing w:beforeAutospacing="0" w:line="500" w:lineRule="exact"/>
        <w:ind w:firstLine="411" w:firstLineChars="196"/>
        <w:textAlignment w:val="auto"/>
        <w:rPr>
          <w:rFonts w:cs="宋体"/>
          <w:bCs/>
          <w:color w:val="auto"/>
          <w:sz w:val="21"/>
          <w:szCs w:val="21"/>
          <w:highlight w:val="none"/>
        </w:rPr>
      </w:pPr>
      <w:r>
        <w:rPr>
          <w:rFonts w:hint="eastAsia" w:cs="宋体"/>
          <w:bCs/>
          <w:color w:val="auto"/>
          <w:sz w:val="21"/>
          <w:szCs w:val="21"/>
          <w:highlight w:val="none"/>
        </w:rPr>
        <w:t>2. 工程地点：</w:t>
      </w:r>
      <w:r>
        <w:rPr>
          <w:rFonts w:hint="eastAsia" w:ascii="宋体" w:hAnsi="宋体" w:eastAsia="宋体" w:cs="宋体"/>
          <w:bCs/>
          <w:color w:val="auto"/>
          <w:kern w:val="1"/>
          <w:sz w:val="21"/>
          <w:szCs w:val="21"/>
          <w:highlight w:val="none"/>
          <w:u w:val="single"/>
        </w:rPr>
        <w:t>滁州学院琅琊校区和会峰校区</w:t>
      </w:r>
      <w:r>
        <w:rPr>
          <w:rFonts w:hint="eastAsia" w:ascii="宋体" w:hAnsi="宋体" w:eastAsia="宋体" w:cs="宋体"/>
          <w:bCs/>
          <w:color w:val="auto"/>
          <w:kern w:val="1"/>
          <w:sz w:val="21"/>
          <w:szCs w:val="21"/>
          <w:highlight w:val="none"/>
          <w:u w:val="single"/>
          <w:lang w:eastAsia="zh-CN"/>
        </w:rPr>
        <w:t>，采购人指定地点</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0D17D26">
      <w:pPr>
        <w:keepNext w:val="0"/>
        <w:keepLines w:val="0"/>
        <w:pageBreakBefore w:val="0"/>
        <w:widowControl w:val="0"/>
        <w:kinsoku/>
        <w:wordWrap/>
        <w:overflowPunct/>
        <w:topLinePunct w:val="0"/>
        <w:bidi w:val="0"/>
        <w:snapToGrid w:val="0"/>
        <w:spacing w:beforeAutospacing="0" w:line="500" w:lineRule="exact"/>
        <w:ind w:firstLine="411" w:firstLineChars="196"/>
        <w:textAlignment w:val="auto"/>
        <w:rPr>
          <w:rFonts w:cs="宋体"/>
          <w:bCs/>
          <w:color w:val="auto"/>
          <w:sz w:val="21"/>
          <w:szCs w:val="21"/>
          <w:highlight w:val="none"/>
        </w:rPr>
      </w:pPr>
      <w:r>
        <w:rPr>
          <w:rFonts w:hint="eastAsia" w:cs="宋体"/>
          <w:bCs/>
          <w:color w:val="auto"/>
          <w:sz w:val="21"/>
          <w:szCs w:val="21"/>
          <w:highlight w:val="none"/>
        </w:rPr>
        <w:t>3. 工程立项批准文号：</w:t>
      </w:r>
      <w:r>
        <w:rPr>
          <w:rFonts w:hint="eastAsia" w:ascii="宋体" w:hAnsi="宋体" w:eastAsia="宋体" w:cs="宋体"/>
          <w:color w:val="auto"/>
          <w:sz w:val="21"/>
          <w:szCs w:val="21"/>
          <w:highlight w:val="none"/>
          <w:u w:val="single"/>
          <w:lang w:val="en-US" w:eastAsia="zh-CN"/>
        </w:rPr>
        <w:t></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cs="宋体"/>
          <w:bCs/>
          <w:color w:val="auto"/>
          <w:sz w:val="21"/>
          <w:szCs w:val="21"/>
          <w:highlight w:val="none"/>
        </w:rPr>
        <w:t>。</w:t>
      </w:r>
    </w:p>
    <w:p w14:paraId="796CDBBA">
      <w:pPr>
        <w:keepNext w:val="0"/>
        <w:keepLines w:val="0"/>
        <w:pageBreakBefore w:val="0"/>
        <w:widowControl w:val="0"/>
        <w:kinsoku/>
        <w:wordWrap/>
        <w:overflowPunct/>
        <w:topLinePunct w:val="0"/>
        <w:bidi w:val="0"/>
        <w:snapToGrid w:val="0"/>
        <w:spacing w:beforeAutospacing="0" w:line="500" w:lineRule="exact"/>
        <w:ind w:firstLine="411" w:firstLineChars="196"/>
        <w:textAlignment w:val="auto"/>
        <w:rPr>
          <w:rFonts w:cs="宋体"/>
          <w:bCs/>
          <w:color w:val="auto"/>
          <w:sz w:val="21"/>
          <w:szCs w:val="21"/>
          <w:highlight w:val="none"/>
        </w:rPr>
      </w:pPr>
      <w:r>
        <w:rPr>
          <w:rFonts w:hint="eastAsia" w:cs="宋体"/>
          <w:bCs/>
          <w:color w:val="auto"/>
          <w:sz w:val="21"/>
          <w:szCs w:val="21"/>
          <w:highlight w:val="none"/>
        </w:rPr>
        <w:t>4. 资金来源：</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财政资金</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 xml:space="preserve"> </w:t>
      </w:r>
      <w:r>
        <w:rPr>
          <w:rFonts w:hint="eastAsia" w:cs="宋体"/>
          <w:bCs/>
          <w:color w:val="auto"/>
          <w:sz w:val="21"/>
          <w:szCs w:val="21"/>
          <w:highlight w:val="none"/>
        </w:rPr>
        <w:t>。</w:t>
      </w:r>
    </w:p>
    <w:p w14:paraId="325F0BF6">
      <w:pPr>
        <w:keepNext w:val="0"/>
        <w:keepLines w:val="0"/>
        <w:pageBreakBefore w:val="0"/>
        <w:widowControl w:val="0"/>
        <w:kinsoku/>
        <w:wordWrap/>
        <w:overflowPunct/>
        <w:topLinePunct w:val="0"/>
        <w:bidi w:val="0"/>
        <w:snapToGrid w:val="0"/>
        <w:spacing w:beforeAutospacing="0" w:line="500" w:lineRule="exact"/>
        <w:ind w:firstLine="411" w:firstLineChars="196"/>
        <w:textAlignment w:val="auto"/>
        <w:rPr>
          <w:rFonts w:cs="宋体"/>
          <w:bCs/>
          <w:color w:val="auto"/>
          <w:sz w:val="21"/>
          <w:szCs w:val="21"/>
          <w:highlight w:val="none"/>
          <w:u w:val="single"/>
        </w:rPr>
      </w:pPr>
      <w:r>
        <w:rPr>
          <w:rFonts w:hint="eastAsia" w:cs="宋体"/>
          <w:bCs/>
          <w:color w:val="auto"/>
          <w:sz w:val="21"/>
          <w:szCs w:val="21"/>
          <w:highlight w:val="none"/>
        </w:rPr>
        <w:t>5. 工程内容：</w:t>
      </w:r>
      <w:r>
        <w:rPr>
          <w:rFonts w:hint="eastAsia" w:cs="宋体"/>
          <w:bCs/>
          <w:color w:val="auto"/>
          <w:sz w:val="21"/>
          <w:szCs w:val="21"/>
          <w:highlight w:val="none"/>
          <w:u w:val="single"/>
          <w:lang w:val="en-US" w:eastAsia="zh-CN"/>
        </w:rPr>
        <w:t>本项目位于滁州学院校内，具体屋面防水维修楼宇：琅琊校区学生公寓7#楼，会峰校区学生公寓1#3#楼、2#4#楼、5#7#楼、2A楼等8栋楼宇屋顶防水维修，总面积1.3万平米；工程内容：原屋面防护层、隔热层、防水层及其部分楼宇光伏板等拆除和垃圾外运；细石砼找坡，喷洒沥青乳液、透气孔铺设、铺设4+4mm厚SBS防水卷材、铺设6@150钢筋钢片、浇筑细石砼保护层；屋顶管道、防雷管线、空调外机等设备保护；原顶层落水口和伸缩缝（沉降缝）的防水维修等，具体工程量清单为准</w:t>
      </w:r>
      <w:r>
        <w:rPr>
          <w:rFonts w:hint="eastAsia" w:cs="宋体"/>
          <w:bCs/>
          <w:color w:val="auto"/>
          <w:sz w:val="21"/>
          <w:szCs w:val="21"/>
          <w:highlight w:val="none"/>
          <w:u w:val="single"/>
        </w:rPr>
        <w:t>。</w:t>
      </w:r>
    </w:p>
    <w:p w14:paraId="4F0BCCC3">
      <w:pPr>
        <w:keepNext w:val="0"/>
        <w:keepLines w:val="0"/>
        <w:pageBreakBefore w:val="0"/>
        <w:widowControl w:val="0"/>
        <w:kinsoku/>
        <w:wordWrap/>
        <w:overflowPunct/>
        <w:topLinePunct w:val="0"/>
        <w:bidi w:val="0"/>
        <w:snapToGrid w:val="0"/>
        <w:spacing w:beforeAutospacing="0" w:line="500" w:lineRule="exact"/>
        <w:ind w:firstLine="411" w:firstLineChars="196"/>
        <w:textAlignment w:val="auto"/>
        <w:rPr>
          <w:rFonts w:cs="宋体"/>
          <w:color w:val="auto"/>
          <w:sz w:val="21"/>
          <w:szCs w:val="21"/>
          <w:highlight w:val="none"/>
        </w:rPr>
      </w:pPr>
      <w:r>
        <w:rPr>
          <w:rFonts w:hint="eastAsia" w:cs="宋体"/>
          <w:bCs/>
          <w:color w:val="auto"/>
          <w:sz w:val="21"/>
          <w:szCs w:val="21"/>
          <w:highlight w:val="none"/>
        </w:rPr>
        <w:t>6. 工程承包范围：</w:t>
      </w:r>
      <w:r>
        <w:rPr>
          <w:rFonts w:hint="eastAsia" w:cs="宋体"/>
          <w:color w:val="auto"/>
          <w:sz w:val="21"/>
          <w:szCs w:val="21"/>
          <w:highlight w:val="none"/>
          <w:u w:val="single"/>
          <w:lang w:val="en-US" w:eastAsia="zh-CN"/>
        </w:rPr>
        <w:t>工程量清单范围内的所有内容</w:t>
      </w:r>
      <w:r>
        <w:rPr>
          <w:rFonts w:hint="eastAsia" w:cs="宋体"/>
          <w:color w:val="auto"/>
          <w:sz w:val="21"/>
          <w:szCs w:val="21"/>
          <w:highlight w:val="none"/>
          <w:u w:val="single"/>
          <w:lang w:eastAsia="zh-CN"/>
        </w:rPr>
        <w:t>；</w:t>
      </w:r>
      <w:r>
        <w:rPr>
          <w:rFonts w:hint="eastAsia" w:cs="宋体"/>
          <w:color w:val="auto"/>
          <w:sz w:val="21"/>
          <w:szCs w:val="21"/>
          <w:highlight w:val="none"/>
          <w:u w:val="single"/>
          <w:lang w:val="en-US" w:eastAsia="zh-CN"/>
        </w:rPr>
        <w:t>不在范围内的以签证为准。</w:t>
      </w:r>
      <w:r>
        <w:rPr>
          <w:rFonts w:hint="eastAsia" w:cs="宋体"/>
          <w:color w:val="auto"/>
          <w:sz w:val="21"/>
          <w:szCs w:val="21"/>
          <w:highlight w:val="none"/>
          <w:u w:val="single"/>
        </w:rPr>
        <w:t xml:space="preserve">    </w:t>
      </w:r>
    </w:p>
    <w:p w14:paraId="469211C4">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cs="宋体"/>
          <w:b/>
          <w:color w:val="auto"/>
          <w:sz w:val="21"/>
          <w:szCs w:val="21"/>
          <w:highlight w:val="none"/>
        </w:rPr>
      </w:pPr>
      <w:bookmarkStart w:id="42" w:name="_Toc351203482"/>
      <w:r>
        <w:rPr>
          <w:rFonts w:hint="eastAsia" w:cs="宋体"/>
          <w:b/>
          <w:color w:val="auto"/>
          <w:sz w:val="21"/>
          <w:szCs w:val="21"/>
          <w:highlight w:val="none"/>
        </w:rPr>
        <w:t>二、合同工期</w:t>
      </w:r>
      <w:bookmarkEnd w:id="42"/>
    </w:p>
    <w:p w14:paraId="569EFD5C">
      <w:pPr>
        <w:keepNext w:val="0"/>
        <w:keepLines w:val="0"/>
        <w:pageBreakBefore w:val="0"/>
        <w:widowControl w:val="0"/>
        <w:kinsoku/>
        <w:wordWrap/>
        <w:overflowPunct/>
        <w:topLinePunct w:val="0"/>
        <w:bidi w:val="0"/>
        <w:snapToGrid w:val="0"/>
        <w:spacing w:beforeAutospacing="0" w:line="500" w:lineRule="exact"/>
        <w:ind w:firstLine="459"/>
        <w:textAlignment w:val="auto"/>
        <w:rPr>
          <w:rFonts w:cs="宋体"/>
          <w:color w:val="auto"/>
          <w:sz w:val="21"/>
          <w:szCs w:val="21"/>
          <w:highlight w:val="none"/>
        </w:rPr>
      </w:pPr>
      <w:r>
        <w:rPr>
          <w:rFonts w:hint="eastAsia" w:cs="宋体"/>
          <w:color w:val="auto"/>
          <w:sz w:val="21"/>
          <w:szCs w:val="21"/>
          <w:highlight w:val="none"/>
        </w:rPr>
        <w:t>计划开工日期：</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2025</w:t>
      </w:r>
      <w:r>
        <w:rPr>
          <w:rFonts w:hint="eastAsia" w:cs="宋体"/>
          <w:color w:val="auto"/>
          <w:sz w:val="21"/>
          <w:szCs w:val="21"/>
          <w:highlight w:val="none"/>
          <w:u w:val="single"/>
        </w:rPr>
        <w:t></w:t>
      </w:r>
      <w:r>
        <w:rPr>
          <w:rFonts w:hint="eastAsia" w:cs="宋体"/>
          <w:color w:val="auto"/>
          <w:sz w:val="21"/>
          <w:szCs w:val="21"/>
          <w:highlight w:val="none"/>
        </w:rPr>
        <w:t>年</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w:t>
      </w:r>
      <w:r>
        <w:rPr>
          <w:rFonts w:hint="eastAsia" w:cs="宋体"/>
          <w:color w:val="auto"/>
          <w:sz w:val="21"/>
          <w:szCs w:val="21"/>
          <w:highlight w:val="none"/>
        </w:rPr>
        <w:t>月</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w:t>
      </w:r>
      <w:r>
        <w:rPr>
          <w:rFonts w:hint="eastAsia" w:cs="宋体"/>
          <w:color w:val="auto"/>
          <w:sz w:val="21"/>
          <w:szCs w:val="21"/>
          <w:highlight w:val="none"/>
        </w:rPr>
        <w:t>日。</w:t>
      </w:r>
    </w:p>
    <w:p w14:paraId="6A213A59">
      <w:pPr>
        <w:keepNext w:val="0"/>
        <w:keepLines w:val="0"/>
        <w:pageBreakBefore w:val="0"/>
        <w:widowControl w:val="0"/>
        <w:kinsoku/>
        <w:wordWrap/>
        <w:overflowPunct/>
        <w:topLinePunct w:val="0"/>
        <w:bidi w:val="0"/>
        <w:snapToGrid w:val="0"/>
        <w:spacing w:beforeAutospacing="0" w:line="500" w:lineRule="exact"/>
        <w:ind w:firstLine="459"/>
        <w:textAlignment w:val="auto"/>
        <w:rPr>
          <w:rFonts w:cs="宋体"/>
          <w:color w:val="auto"/>
          <w:sz w:val="21"/>
          <w:szCs w:val="21"/>
          <w:highlight w:val="none"/>
        </w:rPr>
      </w:pPr>
      <w:r>
        <w:rPr>
          <w:rFonts w:hint="eastAsia" w:cs="宋体"/>
          <w:color w:val="auto"/>
          <w:sz w:val="21"/>
          <w:szCs w:val="21"/>
          <w:highlight w:val="none"/>
        </w:rPr>
        <w:t>计划竣工日期：</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2025</w:t>
      </w:r>
      <w:r>
        <w:rPr>
          <w:rFonts w:hint="eastAsia" w:cs="宋体"/>
          <w:color w:val="auto"/>
          <w:sz w:val="21"/>
          <w:szCs w:val="21"/>
          <w:highlight w:val="none"/>
          <w:u w:val="single"/>
        </w:rPr>
        <w:t></w:t>
      </w:r>
      <w:r>
        <w:rPr>
          <w:rFonts w:hint="eastAsia" w:cs="宋体"/>
          <w:color w:val="auto"/>
          <w:sz w:val="21"/>
          <w:szCs w:val="21"/>
          <w:highlight w:val="none"/>
        </w:rPr>
        <w:t>年</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w:t>
      </w:r>
      <w:r>
        <w:rPr>
          <w:rFonts w:hint="eastAsia" w:cs="宋体"/>
          <w:color w:val="auto"/>
          <w:sz w:val="21"/>
          <w:szCs w:val="21"/>
          <w:highlight w:val="none"/>
        </w:rPr>
        <w:t>月</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w:t>
      </w:r>
      <w:r>
        <w:rPr>
          <w:rFonts w:hint="eastAsia" w:cs="宋体"/>
          <w:color w:val="auto"/>
          <w:sz w:val="21"/>
          <w:szCs w:val="21"/>
          <w:highlight w:val="none"/>
        </w:rPr>
        <w:t>日。</w:t>
      </w:r>
    </w:p>
    <w:p w14:paraId="5BEABFAC">
      <w:pPr>
        <w:keepNext w:val="0"/>
        <w:keepLines w:val="0"/>
        <w:pageBreakBefore w:val="0"/>
        <w:widowControl w:val="0"/>
        <w:kinsoku/>
        <w:wordWrap/>
        <w:overflowPunct/>
        <w:topLinePunct w:val="0"/>
        <w:bidi w:val="0"/>
        <w:snapToGrid w:val="0"/>
        <w:spacing w:beforeAutospacing="0" w:line="500" w:lineRule="exact"/>
        <w:ind w:firstLine="459"/>
        <w:textAlignment w:val="auto"/>
        <w:rPr>
          <w:rFonts w:cs="宋体"/>
          <w:color w:val="auto"/>
          <w:sz w:val="21"/>
          <w:szCs w:val="21"/>
          <w:highlight w:val="none"/>
        </w:rPr>
      </w:pPr>
      <w:r>
        <w:rPr>
          <w:rFonts w:hint="eastAsia" w:cs="宋体"/>
          <w:color w:val="auto"/>
          <w:sz w:val="21"/>
          <w:szCs w:val="21"/>
          <w:highlight w:val="none"/>
        </w:rPr>
        <w:t>工期总日历天数：</w:t>
      </w:r>
      <w:r>
        <w:rPr>
          <w:rFonts w:hint="eastAsia" w:cs="宋体"/>
          <w:color w:val="auto"/>
          <w:sz w:val="21"/>
          <w:szCs w:val="21"/>
          <w:highlight w:val="none"/>
          <w:u w:val="single"/>
          <w:lang w:val="en-US" w:eastAsia="zh-CN"/>
        </w:rPr>
        <w:t>不高于60个日历天。具体开工时间以开工令时间为准。成交供应商按合同工期要求，每延迟一天，按 5000元/天处以违约金，从工程结算款中扣除。如延误工期超出合同工期50%的，采购人有权终止合同并不予支付工程款。如因采购人要求增加工程量、教育教学、重大活动、极端天气等不可抗拒因素造成延期，经采购人和成交供应商书面确认后，工期予以顺延，具体以实际发生时间为依据。</w:t>
      </w:r>
    </w:p>
    <w:p w14:paraId="677800AC">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cs="宋体"/>
          <w:b/>
          <w:color w:val="auto"/>
          <w:sz w:val="21"/>
          <w:szCs w:val="21"/>
          <w:highlight w:val="none"/>
        </w:rPr>
      </w:pPr>
      <w:bookmarkStart w:id="43" w:name="_Toc351203483"/>
      <w:r>
        <w:rPr>
          <w:rFonts w:hint="eastAsia" w:cs="宋体"/>
          <w:b/>
          <w:color w:val="auto"/>
          <w:sz w:val="21"/>
          <w:szCs w:val="21"/>
          <w:highlight w:val="none"/>
        </w:rPr>
        <w:t>三、质量标准</w:t>
      </w:r>
      <w:bookmarkEnd w:id="43"/>
    </w:p>
    <w:p w14:paraId="751A63C2">
      <w:pPr>
        <w:keepNext w:val="0"/>
        <w:keepLines w:val="0"/>
        <w:pageBreakBefore w:val="0"/>
        <w:widowControl w:val="0"/>
        <w:kinsoku/>
        <w:wordWrap/>
        <w:overflowPunct/>
        <w:topLinePunct w:val="0"/>
        <w:bidi w:val="0"/>
        <w:snapToGrid w:val="0"/>
        <w:spacing w:beforeAutospacing="0" w:line="500" w:lineRule="exact"/>
        <w:ind w:firstLine="459"/>
        <w:textAlignment w:val="auto"/>
        <w:rPr>
          <w:rFonts w:cs="宋体"/>
          <w:color w:val="auto"/>
          <w:sz w:val="21"/>
          <w:szCs w:val="21"/>
          <w:highlight w:val="none"/>
        </w:rPr>
      </w:pPr>
      <w:r>
        <w:rPr>
          <w:rFonts w:hint="eastAsia" w:cs="宋体"/>
          <w:color w:val="auto"/>
          <w:sz w:val="21"/>
          <w:szCs w:val="21"/>
          <w:highlight w:val="none"/>
        </w:rPr>
        <w:t>工程质量符合</w:t>
      </w:r>
      <w:r>
        <w:rPr>
          <w:rFonts w:hint="eastAsia" w:cs="宋体"/>
          <w:color w:val="auto"/>
          <w:sz w:val="21"/>
          <w:szCs w:val="21"/>
          <w:highlight w:val="none"/>
          <w:u w:val="single"/>
        </w:rPr>
        <w:t xml:space="preserve"> 合格 </w:t>
      </w:r>
      <w:r>
        <w:rPr>
          <w:rFonts w:hint="eastAsia" w:cs="宋体"/>
          <w:color w:val="auto"/>
          <w:sz w:val="21"/>
          <w:szCs w:val="21"/>
          <w:highlight w:val="none"/>
        </w:rPr>
        <w:t>标准。</w:t>
      </w:r>
    </w:p>
    <w:p w14:paraId="4CB19CFF">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cs="宋体"/>
          <w:b/>
          <w:color w:val="auto"/>
          <w:sz w:val="21"/>
          <w:szCs w:val="21"/>
          <w:highlight w:val="none"/>
        </w:rPr>
      </w:pPr>
      <w:bookmarkStart w:id="44" w:name="_Toc351203484"/>
      <w:r>
        <w:rPr>
          <w:rFonts w:hint="eastAsia" w:cs="宋体"/>
          <w:b/>
          <w:color w:val="auto"/>
          <w:sz w:val="21"/>
          <w:szCs w:val="21"/>
          <w:highlight w:val="none"/>
        </w:rPr>
        <w:t>四、签约合同价与合同价格形式</w:t>
      </w:r>
      <w:bookmarkEnd w:id="44"/>
    </w:p>
    <w:p w14:paraId="6C776A55">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 签约合同价为：</w:t>
      </w:r>
    </w:p>
    <w:p w14:paraId="6F9B1D61">
      <w:pPr>
        <w:keepNext w:val="0"/>
        <w:keepLines w:val="0"/>
        <w:pageBreakBefore w:val="0"/>
        <w:widowControl w:val="0"/>
        <w:kinsoku/>
        <w:wordWrap/>
        <w:overflowPunct/>
        <w:topLinePunct w:val="0"/>
        <w:bidi w:val="0"/>
        <w:snapToGrid w:val="0"/>
        <w:spacing w:beforeAutospacing="0" w:line="500" w:lineRule="exact"/>
        <w:ind w:firstLine="525" w:firstLineChars="250"/>
        <w:textAlignment w:val="auto"/>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w:t>
      </w:r>
      <w:r>
        <w:rPr>
          <w:rFonts w:hint="eastAsia" w:cs="宋体"/>
          <w:color w:val="auto"/>
          <w:sz w:val="21"/>
          <w:szCs w:val="21"/>
          <w:highlight w:val="none"/>
        </w:rPr>
        <w:t>¥</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rPr>
        <w:t>元）；</w:t>
      </w:r>
    </w:p>
    <w:p w14:paraId="15B01D28">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其中：</w:t>
      </w:r>
    </w:p>
    <w:p w14:paraId="353624D2">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（1）安全文明施工费：</w:t>
      </w:r>
    </w:p>
    <w:p w14:paraId="45376741">
      <w:pPr>
        <w:keepNext w:val="0"/>
        <w:keepLines w:val="0"/>
        <w:pageBreakBefore w:val="0"/>
        <w:widowControl w:val="0"/>
        <w:kinsoku/>
        <w:wordWrap/>
        <w:overflowPunct/>
        <w:topLinePunct w:val="0"/>
        <w:bidi w:val="0"/>
        <w:snapToGrid w:val="0"/>
        <w:spacing w:beforeAutospacing="0" w:line="500" w:lineRule="exact"/>
        <w:ind w:firstLine="945" w:firstLineChars="450"/>
        <w:textAlignment w:val="auto"/>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005F5362">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（2）材料和工程设备暂估价金额：</w:t>
      </w:r>
    </w:p>
    <w:p w14:paraId="22DD9C56">
      <w:pPr>
        <w:keepNext w:val="0"/>
        <w:keepLines w:val="0"/>
        <w:pageBreakBefore w:val="0"/>
        <w:widowControl w:val="0"/>
        <w:kinsoku/>
        <w:wordWrap/>
        <w:overflowPunct/>
        <w:topLinePunct w:val="0"/>
        <w:bidi w:val="0"/>
        <w:snapToGrid w:val="0"/>
        <w:spacing w:beforeAutospacing="0" w:line="500" w:lineRule="exact"/>
        <w:ind w:firstLine="945" w:firstLineChars="450"/>
        <w:textAlignment w:val="auto"/>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71588D77">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（3）专业工程暂估价金额：</w:t>
      </w:r>
    </w:p>
    <w:p w14:paraId="12FCAE34">
      <w:pPr>
        <w:keepNext w:val="0"/>
        <w:keepLines w:val="0"/>
        <w:pageBreakBefore w:val="0"/>
        <w:widowControl w:val="0"/>
        <w:kinsoku/>
        <w:wordWrap/>
        <w:overflowPunct/>
        <w:topLinePunct w:val="0"/>
        <w:bidi w:val="0"/>
        <w:snapToGrid w:val="0"/>
        <w:spacing w:beforeAutospacing="0" w:line="500" w:lineRule="exact"/>
        <w:ind w:firstLine="945" w:firstLineChars="450"/>
        <w:textAlignment w:val="auto"/>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4B874B58">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（4）暂列金额：</w:t>
      </w:r>
    </w:p>
    <w:p w14:paraId="6855EDC5">
      <w:pPr>
        <w:keepNext w:val="0"/>
        <w:keepLines w:val="0"/>
        <w:pageBreakBefore w:val="0"/>
        <w:widowControl w:val="0"/>
        <w:kinsoku/>
        <w:wordWrap/>
        <w:overflowPunct/>
        <w:topLinePunct w:val="0"/>
        <w:bidi w:val="0"/>
        <w:snapToGrid w:val="0"/>
        <w:spacing w:beforeAutospacing="0" w:line="500" w:lineRule="exact"/>
        <w:ind w:firstLine="945" w:firstLineChars="450"/>
        <w:textAlignment w:val="auto"/>
        <w:rPr>
          <w:rFonts w:cs="宋体"/>
          <w:color w:val="auto"/>
          <w:sz w:val="21"/>
          <w:szCs w:val="21"/>
          <w:highlight w:val="none"/>
        </w:rPr>
      </w:pPr>
      <w:r>
        <w:rPr>
          <w:rFonts w:hint="eastAsia" w:cs="宋体"/>
          <w:color w:val="auto"/>
          <w:sz w:val="21"/>
          <w:szCs w:val="21"/>
          <w:highlight w:val="none"/>
        </w:rPr>
        <w:t>人民币（大写）</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元）。</w:t>
      </w:r>
    </w:p>
    <w:p w14:paraId="61C8F7E0">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color w:val="auto"/>
          <w:sz w:val="21"/>
          <w:szCs w:val="21"/>
          <w:highlight w:val="none"/>
        </w:rPr>
      </w:pPr>
      <w:r>
        <w:rPr>
          <w:rFonts w:hint="eastAsia" w:cs="宋体"/>
          <w:color w:val="auto"/>
          <w:sz w:val="21"/>
          <w:szCs w:val="21"/>
          <w:highlight w:val="none"/>
        </w:rPr>
        <w:t>2. 合同价格形式：</w:t>
      </w:r>
      <w:r>
        <w:rPr>
          <w:rFonts w:hint="eastAsia" w:cs="宋体"/>
          <w:color w:val="auto"/>
          <w:sz w:val="21"/>
          <w:szCs w:val="21"/>
          <w:highlight w:val="none"/>
          <w:u w:val="single"/>
        </w:rPr>
        <w:t></w:t>
      </w:r>
      <w:r>
        <w:rPr>
          <w:rFonts w:hint="eastAsia" w:cs="宋体"/>
          <w:color w:val="auto"/>
          <w:sz w:val="21"/>
          <w:szCs w:val="21"/>
          <w:highlight w:val="none"/>
          <w:u w:val="single"/>
          <w:lang w:val="en-US" w:eastAsia="zh-CN"/>
        </w:rPr>
        <w:t xml:space="preserve">固定单价合同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0194247">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hint="default" w:eastAsia="宋体" w:cs="宋体"/>
          <w:b/>
          <w:color w:val="auto"/>
          <w:sz w:val="21"/>
          <w:szCs w:val="21"/>
          <w:highlight w:val="none"/>
          <w:lang w:val="en-US" w:eastAsia="zh-CN"/>
        </w:rPr>
      </w:pPr>
      <w:bookmarkStart w:id="45" w:name="_Toc351203485"/>
      <w:r>
        <w:rPr>
          <w:rFonts w:hint="eastAsia" w:cs="宋体"/>
          <w:b/>
          <w:color w:val="auto"/>
          <w:sz w:val="21"/>
          <w:szCs w:val="21"/>
          <w:highlight w:val="none"/>
        </w:rPr>
        <w:t>五、</w:t>
      </w:r>
      <w:bookmarkEnd w:id="45"/>
      <w:r>
        <w:rPr>
          <w:rFonts w:hint="eastAsia" w:cs="宋体"/>
          <w:b/>
          <w:color w:val="auto"/>
          <w:sz w:val="21"/>
          <w:szCs w:val="21"/>
          <w:highlight w:val="none"/>
        </w:rPr>
        <w:t>项目经理</w:t>
      </w:r>
      <w:r>
        <w:rPr>
          <w:rFonts w:hint="eastAsia" w:cs="宋体"/>
          <w:b/>
          <w:color w:val="auto"/>
          <w:sz w:val="21"/>
          <w:szCs w:val="21"/>
          <w:highlight w:val="none"/>
          <w:lang w:val="en-US" w:eastAsia="zh-CN"/>
        </w:rPr>
        <w:t>及技术负责人</w:t>
      </w:r>
    </w:p>
    <w:p w14:paraId="2E933F05">
      <w:pPr>
        <w:keepNext w:val="0"/>
        <w:keepLines w:val="0"/>
        <w:pageBreakBefore w:val="0"/>
        <w:widowControl w:val="0"/>
        <w:kinsoku/>
        <w:wordWrap/>
        <w:overflowPunct/>
        <w:topLinePunct w:val="0"/>
        <w:bidi w:val="0"/>
        <w:snapToGrid/>
        <w:spacing w:line="500" w:lineRule="exact"/>
        <w:ind w:left="0" w:leftChars="0" w:firstLine="420" w:firstLineChars="200"/>
        <w:textAlignment w:val="auto"/>
        <w:rPr>
          <w:rFonts w:hint="eastAsia" w:ascii="宋体" w:hAnsi="宋体" w:eastAsia="宋体" w:cs="宋体"/>
          <w:color w:val="auto"/>
          <w:sz w:val="21"/>
          <w:szCs w:val="21"/>
          <w:highlight w:val="none"/>
        </w:rPr>
      </w:pPr>
      <w:bookmarkStart w:id="46" w:name="_Toc351203486"/>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建造师注册执业号</w:t>
      </w:r>
      <w:r>
        <w:rPr>
          <w:rFonts w:hint="eastAsia" w:ascii="宋体" w:hAnsi="宋体" w:cs="宋体"/>
          <w:color w:val="auto"/>
          <w:sz w:val="21"/>
          <w:szCs w:val="21"/>
          <w:highlight w:val="none"/>
          <w:u w:val="single"/>
          <w:lang w:val="en-US" w:eastAsia="zh-CN"/>
        </w:rPr>
        <w:t>：</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联系号码：</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w:t>
      </w:r>
    </w:p>
    <w:p w14:paraId="6FEEC191">
      <w:pPr>
        <w:pStyle w:val="54"/>
        <w:keepNext w:val="0"/>
        <w:keepLines w:val="0"/>
        <w:pageBreakBefore w:val="0"/>
        <w:widowControl w:val="0"/>
        <w:kinsoku/>
        <w:wordWrap/>
        <w:overflowPunct/>
        <w:topLinePunct w:val="0"/>
        <w:bidi w:val="0"/>
        <w:snapToGrid/>
        <w:spacing w:after="0" w:line="500" w:lineRule="exact"/>
        <w:ind w:left="0" w:leftChars="0"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lang w:val="en-US" w:eastAsia="zh-CN"/>
        </w:rPr>
        <w:t>技术负责人：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none"/>
          <w:lang w:eastAsia="zh-CN"/>
        </w:rPr>
        <w:t>，</w:t>
      </w:r>
      <w:r>
        <w:rPr>
          <w:rFonts w:hint="eastAsia" w:cs="宋体"/>
          <w:color w:val="auto"/>
          <w:sz w:val="21"/>
          <w:szCs w:val="21"/>
          <w:highlight w:val="none"/>
          <w:u w:val="none"/>
          <w:lang w:val="en-US" w:eastAsia="zh-CN"/>
        </w:rPr>
        <w:t>技术职称：</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none"/>
          <w:lang w:eastAsia="zh-CN"/>
        </w:rPr>
        <w:t>，</w:t>
      </w:r>
      <w:r>
        <w:rPr>
          <w:rFonts w:hint="eastAsia" w:ascii="宋体" w:hAnsi="宋体" w:cs="宋体"/>
          <w:color w:val="auto"/>
          <w:sz w:val="21"/>
          <w:szCs w:val="21"/>
          <w:highlight w:val="none"/>
          <w:u w:val="none"/>
          <w:lang w:val="en-US" w:eastAsia="zh-CN"/>
        </w:rPr>
        <w:t>联系号码：</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w:t>
      </w:r>
    </w:p>
    <w:p w14:paraId="4241FF64">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hint="eastAsia" w:eastAsia="宋体" w:cs="宋体"/>
          <w:b/>
          <w:color w:val="auto"/>
          <w:sz w:val="21"/>
          <w:szCs w:val="21"/>
          <w:highlight w:val="none"/>
          <w:lang w:val="en-US" w:eastAsia="zh-CN"/>
        </w:rPr>
      </w:pPr>
      <w:r>
        <w:rPr>
          <w:rFonts w:hint="eastAsia" w:cs="宋体"/>
          <w:b/>
          <w:color w:val="auto"/>
          <w:sz w:val="21"/>
          <w:szCs w:val="21"/>
          <w:highlight w:val="none"/>
        </w:rPr>
        <w:t>六、合同文件构成</w:t>
      </w:r>
      <w:bookmarkEnd w:id="46"/>
      <w:r>
        <w:rPr>
          <w:rFonts w:hint="eastAsia" w:cs="宋体"/>
          <w:b/>
          <w:color w:val="auto"/>
          <w:sz w:val="21"/>
          <w:szCs w:val="21"/>
          <w:highlight w:val="none"/>
          <w:lang w:val="en-US" w:eastAsia="zh-CN"/>
        </w:rPr>
        <w:t xml:space="preserve"> </w:t>
      </w:r>
    </w:p>
    <w:p w14:paraId="01021E45">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bCs/>
          <w:color w:val="auto"/>
          <w:sz w:val="21"/>
          <w:szCs w:val="21"/>
          <w:highlight w:val="none"/>
        </w:rPr>
      </w:pPr>
      <w:r>
        <w:rPr>
          <w:rFonts w:hint="eastAsia" w:cs="宋体"/>
          <w:bCs/>
          <w:color w:val="auto"/>
          <w:sz w:val="21"/>
          <w:szCs w:val="21"/>
          <w:highlight w:val="none"/>
        </w:rPr>
        <w:t>本协议书与下列文件一起构成合同文件：</w:t>
      </w:r>
    </w:p>
    <w:p w14:paraId="7C042FCB">
      <w:pPr>
        <w:keepNext w:val="0"/>
        <w:keepLines w:val="0"/>
        <w:pageBreakBefore w:val="0"/>
        <w:widowControl w:val="0"/>
        <w:kinsoku/>
        <w:wordWrap/>
        <w:overflowPunct/>
        <w:topLinePunct w:val="0"/>
        <w:autoSpaceDE w:val="0"/>
        <w:autoSpaceDN w:val="0"/>
        <w:bidi w:val="0"/>
        <w:adjustRightInd w:val="0"/>
        <w:snapToGrid w:val="0"/>
        <w:spacing w:beforeAutospacing="0" w:line="500" w:lineRule="exact"/>
        <w:ind w:firstLine="420" w:firstLineChars="200"/>
        <w:jc w:val="left"/>
        <w:textAlignment w:val="auto"/>
        <w:rPr>
          <w:rFonts w:cs="宋体"/>
          <w:color w:val="auto"/>
          <w:sz w:val="21"/>
          <w:szCs w:val="21"/>
          <w:highlight w:val="none"/>
        </w:rPr>
      </w:pPr>
      <w:r>
        <w:rPr>
          <w:rFonts w:hint="eastAsia" w:cs="宋体"/>
          <w:color w:val="auto"/>
          <w:sz w:val="21"/>
          <w:szCs w:val="21"/>
          <w:highlight w:val="none"/>
        </w:rPr>
        <w:t xml:space="preserve">（1）中标通知书（如果有）；（2）投标函及其附录（如果有）； </w:t>
      </w:r>
    </w:p>
    <w:p w14:paraId="11EC803F">
      <w:pPr>
        <w:keepNext w:val="0"/>
        <w:keepLines w:val="0"/>
        <w:pageBreakBefore w:val="0"/>
        <w:widowControl w:val="0"/>
        <w:kinsoku/>
        <w:wordWrap/>
        <w:overflowPunct/>
        <w:topLinePunct w:val="0"/>
        <w:autoSpaceDE w:val="0"/>
        <w:autoSpaceDN w:val="0"/>
        <w:bidi w:val="0"/>
        <w:adjustRightInd w:val="0"/>
        <w:snapToGrid w:val="0"/>
        <w:spacing w:beforeAutospacing="0" w:line="500" w:lineRule="exact"/>
        <w:ind w:firstLine="420" w:firstLineChars="200"/>
        <w:jc w:val="left"/>
        <w:textAlignment w:val="auto"/>
        <w:rPr>
          <w:rFonts w:cs="宋体"/>
          <w:color w:val="auto"/>
          <w:sz w:val="21"/>
          <w:szCs w:val="21"/>
          <w:highlight w:val="none"/>
        </w:rPr>
      </w:pPr>
      <w:r>
        <w:rPr>
          <w:rFonts w:hint="eastAsia" w:cs="宋体"/>
          <w:color w:val="auto"/>
          <w:sz w:val="21"/>
          <w:szCs w:val="21"/>
          <w:highlight w:val="none"/>
        </w:rPr>
        <w:t>（3）专用合同条款及其附件；（4）通用合同条款；（5）技术标准和要求；</w:t>
      </w:r>
    </w:p>
    <w:p w14:paraId="4A963A86">
      <w:pPr>
        <w:keepNext w:val="0"/>
        <w:keepLines w:val="0"/>
        <w:pageBreakBefore w:val="0"/>
        <w:widowControl w:val="0"/>
        <w:kinsoku/>
        <w:wordWrap/>
        <w:overflowPunct/>
        <w:topLinePunct w:val="0"/>
        <w:autoSpaceDE w:val="0"/>
        <w:autoSpaceDN w:val="0"/>
        <w:bidi w:val="0"/>
        <w:adjustRightInd w:val="0"/>
        <w:snapToGrid w:val="0"/>
        <w:spacing w:beforeAutospacing="0" w:line="500" w:lineRule="exact"/>
        <w:ind w:firstLine="420" w:firstLineChars="200"/>
        <w:jc w:val="left"/>
        <w:textAlignment w:val="auto"/>
        <w:rPr>
          <w:rFonts w:cs="宋体"/>
          <w:color w:val="auto"/>
          <w:sz w:val="21"/>
          <w:szCs w:val="21"/>
          <w:highlight w:val="none"/>
        </w:rPr>
      </w:pPr>
      <w:r>
        <w:rPr>
          <w:rFonts w:hint="eastAsia" w:cs="宋体"/>
          <w:color w:val="auto"/>
          <w:sz w:val="21"/>
          <w:szCs w:val="21"/>
          <w:highlight w:val="none"/>
        </w:rPr>
        <w:t>（6）图纸；（7）已标价工程量清单或预算书；（8）其他合同文件。</w:t>
      </w:r>
    </w:p>
    <w:p w14:paraId="6BF830B1">
      <w:pPr>
        <w:keepNext w:val="0"/>
        <w:keepLines w:val="0"/>
        <w:pageBreakBefore w:val="0"/>
        <w:widowControl w:val="0"/>
        <w:kinsoku/>
        <w:wordWrap/>
        <w:overflowPunct/>
        <w:topLinePunct w:val="0"/>
        <w:autoSpaceDE w:val="0"/>
        <w:autoSpaceDN w:val="0"/>
        <w:bidi w:val="0"/>
        <w:adjustRightInd w:val="0"/>
        <w:snapToGrid w:val="0"/>
        <w:spacing w:beforeAutospacing="0" w:line="500" w:lineRule="exact"/>
        <w:ind w:firstLine="420" w:firstLineChars="200"/>
        <w:jc w:val="left"/>
        <w:textAlignment w:val="auto"/>
        <w:rPr>
          <w:rFonts w:cs="宋体"/>
          <w:color w:val="auto"/>
          <w:sz w:val="21"/>
          <w:szCs w:val="21"/>
          <w:highlight w:val="none"/>
        </w:rPr>
      </w:pPr>
      <w:r>
        <w:rPr>
          <w:rFonts w:hint="eastAsia" w:cs="宋体"/>
          <w:color w:val="auto"/>
          <w:sz w:val="21"/>
          <w:szCs w:val="21"/>
          <w:highlight w:val="none"/>
        </w:rPr>
        <w:t>在合同订立及履行过程中形成的与合同有关的文件均构成合同文件组成部分。</w:t>
      </w:r>
    </w:p>
    <w:p w14:paraId="68CA8735">
      <w:pPr>
        <w:keepNext w:val="0"/>
        <w:keepLines w:val="0"/>
        <w:pageBreakBefore w:val="0"/>
        <w:widowControl w:val="0"/>
        <w:kinsoku/>
        <w:wordWrap/>
        <w:overflowPunct/>
        <w:topLinePunct w:val="0"/>
        <w:autoSpaceDE w:val="0"/>
        <w:autoSpaceDN w:val="0"/>
        <w:bidi w:val="0"/>
        <w:adjustRightInd w:val="0"/>
        <w:snapToGrid w:val="0"/>
        <w:spacing w:beforeAutospacing="0" w:line="500" w:lineRule="exact"/>
        <w:ind w:firstLine="420" w:firstLineChars="200"/>
        <w:jc w:val="left"/>
        <w:textAlignment w:val="auto"/>
        <w:rPr>
          <w:rFonts w:cs="宋体"/>
          <w:color w:val="auto"/>
          <w:sz w:val="21"/>
          <w:szCs w:val="21"/>
          <w:highlight w:val="none"/>
        </w:rPr>
      </w:pPr>
      <w:r>
        <w:rPr>
          <w:rFonts w:hint="eastAsia"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14:paraId="328A2568">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cs="宋体"/>
          <w:b/>
          <w:color w:val="auto"/>
          <w:sz w:val="21"/>
          <w:szCs w:val="21"/>
          <w:highlight w:val="none"/>
        </w:rPr>
      </w:pPr>
      <w:bookmarkStart w:id="47" w:name="_Toc351203487"/>
      <w:r>
        <w:rPr>
          <w:rFonts w:hint="eastAsia" w:cs="宋体"/>
          <w:b/>
          <w:color w:val="auto"/>
          <w:sz w:val="21"/>
          <w:szCs w:val="21"/>
          <w:highlight w:val="none"/>
        </w:rPr>
        <w:t>七、承诺</w:t>
      </w:r>
      <w:bookmarkEnd w:id="47"/>
    </w:p>
    <w:p w14:paraId="073D844D">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bCs/>
          <w:color w:val="auto"/>
          <w:sz w:val="21"/>
          <w:szCs w:val="21"/>
          <w:highlight w:val="none"/>
        </w:rPr>
      </w:pPr>
      <w:r>
        <w:rPr>
          <w:rFonts w:hint="eastAsia" w:cs="宋体"/>
          <w:bCs/>
          <w:color w:val="auto"/>
          <w:sz w:val="21"/>
          <w:szCs w:val="21"/>
          <w:highlight w:val="none"/>
        </w:rPr>
        <w:t>1. 发包人承诺按照法律规定履行项目审批手续、筹集工程建设资金并按照合同约定的期限和方式支付合同价款。</w:t>
      </w:r>
    </w:p>
    <w:p w14:paraId="3099FA3E">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bCs/>
          <w:color w:val="auto"/>
          <w:sz w:val="21"/>
          <w:szCs w:val="21"/>
          <w:highlight w:val="none"/>
        </w:rPr>
      </w:pPr>
      <w:r>
        <w:rPr>
          <w:rFonts w:hint="eastAsia" w:cs="宋体"/>
          <w:bCs/>
          <w:color w:val="auto"/>
          <w:sz w:val="21"/>
          <w:szCs w:val="21"/>
          <w:highlight w:val="none"/>
        </w:rPr>
        <w:t>2. 承包人承诺按照法律规定及合同约定组织完成工程施工，确保工程质量和安全，不进行转包及违法分包，并在缺陷责任期及保修期内承担相应的工程维修责任。</w:t>
      </w:r>
    </w:p>
    <w:p w14:paraId="3DE1ECD5">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bCs/>
          <w:color w:val="auto"/>
          <w:sz w:val="21"/>
          <w:szCs w:val="21"/>
          <w:highlight w:val="none"/>
        </w:rPr>
      </w:pPr>
      <w:r>
        <w:rPr>
          <w:rFonts w:hint="eastAsia" w:cs="宋体"/>
          <w:bCs/>
          <w:color w:val="auto"/>
          <w:sz w:val="21"/>
          <w:szCs w:val="21"/>
          <w:highlight w:val="none"/>
        </w:rPr>
        <w:t>3. 发包人和承包人通过招投标形式签订合同的，双方理解并承诺不再就同一工程另行签订与合同实质性内容相背离的协议。</w:t>
      </w:r>
    </w:p>
    <w:p w14:paraId="2B7F8936">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cs="宋体"/>
          <w:b/>
          <w:color w:val="auto"/>
          <w:sz w:val="21"/>
          <w:szCs w:val="21"/>
          <w:highlight w:val="none"/>
        </w:rPr>
      </w:pPr>
      <w:bookmarkStart w:id="48" w:name="_Toc351203488"/>
      <w:r>
        <w:rPr>
          <w:rFonts w:hint="eastAsia" w:cs="宋体"/>
          <w:b/>
          <w:color w:val="auto"/>
          <w:sz w:val="21"/>
          <w:szCs w:val="21"/>
          <w:highlight w:val="none"/>
        </w:rPr>
        <w:t>八、词语含义</w:t>
      </w:r>
      <w:bookmarkEnd w:id="48"/>
    </w:p>
    <w:p w14:paraId="7A536C29">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bCs/>
          <w:color w:val="auto"/>
          <w:sz w:val="21"/>
          <w:szCs w:val="21"/>
          <w:highlight w:val="none"/>
        </w:rPr>
      </w:pPr>
      <w:r>
        <w:rPr>
          <w:rFonts w:hint="eastAsia" w:cs="宋体"/>
          <w:bCs/>
          <w:color w:val="auto"/>
          <w:sz w:val="21"/>
          <w:szCs w:val="21"/>
          <w:highlight w:val="none"/>
        </w:rPr>
        <w:t>本协议书中词语含义与第二部分通用合同条款中赋予的含义相同。</w:t>
      </w:r>
    </w:p>
    <w:p w14:paraId="340F31F5">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cs="宋体"/>
          <w:b/>
          <w:color w:val="auto"/>
          <w:sz w:val="21"/>
          <w:szCs w:val="21"/>
          <w:highlight w:val="none"/>
        </w:rPr>
      </w:pPr>
      <w:bookmarkStart w:id="49" w:name="_Toc351203489"/>
      <w:r>
        <w:rPr>
          <w:rFonts w:hint="eastAsia" w:cs="宋体"/>
          <w:b/>
          <w:color w:val="auto"/>
          <w:sz w:val="21"/>
          <w:szCs w:val="21"/>
          <w:highlight w:val="none"/>
        </w:rPr>
        <w:t>九、签订时间</w:t>
      </w:r>
      <w:bookmarkEnd w:id="49"/>
    </w:p>
    <w:p w14:paraId="5B8973B5">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bCs/>
          <w:color w:val="auto"/>
          <w:sz w:val="21"/>
          <w:szCs w:val="21"/>
          <w:highlight w:val="none"/>
        </w:rPr>
      </w:pPr>
      <w:r>
        <w:rPr>
          <w:rFonts w:hint="eastAsia" w:cs="宋体"/>
          <w:bCs/>
          <w:color w:val="auto"/>
          <w:sz w:val="21"/>
          <w:szCs w:val="21"/>
          <w:highlight w:val="none"/>
        </w:rPr>
        <w:t>本合同于</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cs="宋体"/>
          <w:bCs/>
          <w:color w:val="auto"/>
          <w:sz w:val="21"/>
          <w:szCs w:val="21"/>
          <w:highlight w:val="none"/>
        </w:rPr>
        <w:t>年</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cs="宋体"/>
          <w:bCs/>
          <w:color w:val="auto"/>
          <w:sz w:val="21"/>
          <w:szCs w:val="21"/>
          <w:highlight w:val="none"/>
          <w:u w:val="single"/>
        </w:rPr>
        <w:t xml:space="preserve"> </w:t>
      </w:r>
      <w:r>
        <w:rPr>
          <w:rFonts w:hint="eastAsia" w:cs="宋体"/>
          <w:bCs/>
          <w:color w:val="auto"/>
          <w:sz w:val="21"/>
          <w:szCs w:val="21"/>
          <w:highlight w:val="none"/>
        </w:rPr>
        <w:t>月</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cs="宋体"/>
          <w:bCs/>
          <w:color w:val="auto"/>
          <w:sz w:val="21"/>
          <w:szCs w:val="21"/>
          <w:highlight w:val="none"/>
          <w:u w:val="single"/>
        </w:rPr>
        <w:t xml:space="preserve"> </w:t>
      </w:r>
      <w:r>
        <w:rPr>
          <w:rFonts w:hint="eastAsia" w:cs="宋体"/>
          <w:bCs/>
          <w:color w:val="auto"/>
          <w:sz w:val="21"/>
          <w:szCs w:val="21"/>
          <w:highlight w:val="none"/>
        </w:rPr>
        <w:t>日签订。</w:t>
      </w:r>
    </w:p>
    <w:p w14:paraId="2B27DB1A">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cs="宋体"/>
          <w:b/>
          <w:color w:val="auto"/>
          <w:sz w:val="21"/>
          <w:szCs w:val="21"/>
          <w:highlight w:val="none"/>
        </w:rPr>
      </w:pPr>
      <w:bookmarkStart w:id="50" w:name="_Toc351203490"/>
      <w:r>
        <w:rPr>
          <w:rFonts w:hint="eastAsia" w:cs="宋体"/>
          <w:b/>
          <w:color w:val="auto"/>
          <w:sz w:val="21"/>
          <w:szCs w:val="21"/>
          <w:highlight w:val="none"/>
        </w:rPr>
        <w:t>十、签订地点</w:t>
      </w:r>
      <w:bookmarkEnd w:id="50"/>
    </w:p>
    <w:p w14:paraId="52CA982C">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bCs/>
          <w:color w:val="auto"/>
          <w:sz w:val="21"/>
          <w:szCs w:val="21"/>
          <w:highlight w:val="none"/>
        </w:rPr>
      </w:pPr>
      <w:r>
        <w:rPr>
          <w:rFonts w:hint="eastAsia" w:cs="宋体"/>
          <w:bCs/>
          <w:color w:val="auto"/>
          <w:sz w:val="21"/>
          <w:szCs w:val="21"/>
          <w:highlight w:val="none"/>
        </w:rPr>
        <w:t>本合同在</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滁州学院会峰校区</w:t>
      </w:r>
      <w:r>
        <w:rPr>
          <w:rFonts w:hint="eastAsia" w:cs="宋体"/>
          <w:bCs/>
          <w:color w:val="auto"/>
          <w:sz w:val="21"/>
          <w:szCs w:val="21"/>
          <w:highlight w:val="none"/>
          <w:u w:val="single"/>
        </w:rPr>
        <w:t xml:space="preserve">             </w:t>
      </w:r>
      <w:r>
        <w:rPr>
          <w:rFonts w:hint="eastAsia" w:cs="宋体"/>
          <w:bCs/>
          <w:color w:val="auto"/>
          <w:sz w:val="21"/>
          <w:szCs w:val="21"/>
          <w:highlight w:val="none"/>
        </w:rPr>
        <w:t>签订。</w:t>
      </w:r>
    </w:p>
    <w:p w14:paraId="250CDF1F">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cs="宋体"/>
          <w:b/>
          <w:color w:val="auto"/>
          <w:sz w:val="21"/>
          <w:szCs w:val="21"/>
          <w:highlight w:val="none"/>
        </w:rPr>
      </w:pPr>
      <w:bookmarkStart w:id="51" w:name="_Toc351203491"/>
      <w:r>
        <w:rPr>
          <w:rFonts w:hint="eastAsia" w:cs="宋体"/>
          <w:b/>
          <w:color w:val="auto"/>
          <w:sz w:val="21"/>
          <w:szCs w:val="21"/>
          <w:highlight w:val="none"/>
        </w:rPr>
        <w:t>十一、补充协议</w:t>
      </w:r>
      <w:bookmarkEnd w:id="51"/>
    </w:p>
    <w:p w14:paraId="19D9AE34">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b/>
          <w:bCs/>
          <w:color w:val="auto"/>
          <w:sz w:val="21"/>
          <w:szCs w:val="21"/>
          <w:highlight w:val="none"/>
        </w:rPr>
      </w:pPr>
      <w:r>
        <w:rPr>
          <w:rFonts w:hint="eastAsia" w:cs="宋体"/>
          <w:bCs/>
          <w:color w:val="auto"/>
          <w:sz w:val="21"/>
          <w:szCs w:val="21"/>
          <w:highlight w:val="none"/>
        </w:rPr>
        <w:t>合同未尽事宜，合同当事人另行签订补充协议，补充协议是合同的组成部分。</w:t>
      </w:r>
    </w:p>
    <w:p w14:paraId="6732A5D5">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cs="宋体"/>
          <w:b/>
          <w:color w:val="auto"/>
          <w:sz w:val="21"/>
          <w:szCs w:val="21"/>
          <w:highlight w:val="none"/>
        </w:rPr>
      </w:pPr>
      <w:bookmarkStart w:id="52" w:name="_Toc351203492"/>
      <w:r>
        <w:rPr>
          <w:rFonts w:hint="eastAsia" w:cs="宋体"/>
          <w:b/>
          <w:color w:val="auto"/>
          <w:sz w:val="21"/>
          <w:szCs w:val="21"/>
          <w:highlight w:val="none"/>
        </w:rPr>
        <w:t>十二、合同生效</w:t>
      </w:r>
      <w:bookmarkEnd w:id="52"/>
    </w:p>
    <w:p w14:paraId="727E51B0">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bCs/>
          <w:color w:val="auto"/>
          <w:sz w:val="21"/>
          <w:szCs w:val="21"/>
          <w:highlight w:val="none"/>
        </w:rPr>
      </w:pPr>
      <w:r>
        <w:rPr>
          <w:rFonts w:hint="eastAsia" w:cs="宋体"/>
          <w:bCs/>
          <w:color w:val="auto"/>
          <w:sz w:val="21"/>
          <w:szCs w:val="21"/>
          <w:highlight w:val="none"/>
        </w:rPr>
        <w:t>本合同自</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 xml:space="preserve">双方签字盖章 </w:t>
      </w:r>
      <w:r>
        <w:rPr>
          <w:rFonts w:hint="eastAsia" w:cs="宋体"/>
          <w:bCs/>
          <w:color w:val="auto"/>
          <w:sz w:val="21"/>
          <w:szCs w:val="21"/>
          <w:highlight w:val="none"/>
        </w:rPr>
        <w:t>生效。</w:t>
      </w:r>
    </w:p>
    <w:p w14:paraId="22563E66">
      <w:pPr>
        <w:keepNext w:val="0"/>
        <w:keepLines w:val="0"/>
        <w:pageBreakBefore w:val="0"/>
        <w:widowControl w:val="0"/>
        <w:kinsoku/>
        <w:wordWrap/>
        <w:overflowPunct/>
        <w:topLinePunct w:val="0"/>
        <w:bidi w:val="0"/>
        <w:snapToGrid w:val="0"/>
        <w:spacing w:beforeAutospacing="0" w:line="500" w:lineRule="exact"/>
        <w:ind w:firstLine="422" w:firstLineChars="200"/>
        <w:textAlignment w:val="auto"/>
        <w:rPr>
          <w:rFonts w:cs="宋体"/>
          <w:b/>
          <w:color w:val="auto"/>
          <w:sz w:val="21"/>
          <w:szCs w:val="21"/>
          <w:highlight w:val="none"/>
        </w:rPr>
      </w:pPr>
      <w:bookmarkStart w:id="53" w:name="_Toc351203493"/>
      <w:r>
        <w:rPr>
          <w:rFonts w:hint="eastAsia" w:cs="宋体"/>
          <w:b/>
          <w:color w:val="auto"/>
          <w:sz w:val="21"/>
          <w:szCs w:val="21"/>
          <w:highlight w:val="none"/>
        </w:rPr>
        <w:t>十三、合同份数</w:t>
      </w:r>
      <w:bookmarkEnd w:id="53"/>
    </w:p>
    <w:p w14:paraId="035B1829">
      <w:pPr>
        <w:keepNext w:val="0"/>
        <w:keepLines w:val="0"/>
        <w:pageBreakBefore w:val="0"/>
        <w:widowControl w:val="0"/>
        <w:kinsoku/>
        <w:wordWrap/>
        <w:overflowPunct/>
        <w:topLinePunct w:val="0"/>
        <w:bidi w:val="0"/>
        <w:snapToGrid w:val="0"/>
        <w:spacing w:beforeAutospacing="0" w:line="500" w:lineRule="exact"/>
        <w:ind w:firstLine="420" w:firstLineChars="200"/>
        <w:textAlignment w:val="auto"/>
        <w:rPr>
          <w:rFonts w:cs="宋体"/>
          <w:bCs/>
          <w:color w:val="auto"/>
          <w:sz w:val="21"/>
          <w:szCs w:val="21"/>
          <w:highlight w:val="none"/>
        </w:rPr>
      </w:pPr>
      <w:r>
        <w:rPr>
          <w:rFonts w:hint="eastAsia" w:cs="宋体"/>
          <w:bCs/>
          <w:color w:val="auto"/>
          <w:sz w:val="21"/>
          <w:szCs w:val="21"/>
          <w:highlight w:val="none"/>
        </w:rPr>
        <w:t>本合同一式</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捌</w:t>
      </w:r>
      <w:r>
        <w:rPr>
          <w:rFonts w:hint="eastAsia" w:cs="宋体"/>
          <w:bCs/>
          <w:color w:val="auto"/>
          <w:sz w:val="21"/>
          <w:szCs w:val="21"/>
          <w:highlight w:val="none"/>
          <w:u w:val="single"/>
        </w:rPr>
        <w:t xml:space="preserve"> </w:t>
      </w:r>
      <w:r>
        <w:rPr>
          <w:rFonts w:hint="eastAsia" w:cs="宋体"/>
          <w:bCs/>
          <w:color w:val="auto"/>
          <w:sz w:val="21"/>
          <w:szCs w:val="21"/>
          <w:highlight w:val="none"/>
        </w:rPr>
        <w:t>份，均具有同等法律效力，发包人执</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陆</w:t>
      </w:r>
      <w:r>
        <w:rPr>
          <w:rFonts w:hint="eastAsia" w:cs="宋体"/>
          <w:bCs/>
          <w:color w:val="auto"/>
          <w:sz w:val="21"/>
          <w:szCs w:val="21"/>
          <w:highlight w:val="none"/>
          <w:u w:val="single"/>
        </w:rPr>
        <w:t xml:space="preserve"> </w:t>
      </w:r>
      <w:r>
        <w:rPr>
          <w:rFonts w:hint="eastAsia" w:cs="宋体"/>
          <w:bCs/>
          <w:color w:val="auto"/>
          <w:sz w:val="21"/>
          <w:szCs w:val="21"/>
          <w:highlight w:val="none"/>
        </w:rPr>
        <w:t>份，承包人执</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贰</w:t>
      </w:r>
      <w:r>
        <w:rPr>
          <w:rFonts w:hint="eastAsia" w:cs="宋体"/>
          <w:bCs/>
          <w:color w:val="auto"/>
          <w:sz w:val="21"/>
          <w:szCs w:val="21"/>
          <w:highlight w:val="none"/>
          <w:u w:val="single"/>
        </w:rPr>
        <w:t xml:space="preserve">  </w:t>
      </w:r>
      <w:r>
        <w:rPr>
          <w:rFonts w:hint="eastAsia" w:cs="宋体"/>
          <w:bCs/>
          <w:color w:val="auto"/>
          <w:sz w:val="21"/>
          <w:szCs w:val="21"/>
          <w:highlight w:val="none"/>
        </w:rPr>
        <w:t>份。</w:t>
      </w:r>
    </w:p>
    <w:p w14:paraId="7675438C">
      <w:pPr>
        <w:keepNext w:val="0"/>
        <w:keepLines w:val="0"/>
        <w:pageBreakBefore w:val="0"/>
        <w:widowControl w:val="0"/>
        <w:kinsoku/>
        <w:wordWrap/>
        <w:overflowPunct/>
        <w:topLinePunct w:val="0"/>
        <w:bidi w:val="0"/>
        <w:snapToGrid w:val="0"/>
        <w:spacing w:beforeAutospacing="0" w:line="500" w:lineRule="exact"/>
        <w:textAlignment w:val="auto"/>
        <w:rPr>
          <w:rFonts w:cs="宋体"/>
          <w:color w:val="auto"/>
          <w:sz w:val="21"/>
          <w:szCs w:val="21"/>
          <w:highlight w:val="none"/>
        </w:rPr>
      </w:pPr>
      <w:r>
        <w:rPr>
          <w:rFonts w:hint="eastAsia" w:cs="宋体"/>
          <w:color w:val="auto"/>
          <w:sz w:val="21"/>
          <w:szCs w:val="21"/>
          <w:highlight w:val="none"/>
        </w:rPr>
        <w:t>发包人：</w:t>
      </w:r>
      <w:r>
        <w:rPr>
          <w:rFonts w:hint="eastAsia" w:cs="宋体"/>
          <w:color w:val="auto"/>
          <w:sz w:val="21"/>
          <w:szCs w:val="21"/>
          <w:highlight w:val="none"/>
          <w:u w:val="single"/>
          <w:lang w:val="en-US" w:eastAsia="zh-CN"/>
        </w:rPr>
        <w:t>滁州学院</w:t>
      </w:r>
      <w:r>
        <w:rPr>
          <w:rFonts w:hint="eastAsia" w:cs="宋体"/>
          <w:color w:val="auto"/>
          <w:sz w:val="21"/>
          <w:szCs w:val="21"/>
          <w:highlight w:val="none"/>
          <w:u w:val="single"/>
        </w:rPr>
        <w:t>（</w:t>
      </w:r>
      <w:r>
        <w:rPr>
          <w:rFonts w:hint="eastAsia" w:cs="宋体"/>
          <w:color w:val="auto"/>
          <w:sz w:val="21"/>
          <w:szCs w:val="21"/>
          <w:highlight w:val="none"/>
        </w:rPr>
        <w:t>公章）                 承包人：</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w:t>
      </w:r>
      <w:r>
        <w:rPr>
          <w:rFonts w:hint="eastAsia" w:cs="宋体"/>
          <w:color w:val="auto"/>
          <w:sz w:val="21"/>
          <w:szCs w:val="21"/>
          <w:highlight w:val="none"/>
        </w:rPr>
        <w:t>公章）</w:t>
      </w:r>
    </w:p>
    <w:p w14:paraId="798F2604">
      <w:pPr>
        <w:keepNext w:val="0"/>
        <w:keepLines w:val="0"/>
        <w:pageBreakBefore w:val="0"/>
        <w:widowControl w:val="0"/>
        <w:kinsoku/>
        <w:wordWrap/>
        <w:overflowPunct/>
        <w:topLinePunct w:val="0"/>
        <w:bidi w:val="0"/>
        <w:snapToGrid w:val="0"/>
        <w:spacing w:beforeAutospacing="0" w:line="500" w:lineRule="exact"/>
        <w:textAlignment w:val="auto"/>
        <w:rPr>
          <w:rFonts w:cs="宋体"/>
          <w:color w:val="auto"/>
          <w:sz w:val="21"/>
          <w:szCs w:val="21"/>
          <w:highlight w:val="none"/>
        </w:rPr>
      </w:pPr>
      <w:r>
        <w:rPr>
          <w:rFonts w:hint="eastAsia" w:cs="宋体"/>
          <w:color w:val="auto"/>
          <w:sz w:val="21"/>
          <w:szCs w:val="21"/>
          <w:highlight w:val="none"/>
        </w:rPr>
        <w:t>法定代表人或其委托代理人：                 法定代表人或其委托代理人：</w:t>
      </w:r>
    </w:p>
    <w:p w14:paraId="45FBA967">
      <w:pPr>
        <w:keepNext w:val="0"/>
        <w:keepLines w:val="0"/>
        <w:pageBreakBefore w:val="0"/>
        <w:widowControl w:val="0"/>
        <w:kinsoku/>
        <w:wordWrap/>
        <w:overflowPunct/>
        <w:topLinePunct w:val="0"/>
        <w:bidi w:val="0"/>
        <w:snapToGrid w:val="0"/>
        <w:spacing w:beforeAutospacing="0" w:line="500" w:lineRule="exact"/>
        <w:textAlignment w:val="auto"/>
        <w:rPr>
          <w:rFonts w:cs="宋体"/>
          <w:color w:val="auto"/>
          <w:sz w:val="21"/>
          <w:szCs w:val="21"/>
          <w:highlight w:val="none"/>
        </w:rPr>
      </w:pPr>
      <w:r>
        <w:rPr>
          <w:rFonts w:hint="eastAsia" w:cs="宋体"/>
          <w:color w:val="auto"/>
          <w:sz w:val="21"/>
          <w:szCs w:val="21"/>
          <w:highlight w:val="none"/>
        </w:rPr>
        <w:t>（</w:t>
      </w:r>
      <w:r>
        <w:rPr>
          <w:rFonts w:hint="eastAsia" w:cs="宋体"/>
          <w:color w:val="auto"/>
          <w:sz w:val="21"/>
          <w:szCs w:val="21"/>
          <w:highlight w:val="none"/>
          <w:lang w:val="en-US" w:eastAsia="zh-CN"/>
        </w:rPr>
        <w:t>签章</w:t>
      </w:r>
      <w:r>
        <w:rPr>
          <w:rFonts w:hint="eastAsia" w:cs="宋体"/>
          <w:color w:val="auto"/>
          <w:sz w:val="21"/>
          <w:szCs w:val="21"/>
          <w:highlight w:val="none"/>
        </w:rPr>
        <w:t>）</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lang w:val="en-US" w:eastAsia="zh-CN"/>
        </w:rPr>
        <w:t>签章</w:t>
      </w:r>
      <w:r>
        <w:rPr>
          <w:rFonts w:hint="eastAsia" w:cs="宋体"/>
          <w:color w:val="auto"/>
          <w:sz w:val="21"/>
          <w:szCs w:val="21"/>
          <w:highlight w:val="none"/>
        </w:rPr>
        <w:t>）</w:t>
      </w:r>
      <w:r>
        <w:rPr>
          <w:rFonts w:hint="eastAsia" w:cs="宋体"/>
          <w:color w:val="auto"/>
          <w:sz w:val="21"/>
          <w:szCs w:val="21"/>
          <w:highlight w:val="none"/>
          <w:u w:val="single"/>
        </w:rPr>
        <w:t xml:space="preserve">                   </w:t>
      </w:r>
    </w:p>
    <w:p w14:paraId="588A9954">
      <w:pPr>
        <w:keepNext w:val="0"/>
        <w:keepLines w:val="0"/>
        <w:pageBreakBefore w:val="0"/>
        <w:widowControl w:val="0"/>
        <w:tabs>
          <w:tab w:val="left" w:pos="4410"/>
        </w:tabs>
        <w:kinsoku/>
        <w:wordWrap/>
        <w:overflowPunct/>
        <w:topLinePunct w:val="0"/>
        <w:bidi w:val="0"/>
        <w:snapToGrid w:val="0"/>
        <w:spacing w:beforeAutospacing="0" w:line="500" w:lineRule="exact"/>
        <w:textAlignment w:val="auto"/>
        <w:rPr>
          <w:rFonts w:cs="宋体"/>
          <w:color w:val="auto"/>
          <w:sz w:val="21"/>
          <w:szCs w:val="21"/>
          <w:highlight w:val="none"/>
        </w:rPr>
      </w:pPr>
      <w:r>
        <w:rPr>
          <w:rFonts w:hint="eastAsia" w:cs="宋体"/>
          <w:color w:val="auto"/>
          <w:sz w:val="21"/>
          <w:szCs w:val="21"/>
          <w:highlight w:val="none"/>
        </w:rPr>
        <w:t>组织机构代码：</w:t>
      </w:r>
      <w:r>
        <w:rPr>
          <w:rFonts w:hint="eastAsia" w:cs="宋体"/>
          <w:color w:val="auto"/>
          <w:sz w:val="21"/>
          <w:szCs w:val="21"/>
          <w:highlight w:val="none"/>
          <w:u w:val="single"/>
        </w:rPr>
        <w:t>123400004860905355</w:t>
      </w:r>
      <w:r>
        <w:rPr>
          <w:rFonts w:hint="eastAsia" w:cs="宋体"/>
          <w:color w:val="auto"/>
          <w:sz w:val="21"/>
          <w:szCs w:val="21"/>
          <w:highlight w:val="none"/>
        </w:rPr>
        <w:t xml:space="preserve">           组织机构代码：</w:t>
      </w:r>
      <w:r>
        <w:rPr>
          <w:rFonts w:hint="eastAsia" w:cs="宋体"/>
          <w:color w:val="auto"/>
          <w:sz w:val="21"/>
          <w:szCs w:val="21"/>
          <w:highlight w:val="none"/>
          <w:u w:val="single"/>
        </w:rPr>
        <w:t xml:space="preserve">        </w:t>
      </w:r>
    </w:p>
    <w:p w14:paraId="2D235A45">
      <w:pPr>
        <w:keepNext w:val="0"/>
        <w:keepLines w:val="0"/>
        <w:pageBreakBefore w:val="0"/>
        <w:widowControl w:val="0"/>
        <w:kinsoku/>
        <w:wordWrap/>
        <w:overflowPunct/>
        <w:topLinePunct w:val="0"/>
        <w:bidi w:val="0"/>
        <w:snapToGrid w:val="0"/>
        <w:spacing w:beforeAutospacing="0" w:line="500" w:lineRule="exact"/>
        <w:textAlignment w:val="auto"/>
        <w:rPr>
          <w:rFonts w:cs="宋体"/>
          <w:color w:val="auto"/>
          <w:sz w:val="21"/>
          <w:szCs w:val="21"/>
          <w:highlight w:val="none"/>
        </w:rPr>
      </w:pPr>
      <w:r>
        <w:rPr>
          <w:rFonts w:hint="eastAsia" w:cs="宋体"/>
          <w:color w:val="auto"/>
          <w:sz w:val="21"/>
          <w:szCs w:val="21"/>
          <w:highlight w:val="none"/>
        </w:rPr>
        <w:t>地  址：</w:t>
      </w:r>
      <w:r>
        <w:rPr>
          <w:rFonts w:hint="eastAsia" w:ascii="宋体" w:hAnsi="宋体" w:eastAsia="宋体" w:cs="宋体"/>
          <w:color w:val="auto"/>
          <w:sz w:val="21"/>
          <w:szCs w:val="21"/>
          <w:highlight w:val="none"/>
          <w:u w:val="single"/>
        </w:rPr>
        <w:t>安徽省滁州市南谯区会</w:t>
      </w:r>
      <w:r>
        <w:rPr>
          <w:rFonts w:hint="eastAsia" w:ascii="宋体" w:hAnsi="宋体" w:eastAsia="宋体" w:cs="宋体"/>
          <w:color w:val="auto"/>
          <w:sz w:val="21"/>
          <w:szCs w:val="21"/>
          <w:highlight w:val="none"/>
          <w:u w:val="single"/>
          <w:lang w:val="en-US" w:eastAsia="zh-CN"/>
        </w:rPr>
        <w:t>峰</w:t>
      </w:r>
      <w:r>
        <w:rPr>
          <w:rFonts w:hint="eastAsia" w:ascii="宋体" w:hAnsi="宋体" w:eastAsia="宋体" w:cs="宋体"/>
          <w:color w:val="auto"/>
          <w:sz w:val="21"/>
          <w:szCs w:val="21"/>
          <w:highlight w:val="none"/>
          <w:u w:val="single"/>
        </w:rPr>
        <w:t xml:space="preserve">西路1号  </w:t>
      </w:r>
      <w:r>
        <w:rPr>
          <w:rFonts w:hint="eastAsia" w:cs="宋体"/>
          <w:color w:val="auto"/>
          <w:sz w:val="21"/>
          <w:szCs w:val="21"/>
          <w:highlight w:val="none"/>
        </w:rPr>
        <w:t xml:space="preserve">   地  址：</w:t>
      </w:r>
      <w:r>
        <w:rPr>
          <w:rFonts w:hint="eastAsia" w:cs="宋体"/>
          <w:color w:val="auto"/>
          <w:sz w:val="21"/>
          <w:szCs w:val="21"/>
          <w:highlight w:val="none"/>
          <w:u w:val="single"/>
        </w:rPr>
        <w:t xml:space="preserve">     </w:t>
      </w:r>
    </w:p>
    <w:p w14:paraId="29E54238">
      <w:pPr>
        <w:keepNext w:val="0"/>
        <w:keepLines w:val="0"/>
        <w:pageBreakBefore w:val="0"/>
        <w:widowControl w:val="0"/>
        <w:kinsoku/>
        <w:wordWrap/>
        <w:overflowPunct/>
        <w:topLinePunct w:val="0"/>
        <w:bidi w:val="0"/>
        <w:snapToGrid w:val="0"/>
        <w:spacing w:beforeAutospacing="0" w:line="500" w:lineRule="exact"/>
        <w:textAlignment w:val="auto"/>
        <w:rPr>
          <w:rFonts w:cs="宋体"/>
          <w:color w:val="auto"/>
          <w:sz w:val="21"/>
          <w:szCs w:val="21"/>
          <w:highlight w:val="none"/>
        </w:rPr>
      </w:pPr>
      <w:r>
        <w:rPr>
          <w:rFonts w:hint="eastAsia" w:cs="宋体"/>
          <w:color w:val="auto"/>
          <w:sz w:val="21"/>
          <w:szCs w:val="21"/>
          <w:highlight w:val="none"/>
        </w:rPr>
        <w:t>邮政编码：</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239000</w:t>
      </w:r>
      <w:r>
        <w:rPr>
          <w:rFonts w:hint="eastAsia" w:cs="宋体"/>
          <w:color w:val="auto"/>
          <w:sz w:val="21"/>
          <w:szCs w:val="21"/>
          <w:highlight w:val="none"/>
          <w:u w:val="single"/>
        </w:rPr>
        <w:t xml:space="preserve">    </w:t>
      </w:r>
      <w:r>
        <w:rPr>
          <w:rFonts w:hint="eastAsia" w:cs="宋体"/>
          <w:color w:val="auto"/>
          <w:sz w:val="21"/>
          <w:szCs w:val="21"/>
          <w:highlight w:val="none"/>
        </w:rPr>
        <w:t xml:space="preserve">              </w:t>
      </w:r>
      <w:r>
        <w:rPr>
          <w:rFonts w:hint="eastAsia" w:cs="宋体"/>
          <w:color w:val="auto"/>
          <w:sz w:val="21"/>
          <w:szCs w:val="21"/>
          <w:highlight w:val="none"/>
          <w:lang w:val="en-US" w:eastAsia="zh-CN"/>
        </w:rPr>
        <w:t xml:space="preserve">      </w:t>
      </w:r>
      <w:r>
        <w:rPr>
          <w:rFonts w:hint="eastAsia" w:cs="宋体"/>
          <w:color w:val="auto"/>
          <w:sz w:val="21"/>
          <w:szCs w:val="21"/>
          <w:highlight w:val="none"/>
        </w:rPr>
        <w:t xml:space="preserve"> 邮政编码：</w:t>
      </w:r>
      <w:r>
        <w:rPr>
          <w:rFonts w:hint="eastAsia" w:cs="宋体"/>
          <w:color w:val="auto"/>
          <w:sz w:val="21"/>
          <w:szCs w:val="21"/>
          <w:highlight w:val="none"/>
          <w:u w:val="single"/>
        </w:rPr>
        <w:t xml:space="preserve"> </w:t>
      </w:r>
    </w:p>
    <w:p w14:paraId="3CB566CD">
      <w:pPr>
        <w:keepNext w:val="0"/>
        <w:keepLines w:val="0"/>
        <w:pageBreakBefore w:val="0"/>
        <w:widowControl w:val="0"/>
        <w:kinsoku/>
        <w:wordWrap/>
        <w:overflowPunct/>
        <w:topLinePunct w:val="0"/>
        <w:bidi w:val="0"/>
        <w:snapToGrid w:val="0"/>
        <w:spacing w:beforeAutospacing="0" w:line="500" w:lineRule="exact"/>
        <w:textAlignment w:val="auto"/>
        <w:rPr>
          <w:rFonts w:cs="宋体"/>
          <w:color w:val="auto"/>
          <w:sz w:val="21"/>
          <w:szCs w:val="21"/>
          <w:highlight w:val="none"/>
        </w:rPr>
      </w:pPr>
      <w:r>
        <w:rPr>
          <w:rFonts w:hint="eastAsia" w:cs="宋体"/>
          <w:color w:val="auto"/>
          <w:sz w:val="21"/>
          <w:szCs w:val="21"/>
          <w:highlight w:val="none"/>
        </w:rPr>
        <w:t>法定代表人：</w:t>
      </w:r>
      <w:r>
        <w:rPr>
          <w:rFonts w:hint="eastAsia" w:cs="宋体"/>
          <w:color w:val="auto"/>
          <w:sz w:val="21"/>
          <w:szCs w:val="21"/>
          <w:highlight w:val="none"/>
          <w:u w:val="single"/>
        </w:rPr>
        <w:t xml:space="preserve">           </w:t>
      </w:r>
      <w:r>
        <w:rPr>
          <w:rFonts w:hint="eastAsia" w:cs="宋体"/>
          <w:color w:val="auto"/>
          <w:sz w:val="21"/>
          <w:szCs w:val="21"/>
          <w:highlight w:val="none"/>
        </w:rPr>
        <w:t xml:space="preserve">                法定代表人：</w:t>
      </w:r>
      <w:r>
        <w:rPr>
          <w:rFonts w:hint="eastAsia" w:cs="宋体"/>
          <w:color w:val="auto"/>
          <w:sz w:val="21"/>
          <w:szCs w:val="21"/>
          <w:highlight w:val="none"/>
          <w:u w:val="single"/>
        </w:rPr>
        <w:t xml:space="preserve">          </w:t>
      </w:r>
    </w:p>
    <w:p w14:paraId="1180C263">
      <w:pPr>
        <w:keepNext w:val="0"/>
        <w:keepLines w:val="0"/>
        <w:pageBreakBefore w:val="0"/>
        <w:widowControl w:val="0"/>
        <w:kinsoku/>
        <w:wordWrap/>
        <w:overflowPunct/>
        <w:topLinePunct w:val="0"/>
        <w:bidi w:val="0"/>
        <w:snapToGrid w:val="0"/>
        <w:spacing w:beforeAutospacing="0" w:line="500" w:lineRule="exact"/>
        <w:textAlignment w:val="auto"/>
        <w:rPr>
          <w:rFonts w:cs="宋体"/>
          <w:color w:val="auto"/>
          <w:sz w:val="21"/>
          <w:szCs w:val="21"/>
          <w:highlight w:val="none"/>
        </w:rPr>
      </w:pPr>
      <w:r>
        <w:rPr>
          <w:rFonts w:hint="eastAsia" w:cs="宋体"/>
          <w:color w:val="auto"/>
          <w:sz w:val="21"/>
          <w:szCs w:val="21"/>
          <w:highlight w:val="none"/>
        </w:rPr>
        <w:t>委托代理人：</w:t>
      </w:r>
      <w:r>
        <w:rPr>
          <w:rFonts w:hint="eastAsia" w:cs="宋体"/>
          <w:color w:val="auto"/>
          <w:sz w:val="21"/>
          <w:szCs w:val="21"/>
          <w:highlight w:val="none"/>
          <w:u w:val="single"/>
        </w:rPr>
        <w:t xml:space="preserve">           </w:t>
      </w:r>
      <w:r>
        <w:rPr>
          <w:rFonts w:hint="eastAsia" w:cs="宋体"/>
          <w:color w:val="auto"/>
          <w:sz w:val="21"/>
          <w:szCs w:val="21"/>
          <w:highlight w:val="none"/>
        </w:rPr>
        <w:t xml:space="preserve">                委托代理人：</w:t>
      </w:r>
      <w:r>
        <w:rPr>
          <w:rFonts w:hint="eastAsia" w:cs="宋体"/>
          <w:color w:val="auto"/>
          <w:sz w:val="21"/>
          <w:szCs w:val="21"/>
          <w:highlight w:val="none"/>
          <w:u w:val="single"/>
        </w:rPr>
        <w:t xml:space="preserve">          </w:t>
      </w:r>
    </w:p>
    <w:p w14:paraId="53A669AD">
      <w:pPr>
        <w:keepNext w:val="0"/>
        <w:keepLines w:val="0"/>
        <w:pageBreakBefore w:val="0"/>
        <w:widowControl w:val="0"/>
        <w:kinsoku/>
        <w:wordWrap/>
        <w:overflowPunct/>
        <w:topLinePunct w:val="0"/>
        <w:bidi w:val="0"/>
        <w:snapToGrid w:val="0"/>
        <w:spacing w:beforeAutospacing="0" w:line="500" w:lineRule="exact"/>
        <w:textAlignment w:val="auto"/>
        <w:rPr>
          <w:rFonts w:cs="宋体"/>
          <w:color w:val="auto"/>
          <w:sz w:val="21"/>
          <w:szCs w:val="21"/>
          <w:highlight w:val="none"/>
        </w:rPr>
      </w:pPr>
      <w:r>
        <w:rPr>
          <w:rFonts w:hint="eastAsia" w:cs="宋体"/>
          <w:color w:val="auto"/>
          <w:sz w:val="21"/>
          <w:szCs w:val="21"/>
          <w:highlight w:val="none"/>
        </w:rPr>
        <w:t>电  话：</w:t>
      </w:r>
      <w:r>
        <w:rPr>
          <w:rFonts w:hint="eastAsia" w:cs="宋体"/>
          <w:color w:val="auto"/>
          <w:sz w:val="21"/>
          <w:szCs w:val="21"/>
          <w:highlight w:val="none"/>
          <w:u w:val="single"/>
        </w:rPr>
        <w:t xml:space="preserve">   </w:t>
      </w:r>
      <w:r>
        <w:rPr>
          <w:rFonts w:hint="eastAsia" w:cs="宋体"/>
          <w:color w:val="auto"/>
          <w:sz w:val="21"/>
          <w:szCs w:val="21"/>
          <w:highlight w:val="none"/>
        </w:rPr>
        <w:t xml:space="preserve">                电  话：</w:t>
      </w:r>
      <w:r>
        <w:rPr>
          <w:rFonts w:hint="eastAsia" w:cs="宋体"/>
          <w:color w:val="auto"/>
          <w:sz w:val="21"/>
          <w:szCs w:val="21"/>
          <w:highlight w:val="none"/>
          <w:u w:val="single"/>
        </w:rPr>
        <w:t xml:space="preserve">  </w:t>
      </w:r>
    </w:p>
    <w:p w14:paraId="7021176D">
      <w:pPr>
        <w:keepNext w:val="0"/>
        <w:keepLines w:val="0"/>
        <w:pageBreakBefore w:val="0"/>
        <w:widowControl w:val="0"/>
        <w:kinsoku/>
        <w:wordWrap/>
        <w:overflowPunct/>
        <w:topLinePunct w:val="0"/>
        <w:bidi w:val="0"/>
        <w:snapToGrid w:val="0"/>
        <w:spacing w:beforeAutospacing="0" w:line="500" w:lineRule="exact"/>
        <w:textAlignment w:val="auto"/>
        <w:rPr>
          <w:rFonts w:cs="宋体"/>
          <w:color w:val="auto"/>
          <w:sz w:val="21"/>
          <w:szCs w:val="21"/>
          <w:highlight w:val="none"/>
        </w:rPr>
      </w:pPr>
      <w:r>
        <w:rPr>
          <w:rFonts w:hint="eastAsia" w:cs="宋体"/>
          <w:color w:val="auto"/>
          <w:sz w:val="21"/>
          <w:szCs w:val="21"/>
          <w:highlight w:val="none"/>
        </w:rPr>
        <w:t>传  真：</w:t>
      </w:r>
      <w:r>
        <w:rPr>
          <w:rFonts w:hint="eastAsia" w:cs="宋体"/>
          <w:color w:val="auto"/>
          <w:sz w:val="21"/>
          <w:szCs w:val="21"/>
          <w:highlight w:val="none"/>
          <w:u w:val="single"/>
        </w:rPr>
        <w:t xml:space="preserve">   </w:t>
      </w:r>
      <w:r>
        <w:rPr>
          <w:rFonts w:hint="eastAsia" w:cs="宋体"/>
          <w:color w:val="auto"/>
          <w:sz w:val="21"/>
          <w:szCs w:val="21"/>
          <w:highlight w:val="none"/>
        </w:rPr>
        <w:t xml:space="preserve">                传  真：</w:t>
      </w:r>
      <w:r>
        <w:rPr>
          <w:rFonts w:hint="eastAsia" w:cs="宋体"/>
          <w:color w:val="auto"/>
          <w:sz w:val="21"/>
          <w:szCs w:val="21"/>
          <w:highlight w:val="none"/>
          <w:u w:val="single"/>
        </w:rPr>
        <w:t>  </w:t>
      </w:r>
    </w:p>
    <w:p w14:paraId="68FB3B82">
      <w:pPr>
        <w:keepNext w:val="0"/>
        <w:keepLines w:val="0"/>
        <w:pageBreakBefore w:val="0"/>
        <w:widowControl w:val="0"/>
        <w:kinsoku/>
        <w:wordWrap/>
        <w:overflowPunct/>
        <w:topLinePunct w:val="0"/>
        <w:bidi w:val="0"/>
        <w:snapToGrid w:val="0"/>
        <w:spacing w:beforeAutospacing="0" w:line="500" w:lineRule="exact"/>
        <w:textAlignment w:val="auto"/>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 xml:space="preserve">                电子信箱：</w:t>
      </w:r>
      <w:r>
        <w:rPr>
          <w:rFonts w:hint="eastAsia" w:cs="宋体"/>
          <w:color w:val="auto"/>
          <w:sz w:val="21"/>
          <w:szCs w:val="21"/>
          <w:highlight w:val="none"/>
          <w:u w:val="single"/>
        </w:rPr>
        <w:t></w:t>
      </w:r>
    </w:p>
    <w:p w14:paraId="3694B628">
      <w:pPr>
        <w:keepNext w:val="0"/>
        <w:keepLines w:val="0"/>
        <w:pageBreakBefore w:val="0"/>
        <w:widowControl w:val="0"/>
        <w:kinsoku/>
        <w:wordWrap/>
        <w:overflowPunct/>
        <w:topLinePunct w:val="0"/>
        <w:bidi w:val="0"/>
        <w:snapToGrid w:val="0"/>
        <w:spacing w:beforeAutospacing="0" w:line="500" w:lineRule="exact"/>
        <w:textAlignment w:val="auto"/>
        <w:rPr>
          <w:rFonts w:hint="eastAsia" w:cs="宋体"/>
          <w:color w:val="auto"/>
          <w:sz w:val="21"/>
          <w:szCs w:val="21"/>
          <w:highlight w:val="none"/>
          <w:u w:val="single"/>
        </w:rPr>
      </w:pPr>
      <w:r>
        <w:rPr>
          <w:rFonts w:hint="eastAsia" w:cs="宋体"/>
          <w:color w:val="auto"/>
          <w:sz w:val="21"/>
          <w:szCs w:val="21"/>
          <w:highlight w:val="none"/>
        </w:rPr>
        <w:t>开户银行：</w:t>
      </w:r>
      <w:r>
        <w:rPr>
          <w:rFonts w:hint="eastAsia" w:cs="宋体"/>
          <w:color w:val="auto"/>
          <w:sz w:val="21"/>
          <w:szCs w:val="21"/>
          <w:highlight w:val="none"/>
          <w:u w:val="single"/>
        </w:rPr>
        <w:t>中国工商银行滁州市醉翁亭支行</w:t>
      </w:r>
      <w:r>
        <w:rPr>
          <w:rFonts w:hint="eastAsia" w:cs="宋体"/>
          <w:color w:val="auto"/>
          <w:sz w:val="21"/>
          <w:szCs w:val="21"/>
          <w:highlight w:val="none"/>
        </w:rPr>
        <w:t xml:space="preserve">     开户银行：</w:t>
      </w:r>
      <w:r>
        <w:rPr>
          <w:rFonts w:hint="eastAsia" w:cs="宋体"/>
          <w:color w:val="auto"/>
          <w:sz w:val="21"/>
          <w:szCs w:val="21"/>
          <w:highlight w:val="none"/>
          <w:u w:val="single"/>
        </w:rPr>
        <w:t></w:t>
      </w:r>
    </w:p>
    <w:p w14:paraId="12E82533">
      <w:pPr>
        <w:keepNext w:val="0"/>
        <w:keepLines w:val="0"/>
        <w:pageBreakBefore w:val="0"/>
        <w:widowControl w:val="0"/>
        <w:kinsoku/>
        <w:wordWrap/>
        <w:overflowPunct/>
        <w:topLinePunct w:val="0"/>
        <w:bidi w:val="0"/>
        <w:snapToGrid w:val="0"/>
        <w:spacing w:beforeAutospacing="0" w:line="500" w:lineRule="exact"/>
        <w:textAlignment w:val="auto"/>
        <w:rPr>
          <w:rFonts w:cs="宋体"/>
          <w:bCs/>
          <w:color w:val="auto"/>
          <w:sz w:val="21"/>
          <w:szCs w:val="21"/>
          <w:highlight w:val="none"/>
        </w:rPr>
      </w:pPr>
      <w:r>
        <w:rPr>
          <w:rFonts w:hint="eastAsia" w:cs="宋体"/>
          <w:color w:val="auto"/>
          <w:sz w:val="21"/>
          <w:szCs w:val="21"/>
          <w:highlight w:val="none"/>
        </w:rPr>
        <w:t>账  号：</w:t>
      </w:r>
      <w:r>
        <w:rPr>
          <w:rFonts w:hint="eastAsia" w:cs="宋体"/>
          <w:color w:val="auto"/>
          <w:sz w:val="21"/>
          <w:szCs w:val="21"/>
          <w:highlight w:val="none"/>
          <w:u w:val="single"/>
        </w:rPr>
        <w:t>1313062809024904784</w:t>
      </w:r>
      <w:r>
        <w:rPr>
          <w:rFonts w:hint="eastAsia" w:cs="宋体"/>
          <w:color w:val="auto"/>
          <w:sz w:val="21"/>
          <w:szCs w:val="21"/>
          <w:highlight w:val="none"/>
        </w:rPr>
        <w:t xml:space="preserve">               账  号：</w:t>
      </w:r>
      <w:r>
        <w:rPr>
          <w:rFonts w:hint="eastAsia" w:cs="宋体"/>
          <w:color w:val="auto"/>
          <w:sz w:val="21"/>
          <w:szCs w:val="21"/>
          <w:highlight w:val="none"/>
          <w:u w:val="single"/>
        </w:rPr>
        <w:t xml:space="preserve">   </w:t>
      </w:r>
      <w:r>
        <w:rPr>
          <w:rFonts w:hint="eastAsia" w:cs="宋体"/>
          <w:b/>
          <w:bCs/>
          <w:color w:val="auto"/>
          <w:sz w:val="21"/>
          <w:szCs w:val="21"/>
          <w:highlight w:val="none"/>
        </w:rPr>
        <w:br w:type="page"/>
      </w:r>
      <w:bookmarkStart w:id="54" w:name="_Toc28799377"/>
      <w:bookmarkStart w:id="55" w:name="_Toc130919121"/>
      <w:bookmarkStart w:id="56" w:name="_Toc30550"/>
      <w:r>
        <w:rPr>
          <w:rFonts w:hint="eastAsia"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第二节  通用合同条款</w:t>
      </w:r>
      <w:bookmarkEnd w:id="54"/>
      <w:bookmarkEnd w:id="55"/>
      <w:bookmarkEnd w:id="56"/>
    </w:p>
    <w:p w14:paraId="5E3BE81C">
      <w:pPr>
        <w:spacing w:line="360" w:lineRule="auto"/>
        <w:ind w:firstLine="560" w:firstLineChars="200"/>
        <w:rPr>
          <w:rFonts w:cs="Times New Roman"/>
          <w:snapToGrid w:val="0"/>
          <w:color w:val="auto"/>
          <w:sz w:val="28"/>
          <w:szCs w:val="24"/>
          <w:highlight w:val="none"/>
        </w:rPr>
      </w:pPr>
      <w:r>
        <w:rPr>
          <w:rFonts w:hint="eastAsia" w:cs="Times New Roman"/>
          <w:snapToGrid w:val="0"/>
          <w:color w:val="auto"/>
          <w:sz w:val="28"/>
          <w:szCs w:val="24"/>
          <w:highlight w:val="none"/>
        </w:rPr>
        <w:t>采用《建设工程施工合同（示范文本）》（GF-2017-0201）中通用合同条款。上述资料由承包人自行准备。</w:t>
      </w:r>
    </w:p>
    <w:p w14:paraId="2AD7EBF0">
      <w:pPr>
        <w:keepNext/>
        <w:keepLines/>
        <w:snapToGrid w:val="0"/>
        <w:spacing w:before="312" w:beforeLines="100" w:after="312" w:afterLines="100" w:line="360" w:lineRule="auto"/>
        <w:jc w:val="center"/>
        <w:outlineLvl w:val="1"/>
        <w:rPr>
          <w:rFonts w:cs="宋体"/>
          <w:bCs/>
          <w:color w:val="auto"/>
          <w:sz w:val="21"/>
          <w:szCs w:val="21"/>
          <w:highlight w:val="none"/>
        </w:rPr>
      </w:pPr>
      <w:bookmarkStart w:id="57" w:name="_Toc31931"/>
      <w:bookmarkStart w:id="58" w:name="_Toc130919122"/>
      <w:bookmarkStart w:id="59" w:name="_Toc28799378"/>
      <w:r>
        <w:rPr>
          <w:rFonts w:hint="eastAsia" w:ascii="宋体" w:hAnsi="宋体" w:eastAsia="宋体" w:cs="宋体"/>
          <w:b/>
          <w:bCs/>
          <w:color w:val="auto"/>
          <w:sz w:val="21"/>
          <w:szCs w:val="21"/>
          <w:highlight w:val="none"/>
        </w:rPr>
        <w:t>第三节  专用合同条款</w:t>
      </w:r>
      <w:bookmarkEnd w:id="57"/>
      <w:bookmarkEnd w:id="58"/>
      <w:bookmarkEnd w:id="59"/>
    </w:p>
    <w:p w14:paraId="2786D7CF">
      <w:pPr>
        <w:pageBreakBefore w:val="0"/>
        <w:kinsoku/>
        <w:topLinePunct w:val="0"/>
        <w:bidi w:val="0"/>
        <w:snapToGrid w:val="0"/>
        <w:spacing w:beforeAutospacing="0" w:line="520" w:lineRule="exact"/>
        <w:jc w:val="center"/>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专用合同条款数据表</w:t>
      </w:r>
    </w:p>
    <w:p w14:paraId="765724EF">
      <w:pPr>
        <w:pStyle w:val="21"/>
        <w:pageBreakBefore w:val="0"/>
        <w:kinsoku/>
        <w:topLinePunct w:val="0"/>
        <w:bidi w:val="0"/>
        <w:snapToGrid w:val="0"/>
        <w:spacing w:beforeAutospacing="0" w:after="0" w:line="520" w:lineRule="exact"/>
        <w:ind w:left="400"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说明：本数据表是项目专用合同条款中适用于本招标项目的信息和数据的归纳与提示，是项目专用合同条款的组成部分。</w:t>
      </w:r>
    </w:p>
    <w:tbl>
      <w:tblPr>
        <w:tblStyle w:val="55"/>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14:paraId="61C2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14:paraId="791247CB">
            <w:pPr>
              <w:pageBreakBefore w:val="0"/>
              <w:widowControl w:val="0"/>
              <w:kinsoku/>
              <w:wordWrap/>
              <w:overflowPunct/>
              <w:topLinePunct w:val="0"/>
              <w:autoSpaceDE/>
              <w:autoSpaceDN/>
              <w:bidi w:val="0"/>
              <w:snapToGrid w:val="0"/>
              <w:spacing w:beforeAutospacing="0" w:line="520" w:lineRule="exact"/>
              <w:ind w:left="-100" w:leftChars="-50" w:right="-100" w:rightChars="-5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111" w:type="dxa"/>
            <w:vAlign w:val="center"/>
          </w:tcPr>
          <w:p w14:paraId="5EE4262F">
            <w:pPr>
              <w:pageBreakBefore w:val="0"/>
              <w:widowControl w:val="0"/>
              <w:kinsoku/>
              <w:wordWrap/>
              <w:overflowPunct/>
              <w:topLinePunct w:val="0"/>
              <w:autoSpaceDE/>
              <w:autoSpaceDN/>
              <w:bidi w:val="0"/>
              <w:snapToGrid w:val="0"/>
              <w:spacing w:beforeAutospacing="0" w:line="520" w:lineRule="exact"/>
              <w:ind w:left="-100" w:leftChars="-50" w:right="-100" w:rightChars="-5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条目号</w:t>
            </w:r>
          </w:p>
        </w:tc>
        <w:tc>
          <w:tcPr>
            <w:tcW w:w="7304" w:type="dxa"/>
            <w:vAlign w:val="center"/>
          </w:tcPr>
          <w:p w14:paraId="5AB5E879">
            <w:pPr>
              <w:pageBreakBefore w:val="0"/>
              <w:widowControl w:val="0"/>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信息或数据</w:t>
            </w:r>
          </w:p>
        </w:tc>
      </w:tr>
      <w:tr w14:paraId="349F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78A1348B">
            <w:pPr>
              <w:pageBreakBefore w:val="0"/>
              <w:widowControl w:val="0"/>
              <w:numPr>
                <w:ilvl w:val="0"/>
                <w:numId w:val="2"/>
              </w:numPr>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p>
        </w:tc>
        <w:tc>
          <w:tcPr>
            <w:tcW w:w="1111" w:type="dxa"/>
            <w:vAlign w:val="center"/>
          </w:tcPr>
          <w:p w14:paraId="787B997B">
            <w:pPr>
              <w:pageBreakBefore w:val="0"/>
              <w:widowControl w:val="0"/>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2.5</w:t>
            </w:r>
          </w:p>
        </w:tc>
        <w:tc>
          <w:tcPr>
            <w:tcW w:w="7304" w:type="dxa"/>
            <w:vAlign w:val="center"/>
          </w:tcPr>
          <w:p w14:paraId="4D388BB7">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发包人提供资金来源证明的期限要求：</w:t>
            </w:r>
            <w:r>
              <w:rPr>
                <w:color w:val="auto"/>
                <w:spacing w:val="9"/>
                <w:sz w:val="21"/>
                <w:szCs w:val="21"/>
                <w:highlight w:val="none"/>
                <w:u w:val="single" w:color="auto"/>
              </w:rPr>
              <w:t>财政资金，不需提供</w:t>
            </w:r>
            <w:r>
              <w:rPr>
                <w:color w:val="auto"/>
                <w:spacing w:val="3"/>
                <w:sz w:val="21"/>
                <w:szCs w:val="21"/>
                <w:highlight w:val="none"/>
                <w:u w:val="single" w:color="auto"/>
              </w:rPr>
              <w:t xml:space="preserve"> </w:t>
            </w:r>
          </w:p>
          <w:p w14:paraId="044D1EFB">
            <w:pPr>
              <w:pageBreakBefore w:val="0"/>
              <w:widowControl w:val="0"/>
              <w:kinsoku/>
              <w:wordWrap/>
              <w:overflowPunct/>
              <w:topLinePunct w:val="0"/>
              <w:autoSpaceDE/>
              <w:autoSpaceDN/>
              <w:bidi w:val="0"/>
              <w:snapToGrid w:val="0"/>
              <w:spacing w:beforeAutospacing="0" w:line="520" w:lineRule="exact"/>
              <w:textAlignment w:val="auto"/>
              <w:rPr>
                <w:rFonts w:hint="default"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rPr>
              <w:t>发包人是否提供支付担保：</w:t>
            </w:r>
            <w:r>
              <w:rPr>
                <w:rFonts w:hint="eastAsia" w:cs="宋体"/>
                <w:bCs/>
                <w:color w:val="auto"/>
                <w:sz w:val="21"/>
                <w:szCs w:val="21"/>
                <w:highlight w:val="none"/>
                <w:u w:val="single"/>
                <w:lang w:val="en-US" w:eastAsia="zh-CN"/>
              </w:rPr>
              <w:t xml:space="preserve"> </w:t>
            </w:r>
            <w:r>
              <w:rPr>
                <w:color w:val="auto"/>
                <w:spacing w:val="9"/>
                <w:sz w:val="21"/>
                <w:szCs w:val="21"/>
                <w:highlight w:val="none"/>
                <w:u w:val="single" w:color="auto"/>
              </w:rPr>
              <w:t>财政资金，不需提供</w:t>
            </w:r>
            <w:r>
              <w:rPr>
                <w:color w:val="auto"/>
                <w:spacing w:val="3"/>
                <w:sz w:val="21"/>
                <w:szCs w:val="21"/>
                <w:highlight w:val="none"/>
                <w:u w:val="single" w:color="auto"/>
              </w:rPr>
              <w:t xml:space="preserve"> </w:t>
            </w:r>
          </w:p>
          <w:p w14:paraId="1A682F75">
            <w:pPr>
              <w:pageBreakBefore w:val="0"/>
              <w:widowControl w:val="0"/>
              <w:kinsoku/>
              <w:wordWrap/>
              <w:overflowPunct/>
              <w:topLinePunct w:val="0"/>
              <w:autoSpaceDE/>
              <w:autoSpaceDN/>
              <w:bidi w:val="0"/>
              <w:snapToGrid w:val="0"/>
              <w:spacing w:beforeAutospacing="0" w:line="520" w:lineRule="exact"/>
              <w:textAlignment w:val="auto"/>
              <w:rPr>
                <w:rFonts w:hint="default" w:ascii="宋体" w:hAnsi="宋体" w:eastAsia="宋体" w:cs="宋体"/>
                <w:bCs/>
                <w:color w:val="auto"/>
                <w:sz w:val="21"/>
                <w:szCs w:val="21"/>
                <w:highlight w:val="none"/>
                <w:u w:val="single"/>
                <w:lang w:val="en-US"/>
              </w:rPr>
            </w:pPr>
            <w:r>
              <w:rPr>
                <w:rFonts w:hint="eastAsia" w:ascii="宋体" w:hAnsi="宋体" w:eastAsia="宋体" w:cs="宋体"/>
                <w:bCs/>
                <w:color w:val="auto"/>
                <w:sz w:val="21"/>
                <w:szCs w:val="21"/>
                <w:highlight w:val="none"/>
              </w:rPr>
              <w:t>发包人提供支付担保的形式</w:t>
            </w:r>
            <w:r>
              <w:rPr>
                <w:rFonts w:hint="eastAsia" w:cs="宋体"/>
                <w:bCs/>
                <w:color w:val="auto"/>
                <w:sz w:val="21"/>
                <w:szCs w:val="21"/>
                <w:highlight w:val="none"/>
                <w:lang w:val="en-US" w:eastAsia="zh-CN"/>
              </w:rPr>
              <w:t>:</w:t>
            </w:r>
            <w:r>
              <w:rPr>
                <w:color w:val="auto"/>
                <w:spacing w:val="9"/>
                <w:sz w:val="21"/>
                <w:szCs w:val="21"/>
                <w:highlight w:val="none"/>
                <w:u w:val="single" w:color="auto"/>
              </w:rPr>
              <w:t>财政资金，不需提供</w:t>
            </w:r>
            <w:r>
              <w:rPr>
                <w:color w:val="auto"/>
                <w:spacing w:val="3"/>
                <w:sz w:val="21"/>
                <w:szCs w:val="21"/>
                <w:highlight w:val="none"/>
                <w:u w:val="single" w:color="auto"/>
              </w:rPr>
              <w:t xml:space="preserve"> </w:t>
            </w:r>
          </w:p>
        </w:tc>
      </w:tr>
      <w:tr w14:paraId="5E9D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56B4FF97">
            <w:pPr>
              <w:pageBreakBefore w:val="0"/>
              <w:widowControl w:val="0"/>
              <w:numPr>
                <w:ilvl w:val="0"/>
                <w:numId w:val="2"/>
              </w:numPr>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p>
        </w:tc>
        <w:tc>
          <w:tcPr>
            <w:tcW w:w="1111" w:type="dxa"/>
            <w:vAlign w:val="center"/>
          </w:tcPr>
          <w:p w14:paraId="205E8312">
            <w:pPr>
              <w:pageBreakBefore w:val="0"/>
              <w:widowControl w:val="0"/>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3.2.1</w:t>
            </w:r>
          </w:p>
        </w:tc>
        <w:tc>
          <w:tcPr>
            <w:tcW w:w="7304" w:type="dxa"/>
            <w:vAlign w:val="center"/>
          </w:tcPr>
          <w:p w14:paraId="4C61CDF0">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项目经理</w:t>
            </w:r>
          </w:p>
          <w:p w14:paraId="6E52E857">
            <w:pPr>
              <w:pageBreakBefore w:val="0"/>
              <w:widowControl w:val="0"/>
              <w:kinsoku/>
              <w:wordWrap/>
              <w:overflowPunct/>
              <w:topLinePunct w:val="0"/>
              <w:autoSpaceDE/>
              <w:autoSpaceDN/>
              <w:bidi w:val="0"/>
              <w:snapToGrid w:val="0"/>
              <w:spacing w:beforeAutospacing="0" w:line="520" w:lineRule="exac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姓    名：</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 xml:space="preserve">     </w:t>
            </w:r>
          </w:p>
          <w:p w14:paraId="53019212">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身份证号：</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7F5E59B1">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建造师执业资格等级：</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0C12D43D">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建造师注册证书号：</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43232D14">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承包人对项目经理的授权范围如下：</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项目整体</w:t>
            </w:r>
            <w:r>
              <w:rPr>
                <w:rFonts w:hint="eastAsia" w:ascii="宋体" w:hAnsi="宋体" w:eastAsia="宋体" w:cs="宋体"/>
                <w:bCs/>
                <w:color w:val="auto"/>
                <w:sz w:val="21"/>
                <w:szCs w:val="21"/>
                <w:highlight w:val="none"/>
                <w:u w:val="single"/>
              </w:rPr>
              <w:t xml:space="preserve">          </w:t>
            </w:r>
          </w:p>
          <w:p w14:paraId="14DCAEC7">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承包人项目经理每月在施工现场的时间：驻场时间每月不少于</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 xml:space="preserve">24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天，每天在岗工作时间不得少于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8</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小时。</w:t>
            </w:r>
          </w:p>
        </w:tc>
      </w:tr>
      <w:tr w14:paraId="46E1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6ED68C89">
            <w:pPr>
              <w:pageBreakBefore w:val="0"/>
              <w:widowControl w:val="0"/>
              <w:numPr>
                <w:ilvl w:val="0"/>
                <w:numId w:val="2"/>
              </w:numPr>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p>
        </w:tc>
        <w:tc>
          <w:tcPr>
            <w:tcW w:w="1111" w:type="dxa"/>
            <w:vAlign w:val="center"/>
          </w:tcPr>
          <w:p w14:paraId="6B1C5E02">
            <w:pPr>
              <w:pageBreakBefore w:val="0"/>
              <w:widowControl w:val="0"/>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3.7</w:t>
            </w:r>
          </w:p>
        </w:tc>
        <w:tc>
          <w:tcPr>
            <w:tcW w:w="7304" w:type="dxa"/>
            <w:vAlign w:val="center"/>
          </w:tcPr>
          <w:p w14:paraId="6E6CFCDB">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承包人是否提供履约保证金：</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是</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0911C18D">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承包人提供履约保证金的形式：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支持</w:t>
            </w:r>
            <w:r>
              <w:rPr>
                <w:rFonts w:hint="eastAsia" w:ascii="宋体" w:hAnsi="宋体" w:eastAsia="宋体" w:cs="宋体"/>
                <w:bCs/>
                <w:color w:val="auto"/>
                <w:sz w:val="21"/>
                <w:szCs w:val="21"/>
                <w:highlight w:val="none"/>
                <w:u w:val="single"/>
              </w:rPr>
              <w:t xml:space="preserve">转账/电汇 </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支票 </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汇票 </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本票 </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保险 </w:t>
            </w:r>
            <w:r>
              <w:rPr>
                <w:rFonts w:hint="eastAsia" w:ascii="宋体" w:hAnsi="宋体" w:eastAsia="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保函</w:t>
            </w:r>
            <w:r>
              <w:rPr>
                <w:rFonts w:hint="eastAsia" w:ascii="宋体" w:hAnsi="宋体" w:eastAsia="宋体" w:cs="宋体"/>
                <w:bCs/>
                <w:color w:val="auto"/>
                <w:sz w:val="21"/>
                <w:szCs w:val="21"/>
                <w:highlight w:val="none"/>
                <w:u w:val="single"/>
                <w:lang w:eastAsia="zh-CN"/>
              </w:rPr>
              <w:t>。</w:t>
            </w:r>
          </w:p>
          <w:p w14:paraId="482C2D1A">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履约保证金的金额：中标合同金额的</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2.5</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7660A81C">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履约保证金提交期限的要求：</w:t>
            </w:r>
            <w:r>
              <w:rPr>
                <w:rFonts w:hint="eastAsia" w:ascii="宋体" w:hAnsi="宋体" w:eastAsia="宋体" w:cs="宋体"/>
                <w:bCs/>
                <w:color w:val="auto"/>
                <w:sz w:val="21"/>
                <w:szCs w:val="21"/>
                <w:highlight w:val="none"/>
                <w:u w:val="single"/>
              </w:rPr>
              <w:t>成交人取得中标通知书后7个工作日内缴纳履约保证金。</w:t>
            </w:r>
          </w:p>
          <w:p w14:paraId="378DF827">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履约保证金退还时限：</w:t>
            </w:r>
            <w:r>
              <w:rPr>
                <w:rFonts w:hint="eastAsia" w:ascii="宋体" w:hAnsi="宋体" w:eastAsia="宋体" w:cs="宋体"/>
                <w:bCs/>
                <w:color w:val="auto"/>
                <w:sz w:val="21"/>
                <w:szCs w:val="21"/>
                <w:highlight w:val="none"/>
                <w:u w:val="single"/>
              </w:rPr>
              <w:t xml:space="preserve"> 验收合格后，一次性退还 </w:t>
            </w:r>
            <w:r>
              <w:rPr>
                <w:rFonts w:hint="eastAsia" w:ascii="宋体" w:hAnsi="宋体" w:eastAsia="宋体" w:cs="宋体"/>
                <w:bCs/>
                <w:color w:val="auto"/>
                <w:sz w:val="21"/>
                <w:szCs w:val="21"/>
                <w:highlight w:val="none"/>
              </w:rPr>
              <w:t>。</w:t>
            </w:r>
          </w:p>
        </w:tc>
      </w:tr>
      <w:tr w14:paraId="1652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1E12AFF7">
            <w:pPr>
              <w:pageBreakBefore w:val="0"/>
              <w:widowControl w:val="0"/>
              <w:numPr>
                <w:ilvl w:val="0"/>
                <w:numId w:val="2"/>
              </w:numPr>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sz w:val="21"/>
                <w:szCs w:val="21"/>
                <w:highlight w:val="none"/>
              </w:rPr>
            </w:pPr>
          </w:p>
        </w:tc>
        <w:tc>
          <w:tcPr>
            <w:tcW w:w="1111" w:type="dxa"/>
            <w:vAlign w:val="center"/>
          </w:tcPr>
          <w:p w14:paraId="5C1DEC8B">
            <w:pPr>
              <w:pageBreakBefore w:val="0"/>
              <w:widowControl w:val="0"/>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5.1.1</w:t>
            </w:r>
          </w:p>
        </w:tc>
        <w:tc>
          <w:tcPr>
            <w:tcW w:w="7304" w:type="dxa"/>
            <w:vAlign w:val="center"/>
          </w:tcPr>
          <w:p w14:paraId="3C089E0A">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5.1.1 特殊质量标准和要求：</w:t>
            </w:r>
            <w:r>
              <w:rPr>
                <w:rFonts w:hint="eastAsia" w:ascii="宋体" w:hAnsi="宋体" w:eastAsia="宋体" w:cs="宋体"/>
                <w:bCs/>
                <w:color w:val="auto"/>
                <w:sz w:val="21"/>
                <w:szCs w:val="21"/>
                <w:highlight w:val="none"/>
                <w:u w:val="single"/>
              </w:rPr>
              <w:t>工程质量必须达到国家工程施工质量验收合格标准 。</w:t>
            </w:r>
          </w:p>
          <w:p w14:paraId="7C6709F2">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关于工程奖项的约定：</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35928732">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关于建造要求：</w:t>
            </w:r>
          </w:p>
          <w:p w14:paraId="08F70702">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（1）绿色建筑等级要求：</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3FB28DD7">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（2）智慧工地管理要求：</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026AF971">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（3）建筑垃圾减量化目标：</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0C350070">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（4）装配式建筑装配率要求：</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tc>
      </w:tr>
      <w:tr w14:paraId="134C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6C5D11DA">
            <w:pPr>
              <w:pageBreakBefore w:val="0"/>
              <w:widowControl w:val="0"/>
              <w:numPr>
                <w:ilvl w:val="0"/>
                <w:numId w:val="2"/>
              </w:numPr>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p>
        </w:tc>
        <w:tc>
          <w:tcPr>
            <w:tcW w:w="1111" w:type="dxa"/>
            <w:vAlign w:val="center"/>
          </w:tcPr>
          <w:p w14:paraId="0EC75B94">
            <w:pPr>
              <w:pageBreakBefore w:val="0"/>
              <w:widowControl w:val="0"/>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7.5.2</w:t>
            </w:r>
          </w:p>
        </w:tc>
        <w:tc>
          <w:tcPr>
            <w:tcW w:w="7304" w:type="dxa"/>
            <w:tcBorders>
              <w:bottom w:val="single" w:color="auto" w:sz="4" w:space="0"/>
            </w:tcBorders>
            <w:vAlign w:val="center"/>
          </w:tcPr>
          <w:p w14:paraId="2016B5BD">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kern w:val="2"/>
                <w:sz w:val="21"/>
                <w:szCs w:val="21"/>
                <w:highlight w:val="none"/>
                <w:u w:val="single"/>
              </w:rPr>
            </w:pPr>
            <w:r>
              <w:rPr>
                <w:rFonts w:hint="eastAsia" w:ascii="宋体" w:hAnsi="宋体" w:eastAsia="宋体" w:cs="宋体"/>
                <w:bCs/>
                <w:color w:val="auto"/>
                <w:kern w:val="2"/>
                <w:sz w:val="21"/>
                <w:szCs w:val="21"/>
                <w:highlight w:val="none"/>
              </w:rPr>
              <w:t>因承包人原因造成工期延误，逾期竣工违约金的计算方法为：</w:t>
            </w:r>
            <w:r>
              <w:rPr>
                <w:rFonts w:hint="eastAsia" w:ascii="宋体" w:hAnsi="宋体" w:eastAsia="宋体" w:cs="宋体"/>
                <w:bCs/>
                <w:color w:val="auto"/>
                <w:kern w:val="2"/>
                <w:sz w:val="21"/>
                <w:szCs w:val="21"/>
                <w:highlight w:val="none"/>
                <w:u w:val="single"/>
              </w:rPr>
              <w:t>具体开工时间以开工</w:t>
            </w:r>
            <w:r>
              <w:rPr>
                <w:rFonts w:hint="eastAsia" w:cs="宋体"/>
                <w:bCs/>
                <w:color w:val="auto"/>
                <w:kern w:val="2"/>
                <w:sz w:val="21"/>
                <w:szCs w:val="21"/>
                <w:highlight w:val="none"/>
                <w:u w:val="single"/>
                <w:lang w:val="en-US" w:eastAsia="zh-CN"/>
              </w:rPr>
              <w:t>通知</w:t>
            </w:r>
            <w:r>
              <w:rPr>
                <w:rFonts w:hint="eastAsia" w:ascii="宋体" w:hAnsi="宋体" w:eastAsia="宋体" w:cs="宋体"/>
                <w:bCs/>
                <w:color w:val="auto"/>
                <w:kern w:val="2"/>
                <w:sz w:val="21"/>
                <w:szCs w:val="21"/>
                <w:highlight w:val="none"/>
                <w:u w:val="single"/>
              </w:rPr>
              <w:t>时间为准。成交人按合同工期要求，每延迟一天，按5000元/天处以违约金，从工程结算款中扣除。如延误工期超出合同工期50%的，</w:t>
            </w:r>
            <w:r>
              <w:rPr>
                <w:rFonts w:hint="eastAsia" w:ascii="宋体" w:hAnsi="宋体" w:eastAsia="宋体" w:cs="宋体"/>
                <w:bCs/>
                <w:color w:val="auto"/>
                <w:kern w:val="2"/>
                <w:sz w:val="21"/>
                <w:szCs w:val="21"/>
                <w:highlight w:val="none"/>
                <w:u w:val="single"/>
                <w:lang w:val="en-US" w:eastAsia="zh-CN"/>
              </w:rPr>
              <w:t>采购人有权终止合同并不支付工程款</w:t>
            </w:r>
            <w:r>
              <w:rPr>
                <w:rFonts w:hint="eastAsia" w:ascii="宋体" w:hAnsi="宋体" w:eastAsia="宋体" w:cs="宋体"/>
                <w:bCs/>
                <w:color w:val="auto"/>
                <w:kern w:val="2"/>
                <w:sz w:val="21"/>
                <w:szCs w:val="21"/>
                <w:highlight w:val="none"/>
                <w:u w:val="single"/>
              </w:rPr>
              <w:t>。</w:t>
            </w:r>
            <w:r>
              <w:rPr>
                <w:rFonts w:hint="eastAsia" w:ascii="宋体" w:hAnsi="宋体" w:eastAsia="宋体" w:cs="宋体"/>
                <w:bCs/>
                <w:color w:val="auto"/>
                <w:kern w:val="2"/>
                <w:sz w:val="21"/>
                <w:szCs w:val="21"/>
                <w:highlight w:val="none"/>
                <w:u w:val="single"/>
              </w:rPr>
              <w:t>如因采购人要求增加工程量、教育教学、重大活动、极端天气等</w:t>
            </w:r>
            <w:r>
              <w:rPr>
                <w:rFonts w:hint="eastAsia" w:ascii="宋体" w:hAnsi="宋体" w:eastAsia="宋体" w:cs="宋体"/>
                <w:bCs/>
                <w:color w:val="auto"/>
                <w:kern w:val="2"/>
                <w:sz w:val="21"/>
                <w:szCs w:val="21"/>
                <w:highlight w:val="none"/>
                <w:u w:val="single"/>
              </w:rPr>
              <w:t>不可抗拒因素造成</w:t>
            </w:r>
            <w:r>
              <w:rPr>
                <w:rFonts w:hint="eastAsia" w:ascii="宋体" w:hAnsi="宋体" w:eastAsia="宋体" w:cs="宋体"/>
                <w:bCs/>
                <w:color w:val="auto"/>
                <w:kern w:val="2"/>
                <w:sz w:val="21"/>
                <w:szCs w:val="21"/>
                <w:highlight w:val="none"/>
                <w:u w:val="single"/>
                <w:lang w:val="en-US" w:eastAsia="zh-CN"/>
              </w:rPr>
              <w:t>延期，经采购人和成交供应商书面确认后，工期予以顺延，具体以实际发生时间为依据。</w:t>
            </w:r>
          </w:p>
          <w:p w14:paraId="4F57D3CC">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因承包人原因造成工期延误，逾期竣工违约金的上限：</w:t>
            </w:r>
            <w:r>
              <w:rPr>
                <w:rFonts w:hint="eastAsia" w:cs="宋体"/>
                <w:bCs/>
                <w:color w:val="auto"/>
                <w:kern w:val="2"/>
                <w:sz w:val="21"/>
                <w:szCs w:val="21"/>
                <w:highlight w:val="none"/>
                <w:u w:val="single"/>
                <w:lang w:val="en-US" w:eastAsia="zh-CN"/>
              </w:rPr>
              <w:t>合同价款</w:t>
            </w:r>
            <w:r>
              <w:rPr>
                <w:rFonts w:hint="eastAsia" w:asciiTheme="majorEastAsia" w:hAnsiTheme="majorEastAsia" w:eastAsiaTheme="majorEastAsia" w:cstheme="majorEastAsia"/>
                <w:bCs/>
                <w:color w:val="auto"/>
                <w:kern w:val="2"/>
                <w:sz w:val="21"/>
                <w:szCs w:val="21"/>
                <w:highlight w:val="none"/>
              </w:rPr>
              <w:t>。</w:t>
            </w:r>
          </w:p>
        </w:tc>
      </w:tr>
      <w:tr w14:paraId="270D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3CC0DE68">
            <w:pPr>
              <w:pageBreakBefore w:val="0"/>
              <w:widowControl w:val="0"/>
              <w:numPr>
                <w:ilvl w:val="0"/>
                <w:numId w:val="2"/>
              </w:numPr>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p>
        </w:tc>
        <w:tc>
          <w:tcPr>
            <w:tcW w:w="1111" w:type="dxa"/>
            <w:vAlign w:val="center"/>
          </w:tcPr>
          <w:p w14:paraId="6EDC9CD6">
            <w:pPr>
              <w:pageBreakBefore w:val="0"/>
              <w:widowControl w:val="0"/>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7.9.2</w:t>
            </w:r>
          </w:p>
        </w:tc>
        <w:tc>
          <w:tcPr>
            <w:tcW w:w="7304" w:type="dxa"/>
            <w:tcBorders>
              <w:bottom w:val="single" w:color="auto" w:sz="4" w:space="0"/>
            </w:tcBorders>
            <w:vAlign w:val="center"/>
          </w:tcPr>
          <w:p w14:paraId="3FE09B2A">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提前竣工的奖励：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tc>
      </w:tr>
      <w:tr w14:paraId="04D0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301B3AA1">
            <w:pPr>
              <w:pageBreakBefore w:val="0"/>
              <w:widowControl w:val="0"/>
              <w:numPr>
                <w:ilvl w:val="0"/>
                <w:numId w:val="2"/>
              </w:numPr>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p>
        </w:tc>
        <w:tc>
          <w:tcPr>
            <w:tcW w:w="1111" w:type="dxa"/>
            <w:vAlign w:val="center"/>
          </w:tcPr>
          <w:p w14:paraId="424467C9">
            <w:pPr>
              <w:pageBreakBefore w:val="0"/>
              <w:widowControl w:val="0"/>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11.1</w:t>
            </w:r>
          </w:p>
        </w:tc>
        <w:tc>
          <w:tcPr>
            <w:tcW w:w="7304" w:type="dxa"/>
            <w:tcBorders>
              <w:bottom w:val="single" w:color="auto" w:sz="4" w:space="0"/>
            </w:tcBorders>
            <w:vAlign w:val="center"/>
          </w:tcPr>
          <w:p w14:paraId="51070B56">
            <w:pPr>
              <w:pStyle w:val="33"/>
              <w:pageBreakBefore w:val="0"/>
              <w:widowControl w:val="0"/>
              <w:tabs>
                <w:tab w:val="clear" w:pos="4153"/>
                <w:tab w:val="clear" w:pos="8306"/>
              </w:tabs>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市场价格波动是否调整合同价格的约定：</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u w:val="single"/>
                <w:lang w:val="en-US" w:eastAsia="zh-CN"/>
              </w:rPr>
              <w:t>不调</w:t>
            </w:r>
            <w:r>
              <w:rPr>
                <w:rFonts w:hint="eastAsia" w:cs="宋体"/>
                <w:bCs/>
                <w:color w:val="auto"/>
                <w:kern w:val="2"/>
                <w:sz w:val="21"/>
                <w:szCs w:val="21"/>
                <w:highlight w:val="none"/>
                <w:u w:val="single"/>
                <w:lang w:val="en-US" w:eastAsia="zh-CN"/>
              </w:rPr>
              <w:t>价</w:t>
            </w:r>
            <w:r>
              <w:rPr>
                <w:rFonts w:hint="eastAsia" w:ascii="宋体" w:hAnsi="宋体" w:eastAsia="宋体" w:cs="宋体"/>
                <w:bCs/>
                <w:color w:val="auto"/>
                <w:kern w:val="2"/>
                <w:sz w:val="21"/>
                <w:szCs w:val="21"/>
                <w:highlight w:val="none"/>
                <w:u w:val="single"/>
              </w:rPr>
              <w:t xml:space="preserve">  </w:t>
            </w:r>
            <w:r>
              <w:rPr>
                <w:rFonts w:hint="eastAsia" w:ascii="宋体" w:hAnsi="宋体" w:eastAsia="宋体" w:cs="宋体"/>
                <w:bCs/>
                <w:color w:val="auto"/>
                <w:kern w:val="2"/>
                <w:sz w:val="21"/>
                <w:szCs w:val="21"/>
                <w:highlight w:val="none"/>
              </w:rPr>
              <w:t>。</w:t>
            </w:r>
          </w:p>
        </w:tc>
      </w:tr>
      <w:tr w14:paraId="017E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247EEB6">
            <w:pPr>
              <w:pageBreakBefore w:val="0"/>
              <w:widowControl w:val="0"/>
              <w:numPr>
                <w:ilvl w:val="0"/>
                <w:numId w:val="2"/>
              </w:numPr>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sz w:val="21"/>
                <w:szCs w:val="21"/>
                <w:highlight w:val="none"/>
              </w:rPr>
            </w:pPr>
          </w:p>
        </w:tc>
        <w:tc>
          <w:tcPr>
            <w:tcW w:w="1111" w:type="dxa"/>
            <w:vAlign w:val="center"/>
          </w:tcPr>
          <w:p w14:paraId="2DBD499C">
            <w:pPr>
              <w:pageBreakBefore w:val="0"/>
              <w:widowControl w:val="0"/>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12.1</w:t>
            </w:r>
          </w:p>
        </w:tc>
        <w:tc>
          <w:tcPr>
            <w:tcW w:w="7304" w:type="dxa"/>
            <w:tcBorders>
              <w:bottom w:val="single" w:color="auto" w:sz="4" w:space="0"/>
            </w:tcBorders>
            <w:vAlign w:val="center"/>
          </w:tcPr>
          <w:p w14:paraId="71E13C45">
            <w:pPr>
              <w:pStyle w:val="33"/>
              <w:pageBreakBefore w:val="0"/>
              <w:widowControl w:val="0"/>
              <w:tabs>
                <w:tab w:val="clear" w:pos="4153"/>
                <w:tab w:val="clear" w:pos="8306"/>
              </w:tabs>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合同价格形式</w:t>
            </w:r>
          </w:p>
          <w:p w14:paraId="423323A2">
            <w:pPr>
              <w:pStyle w:val="33"/>
              <w:pageBreakBefore w:val="0"/>
              <w:widowControl w:val="0"/>
              <w:tabs>
                <w:tab w:val="clear" w:pos="4153"/>
                <w:tab w:val="clear" w:pos="8306"/>
              </w:tabs>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(1)单价合同。</w:t>
            </w:r>
          </w:p>
          <w:p w14:paraId="061DB98C">
            <w:pPr>
              <w:pStyle w:val="33"/>
              <w:pageBreakBefore w:val="0"/>
              <w:widowControl w:val="0"/>
              <w:tabs>
                <w:tab w:val="clear" w:pos="4153"/>
                <w:tab w:val="clear" w:pos="8306"/>
              </w:tabs>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综合单价包含的风险范围：</w:t>
            </w:r>
            <w:r>
              <w:rPr>
                <w:rFonts w:hint="eastAsia" w:ascii="宋体" w:hAnsi="宋体" w:eastAsia="宋体" w:cs="宋体"/>
                <w:color w:val="auto"/>
                <w:sz w:val="21"/>
                <w:szCs w:val="21"/>
                <w:highlight w:val="none"/>
                <w:u w:val="single"/>
              </w:rPr>
              <w:t>隐含于已标价工程量清单综合单价中，用于化解发承包双方在工程合同中约定内容和范围内的市场价格波动风险的费用。综合单价包括为完成本项目所需要的一切费用,包括但不限于人工费、材料费、施工机械费、管理费、利润、风险费用、总包管理费、赶工措施费、相关交易费及完成本工程交易文件及合同条款内容等所有费用。</w:t>
            </w:r>
          </w:p>
          <w:p w14:paraId="410C9872">
            <w:pPr>
              <w:pageBreakBefore w:val="0"/>
              <w:kinsoku/>
              <w:wordWrap/>
              <w:topLinePunct w:val="0"/>
              <w:bidi w:val="0"/>
              <w:adjustRightInd w:val="0"/>
              <w:snapToGrid w:val="0"/>
              <w:spacing w:beforeAutospacing="0" w:line="520" w:lineRule="exact"/>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承包人自行考虑，包含在报价中 。</w:t>
            </w:r>
          </w:p>
          <w:p w14:paraId="19372EEE">
            <w:pPr>
              <w:pageBreakBefore w:val="0"/>
              <w:kinsoku/>
              <w:wordWrap/>
              <w:topLinePunct w:val="0"/>
              <w:bidi w:val="0"/>
              <w:adjustRightInd w:val="0"/>
              <w:snapToGrid w:val="0"/>
              <w:spacing w:beforeAutospacing="0" w:line="520" w:lineRule="exact"/>
              <w:jc w:val="lef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按照国家级省市政策要求</w:t>
            </w:r>
            <w:r>
              <w:rPr>
                <w:rFonts w:hint="eastAsia" w:ascii="宋体" w:hAnsi="宋体" w:eastAsia="宋体" w:cs="宋体"/>
                <w:color w:val="auto"/>
                <w:sz w:val="21"/>
                <w:szCs w:val="21"/>
                <w:highlight w:val="none"/>
                <w:u w:val="single"/>
                <w:lang w:eastAsia="zh-CN"/>
              </w:rPr>
              <w:t>。</w:t>
            </w:r>
          </w:p>
          <w:p w14:paraId="1FB812EC">
            <w:pPr>
              <w:pStyle w:val="33"/>
              <w:pageBreakBefore w:val="0"/>
              <w:widowControl w:val="0"/>
              <w:tabs>
                <w:tab w:val="clear" w:pos="4153"/>
                <w:tab w:val="clear" w:pos="8306"/>
              </w:tabs>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(2)总价合同。</w:t>
            </w:r>
          </w:p>
          <w:p w14:paraId="48046791">
            <w:pPr>
              <w:pStyle w:val="33"/>
              <w:pageBreakBefore w:val="0"/>
              <w:widowControl w:val="0"/>
              <w:tabs>
                <w:tab w:val="clear" w:pos="4153"/>
                <w:tab w:val="clear" w:pos="8306"/>
              </w:tabs>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总价包含的风险范围：</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p>
          <w:p w14:paraId="6C0BA18E">
            <w:pPr>
              <w:pStyle w:val="33"/>
              <w:pageBreakBefore w:val="0"/>
              <w:widowControl w:val="0"/>
              <w:tabs>
                <w:tab w:val="clear" w:pos="4153"/>
                <w:tab w:val="clear" w:pos="8306"/>
              </w:tabs>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风险费用的计算方法：</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1146453C">
            <w:pPr>
              <w:pStyle w:val="33"/>
              <w:pageBreakBefore w:val="0"/>
              <w:widowControl w:val="0"/>
              <w:tabs>
                <w:tab w:val="clear" w:pos="4153"/>
                <w:tab w:val="clear" w:pos="8306"/>
              </w:tabs>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风险范围以外合同价格的调整方法：</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p w14:paraId="6DB7E463">
            <w:pPr>
              <w:pStyle w:val="33"/>
              <w:pageBreakBefore w:val="0"/>
              <w:widowControl w:val="0"/>
              <w:tabs>
                <w:tab w:val="clear" w:pos="4153"/>
                <w:tab w:val="clear" w:pos="8306"/>
              </w:tabs>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（3）其他价格方式：</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w:t>
            </w:r>
          </w:p>
        </w:tc>
      </w:tr>
      <w:tr w14:paraId="64E65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BB813DD">
            <w:pPr>
              <w:pageBreakBefore w:val="0"/>
              <w:widowControl w:val="0"/>
              <w:numPr>
                <w:ilvl w:val="0"/>
                <w:numId w:val="2"/>
              </w:numPr>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p>
        </w:tc>
        <w:tc>
          <w:tcPr>
            <w:tcW w:w="1111" w:type="dxa"/>
            <w:vAlign w:val="center"/>
          </w:tcPr>
          <w:p w14:paraId="7EB7D296">
            <w:pPr>
              <w:pageBreakBefore w:val="0"/>
              <w:widowControl w:val="0"/>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 xml:space="preserve">12.2.1 </w:t>
            </w:r>
          </w:p>
        </w:tc>
        <w:tc>
          <w:tcPr>
            <w:tcW w:w="7304" w:type="dxa"/>
            <w:tcBorders>
              <w:bottom w:val="single" w:color="auto" w:sz="4" w:space="0"/>
            </w:tcBorders>
            <w:vAlign w:val="center"/>
          </w:tcPr>
          <w:p w14:paraId="6C648097">
            <w:pPr>
              <w:pageBreakBefore w:val="0"/>
              <w:widowControl w:val="0"/>
              <w:kinsoku/>
              <w:wordWrap/>
              <w:overflowPunct/>
              <w:topLinePunct w:val="0"/>
              <w:autoSpaceDE/>
              <w:autoSpaceDN/>
              <w:bidi w:val="0"/>
              <w:adjustRightInd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预付款的支付</w:t>
            </w:r>
          </w:p>
          <w:p w14:paraId="12FEAA19">
            <w:pPr>
              <w:pageBreakBefore w:val="0"/>
              <w:widowControl w:val="0"/>
              <w:kinsoku/>
              <w:wordWrap/>
              <w:overflowPunct/>
              <w:topLinePunct w:val="0"/>
              <w:autoSpaceDE/>
              <w:autoSpaceDN/>
              <w:bidi w:val="0"/>
              <w:adjustRightInd w:val="0"/>
              <w:snapToGrid w:val="0"/>
              <w:spacing w:beforeAutospacing="0" w:line="52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预付款支付比例或金额：</w:t>
            </w:r>
            <w:r>
              <w:rPr>
                <w:rFonts w:hint="eastAsia" w:ascii="宋体" w:hAnsi="宋体" w:eastAsia="宋体" w:cs="宋体"/>
                <w:color w:val="auto"/>
                <w:sz w:val="21"/>
                <w:szCs w:val="21"/>
                <w:highlight w:val="none"/>
                <w:u w:val="single"/>
              </w:rPr>
              <w:t>合同价款的40%（</w:t>
            </w:r>
            <w:r>
              <w:rPr>
                <w:rFonts w:hint="eastAsia" w:ascii="宋体" w:hAnsi="宋体" w:eastAsia="宋体" w:cs="宋体"/>
                <w:color w:val="auto"/>
                <w:sz w:val="21"/>
                <w:szCs w:val="21"/>
                <w:highlight w:val="none"/>
                <w:u w:val="single"/>
                <w:lang w:val="en-US" w:eastAsia="zh-CN"/>
              </w:rPr>
              <w:t>预付款</w:t>
            </w:r>
            <w:r>
              <w:rPr>
                <w:rFonts w:hint="eastAsia" w:ascii="宋体" w:hAnsi="宋体" w:eastAsia="宋体" w:cs="宋体"/>
                <w:color w:val="auto"/>
                <w:sz w:val="21"/>
                <w:szCs w:val="21"/>
                <w:highlight w:val="none"/>
                <w:u w:val="single"/>
              </w:rPr>
              <w:t>取整到</w:t>
            </w:r>
            <w:r>
              <w:rPr>
                <w:rFonts w:hint="eastAsia" w:cs="宋体"/>
                <w:color w:val="auto"/>
                <w:sz w:val="21"/>
                <w:szCs w:val="21"/>
                <w:highlight w:val="none"/>
                <w:u w:val="single"/>
                <w:lang w:val="en-US" w:eastAsia="zh-CN"/>
              </w:rPr>
              <w:t>百</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支付前，成交人须提供同等金额的见索即付保函)。</w:t>
            </w:r>
          </w:p>
          <w:p w14:paraId="67BE20D1">
            <w:pPr>
              <w:pageBreakBefore w:val="0"/>
              <w:widowControl w:val="0"/>
              <w:kinsoku/>
              <w:wordWrap/>
              <w:overflowPunct/>
              <w:topLinePunct w:val="0"/>
              <w:autoSpaceDE/>
              <w:autoSpaceDN/>
              <w:bidi w:val="0"/>
              <w:adjustRightInd w:val="0"/>
              <w:snapToGrid w:val="0"/>
              <w:spacing w:beforeAutospacing="0" w:line="52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预付款支付期限：</w:t>
            </w:r>
            <w:r>
              <w:rPr>
                <w:rFonts w:hint="eastAsia" w:ascii="宋体" w:hAnsi="宋体" w:eastAsia="宋体" w:cs="宋体"/>
                <w:color w:val="auto"/>
                <w:sz w:val="21"/>
                <w:szCs w:val="21"/>
                <w:highlight w:val="none"/>
                <w:u w:val="single"/>
              </w:rPr>
              <w:t xml:space="preserve">合同签订具备实施条件后支付合同价的40%  </w:t>
            </w:r>
          </w:p>
          <w:p w14:paraId="237DCBBC">
            <w:pPr>
              <w:pageBreakBefore w:val="0"/>
              <w:widowControl w:val="0"/>
              <w:kinsoku/>
              <w:wordWrap/>
              <w:overflowPunct/>
              <w:topLinePunct w:val="0"/>
              <w:autoSpaceDE/>
              <w:autoSpaceDN/>
              <w:bidi w:val="0"/>
              <w:adjustRightInd w:val="0"/>
              <w:snapToGrid w:val="0"/>
              <w:spacing w:beforeAutospacing="0" w:line="5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预付款扣回的方式：</w:t>
            </w:r>
            <w:r>
              <w:rPr>
                <w:color w:val="auto"/>
                <w:spacing w:val="8"/>
                <w:sz w:val="21"/>
                <w:szCs w:val="21"/>
                <w:highlight w:val="none"/>
                <w:u w:val="single" w:color="auto"/>
              </w:rPr>
              <w:t>总结算时扣除</w:t>
            </w:r>
            <w:r>
              <w:rPr>
                <w:rFonts w:hint="eastAsia" w:ascii="宋体" w:hAnsi="宋体" w:eastAsia="宋体" w:cs="宋体"/>
                <w:bCs/>
                <w:color w:val="auto"/>
                <w:sz w:val="21"/>
                <w:szCs w:val="21"/>
                <w:highlight w:val="none"/>
                <w:u w:val="single"/>
              </w:rPr>
              <w:t xml:space="preserve"> </w:t>
            </w:r>
          </w:p>
        </w:tc>
      </w:tr>
      <w:tr w14:paraId="7881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629" w:type="dxa"/>
            <w:vAlign w:val="center"/>
          </w:tcPr>
          <w:p w14:paraId="58F4C718">
            <w:pPr>
              <w:pageBreakBefore w:val="0"/>
              <w:widowControl w:val="0"/>
              <w:numPr>
                <w:ilvl w:val="0"/>
                <w:numId w:val="2"/>
              </w:numPr>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p>
        </w:tc>
        <w:tc>
          <w:tcPr>
            <w:tcW w:w="1111" w:type="dxa"/>
            <w:vAlign w:val="center"/>
          </w:tcPr>
          <w:p w14:paraId="21183D1D">
            <w:pPr>
              <w:pageBreakBefore w:val="0"/>
              <w:widowControl w:val="0"/>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12.2.2</w:t>
            </w:r>
          </w:p>
        </w:tc>
        <w:tc>
          <w:tcPr>
            <w:tcW w:w="7304" w:type="dxa"/>
            <w:tcBorders>
              <w:bottom w:val="single" w:color="auto" w:sz="4" w:space="0"/>
            </w:tcBorders>
            <w:vAlign w:val="center"/>
          </w:tcPr>
          <w:p w14:paraId="74A31FED">
            <w:pPr>
              <w:pageBreakBefore w:val="0"/>
              <w:widowControl w:val="0"/>
              <w:kinsoku/>
              <w:wordWrap/>
              <w:overflowPunct/>
              <w:topLinePunct w:val="0"/>
              <w:autoSpaceDE/>
              <w:autoSpaceDN/>
              <w:bidi w:val="0"/>
              <w:adjustRightInd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预付款担保</w:t>
            </w:r>
          </w:p>
          <w:p w14:paraId="31CE6129">
            <w:pPr>
              <w:pageBreakBefore w:val="0"/>
              <w:widowControl w:val="0"/>
              <w:kinsoku/>
              <w:wordWrap/>
              <w:overflowPunct/>
              <w:topLinePunct w:val="0"/>
              <w:autoSpaceDE/>
              <w:autoSpaceDN/>
              <w:bidi w:val="0"/>
              <w:adjustRightInd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承包人提交预付款担保的期限：</w:t>
            </w:r>
            <w:r>
              <w:rPr>
                <w:rFonts w:hint="eastAsia" w:ascii="宋体" w:hAnsi="宋体" w:eastAsia="宋体" w:cs="宋体"/>
                <w:bCs/>
                <w:color w:val="auto"/>
                <w:sz w:val="21"/>
                <w:szCs w:val="21"/>
                <w:highlight w:val="none"/>
                <w:u w:val="single"/>
              </w:rPr>
              <w:t xml:space="preserve"> </w:t>
            </w:r>
            <w:r>
              <w:rPr>
                <w:color w:val="auto"/>
                <w:spacing w:val="9"/>
                <w:sz w:val="21"/>
                <w:szCs w:val="21"/>
                <w:highlight w:val="none"/>
                <w:u w:val="single" w:color="auto"/>
              </w:rPr>
              <w:t xml:space="preserve">预付款支付前 </w:t>
            </w:r>
            <w:r>
              <w:rPr>
                <w:rFonts w:hint="eastAsia" w:ascii="宋体" w:hAnsi="宋体" w:eastAsia="宋体" w:cs="宋体"/>
                <w:bCs/>
                <w:color w:val="auto"/>
                <w:sz w:val="21"/>
                <w:szCs w:val="21"/>
                <w:highlight w:val="none"/>
                <w:u w:val="single"/>
              </w:rPr>
              <w:t xml:space="preserve"> </w:t>
            </w:r>
          </w:p>
          <w:p w14:paraId="62010E51">
            <w:pPr>
              <w:pageBreakBefore w:val="0"/>
              <w:widowControl w:val="0"/>
              <w:kinsoku/>
              <w:wordWrap/>
              <w:overflowPunct/>
              <w:topLinePunct w:val="0"/>
              <w:autoSpaceDE/>
              <w:autoSpaceDN/>
              <w:bidi w:val="0"/>
              <w:adjustRightInd w:val="0"/>
              <w:snapToGrid w:val="0"/>
              <w:spacing w:beforeAutospacing="0" w:line="5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预付款担保的形式为：</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保函</w:t>
            </w:r>
            <w:r>
              <w:rPr>
                <w:rFonts w:hint="eastAsia" w:cs="宋体"/>
                <w:bCs/>
                <w:color w:val="auto"/>
                <w:sz w:val="21"/>
                <w:szCs w:val="21"/>
                <w:highlight w:val="none"/>
                <w:u w:val="single"/>
              </w:rPr>
              <w:t xml:space="preserve"> </w:t>
            </w:r>
            <w:r>
              <w:rPr>
                <w:color w:val="auto"/>
                <w:spacing w:val="8"/>
                <w:sz w:val="21"/>
                <w:szCs w:val="21"/>
                <w:highlight w:val="none"/>
                <w:u w:val="single" w:color="auto"/>
              </w:rPr>
              <w:t>（见索即付）</w:t>
            </w:r>
            <w:r>
              <w:rPr>
                <w:rFonts w:hint="eastAsia" w:ascii="宋体" w:hAnsi="宋体" w:eastAsia="宋体" w:cs="宋体"/>
                <w:bCs/>
                <w:color w:val="auto"/>
                <w:sz w:val="21"/>
                <w:szCs w:val="21"/>
                <w:highlight w:val="none"/>
                <w:u w:val="single"/>
              </w:rPr>
              <w:t xml:space="preserve">  </w:t>
            </w:r>
          </w:p>
        </w:tc>
      </w:tr>
      <w:tr w14:paraId="4554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4F9AAA15">
            <w:pPr>
              <w:pageBreakBefore w:val="0"/>
              <w:widowControl w:val="0"/>
              <w:numPr>
                <w:ilvl w:val="0"/>
                <w:numId w:val="2"/>
              </w:numPr>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p>
        </w:tc>
        <w:tc>
          <w:tcPr>
            <w:tcW w:w="1111" w:type="dxa"/>
            <w:vAlign w:val="center"/>
          </w:tcPr>
          <w:p w14:paraId="6BB92BE4">
            <w:pPr>
              <w:pageBreakBefore w:val="0"/>
              <w:widowControl w:val="0"/>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12.4.1</w:t>
            </w:r>
          </w:p>
        </w:tc>
        <w:tc>
          <w:tcPr>
            <w:tcW w:w="7304" w:type="dxa"/>
            <w:tcBorders>
              <w:bottom w:val="single" w:color="auto" w:sz="4" w:space="0"/>
            </w:tcBorders>
            <w:vAlign w:val="center"/>
          </w:tcPr>
          <w:p w14:paraId="28EF1F17">
            <w:pPr>
              <w:pageBreakBefore w:val="0"/>
              <w:widowControl w:val="0"/>
              <w:kinsoku/>
              <w:wordWrap/>
              <w:overflowPunct/>
              <w:topLinePunct w:val="0"/>
              <w:autoSpaceDE/>
              <w:autoSpaceDN/>
              <w:bidi w:val="0"/>
              <w:adjustRightInd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付款周期</w:t>
            </w:r>
          </w:p>
          <w:p w14:paraId="777E2706">
            <w:pPr>
              <w:pageBreakBefore w:val="0"/>
              <w:widowControl w:val="0"/>
              <w:kinsoku/>
              <w:wordWrap/>
              <w:overflowPunct/>
              <w:topLinePunct w:val="0"/>
              <w:autoSpaceDE/>
              <w:autoSpaceDN/>
              <w:bidi w:val="0"/>
              <w:adjustRightInd w:val="0"/>
              <w:snapToGrid w:val="0"/>
              <w:spacing w:beforeAutospacing="0" w:line="52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关于付款周期的约定：</w:t>
            </w:r>
            <w:r>
              <w:rPr>
                <w:rFonts w:hint="eastAsia" w:ascii="宋体" w:hAnsi="宋体" w:eastAsia="宋体" w:cs="宋体"/>
                <w:bCs/>
                <w:color w:val="auto"/>
                <w:sz w:val="21"/>
                <w:szCs w:val="21"/>
                <w:highlight w:val="none"/>
                <w:u w:val="single"/>
              </w:rPr>
              <w:t xml:space="preserve"> </w:t>
            </w:r>
            <w:r>
              <w:rPr>
                <w:rFonts w:hint="eastAsia" w:cs="宋体"/>
                <w:bCs/>
                <w:color w:val="auto"/>
                <w:sz w:val="21"/>
                <w:szCs w:val="21"/>
                <w:highlight w:val="none"/>
                <w:u w:val="single"/>
                <w:lang w:val="en-US" w:eastAsia="zh-CN"/>
              </w:rPr>
              <w:t>签订合同并具备实施条件后 5 个工作日内支付合同总价的40%为本项目预付款（</w:t>
            </w:r>
            <w:r>
              <w:rPr>
                <w:rFonts w:hint="eastAsia" w:cs="宋体"/>
                <w:bCs/>
                <w:color w:val="auto"/>
                <w:sz w:val="21"/>
                <w:szCs w:val="21"/>
                <w:highlight w:val="none"/>
                <w:u w:val="single"/>
                <w:lang w:val="en-US" w:eastAsia="zh-CN"/>
              </w:rPr>
              <w:t>预付款取整到百，</w:t>
            </w:r>
            <w:r>
              <w:rPr>
                <w:rFonts w:hint="eastAsia" w:cs="宋体"/>
                <w:bCs/>
                <w:color w:val="auto"/>
                <w:sz w:val="21"/>
                <w:szCs w:val="21"/>
                <w:highlight w:val="none"/>
                <w:u w:val="single"/>
                <w:lang w:val="en-US" w:eastAsia="zh-CN"/>
              </w:rPr>
              <w:t>预付款支付前，承包人须提供同等金额的见索即付保函），项目完工并验收合格后，经过竣工结算审计，付至工程结算审计价款的 100%， 同时承包人须提交审计价的2%作为工程质量保证金（</w:t>
            </w:r>
            <w:r>
              <w:rPr>
                <w:rFonts w:hint="eastAsia" w:cs="宋体"/>
                <w:color w:val="auto"/>
                <w:sz w:val="21"/>
                <w:szCs w:val="21"/>
                <w:highlight w:val="none"/>
                <w:u w:val="single"/>
                <w:lang w:val="en-US" w:eastAsia="zh-CN"/>
              </w:rPr>
              <w:t>取整到个位</w:t>
            </w:r>
            <w:r>
              <w:rPr>
                <w:rFonts w:hint="eastAsia" w:cs="宋体"/>
                <w:color w:val="auto"/>
                <w:sz w:val="21"/>
                <w:szCs w:val="21"/>
                <w:highlight w:val="none"/>
                <w:u w:val="single"/>
              </w:rPr>
              <w:t>，质保期自验收合格之日起</w:t>
            </w:r>
            <w:r>
              <w:rPr>
                <w:rFonts w:hint="eastAsia" w:cs="宋体"/>
                <w:color w:val="auto"/>
                <w:sz w:val="21"/>
                <w:szCs w:val="21"/>
                <w:highlight w:val="none"/>
                <w:u w:val="single"/>
                <w:lang w:val="en-US" w:eastAsia="zh-CN"/>
              </w:rPr>
              <w:t xml:space="preserve">    年。具体以成交人承诺年限为准</w:t>
            </w:r>
            <w:r>
              <w:rPr>
                <w:rFonts w:hint="eastAsia" w:cs="宋体"/>
                <w:bCs/>
                <w:color w:val="auto"/>
                <w:sz w:val="21"/>
                <w:szCs w:val="21"/>
                <w:highlight w:val="none"/>
                <w:u w:val="single"/>
                <w:lang w:val="en-US" w:eastAsia="zh-CN"/>
              </w:rPr>
              <w:t>）至发包人处。质量保证金支持保函（银行保函、担保机构担保、保证保险）使用，</w:t>
            </w:r>
            <w:r>
              <w:rPr>
                <w:rFonts w:hint="eastAsia" w:ascii="宋体" w:hAnsi="宋体" w:eastAsia="宋体" w:cs="宋体"/>
                <w:color w:val="auto"/>
                <w:sz w:val="21"/>
                <w:szCs w:val="21"/>
                <w:highlight w:val="none"/>
                <w:u w:val="single"/>
                <w:lang w:val="en-US" w:eastAsia="zh-CN"/>
              </w:rPr>
              <w:t>保函</w:t>
            </w:r>
            <w:r>
              <w:rPr>
                <w:rFonts w:hint="eastAsia" w:cs="宋体"/>
                <w:bCs/>
                <w:color w:val="auto"/>
                <w:sz w:val="21"/>
                <w:szCs w:val="21"/>
                <w:highlight w:val="none"/>
                <w:u w:val="single"/>
                <w:lang w:val="en-US" w:eastAsia="zh-CN"/>
              </w:rPr>
              <w:t>有效期须与工程缺陷责任期截止时间保持</w:t>
            </w:r>
            <w:r>
              <w:rPr>
                <w:rFonts w:hint="eastAsia" w:cs="宋体"/>
                <w:bCs/>
                <w:color w:val="auto"/>
                <w:sz w:val="21"/>
                <w:szCs w:val="21"/>
                <w:highlight w:val="none"/>
                <w:u w:val="single"/>
                <w:lang w:val="en-US" w:eastAsia="zh-CN"/>
              </w:rPr>
              <w:t>一致。</w:t>
            </w:r>
          </w:p>
        </w:tc>
      </w:tr>
      <w:tr w14:paraId="5DDE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1E8A09B2">
            <w:pPr>
              <w:pageBreakBefore w:val="0"/>
              <w:widowControl w:val="0"/>
              <w:numPr>
                <w:ilvl w:val="0"/>
                <w:numId w:val="2"/>
              </w:numPr>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p>
        </w:tc>
        <w:tc>
          <w:tcPr>
            <w:tcW w:w="1111" w:type="dxa"/>
            <w:vAlign w:val="center"/>
          </w:tcPr>
          <w:p w14:paraId="5F621BA4">
            <w:pPr>
              <w:pageBreakBefore w:val="0"/>
              <w:widowControl w:val="0"/>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15.2.1</w:t>
            </w:r>
          </w:p>
        </w:tc>
        <w:tc>
          <w:tcPr>
            <w:tcW w:w="7304" w:type="dxa"/>
            <w:vAlign w:val="center"/>
          </w:tcPr>
          <w:p w14:paraId="7968A73E">
            <w:pPr>
              <w:pageBreakBefore w:val="0"/>
              <w:widowControl w:val="0"/>
              <w:kinsoku/>
              <w:wordWrap/>
              <w:overflowPunct/>
              <w:topLinePunct w:val="0"/>
              <w:autoSpaceDE/>
              <w:autoSpaceDN/>
              <w:bidi w:val="0"/>
              <w:snapToGrid w:val="0"/>
              <w:spacing w:beforeAutospacing="0" w:line="5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缺陷责任期限：</w:t>
            </w:r>
            <w:r>
              <w:rPr>
                <w:rFonts w:hint="eastAsia" w:ascii="宋体" w:hAnsi="宋体" w:eastAsia="宋体" w:cs="宋体"/>
                <w:color w:val="auto"/>
                <w:sz w:val="21"/>
                <w:szCs w:val="21"/>
                <w:highlight w:val="none"/>
                <w:u w:val="single"/>
                <w:lang w:val="en-US" w:eastAsia="zh-CN"/>
              </w:rPr>
              <w:t>自验收合格之日起满2年。</w:t>
            </w:r>
          </w:p>
          <w:p w14:paraId="75185E4F">
            <w:pPr>
              <w:pageBreakBefore w:val="0"/>
              <w:widowControl w:val="0"/>
              <w:kinsoku/>
              <w:wordWrap/>
              <w:overflowPunct/>
              <w:topLinePunct w:val="0"/>
              <w:autoSpaceDE/>
              <w:autoSpaceDN/>
              <w:bidi w:val="0"/>
              <w:snapToGrid w:val="0"/>
              <w:spacing w:beforeAutospacing="0" w:line="5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lang w:val="en-US" w:eastAsia="zh-CN"/>
              </w:rPr>
              <w:t>质保期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none"/>
              </w:rPr>
              <w:t>验收合格之日</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single"/>
                <w:lang w:val="en-US" w:eastAsia="zh-CN"/>
              </w:rPr>
              <w:t>质保期最低5</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具体以投标人承诺为准</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质保期内发生渗漏等质量问题，成交人收到采购人通知时，应及时响应及时处置，符合维修条件时，3天内完成渗漏问题，如遇紧急情况，按采购人要求执行。不能按采购人要求及时到达及时维修的，由采购人组织维修，费用从质保金中支付，其发生的费用无需征得成交人同意。质保金费用不足以支付的，应由成交人另行支付。质保期内单体建筑屋面漏水累计发生20次以上的，全额扣除质量保证金。成交人不服从采购人要求，给采购人造成损失或社会不良影响的，视为违约行为，采购人依法依规追究其法律责任。</w:t>
            </w:r>
          </w:p>
        </w:tc>
      </w:tr>
      <w:tr w14:paraId="5C5A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14:paraId="097F3983">
            <w:pPr>
              <w:pageBreakBefore w:val="0"/>
              <w:widowControl w:val="0"/>
              <w:numPr>
                <w:ilvl w:val="0"/>
                <w:numId w:val="2"/>
              </w:numPr>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p>
        </w:tc>
        <w:tc>
          <w:tcPr>
            <w:tcW w:w="1111" w:type="dxa"/>
            <w:vAlign w:val="center"/>
          </w:tcPr>
          <w:p w14:paraId="60F664BB">
            <w:pPr>
              <w:pageBreakBefore w:val="0"/>
              <w:widowControl w:val="0"/>
              <w:kinsoku/>
              <w:wordWrap/>
              <w:overflowPunct/>
              <w:topLinePunct w:val="0"/>
              <w:autoSpaceDE/>
              <w:autoSpaceDN/>
              <w:bidi w:val="0"/>
              <w:snapToGrid w:val="0"/>
              <w:spacing w:beforeAutospacing="0" w:line="520" w:lineRule="exact"/>
              <w:jc w:val="center"/>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15.3.1</w:t>
            </w:r>
          </w:p>
        </w:tc>
        <w:tc>
          <w:tcPr>
            <w:tcW w:w="7304" w:type="dxa"/>
            <w:vAlign w:val="center"/>
          </w:tcPr>
          <w:p w14:paraId="2976ACB9">
            <w:pPr>
              <w:pageBreakBefore w:val="0"/>
              <w:widowControl w:val="0"/>
              <w:kinsoku/>
              <w:wordWrap/>
              <w:overflowPunct/>
              <w:topLinePunct w:val="0"/>
              <w:autoSpaceDE/>
              <w:autoSpaceDN/>
              <w:bidi w:val="0"/>
              <w:adjustRightInd w:val="0"/>
              <w:snapToGrid w:val="0"/>
              <w:spacing w:beforeAutospacing="0" w:line="5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质量保证金可采用以下任意一种方式：</w:t>
            </w:r>
          </w:p>
          <w:p w14:paraId="45C9E2C2">
            <w:pPr>
              <w:pageBreakBefore w:val="0"/>
              <w:widowControl w:val="0"/>
              <w:kinsoku/>
              <w:wordWrap/>
              <w:overflowPunct/>
              <w:topLinePunct w:val="0"/>
              <w:autoSpaceDE/>
              <w:autoSpaceDN/>
              <w:bidi w:val="0"/>
              <w:adjustRightInd w:val="0"/>
              <w:snapToGrid w:val="0"/>
              <w:spacing w:beforeAutospacing="0" w:line="520" w:lineRule="exact"/>
              <w:textAlignment w:val="auto"/>
              <w:rPr>
                <w:rFonts w:cs="宋体"/>
                <w:color w:val="auto"/>
                <w:sz w:val="21"/>
                <w:szCs w:val="21"/>
                <w:highlight w:val="none"/>
              </w:rPr>
            </w:pPr>
            <w:r>
              <w:rPr>
                <w:rFonts w:hint="eastAsia" w:cs="宋体"/>
                <w:color w:val="auto"/>
                <w:sz w:val="21"/>
                <w:szCs w:val="21"/>
                <w:highlight w:val="none"/>
              </w:rPr>
              <w:t>质量保证金可采用以下任意一种方式：</w:t>
            </w:r>
          </w:p>
          <w:p w14:paraId="01FCDBC0">
            <w:pPr>
              <w:pageBreakBefore w:val="0"/>
              <w:widowControl w:val="0"/>
              <w:kinsoku/>
              <w:wordWrap/>
              <w:overflowPunct/>
              <w:topLinePunct w:val="0"/>
              <w:autoSpaceDE/>
              <w:autoSpaceDN/>
              <w:bidi w:val="0"/>
              <w:adjustRightInd w:val="0"/>
              <w:snapToGrid w:val="0"/>
              <w:spacing w:beforeAutospacing="0" w:line="520" w:lineRule="exact"/>
              <w:textAlignment w:val="auto"/>
              <w:rPr>
                <w:rFonts w:cs="宋体"/>
                <w:color w:val="auto"/>
                <w:sz w:val="21"/>
                <w:szCs w:val="21"/>
                <w:highlight w:val="none"/>
              </w:rPr>
            </w:pPr>
            <w:r>
              <w:rPr>
                <w:rFonts w:hint="eastAsia" w:cs="宋体"/>
                <w:color w:val="auto"/>
                <w:sz w:val="21"/>
                <w:szCs w:val="21"/>
                <w:highlight w:val="none"/>
              </w:rPr>
              <w:t>（1）由银行业金融机构、工程担保公司、保险机构出具银行保函、工程质量保险等担保方式，担保/保证金额为：</w:t>
            </w:r>
            <w:r>
              <w:rPr>
                <w:rFonts w:hint="eastAsia" w:ascii="宋体" w:hAnsi="宋体" w:eastAsia="宋体" w:cs="宋体"/>
                <w:color w:val="auto"/>
                <w:sz w:val="21"/>
                <w:szCs w:val="21"/>
                <w:highlight w:val="none"/>
                <w:u w:val="single"/>
              </w:rPr>
              <w:t xml:space="preserve"> 结算审计价的2% ；</w:t>
            </w:r>
          </w:p>
          <w:p w14:paraId="573DB0FD">
            <w:pPr>
              <w:pageBreakBefore w:val="0"/>
              <w:widowControl w:val="0"/>
              <w:kinsoku/>
              <w:wordWrap/>
              <w:overflowPunct/>
              <w:topLinePunct w:val="0"/>
              <w:autoSpaceDE/>
              <w:autoSpaceDN/>
              <w:bidi w:val="0"/>
              <w:adjustRightInd w:val="0"/>
              <w:snapToGrid w:val="0"/>
              <w:spacing w:beforeAutospacing="0" w:line="520" w:lineRule="exact"/>
              <w:textAlignment w:val="auto"/>
              <w:rPr>
                <w:rFonts w:cs="宋体"/>
                <w:color w:val="auto"/>
                <w:sz w:val="21"/>
                <w:szCs w:val="21"/>
                <w:highlight w:val="none"/>
              </w:rPr>
            </w:pPr>
            <w:r>
              <w:rPr>
                <w:rFonts w:hint="eastAsia" w:cs="宋体"/>
                <w:color w:val="auto"/>
                <w:sz w:val="21"/>
                <w:szCs w:val="21"/>
                <w:highlight w:val="none"/>
              </w:rPr>
              <w:t xml:space="preserve">（2） </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对公转账</w:t>
            </w:r>
            <w:r>
              <w:rPr>
                <w:rFonts w:hint="eastAsia" w:cs="宋体"/>
                <w:color w:val="auto"/>
                <w:sz w:val="21"/>
                <w:szCs w:val="21"/>
                <w:highlight w:val="none"/>
                <w:u w:val="single"/>
              </w:rPr>
              <w:t xml:space="preserve">       ；</w:t>
            </w:r>
          </w:p>
          <w:p w14:paraId="597063C1">
            <w:pPr>
              <w:pageBreakBefore w:val="0"/>
              <w:widowControl w:val="0"/>
              <w:kinsoku/>
              <w:wordWrap/>
              <w:overflowPunct/>
              <w:topLinePunct w:val="0"/>
              <w:autoSpaceDE/>
              <w:autoSpaceDN/>
              <w:bidi w:val="0"/>
              <w:adjustRightInd w:val="0"/>
              <w:snapToGrid w:val="0"/>
              <w:spacing w:beforeAutospacing="0" w:line="520" w:lineRule="exact"/>
              <w:textAlignment w:val="auto"/>
              <w:rPr>
                <w:rFonts w:hint="eastAsia" w:cs="宋体"/>
                <w:color w:val="auto"/>
                <w:sz w:val="21"/>
                <w:szCs w:val="21"/>
                <w:highlight w:val="none"/>
                <w:u w:val="single"/>
              </w:rPr>
            </w:pPr>
            <w:r>
              <w:rPr>
                <w:rFonts w:hint="eastAsia" w:cs="宋体"/>
                <w:color w:val="auto"/>
                <w:sz w:val="21"/>
                <w:szCs w:val="21"/>
                <w:highlight w:val="none"/>
              </w:rPr>
              <w:t>（3）其他方式：</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p>
          <w:p w14:paraId="7C8CD5F1">
            <w:pPr>
              <w:pStyle w:val="5"/>
              <w:pageBreakBefore w:val="0"/>
              <w:widowControl w:val="0"/>
              <w:kinsoku/>
              <w:wordWrap/>
              <w:overflowPunct/>
              <w:topLinePunct w:val="0"/>
              <w:autoSpaceDE/>
              <w:autoSpaceDN/>
              <w:bidi w:val="0"/>
              <w:snapToGrid w:val="0"/>
              <w:spacing w:before="0" w:beforeAutospacing="0" w:after="0" w:line="520" w:lineRule="exact"/>
              <w:textAlignment w:val="auto"/>
              <w:rPr>
                <w:rFonts w:hint="eastAsia" w:ascii="宋体" w:hAnsi="宋体" w:eastAsia="宋体" w:cs="宋体"/>
                <w:bCs w:val="0"/>
                <w:color w:val="auto"/>
                <w:kern w:val="2"/>
                <w:sz w:val="21"/>
                <w:szCs w:val="21"/>
                <w:highlight w:val="none"/>
              </w:rPr>
            </w:pPr>
            <w:r>
              <w:rPr>
                <w:rFonts w:hint="eastAsia" w:ascii="宋体" w:hAnsi="宋体" w:eastAsia="宋体" w:cs="宋体"/>
                <w:bCs w:val="0"/>
                <w:color w:val="auto"/>
                <w:sz w:val="21"/>
                <w:szCs w:val="21"/>
                <w:highlight w:val="none"/>
              </w:rPr>
              <w:t>注：以现金形式提交质量保证金的（含从工程款中以扣留方式提交的），同时退还银行同期活期存款利息。</w:t>
            </w:r>
          </w:p>
        </w:tc>
      </w:tr>
    </w:tbl>
    <w:p w14:paraId="4719202C">
      <w:pPr>
        <w:pageBreakBefore w:val="0"/>
        <w:kinsoku/>
        <w:wordWrap/>
        <w:topLinePunct w:val="0"/>
        <w:bidi w:val="0"/>
        <w:snapToGrid w:val="0"/>
        <w:spacing w:beforeAutospacing="0" w:line="520" w:lineRule="exact"/>
        <w:outlineLvl w:val="2"/>
        <w:rPr>
          <w:rFonts w:cs="宋体"/>
          <w:color w:val="auto"/>
          <w:sz w:val="21"/>
          <w:szCs w:val="21"/>
          <w:highlight w:val="none"/>
        </w:rPr>
      </w:pPr>
      <w:r>
        <w:rPr>
          <w:rFonts w:hint="eastAsia" w:cs="宋体"/>
          <w:color w:val="auto"/>
          <w:sz w:val="21"/>
          <w:szCs w:val="21"/>
          <w:highlight w:val="none"/>
        </w:rPr>
        <w:t>1</w:t>
      </w:r>
      <w:bookmarkStart w:id="60" w:name="_Toc292559361"/>
      <w:bookmarkStart w:id="61" w:name="_Toc297120456"/>
      <w:bookmarkStart w:id="62" w:name="_Toc296891196"/>
      <w:bookmarkStart w:id="63" w:name="_Toc296890984"/>
      <w:bookmarkStart w:id="64" w:name="_Toc296346657"/>
      <w:bookmarkStart w:id="65" w:name="_Toc296347155"/>
      <w:bookmarkStart w:id="66" w:name="_Toc296944495"/>
      <w:bookmarkStart w:id="67" w:name="_Toc292559866"/>
      <w:bookmarkStart w:id="68" w:name="_Toc296503156"/>
      <w:bookmarkStart w:id="69" w:name="_Toc297048342"/>
      <w:r>
        <w:rPr>
          <w:rFonts w:hint="eastAsia" w:cs="宋体"/>
          <w:color w:val="auto"/>
          <w:sz w:val="21"/>
          <w:szCs w:val="21"/>
          <w:highlight w:val="none"/>
        </w:rPr>
        <w:t>. 一般约定</w:t>
      </w:r>
    </w:p>
    <w:bookmarkEnd w:id="60"/>
    <w:bookmarkEnd w:id="61"/>
    <w:bookmarkEnd w:id="62"/>
    <w:bookmarkEnd w:id="63"/>
    <w:bookmarkEnd w:id="64"/>
    <w:bookmarkEnd w:id="65"/>
    <w:bookmarkEnd w:id="66"/>
    <w:bookmarkEnd w:id="67"/>
    <w:bookmarkEnd w:id="68"/>
    <w:bookmarkEnd w:id="69"/>
    <w:p w14:paraId="560A348A">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1.1 词语定义与解释</w:t>
      </w:r>
    </w:p>
    <w:p w14:paraId="7B757DA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1.1.1 合同</w:t>
      </w:r>
    </w:p>
    <w:p w14:paraId="49B9C58E">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cs="宋体"/>
          <w:color w:val="auto"/>
          <w:sz w:val="21"/>
          <w:szCs w:val="21"/>
          <w:highlight w:val="none"/>
        </w:rPr>
        <w:t>1.1.1.10 其他合同文件包括：</w:t>
      </w:r>
      <w:r>
        <w:rPr>
          <w:rFonts w:hint="eastAsia" w:ascii="宋体" w:hAnsi="宋体" w:eastAsia="宋体" w:cs="宋体"/>
          <w:color w:val="auto"/>
          <w:sz w:val="21"/>
          <w:szCs w:val="21"/>
          <w:highlight w:val="none"/>
          <w:u w:val="single"/>
        </w:rPr>
        <w:t xml:space="preserve">本项目招标文件、在合同订立及履行过程中形成的与合同有关的文件均构成合同文件组成部分。 </w:t>
      </w:r>
    </w:p>
    <w:p w14:paraId="1ECE8ED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1.1.2 合同当事人及其他相关方</w:t>
      </w:r>
    </w:p>
    <w:p w14:paraId="68F3FB42">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Theme="majorEastAsia" w:hAnsiTheme="majorEastAsia" w:eastAsiaTheme="majorEastAsia" w:cstheme="majorEastAsia"/>
          <w:color w:val="auto"/>
          <w:spacing w:val="6"/>
          <w:sz w:val="19"/>
          <w:szCs w:val="19"/>
          <w:highlight w:val="none"/>
          <w:u w:val="single" w:color="auto"/>
        </w:rPr>
        <w:t xml:space="preserve"> 详见监理合同</w:t>
      </w:r>
      <w:r>
        <w:rPr>
          <w:rFonts w:hint="eastAsia" w:asciiTheme="majorEastAsia" w:hAnsiTheme="majorEastAsia" w:eastAsiaTheme="majorEastAsia" w:cstheme="majorEastAsia"/>
          <w:color w:val="auto"/>
          <w:spacing w:val="1"/>
          <w:sz w:val="19"/>
          <w:szCs w:val="19"/>
          <w:highlight w:val="none"/>
          <w:u w:val="single" w:color="auto"/>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B2B731D">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Theme="majorEastAsia" w:hAnsiTheme="majorEastAsia" w:eastAsiaTheme="majorEastAsia" w:cstheme="majorEastAsia"/>
          <w:color w:val="auto"/>
          <w:spacing w:val="6"/>
          <w:sz w:val="19"/>
          <w:szCs w:val="19"/>
          <w:highlight w:val="none"/>
          <w:u w:val="single" w:color="auto"/>
        </w:rPr>
        <w:t xml:space="preserve"> 详见监理合同</w:t>
      </w:r>
      <w:r>
        <w:rPr>
          <w:rFonts w:hint="eastAsia" w:asciiTheme="majorEastAsia" w:hAnsiTheme="majorEastAsia" w:eastAsiaTheme="majorEastAsia" w:cstheme="majorEastAsia"/>
          <w:color w:val="auto"/>
          <w:spacing w:val="1"/>
          <w:sz w:val="19"/>
          <w:szCs w:val="19"/>
          <w:highlight w:val="none"/>
          <w:u w:val="single" w:color="auto"/>
        </w:rPr>
        <w:t xml:space="preserve">  </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14:paraId="5D156EA6">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Theme="majorEastAsia" w:hAnsiTheme="majorEastAsia" w:eastAsiaTheme="majorEastAsia" w:cstheme="majorEastAsia"/>
          <w:color w:val="auto"/>
          <w:spacing w:val="6"/>
          <w:sz w:val="19"/>
          <w:szCs w:val="19"/>
          <w:highlight w:val="none"/>
          <w:u w:val="single" w:color="auto"/>
        </w:rPr>
        <w:t xml:space="preserve"> 详见监理合同</w:t>
      </w:r>
      <w:r>
        <w:rPr>
          <w:rFonts w:hint="eastAsia" w:asciiTheme="majorEastAsia" w:hAnsiTheme="majorEastAsia" w:eastAsiaTheme="majorEastAsia" w:cstheme="majorEastAsia"/>
          <w:color w:val="auto"/>
          <w:spacing w:val="1"/>
          <w:sz w:val="19"/>
          <w:szCs w:val="19"/>
          <w:highlight w:val="none"/>
          <w:u w:val="single" w:color="auto"/>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2F465DF">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Theme="majorEastAsia" w:hAnsiTheme="majorEastAsia" w:eastAsiaTheme="majorEastAsia" w:cstheme="majorEastAsia"/>
          <w:color w:val="auto"/>
          <w:spacing w:val="6"/>
          <w:sz w:val="19"/>
          <w:szCs w:val="19"/>
          <w:highlight w:val="none"/>
          <w:u w:val="single" w:color="auto"/>
        </w:rPr>
        <w:t xml:space="preserve"> 详见监理合同</w:t>
      </w:r>
      <w:r>
        <w:rPr>
          <w:rFonts w:hint="eastAsia" w:asciiTheme="majorEastAsia" w:hAnsiTheme="majorEastAsia" w:eastAsiaTheme="majorEastAsia" w:cstheme="majorEastAsia"/>
          <w:color w:val="auto"/>
          <w:spacing w:val="1"/>
          <w:sz w:val="19"/>
          <w:szCs w:val="19"/>
          <w:highlight w:val="none"/>
          <w:u w:val="single" w:color="auto"/>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4A87FC2">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Theme="majorEastAsia" w:hAnsiTheme="majorEastAsia" w:eastAsiaTheme="majorEastAsia" w:cstheme="majorEastAsia"/>
          <w:color w:val="auto"/>
          <w:spacing w:val="6"/>
          <w:sz w:val="19"/>
          <w:szCs w:val="19"/>
          <w:highlight w:val="none"/>
          <w:u w:val="single" w:color="auto"/>
        </w:rPr>
        <w:t xml:space="preserve"> 详见监理合同</w:t>
      </w:r>
      <w:r>
        <w:rPr>
          <w:rFonts w:hint="eastAsia" w:asciiTheme="majorEastAsia" w:hAnsiTheme="majorEastAsia" w:eastAsiaTheme="majorEastAsia" w:cstheme="majorEastAsia"/>
          <w:color w:val="auto"/>
          <w:spacing w:val="1"/>
          <w:sz w:val="19"/>
          <w:szCs w:val="19"/>
          <w:highlight w:val="none"/>
          <w:u w:val="single" w:color="auto"/>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58A85F9">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14:paraId="6C5EEE0C">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详见设计合同                  </w:t>
      </w:r>
      <w:r>
        <w:rPr>
          <w:rFonts w:hint="eastAsia" w:ascii="宋体" w:hAnsi="宋体" w:eastAsia="宋体" w:cs="宋体"/>
          <w:color w:val="auto"/>
          <w:sz w:val="21"/>
          <w:szCs w:val="21"/>
          <w:highlight w:val="none"/>
        </w:rPr>
        <w:t>；</w:t>
      </w:r>
    </w:p>
    <w:p w14:paraId="5FC2B13C">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详见设计合同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37F26F1">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详见设计合同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3F70FEC">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详见设计合同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D103174">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详见设计合同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3600FB2">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14:paraId="66926CC3">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见</w:t>
      </w:r>
      <w:r>
        <w:rPr>
          <w:rFonts w:hint="eastAsia" w:cs="宋体"/>
          <w:color w:val="auto"/>
          <w:sz w:val="21"/>
          <w:szCs w:val="21"/>
          <w:highlight w:val="none"/>
          <w:u w:val="single"/>
          <w:lang w:val="en-US" w:eastAsia="zh-CN"/>
        </w:rPr>
        <w:t>配电系统图和</w:t>
      </w:r>
      <w:r>
        <w:rPr>
          <w:rFonts w:hint="eastAsia" w:ascii="宋体" w:hAnsi="宋体" w:eastAsia="宋体" w:cs="宋体"/>
          <w:color w:val="auto"/>
          <w:sz w:val="21"/>
          <w:szCs w:val="21"/>
          <w:highlight w:val="none"/>
          <w:u w:val="single"/>
        </w:rPr>
        <w:t>现场确定</w:t>
      </w:r>
      <w:r>
        <w:rPr>
          <w:rFonts w:hint="eastAsia" w:ascii="宋体" w:hAnsi="宋体" w:eastAsia="宋体" w:cs="宋体"/>
          <w:color w:val="auto"/>
          <w:sz w:val="21"/>
          <w:szCs w:val="21"/>
          <w:highlight w:val="none"/>
        </w:rPr>
        <w:t>。</w:t>
      </w:r>
    </w:p>
    <w:p w14:paraId="6369F579">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1.1.3.9 永久占地包括：</w:t>
      </w:r>
      <w:r>
        <w:rPr>
          <w:rFonts w:hint="eastAsia" w:ascii="宋体" w:hAnsi="宋体" w:eastAsia="宋体" w:cs="宋体"/>
          <w:color w:val="auto"/>
          <w:sz w:val="21"/>
          <w:szCs w:val="21"/>
          <w:highlight w:val="none"/>
          <w:u w:val="single"/>
        </w:rPr>
        <w:t xml:space="preserve">  见</w:t>
      </w:r>
      <w:r>
        <w:rPr>
          <w:rFonts w:hint="eastAsia" w:cs="宋体"/>
          <w:color w:val="auto"/>
          <w:sz w:val="21"/>
          <w:szCs w:val="21"/>
          <w:highlight w:val="none"/>
          <w:u w:val="single"/>
          <w:lang w:val="en-US" w:eastAsia="zh-CN"/>
        </w:rPr>
        <w:t>配电系统图和</w:t>
      </w:r>
      <w:r>
        <w:rPr>
          <w:rFonts w:hint="eastAsia" w:ascii="宋体" w:hAnsi="宋体" w:eastAsia="宋体" w:cs="宋体"/>
          <w:color w:val="auto"/>
          <w:sz w:val="21"/>
          <w:szCs w:val="21"/>
          <w:highlight w:val="none"/>
          <w:u w:val="single"/>
        </w:rPr>
        <w:t>现场确定</w:t>
      </w:r>
      <w:r>
        <w:rPr>
          <w:rFonts w:hint="eastAsia" w:ascii="宋体" w:hAnsi="宋体" w:eastAsia="宋体" w:cs="宋体"/>
          <w:color w:val="auto"/>
          <w:kern w:val="0"/>
          <w:sz w:val="21"/>
          <w:szCs w:val="21"/>
          <w:highlight w:val="none"/>
        </w:rPr>
        <w:t>。</w:t>
      </w:r>
    </w:p>
    <w:p w14:paraId="6CD380C7">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1.1.3.10 临时占地包括：</w:t>
      </w:r>
      <w:r>
        <w:rPr>
          <w:rFonts w:hint="eastAsia" w:ascii="宋体" w:hAnsi="宋体" w:eastAsia="宋体" w:cs="宋体"/>
          <w:color w:val="auto"/>
          <w:sz w:val="21"/>
          <w:szCs w:val="21"/>
          <w:highlight w:val="none"/>
          <w:u w:val="single"/>
        </w:rPr>
        <w:t xml:space="preserve">   现场确定</w:t>
      </w:r>
      <w:r>
        <w:rPr>
          <w:rFonts w:hint="eastAsia" w:ascii="宋体" w:hAnsi="宋体" w:eastAsia="宋体" w:cs="宋体"/>
          <w:color w:val="auto"/>
          <w:kern w:val="0"/>
          <w:sz w:val="21"/>
          <w:szCs w:val="21"/>
          <w:highlight w:val="none"/>
        </w:rPr>
        <w:t>。</w:t>
      </w:r>
    </w:p>
    <w:p w14:paraId="0970ADE2">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 xml:space="preserve">1.3 法律 </w:t>
      </w:r>
    </w:p>
    <w:p w14:paraId="39EDE5D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适用于合同的其他规范性文件：</w:t>
      </w:r>
      <w:r>
        <w:rPr>
          <w:rFonts w:hint="eastAsia" w:cs="宋体"/>
          <w:color w:val="auto"/>
          <w:sz w:val="21"/>
          <w:szCs w:val="21"/>
          <w:highlight w:val="none"/>
          <w:u w:val="single"/>
        </w:rPr>
        <w:t>《中华人民共和国民法典》、《中华人民共和国建筑法》、《中华人民共和国政府采购法》、《中华人民共和国招标投标法》、《建设工程质量管理条例》、《建设工程安全生产管理条例》等国家及工程所在地现行有效的法律法规和规章</w:t>
      </w:r>
      <w:r>
        <w:rPr>
          <w:rFonts w:hint="eastAsia" w:cs="宋体"/>
          <w:color w:val="auto"/>
          <w:sz w:val="21"/>
          <w:szCs w:val="21"/>
          <w:highlight w:val="none"/>
        </w:rPr>
        <w:t>。</w:t>
      </w:r>
    </w:p>
    <w:p w14:paraId="11B54162">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1.4 标准和规范</w:t>
      </w:r>
    </w:p>
    <w:p w14:paraId="78A2AE07">
      <w:pPr>
        <w:pageBreakBefore w:val="0"/>
        <w:kinsoku/>
        <w:wordWrap/>
        <w:topLinePunct w:val="0"/>
        <w:bidi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1.4.1 适用于工程的标准规范包括：</w:t>
      </w:r>
      <w:r>
        <w:rPr>
          <w:rFonts w:hint="eastAsia" w:ascii="宋体" w:hAnsi="宋体" w:eastAsia="宋体" w:cs="宋体"/>
          <w:color w:val="auto"/>
          <w:sz w:val="21"/>
          <w:szCs w:val="21"/>
          <w:highlight w:val="none"/>
          <w:u w:val="single"/>
        </w:rPr>
        <w:t>中华人民共和国住房和城乡建设部等部门及省、市发布的有关文件</w:t>
      </w:r>
      <w:r>
        <w:rPr>
          <w:rFonts w:hint="eastAsia" w:ascii="宋体" w:hAnsi="宋体" w:eastAsia="宋体" w:cs="宋体"/>
          <w:color w:val="auto"/>
          <w:sz w:val="21"/>
          <w:szCs w:val="21"/>
          <w:highlight w:val="none"/>
        </w:rPr>
        <w:t>。</w:t>
      </w:r>
    </w:p>
    <w:p w14:paraId="2DEBB81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1.4.2 发包人提供国外标准、规范的名称：</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承包人自备国内现行适用的标准、规范</w:t>
      </w:r>
      <w:r>
        <w:rPr>
          <w:rFonts w:hint="eastAsia" w:cs="宋体"/>
          <w:color w:val="auto"/>
          <w:sz w:val="21"/>
          <w:szCs w:val="21"/>
          <w:highlight w:val="none"/>
        </w:rPr>
        <w:t>；</w:t>
      </w:r>
    </w:p>
    <w:p w14:paraId="5FCACDD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发包人提供国外标准、规范的份数：</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95F40B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发包人提供国外标准、规范的时间：</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4733C54">
      <w:pPr>
        <w:pageBreakBefore w:val="0"/>
        <w:kinsoku/>
        <w:wordWrap/>
        <w:topLinePunct w:val="0"/>
        <w:bidi w:val="0"/>
        <w:adjustRightInd w:val="0"/>
        <w:snapToGrid w:val="0"/>
        <w:spacing w:beforeAutospacing="0" w:line="520" w:lineRule="exact"/>
        <w:ind w:firstLine="420" w:firstLineChars="200"/>
        <w:rPr>
          <w:rFonts w:hint="eastAsia" w:cs="宋体"/>
          <w:color w:val="auto"/>
          <w:sz w:val="21"/>
          <w:szCs w:val="21"/>
          <w:highlight w:val="none"/>
        </w:rPr>
      </w:pPr>
      <w:r>
        <w:rPr>
          <w:rFonts w:hint="eastAsia" w:cs="宋体"/>
          <w:color w:val="auto"/>
          <w:sz w:val="21"/>
          <w:szCs w:val="21"/>
          <w:highlight w:val="none"/>
        </w:rPr>
        <w:t>1.4.3 发包人对工程的技术标准和功能要求的特殊要求：</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按现行规范执行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E79ECEC">
      <w:pPr>
        <w:pageBreakBefore w:val="0"/>
        <w:kinsoku/>
        <w:wordWrap/>
        <w:topLinePunct w:val="0"/>
        <w:bidi w:val="0"/>
        <w:adjustRightInd w:val="0"/>
        <w:snapToGrid w:val="0"/>
        <w:spacing w:beforeAutospacing="0" w:line="520" w:lineRule="exact"/>
        <w:ind w:firstLine="420" w:firstLineChars="200"/>
        <w:rPr>
          <w:rFonts w:hint="eastAsia" w:cs="宋体"/>
          <w:bCs/>
          <w:color w:val="auto"/>
          <w:sz w:val="21"/>
          <w:szCs w:val="21"/>
          <w:highlight w:val="none"/>
        </w:rPr>
      </w:pPr>
      <w:r>
        <w:rPr>
          <w:rFonts w:hint="eastAsia" w:cs="宋体"/>
          <w:bCs/>
          <w:color w:val="auto"/>
          <w:sz w:val="21"/>
          <w:szCs w:val="21"/>
          <w:highlight w:val="none"/>
        </w:rPr>
        <w:t>1.5 合同文件的优先顺序</w:t>
      </w:r>
    </w:p>
    <w:p w14:paraId="648E3A73">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u w:val="single"/>
        </w:rPr>
      </w:pPr>
      <w:r>
        <w:rPr>
          <w:rFonts w:hint="eastAsia" w:cs="宋体"/>
          <w:color w:val="auto"/>
          <w:sz w:val="21"/>
          <w:szCs w:val="21"/>
          <w:highlight w:val="none"/>
        </w:rPr>
        <w:t>合同文件组成及优先顺序为：</w:t>
      </w:r>
      <w:r>
        <w:rPr>
          <w:rFonts w:hint="eastAsia" w:ascii="宋体" w:hAnsi="宋体" w:eastAsia="宋体" w:cs="宋体"/>
          <w:color w:val="auto"/>
          <w:sz w:val="21"/>
          <w:szCs w:val="21"/>
          <w:highlight w:val="none"/>
          <w:u w:val="single"/>
        </w:rPr>
        <w:t>（1）合同协议书；（2）中标通知书；（3）投标函及其附录；（4）招标文件；（5）专用合同条款及其附件；（6）通用合同条款；（7）技术标准和要求；（8）图纸；（9）已标价工程量清单或预算书；（10）其他合同文件。</w:t>
      </w:r>
    </w:p>
    <w:p w14:paraId="60D849C2">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1.6 图纸和承包人文件</w:t>
      </w:r>
      <w:r>
        <w:rPr>
          <w:rFonts w:hint="eastAsia" w:cs="宋体"/>
          <w:bCs/>
          <w:color w:val="auto"/>
          <w:sz w:val="21"/>
          <w:szCs w:val="21"/>
          <w:highlight w:val="none"/>
          <w:lang w:eastAsia="zh-CN"/>
        </w:rPr>
        <w:t>（</w:t>
      </w:r>
      <w:r>
        <w:rPr>
          <w:rFonts w:hint="eastAsia" w:cs="宋体"/>
          <w:bCs/>
          <w:color w:val="auto"/>
          <w:sz w:val="21"/>
          <w:szCs w:val="21"/>
          <w:highlight w:val="none"/>
          <w:lang w:val="en-US" w:eastAsia="zh-CN"/>
        </w:rPr>
        <w:t>若有</w:t>
      </w:r>
      <w:r>
        <w:rPr>
          <w:rFonts w:hint="eastAsia" w:cs="宋体"/>
          <w:bCs/>
          <w:color w:val="auto"/>
          <w:sz w:val="21"/>
          <w:szCs w:val="21"/>
          <w:highlight w:val="none"/>
          <w:lang w:eastAsia="zh-CN"/>
        </w:rPr>
        <w:t>）</w:t>
      </w:r>
      <w:r>
        <w:rPr>
          <w:rFonts w:hint="eastAsia" w:cs="宋体"/>
          <w:bCs/>
          <w:color w:val="auto"/>
          <w:sz w:val="21"/>
          <w:szCs w:val="21"/>
          <w:highlight w:val="none"/>
        </w:rPr>
        <w:tab/>
      </w:r>
    </w:p>
    <w:p w14:paraId="0659A0B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1.6.1 图纸的提供和交底</w:t>
      </w:r>
    </w:p>
    <w:p w14:paraId="2C25D77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开工前10个日历日向承包人提供图纸</w:t>
      </w:r>
      <w:r>
        <w:rPr>
          <w:rFonts w:hint="eastAsia" w:cs="宋体"/>
          <w:color w:val="auto"/>
          <w:sz w:val="21"/>
          <w:szCs w:val="21"/>
          <w:highlight w:val="none"/>
        </w:rPr>
        <w:t>；</w:t>
      </w:r>
    </w:p>
    <w:p w14:paraId="3A6666D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1套本工程</w:t>
      </w:r>
      <w:r>
        <w:rPr>
          <w:rFonts w:hint="eastAsia" w:cs="宋体"/>
          <w:color w:val="auto"/>
          <w:sz w:val="21"/>
          <w:szCs w:val="21"/>
          <w:highlight w:val="none"/>
          <w:u w:val="single"/>
          <w:lang w:val="en-US" w:eastAsia="zh-CN"/>
        </w:rPr>
        <w:t>配电系统</w:t>
      </w:r>
      <w:r>
        <w:rPr>
          <w:rFonts w:hint="eastAsia" w:ascii="宋体" w:hAnsi="宋体" w:eastAsia="宋体" w:cs="宋体"/>
          <w:color w:val="auto"/>
          <w:sz w:val="21"/>
          <w:szCs w:val="21"/>
          <w:highlight w:val="none"/>
          <w:u w:val="single"/>
        </w:rPr>
        <w:t>图，承包人如需增加，由承包人自行复制并承担费用，所有设计图纸和设计变更文件须经设计单位和发包人盖章确认方有效</w:t>
      </w:r>
      <w:r>
        <w:rPr>
          <w:rFonts w:hint="eastAsia" w:cs="宋体"/>
          <w:color w:val="auto"/>
          <w:sz w:val="21"/>
          <w:szCs w:val="21"/>
          <w:highlight w:val="none"/>
          <w:u w:val="single"/>
        </w:rPr>
        <w:t>；</w:t>
      </w:r>
    </w:p>
    <w:p w14:paraId="08E12FD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发包人向承包人提供图纸的内容：</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施工范围的配电系统图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EBF863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1.6.4 承包人文件</w:t>
      </w:r>
    </w:p>
    <w:p w14:paraId="70AC7C4A">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包括但不限于施工组织设计、总进度计划、阶段性进度计划、月度进度计划、工程计量报告、竣工资料、归档资料电子档、影像资料及工程结算送审资料及发包人、监理人要求提供的等其他文件；</w:t>
      </w:r>
    </w:p>
    <w:p w14:paraId="630A688B">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 xml:space="preserve">按照合同相关约定或发包人、监理人书面要求执行    </w:t>
      </w:r>
      <w:r>
        <w:rPr>
          <w:rFonts w:hint="eastAsia" w:ascii="宋体" w:hAnsi="宋体" w:eastAsia="宋体" w:cs="宋体"/>
          <w:color w:val="auto"/>
          <w:sz w:val="21"/>
          <w:szCs w:val="21"/>
          <w:highlight w:val="none"/>
        </w:rPr>
        <w:t>；</w:t>
      </w:r>
    </w:p>
    <w:p w14:paraId="0BA6D366">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 xml:space="preserve"> 按照合同相关约定或发包人、监理人书面要求执行   </w:t>
      </w:r>
      <w:r>
        <w:rPr>
          <w:rFonts w:hint="eastAsia" w:ascii="宋体" w:hAnsi="宋体" w:eastAsia="宋体" w:cs="宋体"/>
          <w:color w:val="auto"/>
          <w:sz w:val="21"/>
          <w:szCs w:val="21"/>
          <w:highlight w:val="none"/>
        </w:rPr>
        <w:t>；</w:t>
      </w:r>
    </w:p>
    <w:p w14:paraId="10AE9CB3">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 xml:space="preserve">按照合同相关约定或发包人、监理人书面要求执行  </w:t>
      </w:r>
      <w:r>
        <w:rPr>
          <w:rFonts w:hint="eastAsia" w:ascii="宋体" w:hAnsi="宋体" w:eastAsia="宋体" w:cs="宋体"/>
          <w:color w:val="auto"/>
          <w:sz w:val="21"/>
          <w:szCs w:val="21"/>
          <w:highlight w:val="none"/>
        </w:rPr>
        <w:t>；</w:t>
      </w:r>
    </w:p>
    <w:p w14:paraId="00C30787">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 按照合同相关约定或发包人、监理人书面要求执行</w:t>
      </w:r>
      <w:r>
        <w:rPr>
          <w:rFonts w:hint="eastAsia" w:ascii="宋体" w:hAnsi="宋体" w:eastAsia="宋体" w:cs="宋体"/>
          <w:color w:val="auto"/>
          <w:sz w:val="21"/>
          <w:szCs w:val="21"/>
          <w:highlight w:val="none"/>
        </w:rPr>
        <w:t>。</w:t>
      </w:r>
    </w:p>
    <w:p w14:paraId="19F7E72F">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图纸和承包人文件的保管</w:t>
      </w:r>
    </w:p>
    <w:p w14:paraId="15840B6C">
      <w:pPr>
        <w:pageBreakBefore w:val="0"/>
        <w:kinsoku/>
        <w:wordWrap/>
        <w:topLinePunct w:val="0"/>
        <w:bidi w:val="0"/>
        <w:snapToGrid w:val="0"/>
        <w:spacing w:beforeAutospacing="0" w:line="520" w:lineRule="exact"/>
        <w:ind w:firstLine="420" w:firstLineChars="200"/>
        <w:rPr>
          <w:rFonts w:cs="宋体"/>
          <w:color w:val="auto"/>
          <w:sz w:val="21"/>
          <w:szCs w:val="21"/>
          <w:highlight w:val="none"/>
        </w:rPr>
      </w:pPr>
      <w:r>
        <w:rPr>
          <w:rFonts w:hint="eastAsia" w:ascii="宋体" w:hAnsi="宋体" w:eastAsia="宋体" w:cs="宋体"/>
          <w:color w:val="auto"/>
          <w:sz w:val="21"/>
          <w:szCs w:val="21"/>
          <w:highlight w:val="none"/>
        </w:rPr>
        <w:t>关于图纸和承包人文件的保管的约定：</w:t>
      </w:r>
      <w:r>
        <w:rPr>
          <w:rFonts w:hint="eastAsia" w:ascii="宋体" w:hAnsi="宋体" w:eastAsia="宋体" w:cs="宋体"/>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p w14:paraId="06BBFA4E">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1.7 联络</w:t>
      </w:r>
    </w:p>
    <w:p w14:paraId="7D145B5C">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 发包人接收文件的地点：</w:t>
      </w:r>
      <w:r>
        <w:rPr>
          <w:rFonts w:hint="eastAsia" w:ascii="宋体" w:hAnsi="宋体" w:eastAsia="宋体" w:cs="宋体"/>
          <w:color w:val="auto"/>
          <w:sz w:val="21"/>
          <w:szCs w:val="21"/>
          <w:highlight w:val="none"/>
          <w:u w:val="single"/>
        </w:rPr>
        <w:t xml:space="preserve">发包人办公室  </w:t>
      </w:r>
      <w:r>
        <w:rPr>
          <w:rFonts w:hint="eastAsia" w:ascii="宋体" w:hAnsi="宋体" w:eastAsia="宋体" w:cs="宋体"/>
          <w:color w:val="auto"/>
          <w:kern w:val="0"/>
          <w:sz w:val="21"/>
          <w:szCs w:val="21"/>
          <w:highlight w:val="none"/>
        </w:rPr>
        <w:t>；</w:t>
      </w:r>
    </w:p>
    <w:p w14:paraId="1B5E18A0">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sz w:val="21"/>
          <w:szCs w:val="21"/>
          <w:highlight w:val="none"/>
          <w:u w:val="single"/>
        </w:rPr>
        <w:t>发包人指派的项目负责人</w:t>
      </w:r>
      <w:r>
        <w:rPr>
          <w:rFonts w:hint="eastAsia" w:ascii="宋体" w:hAnsi="宋体" w:eastAsia="宋体" w:cs="宋体"/>
          <w:color w:val="auto"/>
          <w:kern w:val="0"/>
          <w:sz w:val="21"/>
          <w:szCs w:val="21"/>
          <w:highlight w:val="none"/>
        </w:rPr>
        <w:t>；</w:t>
      </w:r>
    </w:p>
    <w:p w14:paraId="370202FD">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sz w:val="21"/>
          <w:szCs w:val="21"/>
          <w:highlight w:val="none"/>
          <w:u w:val="single"/>
        </w:rPr>
        <w:t>项目部</w:t>
      </w:r>
      <w:r>
        <w:rPr>
          <w:rFonts w:hint="eastAsia" w:ascii="宋体" w:hAnsi="宋体" w:eastAsia="宋体" w:cs="宋体"/>
          <w:color w:val="auto"/>
          <w:kern w:val="0"/>
          <w:sz w:val="21"/>
          <w:szCs w:val="21"/>
          <w:highlight w:val="none"/>
        </w:rPr>
        <w:t>；</w:t>
      </w:r>
    </w:p>
    <w:p w14:paraId="7073B2B0">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sz w:val="21"/>
          <w:szCs w:val="21"/>
          <w:highlight w:val="none"/>
          <w:u w:val="single"/>
        </w:rPr>
        <w:t>项目负责人</w:t>
      </w:r>
      <w:r>
        <w:rPr>
          <w:rFonts w:hint="eastAsia" w:ascii="宋体" w:hAnsi="宋体" w:eastAsia="宋体" w:cs="宋体"/>
          <w:color w:val="auto"/>
          <w:kern w:val="0"/>
          <w:sz w:val="21"/>
          <w:szCs w:val="21"/>
          <w:highlight w:val="none"/>
        </w:rPr>
        <w:t>。</w:t>
      </w:r>
    </w:p>
    <w:p w14:paraId="731AE55C">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sz w:val="21"/>
          <w:szCs w:val="21"/>
          <w:highlight w:val="none"/>
          <w:u w:val="single"/>
        </w:rPr>
        <w:t>监理部</w:t>
      </w:r>
      <w:r>
        <w:rPr>
          <w:rFonts w:hint="eastAsia" w:ascii="宋体" w:hAnsi="宋体" w:eastAsia="宋体" w:cs="宋体"/>
          <w:color w:val="auto"/>
          <w:kern w:val="0"/>
          <w:sz w:val="21"/>
          <w:szCs w:val="21"/>
          <w:highlight w:val="none"/>
        </w:rPr>
        <w:t>；</w:t>
      </w:r>
    </w:p>
    <w:p w14:paraId="33A6B4C6">
      <w:pPr>
        <w:keepNext/>
        <w:keepLines/>
        <w:pageBreakBefore w:val="0"/>
        <w:kinsoku/>
        <w:wordWrap/>
        <w:topLinePunct w:val="0"/>
        <w:bidi w:val="0"/>
        <w:snapToGrid w:val="0"/>
        <w:spacing w:beforeAutospacing="0" w:line="520" w:lineRule="exact"/>
        <w:ind w:firstLine="420" w:firstLineChars="200"/>
        <w:outlineLvl w:val="3"/>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监理人指定的接收人为：</w:t>
      </w:r>
      <w:r>
        <w:rPr>
          <w:rFonts w:hint="eastAsia" w:ascii="宋体" w:hAnsi="宋体" w:eastAsia="宋体" w:cs="宋体"/>
          <w:color w:val="auto"/>
          <w:sz w:val="21"/>
          <w:szCs w:val="21"/>
          <w:highlight w:val="none"/>
          <w:u w:val="single"/>
        </w:rPr>
        <w:t>总监理工程师</w:t>
      </w:r>
      <w:r>
        <w:rPr>
          <w:rFonts w:hint="eastAsia" w:ascii="宋体" w:hAnsi="宋体" w:eastAsia="宋体" w:cs="宋体"/>
          <w:color w:val="auto"/>
          <w:kern w:val="0"/>
          <w:sz w:val="21"/>
          <w:szCs w:val="21"/>
          <w:highlight w:val="none"/>
        </w:rPr>
        <w:t>。</w:t>
      </w:r>
    </w:p>
    <w:p w14:paraId="54AC6E65">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1.10 交通运输</w:t>
      </w:r>
    </w:p>
    <w:p w14:paraId="0E0E556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w:t>
      </w:r>
      <w:bookmarkStart w:id="70" w:name="_Toc300934943"/>
      <w:bookmarkStart w:id="71" w:name="_Toc303539100"/>
      <w:bookmarkStart w:id="72" w:name="_Toc304295521"/>
      <w:bookmarkStart w:id="73" w:name="_Toc312677986"/>
      <w:bookmarkStart w:id="74" w:name="_Toc318581155"/>
      <w:r>
        <w:rPr>
          <w:rFonts w:hint="eastAsia" w:cs="宋体"/>
          <w:color w:val="auto"/>
          <w:sz w:val="21"/>
          <w:szCs w:val="21"/>
          <w:highlight w:val="none"/>
        </w:rPr>
        <w:t>.10.1 出入现场的权利</w:t>
      </w:r>
    </w:p>
    <w:p w14:paraId="29C4C884">
      <w:pPr>
        <w:pageBreakBefore w:val="0"/>
        <w:kinsoku/>
        <w:wordWrap/>
        <w:topLinePunct w:val="0"/>
        <w:bidi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费用由中标人承担，按有关规定办理有关施工场地交通、环卫和施工噪音管理等手续，费用由承包人负责。施工中建筑垃圾需运出施工现场外时，承包人需到城管部门办理相关手续并按城管部门指定地点放置。承包人违反城管、环卫等有关管理的规定，被处以违约金的，由承包人承担。在本工程施工期间，施工单位使用的运输车辆须满足公安、市容城管、交通管理部门等的规定并按要求依法遵照有关规定办理运输许可证，严禁使用无牌无证车辆进行施工，若因以上原因造成的各种行政违约金等费用，由施工单位自行承担，发包人不具有协调等责任义务。如由此造成影响导致业主声誉受损，发包人将向承包人收取违约金5000元/次。</w:t>
      </w:r>
    </w:p>
    <w:bookmarkEnd w:id="70"/>
    <w:bookmarkEnd w:id="71"/>
    <w:bookmarkEnd w:id="72"/>
    <w:bookmarkEnd w:id="73"/>
    <w:bookmarkEnd w:id="74"/>
    <w:p w14:paraId="531DE02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w:t>
      </w:r>
      <w:bookmarkStart w:id="75" w:name="_Toc304295522"/>
      <w:bookmarkStart w:id="76" w:name="_Toc312677987"/>
      <w:bookmarkStart w:id="77" w:name="_Toc318581156"/>
      <w:bookmarkStart w:id="78" w:name="_Toc300934944"/>
      <w:bookmarkStart w:id="79" w:name="_Toc303539101"/>
      <w:r>
        <w:rPr>
          <w:rFonts w:hint="eastAsia" w:cs="宋体"/>
          <w:color w:val="auto"/>
          <w:sz w:val="21"/>
          <w:szCs w:val="21"/>
          <w:highlight w:val="none"/>
        </w:rPr>
        <w:t>.10.3 场内交通</w:t>
      </w:r>
    </w:p>
    <w:p w14:paraId="401D9818">
      <w:pPr>
        <w:pageBreakBefore w:val="0"/>
        <w:kinsoku/>
        <w:wordWrap/>
        <w:topLinePunct w:val="0"/>
        <w:bidi w:val="0"/>
        <w:snapToGrid w:val="0"/>
        <w:spacing w:beforeAutospacing="0" w:line="520" w:lineRule="exact"/>
        <w:ind w:firstLine="420" w:firstLineChars="200"/>
        <w:jc w:val="left"/>
        <w:rPr>
          <w:rFonts w:cs="宋体"/>
          <w:color w:val="auto"/>
          <w:sz w:val="21"/>
          <w:szCs w:val="21"/>
          <w:highlight w:val="none"/>
          <w:u w:val="single"/>
        </w:rPr>
      </w:pPr>
      <w:r>
        <w:rPr>
          <w:rFonts w:hint="eastAsia" w:cs="宋体"/>
          <w:color w:val="auto"/>
          <w:sz w:val="21"/>
          <w:szCs w:val="21"/>
          <w:highlight w:val="none"/>
        </w:rPr>
        <w:t>关于场外交通和场内交通的边界的约定：</w:t>
      </w:r>
      <w:r>
        <w:rPr>
          <w:rFonts w:hint="eastAsia" w:ascii="宋体" w:hAnsi="宋体" w:eastAsia="宋体" w:cs="宋体"/>
          <w:color w:val="auto"/>
          <w:sz w:val="21"/>
          <w:szCs w:val="21"/>
          <w:highlight w:val="none"/>
          <w:u w:val="single"/>
        </w:rPr>
        <w:t>场内交通设施和道路由承包人负责建设，发包人不另支付费用，场内交通边界现场确定</w:t>
      </w:r>
      <w:r>
        <w:rPr>
          <w:rFonts w:hint="eastAsia" w:ascii="宋体" w:hAnsi="宋体" w:eastAsia="宋体" w:cs="宋体"/>
          <w:color w:val="auto"/>
          <w:sz w:val="21"/>
          <w:szCs w:val="21"/>
          <w:highlight w:val="none"/>
        </w:rPr>
        <w:t>。</w:t>
      </w:r>
    </w:p>
    <w:p w14:paraId="3FB7348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自行踏勘，自行解决</w:t>
      </w:r>
      <w:r>
        <w:rPr>
          <w:rFonts w:hint="eastAsia" w:cs="宋体"/>
          <w:color w:val="auto"/>
          <w:sz w:val="21"/>
          <w:szCs w:val="21"/>
          <w:highlight w:val="none"/>
        </w:rPr>
        <w:t>。</w:t>
      </w:r>
      <w:bookmarkEnd w:id="75"/>
      <w:bookmarkEnd w:id="76"/>
      <w:bookmarkEnd w:id="77"/>
      <w:bookmarkEnd w:id="78"/>
      <w:bookmarkEnd w:id="79"/>
      <w:bookmarkStart w:id="80" w:name="_Toc318581157"/>
    </w:p>
    <w:p w14:paraId="742D09B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1.10.4 超大件和超重件的运输</w:t>
      </w:r>
    </w:p>
    <w:p w14:paraId="2323851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运输超大件或超重件所需的道路和桥梁临时加固改造费用和其他有关费用由</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承包人</w:t>
      </w:r>
      <w:r>
        <w:rPr>
          <w:rFonts w:hint="eastAsia" w:cs="宋体"/>
          <w:color w:val="auto"/>
          <w:sz w:val="21"/>
          <w:szCs w:val="21"/>
          <w:highlight w:val="none"/>
          <w:u w:val="single"/>
        </w:rPr>
        <w:t xml:space="preserve"> </w:t>
      </w:r>
      <w:r>
        <w:rPr>
          <w:rFonts w:hint="eastAsia" w:cs="宋体"/>
          <w:color w:val="auto"/>
          <w:sz w:val="21"/>
          <w:szCs w:val="21"/>
          <w:highlight w:val="none"/>
        </w:rPr>
        <w:t>承担。</w:t>
      </w:r>
    </w:p>
    <w:bookmarkEnd w:id="80"/>
    <w:p w14:paraId="61B7D45B">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1.11 知识产权</w:t>
      </w:r>
    </w:p>
    <w:p w14:paraId="42FF7DC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发包人</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D4B7A3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未经发包人同意不得复制，不得向承包人以外的人员泄漏有关图纸内容，工程竣工后，原图全部收回</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1002E0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1.11.2 关于承包人为实施工程所编制文件的著作权的归属：</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发包人</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416E72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执行通用条款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E05667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1.11.4 承包人在施工过程中所采用的专利、专有技术、技术秘密的使用费的承担方式：</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执行通用条款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F987660">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1.13 工程量清单错误的修正</w:t>
      </w:r>
    </w:p>
    <w:p w14:paraId="056D1A6D">
      <w:pPr>
        <w:pStyle w:val="2"/>
        <w:pageBreakBefore w:val="0"/>
        <w:kinsoku/>
        <w:wordWrap/>
        <w:topLinePunct w:val="0"/>
        <w:bidi w:val="0"/>
        <w:spacing w:beforeAutospacing="0" w:line="520" w:lineRule="exact"/>
        <w:ind w:firstLine="468" w:firstLineChars="200"/>
        <w:rPr>
          <w:rFonts w:hint="eastAsia" w:ascii="宋体" w:hAnsi="宋体" w:eastAsia="宋体" w:cs="宋体"/>
          <w:color w:val="auto"/>
          <w:sz w:val="21"/>
          <w:szCs w:val="21"/>
          <w:highlight w:val="none"/>
        </w:rPr>
      </w:pPr>
      <w:r>
        <w:rPr>
          <w:rFonts w:hint="eastAsia"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u w:val="single"/>
        </w:rPr>
        <w:t>是，具体调整方式见下款</w:t>
      </w:r>
      <w:r>
        <w:rPr>
          <w:rFonts w:hint="eastAsia" w:ascii="宋体" w:hAnsi="宋体" w:eastAsia="宋体" w:cs="宋体"/>
          <w:color w:val="auto"/>
          <w:sz w:val="21"/>
          <w:szCs w:val="21"/>
          <w:highlight w:val="none"/>
        </w:rPr>
        <w:t>。</w:t>
      </w:r>
    </w:p>
    <w:p w14:paraId="73291D34">
      <w:pPr>
        <w:pageBreakBefore w:val="0"/>
        <w:kinsoku/>
        <w:wordWrap/>
        <w:topLinePunct w:val="0"/>
        <w:bidi w:val="0"/>
        <w:snapToGrid w:val="0"/>
        <w:spacing w:beforeAutospacing="0" w:line="520" w:lineRule="exact"/>
        <w:ind w:firstLine="420" w:firstLineChars="200"/>
        <w:rPr>
          <w:rFonts w:cs="宋体"/>
          <w:b/>
          <w:bCs/>
          <w:i/>
          <w:iCs/>
          <w:color w:val="auto"/>
          <w:kern w:val="2"/>
          <w:sz w:val="21"/>
          <w:szCs w:val="21"/>
          <w:highlight w:val="none"/>
          <w:shd w:val="clear" w:color="FFFFFF" w:fill="D9D9D9"/>
        </w:rPr>
      </w:pPr>
      <w:r>
        <w:rPr>
          <w:rFonts w:hint="eastAsia" w:ascii="宋体" w:hAnsi="宋体" w:eastAsia="宋体" w:cs="宋体"/>
          <w:color w:val="auto"/>
          <w:sz w:val="21"/>
          <w:szCs w:val="21"/>
          <w:highlight w:val="none"/>
          <w:u w:val="single"/>
        </w:rPr>
        <w:t xml:space="preserve">允许调整合同价格的工程量偏差范围：发包人指令调整施工内容及范围（包括但不限于取消或增加项目，变更设计方案及材料，改变施工工艺、施工方法，调整施工顺序等），工程量无论增减，承包人必须无条件执行，否则视为违约，发包人视情节轻重给予违约处罚，发包人将向承包人收取5-50万元的违约金。结算时，工程量按实计算。结算工程量减少0-100%或增加15%以内（含 15%）部分的，执行中标单价；超出15%以外部分，投标综合单价高于（控制价×投标让利幅度）时，按（控制价×投标让利幅度）计算，投标综合单价低于（控制价×投标让利幅度）时，执行中标单价。组价明显错误或人材机含量及单价明显异常的（明显异常指承包人单价超出清单控制价中相应单价20%及以上的）应予纠正；新增项目单价按照控制价的编制原则重新组价×投标让利幅度（投标让利幅度为中标价/控制价，其中中标价和控制价均扣除暂定金额、暂估价），重新组价价格最终以竣工结算审计核定为准。 </w:t>
      </w:r>
    </w:p>
    <w:p w14:paraId="197149A3">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81" w:name="_Toc351203634"/>
      <w:r>
        <w:rPr>
          <w:rFonts w:hint="eastAsia" w:cs="宋体"/>
          <w:color w:val="auto"/>
          <w:sz w:val="21"/>
          <w:szCs w:val="21"/>
          <w:highlight w:val="none"/>
        </w:rPr>
        <w:t>2</w:t>
      </w:r>
      <w:bookmarkStart w:id="82" w:name="_Toc296346658"/>
      <w:bookmarkStart w:id="83" w:name="_Toc292559362"/>
      <w:bookmarkStart w:id="84" w:name="_Toc292559867"/>
      <w:bookmarkStart w:id="85" w:name="_Toc297048343"/>
      <w:bookmarkStart w:id="86" w:name="_Toc296503157"/>
      <w:bookmarkStart w:id="87" w:name="_Toc296890985"/>
      <w:bookmarkStart w:id="88" w:name="_Toc297120457"/>
      <w:bookmarkStart w:id="89" w:name="_Toc296891197"/>
      <w:bookmarkStart w:id="90" w:name="_Toc296944496"/>
      <w:bookmarkStart w:id="91" w:name="_Toc296347156"/>
      <w:r>
        <w:rPr>
          <w:rFonts w:hint="eastAsia" w:cs="宋体"/>
          <w:color w:val="auto"/>
          <w:sz w:val="21"/>
          <w:szCs w:val="21"/>
          <w:highlight w:val="none"/>
        </w:rPr>
        <w:t>. 发包人</w:t>
      </w:r>
      <w:bookmarkEnd w:id="81"/>
    </w:p>
    <w:bookmarkEnd w:id="82"/>
    <w:bookmarkEnd w:id="83"/>
    <w:bookmarkEnd w:id="84"/>
    <w:bookmarkEnd w:id="85"/>
    <w:bookmarkEnd w:id="86"/>
    <w:bookmarkEnd w:id="87"/>
    <w:bookmarkEnd w:id="88"/>
    <w:bookmarkEnd w:id="89"/>
    <w:bookmarkEnd w:id="90"/>
    <w:bookmarkEnd w:id="91"/>
    <w:p w14:paraId="73C24892">
      <w:pPr>
        <w:keepNext w:val="0"/>
        <w:keepLines w:val="0"/>
        <w:pageBreakBefore w:val="0"/>
        <w:widowControl w:val="0"/>
        <w:kinsoku/>
        <w:wordWrap/>
        <w:overflowPunct/>
        <w:topLinePunct w:val="0"/>
        <w:autoSpaceDE/>
        <w:autoSpaceDN/>
        <w:bidi w:val="0"/>
        <w:adjustRightInd/>
        <w:snapToGrid w:val="0"/>
        <w:spacing w:beforeAutospacing="0" w:line="520" w:lineRule="exact"/>
        <w:ind w:firstLine="420" w:firstLineChars="200"/>
        <w:textAlignment w:val="auto"/>
        <w:rPr>
          <w:rFonts w:cs="宋体"/>
          <w:bCs/>
          <w:color w:val="auto"/>
          <w:sz w:val="21"/>
          <w:szCs w:val="21"/>
          <w:highlight w:val="none"/>
        </w:rPr>
      </w:pPr>
      <w:r>
        <w:rPr>
          <w:rFonts w:hint="eastAsia" w:cs="宋体"/>
          <w:bCs/>
          <w:color w:val="auto"/>
          <w:sz w:val="21"/>
          <w:szCs w:val="21"/>
          <w:highlight w:val="none"/>
        </w:rPr>
        <w:t>2.2 发包人代表</w:t>
      </w:r>
    </w:p>
    <w:p w14:paraId="75DC115C">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ascii="宋体" w:hAnsi="宋体" w:eastAsia="宋体" w:cs="宋体"/>
          <w:color w:val="auto"/>
          <w:spacing w:val="9"/>
          <w:sz w:val="21"/>
          <w:szCs w:val="21"/>
          <w:highlight w:val="none"/>
          <w:u w:val="single" w:color="auto"/>
        </w:rPr>
        <w:t xml:space="preserve">  </w:t>
      </w:r>
      <w:r>
        <w:rPr>
          <w:rFonts w:hint="eastAsia" w:cs="宋体"/>
          <w:color w:val="auto"/>
          <w:spacing w:val="3"/>
          <w:sz w:val="21"/>
          <w:szCs w:val="21"/>
          <w:highlight w:val="none"/>
          <w:u w:val="single" w:color="auto"/>
          <w:lang w:val="en-US" w:eastAsia="zh-CN"/>
        </w:rPr>
        <w:t xml:space="preserve">   </w:t>
      </w:r>
      <w:r>
        <w:rPr>
          <w:rFonts w:ascii="宋体" w:hAnsi="宋体" w:eastAsia="宋体" w:cs="宋体"/>
          <w:color w:val="auto"/>
          <w:spacing w:val="5"/>
          <w:sz w:val="21"/>
          <w:szCs w:val="21"/>
          <w:highlight w:val="none"/>
          <w:u w:val="single" w:color="auto"/>
        </w:rPr>
        <w:t xml:space="preserve">        </w:t>
      </w:r>
      <w:r>
        <w:rPr>
          <w:rFonts w:hint="eastAsia" w:cs="宋体"/>
          <w:color w:val="auto"/>
          <w:spacing w:val="5"/>
          <w:sz w:val="21"/>
          <w:szCs w:val="21"/>
          <w:highlight w:val="none"/>
          <w:u w:val="single" w:color="auto"/>
          <w:lang w:val="en-US" w:eastAsia="zh-CN"/>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3"/>
          <w:sz w:val="21"/>
          <w:szCs w:val="21"/>
          <w:highlight w:val="none"/>
        </w:rPr>
        <w:t>；</w:t>
      </w:r>
    </w:p>
    <w:p w14:paraId="43282152">
      <w:pPr>
        <w:keepNext w:val="0"/>
        <w:keepLines w:val="0"/>
        <w:pageBreakBefore w:val="0"/>
        <w:widowControl w:val="0"/>
        <w:kinsoku/>
        <w:wordWrap/>
        <w:overflowPunct/>
        <w:topLinePunct w:val="0"/>
        <w:autoSpaceDE/>
        <w:autoSpaceDN/>
        <w:bidi w:val="0"/>
        <w:adjustRightInd/>
        <w:spacing w:line="500" w:lineRule="exact"/>
        <w:ind w:right="4222"/>
        <w:textAlignment w:val="auto"/>
        <w:rPr>
          <w:rFonts w:hint="eastAsia" w:ascii="宋体" w:hAnsi="宋体" w:eastAsia="宋体" w:cs="宋体"/>
          <w:color w:val="auto"/>
          <w:spacing w:val="3"/>
          <w:sz w:val="21"/>
          <w:szCs w:val="21"/>
          <w:highlight w:val="none"/>
          <w:u w:val="single" w:color="auto"/>
          <w:lang w:eastAsia="zh-CN"/>
        </w:rPr>
      </w:pPr>
      <w:r>
        <w:rPr>
          <w:rFonts w:ascii="宋体" w:hAnsi="宋体" w:eastAsia="宋体" w:cs="宋体"/>
          <w:color w:val="auto"/>
          <w:spacing w:val="4"/>
          <w:sz w:val="21"/>
          <w:szCs w:val="21"/>
          <w:highlight w:val="none"/>
        </w:rPr>
        <w:t>身份证号：</w:t>
      </w:r>
      <w:r>
        <w:rPr>
          <w:rFonts w:ascii="宋体" w:hAnsi="宋体" w:eastAsia="宋体" w:cs="宋体"/>
          <w:color w:val="auto"/>
          <w:spacing w:val="4"/>
          <w:sz w:val="21"/>
          <w:szCs w:val="21"/>
          <w:highlight w:val="none"/>
          <w:u w:val="single" w:color="auto"/>
        </w:rPr>
        <w:t xml:space="preserve"> </w:t>
      </w:r>
      <w:r>
        <w:rPr>
          <w:rFonts w:hint="eastAsia" w:cs="宋体"/>
          <w:color w:val="auto"/>
          <w:spacing w:val="4"/>
          <w:sz w:val="21"/>
          <w:szCs w:val="21"/>
          <w:highlight w:val="none"/>
          <w:u w:val="single" w:color="auto"/>
          <w:lang w:val="en-US" w:eastAsia="zh-CN"/>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hint="eastAsia" w:cs="宋体"/>
          <w:color w:val="auto"/>
          <w:spacing w:val="3"/>
          <w:sz w:val="21"/>
          <w:szCs w:val="21"/>
          <w:highlight w:val="none"/>
          <w:u w:val="single" w:color="auto"/>
          <w:lang w:eastAsia="zh-CN"/>
        </w:rPr>
        <w:t>；</w:t>
      </w:r>
    </w:p>
    <w:p w14:paraId="54911135">
      <w:pPr>
        <w:keepNext w:val="0"/>
        <w:keepLines w:val="0"/>
        <w:pageBreakBefore w:val="0"/>
        <w:widowControl w:val="0"/>
        <w:kinsoku/>
        <w:wordWrap/>
        <w:overflowPunct/>
        <w:topLinePunct w:val="0"/>
        <w:autoSpaceDE/>
        <w:autoSpaceDN/>
        <w:bidi w:val="0"/>
        <w:adjustRightInd/>
        <w:spacing w:line="500" w:lineRule="exact"/>
        <w:ind w:right="4222"/>
        <w:textAlignment w:val="auto"/>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职    务：</w:t>
      </w:r>
      <w:r>
        <w:rPr>
          <w:rFonts w:hint="eastAsia" w:cs="宋体"/>
          <w:color w:val="auto"/>
          <w:spacing w:val="7"/>
          <w:sz w:val="21"/>
          <w:szCs w:val="21"/>
          <w:highlight w:val="none"/>
          <w:u w:val="single" w:color="auto"/>
          <w:lang w:val="en-US" w:eastAsia="zh-CN"/>
        </w:rPr>
        <w:t xml:space="preserve">              </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7"/>
          <w:sz w:val="21"/>
          <w:szCs w:val="21"/>
          <w:highlight w:val="none"/>
        </w:rPr>
        <w:t>；</w:t>
      </w:r>
    </w:p>
    <w:p w14:paraId="03377294">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联系电话：</w:t>
      </w:r>
      <w:r>
        <w:rPr>
          <w:rFonts w:ascii="宋体" w:hAnsi="宋体" w:eastAsia="宋体" w:cs="宋体"/>
          <w:color w:val="auto"/>
          <w:spacing w:val="22"/>
          <w:sz w:val="21"/>
          <w:szCs w:val="21"/>
          <w:highlight w:val="none"/>
          <w:u w:val="single" w:color="auto"/>
        </w:rPr>
        <w:t xml:space="preserve">  </w:t>
      </w:r>
      <w:r>
        <w:rPr>
          <w:rFonts w:hint="eastAsia" w:cs="宋体"/>
          <w:color w:val="auto"/>
          <w:spacing w:val="4"/>
          <w:sz w:val="21"/>
          <w:szCs w:val="21"/>
          <w:highlight w:val="none"/>
          <w:u w:val="single" w:color="auto"/>
          <w:lang w:val="en-US" w:eastAsia="zh-CN"/>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w:t>
      </w:r>
    </w:p>
    <w:p w14:paraId="13E2E409">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电子信箱：</w:t>
      </w:r>
      <w:r>
        <w:rPr>
          <w:rFonts w:ascii="宋体" w:hAnsi="宋体" w:eastAsia="宋体" w:cs="宋体"/>
          <w:color w:val="auto"/>
          <w:spacing w:val="5"/>
          <w:sz w:val="21"/>
          <w:szCs w:val="21"/>
          <w:highlight w:val="none"/>
          <w:u w:val="single" w:color="auto"/>
        </w:rPr>
        <w:t xml:space="preserve">  </w:t>
      </w:r>
      <w:r>
        <w:rPr>
          <w:rFonts w:hint="eastAsia" w:cs="宋体"/>
          <w:color w:val="auto"/>
          <w:spacing w:val="5"/>
          <w:sz w:val="21"/>
          <w:szCs w:val="21"/>
          <w:highlight w:val="none"/>
          <w:u w:val="single" w:color="auto"/>
          <w:lang w:val="en-US" w:eastAsia="zh-CN"/>
        </w:rPr>
        <w:t xml:space="preserve">               </w:t>
      </w:r>
      <w:r>
        <w:rPr>
          <w:rFonts w:ascii="宋体" w:hAnsi="宋体" w:eastAsia="宋体" w:cs="宋体"/>
          <w:color w:val="auto"/>
          <w:spacing w:val="7"/>
          <w:sz w:val="21"/>
          <w:szCs w:val="21"/>
          <w:highlight w:val="none"/>
          <w:u w:val="single" w:color="auto"/>
        </w:rPr>
        <w:t xml:space="preserve">     </w:t>
      </w:r>
      <w:r>
        <w:rPr>
          <w:rFonts w:ascii="宋体" w:hAnsi="宋体" w:eastAsia="宋体" w:cs="宋体"/>
          <w:color w:val="auto"/>
          <w:spacing w:val="5"/>
          <w:sz w:val="21"/>
          <w:szCs w:val="21"/>
          <w:highlight w:val="none"/>
        </w:rPr>
        <w:t>；</w:t>
      </w:r>
    </w:p>
    <w:p w14:paraId="2605A60F">
      <w:pPr>
        <w:keepNext w:val="0"/>
        <w:keepLines w:val="0"/>
        <w:pageBreakBefore w:val="0"/>
        <w:widowControl w:val="0"/>
        <w:kinsoku/>
        <w:wordWrap/>
        <w:overflowPunct/>
        <w:topLinePunct w:val="0"/>
        <w:autoSpaceDE/>
        <w:autoSpaceDN/>
        <w:bidi w:val="0"/>
        <w:adjustRightInd/>
        <w:snapToGrid w:val="0"/>
        <w:spacing w:beforeAutospacing="0" w:line="520" w:lineRule="exact"/>
        <w:textAlignment w:val="auto"/>
        <w:rPr>
          <w:rFonts w:ascii="宋体" w:hAnsi="宋体" w:eastAsia="宋体" w:cs="宋体"/>
          <w:color w:val="auto"/>
          <w:spacing w:val="6"/>
          <w:sz w:val="21"/>
          <w:szCs w:val="21"/>
          <w:highlight w:val="none"/>
          <w:u w:val="single" w:color="auto"/>
        </w:rPr>
      </w:pPr>
      <w:r>
        <w:rPr>
          <w:rFonts w:ascii="宋体" w:hAnsi="宋体" w:eastAsia="宋体" w:cs="宋体"/>
          <w:color w:val="auto"/>
          <w:spacing w:val="7"/>
          <w:sz w:val="21"/>
          <w:szCs w:val="21"/>
          <w:highlight w:val="none"/>
        </w:rPr>
        <w:t>通信地址：</w:t>
      </w:r>
      <w:r>
        <w:rPr>
          <w:rFonts w:ascii="宋体" w:hAnsi="宋体" w:eastAsia="宋体" w:cs="宋体"/>
          <w:color w:val="auto"/>
          <w:spacing w:val="7"/>
          <w:sz w:val="21"/>
          <w:szCs w:val="21"/>
          <w:highlight w:val="none"/>
          <w:u w:val="single" w:color="auto"/>
        </w:rPr>
        <w:t xml:space="preserve"> 安徽省滁州市会峰西路</w:t>
      </w:r>
      <w:r>
        <w:rPr>
          <w:rFonts w:ascii="宋体" w:hAnsi="宋体" w:eastAsia="宋体" w:cs="宋体"/>
          <w:color w:val="auto"/>
          <w:spacing w:val="-22"/>
          <w:sz w:val="21"/>
          <w:szCs w:val="21"/>
          <w:highlight w:val="none"/>
          <w:u w:val="single" w:color="auto"/>
        </w:rPr>
        <w:t xml:space="preserve"> </w:t>
      </w:r>
      <w:r>
        <w:rPr>
          <w:rFonts w:ascii="宋体" w:hAnsi="宋体" w:eastAsia="宋体" w:cs="宋体"/>
          <w:color w:val="auto"/>
          <w:spacing w:val="7"/>
          <w:sz w:val="21"/>
          <w:szCs w:val="21"/>
          <w:highlight w:val="none"/>
          <w:u w:val="single" w:color="auto"/>
        </w:rPr>
        <w:t>1</w:t>
      </w:r>
      <w:r>
        <w:rPr>
          <w:rFonts w:ascii="宋体" w:hAnsi="宋体" w:eastAsia="宋体" w:cs="宋体"/>
          <w:color w:val="auto"/>
          <w:spacing w:val="-31"/>
          <w:sz w:val="21"/>
          <w:szCs w:val="21"/>
          <w:highlight w:val="none"/>
          <w:u w:val="single" w:color="auto"/>
        </w:rPr>
        <w:t xml:space="preserve"> </w:t>
      </w:r>
      <w:r>
        <w:rPr>
          <w:rFonts w:ascii="宋体" w:hAnsi="宋体" w:eastAsia="宋体" w:cs="宋体"/>
          <w:color w:val="auto"/>
          <w:spacing w:val="7"/>
          <w:sz w:val="21"/>
          <w:szCs w:val="21"/>
          <w:highlight w:val="none"/>
          <w:u w:val="single" w:color="auto"/>
        </w:rPr>
        <w:t xml:space="preserve">号后勤管理与基建处      </w:t>
      </w:r>
      <w:r>
        <w:rPr>
          <w:rFonts w:ascii="宋体" w:hAnsi="宋体" w:eastAsia="宋体" w:cs="宋体"/>
          <w:color w:val="auto"/>
          <w:spacing w:val="6"/>
          <w:sz w:val="21"/>
          <w:szCs w:val="21"/>
          <w:highlight w:val="none"/>
          <w:u w:val="single" w:color="auto"/>
        </w:rPr>
        <w:t xml:space="preserve">   </w:t>
      </w:r>
    </w:p>
    <w:p w14:paraId="3B841EB5">
      <w:pPr>
        <w:keepNext w:val="0"/>
        <w:keepLines w:val="0"/>
        <w:pageBreakBefore w:val="0"/>
        <w:widowControl w:val="0"/>
        <w:kinsoku/>
        <w:wordWrap/>
        <w:overflowPunct/>
        <w:topLinePunct w:val="0"/>
        <w:autoSpaceDE/>
        <w:autoSpaceDN/>
        <w:bidi w:val="0"/>
        <w:adjustRightInd/>
        <w:snapToGrid w:val="0"/>
        <w:spacing w:beforeAutospacing="0" w:line="520" w:lineRule="exact"/>
        <w:ind w:firstLine="420" w:firstLineChars="200"/>
        <w:textAlignment w:val="auto"/>
        <w:rPr>
          <w:rFonts w:hint="eastAsia" w:ascii="宋体" w:hAnsi="宋体" w:eastAsia="宋体" w:cs="宋体"/>
          <w:color w:val="auto"/>
          <w:sz w:val="21"/>
          <w:szCs w:val="21"/>
          <w:highlight w:val="none"/>
          <w:u w:val="single"/>
        </w:rPr>
      </w:pPr>
      <w:r>
        <w:rPr>
          <w:rFonts w:hint="eastAsia"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施工组织设计和总进度计划的审核、工程变更、签证的审核、工程款的审核等。</w:t>
      </w:r>
    </w:p>
    <w:p w14:paraId="71BF2B15">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2.4 施工现场、施工条件和基础资料的提供</w:t>
      </w:r>
    </w:p>
    <w:p w14:paraId="3DD42E9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2.4.1 提供施工现场</w:t>
      </w:r>
    </w:p>
    <w:p w14:paraId="2305688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关于发包人移交施工现场的期限要求：</w:t>
      </w:r>
      <w:r>
        <w:rPr>
          <w:rFonts w:hint="eastAsia" w:cs="宋体"/>
          <w:color w:val="auto"/>
          <w:sz w:val="21"/>
          <w:szCs w:val="21"/>
          <w:highlight w:val="none"/>
          <w:u w:val="single"/>
          <w:lang w:val="en-US" w:eastAsia="zh-CN"/>
        </w:rPr>
        <w:t>开工前</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3A9268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2.4.2 提供施工条件</w:t>
      </w:r>
    </w:p>
    <w:p w14:paraId="34F2E842">
      <w:pPr>
        <w:pageBreakBefore w:val="0"/>
        <w:kinsoku/>
        <w:wordWrap/>
        <w:topLinePunct w:val="0"/>
        <w:bidi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关于发包人应负责提供施工所需要的条件，包括：</w:t>
      </w:r>
      <w:r>
        <w:rPr>
          <w:rFonts w:hint="eastAsia" w:ascii="宋体" w:hAnsi="宋体" w:eastAsia="宋体" w:cs="宋体"/>
          <w:color w:val="auto"/>
          <w:sz w:val="21"/>
          <w:szCs w:val="21"/>
          <w:highlight w:val="none"/>
          <w:u w:val="single"/>
        </w:rPr>
        <w:t>不提供，本项目施工所需要的条件及手续和工程未完全交付发包人前所有的水电费用均由承包人自行办理且相关费用已包含在合同价款中，由承包人承担。</w:t>
      </w:r>
    </w:p>
    <w:p w14:paraId="40937CB3">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2.5 资金来源证明及支付担保</w:t>
      </w:r>
    </w:p>
    <w:p w14:paraId="4AA6386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发包人提供资金来源证明的期限要求：</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7B1C6A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发包人是否提供支付担保：</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47482B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发包人提供支付担保的形式：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74250525">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92" w:name="_Toc351203635"/>
      <w:r>
        <w:rPr>
          <w:rFonts w:hint="eastAsia" w:cs="宋体"/>
          <w:color w:val="auto"/>
          <w:sz w:val="21"/>
          <w:szCs w:val="21"/>
          <w:highlight w:val="none"/>
        </w:rPr>
        <w:t>3</w:t>
      </w:r>
      <w:bookmarkStart w:id="93" w:name="_Toc297120458"/>
      <w:bookmarkStart w:id="94" w:name="_Toc296891198"/>
      <w:bookmarkStart w:id="95" w:name="_Toc296346659"/>
      <w:bookmarkStart w:id="96" w:name="_Toc292559868"/>
      <w:bookmarkStart w:id="97" w:name="_Toc296503158"/>
      <w:bookmarkStart w:id="98" w:name="_Toc297048344"/>
      <w:bookmarkStart w:id="99" w:name="_Toc296347157"/>
      <w:bookmarkStart w:id="100" w:name="_Toc296890986"/>
      <w:bookmarkStart w:id="101" w:name="_Toc296944497"/>
      <w:bookmarkStart w:id="102" w:name="_Toc292559363"/>
      <w:r>
        <w:rPr>
          <w:rFonts w:hint="eastAsia" w:cs="宋体"/>
          <w:color w:val="auto"/>
          <w:sz w:val="21"/>
          <w:szCs w:val="21"/>
          <w:highlight w:val="none"/>
        </w:rPr>
        <w:t>. 承包人</w:t>
      </w:r>
      <w:bookmarkEnd w:id="92"/>
    </w:p>
    <w:bookmarkEnd w:id="93"/>
    <w:bookmarkEnd w:id="94"/>
    <w:bookmarkEnd w:id="95"/>
    <w:bookmarkEnd w:id="96"/>
    <w:bookmarkEnd w:id="97"/>
    <w:bookmarkEnd w:id="98"/>
    <w:bookmarkEnd w:id="99"/>
    <w:bookmarkEnd w:id="100"/>
    <w:bookmarkEnd w:id="101"/>
    <w:bookmarkEnd w:id="102"/>
    <w:p w14:paraId="7E55350D">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3.1 承包人的一般义务</w:t>
      </w:r>
    </w:p>
    <w:p w14:paraId="4C7CCE8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（9）承包人提交的竣工资料的内容：</w:t>
      </w:r>
      <w:r>
        <w:rPr>
          <w:rFonts w:hint="eastAsia" w:cs="宋体"/>
          <w:color w:val="auto"/>
          <w:sz w:val="21"/>
          <w:szCs w:val="21"/>
          <w:highlight w:val="none"/>
          <w:u w:val="single"/>
          <w:lang w:val="en-US" w:eastAsia="zh-CN"/>
        </w:rPr>
        <w:t>招标文件、投标文件、施工日志、结算资料等</w:t>
      </w:r>
      <w:r>
        <w:rPr>
          <w:rFonts w:hint="eastAsia" w:cs="宋体"/>
          <w:color w:val="auto"/>
          <w:sz w:val="21"/>
          <w:szCs w:val="21"/>
          <w:highlight w:val="none"/>
        </w:rPr>
        <w:t>。</w:t>
      </w:r>
    </w:p>
    <w:p w14:paraId="34B461B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承包人需要提交的竣工资料套数：</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施工资料2套</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AFC7EE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承包人提交的竣工资料的费用承担：</w:t>
      </w:r>
      <w:r>
        <w:rPr>
          <w:rFonts w:hint="eastAsia" w:cs="宋体"/>
          <w:color w:val="auto"/>
          <w:sz w:val="21"/>
          <w:szCs w:val="21"/>
          <w:highlight w:val="none"/>
          <w:u w:val="single"/>
        </w:rPr>
        <w:t>承包人承担</w:t>
      </w:r>
      <w:r>
        <w:rPr>
          <w:rFonts w:hint="eastAsia" w:cs="宋体"/>
          <w:color w:val="auto"/>
          <w:sz w:val="21"/>
          <w:szCs w:val="21"/>
          <w:highlight w:val="none"/>
        </w:rPr>
        <w:t>。</w:t>
      </w:r>
    </w:p>
    <w:p w14:paraId="753770B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承包人提交的竣工资料移交时间：</w:t>
      </w:r>
      <w:r>
        <w:rPr>
          <w:rFonts w:hint="eastAsia" w:ascii="宋体" w:hAnsi="宋体" w:eastAsia="宋体" w:cs="宋体"/>
          <w:color w:val="auto"/>
          <w:sz w:val="21"/>
          <w:szCs w:val="21"/>
          <w:highlight w:val="none"/>
          <w:u w:val="single"/>
        </w:rPr>
        <w:t>工程竣工验收合格后</w:t>
      </w:r>
      <w:r>
        <w:rPr>
          <w:rFonts w:hint="eastAsia"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个</w:t>
      </w:r>
      <w:r>
        <w:rPr>
          <w:rFonts w:hint="eastAsia" w:cs="宋体"/>
          <w:color w:val="auto"/>
          <w:sz w:val="21"/>
          <w:szCs w:val="21"/>
          <w:highlight w:val="none"/>
          <w:u w:val="single"/>
          <w:lang w:val="en-US" w:eastAsia="zh-CN"/>
        </w:rPr>
        <w:t>工作日内</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35C6CC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承包人提交的竣工资料形式要求：</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纸质材料和电子资料</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63D30C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（10）承包人应履行的其他义务：</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接受发包人的要求</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3BFD04C">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3.2 项目经理</w:t>
      </w:r>
    </w:p>
    <w:p w14:paraId="05DFFEC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3.2.1 项目经理：</w:t>
      </w:r>
    </w:p>
    <w:p w14:paraId="0514592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姓    名：</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6EA429A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身份证号：</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0B7594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建造师执业资格等级：</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A6B0C4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建造师注册证书号：</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5207D41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建造师执业印章号：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18C9E6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安全生产考核合格证书号：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9FB27A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84D82B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ACAC82E">
      <w:pPr>
        <w:pageBreakBefore w:val="0"/>
        <w:kinsoku/>
        <w:wordWrap/>
        <w:topLinePunct w:val="0"/>
        <w:bidi w:val="0"/>
        <w:adjustRightInd w:val="0"/>
        <w:snapToGrid w:val="0"/>
        <w:spacing w:beforeAutospacing="0" w:line="520" w:lineRule="exact"/>
        <w:ind w:firstLine="420" w:firstLineChars="200"/>
        <w:rPr>
          <w:rFonts w:hint="eastAsia"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3DBF49F">
      <w:pPr>
        <w:pageBreakBefore w:val="0"/>
        <w:kinsoku/>
        <w:wordWrap/>
        <w:topLinePunct w:val="0"/>
        <w:bidi w:val="0"/>
        <w:snapToGrid w:val="0"/>
        <w:spacing w:beforeAutospacing="0" w:line="52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技术负责人：</w:t>
      </w:r>
    </w:p>
    <w:p w14:paraId="75162310">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9D03D45">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743CCF20">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职称（</w:t>
      </w:r>
      <w:r>
        <w:rPr>
          <w:rFonts w:hint="eastAsia" w:ascii="宋体" w:hAnsi="宋体" w:eastAsia="宋体" w:cs="宋体"/>
          <w:color w:val="auto"/>
          <w:sz w:val="21"/>
          <w:szCs w:val="21"/>
          <w:highlight w:val="none"/>
        </w:rPr>
        <w:t>执业</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rPr>
        <w:t>资格等级：</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558664A">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证书号：</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3C9D035">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执业印章号：</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EA58A44">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5C172F4">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0B94889">
      <w:pPr>
        <w:pageBreakBefore w:val="0"/>
        <w:kinsoku/>
        <w:wordWrap/>
        <w:topLinePunct w:val="0"/>
        <w:bidi w:val="0"/>
        <w:snapToGrid w:val="0"/>
        <w:spacing w:beforeAutospacing="0" w:line="520" w:lineRule="exact"/>
        <w:ind w:firstLine="420" w:firstLineChars="200"/>
        <w:rPr>
          <w:color w:val="auto"/>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3DCCD2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承包人对项目经理的授权范围如下：</w:t>
      </w:r>
      <w:r>
        <w:rPr>
          <w:rFonts w:hint="eastAsia" w:ascii="宋体" w:hAnsi="宋体" w:eastAsia="宋体" w:cs="宋体"/>
          <w:color w:val="auto"/>
          <w:sz w:val="21"/>
          <w:szCs w:val="21"/>
          <w:highlight w:val="none"/>
          <w:u w:val="single"/>
        </w:rPr>
        <w:t>按承包人书面授权书约定</w:t>
      </w:r>
      <w:r>
        <w:rPr>
          <w:rFonts w:hint="eastAsia" w:cs="宋体"/>
          <w:color w:val="auto"/>
          <w:sz w:val="21"/>
          <w:szCs w:val="21"/>
          <w:highlight w:val="none"/>
        </w:rPr>
        <w:t>。</w:t>
      </w:r>
    </w:p>
    <w:p w14:paraId="5395C3BA">
      <w:pPr>
        <w:pageBreakBefore w:val="0"/>
        <w:kinsoku/>
        <w:wordWrap/>
        <w:topLinePunct w:val="0"/>
        <w:bidi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关于项目经理每月在施工现场的时间要求：</w:t>
      </w:r>
      <w:r>
        <w:rPr>
          <w:rFonts w:hint="eastAsia" w:cs="宋体"/>
          <w:color w:val="auto"/>
          <w:sz w:val="21"/>
          <w:szCs w:val="21"/>
          <w:highlight w:val="none"/>
          <w:u w:val="single"/>
          <w:lang w:val="en-US" w:eastAsia="zh-CN"/>
        </w:rPr>
        <w:t>不得更换</w:t>
      </w:r>
      <w:r>
        <w:rPr>
          <w:rFonts w:hint="eastAsia" w:cs="宋体"/>
          <w:color w:val="auto"/>
          <w:sz w:val="21"/>
          <w:szCs w:val="21"/>
          <w:highlight w:val="none"/>
          <w:u w:val="single"/>
          <w:lang w:val="en-US" w:eastAsia="zh-CN"/>
        </w:rPr>
        <w:t>项目经理</w:t>
      </w:r>
      <w:r>
        <w:rPr>
          <w:rFonts w:hint="eastAsia" w:cs="宋体"/>
          <w:color w:val="auto"/>
          <w:sz w:val="21"/>
          <w:szCs w:val="21"/>
          <w:highlight w:val="none"/>
          <w:u w:val="single"/>
          <w:lang w:val="en-US" w:eastAsia="zh-CN"/>
        </w:rPr>
        <w:t>；</w:t>
      </w:r>
      <w:r>
        <w:rPr>
          <w:rFonts w:hint="eastAsia" w:cs="宋体"/>
          <w:color w:val="auto"/>
          <w:sz w:val="21"/>
          <w:szCs w:val="21"/>
          <w:highlight w:val="none"/>
          <w:u w:val="single"/>
          <w:lang w:val="en-US" w:eastAsia="zh-CN"/>
        </w:rPr>
        <w:t>项目经理</w:t>
      </w:r>
      <w:r>
        <w:rPr>
          <w:rFonts w:hint="eastAsia" w:cs="宋体"/>
          <w:color w:val="auto"/>
          <w:sz w:val="21"/>
          <w:szCs w:val="21"/>
          <w:highlight w:val="none"/>
          <w:u w:val="single"/>
          <w:lang w:val="en-US" w:eastAsia="zh-CN"/>
        </w:rPr>
        <w:t>驻场累计时间不得低于实际工期的80%，不得无故脱离施工现场，缺少一天按5000元/天从工程结算价抵扣；</w:t>
      </w:r>
      <w:r>
        <w:rPr>
          <w:rFonts w:hint="eastAsia" w:cs="宋体"/>
          <w:color w:val="auto"/>
          <w:sz w:val="21"/>
          <w:szCs w:val="21"/>
          <w:highlight w:val="none"/>
          <w:u w:val="single"/>
          <w:lang w:val="en-US" w:eastAsia="zh-CN"/>
        </w:rPr>
        <w:t>无故不参加采购人召开的例会、</w:t>
      </w:r>
      <w:r>
        <w:rPr>
          <w:rFonts w:hint="eastAsia" w:cs="宋体"/>
          <w:color w:val="auto"/>
          <w:sz w:val="21"/>
          <w:szCs w:val="21"/>
          <w:highlight w:val="none"/>
          <w:u w:val="single"/>
          <w:lang w:val="en-US" w:eastAsia="zh-CN"/>
        </w:rPr>
        <w:t>连续缺勤3天、累计缺勤5天或在施工关键技术环节缺勤的，采购人终止合同并对已完工程不予以计量计价，视为成交人违约并承担一切损失和赔偿</w:t>
      </w:r>
      <w:r>
        <w:rPr>
          <w:rFonts w:hint="eastAsia" w:cs="宋体"/>
          <w:color w:val="auto"/>
          <w:sz w:val="21"/>
          <w:szCs w:val="21"/>
          <w:highlight w:val="none"/>
          <w:u w:val="single"/>
        </w:rPr>
        <w:t>。</w:t>
      </w:r>
      <w:r>
        <w:rPr>
          <w:rFonts w:hint="eastAsia" w:ascii="宋体" w:hAnsi="宋体" w:eastAsia="宋体" w:cs="宋体"/>
          <w:color w:val="auto"/>
          <w:kern w:val="0"/>
          <w:sz w:val="21"/>
          <w:szCs w:val="21"/>
          <w:highlight w:val="none"/>
          <w:u w:val="single"/>
        </w:rPr>
        <w:t>项目经理必须自行解决好与发包人项目现有施工单位的沟通、协调问题。承包人必须配备专职质量员，不得由项目经理、现场负责人、技术负责人等兼任。</w:t>
      </w:r>
    </w:p>
    <w:p w14:paraId="21830086">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kern w:val="0"/>
          <w:sz w:val="21"/>
          <w:szCs w:val="21"/>
          <w:highlight w:val="none"/>
        </w:rPr>
      </w:pPr>
      <w:r>
        <w:rPr>
          <w:rFonts w:hint="eastAsia" w:cs="宋体"/>
          <w:color w:val="auto"/>
          <w:sz w:val="21"/>
          <w:szCs w:val="21"/>
          <w:highlight w:val="none"/>
        </w:rPr>
        <w:t>承包人未提交劳动合同，以及没有为项目经理缴纳社会保险证明的违约责任：</w:t>
      </w:r>
      <w:r>
        <w:rPr>
          <w:rFonts w:hint="eastAsia" w:ascii="宋体" w:hAnsi="宋体" w:eastAsia="宋体" w:cs="宋体"/>
          <w:color w:val="auto"/>
          <w:kern w:val="0"/>
          <w:sz w:val="21"/>
          <w:szCs w:val="21"/>
          <w:highlight w:val="none"/>
          <w:u w:val="single"/>
        </w:rPr>
        <w:t>承包人未按要求递交项目经理劳动合同及提供社保证明，视同为允许他人以承包人名义承揽工程。发包人将依法上报有关部门追究承包人法律责任，发包人有权处以承包人违约金5万元。承包人需一次性向发包人现金转账支付违约金，否则发包人有权在进度款支付中扣除。</w:t>
      </w:r>
    </w:p>
    <w:p w14:paraId="7763723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项目经理未经批准，擅自离开施工现场的违约责任：</w:t>
      </w:r>
      <w:r>
        <w:rPr>
          <w:rFonts w:hint="eastAsia" w:cs="宋体"/>
          <w:color w:val="auto"/>
          <w:sz w:val="21"/>
          <w:szCs w:val="21"/>
          <w:highlight w:val="none"/>
          <w:u w:val="single"/>
        </w:rPr>
        <w:t>承包人未能按照承诺到岗尽职的，发包人将视情况严重程度对其作出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14:paraId="7DA2FDE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3.2.3 承包人擅自更换项目经理的违约责任：</w:t>
      </w:r>
    </w:p>
    <w:p w14:paraId="176C4291">
      <w:pPr>
        <w:pageBreakBefore w:val="0"/>
        <w:kinsoku/>
        <w:wordWrap/>
        <w:topLinePunct w:val="0"/>
        <w:bidi w:val="0"/>
        <w:adjustRightInd w:val="0"/>
        <w:snapToGrid w:val="0"/>
        <w:spacing w:beforeAutospacing="0" w:line="520" w:lineRule="exact"/>
        <w:ind w:firstLine="420" w:firstLineChars="200"/>
        <w:rPr>
          <w:rFonts w:hint="eastAsia" w:cs="宋体"/>
          <w:color w:val="auto"/>
          <w:sz w:val="21"/>
          <w:szCs w:val="21"/>
          <w:highlight w:val="none"/>
          <w:u w:val="single"/>
          <w:lang w:val="en-US" w:eastAsia="zh-CN"/>
        </w:rPr>
      </w:pPr>
      <w:r>
        <w:rPr>
          <w:rFonts w:hint="eastAsia" w:cs="宋体"/>
          <w:color w:val="auto"/>
          <w:sz w:val="21"/>
          <w:szCs w:val="21"/>
          <w:highlight w:val="none"/>
          <w:u w:val="single"/>
        </w:rPr>
        <w:t>承包人不得擅自更换投标时所报项目经理，否则发包人有权解除合同，由此造成的损失由承包人自行承担，承包人还应赔偿由此造成发包人的全部损失。确需更换的须在签订合同后，报经发包人同意后按相关规定办理，更换后的人员不得低于承包人投标时所报人员资质和技术水平</w:t>
      </w:r>
      <w:r>
        <w:rPr>
          <w:rFonts w:hint="eastAsia" w:cs="宋体"/>
          <w:color w:val="auto"/>
          <w:sz w:val="21"/>
          <w:szCs w:val="21"/>
          <w:highlight w:val="none"/>
          <w:u w:val="single"/>
          <w:lang w:eastAsia="zh-CN"/>
        </w:rPr>
        <w:t>，</w:t>
      </w:r>
      <w:r>
        <w:rPr>
          <w:rFonts w:hint="eastAsia" w:cs="宋体"/>
          <w:color w:val="auto"/>
          <w:sz w:val="21"/>
          <w:szCs w:val="21"/>
          <w:highlight w:val="none"/>
          <w:u w:val="single"/>
          <w:lang w:val="en-US" w:eastAsia="zh-CN"/>
        </w:rPr>
        <w:t>承包人应向发包人缴纳20000.00元违约金，需一次性向发包人现金转账支付违约金。</w:t>
      </w:r>
    </w:p>
    <w:p w14:paraId="7EE246C3">
      <w:pPr>
        <w:pageBreakBefore w:val="0"/>
        <w:kinsoku/>
        <w:wordWrap/>
        <w:topLinePunct w:val="0"/>
        <w:bidi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3.2.4 承包人无正当理由拒绝更换项目经理的违约责任：</w:t>
      </w:r>
      <w:r>
        <w:rPr>
          <w:rFonts w:hint="eastAsia" w:ascii="宋体" w:hAnsi="宋体" w:eastAsia="宋体" w:cs="宋体"/>
          <w:color w:val="auto"/>
          <w:sz w:val="21"/>
          <w:szCs w:val="21"/>
          <w:highlight w:val="none"/>
          <w:u w:val="single"/>
        </w:rPr>
        <w:t>当发包人认为项目经理不能满足工程要求时，书面告知承包人后，承包人应当在</w:t>
      </w:r>
      <w:r>
        <w:rPr>
          <w:rFonts w:hint="eastAsia"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个工作日内更换项目经理，并支付5万元的违约金。若未按要求及时更换项目经理，发包人有权处以承包人违约金10万元。承包人需一次性向发包人现金转账支付违约金，否则发包人有权在</w:t>
      </w:r>
      <w:r>
        <w:rPr>
          <w:rFonts w:hint="eastAsia" w:cs="宋体"/>
          <w:color w:val="auto"/>
          <w:sz w:val="21"/>
          <w:szCs w:val="21"/>
          <w:highlight w:val="none"/>
          <w:u w:val="single"/>
          <w:lang w:val="en-US" w:eastAsia="zh-CN"/>
        </w:rPr>
        <w:t>结算款</w:t>
      </w:r>
      <w:r>
        <w:rPr>
          <w:rFonts w:hint="eastAsia" w:ascii="宋体" w:hAnsi="宋体" w:eastAsia="宋体" w:cs="宋体"/>
          <w:color w:val="auto"/>
          <w:sz w:val="21"/>
          <w:szCs w:val="21"/>
          <w:highlight w:val="none"/>
          <w:u w:val="single"/>
        </w:rPr>
        <w:t>支中扣除。如承包人拒不更换项目经理，发包人有权要求承包人退场并解除合同。更换后的项目经理资质、业绩经验不得低于变更前项目负责人资质、业绩经验。且由此增加的费用和（或）延误的工期由承包人承担。</w:t>
      </w:r>
    </w:p>
    <w:p w14:paraId="644B5D53">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3.3 承包人人员</w:t>
      </w:r>
    </w:p>
    <w:p w14:paraId="7135A943">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承包人提交项目管理机构及施工现场管理人员安排报告的期限：</w:t>
      </w:r>
      <w:r>
        <w:rPr>
          <w:rFonts w:hint="eastAsia" w:ascii="宋体" w:hAnsi="宋体" w:eastAsia="宋体" w:cs="宋体"/>
          <w:color w:val="auto"/>
          <w:sz w:val="21"/>
          <w:szCs w:val="21"/>
          <w:highlight w:val="none"/>
          <w:u w:val="single"/>
        </w:rPr>
        <w:t>承包人应在合同签订后7日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09FFF90">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发包人可以要求承包人更换其认为不称职或不符合要求的项目主要施工管理人员，承包人应予以执行。承包人必须在收到发包人更换项目施工管理人员书面通知的7天内负责更换，更换的项目施工管理人员应得到发包人的书面确认。承包人无正当理由拒绝更换项目施工管理人员的，自承包人接到发包人更换项目施工管理人员通知之第8日起，承包人向发包人支付违约金5000元/天，直至更换符合发包人要求的项目施工管理人员为止，由此增加的费用和（或）延误的工期及其它责任由承包人承担</w:t>
      </w:r>
      <w:r>
        <w:rPr>
          <w:rFonts w:hint="eastAsia" w:ascii="宋体" w:hAnsi="宋体" w:eastAsia="宋体" w:cs="宋体"/>
          <w:color w:val="auto"/>
          <w:sz w:val="21"/>
          <w:szCs w:val="21"/>
          <w:highlight w:val="none"/>
        </w:rPr>
        <w:t>。</w:t>
      </w:r>
    </w:p>
    <w:p w14:paraId="219773D7">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需离开时必须事先征得发包人和监理人同意后方可离开。</w:t>
      </w:r>
    </w:p>
    <w:p w14:paraId="35E85FA0">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3.3.5承包人擅自更换主要施工管理人员的违约责任：</w:t>
      </w:r>
      <w:r>
        <w:rPr>
          <w:rFonts w:hint="eastAsia" w:ascii="宋体" w:hAnsi="宋体" w:eastAsia="宋体" w:cs="宋体"/>
          <w:color w:val="auto"/>
          <w:sz w:val="21"/>
          <w:szCs w:val="21"/>
          <w:highlight w:val="none"/>
          <w:u w:val="none"/>
        </w:rPr>
        <w:t>如果没有得到发包人和监理工程师的事先同意，承包人不得更改项目施工管理人员（不含项目经理和技术负责人），否则将视为承包人违约，承包人应向发包人支付人民币</w:t>
      </w:r>
      <w:r>
        <w:rPr>
          <w:rFonts w:hint="eastAsia" w:ascii="宋体" w:hAnsi="宋体" w:eastAsia="宋体" w:cs="宋体"/>
          <w:color w:val="auto"/>
          <w:sz w:val="21"/>
          <w:szCs w:val="21"/>
          <w:highlight w:val="none"/>
          <w:u w:val="single"/>
        </w:rPr>
        <w:t>1万元</w:t>
      </w:r>
      <w:r>
        <w:rPr>
          <w:rFonts w:hint="eastAsia" w:cs="宋体"/>
          <w:color w:val="auto"/>
          <w:sz w:val="21"/>
          <w:szCs w:val="21"/>
          <w:highlight w:val="none"/>
          <w:u w:val="single"/>
          <w:lang w:val="en-US" w:eastAsia="zh-CN"/>
        </w:rPr>
        <w:t>/人.次</w:t>
      </w:r>
      <w:r>
        <w:rPr>
          <w:rFonts w:hint="eastAsia" w:ascii="宋体" w:hAnsi="宋体" w:eastAsia="宋体" w:cs="宋体"/>
          <w:color w:val="auto"/>
          <w:sz w:val="21"/>
          <w:szCs w:val="21"/>
          <w:highlight w:val="none"/>
          <w:u w:val="none"/>
        </w:rPr>
        <w:t>的违约金</w:t>
      </w:r>
      <w:r>
        <w:rPr>
          <w:rFonts w:hint="eastAsia" w:cs="宋体"/>
          <w:color w:val="auto"/>
          <w:sz w:val="21"/>
          <w:szCs w:val="21"/>
          <w:highlight w:val="none"/>
          <w:u w:val="none"/>
          <w:lang w:eastAsia="zh-CN"/>
        </w:rPr>
        <w:t>，</w:t>
      </w:r>
      <w:r>
        <w:rPr>
          <w:rFonts w:hint="eastAsia" w:cs="宋体"/>
          <w:color w:val="auto"/>
          <w:sz w:val="21"/>
          <w:szCs w:val="21"/>
          <w:highlight w:val="none"/>
          <w:u w:val="none"/>
          <w:lang w:val="en-US" w:eastAsia="zh-CN"/>
        </w:rPr>
        <w:t>从工程结算款扣除</w:t>
      </w:r>
      <w:r>
        <w:rPr>
          <w:rFonts w:hint="eastAsia" w:ascii="宋体" w:hAnsi="宋体" w:eastAsia="宋体" w:cs="宋体"/>
          <w:color w:val="auto"/>
          <w:sz w:val="21"/>
          <w:szCs w:val="21"/>
          <w:highlight w:val="none"/>
          <w:u w:val="none"/>
        </w:rPr>
        <w:t>。</w:t>
      </w:r>
    </w:p>
    <w:p w14:paraId="3F91F85F">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3</w:t>
      </w:r>
      <w:bookmarkStart w:id="103" w:name="_Toc296347158"/>
      <w:bookmarkStart w:id="104" w:name="_Toc296890987"/>
      <w:bookmarkStart w:id="105" w:name="_Toc296891199"/>
      <w:bookmarkStart w:id="106" w:name="_Toc297123492"/>
      <w:bookmarkStart w:id="107" w:name="_Toc296503159"/>
      <w:bookmarkStart w:id="108" w:name="_Toc297048345"/>
      <w:bookmarkStart w:id="109" w:name="_Toc303539102"/>
      <w:bookmarkStart w:id="110" w:name="_Toc312677988"/>
      <w:bookmarkStart w:id="111" w:name="_Toc297216151"/>
      <w:bookmarkStart w:id="112" w:name="_Toc304295523"/>
      <w:bookmarkStart w:id="113" w:name="_Toc292559869"/>
      <w:bookmarkStart w:id="114" w:name="_Toc292559364"/>
      <w:bookmarkStart w:id="115" w:name="_Toc300934945"/>
      <w:bookmarkStart w:id="116" w:name="_Toc297120459"/>
      <w:bookmarkStart w:id="117" w:name="_Toc296944498"/>
      <w:bookmarkStart w:id="118" w:name="_Toc296346660"/>
      <w:r>
        <w:rPr>
          <w:rFonts w:hint="eastAsia" w:cs="宋体"/>
          <w:bCs/>
          <w:color w:val="auto"/>
          <w:sz w:val="21"/>
          <w:szCs w:val="21"/>
          <w:highlight w:val="none"/>
        </w:rPr>
        <w:t>.5 分包</w:t>
      </w:r>
    </w:p>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304C954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w:t>
      </w:r>
      <w:bookmarkStart w:id="119" w:name="_Toc297048346"/>
      <w:bookmarkStart w:id="120" w:name="_Toc296347159"/>
      <w:bookmarkStart w:id="121" w:name="_Toc296944499"/>
      <w:bookmarkStart w:id="122" w:name="_Toc296890988"/>
      <w:bookmarkStart w:id="123" w:name="_Toc297216152"/>
      <w:bookmarkStart w:id="124" w:name="_Toc292559870"/>
      <w:bookmarkStart w:id="125" w:name="_Toc304295524"/>
      <w:bookmarkStart w:id="126" w:name="_Toc292559365"/>
      <w:bookmarkStart w:id="127" w:name="_Toc296346661"/>
      <w:bookmarkStart w:id="128" w:name="_Toc297120460"/>
      <w:bookmarkStart w:id="129" w:name="_Toc303539103"/>
      <w:bookmarkStart w:id="130" w:name="_Toc297123493"/>
      <w:bookmarkStart w:id="131" w:name="_Toc296891200"/>
      <w:bookmarkStart w:id="132" w:name="_Toc296503160"/>
      <w:bookmarkStart w:id="133" w:name="_Toc300934946"/>
      <w:bookmarkStart w:id="134" w:name="_Toc312677989"/>
      <w:bookmarkStart w:id="135" w:name="_Toc318581158"/>
      <w:r>
        <w:rPr>
          <w:rFonts w:hint="eastAsia" w:cs="宋体"/>
          <w:color w:val="auto"/>
          <w:sz w:val="21"/>
          <w:szCs w:val="21"/>
          <w:highlight w:val="none"/>
        </w:rPr>
        <w:t>.5.1 分包的一般约定</w:t>
      </w:r>
    </w:p>
    <w:p w14:paraId="720B2F5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禁止分包的工程包括：</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禁止分包</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54F9DB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主体结构、关键性工作的范围：</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Start w:id="136" w:name="_Toc296346662"/>
      <w:bookmarkStart w:id="137" w:name="_Toc297123494"/>
      <w:bookmarkStart w:id="138" w:name="_Toc300934947"/>
      <w:bookmarkStart w:id="139" w:name="_Toc296891201"/>
      <w:bookmarkStart w:id="140" w:name="_Toc297120461"/>
      <w:bookmarkStart w:id="141" w:name="_Toc296347160"/>
      <w:bookmarkStart w:id="142" w:name="_Toc303539104"/>
      <w:bookmarkStart w:id="143" w:name="_Toc297048347"/>
      <w:bookmarkStart w:id="144" w:name="_Toc296890989"/>
      <w:bookmarkStart w:id="145" w:name="_Toc304295525"/>
      <w:bookmarkStart w:id="146" w:name="_Toc297216153"/>
      <w:bookmarkStart w:id="147" w:name="_Toc296944500"/>
      <w:bookmarkStart w:id="148" w:name="_Toc296503161"/>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14:paraId="418EC07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w:t>
      </w:r>
      <w:bookmarkStart w:id="149" w:name="_Toc312677990"/>
      <w:bookmarkStart w:id="150" w:name="_Toc318581159"/>
      <w:r>
        <w:rPr>
          <w:rFonts w:hint="eastAsia" w:cs="宋体"/>
          <w:color w:val="auto"/>
          <w:sz w:val="21"/>
          <w:szCs w:val="21"/>
          <w:highlight w:val="none"/>
        </w:rPr>
        <w:t>.5.2 分包的确定</w:t>
      </w:r>
    </w:p>
    <w:p w14:paraId="6128B3F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允许分包的专业工程包括：</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4DE815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其他关于分包的约定：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C2D579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3.5.4 分包合同价款</w:t>
      </w:r>
    </w:p>
    <w:p w14:paraId="5EBC84E1">
      <w:pPr>
        <w:pageBreakBefore w:val="0"/>
        <w:kinsoku/>
        <w:wordWrap/>
        <w:topLinePunct w:val="0"/>
        <w:bidi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 xml:space="preserve">执行通用条款 </w:t>
      </w:r>
      <w:r>
        <w:rPr>
          <w:rFonts w:hint="eastAsia" w:ascii="宋体" w:hAnsi="宋体" w:eastAsia="宋体" w:cs="宋体"/>
          <w:color w:val="auto"/>
          <w:sz w:val="21"/>
          <w:szCs w:val="21"/>
          <w:highlight w:val="none"/>
        </w:rPr>
        <w:t>。</w:t>
      </w:r>
    </w:p>
    <w:bookmarkEnd w:id="149"/>
    <w:bookmarkEnd w:id="150"/>
    <w:p w14:paraId="4229DECA">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3.6 工程照管与成品、半成品保护</w:t>
      </w:r>
    </w:p>
    <w:p w14:paraId="0ADF7CB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承包人负责照管工程及工程相关的材料、工程设备的起始时间：</w:t>
      </w:r>
      <w:r>
        <w:rPr>
          <w:rFonts w:hint="eastAsia" w:cs="宋体"/>
          <w:color w:val="auto"/>
          <w:sz w:val="21"/>
          <w:szCs w:val="21"/>
          <w:highlight w:val="none"/>
          <w:u w:val="single"/>
        </w:rPr>
        <w:t>自发包人向承包人移交施工现场之日起，承包人应负责照管工程及工程相关的材料、工程设备，直到颁发工程接收证书之日止。</w:t>
      </w:r>
    </w:p>
    <w:p w14:paraId="1A9DF1DB">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3.7 履约保证金</w:t>
      </w:r>
    </w:p>
    <w:p w14:paraId="207776A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承包人是否提供履约保证金：</w:t>
      </w:r>
      <w:r>
        <w:rPr>
          <w:rFonts w:hint="eastAsia" w:ascii="宋体" w:hAnsi="宋体" w:eastAsia="宋体" w:cs="宋体"/>
          <w:color w:val="auto"/>
          <w:sz w:val="21"/>
          <w:szCs w:val="21"/>
          <w:highlight w:val="none"/>
          <w:u w:val="single"/>
        </w:rPr>
        <w:t>提供</w:t>
      </w:r>
      <w:r>
        <w:rPr>
          <w:rFonts w:hint="eastAsia" w:cs="宋体"/>
          <w:color w:val="auto"/>
          <w:sz w:val="21"/>
          <w:szCs w:val="21"/>
          <w:highlight w:val="none"/>
        </w:rPr>
        <w:t>。</w:t>
      </w:r>
    </w:p>
    <w:p w14:paraId="183A5C10">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rPr>
      </w:pPr>
      <w:r>
        <w:rPr>
          <w:rFonts w:hint="eastAsia" w:cs="宋体"/>
          <w:color w:val="auto"/>
          <w:sz w:val="21"/>
          <w:szCs w:val="21"/>
          <w:highlight w:val="none"/>
        </w:rPr>
        <w:t>承包人提供履约保证金的形式：</w:t>
      </w:r>
      <w:r>
        <w:rPr>
          <w:rFonts w:hint="eastAsia" w:cs="宋体"/>
          <w:color w:val="auto"/>
          <w:sz w:val="21"/>
          <w:szCs w:val="21"/>
          <w:highlight w:val="none"/>
          <w:u w:val="single"/>
          <w:lang w:val="en-US" w:eastAsia="zh-CN"/>
        </w:rPr>
        <w:t>支持</w:t>
      </w:r>
      <w:r>
        <w:rPr>
          <w:rFonts w:hint="eastAsia" w:cs="宋体"/>
          <w:color w:val="auto"/>
          <w:sz w:val="21"/>
          <w:szCs w:val="21"/>
          <w:highlight w:val="none"/>
          <w:u w:val="single"/>
        </w:rPr>
        <w:t xml:space="preserve">转账/电汇 </w:t>
      </w:r>
      <w:r>
        <w:rPr>
          <w:rFonts w:hint="eastAsia" w:cs="宋体"/>
          <w:color w:val="auto"/>
          <w:sz w:val="21"/>
          <w:szCs w:val="21"/>
          <w:highlight w:val="none"/>
          <w:u w:val="single"/>
          <w:lang w:eastAsia="zh-CN"/>
        </w:rPr>
        <w:t>、</w:t>
      </w:r>
      <w:r>
        <w:rPr>
          <w:rFonts w:hint="eastAsia" w:cs="宋体"/>
          <w:color w:val="auto"/>
          <w:sz w:val="21"/>
          <w:szCs w:val="21"/>
          <w:highlight w:val="none"/>
          <w:u w:val="single"/>
        </w:rPr>
        <w:t xml:space="preserve">支票 </w:t>
      </w:r>
      <w:r>
        <w:rPr>
          <w:rFonts w:hint="eastAsia" w:cs="宋体"/>
          <w:color w:val="auto"/>
          <w:sz w:val="21"/>
          <w:szCs w:val="21"/>
          <w:highlight w:val="none"/>
          <w:u w:val="single"/>
          <w:lang w:eastAsia="zh-CN"/>
        </w:rPr>
        <w:t>、</w:t>
      </w:r>
      <w:r>
        <w:rPr>
          <w:rFonts w:hint="eastAsia" w:cs="宋体"/>
          <w:color w:val="auto"/>
          <w:sz w:val="21"/>
          <w:szCs w:val="21"/>
          <w:highlight w:val="none"/>
          <w:u w:val="single"/>
        </w:rPr>
        <w:t xml:space="preserve">汇票 </w:t>
      </w:r>
      <w:r>
        <w:rPr>
          <w:rFonts w:hint="eastAsia" w:cs="宋体"/>
          <w:color w:val="auto"/>
          <w:sz w:val="21"/>
          <w:szCs w:val="21"/>
          <w:highlight w:val="none"/>
          <w:u w:val="single"/>
          <w:lang w:eastAsia="zh-CN"/>
        </w:rPr>
        <w:t>、</w:t>
      </w:r>
      <w:r>
        <w:rPr>
          <w:rFonts w:hint="eastAsia" w:cs="宋体"/>
          <w:color w:val="auto"/>
          <w:sz w:val="21"/>
          <w:szCs w:val="21"/>
          <w:highlight w:val="none"/>
          <w:u w:val="single"/>
        </w:rPr>
        <w:t xml:space="preserve">本票 </w:t>
      </w:r>
      <w:r>
        <w:rPr>
          <w:rFonts w:hint="eastAsia" w:cs="宋体"/>
          <w:color w:val="auto"/>
          <w:sz w:val="21"/>
          <w:szCs w:val="21"/>
          <w:highlight w:val="none"/>
          <w:u w:val="single"/>
          <w:lang w:eastAsia="zh-CN"/>
        </w:rPr>
        <w:t>、</w:t>
      </w:r>
      <w:r>
        <w:rPr>
          <w:rFonts w:hint="eastAsia" w:cs="宋体"/>
          <w:color w:val="auto"/>
          <w:sz w:val="21"/>
          <w:szCs w:val="21"/>
          <w:highlight w:val="none"/>
          <w:u w:val="single"/>
        </w:rPr>
        <w:t xml:space="preserve">保险 </w:t>
      </w:r>
      <w:r>
        <w:rPr>
          <w:rFonts w:hint="eastAsia" w:cs="宋体"/>
          <w:color w:val="auto"/>
          <w:sz w:val="21"/>
          <w:szCs w:val="21"/>
          <w:highlight w:val="none"/>
          <w:u w:val="single"/>
          <w:lang w:eastAsia="zh-CN"/>
        </w:rPr>
        <w:t>、</w:t>
      </w:r>
      <w:r>
        <w:rPr>
          <w:rFonts w:hint="eastAsia" w:cs="宋体"/>
          <w:color w:val="auto"/>
          <w:sz w:val="21"/>
          <w:szCs w:val="21"/>
          <w:highlight w:val="none"/>
          <w:u w:val="single"/>
        </w:rPr>
        <w:t>保函。</w:t>
      </w:r>
      <w:r>
        <w:rPr>
          <w:rFonts w:hint="eastAsia" w:cs="宋体"/>
          <w:color w:val="auto"/>
          <w:sz w:val="21"/>
          <w:szCs w:val="21"/>
          <w:highlight w:val="none"/>
        </w:rPr>
        <w:t>。</w:t>
      </w:r>
    </w:p>
    <w:p w14:paraId="60A143A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履约保证金的金额：</w:t>
      </w:r>
      <w:r>
        <w:rPr>
          <w:rFonts w:hint="eastAsia" w:ascii="宋体" w:hAnsi="宋体" w:eastAsia="宋体" w:cs="宋体"/>
          <w:color w:val="auto"/>
          <w:sz w:val="21"/>
          <w:szCs w:val="21"/>
          <w:highlight w:val="none"/>
          <w:u w:val="single"/>
        </w:rPr>
        <w:t>中标合同金额×2.5％</w:t>
      </w:r>
      <w:r>
        <w:rPr>
          <w:rFonts w:hint="eastAsia" w:cs="宋体"/>
          <w:color w:val="auto"/>
          <w:sz w:val="21"/>
          <w:szCs w:val="21"/>
          <w:highlight w:val="none"/>
        </w:rPr>
        <w:t>。</w:t>
      </w:r>
    </w:p>
    <w:p w14:paraId="01D5B6E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履约保证金提交期限的要求：</w:t>
      </w:r>
      <w:r>
        <w:rPr>
          <w:rFonts w:hint="eastAsia" w:cs="宋体"/>
          <w:color w:val="auto"/>
          <w:sz w:val="21"/>
          <w:szCs w:val="21"/>
          <w:highlight w:val="none"/>
          <w:u w:val="single"/>
        </w:rPr>
        <w:t>见《专用合同条款数据表》。</w:t>
      </w:r>
    </w:p>
    <w:p w14:paraId="271A3B6D">
      <w:pPr>
        <w:pageBreakBefore w:val="0"/>
        <w:kinsoku/>
        <w:wordWrap/>
        <w:topLinePunct w:val="0"/>
        <w:bidi w:val="0"/>
        <w:adjustRightInd w:val="0"/>
        <w:snapToGrid w:val="0"/>
        <w:spacing w:beforeAutospacing="0" w:line="520" w:lineRule="exact"/>
        <w:ind w:firstLine="420" w:firstLineChars="200"/>
        <w:rPr>
          <w:rFonts w:cs="宋体"/>
          <w:strike/>
          <w:color w:val="auto"/>
          <w:sz w:val="21"/>
          <w:szCs w:val="21"/>
          <w:highlight w:val="none"/>
        </w:rPr>
      </w:pPr>
      <w:r>
        <w:rPr>
          <w:rFonts w:hint="eastAsia" w:cs="宋体"/>
          <w:bCs/>
          <w:snapToGrid w:val="0"/>
          <w:color w:val="auto"/>
          <w:sz w:val="21"/>
          <w:szCs w:val="21"/>
          <w:highlight w:val="none"/>
        </w:rPr>
        <w:t>履约保证金退还时限：</w:t>
      </w:r>
      <w:r>
        <w:rPr>
          <w:rFonts w:hint="eastAsia" w:cs="宋体"/>
          <w:color w:val="auto"/>
          <w:sz w:val="21"/>
          <w:szCs w:val="21"/>
          <w:highlight w:val="none"/>
          <w:u w:val="single"/>
        </w:rPr>
        <w:t>见《专用合同条款数据表》。</w:t>
      </w:r>
    </w:p>
    <w:p w14:paraId="413F068B">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151" w:name="_Toc351203636"/>
      <w:r>
        <w:rPr>
          <w:rFonts w:hint="eastAsia" w:cs="宋体"/>
          <w:color w:val="auto"/>
          <w:sz w:val="21"/>
          <w:szCs w:val="21"/>
          <w:highlight w:val="none"/>
        </w:rPr>
        <w:t>4</w:t>
      </w:r>
      <w:bookmarkStart w:id="152" w:name="_Toc296346663"/>
      <w:bookmarkStart w:id="153" w:name="_Toc296891202"/>
      <w:bookmarkStart w:id="154" w:name="_Toc297120462"/>
      <w:bookmarkStart w:id="155" w:name="_Toc296347161"/>
      <w:bookmarkStart w:id="156" w:name="_Toc267251413"/>
      <w:bookmarkStart w:id="157" w:name="_Toc296944501"/>
      <w:bookmarkStart w:id="158" w:name="_Toc296890990"/>
      <w:bookmarkStart w:id="159" w:name="_Toc292559871"/>
      <w:bookmarkStart w:id="160" w:name="_Toc292559366"/>
      <w:bookmarkStart w:id="161" w:name="_Toc297048348"/>
      <w:bookmarkStart w:id="162" w:name="_Toc296503162"/>
      <w:r>
        <w:rPr>
          <w:rFonts w:hint="eastAsia" w:cs="宋体"/>
          <w:color w:val="auto"/>
          <w:sz w:val="21"/>
          <w:szCs w:val="21"/>
          <w:highlight w:val="none"/>
        </w:rPr>
        <w:t>. 监</w:t>
      </w:r>
      <w:bookmarkEnd w:id="152"/>
      <w:bookmarkEnd w:id="153"/>
      <w:bookmarkEnd w:id="154"/>
      <w:bookmarkEnd w:id="155"/>
      <w:bookmarkEnd w:id="156"/>
      <w:bookmarkEnd w:id="157"/>
      <w:bookmarkEnd w:id="158"/>
      <w:bookmarkEnd w:id="159"/>
      <w:bookmarkEnd w:id="160"/>
      <w:bookmarkEnd w:id="161"/>
      <w:bookmarkEnd w:id="162"/>
      <w:r>
        <w:rPr>
          <w:rFonts w:hint="eastAsia" w:cs="宋体"/>
          <w:color w:val="auto"/>
          <w:sz w:val="21"/>
          <w:szCs w:val="21"/>
          <w:highlight w:val="none"/>
        </w:rPr>
        <w:t>理人</w:t>
      </w:r>
      <w:bookmarkEnd w:id="151"/>
    </w:p>
    <w:p w14:paraId="18BEEACE">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4.1 监理人的一般规定</w:t>
      </w:r>
    </w:p>
    <w:p w14:paraId="060C4B75">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u w:val="single"/>
        </w:rPr>
      </w:pPr>
      <w:r>
        <w:rPr>
          <w:rFonts w:hint="eastAsia" w:cs="宋体"/>
          <w:color w:val="auto"/>
          <w:sz w:val="21"/>
          <w:szCs w:val="21"/>
          <w:highlight w:val="none"/>
        </w:rPr>
        <w:t>关于监理人的监理内容：</w:t>
      </w:r>
      <w:r>
        <w:rPr>
          <w:rFonts w:hint="eastAsia" w:ascii="宋体" w:hAnsi="宋体" w:eastAsia="宋体" w:cs="宋体"/>
          <w:color w:val="auto"/>
          <w:sz w:val="21"/>
          <w:szCs w:val="21"/>
          <w:highlight w:val="none"/>
          <w:u w:val="single"/>
        </w:rPr>
        <w:t>详见监理合同</w:t>
      </w:r>
      <w:r>
        <w:rPr>
          <w:rFonts w:hint="eastAsia" w:cs="宋体"/>
          <w:color w:val="auto"/>
          <w:sz w:val="21"/>
          <w:szCs w:val="21"/>
          <w:highlight w:val="none"/>
        </w:rPr>
        <w:t>。</w:t>
      </w:r>
    </w:p>
    <w:p w14:paraId="737E0E36">
      <w:pPr>
        <w:pageBreakBefore w:val="0"/>
        <w:kinsoku/>
        <w:wordWrap/>
        <w:topLinePunct w:val="0"/>
        <w:bidi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关于监理人的监理权限：</w:t>
      </w:r>
      <w:r>
        <w:rPr>
          <w:rFonts w:hint="eastAsia" w:ascii="宋体" w:hAnsi="宋体" w:eastAsia="宋体" w:cs="宋体"/>
          <w:color w:val="auto"/>
          <w:sz w:val="21"/>
          <w:szCs w:val="21"/>
          <w:highlight w:val="none"/>
          <w:u w:val="single"/>
        </w:rPr>
        <w:t>工程质量的监督权；工程上使用的材料和施工质量检验权、确认权；工程施工进度、安全的检查、监督权；工程款支付的审核权；向承包人提出施工组织设计和技术方案的建议权；发包人和承包人间的组织协调的主持权；撤换不合格的工程建设分包单位和注册建造师及有关人员的建议权；分包单位资质及能力的审查权及《建设工程监理规范》规定的法定职权等。</w:t>
      </w:r>
    </w:p>
    <w:p w14:paraId="0ECC7F27">
      <w:pPr>
        <w:pageBreakBefore w:val="0"/>
        <w:kinsoku/>
        <w:wordWrap/>
        <w:topLinePunct w:val="0"/>
        <w:bidi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承包人提供和承担，含在签约合同价之内，同时为跟踪审计人员在施工现场提供必要的办公场所、办公家具、办公设备等。</w:t>
      </w:r>
    </w:p>
    <w:p w14:paraId="40F5AEB2">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4.2 监理人员</w:t>
      </w:r>
    </w:p>
    <w:p w14:paraId="1B21F8F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总监理工程师：</w:t>
      </w:r>
    </w:p>
    <w:p w14:paraId="26E29C1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姓    名：</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详见监理合同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269F7C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职    务：</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详见监理合同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817A1E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监理工程师执业资格证书号：</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详见监理合同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F65EF6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联系电话：</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详见监理合同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639C94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电子信箱：</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详见监理合同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A83C0E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通信地址：</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详见监理合同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7C052E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关于监理人的其他约定：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详见监理合同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B04A4E2">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4.4 商定或确定</w:t>
      </w:r>
    </w:p>
    <w:p w14:paraId="32AF76E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bookmarkStart w:id="163" w:name="_Toc267251418"/>
      <w:r>
        <w:rPr>
          <w:rFonts w:hint="eastAsia" w:cs="宋体"/>
          <w:color w:val="auto"/>
          <w:sz w:val="21"/>
          <w:szCs w:val="21"/>
          <w:highlight w:val="none"/>
        </w:rPr>
        <w:t>在发包人和承包人不能通过协商达成一致意见时，发包人授权监理人对以下事项进行确定：</w:t>
      </w:r>
    </w:p>
    <w:p w14:paraId="30C34F0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施工方案</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6A821B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索赔事项等</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0B2C1A3">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164" w:name="_Toc351203637"/>
      <w:r>
        <w:rPr>
          <w:rFonts w:hint="eastAsia" w:cs="宋体"/>
          <w:color w:val="auto"/>
          <w:sz w:val="21"/>
          <w:szCs w:val="21"/>
          <w:highlight w:val="none"/>
        </w:rPr>
        <w:t>5</w:t>
      </w:r>
      <w:bookmarkEnd w:id="163"/>
      <w:bookmarkStart w:id="165" w:name="_Toc296503163"/>
      <w:bookmarkStart w:id="166" w:name="_Toc296944502"/>
      <w:bookmarkStart w:id="167" w:name="_Toc292559367"/>
      <w:bookmarkStart w:id="168" w:name="_Toc296891203"/>
      <w:bookmarkStart w:id="169" w:name="_Toc292559872"/>
      <w:bookmarkStart w:id="170" w:name="_Toc296346664"/>
      <w:bookmarkStart w:id="171" w:name="_Toc296347162"/>
      <w:bookmarkStart w:id="172" w:name="_Toc297120463"/>
      <w:bookmarkStart w:id="173" w:name="_Toc297048349"/>
      <w:bookmarkStart w:id="174" w:name="_Toc296890991"/>
      <w:r>
        <w:rPr>
          <w:rFonts w:hint="eastAsia" w:cs="宋体"/>
          <w:color w:val="auto"/>
          <w:sz w:val="21"/>
          <w:szCs w:val="21"/>
          <w:highlight w:val="none"/>
        </w:rPr>
        <w:t>. 工程质量</w:t>
      </w:r>
      <w:bookmarkEnd w:id="164"/>
    </w:p>
    <w:p w14:paraId="79AF0665">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5.1 质量要求</w:t>
      </w:r>
    </w:p>
    <w:p w14:paraId="661ED5B3">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5</w:t>
      </w:r>
      <w:bookmarkStart w:id="175" w:name="_Toc297123496"/>
      <w:bookmarkStart w:id="176" w:name="_Toc312677997"/>
      <w:bookmarkStart w:id="177" w:name="_Toc297216155"/>
      <w:bookmarkStart w:id="178" w:name="_Toc300934949"/>
      <w:bookmarkStart w:id="179" w:name="_Toc318581164"/>
      <w:bookmarkStart w:id="180" w:name="_Toc303539106"/>
      <w:bookmarkStart w:id="181" w:name="_Toc304295527"/>
      <w:r>
        <w:rPr>
          <w:rFonts w:hint="eastAsia" w:cs="宋体"/>
          <w:color w:val="auto"/>
          <w:sz w:val="21"/>
          <w:szCs w:val="21"/>
          <w:highlight w:val="none"/>
        </w:rPr>
        <w:t>.1.1 特殊质量标准和要求：</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6A3EA7C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关于工程奖项的约定：</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514C1D33">
      <w:pPr>
        <w:pageBreakBefore w:val="0"/>
        <w:kinsoku/>
        <w:wordWrap/>
        <w:topLinePunct w:val="0"/>
        <w:bidi w:val="0"/>
        <w:snapToGrid w:val="0"/>
        <w:spacing w:beforeAutospacing="0" w:line="520" w:lineRule="exact"/>
        <w:ind w:firstLine="420" w:firstLineChars="200"/>
        <w:jc w:val="left"/>
        <w:rPr>
          <w:rFonts w:cs="宋体"/>
          <w:color w:val="auto"/>
          <w:sz w:val="21"/>
          <w:szCs w:val="21"/>
          <w:highlight w:val="none"/>
        </w:rPr>
      </w:pPr>
      <w:bookmarkStart w:id="182" w:name="_Toc351203638"/>
      <w:r>
        <w:rPr>
          <w:rFonts w:hint="eastAsia" w:cs="宋体"/>
          <w:color w:val="auto"/>
          <w:sz w:val="21"/>
          <w:szCs w:val="21"/>
          <w:highlight w:val="none"/>
        </w:rPr>
        <w:t>关于建造要求：</w:t>
      </w:r>
    </w:p>
    <w:p w14:paraId="63D868C4">
      <w:pPr>
        <w:pStyle w:val="14"/>
        <w:pageBreakBefore w:val="0"/>
        <w:kinsoku/>
        <w:wordWrap/>
        <w:topLinePunct w:val="0"/>
        <w:bidi w:val="0"/>
        <w:snapToGrid w:val="0"/>
        <w:spacing w:beforeAutospacing="0" w:line="520" w:lineRule="exact"/>
        <w:ind w:firstLine="480"/>
        <w:rPr>
          <w:rFonts w:hAnsi="宋体" w:cs="宋体"/>
          <w:color w:val="auto"/>
          <w:sz w:val="21"/>
          <w:szCs w:val="21"/>
          <w:highlight w:val="none"/>
        </w:rPr>
      </w:pPr>
      <w:r>
        <w:rPr>
          <w:rFonts w:hint="eastAsia" w:hAnsi="宋体" w:cs="宋体"/>
          <w:color w:val="auto"/>
          <w:sz w:val="21"/>
          <w:szCs w:val="21"/>
          <w:highlight w:val="none"/>
        </w:rPr>
        <w:t>（1）绿色建筑等级要求：</w:t>
      </w:r>
      <w:r>
        <w:rPr>
          <w:rFonts w:hint="eastAsia" w:hAnsi="宋体" w:cs="宋体"/>
          <w:color w:val="auto"/>
          <w:sz w:val="21"/>
          <w:szCs w:val="21"/>
          <w:highlight w:val="none"/>
          <w:u w:val="single"/>
        </w:rPr>
        <w:t>见《专用合同条款数据表》</w:t>
      </w:r>
      <w:r>
        <w:rPr>
          <w:rFonts w:hint="eastAsia" w:hAnsi="宋体" w:cs="宋体"/>
          <w:color w:val="auto"/>
          <w:sz w:val="21"/>
          <w:szCs w:val="21"/>
          <w:highlight w:val="none"/>
        </w:rPr>
        <w:t>；</w:t>
      </w:r>
    </w:p>
    <w:p w14:paraId="694DF626">
      <w:pPr>
        <w:pStyle w:val="14"/>
        <w:pageBreakBefore w:val="0"/>
        <w:kinsoku/>
        <w:wordWrap/>
        <w:topLinePunct w:val="0"/>
        <w:bidi w:val="0"/>
        <w:snapToGrid w:val="0"/>
        <w:spacing w:beforeAutospacing="0" w:line="520" w:lineRule="exact"/>
        <w:ind w:firstLine="480"/>
        <w:rPr>
          <w:rFonts w:hAnsi="宋体" w:cs="宋体"/>
          <w:color w:val="auto"/>
          <w:sz w:val="21"/>
          <w:szCs w:val="21"/>
          <w:highlight w:val="none"/>
        </w:rPr>
      </w:pPr>
      <w:r>
        <w:rPr>
          <w:rFonts w:hint="eastAsia" w:hAnsi="宋体" w:cs="宋体"/>
          <w:color w:val="auto"/>
          <w:sz w:val="21"/>
          <w:szCs w:val="21"/>
          <w:highlight w:val="none"/>
        </w:rPr>
        <w:t>（2）智慧工地管理要求：</w:t>
      </w:r>
      <w:r>
        <w:rPr>
          <w:rFonts w:hint="eastAsia" w:hAnsi="宋体" w:cs="宋体"/>
          <w:color w:val="auto"/>
          <w:sz w:val="21"/>
          <w:szCs w:val="21"/>
          <w:highlight w:val="none"/>
          <w:u w:val="single"/>
        </w:rPr>
        <w:t>见《专用合同条款数据表》</w:t>
      </w:r>
      <w:r>
        <w:rPr>
          <w:rFonts w:hint="eastAsia" w:hAnsi="宋体" w:cs="宋体"/>
          <w:color w:val="auto"/>
          <w:sz w:val="21"/>
          <w:szCs w:val="21"/>
          <w:highlight w:val="none"/>
        </w:rPr>
        <w:t>；</w:t>
      </w:r>
    </w:p>
    <w:p w14:paraId="06ECB12D">
      <w:pPr>
        <w:pStyle w:val="14"/>
        <w:pageBreakBefore w:val="0"/>
        <w:kinsoku/>
        <w:wordWrap/>
        <w:topLinePunct w:val="0"/>
        <w:bidi w:val="0"/>
        <w:snapToGrid w:val="0"/>
        <w:spacing w:beforeAutospacing="0" w:line="520" w:lineRule="exact"/>
        <w:ind w:firstLine="480"/>
        <w:rPr>
          <w:rFonts w:hAnsi="宋体" w:cs="宋体"/>
          <w:color w:val="auto"/>
          <w:sz w:val="21"/>
          <w:szCs w:val="21"/>
          <w:highlight w:val="none"/>
        </w:rPr>
      </w:pPr>
      <w:r>
        <w:rPr>
          <w:rFonts w:hint="eastAsia" w:hAnsi="宋体" w:cs="宋体"/>
          <w:color w:val="auto"/>
          <w:sz w:val="21"/>
          <w:szCs w:val="21"/>
          <w:highlight w:val="none"/>
        </w:rPr>
        <w:t>（3）建筑垃圾减量化目标：</w:t>
      </w:r>
      <w:r>
        <w:rPr>
          <w:rFonts w:hint="eastAsia" w:hAnsi="宋体" w:cs="宋体"/>
          <w:color w:val="auto"/>
          <w:sz w:val="21"/>
          <w:szCs w:val="21"/>
          <w:highlight w:val="none"/>
          <w:u w:val="single"/>
        </w:rPr>
        <w:t>见《专用合同条款数据表》</w:t>
      </w:r>
      <w:r>
        <w:rPr>
          <w:rFonts w:hint="eastAsia" w:hAnsi="宋体" w:cs="宋体"/>
          <w:color w:val="auto"/>
          <w:sz w:val="21"/>
          <w:szCs w:val="21"/>
          <w:highlight w:val="none"/>
        </w:rPr>
        <w:t>；</w:t>
      </w:r>
    </w:p>
    <w:p w14:paraId="6872A7FA">
      <w:pPr>
        <w:pageBreakBefore w:val="0"/>
        <w:kinsoku/>
        <w:wordWrap/>
        <w:topLinePunct w:val="0"/>
        <w:bidi w:val="0"/>
        <w:snapToGrid w:val="0"/>
        <w:spacing w:beforeAutospacing="0" w:line="520" w:lineRule="exact"/>
        <w:ind w:firstLine="420" w:firstLineChars="200"/>
        <w:jc w:val="left"/>
        <w:rPr>
          <w:rFonts w:cs="宋体"/>
          <w:color w:val="auto"/>
          <w:sz w:val="21"/>
          <w:szCs w:val="21"/>
          <w:highlight w:val="none"/>
        </w:rPr>
      </w:pPr>
      <w:r>
        <w:rPr>
          <w:rFonts w:hint="eastAsia" w:cs="宋体"/>
          <w:color w:val="auto"/>
          <w:sz w:val="21"/>
          <w:szCs w:val="21"/>
          <w:highlight w:val="none"/>
        </w:rPr>
        <w:t>（4）装配式建筑装配率要求：</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798188D">
      <w:pPr>
        <w:pageBreakBefore w:val="0"/>
        <w:kinsoku/>
        <w:wordWrap/>
        <w:topLinePunct w:val="0"/>
        <w:bidi w:val="0"/>
        <w:snapToGrid w:val="0"/>
        <w:spacing w:beforeAutospacing="0" w:line="520" w:lineRule="exact"/>
        <w:ind w:firstLine="420" w:firstLineChars="200"/>
        <w:jc w:val="left"/>
        <w:rPr>
          <w:rFonts w:cs="宋体"/>
          <w:color w:val="auto"/>
          <w:sz w:val="21"/>
          <w:szCs w:val="21"/>
          <w:highlight w:val="none"/>
        </w:rPr>
      </w:pPr>
      <w:r>
        <w:rPr>
          <w:rFonts w:hint="eastAsia" w:cs="宋体"/>
          <w:color w:val="auto"/>
          <w:sz w:val="21"/>
          <w:szCs w:val="21"/>
          <w:highlight w:val="none"/>
        </w:rPr>
        <w:t>（5）</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1F152FC">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5.3 隐蔽工程检查</w:t>
      </w:r>
    </w:p>
    <w:p w14:paraId="30F427CB">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5.3.1隐蔽工程隐蔽前，承包人需自行自检，自检合格后通知发包人和监理单位验收，发包人及监理单位按设计图、规范、标准和施工组织设计或施工方案到现场进行验收，确认验收合格并办理签证后方可隐蔽。验收不合格，承包人在限定时间内整改后重新验收。</w:t>
      </w:r>
    </w:p>
    <w:p w14:paraId="24031CBA">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5.3.2 承包人提前通知监理人隐蔽工程检查的期限的约定：</w:t>
      </w:r>
      <w:r>
        <w:rPr>
          <w:rFonts w:hint="eastAsia" w:ascii="宋体" w:hAnsi="宋体" w:eastAsia="宋体" w:cs="宋体"/>
          <w:color w:val="auto"/>
          <w:sz w:val="21"/>
          <w:szCs w:val="21"/>
          <w:highlight w:val="none"/>
          <w:u w:val="single"/>
        </w:rPr>
        <w:t>工程具备隐蔽条件或达到中间验收部位时，承包人自检合格后，在隐蔽和中间验收48小时前书面通知甲方代表和监理工程师参加。通知应包含承包人自检记录、隐蔽和中间验收的内容、时间和地点。承包人准备验收记录，验收合格，甲方代表及监理工程师在验收记录上签字后，方可进行隐蔽和继续施工。验收不合格，承包人在限定时间内重新验收。承包人不服从质量管理的，发包人有权解除本合同并责令承包人清退其出场，承包人给发包人造成损失的，还应并赔偿因此而造成的一切损失。</w:t>
      </w:r>
    </w:p>
    <w:p w14:paraId="5B382BBE">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14:paraId="08840368">
      <w:pPr>
        <w:pageBreakBefore w:val="0"/>
        <w:kinsoku/>
        <w:wordWrap/>
        <w:topLinePunct w:val="0"/>
        <w:bidi w:val="0"/>
        <w:snapToGrid w:val="0"/>
        <w:spacing w:beforeAutospacing="0" w:line="520" w:lineRule="exact"/>
        <w:ind w:firstLine="420" w:firstLineChars="200"/>
        <w:jc w:val="left"/>
        <w:rPr>
          <w:rFonts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14:paraId="25B14B5E">
      <w:pPr>
        <w:pageBreakBefore w:val="0"/>
        <w:kinsoku/>
        <w:wordWrap/>
        <w:topLinePunct w:val="0"/>
        <w:bidi w:val="0"/>
        <w:snapToGrid w:val="0"/>
        <w:spacing w:beforeAutospacing="0" w:line="520" w:lineRule="exact"/>
        <w:outlineLvl w:val="2"/>
        <w:rPr>
          <w:rFonts w:cs="宋体"/>
          <w:color w:val="auto"/>
          <w:sz w:val="21"/>
          <w:szCs w:val="21"/>
          <w:highlight w:val="none"/>
        </w:rPr>
      </w:pPr>
      <w:r>
        <w:rPr>
          <w:rFonts w:hint="eastAsia" w:cs="宋体"/>
          <w:color w:val="auto"/>
          <w:sz w:val="21"/>
          <w:szCs w:val="21"/>
          <w:highlight w:val="none"/>
        </w:rPr>
        <w:t>6. 安全文明施工与环境保护</w:t>
      </w:r>
      <w:bookmarkEnd w:id="182"/>
    </w:p>
    <w:bookmarkEnd w:id="175"/>
    <w:bookmarkEnd w:id="176"/>
    <w:bookmarkEnd w:id="177"/>
    <w:bookmarkEnd w:id="178"/>
    <w:bookmarkEnd w:id="179"/>
    <w:bookmarkEnd w:id="180"/>
    <w:bookmarkEnd w:id="181"/>
    <w:p w14:paraId="13304C00">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6.1安全文明施工</w:t>
      </w:r>
    </w:p>
    <w:p w14:paraId="64B7F97C">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承包人应按《建筑施工企业安全生产管理机构设置及专职安全生产管理人员配备办法》（建质【2008】91 号）设置专职安全生产管理人员，并按照工程建设安全生产有关管理规定及技术标准和要求采取有效的安全措施，确保自身和第三人及周边环境的安全。达到安全生产无事故的目标。由于承包人安全措施不力造成事故的责任和因此发生的费用，由承包人承担 。 </w:t>
      </w:r>
    </w:p>
    <w:p w14:paraId="3272C716">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承包人在履行合同前应制订安全稳定事故应急处理预案并报发包人备案，在合同履行过程中如发生安全稳定事故（指造成人身伤害、财产损失或影响生产经营活动正常进行的一切意外事件或群体事件等），承包人应立即通知发包人并按事先制订的预案进行处理。 </w:t>
      </w:r>
    </w:p>
    <w:p w14:paraId="262CD9FC">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承包人应遵守工程建设安全生产有关管理规定，严格按安全标准组织施工，并随时接受行业安全检查人员依法实施的监督检查，采取必要的安全防护措施，消除事故隐患。一旦发生任何事故，承包人应尽快向监理工程师和发包人报告事故的详情。此外，在发生任何死亡或重大事故时，承包人应立即用最快的可行方法通知监理工程师、发包人。承包人处理安全事故方案应事先征求发包人的意见。除非法律另有规定，未经发包人书面同意，承包人不得就所发生的安全事故向任何第三方予以披露。如安全生产事故系因承包人（包含其员工、代理人及其他一切关联方）的原因所引起的，则承包人应承担由此引起的一切法律责任及经济损失，发包人有权在承包人工程款中直接等额扣除相应损失金额，同时承包人还应按每个事故向发包人支付人民币3-50万元的违约金（具体金额由发包人按以下标准在相应幅度内确定后一并在工程款中予以扣除，事故被公司层面通报的为3－10万；事故被发包人职能部门通报的为10－20万；事故被市级职能部门通报的为20－30万；事故被市级以上职能部门通报的为40－50万）以作为给发包人带来不便和增加工作的补偿，这不包括有关当局由于上述事故而规定的任何罚金或采取措施的费用。如发包人因此产生对第三方赔偿、补偿等负担义务的，由承包人最终承担。</w:t>
      </w:r>
    </w:p>
    <w:p w14:paraId="5927C2BD">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如发生的安全生产事故导致人员伤亡或经济损失在10万元以上的，则发包人有权解除与承包人的合同，承包人应承担由此引起的一切法律责任及经济损失。 </w:t>
      </w:r>
    </w:p>
    <w:p w14:paraId="604832A7">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安全防护文明施工措施费已包含在合同价款中，承包人应自行承担该费用。</w:t>
      </w:r>
    </w:p>
    <w:p w14:paraId="44C5DEE6">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 xml:space="preserve">承包人应与当地公安部门协商，在现场建立治安管理机构或联防组织，统一管理施工场地的治安保卫事项，履行合同工程的治安保卫职责。承包人除应协助现场治安管理机构或联防组织维护施工场地的社会治安外，还应做好包括生活区在内的承包人管辖区的治安保卫工作 。 </w:t>
      </w:r>
    </w:p>
    <w:p w14:paraId="5E82E50F">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承包人编制，监理人审核，其它按照通用合同条款约定执行。 </w:t>
      </w:r>
    </w:p>
    <w:p w14:paraId="3B77DF7A">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14:paraId="6B1E91FF">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合同当事人对文明施工的要求：（1）符合项目建设地文明施工要求；（2）承包人应按照《安徽省建筑施工安全质量标准化示范工地申报考核办法》的通知要求申报省级“安全质量标准化示范工地”，费用自理。（3）发生安全事故，承包人应按照有关规定立即上报有关部门并通知工程师，同时按照政府有关要求处理，由事故责任方承担发生的费用。发包人根据事故的分类对承包人进行处以违约，事故分类：《生产安全事故报告和调查处理条例》（国务院令第493号）中第三条指出根据生产安全事故（以下简称事故）造成的人员伤亡或者直接经济损失，事故一般分为以下等级：</w:t>
      </w:r>
    </w:p>
    <w:p w14:paraId="224868EF">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（一）特别重大事故，是指造成30人以上死亡，或者100人以上重伤（包括急性工业中毒，下同），或者1亿元以上直接经济损失的事故；</w:t>
      </w:r>
    </w:p>
    <w:p w14:paraId="1F3DE55B">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（二）重大事故，是指造成10人以上30人以下死亡，或者50人以上100人以下重伤，或者5000万元以上1亿元以下直接经济损失的事故；</w:t>
      </w:r>
    </w:p>
    <w:p w14:paraId="7E91F5C5">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（三）较大事故，是指造成3人以上10人以下死亡，或者10人以上50人以下重伤，或者1000万元以上5000万元以下直接经济损失的事故；</w:t>
      </w:r>
    </w:p>
    <w:p w14:paraId="2D77CF40">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（四）一般事故，是指造成3人以下死亡，或者10人以下重伤，或者1000万元以下直接经济损失的事故。</w:t>
      </w:r>
    </w:p>
    <w:p w14:paraId="4E0089AC">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（以上包括本数，以下不包括本数。）</w:t>
      </w:r>
    </w:p>
    <w:p w14:paraId="17BFC9E1">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如国家颁布新标准规定，以新划分标准执行。</w:t>
      </w:r>
    </w:p>
    <w:p w14:paraId="5734EDC8">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6.1.6 发生质量事故，承包人应按照有关规定立即上报有关部门并通知工程师，同时按照政府有关要求处理，由事故责任方承担发生的费用。发包人根据事故的分类对承包人进行处以违约： </w:t>
      </w:r>
    </w:p>
    <w:p w14:paraId="7217782B">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1）特别重大质量事故，发包人对承包人处以 50 万元的人民币违约金； </w:t>
      </w:r>
    </w:p>
    <w:p w14:paraId="1E325FE4">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2）重大质量事故，发包人对承包人处以 30 万元的人民币违约金； </w:t>
      </w:r>
    </w:p>
    <w:p w14:paraId="24719B53">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3）严重质量事故，发包人对承包人处以 20 万元的人民币违约金； </w:t>
      </w:r>
    </w:p>
    <w:p w14:paraId="04908A7B">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4）一般质量事故，发包人对承包人处以 10 万元的人民币违约金；并承担因施工质量事故给本工程建设单位、项目管理单位和监理人带来的经济损失。 </w:t>
      </w:r>
    </w:p>
    <w:p w14:paraId="1DB619F2">
      <w:pPr>
        <w:pStyle w:val="54"/>
        <w:pageBreakBefore w:val="0"/>
        <w:kinsoku/>
        <w:wordWrap/>
        <w:topLinePunct w:val="0"/>
        <w:bidi w:val="0"/>
        <w:spacing w:beforeAutospacing="0" w:after="0" w:line="520" w:lineRule="exact"/>
        <w:ind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质量事故等级标准划分，按国家相关规范执行。</w:t>
      </w:r>
    </w:p>
    <w:p w14:paraId="56553F93">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6.1.7 发生安全事故，承包人应按照有关规定立即上报有关部门并通知工程师，同时按照政府有关要求处理，由事故责任方承担发生的费用。发包人根据事故的分类对承包人进行处以违约：</w:t>
      </w:r>
    </w:p>
    <w:p w14:paraId="350E537B">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1）特别重大事故，发包人对承包人处以50万元的人民币违约金；</w:t>
      </w:r>
    </w:p>
    <w:p w14:paraId="522736F9">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2）重大事故，发包人对承包人处以30万元的人民币违约金；</w:t>
      </w:r>
    </w:p>
    <w:p w14:paraId="0F5E381C">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3）较大事故，发包人对承包人处以20万元的人民币违约金；</w:t>
      </w:r>
    </w:p>
    <w:p w14:paraId="1FEF2779">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4）一般事故，发包人对承包人处以10万元的人民币违约金；并承担因施工安全事故给本工程建设单位、项目管理单位和监理人带来的经济损失。</w:t>
      </w:r>
    </w:p>
    <w:p w14:paraId="3B656905">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6.1.8关于安全文明施工费支付比例和支付期限的约定：</w:t>
      </w:r>
      <w:r>
        <w:rPr>
          <w:rFonts w:hint="eastAsia" w:ascii="宋体" w:hAnsi="宋体" w:eastAsia="宋体" w:cs="宋体"/>
          <w:color w:val="auto"/>
          <w:sz w:val="21"/>
          <w:szCs w:val="21"/>
          <w:highlight w:val="none"/>
          <w:u w:val="single"/>
        </w:rPr>
        <w:t>与工程款同期同比例支付。施工单位须按滁州市相关规定及监理单位、建设单位、安监站要求做好现场安全文明措施</w:t>
      </w:r>
      <w:r>
        <w:rPr>
          <w:rFonts w:hint="eastAsia" w:ascii="宋体" w:hAnsi="宋体" w:eastAsia="宋体" w:cs="宋体"/>
          <w:color w:val="auto"/>
          <w:sz w:val="21"/>
          <w:szCs w:val="21"/>
          <w:highlight w:val="none"/>
        </w:rPr>
        <w:t>。</w:t>
      </w:r>
    </w:p>
    <w:p w14:paraId="5E69AF1D">
      <w:pPr>
        <w:pStyle w:val="6"/>
        <w:pageBreakBefore w:val="0"/>
        <w:kinsoku/>
        <w:wordWrap/>
        <w:topLinePunct w:val="0"/>
        <w:bidi w:val="0"/>
        <w:snapToGrid w:val="0"/>
        <w:spacing w:before="0" w:beforeAutospacing="0" w:after="0" w:line="520" w:lineRule="exact"/>
        <w:ind w:firstLine="420" w:firstLineChars="200"/>
        <w:rPr>
          <w:rFonts w:hint="eastAsia" w:ascii="宋体" w:hAnsi="宋体" w:eastAsia="宋体" w:cs="宋体"/>
          <w:b w:val="0"/>
          <w:color w:val="auto"/>
          <w:sz w:val="21"/>
          <w:szCs w:val="21"/>
          <w:highlight w:val="none"/>
        </w:rPr>
      </w:pPr>
      <w:bookmarkStart w:id="183" w:name="_Toc1377"/>
      <w:bookmarkStart w:id="184" w:name="_Toc417623620"/>
      <w:r>
        <w:rPr>
          <w:rFonts w:hint="eastAsia" w:ascii="宋体" w:hAnsi="宋体" w:eastAsia="宋体" w:cs="宋体"/>
          <w:b w:val="0"/>
          <w:color w:val="auto"/>
          <w:sz w:val="21"/>
          <w:szCs w:val="21"/>
          <w:highlight w:val="none"/>
        </w:rPr>
        <w:t>7. 工期和进度</w:t>
      </w:r>
      <w:bookmarkEnd w:id="183"/>
      <w:bookmarkEnd w:id="184"/>
    </w:p>
    <w:p w14:paraId="63EC3042">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7.1 施工组织设计</w:t>
      </w:r>
    </w:p>
    <w:p w14:paraId="2802E5F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7.1.1 合同当事人约定的施工组织设计应包括的其他内容：</w:t>
      </w:r>
      <w:r>
        <w:rPr>
          <w:rFonts w:hint="eastAsia" w:cs="宋体"/>
          <w:color w:val="auto"/>
          <w:sz w:val="21"/>
          <w:szCs w:val="21"/>
          <w:highlight w:val="none"/>
          <w:u w:val="single"/>
        </w:rPr>
        <w:t>总进度计划须含网络图、横道图。</w:t>
      </w:r>
    </w:p>
    <w:p w14:paraId="37D506A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7.1.2 施工组织设计的提交和修改</w:t>
      </w:r>
    </w:p>
    <w:p w14:paraId="739AD6E0">
      <w:pPr>
        <w:pageBreakBefore w:val="0"/>
        <w:kinsoku/>
        <w:wordWrap/>
        <w:topLinePunct w:val="0"/>
        <w:autoSpaceDE w:val="0"/>
        <w:autoSpaceDN w:val="0"/>
        <w:bidi w:val="0"/>
        <w:adjustRightInd w:val="0"/>
        <w:snapToGrid w:val="0"/>
        <w:spacing w:beforeAutospacing="0" w:line="520" w:lineRule="exact"/>
        <w:ind w:firstLine="420" w:firstLineChars="200"/>
        <w:jc w:val="left"/>
        <w:rPr>
          <w:rFonts w:hint="eastAsia" w:ascii="宋体" w:hAnsi="宋体" w:eastAsia="宋体" w:cs="宋体"/>
          <w:color w:val="auto"/>
          <w:kern w:val="0"/>
          <w:sz w:val="21"/>
          <w:szCs w:val="21"/>
          <w:highlight w:val="none"/>
          <w:u w:val="single"/>
        </w:rPr>
      </w:pPr>
      <w:r>
        <w:rPr>
          <w:rFonts w:hint="eastAsia" w:cs="宋体"/>
          <w:color w:val="auto"/>
          <w:sz w:val="21"/>
          <w:szCs w:val="21"/>
          <w:highlight w:val="none"/>
        </w:rPr>
        <w:t>承包人提交详细施工组织设计的期限的约定：</w:t>
      </w:r>
      <w:r>
        <w:rPr>
          <w:rFonts w:hint="eastAsia" w:ascii="宋体" w:hAnsi="宋体" w:eastAsia="宋体" w:cs="宋体"/>
          <w:color w:val="auto"/>
          <w:kern w:val="0"/>
          <w:sz w:val="21"/>
          <w:szCs w:val="21"/>
          <w:highlight w:val="none"/>
          <w:u w:val="single"/>
        </w:rPr>
        <w:t>图纸会审及设计交底后一周内提供标后施工组织设计和进度计划、机械设备进场计划、物资计划、劳动力计划。</w:t>
      </w:r>
    </w:p>
    <w:p w14:paraId="487A68D3">
      <w:pPr>
        <w:pageBreakBefore w:val="0"/>
        <w:kinsoku/>
        <w:wordWrap/>
        <w:topLinePunct w:val="0"/>
        <w:bidi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 xml:space="preserve">监理工程师应于收到承包人资料一周内予以确认，逾期不批复，可视为该施工组织设计（施工方案）已经批准。乙方必须按照批准的进度计划组织施工，接受甲方和监理对进度的检查、监督。工程实际进展与进度计划不符时，承包人应立即修改进度计划和采取赶工措施，调整后的进度计划及相应的措施报告上报监理、甲方批准后执行。 </w:t>
      </w:r>
    </w:p>
    <w:p w14:paraId="68E772B0">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7</w:t>
      </w:r>
      <w:bookmarkStart w:id="185" w:name="_Toc303539123"/>
      <w:bookmarkStart w:id="186" w:name="_Toc312678005"/>
      <w:bookmarkStart w:id="187" w:name="_Toc297216173"/>
      <w:bookmarkStart w:id="188" w:name="_Toc304295541"/>
      <w:bookmarkStart w:id="189" w:name="_Toc297123514"/>
      <w:bookmarkStart w:id="190" w:name="_Toc300934966"/>
      <w:bookmarkStart w:id="191" w:name="_Toc312677479"/>
      <w:r>
        <w:rPr>
          <w:rFonts w:hint="eastAsia" w:cs="宋体"/>
          <w:bCs/>
          <w:color w:val="auto"/>
          <w:sz w:val="21"/>
          <w:szCs w:val="21"/>
          <w:highlight w:val="none"/>
        </w:rPr>
        <w:t>.2 施工进度计划</w:t>
      </w:r>
    </w:p>
    <w:p w14:paraId="747FB49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7.2.2 施工进度计划的修订</w:t>
      </w:r>
    </w:p>
    <w:p w14:paraId="0BE26549">
      <w:pPr>
        <w:pageBreakBefore w:val="0"/>
        <w:kinsoku/>
        <w:wordWrap/>
        <w:topLinePunct w:val="0"/>
        <w:bidi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rPr>
        <w:t>监理工程师应于收到承包人资料一周内予以确认，逾期不批复，可视为该施工组织设计（施工方案）已经批准。乙方必须按照批准的进度计划组织施工，接受甲方和监理对进度的检查、监督。工程实际进展与进度计划不符时，承包人应立即修改进度计划和采取赶工措施，调整后的进度计划及相应的措施报告上报监理、甲方批准后执行。</w:t>
      </w:r>
    </w:p>
    <w:p w14:paraId="7F280041">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7.3 开工</w:t>
      </w:r>
    </w:p>
    <w:p w14:paraId="40AAF16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7.3.1 开工准备</w:t>
      </w:r>
    </w:p>
    <w:p w14:paraId="5BC301D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关于承包人提交工程开工报审表的期限：</w:t>
      </w:r>
      <w:r>
        <w:rPr>
          <w:rFonts w:hint="eastAsia" w:ascii="宋体" w:hAnsi="宋体" w:eastAsia="宋体" w:cs="宋体"/>
          <w:color w:val="auto"/>
          <w:sz w:val="21"/>
          <w:szCs w:val="21"/>
          <w:highlight w:val="none"/>
          <w:u w:val="single"/>
        </w:rPr>
        <w:t>执行通用条款</w:t>
      </w:r>
      <w:r>
        <w:rPr>
          <w:rFonts w:hint="eastAsia" w:cs="宋体"/>
          <w:color w:val="auto"/>
          <w:sz w:val="21"/>
          <w:szCs w:val="21"/>
          <w:highlight w:val="none"/>
        </w:rPr>
        <w:t>。</w:t>
      </w:r>
    </w:p>
    <w:p w14:paraId="119BE9D3">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执行通用条款</w:t>
      </w:r>
      <w:r>
        <w:rPr>
          <w:rFonts w:hint="eastAsia" w:cs="宋体"/>
          <w:color w:val="auto"/>
          <w:sz w:val="21"/>
          <w:szCs w:val="21"/>
          <w:highlight w:val="none"/>
        </w:rPr>
        <w:t>。</w:t>
      </w:r>
    </w:p>
    <w:p w14:paraId="187525B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执行通用条款</w:t>
      </w:r>
      <w:r>
        <w:rPr>
          <w:rFonts w:hint="eastAsia" w:cs="宋体"/>
          <w:color w:val="auto"/>
          <w:sz w:val="21"/>
          <w:szCs w:val="21"/>
          <w:highlight w:val="none"/>
        </w:rPr>
        <w:t>。</w:t>
      </w:r>
    </w:p>
    <w:p w14:paraId="677B1B4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7.3.2 开工通知</w:t>
      </w:r>
    </w:p>
    <w:p w14:paraId="2622FAF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因发包人原因造成监理人未能在计划开工日期之日起</w:t>
      </w:r>
      <w:r>
        <w:rPr>
          <w:rFonts w:hint="eastAsia" w:cs="宋体"/>
          <w:color w:val="auto"/>
          <w:sz w:val="21"/>
          <w:szCs w:val="21"/>
          <w:highlight w:val="none"/>
          <w:u w:val="single"/>
          <w:lang w:val="en-US" w:eastAsia="zh-CN"/>
        </w:rPr>
        <w:t>/</w:t>
      </w:r>
      <w:r>
        <w:rPr>
          <w:rFonts w:hint="eastAsia" w:cs="宋体"/>
          <w:color w:val="auto"/>
          <w:sz w:val="21"/>
          <w:szCs w:val="21"/>
          <w:highlight w:val="none"/>
        </w:rPr>
        <w:t>天内发出开工通知的，承包人有权提出价格调整要求，或者解除合同。</w:t>
      </w:r>
    </w:p>
    <w:bookmarkEnd w:id="185"/>
    <w:bookmarkEnd w:id="186"/>
    <w:bookmarkEnd w:id="187"/>
    <w:bookmarkEnd w:id="188"/>
    <w:bookmarkEnd w:id="189"/>
    <w:bookmarkEnd w:id="190"/>
    <w:bookmarkEnd w:id="191"/>
    <w:p w14:paraId="444FBE55">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7.4 测量放线</w:t>
      </w:r>
    </w:p>
    <w:p w14:paraId="2DD7E943">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7.4.1 发包人通过监理人向承包人提供测量基准点、基准线和水准点及其书面资料的期限：</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2A53218">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7</w:t>
      </w:r>
      <w:bookmarkStart w:id="192" w:name="_Toc300934968"/>
      <w:bookmarkStart w:id="193" w:name="_Toc312677484"/>
      <w:bookmarkStart w:id="194" w:name="_Toc303539125"/>
      <w:bookmarkStart w:id="195" w:name="_Toc297123516"/>
      <w:bookmarkStart w:id="196" w:name="_Toc312678010"/>
      <w:bookmarkStart w:id="197" w:name="_Toc304295546"/>
      <w:bookmarkStart w:id="198" w:name="_Toc297216175"/>
      <w:r>
        <w:rPr>
          <w:rFonts w:hint="eastAsia" w:cs="宋体"/>
          <w:bCs/>
          <w:color w:val="auto"/>
          <w:sz w:val="21"/>
          <w:szCs w:val="21"/>
          <w:highlight w:val="none"/>
        </w:rPr>
        <w:t>.5 工期延误</w:t>
      </w:r>
    </w:p>
    <w:bookmarkEnd w:id="192"/>
    <w:bookmarkEnd w:id="193"/>
    <w:bookmarkEnd w:id="194"/>
    <w:bookmarkEnd w:id="195"/>
    <w:bookmarkEnd w:id="196"/>
    <w:bookmarkEnd w:id="197"/>
    <w:bookmarkEnd w:id="198"/>
    <w:p w14:paraId="7E8924C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7.5.1 因发包人原因导致工期延误</w:t>
      </w:r>
    </w:p>
    <w:p w14:paraId="250439A0">
      <w:pPr>
        <w:pStyle w:val="54"/>
        <w:pageBreakBefore w:val="0"/>
        <w:kinsoku/>
        <w:wordWrap/>
        <w:topLinePunct w:val="0"/>
        <w:bidi w:val="0"/>
        <w:spacing w:beforeAutospacing="0" w:after="0" w:line="520" w:lineRule="exact"/>
        <w:ind w:firstLine="420"/>
        <w:rPr>
          <w:rFonts w:hint="eastAsia" w:ascii="宋体" w:hAnsi="宋体" w:eastAsia="宋体" w:cs="宋体"/>
          <w:color w:val="auto"/>
          <w:sz w:val="21"/>
          <w:szCs w:val="21"/>
          <w:highlight w:val="none"/>
        </w:rPr>
      </w:pPr>
      <w:r>
        <w:rPr>
          <w:rFonts w:hint="eastAsia" w:cs="宋体"/>
          <w:color w:val="auto"/>
          <w:sz w:val="21"/>
          <w:szCs w:val="21"/>
          <w:highlight w:val="none"/>
        </w:rPr>
        <w:t>（7）因发包人原因导致工期延误的其他情形：</w:t>
      </w:r>
      <w:r>
        <w:rPr>
          <w:rFonts w:hint="eastAsia" w:ascii="宋体" w:hAnsi="宋体" w:eastAsia="宋体" w:cs="宋体"/>
          <w:bCs/>
          <w:color w:val="auto"/>
          <w:kern w:val="2"/>
          <w:sz w:val="21"/>
          <w:szCs w:val="21"/>
          <w:highlight w:val="none"/>
          <w:u w:val="single"/>
        </w:rPr>
        <w:t>具体开工时间以开工</w:t>
      </w:r>
      <w:r>
        <w:rPr>
          <w:rFonts w:hint="eastAsia" w:cs="宋体"/>
          <w:bCs/>
          <w:color w:val="auto"/>
          <w:kern w:val="2"/>
          <w:sz w:val="21"/>
          <w:szCs w:val="21"/>
          <w:highlight w:val="none"/>
          <w:u w:val="single"/>
          <w:lang w:val="en-US" w:eastAsia="zh-CN"/>
        </w:rPr>
        <w:t>通知</w:t>
      </w:r>
      <w:r>
        <w:rPr>
          <w:rFonts w:hint="eastAsia" w:ascii="宋体" w:hAnsi="宋体" w:eastAsia="宋体" w:cs="宋体"/>
          <w:bCs/>
          <w:color w:val="auto"/>
          <w:kern w:val="2"/>
          <w:sz w:val="21"/>
          <w:szCs w:val="21"/>
          <w:highlight w:val="none"/>
          <w:u w:val="single"/>
        </w:rPr>
        <w:t>时间为准。成交人按合同工期要求，每延迟一天，按5000元/天处以违约金，从工程结算款中扣除。如延误工期超出合同工期50%的，</w:t>
      </w:r>
      <w:r>
        <w:rPr>
          <w:rFonts w:hint="eastAsia" w:ascii="宋体" w:hAnsi="宋体" w:eastAsia="宋体" w:cs="宋体"/>
          <w:bCs/>
          <w:color w:val="auto"/>
          <w:kern w:val="2"/>
          <w:sz w:val="21"/>
          <w:szCs w:val="21"/>
          <w:highlight w:val="none"/>
          <w:u w:val="single"/>
          <w:lang w:val="en-US" w:eastAsia="zh-CN"/>
        </w:rPr>
        <w:t>采购人有权终止合同并不予支付工工程款</w:t>
      </w:r>
      <w:r>
        <w:rPr>
          <w:rFonts w:hint="eastAsia" w:ascii="宋体" w:hAnsi="宋体" w:eastAsia="宋体" w:cs="宋体"/>
          <w:bCs/>
          <w:color w:val="auto"/>
          <w:kern w:val="2"/>
          <w:sz w:val="21"/>
          <w:szCs w:val="21"/>
          <w:highlight w:val="none"/>
          <w:u w:val="single"/>
        </w:rPr>
        <w:t>。</w:t>
      </w:r>
      <w:r>
        <w:rPr>
          <w:rFonts w:hint="eastAsia" w:ascii="宋体" w:hAnsi="宋体" w:eastAsia="宋体" w:cs="宋体"/>
          <w:bCs/>
          <w:color w:val="auto"/>
          <w:kern w:val="2"/>
          <w:sz w:val="21"/>
          <w:szCs w:val="21"/>
          <w:highlight w:val="none"/>
          <w:u w:val="single"/>
        </w:rPr>
        <w:t>如因采购人要求增加工程量、教育教学、重大活动、极端天气等</w:t>
      </w:r>
      <w:r>
        <w:rPr>
          <w:rFonts w:hint="eastAsia" w:ascii="宋体" w:hAnsi="宋体" w:eastAsia="宋体" w:cs="宋体"/>
          <w:bCs/>
          <w:color w:val="auto"/>
          <w:kern w:val="2"/>
          <w:sz w:val="21"/>
          <w:szCs w:val="21"/>
          <w:highlight w:val="none"/>
          <w:u w:val="single"/>
        </w:rPr>
        <w:t>不可抗拒因素造成</w:t>
      </w:r>
      <w:r>
        <w:rPr>
          <w:rFonts w:hint="eastAsia" w:ascii="宋体" w:hAnsi="宋体" w:eastAsia="宋体" w:cs="宋体"/>
          <w:bCs/>
          <w:color w:val="auto"/>
          <w:kern w:val="2"/>
          <w:sz w:val="21"/>
          <w:szCs w:val="21"/>
          <w:highlight w:val="none"/>
          <w:u w:val="single"/>
          <w:lang w:val="en-US" w:eastAsia="zh-CN"/>
        </w:rPr>
        <w:t>延期，经采购人和成交供应商书面确认后，工期予以顺延，具体以实际发生时间为依据。</w:t>
      </w:r>
    </w:p>
    <w:p w14:paraId="29234AB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7</w:t>
      </w:r>
      <w:bookmarkStart w:id="199" w:name="_Toc312677486"/>
      <w:bookmarkStart w:id="200" w:name="_Toc318581169"/>
      <w:bookmarkStart w:id="201" w:name="_Toc312678012"/>
      <w:bookmarkStart w:id="202" w:name="_Toc303539127"/>
      <w:bookmarkStart w:id="203" w:name="_Toc297216177"/>
      <w:bookmarkStart w:id="204" w:name="_Toc300934970"/>
      <w:bookmarkStart w:id="205" w:name="_Toc304295548"/>
      <w:bookmarkStart w:id="206" w:name="_Toc297123518"/>
      <w:r>
        <w:rPr>
          <w:rFonts w:hint="eastAsia" w:cs="宋体"/>
          <w:color w:val="auto"/>
          <w:sz w:val="21"/>
          <w:szCs w:val="21"/>
          <w:highlight w:val="none"/>
        </w:rPr>
        <w:t>.5.2 因承包人原因导致工期延误</w:t>
      </w:r>
    </w:p>
    <w:bookmarkEnd w:id="199"/>
    <w:bookmarkEnd w:id="200"/>
    <w:bookmarkEnd w:id="201"/>
    <w:p w14:paraId="4B69542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因</w:t>
      </w:r>
      <w:bookmarkStart w:id="207" w:name="_Toc312677487"/>
      <w:bookmarkStart w:id="208" w:name="_Toc312678013"/>
      <w:bookmarkStart w:id="209" w:name="_Toc318581170"/>
      <w:r>
        <w:rPr>
          <w:rFonts w:hint="eastAsia" w:cs="宋体"/>
          <w:color w:val="auto"/>
          <w:sz w:val="21"/>
          <w:szCs w:val="21"/>
          <w:highlight w:val="none"/>
        </w:rPr>
        <w:t>承包人原因造成工期延误，逾期竣工违约金的计算方法为：</w:t>
      </w:r>
      <w:r>
        <w:rPr>
          <w:rFonts w:hint="eastAsia" w:cs="宋体"/>
          <w:color w:val="auto"/>
          <w:sz w:val="21"/>
          <w:szCs w:val="21"/>
          <w:highlight w:val="none"/>
          <w:u w:val="single"/>
        </w:rPr>
        <w:t>见《专用合同条款数据表》</w:t>
      </w:r>
      <w:r>
        <w:rPr>
          <w:rFonts w:hint="eastAsia" w:cs="宋体"/>
          <w:color w:val="auto"/>
          <w:sz w:val="21"/>
          <w:szCs w:val="21"/>
          <w:highlight w:val="none"/>
        </w:rPr>
        <w:t>。</w:t>
      </w:r>
      <w:bookmarkEnd w:id="202"/>
      <w:bookmarkEnd w:id="203"/>
      <w:bookmarkEnd w:id="204"/>
      <w:bookmarkEnd w:id="205"/>
      <w:bookmarkEnd w:id="206"/>
      <w:bookmarkEnd w:id="207"/>
      <w:bookmarkEnd w:id="208"/>
    </w:p>
    <w:bookmarkEnd w:id="209"/>
    <w:p w14:paraId="75B5D58B">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u w:val="single"/>
        </w:rPr>
      </w:pPr>
      <w:r>
        <w:rPr>
          <w:rFonts w:hint="eastAsia" w:cs="宋体"/>
          <w:color w:val="auto"/>
          <w:sz w:val="21"/>
          <w:szCs w:val="21"/>
          <w:highlight w:val="none"/>
        </w:rPr>
        <w:t>因承包人原因造成工期延误，逾</w:t>
      </w:r>
      <w:bookmarkStart w:id="210" w:name="_Toc312678014"/>
      <w:bookmarkStart w:id="211" w:name="_Toc318581171"/>
      <w:r>
        <w:rPr>
          <w:rFonts w:hint="eastAsia" w:cs="宋体"/>
          <w:color w:val="auto"/>
          <w:sz w:val="21"/>
          <w:szCs w:val="21"/>
          <w:highlight w:val="none"/>
        </w:rPr>
        <w:t>期竣工违约金的上限：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bookmarkEnd w:id="210"/>
    <w:bookmarkEnd w:id="211"/>
    <w:p w14:paraId="177D7039">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7</w:t>
      </w:r>
      <w:bookmarkStart w:id="212" w:name="_Toc303539128"/>
      <w:bookmarkStart w:id="213" w:name="_Toc297123519"/>
      <w:bookmarkStart w:id="214" w:name="_Toc312678015"/>
      <w:bookmarkStart w:id="215" w:name="_Toc297216178"/>
      <w:bookmarkStart w:id="216" w:name="_Toc300934971"/>
      <w:bookmarkStart w:id="217" w:name="_Toc304295549"/>
      <w:r>
        <w:rPr>
          <w:rFonts w:hint="eastAsia" w:cs="宋体"/>
          <w:bCs/>
          <w:color w:val="auto"/>
          <w:sz w:val="21"/>
          <w:szCs w:val="21"/>
          <w:highlight w:val="none"/>
        </w:rPr>
        <w:t>.6 不</w:t>
      </w:r>
      <w:bookmarkEnd w:id="212"/>
      <w:bookmarkEnd w:id="213"/>
      <w:bookmarkEnd w:id="214"/>
      <w:bookmarkEnd w:id="215"/>
      <w:bookmarkEnd w:id="216"/>
      <w:bookmarkEnd w:id="217"/>
      <w:r>
        <w:rPr>
          <w:rFonts w:hint="eastAsia" w:cs="宋体"/>
          <w:bCs/>
          <w:color w:val="auto"/>
          <w:sz w:val="21"/>
          <w:szCs w:val="21"/>
          <w:highlight w:val="none"/>
        </w:rPr>
        <w:t>利物质条件</w:t>
      </w:r>
    </w:p>
    <w:p w14:paraId="42A1A2A8">
      <w:pPr>
        <w:pageBreakBefore w:val="0"/>
        <w:kinsoku/>
        <w:wordWrap/>
        <w:topLinePunct w:val="0"/>
        <w:bidi w:val="0"/>
        <w:adjustRightInd w:val="0"/>
        <w:snapToGrid w:val="0"/>
        <w:spacing w:beforeAutospacing="0" w:line="520" w:lineRule="exact"/>
        <w:ind w:firstLine="420" w:firstLineChars="200"/>
        <w:rPr>
          <w:rFonts w:hint="eastAsia" w:eastAsia="宋体" w:cs="宋体"/>
          <w:b/>
          <w:color w:val="auto"/>
          <w:sz w:val="21"/>
          <w:szCs w:val="21"/>
          <w:highlight w:val="none"/>
          <w:u w:val="single"/>
          <w:lang w:val="en-US" w:eastAsia="zh-CN"/>
        </w:rPr>
      </w:pPr>
      <w:bookmarkStart w:id="218" w:name="_Toc303539129"/>
      <w:bookmarkStart w:id="219" w:name="_Toc304295550"/>
      <w:bookmarkStart w:id="220" w:name="_Toc318581172"/>
      <w:bookmarkStart w:id="221" w:name="_Toc297123520"/>
      <w:bookmarkStart w:id="222" w:name="_Toc300934972"/>
      <w:bookmarkStart w:id="223" w:name="_Toc312678016"/>
      <w:bookmarkStart w:id="224" w:name="_Toc297216179"/>
      <w:r>
        <w:rPr>
          <w:rFonts w:hint="eastAsia"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承包人应了解</w:t>
      </w:r>
      <w:r>
        <w:rPr>
          <w:rFonts w:hint="eastAsia" w:cs="宋体"/>
          <w:color w:val="auto"/>
          <w:sz w:val="21"/>
          <w:szCs w:val="21"/>
          <w:highlight w:val="none"/>
          <w:u w:val="single"/>
          <w:lang w:val="en-US" w:eastAsia="zh-CN"/>
        </w:rPr>
        <w:t>本项配电安装工程所有内容</w:t>
      </w:r>
      <w:r>
        <w:rPr>
          <w:rFonts w:hint="eastAsia" w:ascii="宋体" w:hAnsi="宋体" w:eastAsia="宋体" w:cs="宋体"/>
          <w:color w:val="auto"/>
          <w:sz w:val="21"/>
          <w:szCs w:val="21"/>
          <w:highlight w:val="none"/>
          <w:u w:val="single"/>
        </w:rPr>
        <w:t>，中标后不得以不利物质条件为由提出索赔</w:t>
      </w:r>
      <w:r>
        <w:rPr>
          <w:rFonts w:hint="eastAsia" w:cs="宋体"/>
          <w:color w:val="auto"/>
          <w:sz w:val="21"/>
          <w:szCs w:val="21"/>
          <w:highlight w:val="none"/>
        </w:rPr>
        <w:t>。</w:t>
      </w:r>
      <w:r>
        <w:rPr>
          <w:rFonts w:hint="eastAsia" w:cs="宋体"/>
          <w:color w:val="auto"/>
          <w:sz w:val="21"/>
          <w:szCs w:val="21"/>
          <w:highlight w:val="none"/>
          <w:lang w:val="en-US" w:eastAsia="zh-CN"/>
        </w:rPr>
        <w:t xml:space="preserve"> </w:t>
      </w:r>
    </w:p>
    <w:bookmarkEnd w:id="218"/>
    <w:bookmarkEnd w:id="219"/>
    <w:bookmarkEnd w:id="220"/>
    <w:bookmarkEnd w:id="221"/>
    <w:bookmarkEnd w:id="222"/>
    <w:bookmarkEnd w:id="223"/>
    <w:bookmarkEnd w:id="224"/>
    <w:p w14:paraId="5C3D6F14">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7</w:t>
      </w:r>
      <w:bookmarkStart w:id="225" w:name="_Toc297216180"/>
      <w:bookmarkStart w:id="226" w:name="_Toc303539130"/>
      <w:bookmarkStart w:id="227" w:name="_Toc300934973"/>
      <w:bookmarkStart w:id="228" w:name="_Toc304295551"/>
      <w:bookmarkStart w:id="229" w:name="_Toc297123521"/>
      <w:bookmarkStart w:id="230" w:name="_Toc312678017"/>
      <w:r>
        <w:rPr>
          <w:rFonts w:hint="eastAsia" w:cs="宋体"/>
          <w:bCs/>
          <w:color w:val="auto"/>
          <w:sz w:val="21"/>
          <w:szCs w:val="21"/>
          <w:highlight w:val="none"/>
        </w:rPr>
        <w:t>.7 异常恶劣的气候条件</w:t>
      </w:r>
    </w:p>
    <w:bookmarkEnd w:id="225"/>
    <w:bookmarkEnd w:id="226"/>
    <w:bookmarkEnd w:id="227"/>
    <w:bookmarkEnd w:id="228"/>
    <w:bookmarkEnd w:id="229"/>
    <w:bookmarkEnd w:id="230"/>
    <w:p w14:paraId="7B9DCDB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发包人和承包人同意以下情形视为异常恶劣的气候条件：</w:t>
      </w:r>
    </w:p>
    <w:p w14:paraId="0B679927">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（1） 七级以上（含七级）大风连续 8 小时 ； </w:t>
      </w:r>
    </w:p>
    <w:p w14:paraId="5770DE33">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（2） 日最高温度大于 40 摄氏度，日最低温度小于-4 摄氏度 ； </w:t>
      </w:r>
    </w:p>
    <w:p w14:paraId="30EC3A5F">
      <w:pPr>
        <w:pageBreakBefore w:val="0"/>
        <w:kinsoku/>
        <w:wordWrap/>
        <w:topLinePunct w:val="0"/>
        <w:bidi w:val="0"/>
        <w:snapToGrid w:val="0"/>
        <w:spacing w:beforeAutospacing="0" w:line="520" w:lineRule="exact"/>
        <w:ind w:firstLine="420" w:firstLineChars="200"/>
        <w:jc w:val="left"/>
        <w:rPr>
          <w:rFonts w:cs="宋体"/>
          <w:color w:val="auto"/>
          <w:sz w:val="21"/>
          <w:szCs w:val="21"/>
          <w:highlight w:val="none"/>
        </w:rPr>
      </w:pPr>
      <w:r>
        <w:rPr>
          <w:rFonts w:hint="eastAsia" w:ascii="宋体" w:hAnsi="宋体" w:eastAsia="宋体" w:cs="宋体"/>
          <w:color w:val="auto"/>
          <w:sz w:val="21"/>
          <w:szCs w:val="21"/>
          <w:highlight w:val="none"/>
          <w:u w:val="single"/>
        </w:rPr>
        <w:t xml:space="preserve">（3） 日（昼夜）平均积雪量超过 200mm 的恶劣天气影响 。 </w:t>
      </w:r>
    </w:p>
    <w:p w14:paraId="4DC11A78">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7.9 提前竣工</w:t>
      </w:r>
    </w:p>
    <w:p w14:paraId="058444C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7.9.2 提前竣工的奖励：</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449CD086">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231" w:name="_Toc351203640"/>
      <w:r>
        <w:rPr>
          <w:rFonts w:hint="eastAsia" w:cs="宋体"/>
          <w:color w:val="auto"/>
          <w:sz w:val="21"/>
          <w:szCs w:val="21"/>
          <w:highlight w:val="none"/>
        </w:rPr>
        <w:t>8. 材料与设备</w:t>
      </w:r>
      <w:bookmarkEnd w:id="231"/>
    </w:p>
    <w:bookmarkEnd w:id="165"/>
    <w:bookmarkEnd w:id="166"/>
    <w:bookmarkEnd w:id="167"/>
    <w:bookmarkEnd w:id="168"/>
    <w:bookmarkEnd w:id="169"/>
    <w:bookmarkEnd w:id="170"/>
    <w:bookmarkEnd w:id="171"/>
    <w:bookmarkEnd w:id="172"/>
    <w:bookmarkEnd w:id="173"/>
    <w:bookmarkEnd w:id="174"/>
    <w:p w14:paraId="2D48B9C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8</w:t>
      </w:r>
      <w:bookmarkStart w:id="232" w:name="_Toc297216186"/>
      <w:bookmarkStart w:id="233" w:name="_Toc280868654"/>
      <w:bookmarkStart w:id="234" w:name="_Toc296944506"/>
      <w:bookmarkStart w:id="235" w:name="_Toc296891207"/>
      <w:bookmarkStart w:id="236" w:name="_Toc297120467"/>
      <w:bookmarkStart w:id="237" w:name="_Toc300934979"/>
      <w:bookmarkStart w:id="238" w:name="_Toc296503167"/>
      <w:bookmarkStart w:id="239" w:name="_Toc312677493"/>
      <w:bookmarkStart w:id="240" w:name="_Toc292559877"/>
      <w:bookmarkStart w:id="241" w:name="_Toc297123527"/>
      <w:bookmarkStart w:id="242" w:name="_Toc312678019"/>
      <w:bookmarkStart w:id="243" w:name="_Toc296346668"/>
      <w:bookmarkStart w:id="244" w:name="_Toc296890995"/>
      <w:bookmarkStart w:id="245" w:name="_Toc297048353"/>
      <w:bookmarkStart w:id="246" w:name="_Toc304295556"/>
      <w:bookmarkStart w:id="247" w:name="_Toc292559372"/>
      <w:bookmarkStart w:id="248" w:name="_Toc296347166"/>
      <w:bookmarkStart w:id="249" w:name="_Toc303539136"/>
      <w:bookmarkStart w:id="250" w:name="_Toc267251424"/>
      <w:bookmarkStart w:id="251" w:name="_Toc280868655"/>
      <w:bookmarkStart w:id="252" w:name="_Toc280868656"/>
      <w:r>
        <w:rPr>
          <w:rFonts w:hint="eastAsia" w:cs="宋体"/>
          <w:color w:val="auto"/>
          <w:sz w:val="21"/>
          <w:szCs w:val="21"/>
          <w:highlight w:val="none"/>
        </w:rPr>
        <w:t>.4 材料与工程设备的保管与使用</w:t>
      </w: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14:paraId="60E0407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8</w:t>
      </w:r>
      <w:bookmarkStart w:id="253" w:name="_Toc292559878"/>
      <w:bookmarkStart w:id="254" w:name="_Toc292559373"/>
      <w:bookmarkStart w:id="255" w:name="_Toc296347167"/>
      <w:bookmarkStart w:id="256" w:name="_Toc296503168"/>
      <w:bookmarkStart w:id="257" w:name="_Toc318581173"/>
      <w:bookmarkStart w:id="258" w:name="_Toc304295557"/>
      <w:bookmarkStart w:id="259" w:name="_Toc297120468"/>
      <w:bookmarkStart w:id="260" w:name="_Toc300934980"/>
      <w:bookmarkStart w:id="261" w:name="_Toc303539137"/>
      <w:bookmarkStart w:id="262" w:name="_Toc296891208"/>
      <w:bookmarkStart w:id="263" w:name="_Toc296346669"/>
      <w:bookmarkStart w:id="264" w:name="_Toc312678020"/>
      <w:bookmarkStart w:id="265" w:name="_Toc296890996"/>
      <w:bookmarkStart w:id="266" w:name="_Toc297216187"/>
      <w:bookmarkStart w:id="267" w:name="_Toc312677494"/>
      <w:bookmarkStart w:id="268" w:name="_Toc297048354"/>
      <w:bookmarkStart w:id="269" w:name="_Toc296944507"/>
      <w:bookmarkStart w:id="270" w:name="_Toc297123528"/>
      <w:r>
        <w:rPr>
          <w:rFonts w:hint="eastAsia" w:cs="宋体"/>
          <w:color w:val="auto"/>
          <w:sz w:val="21"/>
          <w:szCs w:val="21"/>
          <w:highlight w:val="none"/>
        </w:rPr>
        <w:t>.4.1 发包人供应的材料设备的保管费用的承担：</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承包人承担</w:t>
      </w:r>
      <w:r>
        <w:rPr>
          <w:rFonts w:hint="eastAsia" w:cs="宋体"/>
          <w:color w:val="auto"/>
          <w:sz w:val="21"/>
          <w:szCs w:val="21"/>
          <w:highlight w:val="none"/>
          <w:u w:val="single"/>
          <w:lang w:eastAsia="zh-CN"/>
        </w:rPr>
        <w:t>，</w:t>
      </w:r>
      <w:r>
        <w:rPr>
          <w:rFonts w:hint="eastAsia" w:cs="宋体"/>
          <w:color w:val="auto"/>
          <w:sz w:val="21"/>
          <w:szCs w:val="21"/>
          <w:highlight w:val="none"/>
          <w:u w:val="single"/>
          <w:lang w:val="en-US" w:eastAsia="zh-CN"/>
        </w:rPr>
        <w:t>含在工程费用内</w:t>
      </w:r>
      <w:r>
        <w:rPr>
          <w:rFonts w:hint="eastAsia" w:cs="宋体"/>
          <w:color w:val="auto"/>
          <w:sz w:val="21"/>
          <w:szCs w:val="21"/>
          <w:highlight w:val="none"/>
        </w:rPr>
        <w:t>。</w:t>
      </w:r>
      <w:bookmarkEnd w:id="253"/>
      <w:bookmarkEnd w:id="254"/>
    </w:p>
    <w:p w14:paraId="3D57AA63">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8.6 样品</w:t>
      </w:r>
    </w:p>
    <w:p w14:paraId="1B9DD96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8.6.1 样品的报送与封存</w:t>
      </w:r>
    </w:p>
    <w:p w14:paraId="18E26E9D">
      <w:pPr>
        <w:pageBreakBefore w:val="0"/>
        <w:kinsoku/>
        <w:wordWrap/>
        <w:topLinePunct w:val="0"/>
        <w:bidi w:val="0"/>
        <w:snapToGrid w:val="0"/>
        <w:spacing w:beforeAutospacing="0" w:line="520" w:lineRule="exact"/>
        <w:ind w:firstLine="420" w:firstLineChars="200"/>
        <w:rPr>
          <w:rFonts w:hint="eastAsia"/>
          <w:color w:val="auto"/>
          <w:highlight w:val="none"/>
        </w:rPr>
      </w:pPr>
      <w:r>
        <w:rPr>
          <w:rFonts w:hint="eastAsia" w:cs="宋体"/>
          <w:color w:val="auto"/>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 xml:space="preserve"> 根据投标</w:t>
      </w:r>
      <w:r>
        <w:rPr>
          <w:rFonts w:hint="eastAsia" w:ascii="宋体" w:hAnsi="宋体" w:eastAsia="宋体" w:cs="宋体"/>
          <w:color w:val="auto"/>
          <w:sz w:val="21"/>
          <w:szCs w:val="21"/>
          <w:highlight w:val="none"/>
          <w:u w:val="single"/>
          <w:lang w:val="en-US" w:eastAsia="zh-CN"/>
        </w:rPr>
        <w:t>人投标时提供的主材品牌及其他辅材要求</w:t>
      </w:r>
      <w:r>
        <w:rPr>
          <w:rFonts w:hint="eastAsia" w:ascii="宋体" w:hAnsi="宋体" w:eastAsia="宋体" w:cs="宋体"/>
          <w:color w:val="auto"/>
          <w:sz w:val="21"/>
          <w:szCs w:val="21"/>
          <w:highlight w:val="none"/>
          <w:u w:val="single"/>
        </w:rPr>
        <w:t>，使用前须经发包人认可。</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9"/>
        <w:gridCol w:w="2694"/>
        <w:gridCol w:w="2695"/>
      </w:tblGrid>
      <w:tr w14:paraId="2CD6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9" w:type="dxa"/>
          </w:tcPr>
          <w:p w14:paraId="6D3F5123">
            <w:pPr>
              <w:pageBreakBefore w:val="0"/>
              <w:kinsoku/>
              <w:wordWrap/>
              <w:topLinePunct w:val="0"/>
              <w:bidi w:val="0"/>
              <w:snapToGrid w:val="0"/>
              <w:spacing w:beforeAutospacing="0" w:line="520" w:lineRule="exact"/>
              <w:ind w:firstLine="420" w:firstLineChars="200"/>
              <w:rPr>
                <w:rFonts w:hint="eastAsia" w:cs="宋体"/>
                <w:color w:val="auto"/>
                <w:sz w:val="21"/>
                <w:szCs w:val="21"/>
                <w:highlight w:val="none"/>
                <w:lang w:eastAsia="zh-CN"/>
              </w:rPr>
            </w:pPr>
            <w:r>
              <w:rPr>
                <w:rFonts w:hint="eastAsia" w:cs="宋体"/>
                <w:color w:val="auto"/>
                <w:sz w:val="21"/>
                <w:szCs w:val="21"/>
                <w:highlight w:val="none"/>
                <w:lang w:val="en-US" w:eastAsia="zh-CN"/>
              </w:rPr>
              <w:t>材</w:t>
            </w:r>
            <w:r>
              <w:rPr>
                <w:rFonts w:hint="eastAsia" w:cs="宋体"/>
                <w:color w:val="auto"/>
                <w:sz w:val="21"/>
                <w:szCs w:val="21"/>
                <w:highlight w:val="none"/>
                <w:lang w:eastAsia="zh-CN"/>
              </w:rPr>
              <w:t>料名称</w:t>
            </w:r>
          </w:p>
        </w:tc>
        <w:tc>
          <w:tcPr>
            <w:tcW w:w="2694" w:type="dxa"/>
          </w:tcPr>
          <w:p w14:paraId="64D5F642">
            <w:pPr>
              <w:pageBreakBefore w:val="0"/>
              <w:kinsoku/>
              <w:wordWrap/>
              <w:topLinePunct w:val="0"/>
              <w:bidi w:val="0"/>
              <w:snapToGrid w:val="0"/>
              <w:spacing w:beforeAutospacing="0" w:line="520" w:lineRule="exact"/>
              <w:ind w:firstLine="420" w:firstLineChars="200"/>
              <w:rPr>
                <w:rFonts w:hint="eastAsia" w:cs="宋体"/>
                <w:color w:val="auto"/>
                <w:sz w:val="21"/>
                <w:szCs w:val="21"/>
                <w:highlight w:val="none"/>
                <w:lang w:eastAsia="zh-CN"/>
              </w:rPr>
            </w:pPr>
            <w:r>
              <w:rPr>
                <w:rFonts w:hint="eastAsia" w:cs="宋体"/>
                <w:color w:val="auto"/>
                <w:sz w:val="21"/>
                <w:szCs w:val="21"/>
                <w:highlight w:val="none"/>
                <w:lang w:val="en-US" w:eastAsia="zh-CN"/>
              </w:rPr>
              <w:t>材料</w:t>
            </w:r>
            <w:r>
              <w:rPr>
                <w:rFonts w:hint="eastAsia" w:cs="宋体"/>
                <w:color w:val="auto"/>
                <w:sz w:val="21"/>
                <w:szCs w:val="21"/>
                <w:highlight w:val="none"/>
                <w:lang w:eastAsia="zh-CN"/>
              </w:rPr>
              <w:t>品牌</w:t>
            </w:r>
          </w:p>
        </w:tc>
        <w:tc>
          <w:tcPr>
            <w:tcW w:w="2695" w:type="dxa"/>
          </w:tcPr>
          <w:p w14:paraId="5AC89443">
            <w:pPr>
              <w:pageBreakBefore w:val="0"/>
              <w:kinsoku/>
              <w:wordWrap/>
              <w:topLinePunct w:val="0"/>
              <w:bidi w:val="0"/>
              <w:snapToGrid w:val="0"/>
              <w:spacing w:beforeAutospacing="0" w:line="520" w:lineRule="exact"/>
              <w:ind w:firstLine="420" w:firstLineChars="200"/>
              <w:rPr>
                <w:rFonts w:hint="eastAsia" w:cs="宋体"/>
                <w:color w:val="auto"/>
                <w:sz w:val="21"/>
                <w:szCs w:val="21"/>
                <w:highlight w:val="none"/>
                <w:lang w:eastAsia="zh-CN"/>
              </w:rPr>
            </w:pPr>
            <w:r>
              <w:rPr>
                <w:rFonts w:hint="eastAsia" w:cs="宋体"/>
                <w:color w:val="auto"/>
                <w:sz w:val="21"/>
                <w:szCs w:val="21"/>
                <w:highlight w:val="none"/>
                <w:lang w:eastAsia="zh-CN"/>
              </w:rPr>
              <w:t>规格或型号</w:t>
            </w:r>
          </w:p>
        </w:tc>
      </w:tr>
      <w:tr w14:paraId="4AF3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729" w:type="dxa"/>
          </w:tcPr>
          <w:p w14:paraId="13300843">
            <w:pPr>
              <w:pageBreakBefore w:val="0"/>
              <w:kinsoku/>
              <w:wordWrap/>
              <w:topLinePunct w:val="0"/>
              <w:bidi w:val="0"/>
              <w:snapToGrid w:val="0"/>
              <w:spacing w:beforeAutospacing="0" w:line="520" w:lineRule="exact"/>
              <w:ind w:firstLine="420" w:firstLineChars="200"/>
              <w:rPr>
                <w:rFonts w:hint="default" w:cs="宋体"/>
                <w:color w:val="auto"/>
                <w:sz w:val="21"/>
                <w:szCs w:val="21"/>
                <w:highlight w:val="none"/>
                <w:lang w:val="en-US" w:eastAsia="zh-CN"/>
              </w:rPr>
            </w:pPr>
          </w:p>
        </w:tc>
        <w:tc>
          <w:tcPr>
            <w:tcW w:w="2694" w:type="dxa"/>
          </w:tcPr>
          <w:p w14:paraId="46E98196">
            <w:pPr>
              <w:pageBreakBefore w:val="0"/>
              <w:kinsoku/>
              <w:wordWrap/>
              <w:topLinePunct w:val="0"/>
              <w:bidi w:val="0"/>
              <w:snapToGrid w:val="0"/>
              <w:spacing w:beforeAutospacing="0" w:line="520" w:lineRule="exact"/>
              <w:ind w:firstLine="420" w:firstLineChars="200"/>
              <w:rPr>
                <w:rFonts w:hint="default" w:cs="宋体"/>
                <w:color w:val="auto"/>
                <w:sz w:val="21"/>
                <w:szCs w:val="21"/>
                <w:highlight w:val="none"/>
                <w:lang w:val="en-US" w:eastAsia="zh-CN"/>
              </w:rPr>
            </w:pPr>
          </w:p>
        </w:tc>
        <w:tc>
          <w:tcPr>
            <w:tcW w:w="2695" w:type="dxa"/>
          </w:tcPr>
          <w:p w14:paraId="10D50BC9">
            <w:pPr>
              <w:pageBreakBefore w:val="0"/>
              <w:kinsoku/>
              <w:wordWrap/>
              <w:topLinePunct w:val="0"/>
              <w:bidi w:val="0"/>
              <w:snapToGrid w:val="0"/>
              <w:spacing w:beforeAutospacing="0" w:line="520" w:lineRule="exact"/>
              <w:ind w:firstLine="420" w:firstLineChars="200"/>
              <w:rPr>
                <w:rFonts w:hint="default" w:cs="宋体"/>
                <w:color w:val="auto"/>
                <w:sz w:val="21"/>
                <w:szCs w:val="21"/>
                <w:highlight w:val="none"/>
                <w:lang w:val="en-US" w:eastAsia="zh-CN"/>
              </w:rPr>
            </w:pPr>
          </w:p>
        </w:tc>
      </w:tr>
      <w:tr w14:paraId="2396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29" w:type="dxa"/>
          </w:tcPr>
          <w:p w14:paraId="4A7D3B46">
            <w:pPr>
              <w:pageBreakBefore w:val="0"/>
              <w:kinsoku/>
              <w:wordWrap/>
              <w:topLinePunct w:val="0"/>
              <w:bidi w:val="0"/>
              <w:snapToGrid w:val="0"/>
              <w:spacing w:beforeAutospacing="0" w:line="520" w:lineRule="exact"/>
              <w:ind w:firstLine="420" w:firstLineChars="200"/>
              <w:rPr>
                <w:rFonts w:hint="eastAsia" w:cs="宋体"/>
                <w:color w:val="auto"/>
                <w:sz w:val="21"/>
                <w:szCs w:val="21"/>
                <w:highlight w:val="none"/>
                <w:lang w:eastAsia="zh-CN"/>
              </w:rPr>
            </w:pPr>
          </w:p>
        </w:tc>
        <w:tc>
          <w:tcPr>
            <w:tcW w:w="2694" w:type="dxa"/>
          </w:tcPr>
          <w:p w14:paraId="7BBB39C7">
            <w:pPr>
              <w:pageBreakBefore w:val="0"/>
              <w:kinsoku/>
              <w:wordWrap/>
              <w:topLinePunct w:val="0"/>
              <w:bidi w:val="0"/>
              <w:snapToGrid w:val="0"/>
              <w:spacing w:beforeAutospacing="0" w:line="520" w:lineRule="exact"/>
              <w:ind w:firstLine="420" w:firstLineChars="200"/>
              <w:rPr>
                <w:rFonts w:hint="eastAsia" w:cs="宋体"/>
                <w:color w:val="auto"/>
                <w:sz w:val="21"/>
                <w:szCs w:val="21"/>
                <w:highlight w:val="none"/>
                <w:lang w:eastAsia="zh-CN"/>
              </w:rPr>
            </w:pPr>
          </w:p>
        </w:tc>
        <w:tc>
          <w:tcPr>
            <w:tcW w:w="2695" w:type="dxa"/>
          </w:tcPr>
          <w:p w14:paraId="65286E0C">
            <w:pPr>
              <w:pageBreakBefore w:val="0"/>
              <w:kinsoku/>
              <w:wordWrap/>
              <w:topLinePunct w:val="0"/>
              <w:bidi w:val="0"/>
              <w:snapToGrid w:val="0"/>
              <w:spacing w:beforeAutospacing="0" w:line="520" w:lineRule="exact"/>
              <w:ind w:firstLine="420" w:firstLineChars="200"/>
              <w:rPr>
                <w:rFonts w:hint="eastAsia" w:cs="宋体"/>
                <w:color w:val="auto"/>
                <w:sz w:val="21"/>
                <w:szCs w:val="21"/>
                <w:highlight w:val="none"/>
                <w:lang w:eastAsia="zh-CN"/>
              </w:rPr>
            </w:pPr>
          </w:p>
        </w:tc>
      </w:tr>
      <w:tr w14:paraId="6ADB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9" w:type="dxa"/>
          </w:tcPr>
          <w:p w14:paraId="5CA2AF5A">
            <w:pPr>
              <w:pageBreakBefore w:val="0"/>
              <w:kinsoku/>
              <w:wordWrap/>
              <w:topLinePunct w:val="0"/>
              <w:bidi w:val="0"/>
              <w:snapToGrid w:val="0"/>
              <w:spacing w:beforeAutospacing="0" w:line="520" w:lineRule="exact"/>
              <w:ind w:firstLine="420" w:firstLineChars="200"/>
              <w:rPr>
                <w:rFonts w:hint="default" w:cs="宋体"/>
                <w:color w:val="auto"/>
                <w:sz w:val="21"/>
                <w:szCs w:val="21"/>
                <w:highlight w:val="none"/>
                <w:lang w:val="en-US" w:eastAsia="zh-CN"/>
              </w:rPr>
            </w:pPr>
          </w:p>
        </w:tc>
        <w:tc>
          <w:tcPr>
            <w:tcW w:w="2694" w:type="dxa"/>
          </w:tcPr>
          <w:p w14:paraId="71F9454B">
            <w:pPr>
              <w:pageBreakBefore w:val="0"/>
              <w:kinsoku/>
              <w:wordWrap/>
              <w:topLinePunct w:val="0"/>
              <w:bidi w:val="0"/>
              <w:snapToGrid w:val="0"/>
              <w:spacing w:beforeAutospacing="0" w:line="520" w:lineRule="exact"/>
              <w:ind w:firstLine="420" w:firstLineChars="200"/>
              <w:rPr>
                <w:rFonts w:hint="eastAsia" w:cs="宋体"/>
                <w:color w:val="auto"/>
                <w:sz w:val="21"/>
                <w:szCs w:val="21"/>
                <w:highlight w:val="none"/>
                <w:lang w:eastAsia="zh-CN"/>
              </w:rPr>
            </w:pPr>
          </w:p>
        </w:tc>
        <w:tc>
          <w:tcPr>
            <w:tcW w:w="2695" w:type="dxa"/>
          </w:tcPr>
          <w:p w14:paraId="4B99C4EC">
            <w:pPr>
              <w:pageBreakBefore w:val="0"/>
              <w:kinsoku/>
              <w:wordWrap/>
              <w:topLinePunct w:val="0"/>
              <w:bidi w:val="0"/>
              <w:snapToGrid w:val="0"/>
              <w:spacing w:beforeAutospacing="0" w:line="520" w:lineRule="exact"/>
              <w:ind w:firstLine="420" w:firstLineChars="200"/>
              <w:rPr>
                <w:rFonts w:hint="eastAsia" w:cs="宋体"/>
                <w:color w:val="auto"/>
                <w:sz w:val="21"/>
                <w:szCs w:val="21"/>
                <w:highlight w:val="none"/>
                <w:lang w:eastAsia="zh-CN"/>
              </w:rPr>
            </w:pPr>
          </w:p>
        </w:tc>
      </w:tr>
      <w:tr w14:paraId="6EDF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9" w:type="dxa"/>
          </w:tcPr>
          <w:p w14:paraId="749C8ACC">
            <w:pPr>
              <w:pageBreakBefore w:val="0"/>
              <w:kinsoku/>
              <w:wordWrap/>
              <w:topLinePunct w:val="0"/>
              <w:bidi w:val="0"/>
              <w:snapToGrid w:val="0"/>
              <w:spacing w:beforeAutospacing="0" w:line="520" w:lineRule="exact"/>
              <w:ind w:firstLine="420" w:firstLineChars="200"/>
              <w:rPr>
                <w:rFonts w:hint="eastAsia" w:cs="宋体"/>
                <w:color w:val="auto"/>
                <w:sz w:val="21"/>
                <w:szCs w:val="21"/>
                <w:highlight w:val="none"/>
                <w:lang w:val="en-US" w:eastAsia="zh-CN"/>
              </w:rPr>
            </w:pPr>
          </w:p>
        </w:tc>
        <w:tc>
          <w:tcPr>
            <w:tcW w:w="2694" w:type="dxa"/>
          </w:tcPr>
          <w:p w14:paraId="0D3D3DD0">
            <w:pPr>
              <w:pageBreakBefore w:val="0"/>
              <w:kinsoku/>
              <w:wordWrap/>
              <w:topLinePunct w:val="0"/>
              <w:bidi w:val="0"/>
              <w:snapToGrid w:val="0"/>
              <w:spacing w:beforeAutospacing="0" w:line="520" w:lineRule="exact"/>
              <w:ind w:firstLine="420" w:firstLineChars="200"/>
              <w:rPr>
                <w:rFonts w:hint="eastAsia" w:cs="宋体"/>
                <w:color w:val="auto"/>
                <w:sz w:val="21"/>
                <w:szCs w:val="21"/>
                <w:highlight w:val="none"/>
                <w:lang w:eastAsia="zh-CN"/>
              </w:rPr>
            </w:pPr>
          </w:p>
        </w:tc>
        <w:tc>
          <w:tcPr>
            <w:tcW w:w="2695" w:type="dxa"/>
          </w:tcPr>
          <w:p w14:paraId="49E469D7">
            <w:pPr>
              <w:pageBreakBefore w:val="0"/>
              <w:kinsoku/>
              <w:wordWrap/>
              <w:topLinePunct w:val="0"/>
              <w:bidi w:val="0"/>
              <w:snapToGrid w:val="0"/>
              <w:spacing w:beforeAutospacing="0" w:line="520" w:lineRule="exact"/>
              <w:ind w:firstLine="420" w:firstLineChars="200"/>
              <w:rPr>
                <w:rFonts w:hint="eastAsia" w:cs="宋体"/>
                <w:color w:val="auto"/>
                <w:sz w:val="21"/>
                <w:szCs w:val="21"/>
                <w:highlight w:val="none"/>
                <w:lang w:eastAsia="zh-CN"/>
              </w:rPr>
            </w:pPr>
          </w:p>
        </w:tc>
      </w:tr>
    </w:tbl>
    <w:p w14:paraId="5844243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8.8 施工设备和临时设施</w:t>
      </w:r>
    </w:p>
    <w:p w14:paraId="6D8217E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8.8.1 承包人提供的施工设备和临时设施</w:t>
      </w:r>
    </w:p>
    <w:p w14:paraId="120C861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关于修建临时设施费用承担的约定：</w:t>
      </w:r>
      <w:r>
        <w:rPr>
          <w:rFonts w:hint="eastAsia" w:ascii="宋体" w:hAnsi="宋体" w:eastAsia="宋体" w:cs="宋体"/>
          <w:color w:val="auto"/>
          <w:sz w:val="21"/>
          <w:szCs w:val="21"/>
          <w:highlight w:val="none"/>
          <w:u w:val="single"/>
        </w:rPr>
        <w:t xml:space="preserve">由承包人自行承担费用 </w:t>
      </w:r>
      <w:r>
        <w:rPr>
          <w:rFonts w:hint="eastAsia" w:cs="宋体"/>
          <w:color w:val="auto"/>
          <w:sz w:val="21"/>
          <w:szCs w:val="21"/>
          <w:highlight w:val="none"/>
          <w:u w:val="single"/>
          <w:lang w:eastAsia="zh-CN"/>
        </w:rPr>
        <w:t>，</w:t>
      </w:r>
      <w:r>
        <w:rPr>
          <w:rFonts w:hint="eastAsia" w:cs="宋体"/>
          <w:color w:val="auto"/>
          <w:sz w:val="21"/>
          <w:szCs w:val="21"/>
          <w:highlight w:val="none"/>
          <w:u w:val="single"/>
          <w:lang w:val="en-US" w:eastAsia="zh-CN"/>
        </w:rPr>
        <w:t>费用含在工程款内</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14:paraId="1A3C410F">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271" w:name="_Toc351203641"/>
      <w:r>
        <w:rPr>
          <w:rFonts w:hint="eastAsia" w:cs="宋体"/>
          <w:color w:val="auto"/>
          <w:sz w:val="21"/>
          <w:szCs w:val="21"/>
          <w:highlight w:val="none"/>
        </w:rPr>
        <w:t>9</w:t>
      </w:r>
      <w:bookmarkEnd w:id="250"/>
      <w:bookmarkEnd w:id="251"/>
      <w:bookmarkEnd w:id="252"/>
      <w:bookmarkStart w:id="272" w:name="_Toc300934982"/>
      <w:bookmarkStart w:id="273" w:name="_Toc312678021"/>
      <w:bookmarkStart w:id="274" w:name="_Toc303539139"/>
      <w:bookmarkStart w:id="275" w:name="_Toc297123533"/>
      <w:bookmarkStart w:id="276" w:name="_Toc312677495"/>
      <w:bookmarkStart w:id="277" w:name="_Toc304295559"/>
      <w:bookmarkStart w:id="278" w:name="_Toc297216192"/>
      <w:bookmarkStart w:id="279" w:name="_Toc297120473"/>
      <w:bookmarkStart w:id="280" w:name="_Toc292559378"/>
      <w:bookmarkStart w:id="281" w:name="_Toc296891001"/>
      <w:bookmarkStart w:id="282" w:name="_Toc292559883"/>
      <w:bookmarkStart w:id="283" w:name="_Toc297048359"/>
      <w:bookmarkStart w:id="284" w:name="_Toc296503173"/>
      <w:bookmarkStart w:id="285" w:name="_Toc267251427"/>
      <w:bookmarkStart w:id="286" w:name="_Toc267251428"/>
      <w:bookmarkStart w:id="287" w:name="_Toc296891213"/>
      <w:bookmarkStart w:id="288" w:name="_Toc296944512"/>
      <w:bookmarkStart w:id="289" w:name="_Toc296346674"/>
      <w:bookmarkStart w:id="290" w:name="_Toc296347172"/>
      <w:r>
        <w:rPr>
          <w:rFonts w:hint="eastAsia" w:cs="宋体"/>
          <w:color w:val="auto"/>
          <w:sz w:val="21"/>
          <w:szCs w:val="21"/>
          <w:highlight w:val="none"/>
        </w:rPr>
        <w:t>. 试验与检验</w:t>
      </w:r>
      <w:bookmarkEnd w:id="271"/>
    </w:p>
    <w:bookmarkEnd w:id="272"/>
    <w:bookmarkEnd w:id="273"/>
    <w:bookmarkEnd w:id="274"/>
    <w:bookmarkEnd w:id="275"/>
    <w:bookmarkEnd w:id="276"/>
    <w:bookmarkEnd w:id="277"/>
    <w:bookmarkEnd w:id="278"/>
    <w:p w14:paraId="608EDDFD">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9</w:t>
      </w:r>
      <w:bookmarkStart w:id="291" w:name="_Toc304295560"/>
      <w:bookmarkStart w:id="292" w:name="_Toc297216193"/>
      <w:bookmarkStart w:id="293" w:name="_Toc312677496"/>
      <w:bookmarkStart w:id="294" w:name="_Toc312678022"/>
      <w:bookmarkStart w:id="295" w:name="_Toc303539140"/>
      <w:bookmarkStart w:id="296" w:name="_Toc297123534"/>
      <w:bookmarkStart w:id="297" w:name="_Toc300934983"/>
      <w:r>
        <w:rPr>
          <w:rFonts w:hint="eastAsia" w:cs="宋体"/>
          <w:bCs/>
          <w:color w:val="auto"/>
          <w:sz w:val="21"/>
          <w:szCs w:val="21"/>
          <w:highlight w:val="none"/>
        </w:rPr>
        <w:t>.1 试验设备与试验人员</w:t>
      </w:r>
    </w:p>
    <w:bookmarkEnd w:id="291"/>
    <w:bookmarkEnd w:id="292"/>
    <w:bookmarkEnd w:id="293"/>
    <w:bookmarkEnd w:id="294"/>
    <w:bookmarkEnd w:id="295"/>
    <w:bookmarkEnd w:id="296"/>
    <w:bookmarkEnd w:id="297"/>
    <w:p w14:paraId="73EAB5C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9</w:t>
      </w:r>
      <w:bookmarkStart w:id="298" w:name="_Toc300934984"/>
      <w:bookmarkStart w:id="299" w:name="_Toc303539141"/>
      <w:bookmarkStart w:id="300" w:name="_Toc297216194"/>
      <w:bookmarkStart w:id="301" w:name="_Toc312677497"/>
      <w:bookmarkStart w:id="302" w:name="_Toc312678023"/>
      <w:bookmarkStart w:id="303" w:name="_Toc304295561"/>
      <w:bookmarkStart w:id="304" w:name="_Toc297123535"/>
      <w:bookmarkStart w:id="305" w:name="_Toc318581174"/>
      <w:r>
        <w:rPr>
          <w:rFonts w:hint="eastAsia" w:cs="宋体"/>
          <w:color w:val="auto"/>
          <w:sz w:val="21"/>
          <w:szCs w:val="21"/>
          <w:highlight w:val="none"/>
        </w:rPr>
        <w:t>.1.2 试验设备</w:t>
      </w:r>
    </w:p>
    <w:p w14:paraId="6192C38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施工现场需要配置的试验场所</w:t>
      </w:r>
      <w:bookmarkEnd w:id="298"/>
      <w:bookmarkEnd w:id="299"/>
      <w:bookmarkEnd w:id="300"/>
      <w:bookmarkEnd w:id="301"/>
      <w:bookmarkEnd w:id="302"/>
      <w:bookmarkEnd w:id="303"/>
      <w:bookmarkEnd w:id="304"/>
      <w:bookmarkStart w:id="306" w:name="_Toc312677498"/>
      <w:bookmarkStart w:id="307" w:name="_Toc303539142"/>
      <w:bookmarkStart w:id="308" w:name="_Toc297216195"/>
      <w:bookmarkStart w:id="309" w:name="_Toc297123536"/>
      <w:bookmarkStart w:id="310" w:name="_Toc304295562"/>
      <w:bookmarkStart w:id="311" w:name="_Toc312678024"/>
      <w:bookmarkStart w:id="312" w:name="_Toc300934985"/>
      <w:r>
        <w:rPr>
          <w:rFonts w:hint="eastAsia" w:cs="宋体"/>
          <w:color w:val="auto"/>
          <w:sz w:val="21"/>
          <w:szCs w:val="21"/>
          <w:highlight w:val="none"/>
        </w:rPr>
        <w:t xml:space="preserve">：  </w:t>
      </w:r>
      <w:r>
        <w:rPr>
          <w:rFonts w:hint="eastAsia" w:ascii="宋体" w:hAnsi="宋体" w:eastAsia="宋体" w:cs="宋体"/>
          <w:color w:val="auto"/>
          <w:sz w:val="21"/>
          <w:szCs w:val="21"/>
          <w:highlight w:val="none"/>
          <w:u w:val="single"/>
        </w:rPr>
        <w:t>按有关规定执行，承包人自行承担费用</w:t>
      </w:r>
      <w:r>
        <w:rPr>
          <w:rFonts w:hint="eastAsia" w:cs="宋体"/>
          <w:color w:val="auto"/>
          <w:sz w:val="21"/>
          <w:szCs w:val="21"/>
          <w:highlight w:val="none"/>
        </w:rPr>
        <w:t>。</w:t>
      </w:r>
    </w:p>
    <w:p w14:paraId="4F1CB19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施工现场需要配备的试验设备：</w:t>
      </w:r>
      <w:r>
        <w:rPr>
          <w:rFonts w:hint="eastAsia" w:ascii="宋体" w:hAnsi="宋体" w:eastAsia="宋体" w:cs="宋体"/>
          <w:color w:val="auto"/>
          <w:sz w:val="21"/>
          <w:szCs w:val="21"/>
          <w:highlight w:val="none"/>
          <w:u w:val="single"/>
        </w:rPr>
        <w:t>按有关规定执行，承包人自行承担费用</w:t>
      </w:r>
      <w:r>
        <w:rPr>
          <w:rFonts w:hint="eastAsia" w:cs="宋体"/>
          <w:color w:val="auto"/>
          <w:sz w:val="21"/>
          <w:szCs w:val="21"/>
          <w:highlight w:val="none"/>
        </w:rPr>
        <w:t>。</w:t>
      </w:r>
    </w:p>
    <w:p w14:paraId="01DB379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按有关规定执行，承包人自行承担费用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5084FBD">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 xml:space="preserve">9.4 现场工艺试验 </w:t>
      </w:r>
    </w:p>
    <w:p w14:paraId="4539D04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按有关规定执行，承包人自行承担费用</w:t>
      </w:r>
      <w:r>
        <w:rPr>
          <w:rFonts w:hint="eastAsia" w:cs="宋体"/>
          <w:color w:val="auto"/>
          <w:sz w:val="21"/>
          <w:szCs w:val="21"/>
          <w:highlight w:val="none"/>
          <w:u w:val="single"/>
        </w:rPr>
        <w:t xml:space="preserve"> </w:t>
      </w:r>
      <w:r>
        <w:rPr>
          <w:rFonts w:hint="eastAsia" w:cs="宋体"/>
          <w:color w:val="auto"/>
          <w:sz w:val="21"/>
          <w:szCs w:val="21"/>
          <w:highlight w:val="none"/>
        </w:rPr>
        <w:t>。</w:t>
      </w:r>
    </w:p>
    <w:bookmarkEnd w:id="305"/>
    <w:bookmarkEnd w:id="306"/>
    <w:bookmarkEnd w:id="307"/>
    <w:bookmarkEnd w:id="308"/>
    <w:bookmarkEnd w:id="309"/>
    <w:bookmarkEnd w:id="310"/>
    <w:bookmarkEnd w:id="311"/>
    <w:bookmarkEnd w:id="312"/>
    <w:p w14:paraId="2AA358EC">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313" w:name="_Toc351203642"/>
      <w:r>
        <w:rPr>
          <w:rFonts w:hint="eastAsia" w:cs="宋体"/>
          <w:color w:val="auto"/>
          <w:sz w:val="21"/>
          <w:szCs w:val="21"/>
          <w:highlight w:val="none"/>
        </w:rPr>
        <w:t>1</w:t>
      </w:r>
      <w:bookmarkEnd w:id="279"/>
      <w:bookmarkEnd w:id="280"/>
      <w:bookmarkEnd w:id="281"/>
      <w:bookmarkEnd w:id="282"/>
      <w:bookmarkEnd w:id="283"/>
      <w:bookmarkEnd w:id="284"/>
      <w:bookmarkEnd w:id="285"/>
      <w:bookmarkEnd w:id="286"/>
      <w:bookmarkEnd w:id="287"/>
      <w:bookmarkEnd w:id="288"/>
      <w:bookmarkEnd w:id="289"/>
      <w:bookmarkEnd w:id="290"/>
      <w:bookmarkStart w:id="314" w:name="_Toc296891233"/>
      <w:bookmarkStart w:id="315" w:name="_Toc296347192"/>
      <w:bookmarkStart w:id="316" w:name="_Toc303539146"/>
      <w:bookmarkStart w:id="317" w:name="_Toc296346694"/>
      <w:bookmarkStart w:id="318" w:name="_Toc296891021"/>
      <w:bookmarkStart w:id="319" w:name="_Toc297216199"/>
      <w:bookmarkStart w:id="320" w:name="_Toc297123540"/>
      <w:bookmarkStart w:id="321" w:name="_Toc297048379"/>
      <w:bookmarkStart w:id="322" w:name="_Toc300934989"/>
      <w:bookmarkStart w:id="323" w:name="_Toc292559903"/>
      <w:bookmarkStart w:id="324" w:name="_Toc292559398"/>
      <w:bookmarkStart w:id="325" w:name="_Toc296503193"/>
      <w:bookmarkStart w:id="326" w:name="_Toc304295566"/>
      <w:bookmarkStart w:id="327" w:name="_Toc296944532"/>
      <w:bookmarkStart w:id="328" w:name="_Toc297120493"/>
      <w:bookmarkStart w:id="329" w:name="_Toc312677499"/>
      <w:bookmarkStart w:id="330" w:name="_Toc312678025"/>
      <w:bookmarkStart w:id="331" w:name="_Toc267251441"/>
      <w:bookmarkStart w:id="332" w:name="_Toc267251439"/>
      <w:bookmarkStart w:id="333" w:name="_Toc267251435"/>
      <w:bookmarkStart w:id="334" w:name="_Toc267251433"/>
      <w:bookmarkStart w:id="335" w:name="_Toc267251440"/>
      <w:bookmarkStart w:id="336" w:name="_Toc267251437"/>
      <w:bookmarkStart w:id="337" w:name="_Toc267251442"/>
      <w:r>
        <w:rPr>
          <w:rFonts w:hint="eastAsia" w:cs="宋体"/>
          <w:color w:val="auto"/>
          <w:sz w:val="21"/>
          <w:szCs w:val="21"/>
          <w:highlight w:val="none"/>
        </w:rPr>
        <w:t>0. 变更</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bookmarkEnd w:id="329"/>
    <w:bookmarkEnd w:id="330"/>
    <w:p w14:paraId="4199694F">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w:t>
      </w:r>
      <w:bookmarkStart w:id="338" w:name="_Toc312677500"/>
      <w:bookmarkStart w:id="339" w:name="_Toc296891234"/>
      <w:bookmarkStart w:id="340" w:name="_Toc297120494"/>
      <w:bookmarkStart w:id="341" w:name="_Toc292559399"/>
      <w:bookmarkStart w:id="342" w:name="_Toc297048380"/>
      <w:bookmarkStart w:id="343" w:name="_Toc297216200"/>
      <w:bookmarkStart w:id="344" w:name="_Toc296891022"/>
      <w:bookmarkStart w:id="345" w:name="_Toc296346695"/>
      <w:bookmarkStart w:id="346" w:name="_Toc296503194"/>
      <w:bookmarkStart w:id="347" w:name="_Toc292559904"/>
      <w:bookmarkStart w:id="348" w:name="_Toc304295567"/>
      <w:bookmarkStart w:id="349" w:name="_Toc300934990"/>
      <w:bookmarkStart w:id="350" w:name="_Toc296347193"/>
      <w:bookmarkStart w:id="351" w:name="_Toc303539147"/>
      <w:bookmarkStart w:id="352" w:name="_Toc312678026"/>
      <w:bookmarkStart w:id="353" w:name="_Toc297123541"/>
      <w:bookmarkStart w:id="354" w:name="_Toc296944533"/>
      <w:r>
        <w:rPr>
          <w:rFonts w:hint="eastAsia" w:cs="宋体"/>
          <w:bCs/>
          <w:color w:val="auto"/>
          <w:sz w:val="21"/>
          <w:szCs w:val="21"/>
          <w:highlight w:val="none"/>
        </w:rPr>
        <w:t>0.1 变更的范围</w:t>
      </w:r>
    </w:p>
    <w:p w14:paraId="3967223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关于变更的范围的约定：</w:t>
      </w:r>
      <w:r>
        <w:rPr>
          <w:rFonts w:hint="eastAsia" w:ascii="宋体" w:hAnsi="宋体" w:eastAsia="宋体" w:cs="宋体"/>
          <w:color w:val="auto"/>
          <w:sz w:val="21"/>
          <w:szCs w:val="21"/>
          <w:highlight w:val="none"/>
          <w:u w:val="single"/>
        </w:rPr>
        <w:t>按有关规定执行，承包人自行承担费用</w:t>
      </w:r>
      <w:r>
        <w:rPr>
          <w:rFonts w:hint="eastAsia" w:cs="宋体"/>
          <w:color w:val="auto"/>
          <w:sz w:val="21"/>
          <w:szCs w:val="21"/>
          <w:highlight w:val="none"/>
        </w:rPr>
        <w:t>。</w:t>
      </w:r>
    </w:p>
    <w:p w14:paraId="5B6FAC94">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10.4 变更估价</w:t>
      </w:r>
    </w:p>
    <w:p w14:paraId="65DD3AA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10.4.1 变更估价原则</w:t>
      </w:r>
    </w:p>
    <w:p w14:paraId="2A9B9C9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关于变更估价的约定：</w:t>
      </w:r>
    </w:p>
    <w:p w14:paraId="5AFE6F57">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变更导致结算工程量减少 0-100%或增加 15%以内（含 15%）部分的，执行中标单价；超出15%以外部分，投标综合单价高于（控制价×投标让利幅度）时，按（控制价×投标让利幅度）计算，投标综合单价低于（控制价×投标让利幅度）时，执行中标单价。组价明显错误或人材机含量及单价明显异常的（明显异常指承包人单价超出清单控制价中相应单价20%及以上的）应予纠正；新增项目单价按照控制价的编制原则重新组价×投标让利幅度（投标让利幅度为中标价/控制价，其中中标价和控制价均扣除暂定金额、暂估价），重新组价价格最终以竣工结算审计核定为准。 </w:t>
      </w:r>
    </w:p>
    <w:p w14:paraId="60AF3CFE">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技术措施费调整：</w:t>
      </w:r>
      <w:r>
        <w:rPr>
          <w:rFonts w:hint="eastAsia" w:ascii="宋体" w:hAnsi="宋体" w:eastAsia="宋体" w:cs="宋体"/>
          <w:b/>
          <w:color w:val="auto"/>
          <w:sz w:val="21"/>
          <w:szCs w:val="21"/>
          <w:highlight w:val="none"/>
          <w:u w:val="single"/>
        </w:rPr>
        <w:t>因承包人擅自改变施工技术措施，造成的价格变动，措施费不予调整。因工程量清单错误必须改变原来施工技术措施，履行变更手续，按照工程变更条款执行。</w:t>
      </w:r>
    </w:p>
    <w:p w14:paraId="774F0136">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组织措施费调整：</w:t>
      </w:r>
      <w:r>
        <w:rPr>
          <w:rFonts w:hint="eastAsia" w:ascii="宋体" w:hAnsi="宋体" w:eastAsia="宋体" w:cs="宋体"/>
          <w:color w:val="auto"/>
          <w:sz w:val="21"/>
          <w:szCs w:val="21"/>
          <w:highlight w:val="none"/>
          <w:u w:val="single"/>
        </w:rPr>
        <w:t xml:space="preserve"> 按实调整。</w:t>
      </w:r>
    </w:p>
    <w:p w14:paraId="47D5597B">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Start w:id="355" w:name="_Toc296944536"/>
      <w:bookmarkStart w:id="356" w:name="_Toc300934993"/>
      <w:bookmarkStart w:id="357" w:name="_Toc297048383"/>
      <w:bookmarkStart w:id="358" w:name="_Toc292559402"/>
      <w:bookmarkStart w:id="359" w:name="_Toc303539150"/>
      <w:bookmarkStart w:id="360" w:name="_Toc296891025"/>
      <w:bookmarkStart w:id="361" w:name="_Toc296346698"/>
      <w:bookmarkStart w:id="362" w:name="_Toc296347196"/>
      <w:bookmarkStart w:id="363" w:name="_Toc297120497"/>
      <w:bookmarkStart w:id="364" w:name="_Toc297123544"/>
      <w:bookmarkStart w:id="365" w:name="_Toc297216203"/>
      <w:bookmarkStart w:id="366" w:name="_Toc296503197"/>
      <w:bookmarkStart w:id="367" w:name="_Toc296891237"/>
      <w:bookmarkStart w:id="368" w:name="_Toc292559907"/>
      <w:bookmarkStart w:id="369" w:name="_Toc312677503"/>
      <w:bookmarkStart w:id="370" w:name="_Toc312678029"/>
      <w:bookmarkStart w:id="371" w:name="_Toc304295570"/>
      <w:r>
        <w:rPr>
          <w:rFonts w:hint="eastAsia" w:cs="宋体"/>
          <w:bCs/>
          <w:color w:val="auto"/>
          <w:sz w:val="21"/>
          <w:szCs w:val="21"/>
          <w:highlight w:val="none"/>
        </w:rPr>
        <w:t>0.5 承</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Start w:id="372" w:name="_Toc297048389"/>
      <w:bookmarkStart w:id="373" w:name="_Toc296891243"/>
      <w:bookmarkStart w:id="374" w:name="_Toc292559408"/>
      <w:bookmarkStart w:id="375" w:name="_Toc297123545"/>
      <w:bookmarkStart w:id="376" w:name="_Toc296347202"/>
      <w:bookmarkStart w:id="377" w:name="_Toc296346704"/>
      <w:bookmarkStart w:id="378" w:name="_Toc297120503"/>
      <w:bookmarkStart w:id="379" w:name="_Toc300934994"/>
      <w:bookmarkStart w:id="380" w:name="_Toc292559913"/>
      <w:bookmarkStart w:id="381" w:name="_Toc297216204"/>
      <w:bookmarkStart w:id="382" w:name="_Toc296503203"/>
      <w:bookmarkStart w:id="383" w:name="_Toc296891031"/>
      <w:bookmarkStart w:id="384" w:name="_Toc303539151"/>
      <w:bookmarkStart w:id="385" w:name="_Toc296944542"/>
      <w:r>
        <w:rPr>
          <w:rFonts w:hint="eastAsia" w:cs="宋体"/>
          <w:bCs/>
          <w:color w:val="auto"/>
          <w:sz w:val="21"/>
          <w:szCs w:val="21"/>
          <w:highlight w:val="none"/>
        </w:rPr>
        <w:t>包人的合理化建议</w:t>
      </w:r>
    </w:p>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3A247BB5">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 xml:space="preserve"> 监理人应在收到承包人提交的合理化建议后7天内审查完毕并报送发包人，发现其中存在技术上的缺陷，应通知承包人修改。</w:t>
      </w:r>
    </w:p>
    <w:p w14:paraId="0DCFCC6B">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 xml:space="preserve"> 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728D42CF">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w:t>
      </w:r>
    </w:p>
    <w:p w14:paraId="5B5941BB">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w:t>
      </w:r>
      <w:bookmarkStart w:id="386" w:name="_Toc296944538"/>
      <w:bookmarkStart w:id="387" w:name="_Toc303539154"/>
      <w:bookmarkStart w:id="388" w:name="_Toc312677507"/>
      <w:bookmarkStart w:id="389" w:name="_Toc296891027"/>
      <w:bookmarkStart w:id="390" w:name="_Toc296891239"/>
      <w:bookmarkStart w:id="391" w:name="_Toc300934997"/>
      <w:bookmarkStart w:id="392" w:name="_Toc297120499"/>
      <w:bookmarkStart w:id="393" w:name="_Toc297123548"/>
      <w:bookmarkStart w:id="394" w:name="_Toc296347198"/>
      <w:bookmarkStart w:id="395" w:name="_Toc312678033"/>
      <w:bookmarkStart w:id="396" w:name="_Toc296503199"/>
      <w:bookmarkStart w:id="397" w:name="_Toc292559404"/>
      <w:bookmarkStart w:id="398" w:name="_Toc297048385"/>
      <w:bookmarkStart w:id="399" w:name="_Toc304295574"/>
      <w:bookmarkStart w:id="400" w:name="_Toc297216207"/>
      <w:bookmarkStart w:id="401" w:name="_Toc296346700"/>
      <w:bookmarkStart w:id="402" w:name="_Toc292559909"/>
      <w:r>
        <w:rPr>
          <w:rFonts w:hint="eastAsia" w:cs="宋体"/>
          <w:bCs/>
          <w:color w:val="auto"/>
          <w:sz w:val="21"/>
          <w:szCs w:val="21"/>
          <w:highlight w:val="none"/>
        </w:rPr>
        <w:t>0.7 暂估价</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14:paraId="4A3D8F4C">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bookmarkStart w:id="403" w:name="_Toc351203643"/>
      <w:r>
        <w:rPr>
          <w:rFonts w:hint="eastAsia" w:ascii="宋体" w:hAnsi="宋体" w:eastAsia="宋体" w:cs="宋体"/>
          <w:color w:val="auto"/>
          <w:kern w:val="0"/>
          <w:sz w:val="21"/>
          <w:szCs w:val="21"/>
          <w:highlight w:val="none"/>
        </w:rPr>
        <w:t>暂估价材料和工程设备的明细</w:t>
      </w:r>
      <w:r>
        <w:rPr>
          <w:rFonts w:hint="eastAsia" w:ascii="宋体" w:hAnsi="宋体" w:eastAsia="宋体" w:cs="宋体"/>
          <w:color w:val="auto"/>
          <w:kern w:val="0"/>
          <w:sz w:val="21"/>
          <w:szCs w:val="21"/>
          <w:highlight w:val="none"/>
          <w:u w:val="single"/>
        </w:rPr>
        <w:t>详见本项目最高投标限价。</w:t>
      </w:r>
    </w:p>
    <w:p w14:paraId="2F135787">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10.7.1 依法必须招标的暂估价项目</w:t>
      </w:r>
    </w:p>
    <w:p w14:paraId="17F86317">
      <w:pPr>
        <w:pStyle w:val="2"/>
        <w:pageBreakBefore w:val="0"/>
        <w:kinsoku/>
        <w:wordWrap/>
        <w:topLinePunct w:val="0"/>
        <w:bidi w:val="0"/>
        <w:spacing w:beforeAutospacing="0" w:line="520" w:lineRule="exact"/>
        <w:ind w:firstLine="468"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对于依法必须招标的暂估价项目的确认和批准由发包人通过招标方式确定。</w:t>
      </w:r>
    </w:p>
    <w:p w14:paraId="5DC4BED8">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14:paraId="410CC23B">
      <w:pPr>
        <w:pStyle w:val="2"/>
        <w:pageBreakBefore w:val="0"/>
        <w:kinsoku/>
        <w:wordWrap/>
        <w:topLinePunct w:val="0"/>
        <w:bidi w:val="0"/>
        <w:spacing w:beforeAutospacing="0" w:line="520" w:lineRule="exact"/>
        <w:ind w:firstLine="468"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对于不属于依法必须招标的暂估价项目的确认和批准由发包人采用询价或招标方式确定。</w:t>
      </w:r>
    </w:p>
    <w:p w14:paraId="136A713A">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第3种方式：承包人直接实施的暂估价项目</w:t>
      </w:r>
    </w:p>
    <w:p w14:paraId="29674B5D">
      <w:pPr>
        <w:pStyle w:val="54"/>
        <w:pageBreakBefore w:val="0"/>
        <w:kinsoku/>
        <w:wordWrap/>
        <w:topLinePunct w:val="0"/>
        <w:bidi w:val="0"/>
        <w:spacing w:beforeAutospacing="0" w:after="0" w:line="5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执行通用条款 。</w:t>
      </w:r>
    </w:p>
    <w:p w14:paraId="7AAF2FB8">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 暂列金额</w:t>
      </w:r>
    </w:p>
    <w:p w14:paraId="173771A6">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rPr>
        <w:t>暂列金是发包人为可能发生工程变更而暂列的金额，是发包人自行确定设立的，承包商无权使用此笔费用。此费用按实际发生经发包人签证后确定全部使用、部分使用或不使用。暂列金不计入工程款付款的基数</w:t>
      </w:r>
      <w:r>
        <w:rPr>
          <w:rFonts w:hint="eastAsia" w:ascii="宋体" w:hAnsi="宋体" w:eastAsia="宋体" w:cs="宋体"/>
          <w:color w:val="auto"/>
          <w:kern w:val="0"/>
          <w:sz w:val="21"/>
          <w:szCs w:val="21"/>
          <w:highlight w:val="none"/>
        </w:rPr>
        <w:t>。</w:t>
      </w:r>
    </w:p>
    <w:p w14:paraId="245AF06D">
      <w:pPr>
        <w:pageBreakBefore w:val="0"/>
        <w:kinsoku/>
        <w:wordWrap/>
        <w:topLinePunct w:val="0"/>
        <w:bidi w:val="0"/>
        <w:snapToGrid w:val="0"/>
        <w:spacing w:beforeAutospacing="0" w:line="520" w:lineRule="exact"/>
        <w:ind w:firstLine="210" w:firstLineChars="100"/>
        <w:outlineLvl w:val="2"/>
        <w:rPr>
          <w:rFonts w:cs="宋体"/>
          <w:color w:val="auto"/>
          <w:sz w:val="21"/>
          <w:szCs w:val="21"/>
          <w:highlight w:val="none"/>
        </w:rPr>
      </w:pPr>
      <w:r>
        <w:rPr>
          <w:rFonts w:hint="eastAsia" w:cs="宋体"/>
          <w:color w:val="auto"/>
          <w:sz w:val="21"/>
          <w:szCs w:val="21"/>
          <w:highlight w:val="none"/>
        </w:rPr>
        <w:t>11. 价格调整</w:t>
      </w:r>
      <w:bookmarkEnd w:id="403"/>
    </w:p>
    <w:bookmarkEnd w:id="331"/>
    <w:bookmarkEnd w:id="332"/>
    <w:bookmarkEnd w:id="333"/>
    <w:bookmarkEnd w:id="334"/>
    <w:bookmarkEnd w:id="335"/>
    <w:bookmarkEnd w:id="336"/>
    <w:p w14:paraId="251C8E14">
      <w:pPr>
        <w:keepNext/>
        <w:keepLines/>
        <w:pageBreakBefore w:val="0"/>
        <w:kinsoku/>
        <w:wordWrap/>
        <w:topLinePunct w:val="0"/>
        <w:bidi w:val="0"/>
        <w:adjustRightInd w:val="0"/>
        <w:snapToGrid w:val="0"/>
        <w:spacing w:beforeAutospacing="0" w:line="520" w:lineRule="exact"/>
        <w:ind w:firstLine="420" w:firstLineChars="200"/>
        <w:outlineLvl w:val="3"/>
        <w:rPr>
          <w:rFonts w:hint="eastAsia" w:ascii="宋体" w:hAnsi="宋体" w:eastAsia="宋体" w:cs="宋体"/>
          <w:bCs/>
          <w:color w:val="auto"/>
          <w:sz w:val="21"/>
          <w:szCs w:val="21"/>
          <w:highlight w:val="none"/>
        </w:rPr>
      </w:pPr>
      <w:bookmarkStart w:id="404" w:name="_Toc297216211"/>
      <w:bookmarkStart w:id="405" w:name="_Toc304295579"/>
      <w:bookmarkStart w:id="406" w:name="_Toc297120505"/>
      <w:bookmarkStart w:id="407" w:name="_Toc296944544"/>
      <w:bookmarkStart w:id="408" w:name="_Toc297123552"/>
      <w:bookmarkStart w:id="409" w:name="_Toc351203644"/>
      <w:bookmarkStart w:id="410" w:name="_Toc303539159"/>
      <w:bookmarkStart w:id="411" w:name="_Toc292559915"/>
      <w:bookmarkStart w:id="412" w:name="_Toc296347204"/>
      <w:bookmarkStart w:id="413" w:name="_Toc292559410"/>
      <w:bookmarkStart w:id="414" w:name="_Toc300935002"/>
      <w:bookmarkStart w:id="415" w:name="_Toc296891245"/>
      <w:bookmarkStart w:id="416" w:name="_Toc312678040"/>
      <w:bookmarkStart w:id="417" w:name="_Toc296891033"/>
      <w:bookmarkStart w:id="418" w:name="_Toc296346706"/>
      <w:bookmarkStart w:id="419" w:name="_Toc297048391"/>
      <w:bookmarkStart w:id="420" w:name="_Toc296503205"/>
      <w:r>
        <w:rPr>
          <w:rFonts w:hint="eastAsia" w:ascii="宋体" w:hAnsi="宋体" w:eastAsia="宋体" w:cs="宋体"/>
          <w:bCs/>
          <w:color w:val="auto"/>
          <w:sz w:val="21"/>
          <w:szCs w:val="21"/>
          <w:highlight w:val="none"/>
        </w:rPr>
        <w:t>11.1 市场价格波动引起的调整</w:t>
      </w:r>
    </w:p>
    <w:p w14:paraId="015C2F95">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b/>
          <w:color w:val="auto"/>
          <w:sz w:val="21"/>
          <w:szCs w:val="21"/>
          <w:highlight w:val="none"/>
          <w:u w:val="singl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b/>
          <w:color w:val="auto"/>
          <w:sz w:val="21"/>
          <w:szCs w:val="21"/>
          <w:highlight w:val="none"/>
          <w:u w:val="single"/>
        </w:rPr>
        <w:t xml:space="preserve"> 不调整 </w:t>
      </w:r>
      <w:r>
        <w:rPr>
          <w:rFonts w:hint="eastAsia" w:ascii="宋体" w:hAnsi="宋体" w:eastAsia="宋体" w:cs="宋体"/>
          <w:color w:val="auto"/>
          <w:sz w:val="21"/>
          <w:szCs w:val="21"/>
          <w:highlight w:val="none"/>
        </w:rPr>
        <w:t>。</w:t>
      </w:r>
    </w:p>
    <w:p w14:paraId="34413321">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11.2人工费调整按省建设行政主管部门或其授权的工程造价管理机构发布的调整文件规定执行。 </w:t>
      </w:r>
    </w:p>
    <w:p w14:paraId="291CAA87">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施工机械台班使用费的风险范围：施工机械台班使用费中燃料、水电费及其他要素价格风险由承包人承担。</w:t>
      </w:r>
    </w:p>
    <w:p w14:paraId="36B8835E">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其他价格调整方式：</w:t>
      </w:r>
      <w:r>
        <w:rPr>
          <w:rFonts w:hint="eastAsia" w:ascii="宋体" w:hAnsi="宋体" w:eastAsia="宋体" w:cs="宋体"/>
          <w:color w:val="auto"/>
          <w:sz w:val="21"/>
          <w:szCs w:val="21"/>
          <w:highlight w:val="none"/>
          <w:u w:val="single"/>
        </w:rPr>
        <w:t xml:space="preserve"> 不采用</w:t>
      </w:r>
      <w:r>
        <w:rPr>
          <w:rFonts w:hint="eastAsia" w:ascii="宋体" w:hAnsi="宋体" w:eastAsia="宋体" w:cs="宋体"/>
          <w:color w:val="auto"/>
          <w:sz w:val="21"/>
          <w:szCs w:val="21"/>
          <w:highlight w:val="none"/>
        </w:rPr>
        <w:t xml:space="preserve"> 。</w:t>
      </w:r>
    </w:p>
    <w:p w14:paraId="291E6151">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11.3暂估价材料价格调整</w:t>
      </w:r>
    </w:p>
    <w:p w14:paraId="53786B3D">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材料价格：除上述专用条款中第11.1条中约定的可调价格材料和实行暂估价的材料（详见最高投标限价）外，其他材料由承包人按市场合格产品价格及采购文件的规定自行报价一次性包干，投标人在确定响应报价时应充分考虑材料价格上涨等市场风险因素，这部分材料价格今后将不作任何调整。</w:t>
      </w:r>
    </w:p>
    <w:p w14:paraId="4D740ADD">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（2）实行暂估价的主要材料(半成品)，在投标报价中按采购文件和答疑及工程量清单总说明给定的价格计算，不得减少报价，工程竣工结算时按二次招标价或甲乙双方认质认价的签证调整。</w:t>
      </w:r>
    </w:p>
    <w:p w14:paraId="0C950752">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（3）主要材料（半成品）的价差调整价款决算时仅计取税金，不再计取其他任何费用。</w:t>
      </w:r>
    </w:p>
    <w:p w14:paraId="49FCEB1B">
      <w:pPr>
        <w:pStyle w:val="6"/>
        <w:pageBreakBefore w:val="0"/>
        <w:kinsoku/>
        <w:wordWrap/>
        <w:topLinePunct w:val="0"/>
        <w:bidi w:val="0"/>
        <w:snapToGrid w:val="0"/>
        <w:spacing w:before="0" w:beforeAutospacing="0" w:after="0" w:line="520" w:lineRule="exact"/>
        <w:rPr>
          <w:rFonts w:hint="eastAsia" w:ascii="宋体" w:hAnsi="宋体" w:eastAsia="宋体" w:cs="宋体"/>
          <w:b w:val="0"/>
          <w:color w:val="auto"/>
          <w:sz w:val="21"/>
          <w:szCs w:val="21"/>
          <w:highlight w:val="none"/>
        </w:rPr>
      </w:pPr>
      <w:bookmarkStart w:id="421" w:name="_Toc417623625"/>
      <w:bookmarkStart w:id="422" w:name="_Toc19616"/>
      <w:r>
        <w:rPr>
          <w:rFonts w:hint="eastAsia" w:ascii="宋体" w:hAnsi="宋体" w:eastAsia="宋体" w:cs="宋体"/>
          <w:b w:val="0"/>
          <w:color w:val="auto"/>
          <w:sz w:val="21"/>
          <w:szCs w:val="21"/>
          <w:highlight w:val="none"/>
        </w:rPr>
        <w:t>12. 合同价格、计量与支付</w:t>
      </w:r>
      <w:bookmarkEnd w:id="421"/>
      <w:bookmarkEnd w:id="422"/>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14:paraId="3E460D53">
      <w:pPr>
        <w:keepNext/>
        <w:keepLines/>
        <w:pageBreakBefore w:val="0"/>
        <w:kinsoku/>
        <w:wordWrap/>
        <w:topLinePunct w:val="0"/>
        <w:bidi w:val="0"/>
        <w:snapToGrid w:val="0"/>
        <w:spacing w:beforeAutospacing="0" w:line="520" w:lineRule="exact"/>
        <w:outlineLvl w:val="3"/>
        <w:rPr>
          <w:rFonts w:hint="eastAsia" w:ascii="宋体" w:hAnsi="宋体" w:eastAsia="宋体" w:cs="宋体"/>
          <w:color w:val="auto"/>
          <w:sz w:val="21"/>
          <w:szCs w:val="21"/>
          <w:highlight w:val="none"/>
        </w:rPr>
      </w:pPr>
      <w:bookmarkStart w:id="423" w:name="_Toc292559411"/>
      <w:bookmarkStart w:id="424" w:name="_Toc292559916"/>
      <w:bookmarkStart w:id="425" w:name="_Toc267251461"/>
      <w:bookmarkStart w:id="426" w:name="_Toc296891246"/>
      <w:bookmarkStart w:id="427" w:name="_Toc296891034"/>
      <w:bookmarkStart w:id="428" w:name="_Toc296347205"/>
      <w:bookmarkStart w:id="429" w:name="_Toc297048392"/>
      <w:bookmarkStart w:id="430" w:name="_Toc296346707"/>
      <w:bookmarkStart w:id="431" w:name="_Toc296503206"/>
      <w:bookmarkStart w:id="432" w:name="_Toc297120506"/>
      <w:bookmarkStart w:id="433" w:name="_Toc296944545"/>
      <w:bookmarkStart w:id="434" w:name="_Toc297216212"/>
      <w:bookmarkStart w:id="435" w:name="_Toc304295580"/>
      <w:bookmarkStart w:id="436" w:name="_Toc303539160"/>
      <w:bookmarkStart w:id="437" w:name="_Toc297123553"/>
      <w:bookmarkStart w:id="438" w:name="_Toc300935003"/>
      <w:bookmarkStart w:id="439" w:name="_Toc312678041"/>
      <w:r>
        <w:rPr>
          <w:rFonts w:hint="eastAsia" w:cs="宋体"/>
          <w:bCs/>
          <w:color w:val="auto"/>
          <w:sz w:val="21"/>
          <w:szCs w:val="21"/>
          <w:highlight w:val="none"/>
        </w:rPr>
        <w:t>12.1 合</w:t>
      </w:r>
      <w:bookmarkEnd w:id="423"/>
      <w:bookmarkEnd w:id="424"/>
      <w:bookmarkEnd w:id="425"/>
      <w:r>
        <w:rPr>
          <w:rFonts w:hint="eastAsia" w:cs="宋体"/>
          <w:bCs/>
          <w:color w:val="auto"/>
          <w:sz w:val="21"/>
          <w:szCs w:val="21"/>
          <w:highlight w:val="none"/>
        </w:rPr>
        <w:t>同价</w:t>
      </w:r>
      <w:bookmarkEnd w:id="426"/>
      <w:bookmarkEnd w:id="427"/>
      <w:bookmarkEnd w:id="428"/>
      <w:bookmarkEnd w:id="429"/>
      <w:bookmarkEnd w:id="430"/>
      <w:bookmarkEnd w:id="431"/>
      <w:bookmarkEnd w:id="432"/>
      <w:bookmarkEnd w:id="433"/>
      <w:r>
        <w:rPr>
          <w:rFonts w:hint="eastAsia" w:cs="宋体"/>
          <w:bCs/>
          <w:color w:val="auto"/>
          <w:sz w:val="21"/>
          <w:szCs w:val="21"/>
          <w:highlight w:val="none"/>
        </w:rPr>
        <w:t>格形式</w:t>
      </w:r>
      <w:bookmarkEnd w:id="434"/>
      <w:bookmarkEnd w:id="435"/>
      <w:bookmarkEnd w:id="436"/>
      <w:bookmarkEnd w:id="437"/>
      <w:bookmarkEnd w:id="438"/>
      <w:bookmarkEnd w:id="439"/>
      <w:bookmarkStart w:id="440" w:name="_Toc304295581"/>
      <w:bookmarkStart w:id="441" w:name="_Toc297216213"/>
      <w:bookmarkStart w:id="442" w:name="_Toc303539161"/>
      <w:bookmarkStart w:id="443" w:name="_Toc297123554"/>
      <w:bookmarkStart w:id="444" w:name="_Toc312678042"/>
      <w:bookmarkStart w:id="445" w:name="_Toc300935004"/>
      <w:bookmarkStart w:id="446" w:name="_Toc296503207"/>
      <w:bookmarkStart w:id="447" w:name="_Toc296347206"/>
      <w:bookmarkStart w:id="448" w:name="_Toc292559917"/>
      <w:bookmarkStart w:id="449" w:name="_Toc296891035"/>
      <w:bookmarkStart w:id="450" w:name="_Toc297048393"/>
      <w:bookmarkStart w:id="451" w:name="_Toc297120507"/>
      <w:bookmarkStart w:id="452" w:name="_Toc292559412"/>
      <w:bookmarkStart w:id="453" w:name="_Toc296891247"/>
      <w:bookmarkStart w:id="454" w:name="_Toc296944546"/>
      <w:bookmarkStart w:id="455" w:name="_Toc296346708"/>
      <w:r>
        <w:rPr>
          <w:rFonts w:hint="eastAsia" w:cs="宋体"/>
          <w:bCs/>
          <w:color w:val="auto"/>
          <w:sz w:val="21"/>
          <w:szCs w:val="21"/>
          <w:highlight w:val="none"/>
          <w:lang w:eastAsia="zh-CN"/>
        </w:rPr>
        <w:t>：</w:t>
      </w:r>
      <w:r>
        <w:rPr>
          <w:rFonts w:hint="eastAsia" w:ascii="宋体" w:hAnsi="宋体" w:eastAsia="宋体" w:cs="宋体"/>
          <w:color w:val="auto"/>
          <w:sz w:val="21"/>
          <w:szCs w:val="21"/>
          <w:highlight w:val="none"/>
        </w:rPr>
        <w:t>单价合同。</w:t>
      </w:r>
    </w:p>
    <w:p w14:paraId="1E83176A">
      <w:pPr>
        <w:pageBreakBefore w:val="0"/>
        <w:kinsoku/>
        <w:wordWrap/>
        <w:topLinePunct w:val="0"/>
        <w:bidi w:val="0"/>
        <w:adjustRightInd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隐含于已标价工程量清单综合单价中，用于化解发承包双方在工程合同中约定内容和范围内的市场价格波动风险的费用。综合单价包括为完成本项目所需要的一切费用,包括但不限于人工费、材料费、施工机械费、管理费、利润、风险费用、总包管理费、赶工措施费、相关交易费及完成本工程交易文件及合同条款内容等所有费用。</w:t>
      </w:r>
    </w:p>
    <w:p w14:paraId="052D382E">
      <w:pPr>
        <w:pageBreakBefore w:val="0"/>
        <w:kinsoku/>
        <w:wordWrap/>
        <w:topLinePunct w:val="0"/>
        <w:bidi w:val="0"/>
        <w:adjustRightInd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风险费用的计算方法：</w:t>
      </w:r>
      <w:r>
        <w:rPr>
          <w:rFonts w:hint="eastAsia" w:ascii="宋体" w:hAnsi="宋体" w:eastAsia="宋体" w:cs="宋体"/>
          <w:color w:val="auto"/>
          <w:sz w:val="21"/>
          <w:szCs w:val="21"/>
          <w:highlight w:val="none"/>
          <w:u w:val="single"/>
        </w:rPr>
        <w:t xml:space="preserve"> 承包人自行考虑，包含在报价中 。</w:t>
      </w:r>
    </w:p>
    <w:p w14:paraId="67E4FAD2">
      <w:pPr>
        <w:pageBreakBefore w:val="0"/>
        <w:kinsoku/>
        <w:wordWrap/>
        <w:topLinePunct w:val="0"/>
        <w:bidi w:val="0"/>
        <w:adjustRightInd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：按照国家级省市政策要求。 </w:t>
      </w:r>
    </w:p>
    <w:p w14:paraId="45BB835F">
      <w:pPr>
        <w:pageBreakBefore w:val="0"/>
        <w:kinsoku/>
        <w:wordWrap/>
        <w:topLinePunct w:val="0"/>
        <w:bidi w:val="0"/>
        <w:adjustRightInd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国家法律、法规、规章和政策发生变化及由政府定价或政府指导价管理的原材料等价格风险由发包人承担。</w:t>
      </w:r>
    </w:p>
    <w:p w14:paraId="087A2DCE">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12.2 预付款</w:t>
      </w:r>
    </w:p>
    <w:bookmarkEnd w:id="440"/>
    <w:bookmarkEnd w:id="441"/>
    <w:bookmarkEnd w:id="442"/>
    <w:bookmarkEnd w:id="443"/>
    <w:bookmarkEnd w:id="444"/>
    <w:bookmarkEnd w:id="445"/>
    <w:p w14:paraId="565028C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12.2.1 预付款的支付</w:t>
      </w:r>
    </w:p>
    <w:p w14:paraId="632CEFF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预付款支付比例或金额：</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2E34E55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预付款支付期限：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09273B9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预付款扣回的方式：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4E2BB29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12.2.2 预付款担保</w:t>
      </w:r>
    </w:p>
    <w:p w14:paraId="0C1EB6B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承包人提交预付款担保的期限：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8A8D1C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预付款担保的形式为：</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bookmarkEnd w:id="446"/>
    <w:bookmarkEnd w:id="447"/>
    <w:bookmarkEnd w:id="448"/>
    <w:bookmarkEnd w:id="449"/>
    <w:bookmarkEnd w:id="450"/>
    <w:bookmarkEnd w:id="451"/>
    <w:bookmarkEnd w:id="452"/>
    <w:bookmarkEnd w:id="453"/>
    <w:bookmarkEnd w:id="454"/>
    <w:bookmarkEnd w:id="455"/>
    <w:p w14:paraId="0F2E17F8">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12.3 计量</w:t>
      </w:r>
    </w:p>
    <w:p w14:paraId="7AFBC6B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12.3.1 计量原则</w:t>
      </w:r>
    </w:p>
    <w:p w14:paraId="76154E1E">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rPr>
      </w:pPr>
      <w:r>
        <w:rPr>
          <w:rFonts w:hint="eastAsia" w:cs="宋体"/>
          <w:color w:val="auto"/>
          <w:sz w:val="21"/>
          <w:szCs w:val="21"/>
          <w:highlight w:val="none"/>
        </w:rPr>
        <w:t>工程量计算规则：</w:t>
      </w:r>
      <w:r>
        <w:rPr>
          <w:rFonts w:hint="eastAsia" w:cs="宋体"/>
          <w:color w:val="auto"/>
          <w:sz w:val="21"/>
          <w:szCs w:val="21"/>
          <w:highlight w:val="none"/>
          <w:u w:val="single"/>
        </w:rPr>
        <w:t>按招标工程量清单及最高投标限价所采用的工程量清单计价规范及配套文件等</w:t>
      </w:r>
      <w:r>
        <w:rPr>
          <w:rFonts w:hint="eastAsia" w:cs="宋体"/>
          <w:b/>
          <w:color w:val="auto"/>
          <w:sz w:val="21"/>
          <w:szCs w:val="21"/>
          <w:highlight w:val="none"/>
        </w:rPr>
        <w:t>。</w:t>
      </w:r>
    </w:p>
    <w:p w14:paraId="14B1B4F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12.3.2 计量周期</w:t>
      </w:r>
    </w:p>
    <w:p w14:paraId="6124F25C">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rPr>
      </w:pPr>
      <w:r>
        <w:rPr>
          <w:rFonts w:hint="eastAsia" w:cs="宋体"/>
          <w:color w:val="auto"/>
          <w:sz w:val="21"/>
          <w:szCs w:val="21"/>
          <w:highlight w:val="none"/>
        </w:rPr>
        <w:t>关于计量周期的约定</w:t>
      </w:r>
      <w:r>
        <w:rPr>
          <w:rFonts w:hint="eastAsia" w:cs="宋体"/>
          <w:b/>
          <w:color w:val="auto"/>
          <w:sz w:val="21"/>
          <w:szCs w:val="21"/>
          <w:highlight w:val="none"/>
        </w:rPr>
        <w:t>：</w:t>
      </w:r>
      <w:r>
        <w:rPr>
          <w:rFonts w:hint="eastAsia" w:cs="宋体"/>
          <w:color w:val="auto"/>
          <w:sz w:val="21"/>
          <w:szCs w:val="21"/>
          <w:highlight w:val="none"/>
          <w:u w:val="single"/>
        </w:rPr>
        <w:t xml:space="preserve">见《专用合同条款数据表》 </w:t>
      </w:r>
      <w:r>
        <w:rPr>
          <w:rFonts w:hint="eastAsia" w:cs="宋体"/>
          <w:b/>
          <w:color w:val="auto"/>
          <w:sz w:val="21"/>
          <w:szCs w:val="21"/>
          <w:highlight w:val="none"/>
        </w:rPr>
        <w:t>。</w:t>
      </w:r>
    </w:p>
    <w:p w14:paraId="080657A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12.3.3 单价合同的计量</w:t>
      </w:r>
    </w:p>
    <w:p w14:paraId="7BAA35A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关于单价合同计量的约定：</w:t>
      </w:r>
      <w:r>
        <w:rPr>
          <w:rFonts w:hint="eastAsia" w:cs="宋体"/>
          <w:color w:val="auto"/>
          <w:sz w:val="21"/>
          <w:szCs w:val="21"/>
          <w:highlight w:val="none"/>
          <w:u w:val="single"/>
        </w:rPr>
        <w:t xml:space="preserve">  </w:t>
      </w:r>
      <w:r>
        <w:rPr>
          <w:rFonts w:ascii="宋体" w:hAnsi="宋体" w:eastAsia="宋体" w:cs="宋体"/>
          <w:color w:val="auto"/>
          <w:spacing w:val="8"/>
          <w:sz w:val="19"/>
          <w:szCs w:val="19"/>
          <w:highlight w:val="none"/>
          <w:u w:val="single" w:color="auto"/>
        </w:rPr>
        <w:t>固定综合单价</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CE0568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12.3.4 总价合同的计量</w:t>
      </w:r>
    </w:p>
    <w:p w14:paraId="02615D6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关于总价合同计量的约定：</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不执行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528B906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12.3.5 总价合同采用支付分解表计量支付的，是否适用第12.3.4项〔总价合同的计量〕约定进行计量：</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不执行  </w:t>
      </w:r>
      <w:r>
        <w:rPr>
          <w:rFonts w:hint="eastAsia" w:cs="宋体"/>
          <w:b/>
          <w:color w:val="auto"/>
          <w:sz w:val="21"/>
          <w:szCs w:val="21"/>
          <w:highlight w:val="none"/>
        </w:rPr>
        <w:t>。</w:t>
      </w:r>
    </w:p>
    <w:p w14:paraId="6E06391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12.3.6 其他价格形式合同的计量</w:t>
      </w:r>
    </w:p>
    <w:p w14:paraId="3701CA46">
      <w:pPr>
        <w:pageBreakBefore w:val="0"/>
        <w:kinsoku/>
        <w:wordWrap/>
        <w:topLinePunct w:val="0"/>
        <w:bidi w:val="0"/>
        <w:adjustRightInd w:val="0"/>
        <w:snapToGrid w:val="0"/>
        <w:spacing w:beforeAutospacing="0" w:line="520" w:lineRule="exact"/>
        <w:ind w:firstLine="420" w:firstLineChars="200"/>
        <w:rPr>
          <w:rFonts w:hint="eastAsia" w:cs="宋体"/>
          <w:color w:val="auto"/>
          <w:sz w:val="21"/>
          <w:szCs w:val="21"/>
          <w:highlight w:val="none"/>
        </w:rPr>
      </w:pPr>
      <w:r>
        <w:rPr>
          <w:rFonts w:hint="eastAsia"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不执行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44C5138">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12.4 工程进度款支付</w:t>
      </w:r>
    </w:p>
    <w:p w14:paraId="22E26EE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bookmarkStart w:id="456" w:name="_Toc296346712"/>
      <w:bookmarkStart w:id="457" w:name="_Toc303539163"/>
      <w:bookmarkStart w:id="458" w:name="_Toc292559921"/>
      <w:bookmarkStart w:id="459" w:name="_Toc296347210"/>
      <w:bookmarkStart w:id="460" w:name="_Toc300935006"/>
      <w:bookmarkStart w:id="461" w:name="_Toc296503211"/>
      <w:bookmarkStart w:id="462" w:name="_Toc297123556"/>
      <w:bookmarkStart w:id="463" w:name="_Toc292559416"/>
      <w:bookmarkStart w:id="464" w:name="_Toc296944550"/>
      <w:bookmarkStart w:id="465" w:name="_Toc297048397"/>
      <w:bookmarkStart w:id="466" w:name="_Toc297216215"/>
      <w:bookmarkStart w:id="467" w:name="_Toc297120511"/>
      <w:bookmarkStart w:id="468" w:name="_Toc296891251"/>
      <w:bookmarkStart w:id="469" w:name="_Toc296891039"/>
      <w:r>
        <w:rPr>
          <w:rFonts w:hint="eastAsia" w:cs="宋体"/>
          <w:color w:val="auto"/>
          <w:sz w:val="21"/>
          <w:szCs w:val="21"/>
          <w:highlight w:val="none"/>
        </w:rPr>
        <w:t>12.4.1 付款周期</w:t>
      </w:r>
    </w:p>
    <w:p w14:paraId="4A1B7A0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关于付款周期的约定：</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615B812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12.4.2 进度付款申请单的编制</w:t>
      </w:r>
    </w:p>
    <w:p w14:paraId="5217E3B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关于进度付款申请单编制的约定：</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不执行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152522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rFonts w:hint="eastAsia" w:cs="宋体"/>
          <w:color w:val="auto"/>
          <w:sz w:val="21"/>
          <w:szCs w:val="21"/>
          <w:highlight w:val="none"/>
        </w:rPr>
        <w:t>2.4.3 进度付款申请单的提交</w:t>
      </w:r>
    </w:p>
    <w:p w14:paraId="6702468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（1）单价合同进度付款申请单提交的约定：</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不执行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215C6ED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（2）总价合同进度付款申请单提交的约定：</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不执行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FD2E50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（3）其他价格形式合同进度付款申请单提交的约定：</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不执行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4BA42B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12.4.4 进度款审核和支付</w:t>
      </w:r>
    </w:p>
    <w:p w14:paraId="7A82BC11">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u w:val="single"/>
        </w:rPr>
      </w:pPr>
      <w:r>
        <w:rPr>
          <w:rFonts w:hint="eastAsia" w:cs="宋体"/>
          <w:color w:val="auto"/>
          <w:sz w:val="21"/>
          <w:szCs w:val="21"/>
          <w:highlight w:val="none"/>
        </w:rPr>
        <w:t>（1）监理人审查并报送发包人的期限：</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执行通用条款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A16369D">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u w:val="single"/>
        </w:rPr>
      </w:pPr>
      <w:r>
        <w:rPr>
          <w:rFonts w:hint="eastAsia" w:cs="宋体"/>
          <w:color w:val="auto"/>
          <w:sz w:val="21"/>
          <w:szCs w:val="21"/>
          <w:highlight w:val="none"/>
        </w:rPr>
        <w:t>发包人完成审批并签发进度款支付证书的期限：</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FD7A4D0">
      <w:pPr>
        <w:pageBreakBefore w:val="0"/>
        <w:numPr>
          <w:ilvl w:val="0"/>
          <w:numId w:val="3"/>
        </w:numPr>
        <w:kinsoku/>
        <w:wordWrap/>
        <w:topLinePunct w:val="0"/>
        <w:bidi w:val="0"/>
        <w:adjustRightInd w:val="0"/>
        <w:snapToGrid w:val="0"/>
        <w:spacing w:beforeAutospacing="0" w:line="520" w:lineRule="exact"/>
        <w:ind w:firstLine="420" w:firstLineChars="200"/>
        <w:rPr>
          <w:rFonts w:hint="eastAsia" w:cs="宋体"/>
          <w:color w:val="auto"/>
          <w:sz w:val="21"/>
          <w:szCs w:val="21"/>
          <w:highlight w:val="none"/>
          <w:u w:val="single"/>
          <w:lang w:val="en-US" w:eastAsia="zh-CN"/>
        </w:rPr>
      </w:pPr>
      <w:r>
        <w:rPr>
          <w:rFonts w:hint="eastAsia" w:cs="宋体"/>
          <w:color w:val="auto"/>
          <w:sz w:val="21"/>
          <w:szCs w:val="21"/>
          <w:highlight w:val="none"/>
        </w:rPr>
        <w:t>发包人支付进度款的期限：</w:t>
      </w:r>
      <w:r>
        <w:rPr>
          <w:rFonts w:hint="eastAsia" w:cs="宋体"/>
          <w:color w:val="auto"/>
          <w:sz w:val="21"/>
          <w:szCs w:val="21"/>
          <w:highlight w:val="none"/>
          <w:u w:val="single"/>
          <w:lang w:val="en-US" w:eastAsia="zh-CN"/>
        </w:rPr>
        <w:t>签订合同并具备实施条件后5个工作日内支付合同总价的40%预付款（</w:t>
      </w:r>
      <w:r>
        <w:rPr>
          <w:rFonts w:hint="eastAsia" w:cs="宋体"/>
          <w:bCs/>
          <w:color w:val="auto"/>
          <w:sz w:val="21"/>
          <w:szCs w:val="21"/>
          <w:highlight w:val="none"/>
          <w:u w:val="single"/>
          <w:lang w:val="en-US" w:eastAsia="zh-CN"/>
        </w:rPr>
        <w:t>预付款取整到百，</w:t>
      </w:r>
      <w:r>
        <w:rPr>
          <w:rFonts w:hint="eastAsia" w:cs="宋体"/>
          <w:color w:val="auto"/>
          <w:sz w:val="21"/>
          <w:szCs w:val="21"/>
          <w:highlight w:val="none"/>
          <w:u w:val="single"/>
          <w:lang w:val="en-US" w:eastAsia="zh-CN"/>
        </w:rPr>
        <w:t>预付款支付前，承包人须提供同等金额的见索即付保函），</w:t>
      </w:r>
      <w:r>
        <w:rPr>
          <w:rFonts w:hint="eastAsia" w:cs="宋体"/>
          <w:color w:val="auto"/>
          <w:sz w:val="21"/>
          <w:szCs w:val="21"/>
          <w:highlight w:val="none"/>
          <w:u w:val="single"/>
          <w:lang w:val="en-US" w:eastAsia="zh-CN"/>
        </w:rPr>
        <w:t>项目完工并验收合格后，经过竣工结算审计，付至工程结算审计价款的 100%，</w:t>
      </w:r>
      <w:r>
        <w:rPr>
          <w:rFonts w:hint="eastAsia" w:cs="宋体"/>
          <w:color w:val="auto"/>
          <w:sz w:val="21"/>
          <w:szCs w:val="21"/>
          <w:highlight w:val="none"/>
          <w:u w:val="single"/>
        </w:rPr>
        <w:t>同时承包人须提交审计价的2%作为工程质量保证金</w:t>
      </w:r>
      <w:r>
        <w:rPr>
          <w:rFonts w:hint="eastAsia" w:cs="宋体"/>
          <w:color w:val="auto"/>
          <w:sz w:val="21"/>
          <w:szCs w:val="21"/>
          <w:highlight w:val="none"/>
          <w:u w:val="single"/>
          <w:lang w:eastAsia="zh-CN"/>
        </w:rPr>
        <w:t>（</w:t>
      </w:r>
      <w:r>
        <w:rPr>
          <w:rFonts w:hint="eastAsia" w:cs="宋体"/>
          <w:color w:val="auto"/>
          <w:sz w:val="21"/>
          <w:szCs w:val="21"/>
          <w:highlight w:val="none"/>
          <w:u w:val="single"/>
          <w:lang w:val="en-US" w:eastAsia="zh-CN"/>
        </w:rPr>
        <w:t>取整到个位</w:t>
      </w:r>
      <w:r>
        <w:rPr>
          <w:rFonts w:hint="eastAsia" w:cs="宋体"/>
          <w:color w:val="auto"/>
          <w:sz w:val="21"/>
          <w:szCs w:val="21"/>
          <w:highlight w:val="none"/>
          <w:u w:val="single"/>
        </w:rPr>
        <w:t>，质保期自验收合格之日起</w:t>
      </w:r>
      <w:r>
        <w:rPr>
          <w:rFonts w:hint="eastAsia" w:cs="宋体"/>
          <w:color w:val="auto"/>
          <w:sz w:val="21"/>
          <w:szCs w:val="21"/>
          <w:highlight w:val="none"/>
          <w:u w:val="single"/>
          <w:lang w:val="en-US" w:eastAsia="zh-CN"/>
        </w:rPr>
        <w:t xml:space="preserve">    年。具体以成交人承诺年限为准</w:t>
      </w:r>
      <w:r>
        <w:rPr>
          <w:rFonts w:hint="eastAsia" w:cs="宋体"/>
          <w:color w:val="auto"/>
          <w:sz w:val="21"/>
          <w:szCs w:val="21"/>
          <w:highlight w:val="none"/>
          <w:u w:val="single"/>
          <w:lang w:eastAsia="zh-CN"/>
        </w:rPr>
        <w:t>）</w:t>
      </w:r>
      <w:r>
        <w:rPr>
          <w:rFonts w:hint="eastAsia" w:cs="宋体"/>
          <w:color w:val="auto"/>
          <w:sz w:val="21"/>
          <w:szCs w:val="21"/>
          <w:highlight w:val="none"/>
          <w:u w:val="single"/>
        </w:rPr>
        <w:t>至</w:t>
      </w:r>
      <w:r>
        <w:rPr>
          <w:rFonts w:hint="eastAsia" w:cs="宋体"/>
          <w:color w:val="auto"/>
          <w:sz w:val="21"/>
          <w:szCs w:val="21"/>
          <w:highlight w:val="none"/>
          <w:u w:val="single"/>
          <w:lang w:val="en-US" w:eastAsia="zh-CN"/>
        </w:rPr>
        <w:t>发包人</w:t>
      </w:r>
      <w:r>
        <w:rPr>
          <w:rFonts w:hint="eastAsia" w:cs="宋体"/>
          <w:color w:val="auto"/>
          <w:sz w:val="21"/>
          <w:szCs w:val="21"/>
          <w:highlight w:val="none"/>
          <w:u w:val="single"/>
        </w:rPr>
        <w:t>处。质量保证金支持保函（银行保函、担保机构担保、保证保险）使用，保函有效期须与工程缺陷责任期截止时间保持一</w:t>
      </w:r>
      <w:r>
        <w:rPr>
          <w:rFonts w:hint="eastAsia" w:cs="宋体"/>
          <w:color w:val="auto"/>
          <w:sz w:val="21"/>
          <w:szCs w:val="21"/>
          <w:highlight w:val="none"/>
          <w:u w:val="single"/>
        </w:rPr>
        <w:t>致。</w:t>
      </w:r>
    </w:p>
    <w:p w14:paraId="49F91B3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发包人逾期支付进度款的违约金的计算方式</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不采用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802C9F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12.4.6 支付分解表的编制</w:t>
      </w:r>
    </w:p>
    <w:p w14:paraId="1A58D2B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（2）总价合同支付分解表的编制与审批：</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不执行</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62A551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（3）单价合同的总价项目支付分解表的编制与审批：</w:t>
      </w:r>
      <w:r>
        <w:rPr>
          <w:rFonts w:hint="eastAsia" w:cs="宋体"/>
          <w:color w:val="auto"/>
          <w:sz w:val="21"/>
          <w:szCs w:val="21"/>
          <w:highlight w:val="none"/>
          <w:u w:val="single"/>
        </w:rPr>
        <w:t xml:space="preserve">  /  </w:t>
      </w:r>
      <w:r>
        <w:rPr>
          <w:rFonts w:hint="eastAsia" w:cs="宋体"/>
          <w:color w:val="auto"/>
          <w:sz w:val="21"/>
          <w:szCs w:val="21"/>
          <w:highlight w:val="none"/>
        </w:rPr>
        <w:t>。</w:t>
      </w:r>
    </w:p>
    <w:p w14:paraId="316CC165">
      <w:pPr>
        <w:pageBreakBefore w:val="0"/>
        <w:kinsoku/>
        <w:wordWrap/>
        <w:topLinePunct w:val="0"/>
        <w:bidi w:val="0"/>
        <w:adjustRightInd w:val="0"/>
        <w:snapToGrid w:val="0"/>
        <w:spacing w:beforeAutospacing="0" w:line="520" w:lineRule="exact"/>
        <w:ind w:firstLine="420" w:firstLineChars="200"/>
        <w:rPr>
          <w:rFonts w:cs="宋体"/>
          <w:bCs/>
          <w:color w:val="auto"/>
          <w:sz w:val="21"/>
          <w:szCs w:val="21"/>
          <w:highlight w:val="none"/>
        </w:rPr>
      </w:pPr>
      <w:r>
        <w:rPr>
          <w:rFonts w:hint="eastAsia" w:cs="宋体"/>
          <w:bCs/>
          <w:color w:val="auto"/>
          <w:sz w:val="21"/>
          <w:szCs w:val="21"/>
          <w:highlight w:val="none"/>
        </w:rPr>
        <w:t>12.4.7 农民工工资管理</w:t>
      </w:r>
    </w:p>
    <w:p w14:paraId="4CF06BF4">
      <w:pPr>
        <w:pageBreakBefore w:val="0"/>
        <w:kinsoku/>
        <w:wordWrap/>
        <w:topLinePunct w:val="0"/>
        <w:bidi w:val="0"/>
        <w:adjustRightInd w:val="0"/>
        <w:snapToGrid w:val="0"/>
        <w:spacing w:beforeAutospacing="0" w:line="520" w:lineRule="exact"/>
        <w:ind w:firstLine="420" w:firstLineChars="200"/>
        <w:rPr>
          <w:rFonts w:cs="宋体"/>
          <w:bCs/>
          <w:color w:val="auto"/>
          <w:sz w:val="21"/>
          <w:szCs w:val="21"/>
          <w:highlight w:val="none"/>
        </w:rPr>
      </w:pPr>
      <w:r>
        <w:rPr>
          <w:rFonts w:hint="eastAsia" w:cs="宋体"/>
          <w:color w:val="auto"/>
          <w:sz w:val="21"/>
          <w:szCs w:val="21"/>
          <w:highlight w:val="none"/>
        </w:rPr>
        <w:t>（1）</w:t>
      </w:r>
      <w:r>
        <w:rPr>
          <w:rFonts w:hint="eastAsia" w:cs="宋体"/>
          <w:bCs/>
          <w:color w:val="auto"/>
          <w:sz w:val="21"/>
          <w:szCs w:val="21"/>
          <w:highlight w:val="none"/>
        </w:rPr>
        <w:t>本工程农民工工资实行专用账户管理，承包人设立的专用账户开户行为</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，账号：</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w:t>
      </w:r>
    </w:p>
    <w:p w14:paraId="2365EEC9">
      <w:pPr>
        <w:pageBreakBefore w:val="0"/>
        <w:kinsoku/>
        <w:wordWrap/>
        <w:topLinePunct w:val="0"/>
        <w:bidi w:val="0"/>
        <w:adjustRightInd w:val="0"/>
        <w:snapToGrid w:val="0"/>
        <w:spacing w:beforeAutospacing="0" w:line="520" w:lineRule="exact"/>
        <w:ind w:firstLine="420" w:firstLineChars="200"/>
        <w:rPr>
          <w:rFonts w:cs="宋体"/>
          <w:bCs/>
          <w:color w:val="auto"/>
          <w:sz w:val="21"/>
          <w:szCs w:val="21"/>
          <w:highlight w:val="none"/>
        </w:rPr>
      </w:pPr>
      <w:r>
        <w:rPr>
          <w:rFonts w:hint="eastAsia" w:cs="宋体"/>
          <w:color w:val="auto"/>
          <w:sz w:val="21"/>
          <w:szCs w:val="21"/>
          <w:highlight w:val="none"/>
        </w:rPr>
        <w:t>（2）</w:t>
      </w:r>
      <w:r>
        <w:rPr>
          <w:rFonts w:hint="eastAsia" w:cs="宋体"/>
          <w:bCs/>
          <w:color w:val="auto"/>
          <w:sz w:val="21"/>
          <w:szCs w:val="21"/>
          <w:highlight w:val="none"/>
        </w:rPr>
        <w:t>本工程工资性工程款</w:t>
      </w:r>
      <w:r>
        <w:rPr>
          <w:rFonts w:hint="eastAsia" w:cs="宋体"/>
          <w:bCs/>
          <w:color w:val="auto"/>
          <w:sz w:val="21"/>
          <w:szCs w:val="21"/>
          <w:highlight w:val="none"/>
          <w:u w:val="single"/>
        </w:rPr>
        <w:t xml:space="preserve">    </w:t>
      </w:r>
      <w:r>
        <w:rPr>
          <w:rFonts w:hint="eastAsia" w:cs="宋体"/>
          <w:bCs/>
          <w:color w:val="auto"/>
          <w:sz w:val="21"/>
          <w:szCs w:val="21"/>
          <w:highlight w:val="none"/>
          <w:u w:val="single"/>
          <w:lang w:val="en-US" w:eastAsia="zh-CN"/>
        </w:rPr>
        <w:t>/</w:t>
      </w:r>
      <w:r>
        <w:rPr>
          <w:rFonts w:hint="eastAsia" w:cs="宋体"/>
          <w:bCs/>
          <w:color w:val="auto"/>
          <w:sz w:val="21"/>
          <w:szCs w:val="21"/>
          <w:highlight w:val="none"/>
          <w:u w:val="single"/>
        </w:rPr>
        <w:t xml:space="preserve">     </w:t>
      </w:r>
      <w:r>
        <w:rPr>
          <w:rFonts w:hint="eastAsia" w:cs="宋体"/>
          <w:bCs/>
          <w:color w:val="auto"/>
          <w:sz w:val="21"/>
          <w:szCs w:val="21"/>
          <w:highlight w:val="none"/>
        </w:rPr>
        <w:t>元。</w:t>
      </w:r>
    </w:p>
    <w:p w14:paraId="4402E9D5">
      <w:pPr>
        <w:pageBreakBefore w:val="0"/>
        <w:kinsoku/>
        <w:wordWrap/>
        <w:topLinePunct w:val="0"/>
        <w:bidi w:val="0"/>
        <w:adjustRightInd w:val="0"/>
        <w:snapToGrid w:val="0"/>
        <w:spacing w:beforeAutospacing="0" w:line="520" w:lineRule="exact"/>
        <w:ind w:firstLine="420" w:firstLineChars="200"/>
        <w:rPr>
          <w:rFonts w:cs="宋体"/>
          <w:bCs/>
          <w:color w:val="auto"/>
          <w:sz w:val="21"/>
          <w:szCs w:val="21"/>
          <w:highlight w:val="none"/>
        </w:rPr>
      </w:pPr>
      <w:r>
        <w:rPr>
          <w:rFonts w:hint="eastAsia" w:cs="宋体"/>
          <w:color w:val="auto"/>
          <w:sz w:val="21"/>
          <w:szCs w:val="21"/>
          <w:highlight w:val="none"/>
        </w:rPr>
        <w:t>（3）</w:t>
      </w:r>
      <w:r>
        <w:rPr>
          <w:rFonts w:hint="eastAsia" w:cs="宋体"/>
          <w:bCs/>
          <w:color w:val="auto"/>
          <w:sz w:val="21"/>
          <w:szCs w:val="21"/>
          <w:highlight w:val="none"/>
        </w:rPr>
        <w:t>发包人于每月</w:t>
      </w:r>
      <w:r>
        <w:rPr>
          <w:rFonts w:hint="eastAsia" w:cs="宋体"/>
          <w:bCs/>
          <w:color w:val="auto"/>
          <w:sz w:val="21"/>
          <w:szCs w:val="21"/>
          <w:highlight w:val="none"/>
          <w:u w:val="single"/>
          <w:lang w:val="en-US" w:eastAsia="zh-CN"/>
        </w:rPr>
        <w:t>/</w:t>
      </w:r>
      <w:r>
        <w:rPr>
          <w:rFonts w:hint="eastAsia" w:cs="宋体"/>
          <w:bCs/>
          <w:color w:val="auto"/>
          <w:sz w:val="21"/>
          <w:szCs w:val="21"/>
          <w:highlight w:val="none"/>
        </w:rPr>
        <w:t>日前将工资性工程进度款转入农民工工资专用账户。</w:t>
      </w:r>
    </w:p>
    <w:p w14:paraId="7693944D">
      <w:pPr>
        <w:pageBreakBefore w:val="0"/>
        <w:kinsoku/>
        <w:wordWrap/>
        <w:topLinePunct w:val="0"/>
        <w:bidi w:val="0"/>
        <w:adjustRightInd w:val="0"/>
        <w:snapToGrid w:val="0"/>
        <w:spacing w:beforeAutospacing="0" w:line="520" w:lineRule="exact"/>
        <w:ind w:firstLine="420" w:firstLineChars="200"/>
        <w:rPr>
          <w:rFonts w:cs="宋体"/>
          <w:bCs/>
          <w:color w:val="auto"/>
          <w:sz w:val="21"/>
          <w:szCs w:val="21"/>
          <w:highlight w:val="none"/>
        </w:rPr>
      </w:pPr>
      <w:r>
        <w:rPr>
          <w:rFonts w:hint="eastAsia" w:cs="宋体"/>
          <w:color w:val="auto"/>
          <w:sz w:val="21"/>
          <w:szCs w:val="21"/>
          <w:highlight w:val="none"/>
        </w:rPr>
        <w:t>（4）</w:t>
      </w:r>
      <w:r>
        <w:rPr>
          <w:rFonts w:hint="eastAsia" w:cs="宋体"/>
          <w:bCs/>
          <w:color w:val="auto"/>
          <w:sz w:val="21"/>
          <w:szCs w:val="21"/>
          <w:highlight w:val="none"/>
        </w:rPr>
        <w:t>承包人每月</w:t>
      </w:r>
      <w:r>
        <w:rPr>
          <w:rFonts w:hint="eastAsia" w:cs="宋体"/>
          <w:bCs/>
          <w:color w:val="auto"/>
          <w:sz w:val="21"/>
          <w:szCs w:val="21"/>
          <w:highlight w:val="none"/>
          <w:u w:val="single"/>
          <w:lang w:val="en-US" w:eastAsia="zh-CN"/>
        </w:rPr>
        <w:t>/</w:t>
      </w:r>
      <w:r>
        <w:rPr>
          <w:rFonts w:hint="eastAsia" w:cs="宋体"/>
          <w:bCs/>
          <w:color w:val="auto"/>
          <w:sz w:val="21"/>
          <w:szCs w:val="21"/>
          <w:highlight w:val="none"/>
        </w:rPr>
        <w:t>日前上报本工程农民工工资清单，每月</w:t>
      </w:r>
      <w:r>
        <w:rPr>
          <w:rFonts w:hint="eastAsia" w:cs="宋体"/>
          <w:bCs/>
          <w:color w:val="auto"/>
          <w:sz w:val="21"/>
          <w:szCs w:val="21"/>
          <w:highlight w:val="none"/>
          <w:u w:val="single"/>
          <w:lang w:val="en-US" w:eastAsia="zh-CN"/>
        </w:rPr>
        <w:t>/</w:t>
      </w:r>
      <w:r>
        <w:rPr>
          <w:rFonts w:hint="eastAsia" w:cs="宋体"/>
          <w:bCs/>
          <w:color w:val="auto"/>
          <w:sz w:val="21"/>
          <w:szCs w:val="21"/>
          <w:highlight w:val="none"/>
        </w:rPr>
        <w:t>日前委托开设农民工工资专用账户的银行支付农民工工资。</w:t>
      </w:r>
    </w:p>
    <w:p w14:paraId="35EEE4E9">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rPr>
      </w:pPr>
      <w:r>
        <w:rPr>
          <w:rFonts w:hint="eastAsia" w:cs="宋体"/>
          <w:color w:val="auto"/>
          <w:sz w:val="21"/>
          <w:szCs w:val="21"/>
          <w:highlight w:val="none"/>
        </w:rPr>
        <w:t>（5）</w:t>
      </w:r>
      <w:r>
        <w:rPr>
          <w:rFonts w:hint="eastAsia" w:cs="宋体"/>
          <w:bCs/>
          <w:color w:val="auto"/>
          <w:sz w:val="21"/>
          <w:szCs w:val="21"/>
          <w:highlight w:val="none"/>
        </w:rPr>
        <w:t>工程竣工后，经项目部农民工维权组确认无农民工工资拖欠后，发、承双方办理农民工工资专用账户撤销手续，农民工工资专用账户余额划至本合同约定的承包人账户。</w:t>
      </w:r>
    </w:p>
    <w:bookmarkEnd w:id="337"/>
    <w:p w14:paraId="1A865723">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470" w:name="_Toc351203645"/>
      <w:bookmarkStart w:id="471" w:name="_Toc296347218"/>
      <w:bookmarkStart w:id="472" w:name="_Toc292559929"/>
      <w:bookmarkStart w:id="473" w:name="_Toc292559424"/>
      <w:bookmarkStart w:id="474" w:name="_Toc296891259"/>
      <w:bookmarkStart w:id="475" w:name="_Toc297216223"/>
      <w:bookmarkStart w:id="476" w:name="_Toc297048405"/>
      <w:bookmarkStart w:id="477" w:name="_Toc296891047"/>
      <w:bookmarkStart w:id="478" w:name="_Toc297120519"/>
      <w:bookmarkStart w:id="479" w:name="_Toc303539172"/>
      <w:bookmarkStart w:id="480" w:name="_Toc297123564"/>
      <w:bookmarkStart w:id="481" w:name="_Toc300935015"/>
      <w:bookmarkStart w:id="482" w:name="_Toc304295593"/>
      <w:bookmarkStart w:id="483" w:name="_Toc312678053"/>
      <w:bookmarkStart w:id="484" w:name="_Toc296346720"/>
      <w:bookmarkStart w:id="485" w:name="_Toc296503219"/>
      <w:bookmarkStart w:id="486" w:name="_Toc296944558"/>
      <w:r>
        <w:rPr>
          <w:rFonts w:hint="eastAsia" w:cs="宋体"/>
          <w:color w:val="auto"/>
          <w:sz w:val="21"/>
          <w:szCs w:val="21"/>
          <w:highlight w:val="none"/>
        </w:rPr>
        <w:t>13. 验收和工程试车</w:t>
      </w:r>
      <w:bookmarkEnd w:id="470"/>
    </w:p>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14:paraId="52E6B7F3">
      <w:pPr>
        <w:keepNext/>
        <w:keepLines/>
        <w:pageBreakBefore w:val="0"/>
        <w:kinsoku/>
        <w:wordWrap/>
        <w:topLinePunct w:val="0"/>
        <w:bidi w:val="0"/>
        <w:snapToGrid w:val="0"/>
        <w:spacing w:beforeAutospacing="0" w:line="520" w:lineRule="exact"/>
        <w:jc w:val="left"/>
        <w:outlineLvl w:val="2"/>
        <w:rPr>
          <w:rFonts w:cs="宋体"/>
          <w:bCs/>
          <w:color w:val="auto"/>
          <w:sz w:val="21"/>
          <w:szCs w:val="21"/>
          <w:highlight w:val="none"/>
        </w:rPr>
      </w:pPr>
      <w:r>
        <w:rPr>
          <w:rFonts w:hint="eastAsia" w:cs="宋体"/>
          <w:bCs/>
          <w:color w:val="auto"/>
          <w:sz w:val="21"/>
          <w:szCs w:val="21"/>
          <w:highlight w:val="none"/>
        </w:rPr>
        <w:t>13.1 分部分项工程验收</w:t>
      </w:r>
    </w:p>
    <w:p w14:paraId="47F29D3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13.1.2 监理人不能按时进行验收时，应提前</w:t>
      </w:r>
      <w:r>
        <w:rPr>
          <w:rFonts w:hint="eastAsia" w:cs="宋体"/>
          <w:color w:val="auto"/>
          <w:sz w:val="21"/>
          <w:szCs w:val="21"/>
          <w:highlight w:val="none"/>
          <w:u w:val="single"/>
        </w:rPr>
        <w:t>24</w:t>
      </w:r>
      <w:r>
        <w:rPr>
          <w:rFonts w:hint="eastAsia" w:cs="宋体"/>
          <w:color w:val="auto"/>
          <w:sz w:val="21"/>
          <w:szCs w:val="21"/>
          <w:highlight w:val="none"/>
        </w:rPr>
        <w:t>小时提交书面延期要求。</w:t>
      </w:r>
    </w:p>
    <w:p w14:paraId="278C3510">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rPr>
      </w:pPr>
      <w:r>
        <w:rPr>
          <w:rFonts w:hint="eastAsia" w:cs="宋体"/>
          <w:color w:val="auto"/>
          <w:sz w:val="21"/>
          <w:szCs w:val="21"/>
          <w:highlight w:val="none"/>
        </w:rPr>
        <w:t>关于延期最长不得超过：</w:t>
      </w:r>
      <w:r>
        <w:rPr>
          <w:rFonts w:hint="eastAsia" w:cs="宋体"/>
          <w:color w:val="auto"/>
          <w:sz w:val="21"/>
          <w:szCs w:val="21"/>
          <w:highlight w:val="none"/>
          <w:u w:val="single"/>
        </w:rPr>
        <w:t>48</w:t>
      </w:r>
      <w:r>
        <w:rPr>
          <w:rFonts w:hint="eastAsia" w:cs="宋体"/>
          <w:color w:val="auto"/>
          <w:sz w:val="21"/>
          <w:szCs w:val="21"/>
          <w:highlight w:val="none"/>
        </w:rPr>
        <w:t>小时。</w:t>
      </w:r>
    </w:p>
    <w:p w14:paraId="5182D44D">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bookmarkStart w:id="487" w:name="_Toc297123565"/>
      <w:bookmarkStart w:id="488" w:name="_Toc296347222"/>
      <w:bookmarkStart w:id="489" w:name="_Toc312678056"/>
      <w:bookmarkStart w:id="490" w:name="_Toc297048409"/>
      <w:bookmarkStart w:id="491" w:name="_Toc296503223"/>
      <w:bookmarkStart w:id="492" w:name="_Toc303539173"/>
      <w:bookmarkStart w:id="493" w:name="_Toc296944562"/>
      <w:bookmarkStart w:id="494" w:name="_Toc296346724"/>
      <w:bookmarkStart w:id="495" w:name="_Toc296891263"/>
      <w:bookmarkStart w:id="496" w:name="_Toc297120523"/>
      <w:bookmarkStart w:id="497" w:name="_Toc292559428"/>
      <w:bookmarkStart w:id="498" w:name="_Toc297216224"/>
      <w:bookmarkStart w:id="499" w:name="_Toc296891051"/>
      <w:bookmarkStart w:id="500" w:name="_Toc292559933"/>
      <w:bookmarkStart w:id="501" w:name="_Toc304295596"/>
      <w:bookmarkStart w:id="502" w:name="_Toc300935016"/>
      <w:bookmarkStart w:id="503" w:name="_Toc267251470"/>
      <w:bookmarkStart w:id="504" w:name="_Toc267251472"/>
      <w:bookmarkStart w:id="505" w:name="_Toc267251475"/>
      <w:bookmarkStart w:id="506" w:name="_Toc267251476"/>
      <w:bookmarkStart w:id="507" w:name="_Toc267251473"/>
      <w:bookmarkStart w:id="508" w:name="_Toc267251471"/>
      <w:bookmarkStart w:id="509" w:name="_Toc267251474"/>
      <w:r>
        <w:rPr>
          <w:rFonts w:hint="eastAsia" w:cs="宋体"/>
          <w:bCs/>
          <w:color w:val="auto"/>
          <w:sz w:val="21"/>
          <w:szCs w:val="21"/>
          <w:highlight w:val="none"/>
        </w:rPr>
        <w:t>13.2 竣工验收</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3D0BAAD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bookmarkStart w:id="510" w:name="_Toc280868704"/>
      <w:bookmarkStart w:id="511" w:name="_Toc280868705"/>
      <w:bookmarkStart w:id="512" w:name="_Toc280868706"/>
      <w:bookmarkStart w:id="513" w:name="_Toc280868707"/>
      <w:bookmarkStart w:id="514" w:name="_Toc280868708"/>
      <w:bookmarkStart w:id="515" w:name="_Toc280868709"/>
      <w:r>
        <w:rPr>
          <w:rFonts w:hint="eastAsia" w:cs="宋体"/>
          <w:color w:val="auto"/>
          <w:sz w:val="21"/>
          <w:szCs w:val="21"/>
          <w:highlight w:val="none"/>
        </w:rPr>
        <w:t>13.2.2 竣工验收程序</w:t>
      </w:r>
    </w:p>
    <w:bookmarkEnd w:id="510"/>
    <w:p w14:paraId="281A0E4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关于竣工验收程序的约定：</w:t>
      </w:r>
      <w:r>
        <w:rPr>
          <w:rFonts w:hint="eastAsia" w:cs="宋体"/>
          <w:color w:val="auto"/>
          <w:sz w:val="21"/>
          <w:szCs w:val="21"/>
          <w:highlight w:val="none"/>
          <w:u w:val="single"/>
        </w:rPr>
        <w:t>执行通用条款</w:t>
      </w:r>
      <w:r>
        <w:rPr>
          <w:rFonts w:hint="eastAsia" w:cs="宋体"/>
          <w:color w:val="auto"/>
          <w:sz w:val="21"/>
          <w:szCs w:val="21"/>
          <w:highlight w:val="none"/>
        </w:rPr>
        <w:t>。</w:t>
      </w:r>
    </w:p>
    <w:p w14:paraId="47B04F2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发包人不按照本项约定组织竣工验收、颁发工程接收证书的违约金的计算方法：</w:t>
      </w:r>
      <w:r>
        <w:rPr>
          <w:rFonts w:hint="eastAsia" w:cs="宋体"/>
          <w:color w:val="auto"/>
          <w:sz w:val="21"/>
          <w:szCs w:val="21"/>
          <w:highlight w:val="none"/>
          <w:u w:val="single"/>
        </w:rPr>
        <w:t>执行通用条款</w:t>
      </w:r>
      <w:r>
        <w:rPr>
          <w:rFonts w:hint="eastAsia" w:cs="宋体"/>
          <w:color w:val="auto"/>
          <w:sz w:val="21"/>
          <w:szCs w:val="21"/>
          <w:highlight w:val="none"/>
        </w:rPr>
        <w:t>。</w:t>
      </w:r>
    </w:p>
    <w:bookmarkEnd w:id="511"/>
    <w:p w14:paraId="45F2C0C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13.2.5 移交、接收全部与部分工程</w:t>
      </w:r>
    </w:p>
    <w:bookmarkEnd w:id="512"/>
    <w:p w14:paraId="008E587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承包人向发包人移交工程的期限：</w:t>
      </w:r>
      <w:r>
        <w:rPr>
          <w:rFonts w:hint="eastAsia" w:cs="宋体"/>
          <w:color w:val="auto"/>
          <w:sz w:val="21"/>
          <w:szCs w:val="21"/>
          <w:highlight w:val="none"/>
          <w:u w:val="single"/>
          <w:lang w:val="en-US" w:eastAsia="zh-CN"/>
        </w:rPr>
        <w:t>竣工验收合格</w:t>
      </w:r>
      <w:r>
        <w:rPr>
          <w:rFonts w:hint="eastAsia" w:cs="宋体"/>
          <w:color w:val="auto"/>
          <w:sz w:val="21"/>
          <w:szCs w:val="21"/>
          <w:highlight w:val="none"/>
          <w:u w:val="single"/>
        </w:rPr>
        <w:t>后7天内完成工程的移交</w:t>
      </w:r>
      <w:r>
        <w:rPr>
          <w:rFonts w:hint="eastAsia" w:cs="宋体"/>
          <w:color w:val="auto"/>
          <w:sz w:val="21"/>
          <w:szCs w:val="21"/>
          <w:highlight w:val="none"/>
        </w:rPr>
        <w:t>。</w:t>
      </w:r>
    </w:p>
    <w:p w14:paraId="0371120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发包人未按本合同约定接收全部或部分工程的，违约金的计算方法为：</w:t>
      </w:r>
      <w:r>
        <w:rPr>
          <w:rFonts w:hint="eastAsia" w:cs="宋体"/>
          <w:color w:val="auto"/>
          <w:sz w:val="21"/>
          <w:szCs w:val="21"/>
          <w:highlight w:val="none"/>
          <w:u w:val="single"/>
          <w:lang w:val="en-US" w:eastAsia="zh-CN"/>
        </w:rPr>
        <w:t>不考虑</w:t>
      </w:r>
      <w:r>
        <w:rPr>
          <w:rFonts w:hint="eastAsia" w:cs="宋体"/>
          <w:color w:val="auto"/>
          <w:sz w:val="21"/>
          <w:szCs w:val="21"/>
          <w:highlight w:val="none"/>
        </w:rPr>
        <w:t>。</w:t>
      </w:r>
    </w:p>
    <w:bookmarkEnd w:id="513"/>
    <w:p w14:paraId="08765833">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u w:val="single"/>
        </w:rPr>
      </w:pPr>
      <w:r>
        <w:rPr>
          <w:rFonts w:hint="eastAsia"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暂停工程款支付；承包人承担工程照管、成品保护、保管等与工程有关的各项费用 </w:t>
      </w:r>
      <w:r>
        <w:rPr>
          <w:rFonts w:hint="eastAsia" w:ascii="宋体" w:hAnsi="宋体" w:eastAsia="宋体" w:cs="宋体"/>
          <w:color w:val="auto"/>
          <w:sz w:val="21"/>
          <w:szCs w:val="21"/>
          <w:highlight w:val="none"/>
        </w:rPr>
        <w:t>。</w:t>
      </w:r>
    </w:p>
    <w:p w14:paraId="0BAA5CF3">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13.3 工程试车</w:t>
      </w:r>
    </w:p>
    <w:bookmarkEnd w:id="514"/>
    <w:p w14:paraId="678FDE8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13.3.1 试车程序</w:t>
      </w:r>
    </w:p>
    <w:p w14:paraId="5A194B53">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工程试车内容：</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配电线路带符合运转，无条件配合空调安装项目的调试，并由此承担自身过失责任</w:t>
      </w:r>
      <w:r>
        <w:rPr>
          <w:rFonts w:hint="eastAsia" w:cs="宋体"/>
          <w:color w:val="auto"/>
          <w:sz w:val="21"/>
          <w:szCs w:val="21"/>
          <w:highlight w:val="none"/>
        </w:rPr>
        <w:t>。</w:t>
      </w:r>
    </w:p>
    <w:p w14:paraId="3D8F3D2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（1）单机无负荷试车费用由</w:t>
      </w:r>
      <w:r>
        <w:rPr>
          <w:rFonts w:hint="eastAsia" w:ascii="宋体" w:hAnsi="宋体" w:eastAsia="宋体" w:cs="宋体"/>
          <w:color w:val="auto"/>
          <w:sz w:val="21"/>
          <w:szCs w:val="21"/>
          <w:highlight w:val="none"/>
          <w:u w:val="single"/>
        </w:rPr>
        <w:t>承包人</w:t>
      </w:r>
      <w:r>
        <w:rPr>
          <w:rFonts w:hint="eastAsia" w:cs="宋体"/>
          <w:color w:val="auto"/>
          <w:sz w:val="21"/>
          <w:szCs w:val="21"/>
          <w:highlight w:val="none"/>
        </w:rPr>
        <w:t>承担；</w:t>
      </w:r>
    </w:p>
    <w:p w14:paraId="68316D9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（2）无负荷联动试车费用由</w:t>
      </w:r>
      <w:r>
        <w:rPr>
          <w:rFonts w:hint="eastAsia" w:ascii="宋体" w:hAnsi="宋体" w:eastAsia="宋体" w:cs="宋体"/>
          <w:color w:val="auto"/>
          <w:sz w:val="21"/>
          <w:szCs w:val="21"/>
          <w:highlight w:val="none"/>
          <w:u w:val="single"/>
        </w:rPr>
        <w:t>承包人</w:t>
      </w:r>
      <w:r>
        <w:rPr>
          <w:rFonts w:hint="eastAsia" w:cs="宋体"/>
          <w:color w:val="auto"/>
          <w:sz w:val="21"/>
          <w:szCs w:val="21"/>
          <w:highlight w:val="none"/>
        </w:rPr>
        <w:t>承担。</w:t>
      </w:r>
    </w:p>
    <w:p w14:paraId="3D4B2F7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13.3.3 投料试车</w:t>
      </w:r>
    </w:p>
    <w:p w14:paraId="731CB18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关于投料试车相关事项的约定：</w:t>
      </w:r>
      <w:r>
        <w:rPr>
          <w:rFonts w:hint="eastAsia" w:cs="宋体"/>
          <w:color w:val="auto"/>
          <w:sz w:val="21"/>
          <w:szCs w:val="21"/>
          <w:highlight w:val="none"/>
          <w:u w:val="single"/>
        </w:rPr>
        <w:t>执行通用条款</w:t>
      </w:r>
      <w:r>
        <w:rPr>
          <w:rFonts w:hint="eastAsia" w:cs="宋体"/>
          <w:color w:val="auto"/>
          <w:sz w:val="21"/>
          <w:szCs w:val="21"/>
          <w:highlight w:val="none"/>
        </w:rPr>
        <w:t>。</w:t>
      </w:r>
    </w:p>
    <w:p w14:paraId="7D1F95C6">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13.6 竣工退场</w:t>
      </w:r>
    </w:p>
    <w:p w14:paraId="201E909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13.6.1 竣工退场</w:t>
      </w:r>
    </w:p>
    <w:p w14:paraId="285EECD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竣工之日起15日内。</w:t>
      </w:r>
      <w:r>
        <w:rPr>
          <w:rFonts w:hint="eastAsia" w:cs="宋体"/>
          <w:color w:val="auto"/>
          <w:sz w:val="21"/>
          <w:szCs w:val="21"/>
          <w:highlight w:val="none"/>
        </w:rPr>
        <w:t>。</w:t>
      </w:r>
    </w:p>
    <w:p w14:paraId="7928B5C3">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516" w:name="_Toc351203646"/>
      <w:r>
        <w:rPr>
          <w:rFonts w:hint="eastAsia" w:cs="宋体"/>
          <w:color w:val="auto"/>
          <w:sz w:val="21"/>
          <w:szCs w:val="21"/>
          <w:highlight w:val="none"/>
        </w:rPr>
        <w:t>14. 竣工结算</w:t>
      </w:r>
      <w:bookmarkEnd w:id="516"/>
    </w:p>
    <w:p w14:paraId="3D3CD441">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14.1 竣工结算申请</w:t>
      </w:r>
    </w:p>
    <w:p w14:paraId="366992B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承包人提交竣工结算申请单的期限：</w:t>
      </w:r>
      <w:r>
        <w:rPr>
          <w:rFonts w:hint="eastAsia" w:cs="宋体"/>
          <w:color w:val="auto"/>
          <w:sz w:val="21"/>
          <w:szCs w:val="21"/>
          <w:highlight w:val="none"/>
          <w:u w:val="single"/>
        </w:rPr>
        <w:t>承包人应在工程竣工验收合格后</w:t>
      </w:r>
      <w:r>
        <w:rPr>
          <w:rFonts w:hint="eastAsia" w:cs="宋体"/>
          <w:color w:val="auto"/>
          <w:sz w:val="21"/>
          <w:szCs w:val="21"/>
          <w:highlight w:val="none"/>
          <w:u w:val="single"/>
          <w:lang w:val="en-US" w:eastAsia="zh-CN"/>
        </w:rPr>
        <w:t>10</w:t>
      </w:r>
      <w:r>
        <w:rPr>
          <w:rFonts w:hint="eastAsia" w:cs="宋体"/>
          <w:color w:val="auto"/>
          <w:sz w:val="21"/>
          <w:szCs w:val="21"/>
          <w:highlight w:val="none"/>
          <w:u w:val="single"/>
        </w:rPr>
        <w:t>天内</w:t>
      </w:r>
      <w:r>
        <w:rPr>
          <w:rFonts w:hint="eastAsia" w:cs="宋体"/>
          <w:color w:val="auto"/>
          <w:sz w:val="21"/>
          <w:szCs w:val="21"/>
          <w:highlight w:val="none"/>
        </w:rPr>
        <w:t>。</w:t>
      </w:r>
    </w:p>
    <w:p w14:paraId="5D6F508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竣工结算申请单应包括的内容：</w:t>
      </w:r>
      <w:r>
        <w:rPr>
          <w:rFonts w:hint="eastAsia" w:cs="宋体"/>
          <w:color w:val="auto"/>
          <w:sz w:val="21"/>
          <w:szCs w:val="21"/>
          <w:highlight w:val="none"/>
          <w:u w:val="single"/>
        </w:rPr>
        <w:t>执行通用条款</w:t>
      </w:r>
      <w:r>
        <w:rPr>
          <w:rFonts w:hint="eastAsia" w:cs="宋体"/>
          <w:color w:val="auto"/>
          <w:sz w:val="21"/>
          <w:szCs w:val="21"/>
          <w:highlight w:val="none"/>
        </w:rPr>
        <w:t>。</w:t>
      </w:r>
    </w:p>
    <w:p w14:paraId="26AA9B32">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14.2 竣工结算审核</w:t>
      </w:r>
    </w:p>
    <w:p w14:paraId="2C1BF3A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发包人审批竣工付款申请单的期限：</w:t>
      </w:r>
      <w:r>
        <w:rPr>
          <w:rFonts w:hint="eastAsia" w:cs="宋体"/>
          <w:color w:val="auto"/>
          <w:sz w:val="21"/>
          <w:szCs w:val="21"/>
          <w:highlight w:val="none"/>
          <w:u w:val="single"/>
        </w:rPr>
        <w:t>发包人应在收到监理人提交的经审核的竣工结算申请单后14天内完成审批</w:t>
      </w:r>
      <w:r>
        <w:rPr>
          <w:rFonts w:hint="eastAsia" w:cs="宋体"/>
          <w:color w:val="auto"/>
          <w:sz w:val="21"/>
          <w:szCs w:val="21"/>
          <w:highlight w:val="none"/>
        </w:rPr>
        <w:t>。</w:t>
      </w:r>
    </w:p>
    <w:p w14:paraId="351334E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发包人完成竣工付款的期限：</w:t>
      </w:r>
      <w:r>
        <w:rPr>
          <w:rFonts w:hint="eastAsia" w:cs="宋体"/>
          <w:color w:val="auto"/>
          <w:sz w:val="21"/>
          <w:szCs w:val="21"/>
          <w:highlight w:val="none"/>
          <w:u w:val="single"/>
        </w:rPr>
        <w:t>发包人应在签发竣工付款证书后的14 天内，完成对承包人的竣工付款</w:t>
      </w:r>
      <w:r>
        <w:rPr>
          <w:rFonts w:hint="eastAsia" w:cs="宋体"/>
          <w:color w:val="auto"/>
          <w:sz w:val="21"/>
          <w:szCs w:val="21"/>
          <w:highlight w:val="none"/>
        </w:rPr>
        <w:t>。</w:t>
      </w:r>
    </w:p>
    <w:p w14:paraId="32EC7E6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关于竣工付款证书异议部分复核的方式和程序：</w:t>
      </w:r>
      <w:r>
        <w:rPr>
          <w:rFonts w:hint="eastAsia" w:cs="宋体"/>
          <w:color w:val="auto"/>
          <w:sz w:val="21"/>
          <w:szCs w:val="21"/>
          <w:highlight w:val="none"/>
          <w:u w:val="single"/>
        </w:rPr>
        <w:t>执行通用条款</w:t>
      </w:r>
      <w:r>
        <w:rPr>
          <w:rFonts w:hint="eastAsia" w:cs="宋体"/>
          <w:color w:val="auto"/>
          <w:sz w:val="21"/>
          <w:szCs w:val="21"/>
          <w:highlight w:val="none"/>
        </w:rPr>
        <w:t>。</w:t>
      </w:r>
    </w:p>
    <w:p w14:paraId="775691A3">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14.4 最终结清</w:t>
      </w:r>
    </w:p>
    <w:p w14:paraId="764438D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14.4.1 最终结清申请单</w:t>
      </w:r>
    </w:p>
    <w:p w14:paraId="3755E93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承包人提交最终结清申请单的份数：</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纸质材料2份，电子稿1份</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5BAF12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承包人提交最终结算申请单的期限：</w:t>
      </w:r>
      <w:r>
        <w:rPr>
          <w:rFonts w:hint="eastAsia" w:cs="宋体"/>
          <w:color w:val="auto"/>
          <w:sz w:val="21"/>
          <w:szCs w:val="21"/>
          <w:highlight w:val="none"/>
          <w:u w:val="single"/>
        </w:rPr>
        <w:t>缺陷责任期终止证书颁发后7天内</w:t>
      </w:r>
      <w:r>
        <w:rPr>
          <w:rFonts w:hint="eastAsia" w:cs="宋体"/>
          <w:color w:val="auto"/>
          <w:sz w:val="21"/>
          <w:szCs w:val="21"/>
          <w:highlight w:val="none"/>
        </w:rPr>
        <w:t xml:space="preserve">。 </w:t>
      </w:r>
    </w:p>
    <w:p w14:paraId="4D32210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14.4.2 最终结清证书和支付</w:t>
      </w:r>
    </w:p>
    <w:bookmarkEnd w:id="503"/>
    <w:bookmarkEnd w:id="504"/>
    <w:bookmarkEnd w:id="505"/>
    <w:bookmarkEnd w:id="506"/>
    <w:bookmarkEnd w:id="507"/>
    <w:bookmarkEnd w:id="508"/>
    <w:bookmarkEnd w:id="509"/>
    <w:bookmarkEnd w:id="515"/>
    <w:p w14:paraId="7BA31498">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bookmarkStart w:id="517" w:name="_Toc351203647"/>
      <w:bookmarkStart w:id="518" w:name="_Toc267251483"/>
      <w:bookmarkStart w:id="519" w:name="_Toc267251482"/>
      <w:bookmarkStart w:id="520" w:name="_Toc267251484"/>
      <w:bookmarkStart w:id="521" w:name="_Toc267251485"/>
      <w:bookmarkStart w:id="522" w:name="_Toc267251488"/>
      <w:bookmarkStart w:id="523" w:name="_Toc267251489"/>
      <w:bookmarkStart w:id="524" w:name="_Toc267251486"/>
      <w:bookmarkStart w:id="525" w:name="_Toc267251490"/>
      <w:bookmarkStart w:id="526" w:name="_Toc267251496"/>
      <w:bookmarkStart w:id="527" w:name="_Toc267251499"/>
      <w:bookmarkStart w:id="528" w:name="_Toc267251492"/>
      <w:bookmarkStart w:id="529" w:name="_Toc267251501"/>
      <w:bookmarkStart w:id="530" w:name="_Toc267251495"/>
      <w:bookmarkStart w:id="531" w:name="_Toc267251491"/>
      <w:bookmarkStart w:id="532" w:name="_Toc267251493"/>
      <w:bookmarkStart w:id="533" w:name="_Toc267251498"/>
      <w:bookmarkStart w:id="534" w:name="_Toc267251502"/>
      <w:bookmarkStart w:id="535" w:name="_Toc267251503"/>
      <w:bookmarkStart w:id="536" w:name="_Toc267251494"/>
      <w:bookmarkStart w:id="537" w:name="_Toc267251497"/>
      <w:bookmarkStart w:id="538" w:name="_Toc267251504"/>
      <w:bookmarkStart w:id="539" w:name="_Toc267251506"/>
      <w:bookmarkStart w:id="540" w:name="_Toc267251507"/>
      <w:bookmarkStart w:id="541" w:name="_Toc267251508"/>
      <w:bookmarkStart w:id="542" w:name="_Toc267251510"/>
      <w:bookmarkStart w:id="543" w:name="_Toc267251514"/>
      <w:bookmarkStart w:id="544" w:name="_Toc267251509"/>
      <w:bookmarkStart w:id="545" w:name="_Toc267251513"/>
      <w:bookmarkStart w:id="546" w:name="_Toc267251511"/>
      <w:bookmarkStart w:id="547" w:name="_Toc267251515"/>
      <w:r>
        <w:rPr>
          <w:rFonts w:hint="eastAsia" w:ascii="宋体" w:hAnsi="宋体" w:eastAsia="宋体" w:cs="宋体"/>
          <w:color w:val="auto"/>
          <w:sz w:val="21"/>
          <w:szCs w:val="21"/>
          <w:highlight w:val="none"/>
        </w:rPr>
        <w:t>14.</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.1 按照学校工程审计相关管理办法规定执行。 </w:t>
      </w:r>
    </w:p>
    <w:p w14:paraId="7E3121CF">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.2 发包人审批竣工付款申请单的期限：</w:t>
      </w:r>
      <w:r>
        <w:rPr>
          <w:rFonts w:hint="eastAsia" w:ascii="宋体" w:hAnsi="宋体" w:eastAsia="宋体" w:cs="宋体"/>
          <w:color w:val="auto"/>
          <w:sz w:val="21"/>
          <w:szCs w:val="21"/>
          <w:highlight w:val="none"/>
          <w:u w:val="single"/>
        </w:rPr>
        <w:t>审核备案后</w:t>
      </w:r>
      <w:r>
        <w:rPr>
          <w:rFonts w:hint="eastAsia" w:ascii="宋体" w:hAnsi="宋体" w:eastAsia="宋体" w:cs="宋体"/>
          <w:color w:val="auto"/>
          <w:sz w:val="21"/>
          <w:szCs w:val="21"/>
          <w:highlight w:val="none"/>
        </w:rPr>
        <w:t xml:space="preserve">。 </w:t>
      </w:r>
    </w:p>
    <w:p w14:paraId="58795645">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.3 发包人完成竣工付款的期限：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 </w:t>
      </w:r>
    </w:p>
    <w:p w14:paraId="0CB3B963">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14.</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.4 关于竣工付款证书异议部分复核的方式和程序：</w:t>
      </w:r>
      <w:r>
        <w:rPr>
          <w:rFonts w:hint="eastAsia" w:ascii="宋体" w:hAnsi="宋体" w:eastAsia="宋体" w:cs="宋体"/>
          <w:color w:val="auto"/>
          <w:sz w:val="21"/>
          <w:szCs w:val="21"/>
          <w:highlight w:val="none"/>
          <w:u w:val="single"/>
        </w:rPr>
        <w:t>查阅竣工图纸、施工合同、本项目招标控制价电子版和书面文本、签证资料、结算书、材料价格证明资料以及与竣工造价有关的相关资料</w:t>
      </w:r>
      <w:r>
        <w:rPr>
          <w:rFonts w:hint="eastAsia" w:ascii="宋体" w:hAnsi="宋体" w:eastAsia="宋体" w:cs="宋体"/>
          <w:color w:val="auto"/>
          <w:sz w:val="21"/>
          <w:szCs w:val="21"/>
          <w:highlight w:val="none"/>
        </w:rPr>
        <w:t xml:space="preserve">。 </w:t>
      </w:r>
    </w:p>
    <w:p w14:paraId="569789BA">
      <w:pPr>
        <w:pageBreakBefore w:val="0"/>
        <w:kinsoku/>
        <w:wordWrap/>
        <w:topLinePunct w:val="0"/>
        <w:bidi w:val="0"/>
        <w:snapToGrid w:val="0"/>
        <w:spacing w:beforeAutospacing="0" w:line="5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关于竣工结算超额审计费用：</w:t>
      </w:r>
      <w:r>
        <w:rPr>
          <w:rFonts w:hint="eastAsia" w:ascii="宋体" w:hAnsi="宋体" w:eastAsia="宋体" w:cs="宋体"/>
          <w:b/>
          <w:bCs/>
          <w:color w:val="auto"/>
          <w:sz w:val="21"/>
          <w:szCs w:val="21"/>
          <w:highlight w:val="none"/>
          <w:u w:val="single"/>
        </w:rPr>
        <w:t>根据《滁州市人民政府办公室关于印发市政府投资建设项目审计监督颁发的通知》第二十三条规定，对审减率超过10%的工程项目，超过部分应支付的审计费用，由施工单位承担，项目结算付款单位根据审计结果从工程待结价款中扣除。</w:t>
      </w:r>
    </w:p>
    <w:p w14:paraId="3DF336DB">
      <w:pPr>
        <w:pageBreakBefore w:val="0"/>
        <w:kinsoku/>
        <w:wordWrap/>
        <w:topLinePunct w:val="0"/>
        <w:bidi w:val="0"/>
        <w:snapToGrid w:val="0"/>
        <w:spacing w:beforeAutospacing="0" w:line="520" w:lineRule="exact"/>
        <w:ind w:left="610" w:leftChars="200" w:hanging="210" w:hanging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.5送审要求：</w:t>
      </w:r>
    </w:p>
    <w:p w14:paraId="3B0C001B">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承包人竣工结算审核资料应该一次性申报，发包人只接受一次申报结算，若承包人申报结算有遗漏（工程量少报、漏报、掉项）不得追加；承包人申报资料若有缺陷，只有发包人要求补充、完善时方可补充。结算结束标志，发承包人双方签署结算单（工程定案表）。</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此工程采取跟踪审计制度，工程竣工审计结算时，对工程结算审减额10%以上（不含10%）的部分,由承包人承担审计咨询费用；对审减额在10％以下（含10%）的部分，由发包人承担审计咨询费。承包人承担的审计咨询费用由发包人从工程款中代扣。</w:t>
      </w:r>
    </w:p>
    <w:p w14:paraId="0FFFFF6E">
      <w:pPr>
        <w:pageBreakBefore w:val="0"/>
        <w:kinsoku/>
        <w:wordWrap/>
        <w:topLinePunct w:val="0"/>
        <w:bidi w:val="0"/>
        <w:snapToGrid w:val="0"/>
        <w:spacing w:beforeAutospacing="0" w:line="520" w:lineRule="exact"/>
        <w:ind w:firstLine="210" w:firstLineChars="1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（3）承包人委派</w:t>
      </w:r>
      <w:r>
        <w:rPr>
          <w:rFonts w:hint="eastAsia" w:ascii="宋体" w:hAnsi="宋体" w:eastAsia="宋体" w:cs="宋体"/>
          <w:color w:val="auto"/>
          <w:sz w:val="21"/>
          <w:szCs w:val="21"/>
          <w:highlight w:val="none"/>
          <w:u w:val="single"/>
        </w:rPr>
        <w:t>（姓名：  ） （电话：      ）（邮箱：    </w:t>
      </w:r>
      <w:r>
        <w:rPr>
          <w:rFonts w:hint="eastAsia" w:ascii="宋体" w:hAnsi="宋体" w:eastAsia="宋体" w:cs="宋体"/>
          <w:color w:val="auto"/>
          <w:sz w:val="21"/>
          <w:szCs w:val="21"/>
          <w:highlight w:val="none"/>
        </w:rPr>
        <w:t>）代表承包人全权办理与结算审计相关的一切事宜。</w:t>
      </w:r>
    </w:p>
    <w:p w14:paraId="03041DBD">
      <w:pPr>
        <w:pageBreakBefore w:val="0"/>
        <w:kinsoku/>
        <w:wordWrap/>
        <w:topLinePunct w:val="0"/>
        <w:bidi w:val="0"/>
        <w:snapToGrid w:val="0"/>
        <w:spacing w:beforeAutospacing="0" w:line="5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（4）承包人须积极配合发包人审计费开票工作,承包人纳税人识别号</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开户行及账号：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89B6E3A">
      <w:pPr>
        <w:pageBreakBefore w:val="0"/>
        <w:kinsoku/>
        <w:wordWrap/>
        <w:topLinePunct w:val="0"/>
        <w:bidi w:val="0"/>
        <w:snapToGrid w:val="0"/>
        <w:spacing w:beforeAutospacing="0" w:line="52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（5）承包人承诺此工程开票税率：</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9</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w:t>
      </w:r>
    </w:p>
    <w:p w14:paraId="249441E5">
      <w:pPr>
        <w:pageBreakBefore w:val="0"/>
        <w:kinsoku/>
        <w:wordWrap/>
        <w:topLinePunct w:val="0"/>
        <w:bidi w:val="0"/>
        <w:snapToGrid w:val="0"/>
        <w:spacing w:beforeAutospacing="0" w:line="520" w:lineRule="exact"/>
        <w:outlineLvl w:val="2"/>
        <w:rPr>
          <w:rFonts w:cs="宋体"/>
          <w:color w:val="auto"/>
          <w:sz w:val="21"/>
          <w:szCs w:val="21"/>
          <w:highlight w:val="none"/>
        </w:rPr>
      </w:pPr>
      <w:r>
        <w:rPr>
          <w:rFonts w:hint="eastAsia" w:cs="宋体"/>
          <w:color w:val="auto"/>
          <w:sz w:val="21"/>
          <w:szCs w:val="21"/>
          <w:highlight w:val="none"/>
        </w:rPr>
        <w:t>15. 缺陷责任期与保修</w:t>
      </w:r>
      <w:bookmarkEnd w:id="517"/>
    </w:p>
    <w:p w14:paraId="0B65F518">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15.2 缺陷责任期</w:t>
      </w:r>
      <w:bookmarkEnd w:id="518"/>
    </w:p>
    <w:p w14:paraId="707EF3C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缺陷责任期的具体期限：</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563E2713">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15.3 质量保证金</w:t>
      </w:r>
    </w:p>
    <w:p w14:paraId="05F5CA89">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关于是否扣留质量保证金的约定：</w:t>
      </w:r>
      <w:r>
        <w:rPr>
          <w:rFonts w:hint="eastAsia" w:cs="宋体"/>
          <w:color w:val="auto"/>
          <w:sz w:val="21"/>
          <w:szCs w:val="21"/>
          <w:highlight w:val="none"/>
          <w:u w:val="single"/>
        </w:rPr>
        <w:t>见《专用合同条款数据表》</w:t>
      </w:r>
      <w:r>
        <w:rPr>
          <w:rFonts w:hint="eastAsia" w:cs="宋体"/>
          <w:color w:val="auto"/>
          <w:sz w:val="21"/>
          <w:szCs w:val="21"/>
          <w:highlight w:val="none"/>
        </w:rPr>
        <w:t>。在工程项目竣工前，承包人按专用合同条款第3.7款提供履约保证金的，发包人不得同时预留工程质量保证金。</w:t>
      </w:r>
    </w:p>
    <w:p w14:paraId="636C670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15.3.1 承包人提供质量保证金的方式</w:t>
      </w:r>
    </w:p>
    <w:p w14:paraId="7B18C76C">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质量保证金可采用以下任意一种方式：</w:t>
      </w:r>
    </w:p>
    <w:p w14:paraId="649DB4F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（1）由银行业金融机构、工程担保公司、保险机构出具银行保函、工程质量保险等担保方式，担保/保证金额为：</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6605C77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703B022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（3）其他方式：</w:t>
      </w:r>
      <w:r>
        <w:rPr>
          <w:rFonts w:hint="eastAsia" w:cs="宋体"/>
          <w:color w:val="auto"/>
          <w:sz w:val="21"/>
          <w:szCs w:val="21"/>
          <w:highlight w:val="none"/>
          <w:u w:val="single"/>
        </w:rPr>
        <w:t>见《专用合同条款数据表》</w:t>
      </w:r>
      <w:r>
        <w:rPr>
          <w:rFonts w:hint="eastAsia" w:cs="宋体"/>
          <w:color w:val="auto"/>
          <w:sz w:val="21"/>
          <w:szCs w:val="21"/>
          <w:highlight w:val="none"/>
        </w:rPr>
        <w:t>。</w:t>
      </w:r>
    </w:p>
    <w:p w14:paraId="19B86D8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 xml:space="preserve">15.3.2 质量保证金的扣留 </w:t>
      </w:r>
    </w:p>
    <w:p w14:paraId="0CE8A6A8">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质量保证金的扣留采取以下方式：</w:t>
      </w:r>
    </w:p>
    <w:p w14:paraId="1AD6FED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（1）在支付工程进度款时逐次扣留，在此情形下，质量保证金的计算基数不包括预付款的支付、扣回以及价格调整的金额；</w:t>
      </w:r>
    </w:p>
    <w:p w14:paraId="413F1E5B">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（2）工程竣工结算时一次性扣留质量保证金；</w:t>
      </w:r>
    </w:p>
    <w:p w14:paraId="34FD4A0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（3）其他扣留方式：</w:t>
      </w:r>
      <w:r>
        <w:rPr>
          <w:rFonts w:hint="eastAsia" w:cs="宋体"/>
          <w:color w:val="auto"/>
          <w:kern w:val="0"/>
          <w:sz w:val="21"/>
          <w:szCs w:val="21"/>
          <w:highlight w:val="none"/>
          <w:u w:val="single"/>
          <w:lang w:val="en-US" w:eastAsia="zh-CN"/>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ED118F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关于质量保证金的补充约定：</w:t>
      </w:r>
    </w:p>
    <w:bookmarkEnd w:id="519"/>
    <w:bookmarkEnd w:id="520"/>
    <w:p w14:paraId="64318F3C">
      <w:pPr>
        <w:pageBreakBefore w:val="0"/>
        <w:kinsoku/>
        <w:wordWrap/>
        <w:topLinePunct w:val="0"/>
        <w:bidi w:val="0"/>
        <w:snapToGrid w:val="0"/>
        <w:spacing w:beforeAutospacing="0" w:line="52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kern w:val="0"/>
          <w:sz w:val="21"/>
          <w:szCs w:val="21"/>
          <w:highlight w:val="none"/>
          <w:u w:val="single"/>
        </w:rPr>
        <w:t>质量保证金支持保函（银行保函、担保机构担保、保证保险）使用。采用保函的，保函有效期须与缺陷责任期截止时间保持一致</w:t>
      </w:r>
      <w:r>
        <w:rPr>
          <w:rFonts w:hint="eastAsia" w:ascii="宋体" w:hAnsi="宋体" w:eastAsia="宋体" w:cs="宋体"/>
          <w:color w:val="auto"/>
          <w:kern w:val="0"/>
          <w:sz w:val="21"/>
          <w:szCs w:val="21"/>
          <w:highlight w:val="none"/>
        </w:rPr>
        <w:t>。</w:t>
      </w:r>
    </w:p>
    <w:p w14:paraId="7138A53C">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15.4 保修</w:t>
      </w:r>
    </w:p>
    <w:bookmarkEnd w:id="521"/>
    <w:p w14:paraId="592AE718">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15.4.1 保修责任</w:t>
      </w:r>
    </w:p>
    <w:p w14:paraId="1A173F5D">
      <w:pPr>
        <w:pageBreakBefore w:val="0"/>
        <w:kinsoku/>
        <w:wordWrap/>
        <w:topLinePunct w:val="0"/>
        <w:bidi w:val="0"/>
        <w:snapToGrid w:val="0"/>
        <w:spacing w:beforeAutospacing="0" w:line="520" w:lineRule="exact"/>
        <w:ind w:firstLine="420" w:firstLineChars="200"/>
        <w:jc w:val="left"/>
        <w:rPr>
          <w:rFonts w:cs="宋体"/>
          <w:color w:val="auto"/>
          <w:sz w:val="21"/>
          <w:szCs w:val="21"/>
          <w:highlight w:val="none"/>
          <w:u w:val="single"/>
        </w:rPr>
      </w:pPr>
      <w:r>
        <w:rPr>
          <w:rFonts w:hint="eastAsia" w:cs="宋体"/>
          <w:color w:val="auto"/>
          <w:sz w:val="21"/>
          <w:szCs w:val="21"/>
          <w:highlight w:val="none"/>
        </w:rPr>
        <w:t>工程保修期为：</w:t>
      </w:r>
      <w:r>
        <w:rPr>
          <w:rFonts w:hint="eastAsia" w:ascii="宋体" w:hAnsi="宋体" w:eastAsia="宋体" w:cs="宋体"/>
          <w:color w:val="auto"/>
          <w:kern w:val="0"/>
          <w:sz w:val="21"/>
          <w:szCs w:val="21"/>
          <w:highlight w:val="none"/>
          <w:u w:val="single"/>
        </w:rPr>
        <w:t>验收合格之日</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最低</w:t>
      </w:r>
      <w:r>
        <w:rPr>
          <w:rFonts w:hint="eastAsia" w:ascii="宋体" w:hAnsi="宋体" w:eastAsia="宋体" w:cs="宋体"/>
          <w:color w:val="auto"/>
          <w:kern w:val="0"/>
          <w:sz w:val="21"/>
          <w:szCs w:val="21"/>
          <w:highlight w:val="none"/>
          <w:u w:val="single"/>
          <w:lang w:val="en-US" w:eastAsia="zh-CN"/>
        </w:rPr>
        <w:t>年限5</w:t>
      </w:r>
      <w:r>
        <w:rPr>
          <w:rFonts w:hint="eastAsia" w:ascii="宋体" w:hAnsi="宋体" w:eastAsia="宋体" w:cs="宋体"/>
          <w:color w:val="auto"/>
          <w:kern w:val="0"/>
          <w:sz w:val="21"/>
          <w:szCs w:val="21"/>
          <w:highlight w:val="none"/>
          <w:u w:val="single"/>
        </w:rPr>
        <w:t>年</w:t>
      </w:r>
      <w:r>
        <w:rPr>
          <w:rFonts w:hint="eastAsia" w:ascii="宋体" w:hAnsi="宋体" w:eastAsia="宋体" w:cs="宋体"/>
          <w:color w:val="auto"/>
          <w:kern w:val="0"/>
          <w:sz w:val="21"/>
          <w:szCs w:val="21"/>
          <w:highlight w:val="none"/>
          <w:u w:val="single"/>
        </w:rPr>
        <w:t>，具体期限以成交人评审时承诺的期限为准。</w:t>
      </w:r>
    </w:p>
    <w:p w14:paraId="4BB6F5C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15.4.3 修复通知</w:t>
      </w:r>
    </w:p>
    <w:p w14:paraId="167A03FB">
      <w:pPr>
        <w:pageBreakBefore w:val="0"/>
        <w:kinsoku/>
        <w:wordWrap/>
        <w:topLinePunct w:val="0"/>
        <w:bidi w:val="0"/>
        <w:adjustRightInd w:val="0"/>
        <w:snapToGrid w:val="0"/>
        <w:spacing w:beforeAutospacing="0" w:line="520" w:lineRule="exact"/>
        <w:ind w:firstLine="420" w:firstLineChars="200"/>
        <w:rPr>
          <w:rFonts w:hint="eastAsia" w:eastAsia="宋体" w:cs="宋体"/>
          <w:color w:val="auto"/>
          <w:sz w:val="21"/>
          <w:szCs w:val="21"/>
          <w:highlight w:val="none"/>
          <w:u w:val="single"/>
          <w:lang w:eastAsia="zh-CN"/>
        </w:rPr>
      </w:pPr>
      <w:r>
        <w:rPr>
          <w:rFonts w:hint="eastAsia" w:cs="宋体"/>
          <w:color w:val="auto"/>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质保期内发生</w:t>
      </w:r>
      <w:r>
        <w:rPr>
          <w:rFonts w:hint="eastAsia" w:ascii="宋体" w:hAnsi="宋体" w:eastAsia="宋体" w:cs="宋体"/>
          <w:color w:val="auto"/>
          <w:kern w:val="0"/>
          <w:sz w:val="21"/>
          <w:szCs w:val="21"/>
          <w:highlight w:val="none"/>
          <w:u w:val="single"/>
          <w:lang w:val="en-US" w:eastAsia="zh-CN"/>
        </w:rPr>
        <w:t>设备运行故障</w:t>
      </w:r>
      <w:r>
        <w:rPr>
          <w:rFonts w:hint="eastAsia" w:ascii="宋体" w:hAnsi="宋体" w:eastAsia="宋体" w:cs="宋体"/>
          <w:color w:val="auto"/>
          <w:kern w:val="0"/>
          <w:sz w:val="21"/>
          <w:szCs w:val="21"/>
          <w:highlight w:val="none"/>
          <w:u w:val="single"/>
        </w:rPr>
        <w:t>等问题，成交人收到采购人通知时，</w:t>
      </w:r>
      <w:r>
        <w:rPr>
          <w:rFonts w:hint="eastAsia" w:ascii="宋体" w:hAnsi="宋体" w:eastAsia="宋体" w:cs="宋体"/>
          <w:color w:val="auto"/>
          <w:kern w:val="0"/>
          <w:sz w:val="21"/>
          <w:szCs w:val="21"/>
          <w:highlight w:val="none"/>
          <w:u w:val="single"/>
          <w:lang w:val="en-US" w:eastAsia="zh-CN"/>
        </w:rPr>
        <w:t>应及时响应及时现场排查故障</w:t>
      </w:r>
      <w:r>
        <w:rPr>
          <w:rFonts w:hint="eastAsia" w:ascii="宋体" w:hAnsi="宋体" w:eastAsia="宋体" w:cs="宋体"/>
          <w:color w:val="auto"/>
          <w:kern w:val="0"/>
          <w:sz w:val="21"/>
          <w:szCs w:val="21"/>
          <w:highlight w:val="none"/>
          <w:u w:val="single"/>
        </w:rPr>
        <w:t>，符合维修条件时，3天内完成</w:t>
      </w:r>
      <w:r>
        <w:rPr>
          <w:rFonts w:hint="eastAsia" w:ascii="宋体" w:hAnsi="宋体" w:eastAsia="宋体" w:cs="宋体"/>
          <w:color w:val="auto"/>
          <w:kern w:val="0"/>
          <w:sz w:val="21"/>
          <w:szCs w:val="21"/>
          <w:highlight w:val="none"/>
          <w:u w:val="single"/>
          <w:lang w:val="en-US" w:eastAsia="zh-CN"/>
        </w:rPr>
        <w:t>修复</w:t>
      </w:r>
      <w:r>
        <w:rPr>
          <w:rFonts w:hint="eastAsia" w:ascii="宋体" w:hAnsi="宋体" w:eastAsia="宋体" w:cs="宋体"/>
          <w:color w:val="auto"/>
          <w:kern w:val="0"/>
          <w:sz w:val="21"/>
          <w:szCs w:val="21"/>
          <w:highlight w:val="none"/>
          <w:u w:val="single"/>
        </w:rPr>
        <w:t>，如遇紧急情况，按采购人要求执行。不能按采购人要求及时到达及时维修的，由采购人组织维修，费用从质保金中支付，其发生的费用无需征得成交人同意。质保金费用不足以支付的，应由成交人另行支付。质保期内</w:t>
      </w:r>
      <w:r>
        <w:rPr>
          <w:rFonts w:hint="eastAsia" w:ascii="宋体" w:hAnsi="宋体" w:eastAsia="宋体" w:cs="宋体"/>
          <w:color w:val="auto"/>
          <w:kern w:val="0"/>
          <w:sz w:val="21"/>
          <w:szCs w:val="21"/>
          <w:highlight w:val="none"/>
          <w:u w:val="single"/>
          <w:lang w:val="en-US" w:eastAsia="zh-CN"/>
        </w:rPr>
        <w:t>同一地点同一故障累计</w:t>
      </w:r>
      <w:r>
        <w:rPr>
          <w:rFonts w:hint="eastAsia" w:ascii="宋体" w:hAnsi="宋体" w:eastAsia="宋体" w:cs="宋体"/>
          <w:color w:val="auto"/>
          <w:kern w:val="0"/>
          <w:sz w:val="21"/>
          <w:szCs w:val="21"/>
          <w:highlight w:val="none"/>
          <w:u w:val="single"/>
        </w:rPr>
        <w:t>发生</w:t>
      </w:r>
      <w:r>
        <w:rPr>
          <w:rFonts w:hint="eastAsia" w:ascii="宋体" w:hAnsi="宋体" w:eastAsia="宋体" w:cs="宋体"/>
          <w:color w:val="auto"/>
          <w:kern w:val="0"/>
          <w:sz w:val="21"/>
          <w:szCs w:val="21"/>
          <w:highlight w:val="none"/>
          <w:u w:val="single"/>
          <w:lang w:val="en-US" w:eastAsia="zh-CN"/>
        </w:rPr>
        <w:t>20</w:t>
      </w:r>
      <w:r>
        <w:rPr>
          <w:rFonts w:hint="eastAsia" w:ascii="宋体" w:hAnsi="宋体" w:eastAsia="宋体" w:cs="宋体"/>
          <w:color w:val="auto"/>
          <w:kern w:val="0"/>
          <w:sz w:val="21"/>
          <w:szCs w:val="21"/>
          <w:highlight w:val="none"/>
          <w:u w:val="single"/>
        </w:rPr>
        <w:t>次以上的，全额扣除质量保证金。成交人不服从采购人要求，给采购人造成损失或社会不良影响的，视为违约行为，采购人依法依规追究其法律责任</w:t>
      </w:r>
      <w:r>
        <w:rPr>
          <w:rFonts w:hint="eastAsia" w:cs="宋体"/>
          <w:color w:val="auto"/>
          <w:kern w:val="0"/>
          <w:sz w:val="21"/>
          <w:szCs w:val="21"/>
          <w:highlight w:val="none"/>
          <w:u w:val="single"/>
          <w:lang w:eastAsia="zh-CN"/>
        </w:rPr>
        <w:t>。</w:t>
      </w:r>
    </w:p>
    <w:bookmarkEnd w:id="522"/>
    <w:bookmarkEnd w:id="523"/>
    <w:bookmarkEnd w:id="524"/>
    <w:bookmarkEnd w:id="525"/>
    <w:p w14:paraId="768F40A9">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548" w:name="_Toc351203648"/>
      <w:bookmarkStart w:id="549" w:name="_Toc280868717"/>
      <w:bookmarkStart w:id="550" w:name="_Toc280868718"/>
      <w:r>
        <w:rPr>
          <w:rFonts w:hint="eastAsia" w:cs="宋体"/>
          <w:color w:val="auto"/>
          <w:sz w:val="21"/>
          <w:szCs w:val="21"/>
          <w:highlight w:val="none"/>
        </w:rPr>
        <w:t>16. 违约</w:t>
      </w:r>
      <w:bookmarkEnd w:id="548"/>
    </w:p>
    <w:p w14:paraId="4D0D162B">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16.1 发包人违约</w:t>
      </w:r>
    </w:p>
    <w:p w14:paraId="44FE93A3">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16.1.1 发包人违约的情形</w:t>
      </w:r>
    </w:p>
    <w:p w14:paraId="3D6D868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发包人违约的其他情形：</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21169B3">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16.1.2 发包人违约的责任</w:t>
      </w:r>
    </w:p>
    <w:p w14:paraId="7F6DBC5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发包人违约责任的承担方式和计算方法：</w:t>
      </w:r>
    </w:p>
    <w:p w14:paraId="16ECABD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（1）因发包人原因未能在计划开工日期前7天内下达开工通知的违约责任：</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A4BCDD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（2）因发包人原因未能按合同约定支付合同价款的违约责任：</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CE32E7A">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u w:val="single"/>
        </w:rPr>
      </w:pPr>
      <w:r>
        <w:rPr>
          <w:rFonts w:hint="eastAsia" w:cs="宋体"/>
          <w:color w:val="auto"/>
          <w:sz w:val="21"/>
          <w:szCs w:val="21"/>
          <w:highlight w:val="none"/>
        </w:rPr>
        <w:t>（3）发包人违反第10.1款〔变更的范围〕第（2）项约定，自行实施被取消的工作或转由他人实施的违约责任：</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7F72EB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（4）发包人提供的材料、工程设备的规格、数量或质量不符合合同约定，或因发包人原因导致交货日期延误或交货地点变更等情况的违约责任：</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C41AD96">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（5）因发包人违反合同约定造成暂停施工的违约责任：</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5746873">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（6）发包人无正当理由没有在约定期限内发出复工指示，导致承包人无法复工的违约责任：</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5249BF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（7）其他：</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A20205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16.1.3 因发包人违约解除合同</w:t>
      </w:r>
    </w:p>
    <w:p w14:paraId="44CEF47A">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承包人按16.1.1项〔发包人违约的情形〕约定暂停施工满</w:t>
      </w:r>
      <w:r>
        <w:rPr>
          <w:rFonts w:hint="eastAsia" w:cs="宋体"/>
          <w:color w:val="auto"/>
          <w:sz w:val="21"/>
          <w:szCs w:val="21"/>
          <w:highlight w:val="none"/>
          <w:u w:val="single"/>
        </w:rPr>
        <w:t>28</w:t>
      </w:r>
      <w:r>
        <w:rPr>
          <w:rFonts w:hint="eastAsia" w:cs="宋体"/>
          <w:color w:val="auto"/>
          <w:sz w:val="21"/>
          <w:szCs w:val="21"/>
          <w:highlight w:val="none"/>
        </w:rPr>
        <w:t>天后发包人仍不纠正其违约行为并致使合同目的不能实现的，承包人有权解除合同。</w:t>
      </w:r>
    </w:p>
    <w:p w14:paraId="2DE94C9A">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16.2 承包人违约</w:t>
      </w:r>
    </w:p>
    <w:p w14:paraId="2C93878D">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16.2.1 承包人违约的情形</w:t>
      </w:r>
    </w:p>
    <w:p w14:paraId="119415A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承包人违约的其他情形：</w:t>
      </w:r>
      <w:r>
        <w:rPr>
          <w:rFonts w:hint="eastAsia"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执行通用条款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4F8DAC23">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16.2.2 承包人违约的责任</w:t>
      </w:r>
    </w:p>
    <w:p w14:paraId="4C354F6B">
      <w:pPr>
        <w:pageBreakBefore w:val="0"/>
        <w:kinsoku/>
        <w:wordWrap/>
        <w:topLinePunct w:val="0"/>
        <w:bidi w:val="0"/>
        <w:adjustRightInd w:val="0"/>
        <w:snapToGrid w:val="0"/>
        <w:spacing w:beforeAutospacing="0" w:line="520" w:lineRule="exact"/>
        <w:ind w:firstLine="420" w:firstLineChars="200"/>
        <w:rPr>
          <w:rFonts w:hint="eastAsia" w:ascii="宋体" w:hAnsi="宋体" w:eastAsia="宋体" w:cs="宋体"/>
          <w:color w:val="auto"/>
          <w:kern w:val="0"/>
          <w:sz w:val="21"/>
          <w:szCs w:val="21"/>
          <w:highlight w:val="none"/>
          <w:u w:val="single"/>
          <w:lang w:eastAsia="zh-CN"/>
        </w:rPr>
      </w:pPr>
      <w:r>
        <w:rPr>
          <w:rFonts w:hint="eastAsia" w:cs="宋体"/>
          <w:color w:val="auto"/>
          <w:sz w:val="21"/>
          <w:szCs w:val="21"/>
          <w:highlight w:val="none"/>
        </w:rPr>
        <w:t>承包人违约责任的承担方式和计算方法：</w:t>
      </w:r>
      <w:r>
        <w:rPr>
          <w:rFonts w:hint="eastAsia" w:ascii="宋体" w:hAnsi="宋体" w:eastAsia="宋体" w:cs="宋体"/>
          <w:color w:val="auto"/>
          <w:kern w:val="0"/>
          <w:sz w:val="21"/>
          <w:szCs w:val="21"/>
          <w:highlight w:val="none"/>
          <w:u w:val="single"/>
        </w:rPr>
        <w:t xml:space="preserve"> 由承包人承担全部费用并承担相关法律责任</w:t>
      </w:r>
      <w:r>
        <w:rPr>
          <w:rFonts w:hint="eastAsia" w:ascii="宋体" w:hAnsi="宋体" w:eastAsia="宋体" w:cs="宋体"/>
          <w:color w:val="auto"/>
          <w:kern w:val="0"/>
          <w:sz w:val="21"/>
          <w:szCs w:val="21"/>
          <w:highlight w:val="none"/>
          <w:u w:val="single"/>
          <w:lang w:eastAsia="zh-CN"/>
        </w:rPr>
        <w:t>。</w:t>
      </w:r>
    </w:p>
    <w:p w14:paraId="373D74F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16.2.3 因承包人违约解除合同</w:t>
      </w:r>
    </w:p>
    <w:p w14:paraId="2AF9223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除专用条款约定情形外，其余执行通用条款</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956EBD2">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发包人继续使用承包人在施工现场的材料、设备、临时工程、承包人文件和由承包人或以其名义编制的其他文件的费用承担方式：</w:t>
      </w:r>
      <w:r>
        <w:rPr>
          <w:rFonts w:hint="eastAsia"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承包人承担费用</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8C679CC">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551" w:name="_Toc351203649"/>
      <w:r>
        <w:rPr>
          <w:rFonts w:hint="eastAsia" w:cs="宋体"/>
          <w:color w:val="auto"/>
          <w:sz w:val="21"/>
          <w:szCs w:val="21"/>
          <w:highlight w:val="none"/>
        </w:rPr>
        <w:t>17. 不可抗力</w:t>
      </w:r>
      <w:bookmarkEnd w:id="551"/>
      <w:r>
        <w:rPr>
          <w:rFonts w:hint="eastAsia" w:cs="宋体"/>
          <w:color w:val="auto"/>
          <w:sz w:val="21"/>
          <w:szCs w:val="21"/>
          <w:highlight w:val="none"/>
        </w:rPr>
        <w:t xml:space="preserve"> </w:t>
      </w:r>
      <w:bookmarkEnd w:id="549"/>
    </w:p>
    <w:p w14:paraId="707A0733">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17.1 不可抗力的确认</w:t>
      </w:r>
    </w:p>
    <w:p w14:paraId="206C3271">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u w:val="single"/>
        </w:rPr>
      </w:pPr>
      <w:r>
        <w:rPr>
          <w:rFonts w:hint="eastAsia" w:cs="宋体"/>
          <w:color w:val="auto"/>
          <w:sz w:val="21"/>
          <w:szCs w:val="21"/>
          <w:highlight w:val="none"/>
        </w:rPr>
        <w:t>除通用合同条款约定的不可抗力事件之外，视为不可抗力的其他情形：</w:t>
      </w:r>
      <w:r>
        <w:rPr>
          <w:rFonts w:hint="eastAsia" w:ascii="宋体" w:hAnsi="宋体" w:eastAsia="宋体" w:cs="宋体"/>
          <w:color w:val="auto"/>
          <w:sz w:val="21"/>
          <w:szCs w:val="21"/>
          <w:highlight w:val="none"/>
          <w:u w:val="single"/>
        </w:rPr>
        <w:t>另行商定</w:t>
      </w:r>
      <w:r>
        <w:rPr>
          <w:rFonts w:hint="eastAsia" w:cs="宋体"/>
          <w:color w:val="auto"/>
          <w:sz w:val="21"/>
          <w:szCs w:val="21"/>
          <w:highlight w:val="none"/>
        </w:rPr>
        <w:t>。</w:t>
      </w:r>
    </w:p>
    <w:p w14:paraId="437AB253">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17.4 因不可抗力解除合同</w:t>
      </w:r>
    </w:p>
    <w:p w14:paraId="5F9D27F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合同解除后，发包人应在商定或确定发包人应支付款项后</w:t>
      </w:r>
      <w:r>
        <w:rPr>
          <w:rFonts w:hint="eastAsia" w:cs="宋体"/>
          <w:color w:val="auto"/>
          <w:sz w:val="21"/>
          <w:szCs w:val="21"/>
          <w:highlight w:val="none"/>
          <w:u w:val="single"/>
        </w:rPr>
        <w:t>28</w:t>
      </w:r>
      <w:r>
        <w:rPr>
          <w:rFonts w:hint="eastAsia" w:cs="宋体"/>
          <w:color w:val="auto"/>
          <w:sz w:val="21"/>
          <w:szCs w:val="21"/>
          <w:highlight w:val="none"/>
        </w:rPr>
        <w:t>天内完成款项的支付。</w:t>
      </w:r>
    </w:p>
    <w:p w14:paraId="5984CDBE">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552" w:name="_Toc351203650"/>
      <w:r>
        <w:rPr>
          <w:rFonts w:hint="eastAsia" w:cs="宋体"/>
          <w:color w:val="auto"/>
          <w:sz w:val="21"/>
          <w:szCs w:val="21"/>
          <w:highlight w:val="none"/>
        </w:rPr>
        <w:t>18. 保险</w:t>
      </w:r>
      <w:bookmarkEnd w:id="552"/>
    </w:p>
    <w:bookmarkEnd w:id="550"/>
    <w:p w14:paraId="40CD93BA">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18.1 工程保险</w:t>
      </w:r>
    </w:p>
    <w:p w14:paraId="75709D97">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rPr>
      </w:pPr>
      <w:r>
        <w:rPr>
          <w:rFonts w:hint="eastAsia" w:cs="宋体"/>
          <w:color w:val="auto"/>
          <w:sz w:val="21"/>
          <w:szCs w:val="21"/>
          <w:highlight w:val="none"/>
        </w:rPr>
        <w:t>关于工程保险的特别约定：</w:t>
      </w:r>
      <w:r>
        <w:rPr>
          <w:rFonts w:hint="eastAsia" w:ascii="宋体" w:hAnsi="宋体" w:eastAsia="宋体" w:cs="宋体"/>
          <w:color w:val="auto"/>
          <w:sz w:val="21"/>
          <w:szCs w:val="21"/>
          <w:highlight w:val="none"/>
          <w:u w:val="single"/>
        </w:rPr>
        <w:t xml:space="preserve"> 承包人自行考虑 </w:t>
      </w:r>
      <w:r>
        <w:rPr>
          <w:rFonts w:hint="eastAsia" w:cs="宋体"/>
          <w:b/>
          <w:color w:val="auto"/>
          <w:sz w:val="21"/>
          <w:szCs w:val="21"/>
          <w:highlight w:val="none"/>
        </w:rPr>
        <w:t>。</w:t>
      </w:r>
    </w:p>
    <w:p w14:paraId="39ACC278">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18.3 其他保险</w:t>
      </w:r>
    </w:p>
    <w:p w14:paraId="1E20880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关于其他保险的约定：</w:t>
      </w:r>
      <w:r>
        <w:rPr>
          <w:rFonts w:hint="eastAsia" w:cs="宋体"/>
          <w:color w:val="auto"/>
          <w:sz w:val="21"/>
          <w:szCs w:val="21"/>
          <w:highlight w:val="none"/>
          <w:u w:val="single"/>
        </w:rPr>
        <w:t>承包人须为其施工现场的全部人员办理意外伤害保险并支付保险费，包括其员工及为履行合同聘请的第三方的人员</w:t>
      </w:r>
      <w:r>
        <w:rPr>
          <w:rFonts w:hint="eastAsia" w:cs="宋体"/>
          <w:color w:val="auto"/>
          <w:sz w:val="21"/>
          <w:szCs w:val="21"/>
          <w:highlight w:val="none"/>
        </w:rPr>
        <w:t>。</w:t>
      </w:r>
    </w:p>
    <w:p w14:paraId="1BC6FC70">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承包人是否应为其施工设备等办理财产保险：</w:t>
      </w:r>
      <w:r>
        <w:rPr>
          <w:rFonts w:hint="eastAsia" w:cs="宋体"/>
          <w:color w:val="auto"/>
          <w:sz w:val="21"/>
          <w:szCs w:val="21"/>
          <w:highlight w:val="none"/>
          <w:u w:val="single"/>
        </w:rPr>
        <w:t>执行通用条款</w:t>
      </w:r>
      <w:r>
        <w:rPr>
          <w:rFonts w:hint="eastAsia" w:cs="宋体"/>
          <w:color w:val="auto"/>
          <w:sz w:val="21"/>
          <w:szCs w:val="21"/>
          <w:highlight w:val="none"/>
        </w:rPr>
        <w:t>。</w:t>
      </w:r>
    </w:p>
    <w:p w14:paraId="65F34409">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18.7 通知义务</w:t>
      </w:r>
    </w:p>
    <w:p w14:paraId="5EEED8FE">
      <w:pPr>
        <w:pageBreakBefore w:val="0"/>
        <w:kinsoku/>
        <w:wordWrap/>
        <w:topLinePunct w:val="0"/>
        <w:bidi w:val="0"/>
        <w:adjustRightInd w:val="0"/>
        <w:snapToGrid w:val="0"/>
        <w:spacing w:beforeAutospacing="0" w:line="520" w:lineRule="exact"/>
        <w:ind w:firstLine="420" w:firstLineChars="200"/>
        <w:rPr>
          <w:rFonts w:cs="宋体"/>
          <w:b/>
          <w:color w:val="auto"/>
          <w:sz w:val="21"/>
          <w:szCs w:val="21"/>
          <w:highlight w:val="none"/>
          <w:u w:val="single"/>
        </w:rPr>
      </w:pPr>
      <w:r>
        <w:rPr>
          <w:rFonts w:hint="eastAsia" w:cs="宋体"/>
          <w:color w:val="auto"/>
          <w:sz w:val="21"/>
          <w:szCs w:val="21"/>
          <w:highlight w:val="none"/>
        </w:rPr>
        <w:t>关于变更保险合同时的通知义务的约定：</w:t>
      </w:r>
      <w:r>
        <w:rPr>
          <w:rFonts w:hint="eastAsia" w:cs="宋体"/>
          <w:color w:val="auto"/>
          <w:sz w:val="21"/>
          <w:szCs w:val="21"/>
          <w:highlight w:val="none"/>
          <w:u w:val="single"/>
        </w:rPr>
        <w:t>执行通用条款</w:t>
      </w:r>
      <w:r>
        <w:rPr>
          <w:rFonts w:hint="eastAsia" w:cs="宋体"/>
          <w:color w:val="auto"/>
          <w:sz w:val="21"/>
          <w:szCs w:val="21"/>
          <w:highlight w:val="none"/>
        </w:rPr>
        <w:t>。</w:t>
      </w:r>
    </w:p>
    <w:bookmarkEnd w:id="526"/>
    <w:bookmarkEnd w:id="527"/>
    <w:bookmarkEnd w:id="528"/>
    <w:bookmarkEnd w:id="529"/>
    <w:bookmarkEnd w:id="530"/>
    <w:bookmarkEnd w:id="531"/>
    <w:bookmarkEnd w:id="532"/>
    <w:bookmarkEnd w:id="533"/>
    <w:bookmarkEnd w:id="534"/>
    <w:bookmarkEnd w:id="535"/>
    <w:bookmarkEnd w:id="536"/>
    <w:bookmarkEnd w:id="537"/>
    <w:p w14:paraId="7847876F">
      <w:pPr>
        <w:pageBreakBefore w:val="0"/>
        <w:kinsoku/>
        <w:wordWrap/>
        <w:topLinePunct w:val="0"/>
        <w:bidi w:val="0"/>
        <w:snapToGrid w:val="0"/>
        <w:spacing w:beforeAutospacing="0" w:line="520" w:lineRule="exact"/>
        <w:outlineLvl w:val="2"/>
        <w:rPr>
          <w:rFonts w:cs="宋体"/>
          <w:color w:val="auto"/>
          <w:sz w:val="21"/>
          <w:szCs w:val="21"/>
          <w:highlight w:val="none"/>
        </w:rPr>
      </w:pPr>
      <w:bookmarkStart w:id="553" w:name="_Toc351203651"/>
      <w:r>
        <w:rPr>
          <w:rFonts w:hint="eastAsia" w:cs="宋体"/>
          <w:color w:val="auto"/>
          <w:sz w:val="21"/>
          <w:szCs w:val="21"/>
          <w:highlight w:val="none"/>
        </w:rPr>
        <w:t>20. 争议解决</w:t>
      </w:r>
      <w:bookmarkEnd w:id="553"/>
    </w:p>
    <w:bookmarkEnd w:id="538"/>
    <w:bookmarkEnd w:id="539"/>
    <w:p w14:paraId="64A08DC0">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20.3 争</w:t>
      </w:r>
      <w:bookmarkEnd w:id="540"/>
      <w:r>
        <w:rPr>
          <w:rFonts w:hint="eastAsia" w:cs="宋体"/>
          <w:bCs/>
          <w:color w:val="auto"/>
          <w:sz w:val="21"/>
          <w:szCs w:val="21"/>
          <w:highlight w:val="none"/>
        </w:rPr>
        <w:t>议评审</w:t>
      </w:r>
    </w:p>
    <w:p w14:paraId="78C58F7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合同当事人是否同意将工程争议提交争议评审小组决定：</w:t>
      </w:r>
      <w:r>
        <w:rPr>
          <w:rFonts w:hint="eastAsia" w:cs="宋体"/>
          <w:color w:val="auto"/>
          <w:sz w:val="21"/>
          <w:szCs w:val="21"/>
          <w:highlight w:val="none"/>
          <w:u w:val="single"/>
        </w:rPr>
        <w:t xml:space="preserve"> </w:t>
      </w:r>
      <w:r>
        <w:rPr>
          <w:rFonts w:hint="eastAsia" w:ascii="宋体" w:hAnsi="宋体" w:eastAsia="宋体" w:cs="宋体"/>
          <w:color w:val="auto"/>
          <w:sz w:val="21"/>
          <w:szCs w:val="21"/>
          <w:highlight w:val="none"/>
          <w:u w:val="single"/>
        </w:rPr>
        <w:t xml:space="preserve">不同意 </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5C1C9B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20.3.1 争议评审小组的确定</w:t>
      </w:r>
    </w:p>
    <w:p w14:paraId="3B29DC94">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u w:val="single"/>
        </w:rPr>
      </w:pPr>
      <w:r>
        <w:rPr>
          <w:rFonts w:hint="eastAsia" w:cs="宋体"/>
          <w:color w:val="auto"/>
          <w:sz w:val="21"/>
          <w:szCs w:val="21"/>
          <w:highlight w:val="none"/>
        </w:rPr>
        <w:t>争议评审小组成员的确定：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1B3E946F">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选定争议评审员的期限：</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7C8FE4E5">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争议评审小组成员的报酬承担方式：</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0A74F431">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其他事项的约定：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1AEB43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20.3.2 争议评审小组的决定</w:t>
      </w:r>
    </w:p>
    <w:p w14:paraId="483D5DBE">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合同当事人关于本项的约定：</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无</w:t>
      </w:r>
      <w:r>
        <w:rPr>
          <w:rFonts w:hint="eastAsia" w:cs="宋体"/>
          <w:color w:val="auto"/>
          <w:sz w:val="21"/>
          <w:szCs w:val="21"/>
          <w:highlight w:val="none"/>
          <w:u w:val="single"/>
        </w:rPr>
        <w:t xml:space="preserve">                </w:t>
      </w:r>
      <w:r>
        <w:rPr>
          <w:rFonts w:hint="eastAsia" w:cs="宋体"/>
          <w:color w:val="auto"/>
          <w:sz w:val="21"/>
          <w:szCs w:val="21"/>
          <w:highlight w:val="none"/>
        </w:rPr>
        <w:t>。</w:t>
      </w:r>
    </w:p>
    <w:p w14:paraId="6D112876">
      <w:pPr>
        <w:keepNext/>
        <w:keepLines/>
        <w:pageBreakBefore w:val="0"/>
        <w:kinsoku/>
        <w:wordWrap/>
        <w:topLinePunct w:val="0"/>
        <w:bidi w:val="0"/>
        <w:snapToGrid w:val="0"/>
        <w:spacing w:beforeAutospacing="0" w:line="520" w:lineRule="exact"/>
        <w:ind w:firstLine="420" w:firstLineChars="200"/>
        <w:outlineLvl w:val="3"/>
        <w:rPr>
          <w:rFonts w:cs="宋体"/>
          <w:bCs/>
          <w:color w:val="auto"/>
          <w:sz w:val="21"/>
          <w:szCs w:val="21"/>
          <w:highlight w:val="none"/>
        </w:rPr>
      </w:pPr>
      <w:r>
        <w:rPr>
          <w:rFonts w:hint="eastAsia" w:cs="宋体"/>
          <w:bCs/>
          <w:color w:val="auto"/>
          <w:sz w:val="21"/>
          <w:szCs w:val="21"/>
          <w:highlight w:val="none"/>
        </w:rPr>
        <w:t>20.4 仲裁或诉讼</w:t>
      </w:r>
      <w:bookmarkEnd w:id="541"/>
    </w:p>
    <w:bookmarkEnd w:id="542"/>
    <w:bookmarkEnd w:id="543"/>
    <w:bookmarkEnd w:id="544"/>
    <w:bookmarkEnd w:id="545"/>
    <w:bookmarkEnd w:id="546"/>
    <w:bookmarkEnd w:id="547"/>
    <w:p w14:paraId="4EF12697">
      <w:pPr>
        <w:pageBreakBefore w:val="0"/>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因合同及合同有关事项发生的争议，按下列</w:t>
      </w:r>
      <w:r>
        <w:rPr>
          <w:rFonts w:hint="eastAsia" w:cs="宋体"/>
          <w:b/>
          <w:bCs/>
          <w:color w:val="auto"/>
          <w:sz w:val="21"/>
          <w:szCs w:val="21"/>
          <w:highlight w:val="none"/>
        </w:rPr>
        <w:t>第</w:t>
      </w:r>
      <w:r>
        <w:rPr>
          <w:rFonts w:hint="eastAsia" w:cs="宋体"/>
          <w:b/>
          <w:bCs/>
          <w:color w:val="auto"/>
          <w:sz w:val="21"/>
          <w:szCs w:val="21"/>
          <w:highlight w:val="none"/>
          <w:u w:val="single"/>
        </w:rPr>
        <w:t xml:space="preserve"> 2 </w:t>
      </w:r>
      <w:r>
        <w:rPr>
          <w:rFonts w:hint="eastAsia" w:cs="宋体"/>
          <w:b/>
          <w:bCs/>
          <w:color w:val="auto"/>
          <w:sz w:val="21"/>
          <w:szCs w:val="21"/>
          <w:highlight w:val="none"/>
        </w:rPr>
        <w:t>种</w:t>
      </w:r>
      <w:r>
        <w:rPr>
          <w:rFonts w:hint="eastAsia" w:cs="宋体"/>
          <w:color w:val="auto"/>
          <w:sz w:val="21"/>
          <w:szCs w:val="21"/>
          <w:highlight w:val="none"/>
        </w:rPr>
        <w:t>方式解决：</w:t>
      </w:r>
    </w:p>
    <w:p w14:paraId="40957ABD">
      <w:pPr>
        <w:pageBreakBefore w:val="0"/>
        <w:numPr>
          <w:ilvl w:val="0"/>
          <w:numId w:val="4"/>
        </w:numPr>
        <w:kinsoku/>
        <w:wordWrap/>
        <w:topLinePunct w:val="0"/>
        <w:bidi w:val="0"/>
        <w:adjustRightInd w:val="0"/>
        <w:snapToGrid w:val="0"/>
        <w:spacing w:beforeAutospacing="0" w:line="520" w:lineRule="exact"/>
        <w:ind w:firstLine="420" w:firstLineChars="200"/>
        <w:rPr>
          <w:rFonts w:cs="宋体"/>
          <w:color w:val="auto"/>
          <w:sz w:val="21"/>
          <w:szCs w:val="21"/>
          <w:highlight w:val="none"/>
        </w:rPr>
      </w:pPr>
      <w:r>
        <w:rPr>
          <w:rFonts w:hint="eastAsia" w:cs="宋体"/>
          <w:color w:val="auto"/>
          <w:sz w:val="21"/>
          <w:szCs w:val="21"/>
          <w:highlight w:val="none"/>
        </w:rPr>
        <w:t>向</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滁州</w:t>
      </w:r>
      <w:r>
        <w:rPr>
          <w:rFonts w:hint="eastAsia" w:cs="宋体"/>
          <w:color w:val="auto"/>
          <w:sz w:val="21"/>
          <w:szCs w:val="21"/>
          <w:highlight w:val="none"/>
          <w:u w:val="single"/>
        </w:rPr>
        <w:t xml:space="preserve"> </w:t>
      </w:r>
      <w:r>
        <w:rPr>
          <w:rFonts w:hint="eastAsia" w:cs="宋体"/>
          <w:color w:val="auto"/>
          <w:sz w:val="21"/>
          <w:szCs w:val="21"/>
          <w:highlight w:val="none"/>
        </w:rPr>
        <w:t>仲裁委员会申请仲裁；</w:t>
      </w:r>
    </w:p>
    <w:p w14:paraId="087F9FA7">
      <w:pPr>
        <w:pageBreakBefore w:val="0"/>
        <w:kinsoku/>
        <w:wordWrap/>
        <w:topLinePunct w:val="0"/>
        <w:bidi w:val="0"/>
        <w:adjustRightInd w:val="0"/>
        <w:snapToGrid w:val="0"/>
        <w:spacing w:beforeAutospacing="0" w:line="520" w:lineRule="exact"/>
        <w:ind w:firstLine="420" w:firstLineChars="200"/>
        <w:rPr>
          <w:color w:val="auto"/>
          <w:highlight w:val="none"/>
        </w:rPr>
      </w:pPr>
      <w:r>
        <w:rPr>
          <w:rFonts w:hint="eastAsia" w:cs="宋体"/>
          <w:color w:val="auto"/>
          <w:sz w:val="21"/>
          <w:szCs w:val="21"/>
          <w:highlight w:val="none"/>
        </w:rPr>
        <w:t>（2）向</w:t>
      </w:r>
      <w:r>
        <w:rPr>
          <w:rFonts w:hint="eastAsia" w:ascii="宋体" w:hAnsi="宋体" w:eastAsia="宋体" w:cs="宋体"/>
          <w:color w:val="auto"/>
          <w:sz w:val="21"/>
          <w:szCs w:val="21"/>
          <w:highlight w:val="none"/>
          <w:u w:val="single"/>
        </w:rPr>
        <w:t>滁州市琅琊区</w:t>
      </w:r>
      <w:r>
        <w:rPr>
          <w:rFonts w:hint="eastAsia" w:cs="宋体"/>
          <w:color w:val="auto"/>
          <w:sz w:val="21"/>
          <w:szCs w:val="21"/>
          <w:highlight w:val="none"/>
        </w:rPr>
        <w:t>人民法院起诉。</w:t>
      </w:r>
    </w:p>
    <w:p w14:paraId="0FC50793">
      <w:pPr>
        <w:pStyle w:val="20"/>
        <w:rPr>
          <w:color w:val="auto"/>
          <w:highlight w:val="none"/>
        </w:rPr>
      </w:pPr>
    </w:p>
    <w:bookmarkEnd w:id="41"/>
    <w:p w14:paraId="2A6A7231">
      <w:pPr>
        <w:snapToGrid w:val="0"/>
        <w:spacing w:line="360" w:lineRule="auto"/>
        <w:rPr>
          <w:rFonts w:hint="eastAsia" w:cs="宋体"/>
          <w:b/>
          <w:color w:val="auto"/>
          <w:sz w:val="21"/>
          <w:szCs w:val="21"/>
          <w:highlight w:val="none"/>
        </w:rPr>
      </w:pPr>
    </w:p>
    <w:p w14:paraId="7BAFE99C">
      <w:pPr>
        <w:widowControl/>
        <w:jc w:val="left"/>
        <w:rPr>
          <w:b/>
          <w:color w:val="auto"/>
          <w:sz w:val="24"/>
          <w:highlight w:val="none"/>
        </w:rPr>
      </w:pPr>
      <w:r>
        <w:rPr>
          <w:b/>
          <w:color w:val="auto"/>
          <w:sz w:val="24"/>
          <w:highlight w:val="none"/>
        </w:rPr>
        <w:br w:type="page"/>
      </w:r>
    </w:p>
    <w:p w14:paraId="66C7FFC7">
      <w:pPr>
        <w:spacing w:line="360" w:lineRule="auto"/>
        <w:jc w:val="center"/>
        <w:outlineLvl w:val="0"/>
        <w:rPr>
          <w:rFonts w:hint="eastAsia" w:asciiTheme="minorEastAsia" w:hAnsiTheme="minorEastAsia" w:eastAsiaTheme="minorEastAsia"/>
          <w:b/>
          <w:color w:val="auto"/>
          <w:sz w:val="28"/>
          <w:highlight w:val="none"/>
        </w:rPr>
      </w:pPr>
      <w:bookmarkStart w:id="554" w:name="_Toc22734"/>
      <w:r>
        <w:rPr>
          <w:rFonts w:hint="eastAsia" w:asciiTheme="minorEastAsia" w:hAnsiTheme="minorEastAsia" w:eastAsiaTheme="minorEastAsia"/>
          <w:b/>
          <w:color w:val="auto"/>
          <w:sz w:val="28"/>
          <w:highlight w:val="none"/>
        </w:rPr>
        <w:t>第六章  响应文件格式</w:t>
      </w:r>
      <w:bookmarkEnd w:id="554"/>
    </w:p>
    <w:p w14:paraId="0026F922">
      <w:pPr>
        <w:spacing w:line="900" w:lineRule="exact"/>
        <w:jc w:val="center"/>
        <w:rPr>
          <w:rFonts w:asciiTheme="minorEastAsia" w:hAnsiTheme="minorEastAsia" w:eastAsiaTheme="minorEastAsia"/>
          <w:b/>
          <w:color w:val="auto"/>
          <w:sz w:val="72"/>
          <w:highlight w:val="none"/>
        </w:rPr>
      </w:pPr>
    </w:p>
    <w:p w14:paraId="1BB3397C">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11151765">
      <w:pPr>
        <w:spacing w:line="900" w:lineRule="exact"/>
        <w:jc w:val="center"/>
        <w:rPr>
          <w:rFonts w:asciiTheme="minorEastAsia" w:hAnsiTheme="minorEastAsia" w:eastAsiaTheme="minorEastAsia"/>
          <w:b/>
          <w:color w:val="auto"/>
          <w:sz w:val="72"/>
          <w:highlight w:val="none"/>
        </w:rPr>
      </w:pPr>
    </w:p>
    <w:p w14:paraId="0C80DA94">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77625344">
      <w:pPr>
        <w:spacing w:line="900" w:lineRule="exact"/>
        <w:jc w:val="center"/>
        <w:rPr>
          <w:rFonts w:asciiTheme="minorEastAsia" w:hAnsiTheme="minorEastAsia" w:eastAsiaTheme="minorEastAsia"/>
          <w:b/>
          <w:color w:val="auto"/>
          <w:sz w:val="72"/>
          <w:highlight w:val="none"/>
        </w:rPr>
      </w:pPr>
    </w:p>
    <w:p w14:paraId="704DCA4B">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0626A92C">
      <w:pPr>
        <w:spacing w:line="900" w:lineRule="exact"/>
        <w:jc w:val="center"/>
        <w:rPr>
          <w:rFonts w:asciiTheme="minorEastAsia" w:hAnsiTheme="minorEastAsia" w:eastAsiaTheme="minorEastAsia"/>
          <w:b/>
          <w:color w:val="auto"/>
          <w:sz w:val="72"/>
          <w:highlight w:val="none"/>
        </w:rPr>
      </w:pPr>
    </w:p>
    <w:p w14:paraId="589DAE24">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3BBD0592">
      <w:pPr>
        <w:spacing w:after="156" w:afterLines="50"/>
        <w:jc w:val="center"/>
        <w:rPr>
          <w:rFonts w:asciiTheme="minorEastAsia" w:hAnsiTheme="minorEastAsia" w:eastAsiaTheme="minorEastAsia"/>
          <w:b/>
          <w:color w:val="auto"/>
          <w:sz w:val="72"/>
          <w:highlight w:val="none"/>
        </w:rPr>
      </w:pPr>
    </w:p>
    <w:p w14:paraId="75C4A628">
      <w:pPr>
        <w:spacing w:after="156" w:afterLines="50" w:line="500" w:lineRule="exact"/>
        <w:jc w:val="center"/>
        <w:rPr>
          <w:rFonts w:asciiTheme="minorEastAsia" w:hAnsiTheme="minorEastAsia" w:eastAsiaTheme="minorEastAsia"/>
          <w:b/>
          <w:color w:val="auto"/>
          <w:sz w:val="28"/>
          <w:szCs w:val="28"/>
          <w:highlight w:val="none"/>
        </w:rPr>
      </w:pPr>
    </w:p>
    <w:p w14:paraId="22E1C376">
      <w:pPr>
        <w:tabs>
          <w:tab w:val="left" w:pos="2410"/>
        </w:tabs>
        <w:autoSpaceDE w:val="0"/>
        <w:autoSpaceDN w:val="0"/>
        <w:adjustRightInd w:val="0"/>
        <w:snapToGrid w:val="0"/>
        <w:spacing w:line="360" w:lineRule="auto"/>
        <w:ind w:firstLine="1928" w:firstLineChars="6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3834EFA8">
      <w:pPr>
        <w:tabs>
          <w:tab w:val="left" w:pos="2410"/>
        </w:tabs>
        <w:autoSpaceDE w:val="0"/>
        <w:autoSpaceDN w:val="0"/>
        <w:adjustRightInd w:val="0"/>
        <w:snapToGrid w:val="0"/>
        <w:spacing w:line="360" w:lineRule="auto"/>
        <w:ind w:firstLine="1928" w:firstLineChars="6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6E9BBC3B">
      <w:pPr>
        <w:tabs>
          <w:tab w:val="left" w:pos="2410"/>
        </w:tabs>
        <w:autoSpaceDE w:val="0"/>
        <w:autoSpaceDN w:val="0"/>
        <w:adjustRightInd w:val="0"/>
        <w:snapToGrid w:val="0"/>
        <w:spacing w:line="360" w:lineRule="auto"/>
        <w:ind w:firstLine="1928" w:firstLineChars="6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供 应 商</w:t>
      </w:r>
      <w:r>
        <w:rPr>
          <w:rFonts w:hint="eastAsia" w:asciiTheme="minorEastAsia" w:hAnsiTheme="minorEastAsia" w:eastAsiaTheme="minorEastAsia"/>
          <w:b/>
          <w:color w:val="auto"/>
          <w:sz w:val="32"/>
          <w:highlight w:val="none"/>
        </w:rPr>
        <w:t>：</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46F7FACD">
      <w:pPr>
        <w:spacing w:after="156" w:afterLines="50" w:line="500" w:lineRule="exact"/>
        <w:jc w:val="center"/>
        <w:outlineLvl w:val="1"/>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555" w:name="_Toc19892"/>
      <w:bookmarkStart w:id="556" w:name="_Toc24911"/>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555"/>
      <w:bookmarkEnd w:id="556"/>
    </w:p>
    <w:p w14:paraId="70293E1E">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3267B689">
      <w:pPr>
        <w:spacing w:line="360" w:lineRule="auto"/>
        <w:jc w:val="center"/>
        <w:outlineLvl w:val="1"/>
        <w:rPr>
          <w:rFonts w:asciiTheme="minorEastAsia" w:hAnsiTheme="minorEastAsia" w:eastAsiaTheme="minorEastAsia"/>
          <w:b/>
          <w:color w:val="auto"/>
          <w:sz w:val="24"/>
          <w:highlight w:val="none"/>
        </w:rPr>
      </w:pPr>
      <w:bookmarkStart w:id="557" w:name="_Toc461053086"/>
      <w:bookmarkStart w:id="558" w:name="_Toc461056631"/>
      <w:bookmarkStart w:id="559" w:name="_Toc520983587"/>
      <w:bookmarkStart w:id="560" w:name="_Toc21496"/>
      <w:bookmarkStart w:id="561" w:name="_Toc28280"/>
      <w:r>
        <w:rPr>
          <w:rFonts w:hint="eastAsia" w:asciiTheme="minorEastAsia" w:hAnsiTheme="minorEastAsia" w:eastAsiaTheme="minorEastAsia"/>
          <w:b/>
          <w:color w:val="auto"/>
          <w:sz w:val="24"/>
          <w:highlight w:val="none"/>
        </w:rPr>
        <w:t>一</w:t>
      </w:r>
      <w:bookmarkEnd w:id="557"/>
      <w:bookmarkEnd w:id="558"/>
      <w:r>
        <w:rPr>
          <w:rFonts w:hint="eastAsia" w:asciiTheme="minorEastAsia" w:hAnsiTheme="minorEastAsia" w:eastAsiaTheme="minorEastAsia"/>
          <w:b/>
          <w:color w:val="auto"/>
          <w:sz w:val="24"/>
          <w:highlight w:val="none"/>
        </w:rPr>
        <w:t>、报价表格式</w:t>
      </w:r>
      <w:bookmarkEnd w:id="559"/>
      <w:bookmarkEnd w:id="560"/>
      <w:bookmarkEnd w:id="561"/>
    </w:p>
    <w:p w14:paraId="499F6503">
      <w:pPr>
        <w:spacing w:before="156" w:beforeLines="50" w:after="156" w:afterLines="50" w:line="360" w:lineRule="auto"/>
        <w:jc w:val="left"/>
        <w:outlineLvl w:val="2"/>
        <w:rPr>
          <w:rFonts w:cs="@仿宋_GB2312"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b/>
          <w:color w:val="auto"/>
          <w:kern w:val="2"/>
          <w:sz w:val="24"/>
          <w:szCs w:val="24"/>
          <w:highlight w:val="none"/>
        </w:rPr>
        <w:t>1-1 报价表</w:t>
      </w:r>
    </w:p>
    <w:p w14:paraId="45C61FD1">
      <w:pPr>
        <w:snapToGrid w:val="0"/>
        <w:spacing w:line="360" w:lineRule="auto"/>
        <w:jc w:val="left"/>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某项目    </w:t>
      </w:r>
    </w:p>
    <w:p w14:paraId="13149398">
      <w:pPr>
        <w:snapToGrid w:val="0"/>
        <w:spacing w:after="156" w:afterLines="50" w:line="360" w:lineRule="auto"/>
        <w:jc w:val="left"/>
        <w:rPr>
          <w:rFonts w:cs="宋体" w:asciiTheme="minorEastAsia" w:hAnsiTheme="minorEastAsia" w:eastAsiaTheme="minorEastAsia"/>
          <w:b/>
          <w:bCs/>
          <w:color w:val="auto"/>
          <w:kern w:val="2"/>
          <w:sz w:val="24"/>
          <w:szCs w:val="24"/>
          <w:highlight w:val="none"/>
          <w:u w:val="single"/>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某编号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73F3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7829370">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557" w:type="pct"/>
            <w:tcBorders>
              <w:left w:val="single" w:color="auto" w:sz="4" w:space="0"/>
            </w:tcBorders>
          </w:tcPr>
          <w:p w14:paraId="75C360A2">
            <w:pPr>
              <w:rPr>
                <w:rFonts w:cs="宋体" w:asciiTheme="minorEastAsia" w:hAnsiTheme="minorEastAsia" w:eastAsiaTheme="minorEastAsia"/>
                <w:b/>
                <w:color w:val="auto"/>
                <w:kern w:val="2"/>
                <w:sz w:val="24"/>
                <w:szCs w:val="24"/>
                <w:highlight w:val="none"/>
              </w:rPr>
            </w:pPr>
          </w:p>
        </w:tc>
      </w:tr>
      <w:tr w14:paraId="7C4D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ED7B545">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3557" w:type="pct"/>
            <w:tcBorders>
              <w:left w:val="single" w:color="auto" w:sz="4" w:space="0"/>
            </w:tcBorders>
            <w:vAlign w:val="center"/>
          </w:tcPr>
          <w:p w14:paraId="1C93AA45">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全部 / 第</w:t>
            </w:r>
            <w:r>
              <w:rPr>
                <w:rFonts w:hint="eastAsia" w:cs="@仿宋_GB2312" w:asciiTheme="minorEastAsia" w:hAnsiTheme="minorEastAsia" w:eastAsiaTheme="minorEastAsia"/>
                <w:color w:val="auto"/>
                <w:kern w:val="2"/>
                <w:sz w:val="24"/>
                <w:szCs w:val="28"/>
                <w:highlight w:val="none"/>
                <w:u w:val="single"/>
              </w:rPr>
              <w:t xml:space="preserve">   </w:t>
            </w:r>
            <w:r>
              <w:rPr>
                <w:rFonts w:hint="eastAsia" w:cs="@仿宋_GB2312" w:asciiTheme="minorEastAsia" w:hAnsiTheme="minorEastAsia" w:eastAsiaTheme="minorEastAsia"/>
                <w:color w:val="auto"/>
                <w:kern w:val="2"/>
                <w:sz w:val="24"/>
                <w:szCs w:val="28"/>
                <w:highlight w:val="none"/>
              </w:rPr>
              <w:t>包</w:t>
            </w:r>
          </w:p>
        </w:tc>
      </w:tr>
      <w:tr w14:paraId="45829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6CD918C6">
            <w:pPr>
              <w:spacing w:line="360" w:lineRule="auto"/>
              <w:jc w:val="center"/>
              <w:rPr>
                <w:rFonts w:cs="@仿宋_GB2312"/>
                <w:b/>
                <w:color w:val="auto"/>
                <w:kern w:val="2"/>
                <w:sz w:val="24"/>
                <w:highlight w:val="none"/>
              </w:rPr>
            </w:pPr>
            <w:r>
              <w:rPr>
                <w:rFonts w:hint="eastAsia" w:cs="@仿宋_GB2312"/>
                <w:b/>
                <w:color w:val="auto"/>
                <w:kern w:val="2"/>
                <w:sz w:val="24"/>
                <w:highlight w:val="none"/>
              </w:rPr>
              <w:t>报价</w:t>
            </w:r>
          </w:p>
          <w:p w14:paraId="49FFC24F">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557" w:type="pct"/>
            <w:vAlign w:val="center"/>
          </w:tcPr>
          <w:p w14:paraId="56C39425">
            <w:pPr>
              <w:snapToGrid w:val="0"/>
              <w:rPr>
                <w:rFonts w:cs="宋体" w:asciiTheme="minorEastAsia" w:hAnsiTheme="minorEastAsia" w:eastAsiaTheme="minorEastAsia"/>
                <w:color w:val="auto"/>
                <w:kern w:val="2"/>
                <w:sz w:val="24"/>
                <w:szCs w:val="24"/>
                <w:highlight w:val="none"/>
              </w:rPr>
            </w:pPr>
          </w:p>
          <w:p w14:paraId="55564674">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F2FEDE3">
            <w:pPr>
              <w:spacing w:line="360" w:lineRule="auto"/>
              <w:ind w:right="-670"/>
              <w:rPr>
                <w:rFonts w:hint="eastAsia"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32296DB1">
            <w:pPr>
              <w:snapToGrid w:val="0"/>
              <w:rPr>
                <w:rFonts w:cs="宋体" w:asciiTheme="minorEastAsia" w:hAnsiTheme="minorEastAsia" w:eastAsiaTheme="minorEastAsia"/>
                <w:b/>
                <w:color w:val="auto"/>
                <w:kern w:val="2"/>
                <w:sz w:val="24"/>
                <w:szCs w:val="24"/>
                <w:highlight w:val="none"/>
              </w:rPr>
            </w:pPr>
          </w:p>
        </w:tc>
      </w:tr>
      <w:tr w14:paraId="5CE1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F2CAC76">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557" w:type="pct"/>
            <w:vAlign w:val="center"/>
          </w:tcPr>
          <w:p w14:paraId="76723329">
            <w:pPr>
              <w:snapToGrid w:val="0"/>
              <w:rPr>
                <w:rFonts w:cs="宋体" w:asciiTheme="minorEastAsia" w:hAnsiTheme="minorEastAsia" w:eastAsiaTheme="minorEastAsia"/>
                <w:b/>
                <w:color w:val="auto"/>
                <w:kern w:val="2"/>
                <w:sz w:val="24"/>
                <w:szCs w:val="24"/>
                <w:highlight w:val="none"/>
              </w:rPr>
            </w:pPr>
          </w:p>
        </w:tc>
      </w:tr>
      <w:tr w14:paraId="0012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0DB5332">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557" w:type="pct"/>
            <w:vAlign w:val="center"/>
          </w:tcPr>
          <w:p w14:paraId="7B8FD3AC">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Cs/>
                <w:color w:val="auto"/>
                <w:kern w:val="2"/>
                <w:sz w:val="24"/>
                <w:szCs w:val="24"/>
                <w:highlight w:val="none"/>
                <w:lang w:val="en-US" w:eastAsia="zh-CN"/>
              </w:rPr>
              <w:t xml:space="preserve"> </w:t>
            </w:r>
            <w:r>
              <w:rPr>
                <w:rFonts w:hint="eastAsia" w:cs="宋体" w:asciiTheme="minorEastAsia" w:hAnsiTheme="minorEastAsia" w:eastAsiaTheme="minorEastAsia"/>
                <w:bCs/>
                <w:color w:val="auto"/>
                <w:kern w:val="2"/>
                <w:sz w:val="24"/>
                <w:szCs w:val="24"/>
                <w:highlight w:val="none"/>
                <w:u w:val="single"/>
              </w:rPr>
              <w:t xml:space="preserve">        </w:t>
            </w:r>
            <w:r>
              <w:rPr>
                <w:rFonts w:hint="eastAsia" w:cs="宋体" w:asciiTheme="minorEastAsia" w:hAnsiTheme="minorEastAsia" w:eastAsiaTheme="minorEastAsia"/>
                <w:bCs/>
                <w:color w:val="auto"/>
                <w:kern w:val="2"/>
                <w:sz w:val="24"/>
                <w:szCs w:val="24"/>
                <w:highlight w:val="none"/>
              </w:rPr>
              <w:t>日历天完工</w:t>
            </w:r>
          </w:p>
        </w:tc>
      </w:tr>
      <w:tr w14:paraId="5395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5C2B0C25">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557" w:type="pct"/>
            <w:vAlign w:val="center"/>
          </w:tcPr>
          <w:p w14:paraId="67730734">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7AF5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79928643">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557" w:type="pct"/>
          </w:tcPr>
          <w:p w14:paraId="3411E2F8">
            <w:pPr>
              <w:rPr>
                <w:rFonts w:cs="宋体" w:asciiTheme="minorEastAsia" w:hAnsiTheme="minorEastAsia" w:eastAsiaTheme="minorEastAsia"/>
                <w:b/>
                <w:color w:val="auto"/>
                <w:kern w:val="2"/>
                <w:sz w:val="24"/>
                <w:szCs w:val="24"/>
                <w:highlight w:val="none"/>
              </w:rPr>
            </w:pPr>
          </w:p>
        </w:tc>
      </w:tr>
    </w:tbl>
    <w:p w14:paraId="4B3938D1">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供应商电子签章：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338D1277">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415F79F8">
      <w:pPr>
        <w:adjustRightInd w:val="0"/>
        <w:snapToGrid w:val="0"/>
        <w:spacing w:line="360" w:lineRule="auto"/>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014E0DA2">
      <w:pPr>
        <w:adjustRightInd w:val="0"/>
        <w:snapToGrid w:val="0"/>
        <w:spacing w:line="360" w:lineRule="auto"/>
        <w:ind w:firstLine="482"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1.本表内容根据磋商文件要求包括了磋商文件要求提供的全部内容的所有费用。</w:t>
      </w:r>
    </w:p>
    <w:p w14:paraId="12FC1973">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2.特殊事项在备注中注明。</w:t>
      </w:r>
    </w:p>
    <w:p w14:paraId="316014E1">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4BD7B0DD">
      <w:pPr>
        <w:adjustRightInd w:val="0"/>
        <w:snapToGrid w:val="0"/>
        <w:spacing w:line="360" w:lineRule="auto"/>
        <w:ind w:firstLine="482" w:firstLineChars="200"/>
        <w:rPr>
          <w:rFonts w:cs="宋体" w:asciiTheme="minorEastAsia" w:hAnsiTheme="minorEastAsia" w:eastAsiaTheme="minorEastAsia"/>
          <w:b/>
          <w:bCs/>
          <w:color w:val="auto"/>
          <w:kern w:val="2"/>
          <w:sz w:val="24"/>
          <w:szCs w:val="24"/>
          <w:highlight w:val="none"/>
        </w:rPr>
      </w:pPr>
      <w:r>
        <w:rPr>
          <w:rFonts w:cs="宋体" w:asciiTheme="minorEastAsia" w:hAnsiTheme="minorEastAsia" w:eastAsiaTheme="minorEastAsia"/>
          <w:b/>
          <w:bCs/>
          <w:color w:val="auto"/>
          <w:kern w:val="2"/>
          <w:sz w:val="24"/>
          <w:szCs w:val="24"/>
          <w:highlight w:val="none"/>
        </w:rPr>
        <w:br w:type="page"/>
      </w:r>
    </w:p>
    <w:p w14:paraId="4DA529FA">
      <w:pPr>
        <w:adjustRightInd w:val="0"/>
        <w:snapToGrid w:val="0"/>
        <w:spacing w:line="360" w:lineRule="auto"/>
        <w:outlineLvl w:val="2"/>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kern w:val="2"/>
          <w:sz w:val="24"/>
          <w:szCs w:val="24"/>
          <w:highlight w:val="none"/>
        </w:rPr>
        <w:t>1-2 工程量清单报价书</w:t>
      </w:r>
    </w:p>
    <w:p w14:paraId="314CD139">
      <w:pPr>
        <w:autoSpaceDE w:val="0"/>
        <w:autoSpaceDN w:val="0"/>
        <w:adjustRightInd w:val="0"/>
        <w:spacing w:before="20" w:after="20" w:line="360" w:lineRule="auto"/>
        <w:jc w:val="center"/>
        <w:outlineLvl w:val="1"/>
        <w:rPr>
          <w:rFonts w:cs="宋体" w:asciiTheme="minorEastAsia" w:hAnsiTheme="minorEastAsia" w:eastAsiaTheme="minorEastAsia"/>
          <w:b/>
          <w:color w:val="auto"/>
          <w:sz w:val="24"/>
          <w:szCs w:val="24"/>
          <w:highlight w:val="none"/>
        </w:rPr>
      </w:pPr>
      <w:bookmarkStart w:id="562" w:name="_Toc26702"/>
      <w:bookmarkStart w:id="563" w:name="_Toc1874"/>
      <w:r>
        <w:rPr>
          <w:rFonts w:hint="eastAsia" w:cs="宋体" w:asciiTheme="minorEastAsia" w:hAnsiTheme="minorEastAsia" w:eastAsiaTheme="minorEastAsia"/>
          <w:b/>
          <w:color w:val="auto"/>
          <w:sz w:val="24"/>
          <w:szCs w:val="24"/>
          <w:highlight w:val="none"/>
        </w:rPr>
        <w:t>工程量清单报价书</w:t>
      </w:r>
      <w:bookmarkEnd w:id="562"/>
      <w:bookmarkEnd w:id="563"/>
    </w:p>
    <w:p w14:paraId="12CF9A14">
      <w:pPr>
        <w:adjustRightInd w:val="0"/>
        <w:snapToGrid w:val="0"/>
        <w:spacing w:line="360" w:lineRule="auto"/>
        <w:ind w:firstLine="422" w:firstLineChars="200"/>
        <w:jc w:val="center"/>
        <w:rPr>
          <w:b/>
          <w:bCs/>
          <w:color w:val="auto"/>
          <w:sz w:val="24"/>
          <w:szCs w:val="28"/>
          <w:highlight w:val="none"/>
        </w:rPr>
      </w:pPr>
      <w:r>
        <w:rPr>
          <w:rFonts w:hint="eastAsia" w:cs="宋体" w:asciiTheme="minorEastAsia" w:hAnsiTheme="minorEastAsia" w:eastAsiaTheme="minorEastAsia"/>
          <w:b/>
          <w:color w:val="auto"/>
          <w:kern w:val="2"/>
          <w:sz w:val="21"/>
          <w:szCs w:val="24"/>
          <w:highlight w:val="none"/>
        </w:rPr>
        <w:t>（格式详见工程量清单）</w:t>
      </w:r>
    </w:p>
    <w:p w14:paraId="3D9A3379">
      <w:pPr>
        <w:rPr>
          <w:b/>
          <w:bCs/>
          <w:color w:val="auto"/>
          <w:sz w:val="24"/>
          <w:szCs w:val="28"/>
          <w:highlight w:val="none"/>
        </w:rPr>
      </w:pPr>
      <w:r>
        <w:rPr>
          <w:b/>
          <w:bCs/>
          <w:color w:val="auto"/>
          <w:sz w:val="24"/>
          <w:szCs w:val="28"/>
          <w:highlight w:val="none"/>
        </w:rPr>
        <w:br w:type="page"/>
      </w:r>
    </w:p>
    <w:p w14:paraId="34C2F270">
      <w:pPr>
        <w:jc w:val="center"/>
        <w:rPr>
          <w:rFonts w:ascii="Calibri" w:hAnsi="Calibri"/>
          <w:b/>
          <w:color w:val="auto"/>
          <w:sz w:val="24"/>
          <w:szCs w:val="24"/>
          <w:highlight w:val="none"/>
        </w:rPr>
      </w:pPr>
      <w:r>
        <w:rPr>
          <w:rFonts w:hint="eastAsia" w:ascii="FangSong_GB2312" w:hAnsi="Calibri" w:eastAsia="FangSong_GB2312"/>
          <w:b/>
          <w:color w:val="auto"/>
          <w:sz w:val="24"/>
          <w:szCs w:val="24"/>
          <w:highlight w:val="none"/>
        </w:rPr>
        <w:t>①</w:t>
      </w:r>
      <w:r>
        <w:rPr>
          <w:rFonts w:hint="eastAsia" w:ascii="Calibri" w:hAnsi="Calibri"/>
          <w:b/>
          <w:color w:val="auto"/>
          <w:sz w:val="24"/>
          <w:szCs w:val="24"/>
          <w:highlight w:val="none"/>
        </w:rPr>
        <w:t>工程量清单报价书（封面）</w:t>
      </w:r>
    </w:p>
    <w:p w14:paraId="4EB33A95">
      <w:pPr>
        <w:ind w:firstLine="482" w:firstLineChars="200"/>
        <w:jc w:val="center"/>
        <w:rPr>
          <w:rFonts w:hint="default" w:ascii="Calibri" w:hAnsi="Calibri"/>
          <w:b/>
          <w:color w:val="auto"/>
          <w:sz w:val="24"/>
          <w:szCs w:val="24"/>
          <w:highlight w:val="none"/>
        </w:rPr>
      </w:pPr>
    </w:p>
    <w:p w14:paraId="5E52BDBE">
      <w:pPr>
        <w:ind w:firstLine="482" w:firstLineChars="200"/>
        <w:jc w:val="center"/>
        <w:rPr>
          <w:rFonts w:ascii="Calibri" w:hAnsi="Calibri"/>
          <w:b/>
          <w:color w:val="auto"/>
          <w:sz w:val="24"/>
          <w:szCs w:val="24"/>
          <w:highlight w:val="none"/>
        </w:rPr>
      </w:pPr>
      <w:r>
        <w:rPr>
          <w:rFonts w:hint="default" w:ascii="Calibri" w:hAnsi="Calibri"/>
          <w:b/>
          <w:color w:val="auto"/>
          <w:sz w:val="24"/>
          <w:szCs w:val="24"/>
          <w:highlight w:val="none"/>
        </w:rPr>
        <w:t>响应</w:t>
      </w:r>
      <w:r>
        <w:rPr>
          <w:rFonts w:hint="eastAsia" w:ascii="Calibri" w:hAnsi="Calibri"/>
          <w:b/>
          <w:color w:val="auto"/>
          <w:sz w:val="24"/>
          <w:szCs w:val="24"/>
          <w:highlight w:val="none"/>
        </w:rPr>
        <w:t>总价</w:t>
      </w:r>
    </w:p>
    <w:p w14:paraId="0D3BF8D9">
      <w:pPr>
        <w:spacing w:line="800" w:lineRule="exact"/>
        <w:ind w:firstLine="480" w:firstLineChars="200"/>
        <w:rPr>
          <w:rFonts w:ascii="Calibri" w:hAnsi="Calibri"/>
          <w:color w:val="auto"/>
          <w:sz w:val="24"/>
          <w:szCs w:val="24"/>
          <w:highlight w:val="none"/>
          <w:u w:val="single"/>
        </w:rPr>
      </w:pPr>
      <w:r>
        <w:rPr>
          <w:rFonts w:hint="default" w:ascii="Calibri" w:hAnsi="Calibri"/>
          <w:color w:val="auto"/>
          <w:sz w:val="24"/>
          <w:szCs w:val="24"/>
          <w:highlight w:val="none"/>
        </w:rPr>
        <w:t>采购人</w:t>
      </w:r>
      <w:r>
        <w:rPr>
          <w:rFonts w:hint="eastAsia" w:ascii="Calibri" w:hAnsi="Calibri"/>
          <w:color w:val="auto"/>
          <w:sz w:val="24"/>
          <w:szCs w:val="24"/>
          <w:highlight w:val="none"/>
        </w:rPr>
        <w:t>：</w:t>
      </w:r>
      <w:r>
        <w:rPr>
          <w:rFonts w:hint="eastAsia" w:ascii="Calibri" w:hAnsi="Calibri"/>
          <w:color w:val="auto"/>
          <w:sz w:val="24"/>
          <w:szCs w:val="24"/>
          <w:highlight w:val="none"/>
          <w:u w:val="single"/>
        </w:rPr>
        <w:t xml:space="preserve">                                                 </w:t>
      </w:r>
    </w:p>
    <w:p w14:paraId="193E5C4E">
      <w:pPr>
        <w:spacing w:line="800" w:lineRule="exact"/>
        <w:ind w:firstLine="480" w:firstLineChars="200"/>
        <w:rPr>
          <w:rFonts w:ascii="Calibri" w:hAnsi="Calibri"/>
          <w:color w:val="auto"/>
          <w:sz w:val="24"/>
          <w:szCs w:val="24"/>
          <w:highlight w:val="none"/>
        </w:rPr>
      </w:pPr>
      <w:r>
        <w:rPr>
          <w:rFonts w:hint="eastAsia" w:ascii="Calibri" w:hAnsi="Calibri"/>
          <w:color w:val="auto"/>
          <w:sz w:val="24"/>
          <w:szCs w:val="24"/>
          <w:highlight w:val="none"/>
        </w:rPr>
        <w:t>工程名称：</w:t>
      </w:r>
      <w:r>
        <w:rPr>
          <w:rFonts w:hint="eastAsia" w:ascii="Calibri" w:hAnsi="Calibri"/>
          <w:color w:val="auto"/>
          <w:sz w:val="24"/>
          <w:szCs w:val="24"/>
          <w:highlight w:val="none"/>
          <w:u w:val="single"/>
        </w:rPr>
        <w:t xml:space="preserve">                                               </w:t>
      </w:r>
    </w:p>
    <w:p w14:paraId="1D80C54C">
      <w:pPr>
        <w:spacing w:line="800" w:lineRule="exact"/>
        <w:ind w:firstLine="480" w:firstLineChars="200"/>
        <w:rPr>
          <w:rFonts w:ascii="Calibri" w:hAnsi="Calibri"/>
          <w:color w:val="auto"/>
          <w:sz w:val="24"/>
          <w:szCs w:val="24"/>
          <w:highlight w:val="none"/>
          <w:u w:val="single"/>
        </w:rPr>
      </w:pPr>
      <w:r>
        <w:rPr>
          <w:rFonts w:hint="default" w:ascii="Calibri" w:hAnsi="Calibri"/>
          <w:color w:val="auto"/>
          <w:sz w:val="24"/>
          <w:szCs w:val="24"/>
          <w:highlight w:val="none"/>
        </w:rPr>
        <w:t>响应</w:t>
      </w:r>
      <w:r>
        <w:rPr>
          <w:rFonts w:hint="eastAsia" w:ascii="Calibri" w:hAnsi="Calibri"/>
          <w:color w:val="auto"/>
          <w:sz w:val="24"/>
          <w:szCs w:val="24"/>
          <w:highlight w:val="none"/>
        </w:rPr>
        <w:t>总价（小写）：</w:t>
      </w:r>
      <w:r>
        <w:rPr>
          <w:rFonts w:hint="eastAsia" w:ascii="Calibri" w:hAnsi="Calibri"/>
          <w:color w:val="auto"/>
          <w:sz w:val="24"/>
          <w:szCs w:val="24"/>
          <w:highlight w:val="none"/>
          <w:u w:val="single"/>
        </w:rPr>
        <w:t xml:space="preserve">                                       </w:t>
      </w:r>
    </w:p>
    <w:p w14:paraId="17C12397">
      <w:pPr>
        <w:spacing w:line="800" w:lineRule="exact"/>
        <w:ind w:firstLine="1440" w:firstLineChars="600"/>
        <w:rPr>
          <w:rFonts w:ascii="Calibri" w:hAnsi="Calibri"/>
          <w:color w:val="auto"/>
          <w:sz w:val="24"/>
          <w:szCs w:val="24"/>
          <w:highlight w:val="none"/>
        </w:rPr>
      </w:pPr>
      <w:r>
        <w:rPr>
          <w:rFonts w:hint="eastAsia" w:ascii="Calibri" w:hAnsi="Calibri"/>
          <w:color w:val="auto"/>
          <w:sz w:val="24"/>
          <w:szCs w:val="24"/>
          <w:highlight w:val="none"/>
        </w:rPr>
        <w:t>（大写）：</w:t>
      </w:r>
      <w:r>
        <w:rPr>
          <w:rFonts w:hint="eastAsia" w:ascii="Calibri" w:hAnsi="Calibri"/>
          <w:color w:val="auto"/>
          <w:sz w:val="24"/>
          <w:szCs w:val="24"/>
          <w:highlight w:val="none"/>
          <w:u w:val="single"/>
        </w:rPr>
        <w:t xml:space="preserve">                                       </w:t>
      </w:r>
    </w:p>
    <w:p w14:paraId="36E4DB08">
      <w:pPr>
        <w:spacing w:line="800" w:lineRule="exact"/>
        <w:ind w:firstLine="480" w:firstLineChars="200"/>
        <w:rPr>
          <w:rFonts w:ascii="Calibri" w:hAnsi="Calibri"/>
          <w:color w:val="auto"/>
          <w:sz w:val="24"/>
          <w:szCs w:val="24"/>
          <w:highlight w:val="none"/>
        </w:rPr>
      </w:pPr>
    </w:p>
    <w:p w14:paraId="0F2DE4A0">
      <w:pPr>
        <w:spacing w:line="800" w:lineRule="exact"/>
        <w:ind w:firstLine="480" w:firstLineChars="200"/>
        <w:rPr>
          <w:rFonts w:ascii="Calibri" w:hAnsi="Calibri"/>
          <w:color w:val="auto"/>
          <w:sz w:val="24"/>
          <w:szCs w:val="24"/>
          <w:highlight w:val="none"/>
        </w:rPr>
      </w:pPr>
      <w:r>
        <w:rPr>
          <w:rFonts w:hint="default" w:ascii="Calibri" w:hAnsi="Calibri"/>
          <w:color w:val="auto"/>
          <w:sz w:val="24"/>
          <w:szCs w:val="24"/>
          <w:highlight w:val="none"/>
        </w:rPr>
        <w:t>供应商</w:t>
      </w:r>
      <w:r>
        <w:rPr>
          <w:rFonts w:hint="eastAsia" w:ascii="Calibri" w:hAnsi="Calibri"/>
          <w:color w:val="auto"/>
          <w:sz w:val="24"/>
          <w:szCs w:val="24"/>
          <w:highlight w:val="none"/>
        </w:rPr>
        <w:t>：</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 xml:space="preserve"> (单位盖章)</w:t>
      </w:r>
    </w:p>
    <w:p w14:paraId="318099F3">
      <w:pPr>
        <w:spacing w:line="800" w:lineRule="exact"/>
        <w:ind w:firstLine="480" w:firstLineChars="200"/>
        <w:rPr>
          <w:rFonts w:ascii="Calibri" w:hAnsi="Calibri"/>
          <w:color w:val="auto"/>
          <w:sz w:val="24"/>
          <w:szCs w:val="24"/>
          <w:highlight w:val="none"/>
        </w:rPr>
      </w:pPr>
      <w:r>
        <w:rPr>
          <w:rFonts w:hint="eastAsia" w:ascii="Calibri" w:hAnsi="Calibri"/>
          <w:color w:val="auto"/>
          <w:sz w:val="24"/>
          <w:szCs w:val="24"/>
          <w:highlight w:val="none"/>
        </w:rPr>
        <w:t>法定代表人：</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 xml:space="preserve"> (签字或盖章)</w:t>
      </w:r>
    </w:p>
    <w:p w14:paraId="4A8E325A">
      <w:pPr>
        <w:spacing w:line="800" w:lineRule="exact"/>
        <w:ind w:firstLine="480" w:firstLineChars="200"/>
        <w:rPr>
          <w:rFonts w:ascii="Calibri" w:hAnsi="Calibri"/>
          <w:color w:val="auto"/>
          <w:sz w:val="24"/>
          <w:szCs w:val="24"/>
          <w:highlight w:val="none"/>
          <w:u w:val="single"/>
        </w:rPr>
      </w:pPr>
      <w:r>
        <w:rPr>
          <w:rFonts w:hint="eastAsia" w:ascii="Calibri" w:hAnsi="Calibri"/>
          <w:color w:val="auto"/>
          <w:sz w:val="24"/>
          <w:szCs w:val="24"/>
          <w:highlight w:val="none"/>
        </w:rPr>
        <w:t>编制人：</w:t>
      </w:r>
      <w:r>
        <w:rPr>
          <w:rFonts w:hint="eastAsia" w:ascii="Calibri" w:hAnsi="Calibri"/>
          <w:color w:val="auto"/>
          <w:sz w:val="24"/>
          <w:szCs w:val="24"/>
          <w:highlight w:val="none"/>
          <w:u w:val="single"/>
        </w:rPr>
        <w:t xml:space="preserve">                                                 </w:t>
      </w:r>
    </w:p>
    <w:p w14:paraId="4E5D508C">
      <w:pPr>
        <w:spacing w:line="800" w:lineRule="exact"/>
        <w:ind w:firstLine="2040" w:firstLineChars="850"/>
        <w:rPr>
          <w:rFonts w:ascii="Calibri" w:hAnsi="Calibri"/>
          <w:color w:val="auto"/>
          <w:sz w:val="24"/>
          <w:szCs w:val="24"/>
          <w:highlight w:val="none"/>
        </w:rPr>
      </w:pPr>
      <w:r>
        <w:rPr>
          <w:rFonts w:hint="eastAsia" w:ascii="Calibri" w:hAnsi="Calibri"/>
          <w:color w:val="auto"/>
          <w:sz w:val="24"/>
          <w:szCs w:val="24"/>
          <w:highlight w:val="none"/>
        </w:rPr>
        <w:t xml:space="preserve"> (注册造价工程师签字并盖执业专用章)</w:t>
      </w:r>
    </w:p>
    <w:p w14:paraId="4B69EEB3">
      <w:pPr>
        <w:spacing w:line="800" w:lineRule="exact"/>
        <w:ind w:firstLine="480" w:firstLineChars="200"/>
        <w:rPr>
          <w:rFonts w:ascii="Calibri" w:hAnsi="Calibri"/>
          <w:color w:val="auto"/>
          <w:sz w:val="24"/>
          <w:szCs w:val="24"/>
          <w:highlight w:val="none"/>
        </w:rPr>
      </w:pPr>
      <w:r>
        <w:rPr>
          <w:rFonts w:hint="eastAsia" w:ascii="Calibri" w:hAnsi="Calibri"/>
          <w:color w:val="auto"/>
          <w:sz w:val="24"/>
          <w:szCs w:val="24"/>
          <w:highlight w:val="none"/>
        </w:rPr>
        <w:t>编制时间：</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年</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月</w:t>
      </w:r>
      <w:r>
        <w:rPr>
          <w:rFonts w:hint="eastAsia" w:ascii="Calibri" w:hAnsi="Calibri"/>
          <w:color w:val="auto"/>
          <w:sz w:val="24"/>
          <w:szCs w:val="24"/>
          <w:highlight w:val="none"/>
          <w:u w:val="single"/>
        </w:rPr>
        <w:t xml:space="preserve">          </w:t>
      </w:r>
      <w:r>
        <w:rPr>
          <w:rFonts w:hint="eastAsia" w:ascii="Calibri" w:hAnsi="Calibri"/>
          <w:color w:val="auto"/>
          <w:sz w:val="24"/>
          <w:szCs w:val="24"/>
          <w:highlight w:val="none"/>
        </w:rPr>
        <w:t>日</w:t>
      </w:r>
    </w:p>
    <w:p w14:paraId="10153C07">
      <w:pPr>
        <w:rPr>
          <w:rFonts w:ascii="Calibri" w:hAnsi="Calibri"/>
          <w:color w:val="auto"/>
          <w:sz w:val="32"/>
          <w:szCs w:val="32"/>
          <w:highlight w:val="none"/>
        </w:rPr>
      </w:pPr>
    </w:p>
    <w:p w14:paraId="73B42FB7">
      <w:pPr>
        <w:rPr>
          <w:color w:val="auto"/>
          <w:highlight w:val="none"/>
        </w:rPr>
      </w:pPr>
      <w:r>
        <w:rPr>
          <w:color w:val="auto"/>
          <w:highlight w:val="none"/>
        </w:rPr>
        <w:br w:type="page"/>
      </w:r>
    </w:p>
    <w:p w14:paraId="0CB3451C">
      <w:pPr>
        <w:rPr>
          <w:color w:val="auto"/>
          <w:highlight w:val="none"/>
        </w:rPr>
      </w:pPr>
    </w:p>
    <w:p w14:paraId="58818940">
      <w:pPr>
        <w:spacing w:line="360" w:lineRule="auto"/>
        <w:jc w:val="center"/>
        <w:outlineLvl w:val="1"/>
        <w:rPr>
          <w:rFonts w:asciiTheme="minorEastAsia" w:hAnsiTheme="minorEastAsia" w:eastAsiaTheme="minorEastAsia"/>
          <w:b/>
          <w:color w:val="auto"/>
          <w:sz w:val="24"/>
          <w:highlight w:val="none"/>
        </w:rPr>
      </w:pPr>
      <w:bookmarkStart w:id="564" w:name="_Toc461056632"/>
      <w:bookmarkStart w:id="565" w:name="_Toc461053087"/>
      <w:bookmarkStart w:id="566" w:name="_Toc22341"/>
      <w:bookmarkStart w:id="567" w:name="_Toc520983588"/>
      <w:bookmarkStart w:id="568" w:name="_Toc20879"/>
      <w:r>
        <w:rPr>
          <w:rFonts w:hint="eastAsia" w:asciiTheme="minorEastAsia" w:hAnsiTheme="minorEastAsia" w:eastAsiaTheme="minorEastAsia"/>
          <w:b/>
          <w:color w:val="auto"/>
          <w:sz w:val="24"/>
          <w:highlight w:val="none"/>
        </w:rPr>
        <w:t>二</w:t>
      </w:r>
      <w:bookmarkEnd w:id="564"/>
      <w:bookmarkEnd w:id="565"/>
      <w:r>
        <w:rPr>
          <w:rFonts w:hint="eastAsia" w:asciiTheme="minorEastAsia" w:hAnsiTheme="minorEastAsia" w:eastAsiaTheme="minorEastAsia"/>
          <w:b/>
          <w:color w:val="auto"/>
          <w:sz w:val="24"/>
          <w:highlight w:val="none"/>
        </w:rPr>
        <w:t>、最后承诺报价表</w:t>
      </w:r>
      <w:bookmarkEnd w:id="566"/>
      <w:bookmarkEnd w:id="567"/>
      <w:bookmarkEnd w:id="568"/>
    </w:p>
    <w:p w14:paraId="5FD3A56E">
      <w:pPr>
        <w:spacing w:before="156" w:beforeLines="50" w:after="156" w:afterLines="50" w:line="360" w:lineRule="auto"/>
        <w:ind w:firstLine="236" w:firstLineChars="98"/>
        <w:jc w:val="center"/>
        <w:outlineLvl w:val="1"/>
        <w:rPr>
          <w:b/>
          <w:color w:val="auto"/>
          <w:sz w:val="24"/>
          <w:szCs w:val="28"/>
          <w:highlight w:val="none"/>
        </w:rPr>
      </w:pPr>
      <w:bookmarkStart w:id="569" w:name="_Toc8562"/>
      <w:bookmarkStart w:id="570" w:name="_Toc13333"/>
      <w:r>
        <w:rPr>
          <w:rFonts w:hint="eastAsia"/>
          <w:b/>
          <w:color w:val="auto"/>
          <w:sz w:val="24"/>
          <w:szCs w:val="28"/>
          <w:highlight w:val="none"/>
        </w:rPr>
        <w:t>（第</w:t>
      </w:r>
      <w:r>
        <w:rPr>
          <w:rFonts w:hint="eastAsia"/>
          <w:b/>
          <w:color w:val="auto"/>
          <w:sz w:val="24"/>
          <w:szCs w:val="28"/>
          <w:highlight w:val="none"/>
          <w:u w:val="single"/>
        </w:rPr>
        <w:t xml:space="preserve">   </w:t>
      </w:r>
      <w:r>
        <w:rPr>
          <w:rFonts w:hint="eastAsia"/>
          <w:b/>
          <w:color w:val="auto"/>
          <w:sz w:val="24"/>
          <w:szCs w:val="28"/>
          <w:highlight w:val="none"/>
        </w:rPr>
        <w:t>次报价书）</w:t>
      </w:r>
      <w:bookmarkEnd w:id="569"/>
      <w:bookmarkEnd w:id="570"/>
    </w:p>
    <w:p w14:paraId="0DF287C5">
      <w:pPr>
        <w:snapToGrid w:val="0"/>
        <w:spacing w:line="360" w:lineRule="auto"/>
        <w:jc w:val="left"/>
        <w:rPr>
          <w:rFonts w:hint="default" w:cs="宋体" w:asciiTheme="minorEastAsia" w:hAnsiTheme="minorEastAsia" w:eastAsiaTheme="minorEastAsia"/>
          <w:b/>
          <w:color w:val="auto"/>
          <w:kern w:val="2"/>
          <w:sz w:val="24"/>
          <w:szCs w:val="24"/>
          <w:highlight w:val="none"/>
          <w:lang w:val="en-US" w:eastAsia="zh-CN"/>
        </w:rPr>
      </w:pPr>
      <w:r>
        <w:rPr>
          <w:rFonts w:hint="eastAsia" w:cs="宋体" w:asciiTheme="minorEastAsia" w:hAnsiTheme="minorEastAsia" w:eastAsiaTheme="minorEastAsia"/>
          <w:b/>
          <w:color w:val="auto"/>
          <w:kern w:val="2"/>
          <w:sz w:val="24"/>
          <w:szCs w:val="24"/>
          <w:highlight w:val="none"/>
        </w:rPr>
        <w:t>项目名称：</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p w14:paraId="154CAF05">
      <w:pPr>
        <w:snapToGrid w:val="0"/>
        <w:spacing w:after="156" w:afterLines="50" w:line="360" w:lineRule="auto"/>
        <w:jc w:val="left"/>
        <w:rPr>
          <w:rFonts w:hint="default" w:cs="宋体" w:asciiTheme="minorEastAsia" w:hAnsiTheme="minorEastAsia" w:eastAsiaTheme="minorEastAsia"/>
          <w:b/>
          <w:bCs/>
          <w:color w:val="auto"/>
          <w:kern w:val="2"/>
          <w:sz w:val="24"/>
          <w:szCs w:val="24"/>
          <w:highlight w:val="none"/>
          <w:u w:val="single"/>
          <w:lang w:val="en-US" w:eastAsia="zh-CN"/>
        </w:rPr>
      </w:pPr>
      <w:r>
        <w:rPr>
          <w:rFonts w:hint="eastAsia" w:cs="宋体" w:asciiTheme="minorEastAsia" w:hAnsiTheme="minorEastAsia" w:eastAsiaTheme="minorEastAsia"/>
          <w:b/>
          <w:color w:val="auto"/>
          <w:kern w:val="2"/>
          <w:sz w:val="24"/>
          <w:szCs w:val="24"/>
          <w:highlight w:val="none"/>
        </w:rPr>
        <w:t>项目编号：</w:t>
      </w:r>
      <w:r>
        <w:rPr>
          <w:rFonts w:hint="eastAsia" w:cs="宋体" w:asciiTheme="minorEastAsia" w:hAnsiTheme="minorEastAsia" w:eastAsiaTheme="minorEastAsia"/>
          <w:b/>
          <w:color w:val="auto"/>
          <w:kern w:val="2"/>
          <w:sz w:val="24"/>
          <w:szCs w:val="24"/>
          <w:highlight w:val="none"/>
          <w:u w:val="single"/>
        </w:rPr>
        <w:t xml:space="preserve">     </w:t>
      </w:r>
      <w:r>
        <w:rPr>
          <w:rFonts w:hint="eastAsia" w:cs="宋体" w:asciiTheme="minorEastAsia" w:hAnsiTheme="minorEastAsia" w:eastAsiaTheme="minorEastAsia"/>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6BB31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7EF702A7">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供应商名称</w:t>
            </w:r>
          </w:p>
        </w:tc>
        <w:tc>
          <w:tcPr>
            <w:tcW w:w="3491" w:type="pct"/>
            <w:tcBorders>
              <w:left w:val="single" w:color="auto" w:sz="4" w:space="0"/>
            </w:tcBorders>
          </w:tcPr>
          <w:p w14:paraId="563D5916">
            <w:pPr>
              <w:rPr>
                <w:rFonts w:cs="宋体" w:asciiTheme="minorEastAsia" w:hAnsiTheme="minorEastAsia" w:eastAsiaTheme="minorEastAsia"/>
                <w:b/>
                <w:color w:val="auto"/>
                <w:kern w:val="2"/>
                <w:sz w:val="24"/>
                <w:szCs w:val="24"/>
                <w:highlight w:val="none"/>
              </w:rPr>
            </w:pPr>
          </w:p>
        </w:tc>
      </w:tr>
      <w:tr w14:paraId="22DB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0041F13B">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磋商</w:t>
            </w:r>
            <w:r>
              <w:rPr>
                <w:rFonts w:hint="eastAsia" w:cs="宋体" w:asciiTheme="minorEastAsia" w:hAnsiTheme="minorEastAsia" w:eastAsiaTheme="minorEastAsia"/>
                <w:b/>
                <w:color w:val="auto"/>
                <w:kern w:val="2"/>
                <w:sz w:val="24"/>
                <w:szCs w:val="24"/>
                <w:highlight w:val="none"/>
              </w:rPr>
              <w:t>范围</w:t>
            </w:r>
          </w:p>
        </w:tc>
        <w:tc>
          <w:tcPr>
            <w:tcW w:w="3491" w:type="pct"/>
            <w:tcBorders>
              <w:left w:val="single" w:color="auto" w:sz="4" w:space="0"/>
            </w:tcBorders>
            <w:vAlign w:val="center"/>
          </w:tcPr>
          <w:p w14:paraId="4D54549B">
            <w:pPr>
              <w:widowControl/>
              <w:rPr>
                <w:rFonts w:cs="宋体" w:asciiTheme="minorEastAsia" w:hAnsiTheme="minorEastAsia" w:eastAsiaTheme="minorEastAsia"/>
                <w:b/>
                <w:color w:val="auto"/>
                <w:kern w:val="2"/>
                <w:sz w:val="24"/>
                <w:szCs w:val="24"/>
                <w:highlight w:val="none"/>
              </w:rPr>
            </w:pPr>
            <w:r>
              <w:rPr>
                <w:rFonts w:hint="eastAsia" w:cs="@仿宋_GB2312" w:asciiTheme="minorEastAsia" w:hAnsiTheme="minorEastAsia" w:eastAsiaTheme="minorEastAsia"/>
                <w:color w:val="auto"/>
                <w:kern w:val="2"/>
                <w:sz w:val="24"/>
                <w:szCs w:val="28"/>
                <w:highlight w:val="none"/>
              </w:rPr>
              <w:t>全部 / 第</w:t>
            </w:r>
            <w:r>
              <w:rPr>
                <w:rFonts w:hint="eastAsia" w:cs="@仿宋_GB2312" w:asciiTheme="minorEastAsia" w:hAnsiTheme="minorEastAsia" w:eastAsiaTheme="minorEastAsia"/>
                <w:color w:val="auto"/>
                <w:kern w:val="2"/>
                <w:sz w:val="24"/>
                <w:szCs w:val="28"/>
                <w:highlight w:val="none"/>
                <w:u w:val="single"/>
              </w:rPr>
              <w:t xml:space="preserve">   </w:t>
            </w:r>
            <w:r>
              <w:rPr>
                <w:rFonts w:hint="eastAsia" w:cs="@仿宋_GB2312" w:asciiTheme="minorEastAsia" w:hAnsiTheme="minorEastAsia" w:eastAsiaTheme="minorEastAsia"/>
                <w:color w:val="auto"/>
                <w:kern w:val="2"/>
                <w:sz w:val="24"/>
                <w:szCs w:val="28"/>
                <w:highlight w:val="none"/>
              </w:rPr>
              <w:t>包</w:t>
            </w:r>
          </w:p>
        </w:tc>
      </w:tr>
      <w:tr w14:paraId="6B80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444E2EF4">
            <w:pPr>
              <w:spacing w:line="360" w:lineRule="auto"/>
              <w:jc w:val="center"/>
              <w:rPr>
                <w:rFonts w:cs="@仿宋_GB2312"/>
                <w:b/>
                <w:color w:val="auto"/>
                <w:kern w:val="2"/>
                <w:sz w:val="24"/>
                <w:highlight w:val="none"/>
              </w:rPr>
            </w:pPr>
            <w:r>
              <w:rPr>
                <w:rFonts w:hint="eastAsia" w:cs="@仿宋_GB2312"/>
                <w:b/>
                <w:bCs/>
                <w:color w:val="auto"/>
                <w:kern w:val="2"/>
                <w:sz w:val="24"/>
                <w:szCs w:val="28"/>
                <w:highlight w:val="none"/>
              </w:rPr>
              <w:t>最后报价</w:t>
            </w:r>
          </w:p>
          <w:p w14:paraId="0974A930">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（详见备注说明）</w:t>
            </w:r>
          </w:p>
        </w:tc>
        <w:tc>
          <w:tcPr>
            <w:tcW w:w="3491" w:type="pct"/>
            <w:vAlign w:val="center"/>
          </w:tcPr>
          <w:p w14:paraId="6C9B7E43">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76D6EA4C">
            <w:pPr>
              <w:spacing w:line="360" w:lineRule="auto"/>
              <w:ind w:right="-670"/>
              <w:rPr>
                <w:rFonts w:cs="宋体" w:asciiTheme="minorEastAsia" w:hAnsiTheme="minorEastAsia" w:eastAsiaTheme="minorEastAsia"/>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0E88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682AB4E3">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质量标准</w:t>
            </w:r>
          </w:p>
        </w:tc>
        <w:tc>
          <w:tcPr>
            <w:tcW w:w="3491" w:type="pct"/>
            <w:vAlign w:val="center"/>
          </w:tcPr>
          <w:p w14:paraId="2AC96440">
            <w:pPr>
              <w:snapToGrid w:val="0"/>
              <w:rPr>
                <w:rFonts w:cs="宋体" w:asciiTheme="minorEastAsia" w:hAnsiTheme="minorEastAsia" w:eastAsiaTheme="minorEastAsia"/>
                <w:b/>
                <w:color w:val="auto"/>
                <w:kern w:val="2"/>
                <w:sz w:val="24"/>
                <w:szCs w:val="24"/>
                <w:highlight w:val="none"/>
              </w:rPr>
            </w:pPr>
          </w:p>
        </w:tc>
      </w:tr>
      <w:tr w14:paraId="2F5E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1C591431">
            <w:pPr>
              <w:snapToGrid w:val="0"/>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工    期</w:t>
            </w:r>
          </w:p>
        </w:tc>
        <w:tc>
          <w:tcPr>
            <w:tcW w:w="3491" w:type="pct"/>
            <w:vAlign w:val="center"/>
          </w:tcPr>
          <w:p w14:paraId="253E35DF">
            <w:pPr>
              <w:snapToGrid w:val="0"/>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Cs/>
                <w:color w:val="auto"/>
                <w:kern w:val="2"/>
                <w:sz w:val="24"/>
                <w:szCs w:val="24"/>
                <w:highlight w:val="none"/>
                <w:u w:val="single"/>
              </w:rPr>
              <w:t xml:space="preserve">      </w:t>
            </w:r>
            <w:r>
              <w:rPr>
                <w:rFonts w:hint="eastAsia" w:cs="宋体" w:asciiTheme="minorEastAsia" w:hAnsiTheme="minorEastAsia" w:eastAsiaTheme="minorEastAsia"/>
                <w:bCs/>
                <w:color w:val="auto"/>
                <w:kern w:val="2"/>
                <w:sz w:val="24"/>
                <w:szCs w:val="24"/>
                <w:highlight w:val="none"/>
              </w:rPr>
              <w:t>日历天完工</w:t>
            </w:r>
          </w:p>
        </w:tc>
      </w:tr>
      <w:tr w14:paraId="2CF9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64D4AC89">
            <w:pPr>
              <w:snapToGrid w:val="0"/>
              <w:jc w:val="center"/>
              <w:rPr>
                <w:rFonts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是否响应付款方式</w:t>
            </w:r>
          </w:p>
        </w:tc>
        <w:tc>
          <w:tcPr>
            <w:tcW w:w="3491" w:type="pct"/>
            <w:vAlign w:val="center"/>
          </w:tcPr>
          <w:p w14:paraId="3A602C42">
            <w:pPr>
              <w:snapToGrid w:val="0"/>
              <w:rPr>
                <w:rFonts w:cs="宋体" w:asciiTheme="minorEastAsia" w:hAnsiTheme="minorEastAsia" w:eastAsiaTheme="minorEastAsia"/>
                <w:bCs/>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是□    否□   （划√）</w:t>
            </w:r>
          </w:p>
        </w:tc>
      </w:tr>
      <w:tr w14:paraId="526B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643A7028">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备注说明</w:t>
            </w:r>
          </w:p>
        </w:tc>
        <w:tc>
          <w:tcPr>
            <w:tcW w:w="3491" w:type="pct"/>
          </w:tcPr>
          <w:p w14:paraId="6B32A92E">
            <w:pP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i/>
                <w:color w:val="auto"/>
                <w:kern w:val="2"/>
                <w:sz w:val="24"/>
                <w:szCs w:val="24"/>
                <w:highlight w:val="none"/>
              </w:rPr>
              <w:t>（此处可补充磋商小组根据与供应商磋商情况变动的磋商文件的内容，包括采购需求中的技术、服务要求以及合同草案条款。）</w:t>
            </w:r>
          </w:p>
        </w:tc>
      </w:tr>
      <w:tr w14:paraId="1CBA9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72CF1B08">
            <w:pPr>
              <w:jc w:val="center"/>
              <w:rPr>
                <w:rFonts w:cs="宋体" w:asciiTheme="minorEastAsia" w:hAnsiTheme="minorEastAsia" w:eastAsiaTheme="minorEastAsia"/>
                <w:b/>
                <w:color w:val="auto"/>
                <w:kern w:val="2"/>
                <w:sz w:val="24"/>
                <w:szCs w:val="24"/>
                <w:highlight w:val="none"/>
              </w:rPr>
            </w:pPr>
            <w:r>
              <w:rPr>
                <w:rFonts w:hint="eastAsia" w:cs="宋体" w:asciiTheme="minorEastAsia" w:hAnsiTheme="minorEastAsia" w:eastAsiaTheme="minorEastAsia"/>
                <w:b/>
                <w:color w:val="auto"/>
                <w:kern w:val="2"/>
                <w:sz w:val="24"/>
                <w:szCs w:val="24"/>
                <w:highlight w:val="none"/>
              </w:rPr>
              <w:t>磋商小组签字</w:t>
            </w:r>
          </w:p>
        </w:tc>
        <w:tc>
          <w:tcPr>
            <w:tcW w:w="3491" w:type="pct"/>
          </w:tcPr>
          <w:p w14:paraId="3726E557">
            <w:pPr>
              <w:rPr>
                <w:rFonts w:cs="宋体" w:asciiTheme="minorEastAsia" w:hAnsiTheme="minorEastAsia" w:eastAsiaTheme="minorEastAsia"/>
                <w:b/>
                <w:color w:val="auto"/>
                <w:kern w:val="2"/>
                <w:sz w:val="24"/>
                <w:szCs w:val="24"/>
                <w:highlight w:val="none"/>
              </w:rPr>
            </w:pPr>
          </w:p>
        </w:tc>
      </w:tr>
    </w:tbl>
    <w:p w14:paraId="58023114">
      <w:pPr>
        <w:spacing w:line="440" w:lineRule="exact"/>
        <w:ind w:firstLine="3600" w:firstLineChars="1500"/>
        <w:rPr>
          <w:rFonts w:cs="@仿宋_GB2312"/>
          <w:color w:val="auto"/>
          <w:kern w:val="2"/>
          <w:sz w:val="24"/>
          <w:szCs w:val="24"/>
          <w:highlight w:val="none"/>
          <w:u w:val="single"/>
        </w:rPr>
      </w:pPr>
      <w:r>
        <w:rPr>
          <w:rFonts w:hint="eastAsia" w:cs="@仿宋_GB2312"/>
          <w:color w:val="auto"/>
          <w:kern w:val="2"/>
          <w:sz w:val="24"/>
          <w:szCs w:val="24"/>
          <w:highlight w:val="none"/>
        </w:rPr>
        <w:t>供应商公章或授权代表签字：</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0A814E4F">
      <w:pPr>
        <w:spacing w:line="440" w:lineRule="exact"/>
        <w:ind w:firstLine="4800" w:firstLineChars="2000"/>
        <w:rPr>
          <w:rFonts w:cs="宋体" w:asciiTheme="minorEastAsia" w:hAnsiTheme="minorEastAsia" w:eastAsiaTheme="minorEastAsia"/>
          <w:b/>
          <w:bCs/>
          <w:color w:val="auto"/>
          <w:kern w:val="2"/>
          <w:sz w:val="24"/>
          <w:szCs w:val="24"/>
          <w:highlight w:val="non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0D9E6610">
      <w:pPr>
        <w:spacing w:line="360" w:lineRule="auto"/>
        <w:jc w:val="left"/>
        <w:rPr>
          <w:rFonts w:hint="eastAsia" w:cs="宋体" w:asciiTheme="minorEastAsia" w:hAnsiTheme="minorEastAsia" w:eastAsiaTheme="minorEastAsia"/>
          <w:b/>
          <w:bCs/>
          <w:color w:val="auto"/>
          <w:kern w:val="2"/>
          <w:sz w:val="24"/>
          <w:szCs w:val="24"/>
          <w:highlight w:val="none"/>
        </w:rPr>
      </w:pPr>
      <w:r>
        <w:rPr>
          <w:rFonts w:hint="eastAsia" w:cs="宋体" w:asciiTheme="minorEastAsia" w:hAnsiTheme="minorEastAsia" w:eastAsiaTheme="minorEastAsia"/>
          <w:b/>
          <w:bCs/>
          <w:color w:val="auto"/>
          <w:kern w:val="2"/>
          <w:sz w:val="24"/>
          <w:szCs w:val="24"/>
          <w:highlight w:val="none"/>
        </w:rPr>
        <w:t>注：</w:t>
      </w:r>
    </w:p>
    <w:p w14:paraId="04FE99F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bCs/>
          <w:color w:val="auto"/>
          <w:sz w:val="24"/>
          <w:highlight w:val="none"/>
        </w:rPr>
      </w:pPr>
      <w:r>
        <w:rPr>
          <w:rFonts w:hint="eastAsia" w:cs="宋体" w:asciiTheme="minorEastAsia" w:hAnsiTheme="minorEastAsia" w:eastAsiaTheme="minorEastAsia"/>
          <w:b/>
          <w:bCs/>
          <w:color w:val="auto"/>
          <w:kern w:val="2"/>
          <w:sz w:val="24"/>
          <w:szCs w:val="24"/>
          <w:highlight w:val="none"/>
          <w:lang w:val="en-US" w:eastAsia="zh-CN"/>
        </w:rPr>
        <w:t>1.</w:t>
      </w:r>
      <w:r>
        <w:rPr>
          <w:rFonts w:hint="eastAsia" w:cs="@仿宋_GB2312"/>
          <w:b/>
          <w:bCs/>
          <w:color w:val="auto"/>
          <w:kern w:val="2"/>
          <w:sz w:val="24"/>
          <w:highlight w:val="none"/>
        </w:rPr>
        <w:t>本页《报价表》由供应商在接到报价通知后依据磋商情况填写,并在规定时间内提交。</w:t>
      </w:r>
      <w:r>
        <w:rPr>
          <w:rFonts w:hint="eastAsia" w:cs="宋体" w:asciiTheme="minorEastAsia" w:hAnsiTheme="minorEastAsia" w:eastAsiaTheme="minorEastAsia"/>
          <w:color w:val="auto"/>
          <w:kern w:val="2"/>
          <w:sz w:val="24"/>
          <w:szCs w:val="24"/>
          <w:highlight w:val="none"/>
        </w:rPr>
        <w:t>考虑磋商报价的方便，供应商在填写最后承诺报价后，（第一次报价-最后承诺报价）除以第一次报价后得出的优惠率视同为清单中全部分项工程量的优惠浮动值（特定分项优惠除外），而不考虑措施项目清单和规费税金清单的金额改变。</w:t>
      </w:r>
      <w:r>
        <w:rPr>
          <w:rFonts w:hint="eastAsia" w:cs="宋体" w:asciiTheme="minorEastAsia" w:hAnsiTheme="minorEastAsia" w:eastAsiaTheme="minorEastAsia"/>
          <w:bCs/>
          <w:color w:val="auto"/>
          <w:kern w:val="2"/>
          <w:sz w:val="24"/>
          <w:szCs w:val="24"/>
          <w:highlight w:val="none"/>
        </w:rPr>
        <w:t>此优惠率调整原则适用于合同内价格的计算及项目增减、变更时价格的计算。</w:t>
      </w:r>
    </w:p>
    <w:p w14:paraId="159D8E89">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p>
    <w:p w14:paraId="5619901C">
      <w:pPr>
        <w:widowControl/>
        <w:jc w:val="left"/>
        <w:rPr>
          <w:bCs/>
          <w:color w:val="auto"/>
          <w:sz w:val="24"/>
          <w:highlight w:val="none"/>
        </w:rPr>
      </w:pPr>
      <w:r>
        <w:rPr>
          <w:bCs/>
          <w:color w:val="auto"/>
          <w:sz w:val="24"/>
          <w:highlight w:val="none"/>
        </w:rPr>
        <w:br w:type="page"/>
      </w:r>
    </w:p>
    <w:p w14:paraId="041C0F8E">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571" w:name="_Toc22429"/>
      <w:bookmarkStart w:id="572" w:name="_Toc7943"/>
      <w:bookmarkStart w:id="573" w:name="_Toc520983591"/>
      <w:r>
        <w:rPr>
          <w:rFonts w:hint="eastAsia" w:cs="@仿宋_GB2312" w:asciiTheme="minorEastAsia" w:hAnsiTheme="minorEastAsia" w:eastAsiaTheme="minorEastAsia"/>
          <w:b/>
          <w:bCs/>
          <w:color w:val="auto"/>
          <w:kern w:val="2"/>
          <w:sz w:val="24"/>
          <w:szCs w:val="24"/>
          <w:highlight w:val="none"/>
        </w:rPr>
        <w:t>三、供应商综合情况简介</w:t>
      </w:r>
      <w:bookmarkEnd w:id="571"/>
      <w:bookmarkEnd w:id="572"/>
    </w:p>
    <w:p w14:paraId="74A23251">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（供应商可自行制作格式）</w:t>
      </w:r>
    </w:p>
    <w:p w14:paraId="502BF16D">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74822EBC">
      <w:pPr>
        <w:spacing w:line="360" w:lineRule="auto"/>
        <w:jc w:val="center"/>
        <w:outlineLvl w:val="1"/>
        <w:rPr>
          <w:rFonts w:asciiTheme="minorEastAsia" w:hAnsiTheme="minorEastAsia" w:eastAsiaTheme="minorEastAsia"/>
          <w:b/>
          <w:color w:val="auto"/>
          <w:sz w:val="24"/>
          <w:highlight w:val="none"/>
        </w:rPr>
      </w:pPr>
      <w:bookmarkStart w:id="574" w:name="_Toc8006"/>
      <w:bookmarkStart w:id="575" w:name="_Toc28160"/>
      <w:r>
        <w:rPr>
          <w:rFonts w:hint="eastAsia" w:asciiTheme="minorEastAsia" w:hAnsiTheme="minorEastAsia" w:eastAsiaTheme="minorEastAsia"/>
          <w:b/>
          <w:color w:val="auto"/>
          <w:sz w:val="24"/>
          <w:highlight w:val="none"/>
        </w:rPr>
        <w:t>四、磋商响应函</w:t>
      </w:r>
      <w:bookmarkEnd w:id="573"/>
      <w:bookmarkEnd w:id="574"/>
      <w:bookmarkEnd w:id="575"/>
    </w:p>
    <w:p w14:paraId="001D0D53">
      <w:pPr>
        <w:spacing w:line="360" w:lineRule="auto"/>
        <w:rPr>
          <w:rFonts w:hint="eastAsia" w:cs="宋体" w:asciiTheme="minorEastAsia" w:hAnsiTheme="minorEastAsia" w:eastAsiaTheme="minorEastAsia"/>
          <w:b/>
          <w:color w:val="auto"/>
          <w:kern w:val="2"/>
          <w:sz w:val="24"/>
          <w:szCs w:val="24"/>
          <w:highlight w:val="none"/>
          <w:u w:val="single"/>
          <w:lang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single"/>
          <w:lang w:val="en-US" w:eastAsia="zh-CN"/>
        </w:rPr>
        <w:t>滁州学院</w:t>
      </w:r>
    </w:p>
    <w:p w14:paraId="11EC596D">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根据贵方的竞争性磋商公告和磋商邀请，我方兹宣布同意如下：</w:t>
      </w:r>
    </w:p>
    <w:p w14:paraId="16B3A6BF">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asciiTheme="minorEastAsia" w:hAnsiTheme="minorEastAsia" w:eastAsiaTheme="minorEastAsia"/>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cs="宋体" w:asciiTheme="minorEastAsia" w:hAnsiTheme="minorEastAsia" w:eastAsiaTheme="minorEastAsia"/>
          <w:bCs/>
          <w:color w:val="auto"/>
          <w:kern w:val="2"/>
          <w:sz w:val="24"/>
          <w:szCs w:val="24"/>
          <w:highlight w:val="none"/>
        </w:rPr>
        <w:t>承诺按本磋商文件、施工图纸、合同条款和工程建设技术标准的条件、</w:t>
      </w:r>
      <w:r>
        <w:rPr>
          <w:rFonts w:hint="eastAsia" w:cs="宋体" w:asciiTheme="minorEastAsia" w:hAnsiTheme="minorEastAsia" w:eastAsiaTheme="minorEastAsia"/>
          <w:color w:val="auto"/>
          <w:kern w:val="2"/>
          <w:sz w:val="24"/>
          <w:szCs w:val="24"/>
          <w:highlight w:val="none"/>
        </w:rPr>
        <w:t>承担</w:t>
      </w:r>
      <w:r>
        <w:rPr>
          <w:rFonts w:hint="eastAsia" w:cs="宋体" w:asciiTheme="minorEastAsia" w:hAnsiTheme="minorEastAsia" w:eastAsiaTheme="minorEastAsia"/>
          <w:bCs/>
          <w:color w:val="auto"/>
          <w:kern w:val="2"/>
          <w:sz w:val="24"/>
          <w:szCs w:val="24"/>
          <w:highlight w:val="none"/>
        </w:rPr>
        <w:t>上述工程的施工、竣工，并承担任何质量缺陷保修责任。</w:t>
      </w:r>
    </w:p>
    <w:p w14:paraId="61A01E6B">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asciiTheme="minorEastAsia" w:hAnsiTheme="minorEastAsia" w:eastAsiaTheme="minorEastAsia"/>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489198E1">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我方保证按磋商文件约定的工期和磋商文件或业主开工令的要求如期开工、工程质量达到合格标准、如期竣工并移交整个工程。</w:t>
      </w:r>
    </w:p>
    <w:p w14:paraId="45D538ED">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6537B855">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25EA9EAA">
      <w:pPr>
        <w:spacing w:line="360" w:lineRule="auto"/>
        <w:ind w:firstLine="480" w:firstLineChars="200"/>
        <w:rPr>
          <w:rFonts w:cs="宋体" w:asciiTheme="minorEastAsia" w:hAnsiTheme="minorEastAsia" w:eastAsiaTheme="minorEastAsia"/>
          <w:color w:val="auto"/>
          <w:kern w:val="2"/>
          <w:sz w:val="24"/>
          <w:szCs w:val="24"/>
          <w:highlight w:val="none"/>
          <w:u w:val="single"/>
        </w:rPr>
      </w:pPr>
      <w:r>
        <w:rPr>
          <w:rFonts w:hint="eastAsia"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hint="eastAsia" w:cs="宋体" w:asciiTheme="minorEastAsia" w:hAnsiTheme="minorEastAsia" w:eastAsiaTheme="minorEastAsia"/>
          <w:color w:val="auto"/>
          <w:kern w:val="2"/>
          <w:sz w:val="24"/>
          <w:szCs w:val="24"/>
          <w:highlight w:val="none"/>
        </w:rPr>
        <w:t>：</w:t>
      </w:r>
      <w:r>
        <w:rPr>
          <w:rFonts w:hint="eastAsia" w:cs="宋体" w:asciiTheme="minorEastAsia" w:hAnsiTheme="minorEastAsia" w:eastAsiaTheme="minorEastAsia"/>
          <w:color w:val="auto"/>
          <w:kern w:val="2"/>
          <w:sz w:val="24"/>
          <w:szCs w:val="24"/>
          <w:highlight w:val="none"/>
          <w:u w:val="single"/>
        </w:rPr>
        <w:t xml:space="preserve">  （</w:t>
      </w:r>
      <w:r>
        <w:rPr>
          <w:rFonts w:hint="eastAsia" w:cs="宋体" w:asciiTheme="minorEastAsia" w:hAnsiTheme="minorEastAsia" w:eastAsiaTheme="minorEastAsia"/>
          <w:i/>
          <w:iCs/>
          <w:color w:val="auto"/>
          <w:kern w:val="2"/>
          <w:sz w:val="24"/>
          <w:szCs w:val="24"/>
          <w:highlight w:val="none"/>
          <w:u w:val="single"/>
        </w:rPr>
        <w:t>如有</w:t>
      </w:r>
      <w:r>
        <w:rPr>
          <w:rFonts w:hint="eastAsia" w:cs="宋体" w:asciiTheme="minorEastAsia" w:hAnsiTheme="minorEastAsia" w:eastAsiaTheme="minorEastAsia"/>
          <w:color w:val="auto"/>
          <w:kern w:val="2"/>
          <w:sz w:val="24"/>
          <w:szCs w:val="24"/>
          <w:highlight w:val="none"/>
          <w:u w:val="single"/>
        </w:rPr>
        <w:t xml:space="preserve">）       </w:t>
      </w:r>
    </w:p>
    <w:p w14:paraId="1F95F658">
      <w:pPr>
        <w:pStyle w:val="53"/>
        <w:ind w:firstLine="200"/>
        <w:rPr>
          <w:color w:val="auto"/>
          <w:highlight w:val="none"/>
          <w:lang w:val="en-US"/>
        </w:rPr>
      </w:pPr>
    </w:p>
    <w:p w14:paraId="13D83E77">
      <w:pPr>
        <w:spacing w:line="360" w:lineRule="auto"/>
        <w:ind w:firstLine="4800" w:firstLineChars="2000"/>
        <w:rPr>
          <w:rFonts w:cs="@仿宋_GB2312"/>
          <w:color w:val="auto"/>
          <w:kern w:val="2"/>
          <w:sz w:val="24"/>
          <w:highlight w:val="none"/>
        </w:rPr>
      </w:pPr>
      <w:r>
        <w:rPr>
          <w:rFonts w:hint="eastAsia" w:cs="@仿宋_GB2312"/>
          <w:color w:val="auto"/>
          <w:kern w:val="2"/>
          <w:sz w:val="24"/>
          <w:highlight w:val="none"/>
        </w:rPr>
        <w:t>供应商电子签章：</w:t>
      </w:r>
      <w:r>
        <w:rPr>
          <w:rFonts w:hint="eastAsia" w:cs="@仿宋_GB2312"/>
          <w:color w:val="auto"/>
          <w:kern w:val="2"/>
          <w:sz w:val="24"/>
          <w:highlight w:val="none"/>
          <w:u w:val="single"/>
        </w:rPr>
        <w:t xml:space="preserve">             </w:t>
      </w:r>
    </w:p>
    <w:p w14:paraId="38B7120D">
      <w:pPr>
        <w:spacing w:line="360" w:lineRule="auto"/>
        <w:ind w:firstLine="4800" w:firstLineChars="2000"/>
        <w:rPr>
          <w:rFonts w:cs="@仿宋_GB2312"/>
          <w:color w:val="auto"/>
          <w:kern w:val="2"/>
          <w:sz w:val="24"/>
          <w:highlight w:val="none"/>
          <w:u w:val="single"/>
        </w:rPr>
      </w:pPr>
      <w:r>
        <w:rPr>
          <w:rFonts w:hint="eastAsia" w:cs="@仿宋_GB2312"/>
          <w:color w:val="auto"/>
          <w:kern w:val="2"/>
          <w:sz w:val="24"/>
          <w:highlight w:val="none"/>
        </w:rPr>
        <w:t>日          期：</w:t>
      </w:r>
      <w:r>
        <w:rPr>
          <w:rFonts w:hint="eastAsia" w:cs="@仿宋_GB2312"/>
          <w:color w:val="auto"/>
          <w:kern w:val="2"/>
          <w:sz w:val="24"/>
          <w:highlight w:val="none"/>
          <w:u w:val="single"/>
        </w:rPr>
        <w:t xml:space="preserve">             </w:t>
      </w:r>
    </w:p>
    <w:p w14:paraId="4A006349">
      <w:pPr>
        <w:widowControl/>
        <w:jc w:val="left"/>
        <w:rPr>
          <w:color w:val="auto"/>
          <w:sz w:val="24"/>
          <w:highlight w:val="none"/>
        </w:rPr>
      </w:pPr>
      <w:r>
        <w:rPr>
          <w:color w:val="auto"/>
          <w:sz w:val="24"/>
          <w:highlight w:val="none"/>
        </w:rPr>
        <w:br w:type="page"/>
      </w:r>
    </w:p>
    <w:p w14:paraId="14EB02AD">
      <w:pPr>
        <w:spacing w:line="360" w:lineRule="auto"/>
        <w:jc w:val="center"/>
        <w:outlineLvl w:val="1"/>
        <w:rPr>
          <w:b/>
          <w:i/>
          <w:color w:val="auto"/>
          <w:sz w:val="24"/>
          <w:highlight w:val="none"/>
        </w:rPr>
      </w:pPr>
      <w:bookmarkStart w:id="576" w:name="_Toc2947"/>
      <w:bookmarkStart w:id="577" w:name="_Toc20728"/>
      <w:r>
        <w:rPr>
          <w:rFonts w:hint="eastAsia" w:asciiTheme="minorEastAsia" w:hAnsiTheme="minorEastAsia" w:eastAsiaTheme="minorEastAsia"/>
          <w:b/>
          <w:color w:val="auto"/>
          <w:sz w:val="24"/>
          <w:highlight w:val="none"/>
        </w:rPr>
        <w:t>五、</w:t>
      </w:r>
      <w:bookmarkEnd w:id="576"/>
      <w:bookmarkStart w:id="578" w:name="_Toc8658"/>
      <w:r>
        <w:rPr>
          <w:rFonts w:hint="eastAsia" w:asciiTheme="minorEastAsia" w:hAnsiTheme="minorEastAsia" w:eastAsiaTheme="minorEastAsia"/>
          <w:b/>
          <w:color w:val="auto"/>
          <w:sz w:val="24"/>
          <w:highlight w:val="none"/>
          <w:lang w:val="en-US" w:eastAsia="zh-CN"/>
        </w:rPr>
        <w:t>供应商资格声明书</w:t>
      </w:r>
      <w:bookmarkEnd w:id="577"/>
      <w:r>
        <w:rPr>
          <w:rFonts w:hint="eastAsia" w:asciiTheme="minorEastAsia" w:hAnsiTheme="minorEastAsia" w:eastAsiaTheme="minorEastAsia"/>
          <w:b/>
          <w:color w:val="auto"/>
          <w:sz w:val="24"/>
          <w:highlight w:val="none"/>
          <w:lang w:val="en-US" w:eastAsia="zh-CN"/>
        </w:rPr>
        <w:t xml:space="preserve"> </w:t>
      </w:r>
    </w:p>
    <w:p w14:paraId="06230FAA">
      <w:pPr>
        <w:pStyle w:val="31"/>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滁州学院</w:t>
      </w:r>
    </w:p>
    <w:p w14:paraId="06C0092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在参与本次项目磋商中，我单位承诺：</w:t>
      </w:r>
    </w:p>
    <w:p w14:paraId="22F7564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04BDC0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15D761F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3C3ADF4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F04DCCF">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五</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136D8C34">
      <w:pPr>
        <w:spacing w:line="360" w:lineRule="auto"/>
        <w:rPr>
          <w:rFonts w:hint="eastAsia" w:ascii="宋体" w:hAnsi="宋体" w:eastAsia="宋体" w:cs="宋体"/>
          <w:color w:val="auto"/>
          <w:kern w:val="2"/>
          <w:sz w:val="24"/>
          <w:szCs w:val="24"/>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六</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61360195">
      <w:pPr>
        <w:spacing w:line="360" w:lineRule="auto"/>
        <w:rPr>
          <w:rFonts w:hint="eastAsia"/>
          <w:color w:val="auto"/>
          <w:highlight w:val="none"/>
        </w:rPr>
      </w:pP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七</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5789160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（八）</w:t>
      </w:r>
      <w:r>
        <w:rPr>
          <w:rFonts w:hint="eastAsia" w:asciiTheme="minorEastAsia" w:hAnsiTheme="minorEastAsia" w:eastAsiaTheme="minorEastAsia" w:cstheme="minorEastAsia"/>
          <w:color w:val="auto"/>
          <w:kern w:val="0"/>
          <w:sz w:val="24"/>
          <w:szCs w:val="24"/>
          <w:highlight w:val="none"/>
          <w:u w:val="single"/>
          <w:lang w:val="en-US" w:eastAsia="zh-CN" w:bidi="ar"/>
        </w:rPr>
        <w:t xml:space="preserve">       （企业名称）或       （企业名称）</w:t>
      </w:r>
      <w:r>
        <w:rPr>
          <w:rFonts w:hint="eastAsia" w:asciiTheme="minorEastAsia" w:hAnsiTheme="minorEastAsia" w:eastAsiaTheme="minorEastAsia" w:cstheme="minorEastAsia"/>
          <w:color w:val="auto"/>
          <w:kern w:val="0"/>
          <w:sz w:val="24"/>
          <w:szCs w:val="24"/>
          <w:highlight w:val="none"/>
          <w:lang w:val="en-US" w:eastAsia="zh-CN"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1BCE561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（九）我单位不存在为采购项目提供整体设计、规范编制或者项目管理、监理、检测等服务后，再参加该采购项目的其他采购活动的情形（单一来源采购项目除外）；</w:t>
      </w:r>
    </w:p>
    <w:p w14:paraId="18C698A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（十）与我单位存在单位负责人为同一人或者存在直接控股、管理关系的其他法人单位信息如下（如有，不论其是否参加同一合同项下的政府采购活动均须填写）：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E77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4ED218F0">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2841" w:type="dxa"/>
          </w:tcPr>
          <w:p w14:paraId="6E8113E7">
            <w:pPr>
              <w:pStyle w:val="20"/>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2841" w:type="dxa"/>
          </w:tcPr>
          <w:p w14:paraId="5BA2C803">
            <w:pPr>
              <w:pStyle w:val="20"/>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6D5D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C5667C2">
            <w:pPr>
              <w:pStyle w:val="20"/>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2841" w:type="dxa"/>
          </w:tcPr>
          <w:p w14:paraId="546A6325">
            <w:pPr>
              <w:pStyle w:val="20"/>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2004B479">
            <w:pPr>
              <w:pStyle w:val="20"/>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11ED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2FC818C0">
            <w:pPr>
              <w:pStyle w:val="20"/>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2841" w:type="dxa"/>
          </w:tcPr>
          <w:p w14:paraId="54E8BF05">
            <w:pPr>
              <w:pStyle w:val="20"/>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841" w:type="dxa"/>
          </w:tcPr>
          <w:p w14:paraId="02DEE454">
            <w:pPr>
              <w:pStyle w:val="20"/>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555F128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104781C3">
      <w:pPr>
        <w:spacing w:line="360" w:lineRule="auto"/>
        <w:ind w:firstLine="4800" w:firstLineChars="2000"/>
        <w:rPr>
          <w:rFonts w:ascii="宋体" w:hAnsi="宋体" w:eastAsia="宋体"/>
          <w:color w:val="auto"/>
          <w:sz w:val="24"/>
          <w:highlight w:val="none"/>
          <w:u w:val="single"/>
        </w:rPr>
      </w:pPr>
      <w:r>
        <w:rPr>
          <w:rFonts w:hint="eastAsia"/>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348D83FB">
      <w:pPr>
        <w:spacing w:line="360" w:lineRule="auto"/>
        <w:jc w:val="center"/>
        <w:outlineLvl w:val="9"/>
        <w:rPr>
          <w:rFonts w:hint="eastAsia" w:asciiTheme="minorEastAsia" w:hAnsiTheme="minorEastAsia" w:eastAsiaTheme="minorEastAsia"/>
          <w:b/>
          <w:color w:val="auto"/>
          <w:sz w:val="24"/>
          <w:highlight w:val="none"/>
        </w:rPr>
        <w:sectPr>
          <w:headerReference r:id="rId6" w:type="default"/>
          <w:footerReference r:id="rId7" w:type="default"/>
          <w:pgSz w:w="11906" w:h="16838"/>
          <w:pgMar w:top="1440" w:right="1800" w:bottom="1440" w:left="1800" w:header="851" w:footer="992" w:gutter="0"/>
          <w:pgNumType w:fmt="numberInDash"/>
          <w:cols w:space="425" w:num="1"/>
          <w:docGrid w:type="lines" w:linePitch="312" w:charSpace="0"/>
        </w:sectPr>
      </w:pPr>
      <w:r>
        <w:rPr>
          <w:rFonts w:hint="eastAsia"/>
          <w:color w:val="auto"/>
          <w:sz w:val="24"/>
          <w:highlight w:val="none"/>
          <w:lang w:val="en-US" w:eastAsia="zh-CN"/>
        </w:rPr>
        <w:t xml:space="preserve">                           </w:t>
      </w: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         </w:t>
      </w:r>
      <w:bookmarkEnd w:id="578"/>
    </w:p>
    <w:p w14:paraId="1E7FB1F0">
      <w:pPr>
        <w:widowControl/>
        <w:jc w:val="center"/>
        <w:outlineLvl w:val="1"/>
        <w:rPr>
          <w:rFonts w:asciiTheme="minorEastAsia" w:hAnsiTheme="minorEastAsia" w:eastAsiaTheme="minorEastAsia"/>
          <w:b/>
          <w:color w:val="auto"/>
          <w:sz w:val="24"/>
          <w:highlight w:val="none"/>
          <w:u w:val="none"/>
        </w:rPr>
      </w:pPr>
      <w:bookmarkStart w:id="579" w:name="_Toc204594911"/>
      <w:bookmarkStart w:id="580" w:name="_Toc25503"/>
      <w:bookmarkStart w:id="581" w:name="_Toc909"/>
      <w:bookmarkStart w:id="582" w:name="_Toc516969106"/>
      <w:bookmarkStart w:id="583" w:name="_Toc520983594"/>
      <w:bookmarkStart w:id="584" w:name="_Toc121626298"/>
      <w:r>
        <w:rPr>
          <w:rFonts w:hint="eastAsia" w:asciiTheme="minorEastAsia" w:hAnsiTheme="minorEastAsia" w:eastAsiaTheme="minorEastAsia"/>
          <w:b/>
          <w:color w:val="auto"/>
          <w:sz w:val="24"/>
          <w:highlight w:val="none"/>
          <w:u w:val="none"/>
        </w:rPr>
        <w:t>六、授权书</w:t>
      </w:r>
      <w:bookmarkEnd w:id="579"/>
      <w:bookmarkEnd w:id="580"/>
      <w:bookmarkEnd w:id="581"/>
      <w:bookmarkEnd w:id="582"/>
      <w:bookmarkEnd w:id="583"/>
      <w:bookmarkEnd w:id="584"/>
    </w:p>
    <w:p w14:paraId="52C47322">
      <w:pPr>
        <w:spacing w:line="360" w:lineRule="auto"/>
        <w:jc w:val="center"/>
        <w:rPr>
          <w:rFonts w:asciiTheme="minorEastAsia" w:hAnsiTheme="minorEastAsia" w:eastAsiaTheme="minorEastAsia"/>
          <w:b/>
          <w:color w:val="auto"/>
          <w:sz w:val="24"/>
          <w:highlight w:val="none"/>
        </w:rPr>
      </w:pPr>
    </w:p>
    <w:p w14:paraId="30D731F4">
      <w:pPr>
        <w:pStyle w:val="29"/>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2E0482C9">
      <w:pPr>
        <w:pStyle w:val="29"/>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6DB7A5DE">
      <w:pPr>
        <w:pStyle w:val="29"/>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4D661B4D">
      <w:pPr>
        <w:pStyle w:val="29"/>
        <w:snapToGrid w:val="0"/>
        <w:spacing w:line="360" w:lineRule="auto"/>
        <w:ind w:firstLine="480" w:firstLineChars="200"/>
        <w:jc w:val="left"/>
        <w:rPr>
          <w:rFonts w:hAnsi="宋体" w:eastAsia="宋体"/>
          <w:color w:val="auto"/>
          <w:sz w:val="24"/>
          <w:highlight w:val="none"/>
        </w:rPr>
      </w:pPr>
    </w:p>
    <w:p w14:paraId="64E9E3D8">
      <w:pPr>
        <w:pStyle w:val="29"/>
        <w:snapToGrid w:val="0"/>
        <w:spacing w:line="360" w:lineRule="auto"/>
        <w:ind w:firstLine="480" w:firstLineChars="200"/>
        <w:jc w:val="left"/>
        <w:rPr>
          <w:rFonts w:hAnsi="宋体" w:eastAsia="宋体"/>
          <w:color w:val="auto"/>
          <w:sz w:val="24"/>
          <w:highlight w:val="none"/>
        </w:rPr>
      </w:pPr>
    </w:p>
    <w:p w14:paraId="6501E86E">
      <w:pPr>
        <w:pStyle w:val="29"/>
        <w:snapToGrid w:val="0"/>
        <w:spacing w:line="360" w:lineRule="auto"/>
        <w:ind w:firstLine="480" w:firstLineChars="200"/>
        <w:jc w:val="left"/>
        <w:rPr>
          <w:rFonts w:hAnsi="宋体" w:eastAsia="宋体"/>
          <w:color w:val="auto"/>
          <w:sz w:val="24"/>
          <w:highlight w:val="none"/>
        </w:rPr>
      </w:pPr>
    </w:p>
    <w:p w14:paraId="0E154C32">
      <w:pPr>
        <w:pStyle w:val="29"/>
        <w:snapToGrid w:val="0"/>
        <w:spacing w:line="360" w:lineRule="auto"/>
        <w:ind w:firstLine="480" w:firstLineChars="200"/>
        <w:jc w:val="left"/>
        <w:rPr>
          <w:rFonts w:hAnsi="宋体" w:eastAsia="宋体"/>
          <w:color w:val="auto"/>
          <w:sz w:val="24"/>
          <w:highlight w:val="none"/>
        </w:rPr>
      </w:pPr>
    </w:p>
    <w:p w14:paraId="2452F6D7">
      <w:pPr>
        <w:pStyle w:val="29"/>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0FAD005F">
      <w:pPr>
        <w:pStyle w:val="29"/>
        <w:snapToGrid w:val="0"/>
        <w:spacing w:line="360" w:lineRule="auto"/>
        <w:ind w:firstLine="480" w:firstLineChars="200"/>
        <w:jc w:val="left"/>
        <w:rPr>
          <w:rFonts w:hAnsi="宋体" w:eastAsia="宋体"/>
          <w:color w:val="auto"/>
          <w:sz w:val="24"/>
          <w:szCs w:val="28"/>
          <w:highlight w:val="none"/>
        </w:rPr>
      </w:pPr>
    </w:p>
    <w:p w14:paraId="6A686B3B">
      <w:pPr>
        <w:spacing w:line="360" w:lineRule="auto"/>
        <w:ind w:firstLine="360" w:firstLineChars="150"/>
        <w:rPr>
          <w:color w:val="auto"/>
          <w:sz w:val="24"/>
          <w:szCs w:val="28"/>
          <w:highlight w:val="none"/>
        </w:rPr>
      </w:pPr>
      <w:r>
        <w:rPr>
          <w:rFonts w:hint="eastAsia"/>
          <w:color w:val="auto"/>
          <w:sz w:val="24"/>
          <w:szCs w:val="28"/>
          <w:highlight w:val="none"/>
        </w:rPr>
        <w:t>特此声明。</w:t>
      </w:r>
    </w:p>
    <w:p w14:paraId="1BCCDC6C">
      <w:pPr>
        <w:spacing w:line="360" w:lineRule="auto"/>
        <w:rPr>
          <w:color w:val="auto"/>
          <w:sz w:val="24"/>
          <w:szCs w:val="28"/>
          <w:highlight w:val="none"/>
        </w:rPr>
      </w:pPr>
    </w:p>
    <w:p w14:paraId="3624D753">
      <w:pPr>
        <w:spacing w:line="360" w:lineRule="auto"/>
        <w:jc w:val="center"/>
        <w:rPr>
          <w:bCs/>
          <w:color w:val="auto"/>
          <w:sz w:val="24"/>
          <w:szCs w:val="28"/>
          <w:highlight w:val="none"/>
        </w:rPr>
      </w:pPr>
      <w:r>
        <w:rPr>
          <w:rFonts w:hint="eastAsia"/>
          <w:bCs/>
          <w:color w:val="auto"/>
          <w:sz w:val="24"/>
          <w:szCs w:val="28"/>
          <w:highlight w:val="none"/>
          <w:lang w:val="en-US" w:eastAsia="zh-CN"/>
        </w:rPr>
        <w:t xml:space="preserve">                    </w:t>
      </w:r>
      <w:r>
        <w:rPr>
          <w:rFonts w:hint="eastAsia"/>
          <w:bCs/>
          <w:color w:val="auto"/>
          <w:sz w:val="24"/>
          <w:szCs w:val="28"/>
          <w:highlight w:val="none"/>
        </w:rPr>
        <w:t>供应商电子签章：</w:t>
      </w:r>
      <w:r>
        <w:rPr>
          <w:rFonts w:hint="eastAsia"/>
          <w:bCs/>
          <w:color w:val="auto"/>
          <w:sz w:val="24"/>
          <w:szCs w:val="28"/>
          <w:highlight w:val="none"/>
          <w:u w:val="single"/>
        </w:rPr>
        <w:t xml:space="preserve">                    </w:t>
      </w:r>
    </w:p>
    <w:p w14:paraId="424155F9">
      <w:pPr>
        <w:spacing w:line="360" w:lineRule="auto"/>
        <w:rPr>
          <w:color w:val="auto"/>
          <w:sz w:val="24"/>
          <w:szCs w:val="28"/>
          <w:highlight w:val="none"/>
        </w:rPr>
      </w:pPr>
      <w:r>
        <w:rPr>
          <w:rFonts w:hint="eastAsia"/>
          <w:color w:val="auto"/>
          <w:sz w:val="24"/>
          <w:szCs w:val="28"/>
          <w:highlight w:val="none"/>
          <w:lang w:val="en-US" w:eastAsia="zh-CN"/>
        </w:rPr>
        <w:t xml:space="preserve">                                        </w:t>
      </w:r>
      <w:r>
        <w:rPr>
          <w:rFonts w:hint="eastAsia"/>
          <w:color w:val="auto"/>
          <w:sz w:val="24"/>
          <w:szCs w:val="28"/>
          <w:highlight w:val="none"/>
        </w:rPr>
        <w:t>日          期：</w:t>
      </w:r>
      <w:r>
        <w:rPr>
          <w:rFonts w:hint="eastAsia"/>
          <w:color w:val="auto"/>
          <w:sz w:val="24"/>
          <w:szCs w:val="28"/>
          <w:highlight w:val="none"/>
          <w:u w:val="single"/>
        </w:rPr>
        <w:t xml:space="preserve">                    </w:t>
      </w:r>
    </w:p>
    <w:p w14:paraId="45830229">
      <w:pPr>
        <w:spacing w:line="360" w:lineRule="auto"/>
        <w:rPr>
          <w:color w:val="auto"/>
          <w:sz w:val="24"/>
          <w:szCs w:val="28"/>
          <w:highlight w:val="none"/>
        </w:rPr>
      </w:pPr>
    </w:p>
    <w:p w14:paraId="52DF268A">
      <w:pPr>
        <w:pStyle w:val="29"/>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71D7032F">
      <w:pPr>
        <w:pStyle w:val="29"/>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27D15CFF">
      <w:pPr>
        <w:spacing w:line="360" w:lineRule="auto"/>
        <w:jc w:val="left"/>
        <w:rPr>
          <w:color w:val="auto"/>
          <w:sz w:val="24"/>
          <w:highlight w:val="none"/>
        </w:rPr>
      </w:pPr>
      <w:r>
        <w:rPr>
          <w:rFonts w:hint="eastAsia"/>
          <w:color w:val="auto"/>
          <w:sz w:val="24"/>
          <w:highlight w:val="none"/>
        </w:rPr>
        <w:t>2.法定代表人参加磋商的无需提供授权书，仅提供身份证明扫描件。</w:t>
      </w:r>
    </w:p>
    <w:p w14:paraId="0B67089D">
      <w:pPr>
        <w:widowControl/>
        <w:jc w:val="left"/>
        <w:rPr>
          <w:color w:val="auto"/>
          <w:sz w:val="24"/>
          <w:highlight w:val="none"/>
        </w:rPr>
      </w:pPr>
      <w:r>
        <w:rPr>
          <w:color w:val="auto"/>
          <w:sz w:val="24"/>
          <w:highlight w:val="none"/>
        </w:rPr>
        <w:br w:type="page"/>
      </w:r>
    </w:p>
    <w:p w14:paraId="705C33E2">
      <w:pPr>
        <w:keepNext/>
        <w:keepLines/>
        <w:spacing w:before="260" w:after="260" w:line="416" w:lineRule="auto"/>
        <w:jc w:val="center"/>
        <w:outlineLvl w:val="1"/>
        <w:rPr>
          <w:rFonts w:cs="@仿宋_GB2312" w:asciiTheme="minorEastAsia" w:hAnsiTheme="minorEastAsia" w:eastAsiaTheme="minorEastAsia"/>
          <w:b/>
          <w:bCs/>
          <w:color w:val="auto"/>
          <w:kern w:val="2"/>
          <w:sz w:val="24"/>
          <w:szCs w:val="24"/>
          <w:highlight w:val="none"/>
        </w:rPr>
      </w:pPr>
      <w:bookmarkStart w:id="585" w:name="_Toc32351"/>
      <w:bookmarkStart w:id="586" w:name="_Toc12223"/>
      <w:r>
        <w:rPr>
          <w:rFonts w:hint="eastAsia" w:cs="@仿宋_GB2312" w:asciiTheme="minorEastAsia" w:hAnsiTheme="minorEastAsia" w:eastAsiaTheme="minorEastAsia"/>
          <w:b/>
          <w:bCs/>
          <w:color w:val="auto"/>
          <w:kern w:val="2"/>
          <w:sz w:val="24"/>
          <w:szCs w:val="24"/>
          <w:highlight w:val="none"/>
        </w:rPr>
        <w:t>七、法定代表人身份证明书</w:t>
      </w:r>
      <w:bookmarkEnd w:id="585"/>
      <w:bookmarkEnd w:id="586"/>
    </w:p>
    <w:p w14:paraId="4B234BAF">
      <w:pPr>
        <w:autoSpaceDE w:val="0"/>
        <w:autoSpaceDN w:val="0"/>
        <w:adjustRightInd w:val="0"/>
        <w:spacing w:line="360" w:lineRule="auto"/>
        <w:jc w:val="center"/>
        <w:rPr>
          <w:rFonts w:ascii="@仿宋_GB2312" w:eastAsia="@仿宋_GB2312" w:cs="宋体"/>
          <w:b/>
          <w:color w:val="auto"/>
          <w:kern w:val="2"/>
          <w:sz w:val="21"/>
          <w:szCs w:val="24"/>
          <w:highlight w:val="none"/>
          <w:lang w:val="zh-CN"/>
        </w:rPr>
      </w:pPr>
    </w:p>
    <w:p w14:paraId="04F8BC57">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单位名称：</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05FAA921">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单位性质：</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2439D3B8">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地    址：</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03863EED">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成立时间：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年</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月</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日</w:t>
      </w:r>
    </w:p>
    <w:p w14:paraId="4AC12A9C">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经营期限：</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r>
        <w:rPr>
          <w:rFonts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u w:val="single"/>
        </w:rPr>
        <w:t xml:space="preserve">     </w:t>
      </w:r>
    </w:p>
    <w:p w14:paraId="2893C668">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姓    名：</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性 </w:t>
      </w:r>
      <w:r>
        <w:rPr>
          <w:rFonts w:ascii="Calibri" w:hAnsi="Calibri" w:cs="Times New Roman"/>
          <w:color w:val="auto"/>
          <w:kern w:val="2"/>
          <w:sz w:val="24"/>
          <w:szCs w:val="28"/>
          <w:highlight w:val="none"/>
        </w:rPr>
        <w:t xml:space="preserve">  </w:t>
      </w:r>
      <w:r>
        <w:rPr>
          <w:rFonts w:hint="eastAsia" w:ascii="Calibri" w:hAnsi="Calibri" w:cs="Times New Roman"/>
          <w:color w:val="auto"/>
          <w:kern w:val="2"/>
          <w:sz w:val="24"/>
          <w:szCs w:val="28"/>
          <w:highlight w:val="none"/>
        </w:rPr>
        <w:t xml:space="preserve"> 别：</w:t>
      </w:r>
      <w:r>
        <w:rPr>
          <w:rFonts w:hint="eastAsia" w:ascii="Calibri" w:hAnsi="Calibri" w:cs="Times New Roman"/>
          <w:color w:val="auto"/>
          <w:kern w:val="2"/>
          <w:sz w:val="24"/>
          <w:szCs w:val="28"/>
          <w:highlight w:val="none"/>
          <w:u w:val="single"/>
        </w:rPr>
        <w:t xml:space="preserve">             </w:t>
      </w:r>
    </w:p>
    <w:p w14:paraId="59A5E2C4">
      <w:pPr>
        <w:snapToGrid w:val="0"/>
        <w:spacing w:line="360" w:lineRule="auto"/>
        <w:ind w:firstLine="480" w:firstLineChars="200"/>
        <w:jc w:val="left"/>
        <w:rPr>
          <w:rFonts w:ascii="Calibri" w:hAnsi="Calibri" w:cs="Times New Roman"/>
          <w:color w:val="auto"/>
          <w:kern w:val="2"/>
          <w:sz w:val="24"/>
          <w:szCs w:val="28"/>
          <w:highlight w:val="none"/>
          <w:u w:val="single"/>
        </w:rPr>
      </w:pPr>
      <w:r>
        <w:rPr>
          <w:rFonts w:hint="eastAsia" w:ascii="Calibri" w:hAnsi="Calibri" w:cs="Times New Roman"/>
          <w:color w:val="auto"/>
          <w:kern w:val="2"/>
          <w:sz w:val="24"/>
          <w:szCs w:val="28"/>
          <w:highlight w:val="none"/>
        </w:rPr>
        <w:t>年    龄：</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职    务：</w:t>
      </w:r>
      <w:r>
        <w:rPr>
          <w:rFonts w:hint="eastAsia" w:ascii="Calibri" w:hAnsi="Calibri" w:cs="Times New Roman"/>
          <w:color w:val="auto"/>
          <w:kern w:val="2"/>
          <w:sz w:val="24"/>
          <w:szCs w:val="28"/>
          <w:highlight w:val="none"/>
          <w:u w:val="single"/>
        </w:rPr>
        <w:t xml:space="preserve">             </w:t>
      </w:r>
    </w:p>
    <w:p w14:paraId="3BFCDD37">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rPr>
        <w:t>联系</w:t>
      </w:r>
      <w:r>
        <w:rPr>
          <w:rFonts w:ascii="Calibri" w:hAnsi="Calibri" w:cs="Times New Roman"/>
          <w:color w:val="auto"/>
          <w:kern w:val="2"/>
          <w:sz w:val="24"/>
          <w:szCs w:val="28"/>
          <w:highlight w:val="none"/>
        </w:rPr>
        <w:t>电话</w:t>
      </w:r>
      <w:r>
        <w:rPr>
          <w:rFonts w:hint="eastAsia" w:ascii="Calibri" w:hAnsi="Calibri" w:cs="Times New Roman"/>
          <w:color w:val="auto"/>
          <w:kern w:val="2"/>
          <w:sz w:val="24"/>
          <w:szCs w:val="28"/>
          <w:highlight w:val="none"/>
        </w:rPr>
        <w:t>：</w:t>
      </w: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 手机号码：</w:t>
      </w:r>
      <w:r>
        <w:rPr>
          <w:rFonts w:hint="eastAsia" w:ascii="Calibri" w:hAnsi="Calibri" w:cs="Times New Roman"/>
          <w:color w:val="auto"/>
          <w:kern w:val="2"/>
          <w:sz w:val="24"/>
          <w:szCs w:val="28"/>
          <w:highlight w:val="none"/>
          <w:u w:val="single"/>
        </w:rPr>
        <w:t xml:space="preserve">             </w:t>
      </w:r>
    </w:p>
    <w:p w14:paraId="105EA8A7">
      <w:pPr>
        <w:snapToGrid w:val="0"/>
        <w:spacing w:line="360" w:lineRule="auto"/>
        <w:ind w:firstLine="480" w:firstLineChars="200"/>
        <w:jc w:val="left"/>
        <w:rPr>
          <w:rFonts w:ascii="Calibri" w:hAnsi="Calibri" w:cs="Times New Roman"/>
          <w:color w:val="auto"/>
          <w:kern w:val="2"/>
          <w:sz w:val="24"/>
          <w:szCs w:val="28"/>
          <w:highlight w:val="none"/>
        </w:rPr>
      </w:pPr>
      <w:r>
        <w:rPr>
          <w:rFonts w:hint="eastAsia" w:ascii="Calibri" w:hAnsi="Calibri" w:cs="Times New Roman"/>
          <w:color w:val="auto"/>
          <w:kern w:val="2"/>
          <w:sz w:val="24"/>
          <w:szCs w:val="28"/>
          <w:highlight w:val="none"/>
          <w:u w:val="single"/>
        </w:rPr>
        <w:t xml:space="preserve">        </w:t>
      </w:r>
      <w:r>
        <w:rPr>
          <w:rFonts w:hint="eastAsia" w:ascii="Calibri" w:hAnsi="Calibri" w:cs="Times New Roman"/>
          <w:color w:val="auto"/>
          <w:kern w:val="2"/>
          <w:sz w:val="24"/>
          <w:szCs w:val="28"/>
          <w:highlight w:val="none"/>
        </w:rPr>
        <w:t xml:space="preserve">系  </w:t>
      </w:r>
      <w:r>
        <w:rPr>
          <w:rFonts w:hint="eastAsia" w:ascii="Calibri" w:hAnsi="Calibri" w:cs="Times New Roman"/>
          <w:color w:val="auto"/>
          <w:kern w:val="2"/>
          <w:sz w:val="24"/>
          <w:szCs w:val="28"/>
          <w:highlight w:val="none"/>
          <w:u w:val="single"/>
        </w:rPr>
        <w:t xml:space="preserve">   （供应商单位名称）       </w:t>
      </w:r>
      <w:r>
        <w:rPr>
          <w:rFonts w:hint="eastAsia" w:ascii="Calibri" w:hAnsi="Calibri" w:cs="Times New Roman"/>
          <w:color w:val="auto"/>
          <w:kern w:val="2"/>
          <w:sz w:val="24"/>
          <w:szCs w:val="28"/>
          <w:highlight w:val="none"/>
        </w:rPr>
        <w:t>的法定代表人。</w:t>
      </w:r>
    </w:p>
    <w:p w14:paraId="0B82E2A9">
      <w:pPr>
        <w:spacing w:before="62" w:beforeLines="20" w:after="62" w:afterLines="20" w:line="540" w:lineRule="exact"/>
        <w:ind w:firstLine="610"/>
        <w:rPr>
          <w:rFonts w:ascii="@仿宋_GB2312" w:hAnsi="Calibri" w:eastAsia="@仿宋_GB2312" w:cs="宋体"/>
          <w:color w:val="auto"/>
          <w:kern w:val="2"/>
          <w:sz w:val="24"/>
          <w:szCs w:val="24"/>
          <w:highlight w:val="none"/>
        </w:rPr>
      </w:pPr>
    </w:p>
    <w:p w14:paraId="611C8D75">
      <w:pPr>
        <w:spacing w:before="62" w:beforeLines="20" w:after="62" w:afterLines="20" w:line="540" w:lineRule="exact"/>
        <w:ind w:left="400" w:leftChars="200" w:firstLine="240" w:firstLineChars="1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特此证明。</w:t>
      </w:r>
    </w:p>
    <w:p w14:paraId="6EFFB52F">
      <w:pPr>
        <w:tabs>
          <w:tab w:val="left" w:pos="720"/>
          <w:tab w:val="left" w:pos="900"/>
        </w:tabs>
        <w:spacing w:before="62" w:beforeLines="20" w:after="62" w:afterLines="20" w:line="540" w:lineRule="exact"/>
        <w:ind w:firstLine="480" w:firstLineChars="200"/>
        <w:rPr>
          <w:rFonts w:ascii="Calibri" w:hAnsi="Calibri" w:cs="宋体"/>
          <w:color w:val="auto"/>
          <w:kern w:val="2"/>
          <w:sz w:val="24"/>
          <w:szCs w:val="24"/>
          <w:highlight w:val="none"/>
        </w:rPr>
      </w:pPr>
      <w:r>
        <w:rPr>
          <w:rFonts w:hint="eastAsia" w:ascii="Calibri" w:hAnsi="Calibri" w:cs="宋体"/>
          <w:color w:val="auto"/>
          <w:kern w:val="2"/>
          <w:sz w:val="24"/>
          <w:szCs w:val="24"/>
          <w:highlight w:val="none"/>
        </w:rPr>
        <w:t>附：法定代表人身份证扫描件</w:t>
      </w:r>
    </w:p>
    <w:p w14:paraId="4ACBC971">
      <w:pPr>
        <w:tabs>
          <w:tab w:val="left" w:pos="720"/>
          <w:tab w:val="left" w:pos="900"/>
        </w:tabs>
        <w:spacing w:before="62" w:beforeLines="20" w:after="62" w:afterLines="20" w:line="540" w:lineRule="exact"/>
        <w:ind w:firstLine="480" w:firstLineChars="200"/>
        <w:rPr>
          <w:rFonts w:ascii="@仿宋_GB2312" w:hAnsi="Calibri" w:eastAsia="@仿宋_GB2312" w:cs="宋体"/>
          <w:color w:val="auto"/>
          <w:kern w:val="2"/>
          <w:sz w:val="24"/>
          <w:szCs w:val="24"/>
          <w:highlight w:val="none"/>
        </w:rPr>
      </w:pPr>
    </w:p>
    <w:p w14:paraId="6A583782">
      <w:pPr>
        <w:tabs>
          <w:tab w:val="left" w:pos="720"/>
          <w:tab w:val="left" w:pos="900"/>
        </w:tabs>
        <w:spacing w:before="62" w:beforeLines="20" w:after="62" w:afterLines="20" w:line="540" w:lineRule="exact"/>
        <w:ind w:firstLine="4560" w:firstLineChars="1900"/>
        <w:rPr>
          <w:rFonts w:ascii="@仿宋_GB2312" w:hAnsi="Calibri" w:eastAsia="@仿宋_GB2312" w:cs="宋体"/>
          <w:color w:val="auto"/>
          <w:kern w:val="2"/>
          <w:sz w:val="24"/>
          <w:szCs w:val="24"/>
          <w:highlight w:val="none"/>
        </w:rPr>
      </w:pPr>
    </w:p>
    <w:p w14:paraId="7911338F">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供应商电子签章：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5DE16F03">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2203755C">
      <w:pPr>
        <w:widowControl/>
        <w:jc w:val="left"/>
        <w:rPr>
          <w:rFonts w:cs="@仿宋_GB2312" w:asciiTheme="minorEastAsia" w:hAnsiTheme="minorEastAsia" w:eastAsiaTheme="minorEastAsia"/>
          <w:b/>
          <w:bCs/>
          <w:color w:val="auto"/>
          <w:kern w:val="2"/>
          <w:sz w:val="24"/>
          <w:szCs w:val="24"/>
          <w:highlight w:val="none"/>
        </w:rPr>
      </w:pPr>
      <w:r>
        <w:rPr>
          <w:rFonts w:cs="@仿宋_GB2312" w:asciiTheme="minorEastAsia" w:hAnsiTheme="minorEastAsia" w:eastAsiaTheme="minorEastAsia"/>
          <w:color w:val="auto"/>
          <w:kern w:val="2"/>
          <w:sz w:val="24"/>
          <w:szCs w:val="24"/>
          <w:highlight w:val="none"/>
        </w:rPr>
        <w:br w:type="page"/>
      </w:r>
    </w:p>
    <w:p w14:paraId="380E6139">
      <w:pPr>
        <w:keepNext/>
        <w:keepLines/>
        <w:spacing w:before="260" w:after="260" w:line="416" w:lineRule="auto"/>
        <w:jc w:val="center"/>
        <w:outlineLvl w:val="1"/>
        <w:rPr>
          <w:rFonts w:hint="eastAsia" w:cs="@仿宋_GB2312" w:asciiTheme="minorEastAsia" w:hAnsiTheme="minorEastAsia" w:eastAsiaTheme="minorEastAsia"/>
          <w:b/>
          <w:bCs/>
          <w:color w:val="auto"/>
          <w:kern w:val="2"/>
          <w:sz w:val="24"/>
          <w:szCs w:val="24"/>
          <w:highlight w:val="none"/>
        </w:rPr>
      </w:pPr>
      <w:bookmarkStart w:id="587" w:name="_Toc4373"/>
      <w:bookmarkStart w:id="588" w:name="_Toc20099"/>
      <w:r>
        <w:rPr>
          <w:rFonts w:hint="eastAsia" w:cs="@仿宋_GB2312" w:asciiTheme="minorEastAsia" w:hAnsiTheme="minorEastAsia" w:eastAsiaTheme="minorEastAsia"/>
          <w:b/>
          <w:bCs/>
          <w:color w:val="auto"/>
          <w:kern w:val="2"/>
          <w:sz w:val="24"/>
          <w:szCs w:val="24"/>
          <w:highlight w:val="none"/>
          <w:lang w:val="en-US" w:eastAsia="zh-CN"/>
        </w:rPr>
        <w:t>八</w:t>
      </w:r>
      <w:r>
        <w:rPr>
          <w:rFonts w:hint="eastAsia" w:cs="@仿宋_GB2312" w:asciiTheme="minorEastAsia" w:hAnsiTheme="minorEastAsia" w:eastAsiaTheme="minorEastAsia"/>
          <w:b/>
          <w:bCs/>
          <w:color w:val="auto"/>
          <w:kern w:val="2"/>
          <w:sz w:val="24"/>
          <w:szCs w:val="24"/>
          <w:highlight w:val="none"/>
        </w:rPr>
        <w:t>、项目经理承诺书</w:t>
      </w:r>
      <w:bookmarkEnd w:id="587"/>
      <w:bookmarkEnd w:id="588"/>
    </w:p>
    <w:p w14:paraId="49791A68">
      <w:pPr>
        <w:spacing w:line="360" w:lineRule="auto"/>
        <w:rPr>
          <w:rFonts w:hint="eastAsia" w:cs="宋体" w:asciiTheme="minorEastAsia" w:hAnsiTheme="minorEastAsia" w:eastAsiaTheme="minorEastAsia"/>
          <w:color w:val="auto"/>
          <w:kern w:val="2"/>
          <w:sz w:val="24"/>
          <w:szCs w:val="24"/>
          <w:highlight w:val="none"/>
          <w:lang w:eastAsia="zh-CN"/>
        </w:rPr>
      </w:pPr>
      <w:r>
        <w:rPr>
          <w:rFonts w:hint="eastAsia" w:cs="宋体" w:asciiTheme="minorEastAsia" w:hAnsiTheme="minorEastAsia" w:eastAsiaTheme="minorEastAsia"/>
          <w:b/>
          <w:color w:val="auto"/>
          <w:kern w:val="2"/>
          <w:sz w:val="24"/>
          <w:szCs w:val="24"/>
          <w:highlight w:val="none"/>
        </w:rPr>
        <w:t>致：</w:t>
      </w:r>
      <w:r>
        <w:rPr>
          <w:rFonts w:hint="eastAsia" w:cs="宋体" w:asciiTheme="minorEastAsia" w:hAnsiTheme="minorEastAsia" w:eastAsiaTheme="minorEastAsia"/>
          <w:b/>
          <w:color w:val="auto"/>
          <w:kern w:val="2"/>
          <w:sz w:val="24"/>
          <w:szCs w:val="24"/>
          <w:highlight w:val="none"/>
          <w:u w:val="none"/>
          <w:lang w:val="en-US" w:eastAsia="zh-CN"/>
        </w:rPr>
        <w:t>滁州学院</w:t>
      </w:r>
    </w:p>
    <w:p w14:paraId="0C71C98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03F91579">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270B8033">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lang w:val="en-US" w:eastAsia="zh-CN"/>
        </w:rPr>
        <w:t>二</w:t>
      </w:r>
      <w:r>
        <w:rPr>
          <w:rFonts w:hint="eastAsia" w:cs="宋体"/>
          <w:color w:val="auto"/>
          <w:kern w:val="2"/>
          <w:sz w:val="24"/>
          <w:szCs w:val="24"/>
          <w:highlight w:val="none"/>
        </w:rPr>
        <w:t>、本人承诺，一旦成交，将严格按照磋商文件规定履约。</w:t>
      </w:r>
    </w:p>
    <w:p w14:paraId="7E8952C5">
      <w:pPr>
        <w:spacing w:line="360" w:lineRule="auto"/>
        <w:ind w:firstLine="480" w:firstLineChars="200"/>
        <w:rPr>
          <w:rFonts w:hint="eastAsia" w:cs="宋体"/>
          <w:color w:val="auto"/>
          <w:kern w:val="2"/>
          <w:sz w:val="24"/>
          <w:szCs w:val="24"/>
          <w:highlight w:val="none"/>
        </w:rPr>
      </w:pPr>
      <w:r>
        <w:rPr>
          <w:rFonts w:hint="eastAsia" w:cs="宋体"/>
          <w:color w:val="auto"/>
          <w:kern w:val="2"/>
          <w:sz w:val="24"/>
          <w:szCs w:val="24"/>
          <w:highlight w:val="none"/>
          <w:lang w:val="en-US" w:eastAsia="zh-CN"/>
        </w:rPr>
        <w:t>三</w:t>
      </w:r>
      <w:r>
        <w:rPr>
          <w:rFonts w:hint="eastAsia" w:cs="宋体"/>
          <w:color w:val="auto"/>
          <w:kern w:val="2"/>
          <w:sz w:val="24"/>
          <w:szCs w:val="24"/>
          <w:highlight w:val="none"/>
        </w:rPr>
        <w:t>、本人声明，对以上承诺，一旦发现虚假现象，本人愿意承担相应法律责任，并随时无条件配合监管部门调查取证。</w:t>
      </w:r>
    </w:p>
    <w:p w14:paraId="12FBC353">
      <w:pPr>
        <w:spacing w:line="360" w:lineRule="auto"/>
        <w:ind w:firstLine="480" w:firstLineChars="200"/>
        <w:rPr>
          <w:rFonts w:hint="eastAsia" w:cs="宋体"/>
          <w:color w:val="auto"/>
          <w:kern w:val="2"/>
          <w:sz w:val="24"/>
          <w:szCs w:val="24"/>
          <w:highlight w:val="none"/>
          <w:lang w:val="en-US" w:eastAsia="zh-CN"/>
        </w:rPr>
      </w:pPr>
      <w:r>
        <w:rPr>
          <w:rFonts w:hint="eastAsia" w:cs="宋体"/>
          <w:color w:val="auto"/>
          <w:kern w:val="2"/>
          <w:sz w:val="24"/>
          <w:szCs w:val="24"/>
          <w:highlight w:val="none"/>
          <w:lang w:val="en-US" w:eastAsia="zh-CN"/>
        </w:rPr>
        <w:t>四、</w:t>
      </w:r>
      <w:r>
        <w:rPr>
          <w:rFonts w:hint="eastAsia" w:cs="宋体"/>
          <w:color w:val="auto"/>
          <w:kern w:val="2"/>
          <w:sz w:val="24"/>
          <w:szCs w:val="24"/>
          <w:highlight w:val="none"/>
          <w:u w:val="single"/>
        </w:rPr>
        <w:t xml:space="preserve">                   </w:t>
      </w:r>
    </w:p>
    <w:p w14:paraId="55330EB8">
      <w:pPr>
        <w:spacing w:line="360" w:lineRule="auto"/>
        <w:ind w:firstLine="480" w:firstLineChars="200"/>
        <w:rPr>
          <w:rFonts w:cs="宋体"/>
          <w:color w:val="auto"/>
          <w:kern w:val="2"/>
          <w:sz w:val="24"/>
          <w:szCs w:val="24"/>
          <w:highlight w:val="none"/>
        </w:rPr>
      </w:pPr>
    </w:p>
    <w:p w14:paraId="5034A1A9">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09CA165F">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52C0BDC5">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7BACB708">
      <w:pPr>
        <w:spacing w:line="360" w:lineRule="auto"/>
        <w:ind w:firstLine="480" w:firstLineChars="200"/>
        <w:rPr>
          <w:rFonts w:cs="宋体"/>
          <w:color w:val="auto"/>
          <w:kern w:val="2"/>
          <w:sz w:val="24"/>
          <w:szCs w:val="24"/>
          <w:highlight w:val="none"/>
        </w:rPr>
      </w:pPr>
    </w:p>
    <w:p w14:paraId="69095760">
      <w:pPr>
        <w:spacing w:line="360" w:lineRule="auto"/>
        <w:ind w:firstLine="480" w:firstLineChars="200"/>
        <w:rPr>
          <w:rFonts w:cs="宋体" w:asciiTheme="minorEastAsia" w:hAnsiTheme="minorEastAsia" w:eastAsiaTheme="minorEastAsia"/>
          <w:color w:val="auto"/>
          <w:kern w:val="2"/>
          <w:sz w:val="24"/>
          <w:szCs w:val="24"/>
          <w:highlight w:val="none"/>
        </w:rPr>
      </w:pPr>
      <w:r>
        <w:rPr>
          <w:rFonts w:hint="eastAsia" w:cs="宋体"/>
          <w:color w:val="auto"/>
          <w:kern w:val="2"/>
          <w:sz w:val="24"/>
          <w:szCs w:val="24"/>
          <w:highlight w:val="none"/>
        </w:rPr>
        <w:t>注：本页后附项目经理身份证明扫描件。</w:t>
      </w:r>
    </w:p>
    <w:p w14:paraId="73D03D95">
      <w:pPr>
        <w:autoSpaceDE w:val="0"/>
        <w:autoSpaceDN w:val="0"/>
        <w:adjustRightInd w:val="0"/>
        <w:spacing w:line="360" w:lineRule="auto"/>
        <w:jc w:val="center"/>
        <w:rPr>
          <w:rFonts w:asciiTheme="minorEastAsia" w:hAnsiTheme="minorEastAsia" w:eastAsiaTheme="minorEastAsia"/>
          <w:color w:val="auto"/>
          <w:sz w:val="28"/>
          <w:highlight w:val="none"/>
        </w:rPr>
      </w:pPr>
      <w:bookmarkStart w:id="589" w:name="_Toc438648628"/>
      <w:r>
        <w:rPr>
          <w:rFonts w:hint="eastAsia" w:ascii="@仿宋_GB2312" w:eastAsia="@仿宋_GB2312" w:cs="宋体"/>
          <w:b/>
          <w:color w:val="auto"/>
          <w:kern w:val="2"/>
          <w:sz w:val="24"/>
          <w:szCs w:val="24"/>
          <w:highlight w:val="none"/>
        </w:rPr>
        <w:br w:type="page"/>
      </w:r>
      <w:bookmarkEnd w:id="589"/>
    </w:p>
    <w:p w14:paraId="32136FE0">
      <w:pPr>
        <w:spacing w:line="360" w:lineRule="auto"/>
        <w:jc w:val="center"/>
        <w:outlineLvl w:val="1"/>
        <w:rPr>
          <w:rFonts w:asciiTheme="minorEastAsia" w:hAnsiTheme="minorEastAsia" w:eastAsiaTheme="minorEastAsia"/>
          <w:b/>
          <w:color w:val="auto"/>
          <w:sz w:val="24"/>
          <w:highlight w:val="none"/>
        </w:rPr>
      </w:pPr>
      <w:bookmarkStart w:id="590" w:name="_Toc28359"/>
      <w:bookmarkStart w:id="591" w:name="_Toc31589"/>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、中小企业声明函</w:t>
      </w:r>
      <w:bookmarkEnd w:id="590"/>
      <w:bookmarkEnd w:id="591"/>
    </w:p>
    <w:p w14:paraId="33F8D91C">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本公司（联合体）郑重声明，根据《政府采购促进中小企业发展管理办法》（财库﹝2020﹞46号）的规定，本公司（联合体）参加</w:t>
      </w:r>
      <w:r>
        <w:rPr>
          <w:rFonts w:hint="eastAsia" w:cs="@仿宋_GB2312"/>
          <w:color w:val="auto"/>
          <w:kern w:val="2"/>
          <w:sz w:val="24"/>
          <w:szCs w:val="24"/>
          <w:highlight w:val="none"/>
          <w:u w:val="single"/>
          <w:lang w:val="zh-CN"/>
        </w:rPr>
        <w:t>（单位</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的</w:t>
      </w:r>
      <w:r>
        <w:rPr>
          <w:rFonts w:hint="eastAsia" w:cs="@仿宋_GB2312"/>
          <w:color w:val="auto"/>
          <w:kern w:val="2"/>
          <w:sz w:val="24"/>
          <w:szCs w:val="24"/>
          <w:highlight w:val="none"/>
          <w:u w:val="single"/>
          <w:lang w:val="zh-CN"/>
        </w:rPr>
        <w:t>（项目</w:t>
      </w:r>
      <w:r>
        <w:rPr>
          <w:rFonts w:hint="eastAsia" w:cs="@仿宋_GB2312"/>
          <w:color w:val="auto"/>
          <w:kern w:val="2"/>
          <w:sz w:val="24"/>
          <w:szCs w:val="24"/>
          <w:highlight w:val="none"/>
          <w:u w:val="single"/>
          <w:lang w:val="en-US" w:eastAsia="zh-CN"/>
        </w:rPr>
        <w:t>名称</w:t>
      </w:r>
      <w:r>
        <w:rPr>
          <w:rFonts w:hint="eastAsia" w:cs="@仿宋_GB2312"/>
          <w:color w:val="auto"/>
          <w:kern w:val="2"/>
          <w:sz w:val="24"/>
          <w:szCs w:val="24"/>
          <w:highlight w:val="none"/>
          <w:u w:val="single"/>
          <w:lang w:val="zh-CN"/>
        </w:rPr>
        <w:t>）</w:t>
      </w:r>
      <w:r>
        <w:rPr>
          <w:rFonts w:hint="eastAsia" w:cs="@仿宋_GB2312"/>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3FE28636">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1.</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00FCDFAE">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2.</w:t>
      </w:r>
      <w:r>
        <w:rPr>
          <w:rFonts w:hint="eastAsia" w:cs="@仿宋_GB2312"/>
          <w:color w:val="auto"/>
          <w:kern w:val="2"/>
          <w:sz w:val="24"/>
          <w:szCs w:val="24"/>
          <w:highlight w:val="none"/>
          <w:u w:val="single"/>
          <w:lang w:val="zh-CN"/>
        </w:rPr>
        <w:t xml:space="preserve"> （标的名称） </w:t>
      </w:r>
      <w:r>
        <w:rPr>
          <w:rFonts w:hint="eastAsia" w:cs="@仿宋_GB2312"/>
          <w:color w:val="auto"/>
          <w:kern w:val="2"/>
          <w:sz w:val="24"/>
          <w:szCs w:val="24"/>
          <w:highlight w:val="none"/>
          <w:lang w:val="zh-CN"/>
        </w:rPr>
        <w:t>，属于</w:t>
      </w:r>
      <w:r>
        <w:rPr>
          <w:rFonts w:hint="eastAsia" w:cs="@仿宋_GB2312"/>
          <w:color w:val="auto"/>
          <w:kern w:val="2"/>
          <w:sz w:val="24"/>
          <w:szCs w:val="24"/>
          <w:highlight w:val="none"/>
          <w:u w:val="single"/>
          <w:lang w:val="zh-CN"/>
        </w:rPr>
        <w:t>（采购文件中明确的所属行业）</w:t>
      </w:r>
      <w:r>
        <w:rPr>
          <w:rFonts w:hint="eastAsia" w:cs="@仿宋_GB2312"/>
          <w:color w:val="auto"/>
          <w:kern w:val="2"/>
          <w:sz w:val="24"/>
          <w:szCs w:val="24"/>
          <w:highlight w:val="none"/>
          <w:lang w:val="zh-CN"/>
        </w:rPr>
        <w:t>行业；承建企业为</w:t>
      </w:r>
      <w:r>
        <w:rPr>
          <w:rFonts w:hint="eastAsia" w:cs="@仿宋_GB2312"/>
          <w:color w:val="auto"/>
          <w:kern w:val="2"/>
          <w:sz w:val="24"/>
          <w:szCs w:val="24"/>
          <w:highlight w:val="none"/>
          <w:u w:val="single"/>
          <w:lang w:val="zh-CN"/>
        </w:rPr>
        <w:t>（企业名称）</w:t>
      </w:r>
      <w:r>
        <w:rPr>
          <w:rFonts w:hint="eastAsia" w:cs="@仿宋_GB2312"/>
          <w:color w:val="auto"/>
          <w:kern w:val="2"/>
          <w:sz w:val="24"/>
          <w:szCs w:val="24"/>
          <w:highlight w:val="none"/>
          <w:lang w:val="zh-CN"/>
        </w:rPr>
        <w:t>，从业人员</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人，营业收入为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万元，资产总额为</w:t>
      </w:r>
      <w:r>
        <w:rPr>
          <w:rFonts w:hint="eastAsia" w:cs="@仿宋_GB2312"/>
          <w:color w:val="auto"/>
          <w:kern w:val="2"/>
          <w:sz w:val="24"/>
          <w:szCs w:val="24"/>
          <w:highlight w:val="none"/>
          <w:u w:val="single"/>
          <w:lang w:val="zh-CN"/>
        </w:rPr>
        <w:t xml:space="preserve">     </w:t>
      </w:r>
      <w:r>
        <w:rPr>
          <w:rFonts w:hint="eastAsia" w:cs="@仿宋_GB2312"/>
          <w:color w:val="auto"/>
          <w:kern w:val="2"/>
          <w:sz w:val="24"/>
          <w:szCs w:val="24"/>
          <w:highlight w:val="none"/>
          <w:lang w:val="zh-CN"/>
        </w:rPr>
        <w:t>万元，属于</w:t>
      </w:r>
      <w:r>
        <w:rPr>
          <w:rFonts w:hint="eastAsia" w:cs="@仿宋_GB2312"/>
          <w:color w:val="auto"/>
          <w:kern w:val="2"/>
          <w:sz w:val="24"/>
          <w:szCs w:val="24"/>
          <w:highlight w:val="none"/>
          <w:u w:val="single"/>
          <w:lang w:val="zh-CN"/>
        </w:rPr>
        <w:t>（中型企业、小型企业、微型企业）</w:t>
      </w:r>
      <w:r>
        <w:rPr>
          <w:rFonts w:hint="eastAsia" w:cs="@仿宋_GB2312"/>
          <w:color w:val="auto"/>
          <w:kern w:val="2"/>
          <w:sz w:val="24"/>
          <w:szCs w:val="24"/>
          <w:highlight w:val="none"/>
          <w:lang w:val="zh-CN"/>
        </w:rPr>
        <w:t xml:space="preserve">； </w:t>
      </w:r>
    </w:p>
    <w:p w14:paraId="20A6BA7D">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w:t>
      </w:r>
    </w:p>
    <w:p w14:paraId="3E371575">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以上企业，不属于大企业的分支机构，不存在控股股东为大企业的情形，也不存在与大企业的负责人为同一人的情形。</w:t>
      </w:r>
    </w:p>
    <w:p w14:paraId="6700DC2E">
      <w:pPr>
        <w:spacing w:line="360" w:lineRule="auto"/>
        <w:ind w:firstLine="435"/>
        <w:rPr>
          <w:rFonts w:cs="@仿宋_GB2312"/>
          <w:color w:val="auto"/>
          <w:kern w:val="2"/>
          <w:sz w:val="24"/>
          <w:szCs w:val="24"/>
          <w:highlight w:val="none"/>
          <w:lang w:val="zh-CN"/>
        </w:rPr>
      </w:pPr>
      <w:r>
        <w:rPr>
          <w:rFonts w:hint="eastAsia" w:cs="@仿宋_GB2312"/>
          <w:color w:val="auto"/>
          <w:kern w:val="2"/>
          <w:sz w:val="24"/>
          <w:szCs w:val="24"/>
          <w:highlight w:val="none"/>
          <w:lang w:val="zh-CN"/>
        </w:rPr>
        <w:t xml:space="preserve">本企业对上述声明内容的真实性负责。如有虚假，将依法承担相应责任。 </w:t>
      </w:r>
    </w:p>
    <w:p w14:paraId="0026BA7A">
      <w:pPr>
        <w:spacing w:line="360" w:lineRule="auto"/>
        <w:rPr>
          <w:rFonts w:cs="@仿宋_GB2312" w:asciiTheme="minorEastAsia" w:hAnsiTheme="minorEastAsia" w:eastAsiaTheme="minorEastAsia"/>
          <w:color w:val="auto"/>
          <w:kern w:val="2"/>
          <w:sz w:val="24"/>
          <w:szCs w:val="24"/>
          <w:highlight w:val="none"/>
        </w:rPr>
      </w:pPr>
    </w:p>
    <w:p w14:paraId="5D559652">
      <w:pPr>
        <w:spacing w:line="360" w:lineRule="auto"/>
        <w:ind w:firstLine="4228" w:firstLineChars="176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供应商</w:t>
      </w:r>
      <w:r>
        <w:rPr>
          <w:rFonts w:cs="@仿宋_GB2312" w:asciiTheme="minorEastAsia" w:hAnsiTheme="minorEastAsia" w:eastAsiaTheme="minorEastAsia"/>
          <w:color w:val="auto"/>
          <w:kern w:val="2"/>
          <w:sz w:val="24"/>
          <w:szCs w:val="24"/>
          <w:highlight w:val="none"/>
        </w:rPr>
        <w:t>电子签章</w:t>
      </w:r>
      <w:r>
        <w:rPr>
          <w:rFonts w:hint="eastAsia" w:cs="@仿宋_GB2312" w:asciiTheme="minorEastAsia" w:hAnsiTheme="minorEastAsia" w:eastAsiaTheme="minorEastAsia"/>
          <w:color w:val="auto"/>
          <w:kern w:val="2"/>
          <w:sz w:val="24"/>
          <w:szCs w:val="24"/>
          <w:highlight w:val="none"/>
        </w:rPr>
        <w:t>：</w:t>
      </w:r>
      <w:r>
        <w:rPr>
          <w:rFonts w:cs="@仿宋_GB2312" w:asciiTheme="minorEastAsia" w:hAnsiTheme="minorEastAsia" w:eastAsiaTheme="minorEastAsia"/>
          <w:color w:val="auto"/>
          <w:kern w:val="2"/>
          <w:sz w:val="24"/>
          <w:szCs w:val="24"/>
          <w:highlight w:val="none"/>
          <w:u w:val="single"/>
        </w:rPr>
        <w:t xml:space="preserve">             </w:t>
      </w:r>
    </w:p>
    <w:p w14:paraId="07E06193">
      <w:pPr>
        <w:tabs>
          <w:tab w:val="left" w:pos="4620"/>
        </w:tabs>
        <w:spacing w:line="360" w:lineRule="auto"/>
        <w:ind w:firstLine="4252" w:firstLineChars="1772"/>
        <w:rPr>
          <w:rFonts w:cs="@仿宋_GB2312" w:asciiTheme="minorEastAsia" w:hAnsiTheme="minorEastAsia" w:eastAsiaTheme="minorEastAsia"/>
          <w:color w:val="auto"/>
          <w:kern w:val="2"/>
          <w:sz w:val="24"/>
          <w:szCs w:val="24"/>
          <w:highlight w:val="none"/>
          <w:u w:val="single"/>
        </w:rPr>
      </w:pPr>
      <w:r>
        <w:rPr>
          <w:rFonts w:hint="eastAsia" w:cs="@仿宋_GB2312" w:asciiTheme="minorEastAsia" w:hAnsiTheme="minorEastAsia" w:eastAsiaTheme="minorEastAsia"/>
          <w:color w:val="auto"/>
          <w:kern w:val="2"/>
          <w:sz w:val="24"/>
          <w:szCs w:val="24"/>
          <w:highlight w:val="none"/>
        </w:rPr>
        <w:t>日</w:t>
      </w:r>
      <w:r>
        <w:rPr>
          <w:rFonts w:cs="@仿宋_GB2312" w:asciiTheme="minorEastAsia" w:hAnsiTheme="minorEastAsia" w:eastAsiaTheme="minorEastAsia"/>
          <w:color w:val="auto"/>
          <w:kern w:val="2"/>
          <w:sz w:val="24"/>
          <w:szCs w:val="24"/>
          <w:highlight w:val="none"/>
        </w:rPr>
        <w:t xml:space="preserve">      </w:t>
      </w:r>
      <w:r>
        <w:rPr>
          <w:rFonts w:hint="eastAsia" w:cs="@仿宋_GB2312" w:asciiTheme="minorEastAsia" w:hAnsiTheme="minorEastAsia" w:eastAsiaTheme="minorEastAsia"/>
          <w:color w:val="auto"/>
          <w:kern w:val="2"/>
          <w:sz w:val="24"/>
          <w:szCs w:val="24"/>
          <w:highlight w:val="none"/>
        </w:rPr>
        <w:t xml:space="preserve">    期：</w:t>
      </w:r>
      <w:r>
        <w:rPr>
          <w:rFonts w:cs="@仿宋_GB2312" w:asciiTheme="minorEastAsia" w:hAnsiTheme="minorEastAsia" w:eastAsiaTheme="minorEastAsia"/>
          <w:color w:val="auto"/>
          <w:kern w:val="2"/>
          <w:sz w:val="24"/>
          <w:szCs w:val="24"/>
          <w:highlight w:val="none"/>
          <w:u w:val="single"/>
        </w:rPr>
        <w:t xml:space="preserve">             </w:t>
      </w:r>
    </w:p>
    <w:p w14:paraId="14B4AA4C">
      <w:pPr>
        <w:tabs>
          <w:tab w:val="left" w:pos="4620"/>
        </w:tabs>
        <w:spacing w:line="360" w:lineRule="auto"/>
        <w:jc w:val="left"/>
        <w:rPr>
          <w:rFonts w:hint="eastAsia" w:cs="@仿宋_GB2312" w:asciiTheme="minorEastAsia" w:hAnsiTheme="minorEastAsia" w:eastAsiaTheme="minorEastAsia"/>
          <w:b/>
          <w:color w:val="auto"/>
          <w:kern w:val="2"/>
          <w:sz w:val="21"/>
          <w:szCs w:val="24"/>
          <w:highlight w:val="none"/>
          <w:lang w:eastAsia="zh-CN"/>
        </w:rPr>
      </w:pPr>
      <w:r>
        <w:rPr>
          <w:rFonts w:hint="eastAsia" w:cs="@仿宋_GB2312" w:asciiTheme="minorEastAsia" w:hAnsiTheme="minorEastAsia" w:eastAsiaTheme="minorEastAsia"/>
          <w:b/>
          <w:color w:val="auto"/>
          <w:kern w:val="2"/>
          <w:sz w:val="21"/>
          <w:szCs w:val="24"/>
          <w:highlight w:val="none"/>
          <w:lang w:eastAsia="zh-CN"/>
        </w:rPr>
        <w:t>注：</w:t>
      </w:r>
    </w:p>
    <w:p w14:paraId="7F59265D">
      <w:pPr>
        <w:tabs>
          <w:tab w:val="left" w:pos="4620"/>
        </w:tabs>
        <w:spacing w:line="360" w:lineRule="auto"/>
        <w:jc w:val="left"/>
        <w:rPr>
          <w:rFonts w:cs="@仿宋_GB2312" w:asciiTheme="minorEastAsia" w:hAnsiTheme="minorEastAsia" w:eastAsiaTheme="minorEastAsia"/>
          <w:color w:val="auto"/>
          <w:kern w:val="2"/>
          <w:sz w:val="21"/>
          <w:szCs w:val="24"/>
          <w:highlight w:val="none"/>
        </w:rPr>
      </w:pPr>
      <w:r>
        <w:rPr>
          <w:rFonts w:cs="@仿宋_GB2312" w:asciiTheme="minorEastAsia" w:hAnsiTheme="minorEastAsia" w:eastAsiaTheme="minorEastAsia"/>
          <w:color w:val="auto"/>
          <w:kern w:val="2"/>
          <w:sz w:val="21"/>
          <w:szCs w:val="24"/>
          <w:highlight w:val="none"/>
        </w:rPr>
        <w:t>1.从业人员、营业收入、资产总额填报上一年数据，无上一年数据的新成立企业可不填报。</w:t>
      </w:r>
    </w:p>
    <w:p w14:paraId="5BA9C6C4">
      <w:pPr>
        <w:tabs>
          <w:tab w:val="left" w:pos="4620"/>
        </w:tabs>
        <w:spacing w:line="360" w:lineRule="auto"/>
        <w:jc w:val="left"/>
        <w:rPr>
          <w:rFonts w:cs="宋体"/>
          <w:b/>
          <w:bCs/>
          <w:color w:val="auto"/>
          <w:kern w:val="2"/>
          <w:sz w:val="21"/>
          <w:szCs w:val="21"/>
          <w:highlight w:val="none"/>
        </w:rPr>
      </w:pPr>
      <w:r>
        <w:rPr>
          <w:rFonts w:hint="eastAsia" w:cs="宋体"/>
          <w:b/>
          <w:bCs/>
          <w:color w:val="auto"/>
          <w:sz w:val="21"/>
          <w:szCs w:val="21"/>
          <w:highlight w:val="none"/>
        </w:rPr>
        <w:t>2.</w:t>
      </w:r>
      <w:r>
        <w:rPr>
          <w:rFonts w:hint="eastAsia" w:cs="宋体"/>
          <w:b/>
          <w:bCs/>
          <w:color w:val="auto"/>
          <w:kern w:val="2"/>
          <w:sz w:val="21"/>
          <w:szCs w:val="21"/>
          <w:highlight w:val="none"/>
        </w:rPr>
        <w:t>供应商应根据《政府采购促进中小企业发展管理办法》（财库﹝2020﹞46号）和《关于印发中小企业划型标准规定的通知》(工信部联企业〔2011〕300号)相关规定，如实填写中小企业声明函。</w:t>
      </w:r>
      <w:r>
        <w:rPr>
          <w:rFonts w:hint="eastAsia" w:cs="宋体"/>
          <w:b/>
          <w:bCs/>
          <w:color w:val="auto"/>
          <w:kern w:val="2"/>
          <w:sz w:val="21"/>
          <w:szCs w:val="21"/>
          <w:highlight w:val="none"/>
          <w:lang w:val="zh-CN"/>
        </w:rPr>
        <w:t>如有虚假，将依法承担相应责任。</w:t>
      </w:r>
      <w:r>
        <w:rPr>
          <w:rFonts w:hint="eastAsia" w:cs="宋体"/>
          <w:b/>
          <w:bCs/>
          <w:color w:val="auto"/>
          <w:kern w:val="2"/>
          <w:sz w:val="21"/>
          <w:szCs w:val="21"/>
          <w:highlight w:val="none"/>
        </w:rPr>
        <w:t>供应商自行登录工业和信息化部官网进行中小企业规模类型自测（查询网址https://www.miit.gov.cn/）。</w:t>
      </w:r>
    </w:p>
    <w:p w14:paraId="1C893D98">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3.上述“</w:t>
      </w:r>
      <w:r>
        <w:rPr>
          <w:rFonts w:hint="eastAsia" w:cs="宋体"/>
          <w:b/>
          <w:bCs/>
          <w:color w:val="auto"/>
          <w:kern w:val="2"/>
          <w:sz w:val="21"/>
          <w:szCs w:val="21"/>
          <w:highlight w:val="none"/>
          <w:u w:val="single"/>
          <w:lang w:val="zh-CN"/>
        </w:rPr>
        <w:t>标的名称</w:t>
      </w:r>
      <w:r>
        <w:rPr>
          <w:rFonts w:hint="eastAsia" w:cs="宋体"/>
          <w:b/>
          <w:bCs/>
          <w:color w:val="auto"/>
          <w:kern w:val="2"/>
          <w:sz w:val="21"/>
          <w:szCs w:val="21"/>
          <w:highlight w:val="none"/>
        </w:rPr>
        <w:t>”，详见第三章采购需求前附表中明确的“标的名称”。</w:t>
      </w:r>
    </w:p>
    <w:p w14:paraId="518F695E">
      <w:pPr>
        <w:tabs>
          <w:tab w:val="left" w:pos="4620"/>
        </w:tabs>
        <w:spacing w:line="360" w:lineRule="auto"/>
        <w:jc w:val="left"/>
        <w:rPr>
          <w:rFonts w:cs="宋体"/>
          <w:b/>
          <w:bCs/>
          <w:color w:val="auto"/>
          <w:kern w:val="2"/>
          <w:sz w:val="21"/>
          <w:szCs w:val="21"/>
          <w:highlight w:val="none"/>
        </w:rPr>
      </w:pPr>
      <w:r>
        <w:rPr>
          <w:rFonts w:hint="eastAsia" w:cs="宋体"/>
          <w:b/>
          <w:bCs/>
          <w:color w:val="auto"/>
          <w:kern w:val="2"/>
          <w:sz w:val="21"/>
          <w:szCs w:val="21"/>
          <w:highlight w:val="none"/>
        </w:rPr>
        <w:t>4.上述“</w:t>
      </w:r>
      <w:r>
        <w:rPr>
          <w:rFonts w:hint="eastAsia" w:cs="宋体"/>
          <w:b/>
          <w:bCs/>
          <w:color w:val="auto"/>
          <w:kern w:val="2"/>
          <w:sz w:val="21"/>
          <w:szCs w:val="21"/>
          <w:highlight w:val="none"/>
          <w:u w:val="single"/>
        </w:rPr>
        <w:t>采购文件中明确的所属行业</w:t>
      </w:r>
      <w:r>
        <w:rPr>
          <w:rFonts w:hint="eastAsia" w:cs="宋体"/>
          <w:b/>
          <w:bCs/>
          <w:color w:val="auto"/>
          <w:kern w:val="2"/>
          <w:sz w:val="21"/>
          <w:szCs w:val="21"/>
          <w:highlight w:val="none"/>
        </w:rPr>
        <w:t>”，详见第三章采购需求前附表中明确的“所属行业”。</w:t>
      </w:r>
    </w:p>
    <w:p w14:paraId="517201A7">
      <w:pPr>
        <w:tabs>
          <w:tab w:val="left" w:pos="4620"/>
        </w:tabs>
        <w:spacing w:line="360" w:lineRule="auto"/>
        <w:jc w:val="left"/>
        <w:rPr>
          <w:rFonts w:asciiTheme="minorEastAsia" w:hAnsiTheme="minorEastAsia" w:eastAsiaTheme="minorEastAsia"/>
          <w:color w:val="auto"/>
          <w:sz w:val="24"/>
          <w:highlight w:val="none"/>
        </w:rPr>
      </w:pPr>
      <w:r>
        <w:rPr>
          <w:rFonts w:hint="eastAsia" w:cs="宋体"/>
          <w:b/>
          <w:bCs/>
          <w:color w:val="auto"/>
          <w:kern w:val="2"/>
          <w:sz w:val="21"/>
          <w:szCs w:val="21"/>
          <w:highlight w:val="none"/>
        </w:rPr>
        <w:t>5．</w:t>
      </w:r>
      <w:r>
        <w:rPr>
          <w:rFonts w:hint="eastAsia" w:cs="宋体"/>
          <w:b/>
          <w:bCs/>
          <w:color w:val="auto"/>
          <w:szCs w:val="21"/>
          <w:highlight w:val="none"/>
        </w:rPr>
        <w:t>填写示例：</w:t>
      </w:r>
      <w:r>
        <w:rPr>
          <w:rFonts w:hint="eastAsia" w:cs="宋体"/>
          <w:b/>
          <w:bCs/>
          <w:color w:val="auto"/>
          <w:szCs w:val="21"/>
          <w:highlight w:val="none"/>
          <w:u w:val="single"/>
        </w:rPr>
        <w:t>某标的名称</w:t>
      </w:r>
      <w:r>
        <w:rPr>
          <w:rFonts w:hint="eastAsia" w:cs="宋体"/>
          <w:b/>
          <w:bCs/>
          <w:color w:val="auto"/>
          <w:szCs w:val="21"/>
          <w:highlight w:val="none"/>
        </w:rPr>
        <w:t>（</w:t>
      </w:r>
      <w:r>
        <w:rPr>
          <w:rFonts w:hint="eastAsia" w:cs="宋体"/>
          <w:b/>
          <w:bCs/>
          <w:color w:val="auto"/>
          <w:szCs w:val="21"/>
          <w:highlight w:val="none"/>
          <w:u w:val="single"/>
        </w:rPr>
        <w:t>填写第三章采购需求前附表中明确的“标的名称”</w:t>
      </w:r>
      <w:r>
        <w:rPr>
          <w:rFonts w:hint="eastAsia" w:cs="宋体"/>
          <w:b/>
          <w:bCs/>
          <w:color w:val="auto"/>
          <w:szCs w:val="21"/>
          <w:highlight w:val="none"/>
        </w:rPr>
        <w:t>），属于</w:t>
      </w:r>
      <w:r>
        <w:rPr>
          <w:rFonts w:hint="eastAsia" w:cs="宋体"/>
          <w:b/>
          <w:bCs/>
          <w:color w:val="auto"/>
          <w:szCs w:val="21"/>
          <w:highlight w:val="none"/>
          <w:u w:val="single"/>
        </w:rPr>
        <w:t>（填写第三章采购需求前附表中明确的“所属行业”，如建筑业）</w:t>
      </w:r>
      <w:r>
        <w:rPr>
          <w:rFonts w:hint="eastAsia" w:cs="宋体"/>
          <w:b/>
          <w:bCs/>
          <w:color w:val="auto"/>
          <w:szCs w:val="21"/>
          <w:highlight w:val="none"/>
        </w:rPr>
        <w:t>行业；承接企业为</w:t>
      </w:r>
      <w:r>
        <w:rPr>
          <w:rFonts w:hint="eastAsia" w:cs="宋体"/>
          <w:b/>
          <w:bCs/>
          <w:color w:val="auto"/>
          <w:szCs w:val="21"/>
          <w:highlight w:val="none"/>
          <w:u w:val="single"/>
          <w:lang w:val="zh-CN"/>
        </w:rPr>
        <w:t>某公司</w:t>
      </w:r>
      <w:r>
        <w:rPr>
          <w:rFonts w:hint="eastAsia" w:cs="宋体"/>
          <w:b/>
          <w:bCs/>
          <w:color w:val="auto"/>
          <w:szCs w:val="21"/>
          <w:highlight w:val="none"/>
        </w:rPr>
        <w:t>，</w:t>
      </w:r>
      <w:r>
        <w:rPr>
          <w:rFonts w:hint="eastAsia" w:cs="宋体"/>
          <w:b/>
          <w:bCs/>
          <w:color w:val="auto"/>
          <w:szCs w:val="21"/>
          <w:highlight w:val="none"/>
          <w:lang w:val="zh-CN"/>
        </w:rPr>
        <w:t>从业人员</w:t>
      </w:r>
      <w:r>
        <w:rPr>
          <w:rFonts w:hint="eastAsia" w:cs="宋体"/>
          <w:b/>
          <w:bCs/>
          <w:color w:val="auto"/>
          <w:szCs w:val="21"/>
          <w:highlight w:val="none"/>
          <w:u w:val="single"/>
        </w:rPr>
        <w:t>100</w:t>
      </w:r>
      <w:r>
        <w:rPr>
          <w:rFonts w:hint="eastAsia" w:cs="宋体"/>
          <w:b/>
          <w:bCs/>
          <w:color w:val="auto"/>
          <w:szCs w:val="21"/>
          <w:highlight w:val="none"/>
          <w:lang w:val="zh-CN"/>
        </w:rPr>
        <w:t>人</w:t>
      </w:r>
      <w:r>
        <w:rPr>
          <w:rFonts w:hint="eastAsia" w:cs="宋体"/>
          <w:b/>
          <w:bCs/>
          <w:color w:val="auto"/>
          <w:szCs w:val="21"/>
          <w:highlight w:val="none"/>
        </w:rPr>
        <w:t>，</w:t>
      </w:r>
      <w:r>
        <w:rPr>
          <w:rFonts w:hint="eastAsia" w:cs="宋体"/>
          <w:b/>
          <w:bCs/>
          <w:color w:val="auto"/>
          <w:szCs w:val="21"/>
          <w:highlight w:val="none"/>
          <w:lang w:val="zh-CN"/>
        </w:rPr>
        <w:t>营业收入为</w:t>
      </w:r>
      <w:r>
        <w:rPr>
          <w:rFonts w:hint="eastAsia" w:cs="宋体"/>
          <w:b/>
          <w:bCs/>
          <w:color w:val="auto"/>
          <w:szCs w:val="21"/>
          <w:highlight w:val="none"/>
          <w:u w:val="single"/>
        </w:rPr>
        <w:t>10000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资产总额为</w:t>
      </w:r>
      <w:r>
        <w:rPr>
          <w:rFonts w:hint="eastAsia" w:cs="宋体"/>
          <w:b/>
          <w:bCs/>
          <w:color w:val="auto"/>
          <w:szCs w:val="21"/>
          <w:highlight w:val="none"/>
          <w:u w:val="single"/>
        </w:rPr>
        <w:t>5000</w:t>
      </w:r>
      <w:r>
        <w:rPr>
          <w:rFonts w:hint="eastAsia" w:cs="宋体"/>
          <w:b/>
          <w:bCs/>
          <w:color w:val="auto"/>
          <w:szCs w:val="21"/>
          <w:highlight w:val="none"/>
          <w:lang w:val="zh-CN"/>
        </w:rPr>
        <w:t>万元</w:t>
      </w:r>
      <w:r>
        <w:rPr>
          <w:rFonts w:hint="eastAsia" w:cs="宋体"/>
          <w:b/>
          <w:bCs/>
          <w:color w:val="auto"/>
          <w:szCs w:val="21"/>
          <w:highlight w:val="none"/>
        </w:rPr>
        <w:t>，</w:t>
      </w:r>
      <w:r>
        <w:rPr>
          <w:rFonts w:hint="eastAsia" w:cs="宋体"/>
          <w:b/>
          <w:bCs/>
          <w:color w:val="auto"/>
          <w:szCs w:val="21"/>
          <w:highlight w:val="none"/>
          <w:lang w:val="zh-CN"/>
        </w:rPr>
        <w:t>属于</w:t>
      </w:r>
      <w:r>
        <w:rPr>
          <w:rFonts w:hint="eastAsia" w:cs="宋体"/>
          <w:b/>
          <w:bCs/>
          <w:color w:val="auto"/>
          <w:szCs w:val="21"/>
          <w:highlight w:val="none"/>
        </w:rPr>
        <w:t>中</w:t>
      </w:r>
      <w:r>
        <w:rPr>
          <w:rFonts w:hint="eastAsia" w:cs="宋体"/>
          <w:b/>
          <w:bCs/>
          <w:color w:val="auto"/>
          <w:szCs w:val="21"/>
          <w:highlight w:val="none"/>
          <w:u w:val="single"/>
          <w:lang w:val="zh-CN"/>
        </w:rPr>
        <w:t>型</w:t>
      </w:r>
      <w:r>
        <w:rPr>
          <w:rFonts w:hint="eastAsia" w:cs="宋体"/>
          <w:b/>
          <w:bCs/>
          <w:color w:val="auto"/>
          <w:szCs w:val="21"/>
          <w:highlight w:val="none"/>
          <w:lang w:val="zh-CN"/>
        </w:rPr>
        <w:t>企业</w:t>
      </w:r>
      <w:r>
        <w:rPr>
          <w:rFonts w:hint="eastAsia" w:cs="宋体"/>
          <w:b/>
          <w:bCs/>
          <w:color w:val="auto"/>
          <w:szCs w:val="21"/>
          <w:highlight w:val="none"/>
        </w:rPr>
        <w:t>[供应商自行登录工业和信息化部官网进行中小企业规模类型自测（查询网址https://www.miit.gov.cn/）]</w:t>
      </w:r>
      <w:r>
        <w:rPr>
          <w:rFonts w:hint="eastAsia" w:cs="宋体"/>
          <w:b/>
          <w:bCs/>
          <w:color w:val="auto"/>
          <w:kern w:val="2"/>
          <w:sz w:val="21"/>
          <w:szCs w:val="21"/>
          <w:highlight w:val="none"/>
          <w:lang w:val="zh-CN"/>
        </w:rPr>
        <w:t>。</w:t>
      </w:r>
      <w:r>
        <w:rPr>
          <w:rFonts w:asciiTheme="minorEastAsia" w:hAnsiTheme="minorEastAsia" w:eastAsiaTheme="minorEastAsia"/>
          <w:color w:val="auto"/>
          <w:sz w:val="24"/>
          <w:highlight w:val="none"/>
        </w:rPr>
        <w:br w:type="page"/>
      </w:r>
    </w:p>
    <w:p w14:paraId="6557A51D">
      <w:pPr>
        <w:spacing w:line="360" w:lineRule="auto"/>
        <w:jc w:val="center"/>
        <w:outlineLvl w:val="1"/>
        <w:rPr>
          <w:rFonts w:asciiTheme="minorEastAsia" w:hAnsiTheme="minorEastAsia" w:eastAsiaTheme="minorEastAsia"/>
          <w:b/>
          <w:color w:val="auto"/>
          <w:sz w:val="24"/>
          <w:highlight w:val="none"/>
        </w:rPr>
      </w:pPr>
      <w:bookmarkStart w:id="592" w:name="_Toc17813"/>
      <w:bookmarkStart w:id="593" w:name="_Toc17154"/>
      <w:r>
        <w:rPr>
          <w:rFonts w:hint="eastAsia" w:asciiTheme="minorEastAsia" w:hAnsiTheme="minorEastAsia" w:eastAsiaTheme="minorEastAsia"/>
          <w:b/>
          <w:color w:val="auto"/>
          <w:sz w:val="24"/>
          <w:highlight w:val="none"/>
        </w:rPr>
        <w:t>十、残疾人福利性单位声明函</w:t>
      </w:r>
      <w:bookmarkEnd w:id="592"/>
      <w:bookmarkEnd w:id="593"/>
    </w:p>
    <w:p w14:paraId="65F548E6">
      <w:pPr>
        <w:pStyle w:val="2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（非残疾人福利性单位磋商，请删去“残疾人福利性单位声明函”）</w:t>
      </w:r>
    </w:p>
    <w:p w14:paraId="59B95230">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w:t>
      </w:r>
      <w:r>
        <w:rPr>
          <w:rFonts w:hint="eastAsia" w:cs="Times New Roman"/>
          <w:color w:val="auto"/>
          <w:kern w:val="2"/>
          <w:sz w:val="24"/>
          <w:szCs w:val="22"/>
          <w:highlight w:val="none"/>
        </w:rPr>
        <w:t>郑重</w:t>
      </w:r>
      <w:r>
        <w:rPr>
          <w:rFonts w:hint="eastAsia" w:cs="Times New Roman"/>
          <w:color w:val="auto"/>
          <w:spacing w:val="6"/>
          <w:kern w:val="2"/>
          <w:sz w:val="24"/>
          <w:szCs w:val="24"/>
          <w:highlight w:val="none"/>
        </w:rPr>
        <w:t>声明，根据《财政部 民政部 中国残疾人联合会关于促进残疾人就业政府采购政策的通知》（财库</w:t>
      </w:r>
      <w:r>
        <w:rPr>
          <w:rFonts w:hint="eastAsia" w:cs="Times New Roman"/>
          <w:color w:val="auto"/>
          <w:kern w:val="2"/>
          <w:sz w:val="24"/>
          <w:szCs w:val="24"/>
          <w:highlight w:val="none"/>
        </w:rPr>
        <w:t>〔2017〕141</w:t>
      </w:r>
      <w:r>
        <w:rPr>
          <w:rFonts w:hint="eastAsia" w:cs="Times New Roman"/>
          <w:color w:val="auto"/>
          <w:spacing w:val="6"/>
          <w:kern w:val="2"/>
          <w:sz w:val="24"/>
          <w:szCs w:val="24"/>
          <w:highlight w:val="none"/>
        </w:rPr>
        <w:t>号）的规定，</w:t>
      </w:r>
      <w:r>
        <w:rPr>
          <w:rFonts w:hint="eastAsia" w:asciiTheme="minorEastAsia" w:hAnsiTheme="minorEastAsia" w:eastAsiaTheme="minorEastAsia"/>
          <w:color w:val="auto"/>
          <w:spacing w:val="6"/>
          <w:sz w:val="24"/>
          <w:szCs w:val="24"/>
          <w:highlight w:val="none"/>
        </w:rPr>
        <w:t>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26792928">
      <w:pPr>
        <w:spacing w:line="360" w:lineRule="auto"/>
        <w:ind w:firstLine="435"/>
        <w:rPr>
          <w:rFonts w:cs="Times New Roman"/>
          <w:color w:val="auto"/>
          <w:spacing w:val="6"/>
          <w:kern w:val="2"/>
          <w:sz w:val="24"/>
          <w:szCs w:val="24"/>
          <w:highlight w:val="none"/>
        </w:rPr>
      </w:pPr>
      <w:r>
        <w:rPr>
          <w:rFonts w:hint="eastAsia" w:cs="Times New Roman"/>
          <w:color w:val="auto"/>
          <w:spacing w:val="6"/>
          <w:kern w:val="2"/>
          <w:sz w:val="24"/>
          <w:szCs w:val="24"/>
          <w:highlight w:val="none"/>
        </w:rPr>
        <w:t>本单位对上述声明的真实性负责。如有虚假，将依法承担相应责任。</w:t>
      </w:r>
    </w:p>
    <w:p w14:paraId="4E9D2A0F">
      <w:pPr>
        <w:spacing w:line="360" w:lineRule="auto"/>
        <w:ind w:firstLine="4228" w:firstLineChars="1762"/>
        <w:rPr>
          <w:rFonts w:cs="Times New Roman"/>
          <w:color w:val="auto"/>
          <w:kern w:val="2"/>
          <w:sz w:val="24"/>
          <w:szCs w:val="24"/>
          <w:highlight w:val="none"/>
        </w:rPr>
      </w:pPr>
    </w:p>
    <w:p w14:paraId="2099431E">
      <w:pPr>
        <w:spacing w:line="360" w:lineRule="auto"/>
        <w:ind w:firstLine="4228" w:firstLineChars="1762"/>
        <w:rPr>
          <w:rFonts w:cs="Times New Roman"/>
          <w:color w:val="auto"/>
          <w:kern w:val="2"/>
          <w:sz w:val="24"/>
          <w:szCs w:val="24"/>
          <w:highlight w:val="none"/>
        </w:rPr>
      </w:pPr>
    </w:p>
    <w:p w14:paraId="3C584571">
      <w:pPr>
        <w:spacing w:line="360" w:lineRule="auto"/>
        <w:ind w:firstLine="4228" w:firstLineChars="1762"/>
        <w:rPr>
          <w:rFonts w:cs="Times New Roman"/>
          <w:color w:val="auto"/>
          <w:kern w:val="2"/>
          <w:sz w:val="24"/>
          <w:szCs w:val="24"/>
          <w:highlight w:val="none"/>
          <w:u w:val="single"/>
        </w:rPr>
      </w:pPr>
      <w:r>
        <w:rPr>
          <w:rFonts w:hint="eastAsia" w:cs="Times New Roman"/>
          <w:color w:val="auto"/>
          <w:kern w:val="2"/>
          <w:sz w:val="24"/>
          <w:szCs w:val="24"/>
          <w:highlight w:val="none"/>
        </w:rPr>
        <w:t>供应商</w:t>
      </w:r>
      <w:r>
        <w:rPr>
          <w:rFonts w:cs="Times New Roman"/>
          <w:color w:val="auto"/>
          <w:kern w:val="2"/>
          <w:sz w:val="24"/>
          <w:szCs w:val="24"/>
          <w:highlight w:val="none"/>
        </w:rPr>
        <w:t>电子签章</w:t>
      </w:r>
      <w:r>
        <w:rPr>
          <w:rFonts w:hint="eastAsia" w:cs="Times New Roman"/>
          <w:color w:val="auto"/>
          <w:kern w:val="2"/>
          <w:sz w:val="24"/>
          <w:szCs w:val="24"/>
          <w:highlight w:val="none"/>
        </w:rPr>
        <w:t>：</w:t>
      </w:r>
      <w:r>
        <w:rPr>
          <w:rFonts w:cs="Times New Roman"/>
          <w:color w:val="auto"/>
          <w:kern w:val="2"/>
          <w:sz w:val="24"/>
          <w:szCs w:val="24"/>
          <w:highlight w:val="none"/>
          <w:u w:val="single"/>
        </w:rPr>
        <w:t xml:space="preserve">             </w:t>
      </w:r>
    </w:p>
    <w:p w14:paraId="7235107C">
      <w:pPr>
        <w:tabs>
          <w:tab w:val="left" w:pos="4620"/>
        </w:tabs>
        <w:spacing w:line="360" w:lineRule="auto"/>
        <w:ind w:firstLine="4252" w:firstLineChars="1772"/>
        <w:rPr>
          <w:rFonts w:cs="Times New Roman"/>
          <w:color w:val="auto"/>
          <w:kern w:val="2"/>
          <w:sz w:val="24"/>
          <w:szCs w:val="24"/>
          <w:highlight w:val="none"/>
          <w:u w:val="single"/>
        </w:rPr>
      </w:pPr>
      <w:r>
        <w:rPr>
          <w:rFonts w:hint="eastAsia" w:cs="Times New Roman"/>
          <w:color w:val="auto"/>
          <w:kern w:val="2"/>
          <w:sz w:val="24"/>
          <w:szCs w:val="24"/>
          <w:highlight w:val="none"/>
        </w:rPr>
        <w:t>日</w:t>
      </w:r>
      <w:r>
        <w:rPr>
          <w:rFonts w:cs="Times New Roman"/>
          <w:color w:val="auto"/>
          <w:kern w:val="2"/>
          <w:sz w:val="24"/>
          <w:szCs w:val="24"/>
          <w:highlight w:val="none"/>
        </w:rPr>
        <w:t xml:space="preserve">      </w:t>
      </w:r>
      <w:r>
        <w:rPr>
          <w:rFonts w:hint="eastAsia" w:cs="Times New Roman"/>
          <w:color w:val="auto"/>
          <w:kern w:val="2"/>
          <w:sz w:val="24"/>
          <w:szCs w:val="24"/>
          <w:highlight w:val="none"/>
        </w:rPr>
        <w:t xml:space="preserve">    期：</w:t>
      </w:r>
      <w:r>
        <w:rPr>
          <w:rFonts w:cs="Times New Roman"/>
          <w:color w:val="auto"/>
          <w:kern w:val="2"/>
          <w:sz w:val="24"/>
          <w:szCs w:val="24"/>
          <w:highlight w:val="none"/>
          <w:u w:val="single"/>
        </w:rPr>
        <w:t xml:space="preserve">             </w:t>
      </w:r>
    </w:p>
    <w:p w14:paraId="5A98D53D">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456F417">
      <w:pPr>
        <w:spacing w:line="360" w:lineRule="auto"/>
        <w:jc w:val="center"/>
        <w:outlineLvl w:val="1"/>
        <w:rPr>
          <w:rFonts w:asciiTheme="minorEastAsia" w:hAnsiTheme="minorEastAsia" w:eastAsiaTheme="minorEastAsia"/>
          <w:b/>
          <w:color w:val="auto"/>
          <w:sz w:val="24"/>
          <w:highlight w:val="none"/>
        </w:rPr>
      </w:pPr>
      <w:bookmarkStart w:id="594" w:name="_Toc26894"/>
      <w:bookmarkStart w:id="595" w:name="_Toc17768"/>
      <w:bookmarkStart w:id="596" w:name="_Hlk44283088"/>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、诚信履约承诺函</w:t>
      </w:r>
      <w:bookmarkEnd w:id="594"/>
      <w:bookmarkEnd w:id="595"/>
    </w:p>
    <w:p w14:paraId="3398BD17">
      <w:pPr>
        <w:spacing w:line="360" w:lineRule="auto"/>
        <w:rPr>
          <w:rFonts w:cs="@仿宋_GB2312" w:asciiTheme="minorEastAsia" w:hAnsiTheme="minorEastAsia" w:eastAsiaTheme="minorEastAsia"/>
          <w:b/>
          <w:bCs/>
          <w:color w:val="auto"/>
          <w:kern w:val="2"/>
          <w:sz w:val="24"/>
          <w:highlight w:val="none"/>
        </w:rPr>
      </w:pPr>
    </w:p>
    <w:p w14:paraId="039D8CF9">
      <w:pPr>
        <w:spacing w:line="360" w:lineRule="auto"/>
        <w:rPr>
          <w:rFonts w:hint="eastAsia" w:cs="@仿宋_GB2312" w:asciiTheme="minorEastAsia" w:hAnsiTheme="minorEastAsia" w:eastAsiaTheme="minorEastAsia"/>
          <w:b/>
          <w:bCs/>
          <w:color w:val="auto"/>
          <w:kern w:val="2"/>
          <w:sz w:val="24"/>
          <w:highlight w:val="none"/>
          <w:u w:val="single"/>
          <w:lang w:eastAsia="zh-CN"/>
        </w:rPr>
      </w:pPr>
      <w:r>
        <w:rPr>
          <w:rFonts w:hint="eastAsia" w:cs="@仿宋_GB2312" w:asciiTheme="minorEastAsia" w:hAnsiTheme="minorEastAsia" w:eastAsiaTheme="minorEastAsia"/>
          <w:b/>
          <w:bCs/>
          <w:color w:val="auto"/>
          <w:kern w:val="2"/>
          <w:sz w:val="24"/>
          <w:highlight w:val="none"/>
        </w:rPr>
        <w:t>致：</w:t>
      </w:r>
      <w:r>
        <w:rPr>
          <w:rFonts w:hint="eastAsia" w:cs="@仿宋_GB2312" w:asciiTheme="minorEastAsia" w:hAnsiTheme="minorEastAsia" w:eastAsiaTheme="minorEastAsia"/>
          <w:b/>
          <w:bCs/>
          <w:color w:val="auto"/>
          <w:kern w:val="2"/>
          <w:sz w:val="24"/>
          <w:highlight w:val="none"/>
          <w:u w:val="none"/>
          <w:lang w:val="en-US" w:eastAsia="zh-CN"/>
        </w:rPr>
        <w:t>滁州学院</w:t>
      </w:r>
    </w:p>
    <w:p w14:paraId="37909053">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100A0C95">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（1）中标或者成交后无正当理由拒不与采购人签订政府采购合同；</w:t>
      </w:r>
    </w:p>
    <w:p w14:paraId="32FA6B7A">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（2）未按照采购文件确定的事项签订政府采购合同；</w:t>
      </w:r>
    </w:p>
    <w:p w14:paraId="0BC533A9">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（3）将政府采购合同转包；</w:t>
      </w:r>
    </w:p>
    <w:p w14:paraId="4C308AB9">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（4）提供假冒伪劣产品；</w:t>
      </w:r>
    </w:p>
    <w:p w14:paraId="56D75FA0">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（5）擅自变更、中止或者终止政府采购合同。</w:t>
      </w:r>
    </w:p>
    <w:p w14:paraId="07B808D9">
      <w:pPr>
        <w:spacing w:line="360" w:lineRule="auto"/>
        <w:ind w:firstLine="480" w:firstLineChars="2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9115883">
      <w:pPr>
        <w:spacing w:line="360" w:lineRule="auto"/>
        <w:rPr>
          <w:rFonts w:cs="@仿宋_GB2312" w:asciiTheme="minorEastAsia" w:hAnsiTheme="minorEastAsia" w:eastAsiaTheme="minorEastAsia"/>
          <w:bCs/>
          <w:color w:val="auto"/>
          <w:kern w:val="2"/>
          <w:sz w:val="24"/>
          <w:highlight w:val="none"/>
        </w:rPr>
      </w:pPr>
    </w:p>
    <w:p w14:paraId="219FF739">
      <w:pPr>
        <w:spacing w:line="360" w:lineRule="auto"/>
        <w:rPr>
          <w:rFonts w:cs="@仿宋_GB2312" w:asciiTheme="minorEastAsia" w:hAnsiTheme="minorEastAsia" w:eastAsiaTheme="minorEastAsia"/>
          <w:bCs/>
          <w:color w:val="auto"/>
          <w:kern w:val="2"/>
          <w:sz w:val="24"/>
          <w:highlight w:val="none"/>
        </w:rPr>
      </w:pPr>
    </w:p>
    <w:p w14:paraId="640B25FF">
      <w:pPr>
        <w:spacing w:line="360" w:lineRule="auto"/>
        <w:ind w:firstLine="4320" w:firstLineChars="1800"/>
        <w:rPr>
          <w:rFonts w:cs="@仿宋_GB2312" w:asciiTheme="minorEastAsia" w:hAnsiTheme="minorEastAsia" w:eastAsiaTheme="minorEastAsia"/>
          <w:bCs/>
          <w:color w:val="auto"/>
          <w:kern w:val="2"/>
          <w:sz w:val="24"/>
          <w:highlight w:val="none"/>
          <w:u w:val="single"/>
        </w:rPr>
      </w:pPr>
      <w:r>
        <w:rPr>
          <w:rFonts w:hint="eastAsia" w:cs="@仿宋_GB2312" w:asciiTheme="minorEastAsia" w:hAnsiTheme="minorEastAsia" w:eastAsiaTheme="minorEastAsia"/>
          <w:bCs/>
          <w:color w:val="auto"/>
          <w:kern w:val="2"/>
          <w:sz w:val="24"/>
          <w:highlight w:val="none"/>
        </w:rPr>
        <w:t>供应商电子签章：</w:t>
      </w:r>
      <w:r>
        <w:rPr>
          <w:rFonts w:hint="eastAsia" w:cs="@仿宋_GB2312" w:asciiTheme="minorEastAsia" w:hAnsiTheme="minorEastAsia" w:eastAsiaTheme="minorEastAsia"/>
          <w:bCs/>
          <w:color w:val="auto"/>
          <w:kern w:val="2"/>
          <w:sz w:val="24"/>
          <w:highlight w:val="none"/>
          <w:u w:val="single"/>
        </w:rPr>
        <w:t xml:space="preserve">     </w:t>
      </w:r>
      <w:r>
        <w:rPr>
          <w:rFonts w:cs="@仿宋_GB2312" w:asciiTheme="minorEastAsia" w:hAnsiTheme="minorEastAsia" w:eastAsiaTheme="minorEastAsia"/>
          <w:bCs/>
          <w:color w:val="auto"/>
          <w:kern w:val="2"/>
          <w:sz w:val="24"/>
          <w:highlight w:val="none"/>
          <w:u w:val="single"/>
        </w:rPr>
        <w:t xml:space="preserve">    </w:t>
      </w:r>
      <w:r>
        <w:rPr>
          <w:rFonts w:hint="eastAsia" w:cs="@仿宋_GB2312" w:asciiTheme="minorEastAsia" w:hAnsiTheme="minorEastAsia" w:eastAsiaTheme="minorEastAsia"/>
          <w:bCs/>
          <w:color w:val="auto"/>
          <w:kern w:val="2"/>
          <w:sz w:val="24"/>
          <w:highlight w:val="none"/>
          <w:u w:val="single"/>
        </w:rPr>
        <w:t xml:space="preserve">    </w:t>
      </w:r>
    </w:p>
    <w:p w14:paraId="7572FB6C">
      <w:pPr>
        <w:spacing w:line="360" w:lineRule="auto"/>
        <w:ind w:firstLine="4320" w:firstLineChars="1800"/>
        <w:rPr>
          <w:rFonts w:cs="@仿宋_GB2312" w:asciiTheme="minorEastAsia" w:hAnsiTheme="minorEastAsia" w:eastAsiaTheme="minorEastAsia"/>
          <w:bCs/>
          <w:color w:val="auto"/>
          <w:kern w:val="2"/>
          <w:sz w:val="24"/>
          <w:highlight w:val="none"/>
        </w:rPr>
      </w:pPr>
      <w:r>
        <w:rPr>
          <w:rFonts w:hint="eastAsia" w:cs="@仿宋_GB2312" w:asciiTheme="minorEastAsia" w:hAnsiTheme="minorEastAsia" w:eastAsiaTheme="minorEastAsia"/>
          <w:bCs/>
          <w:color w:val="auto"/>
          <w:kern w:val="2"/>
          <w:sz w:val="24"/>
          <w:highlight w:val="none"/>
        </w:rPr>
        <w:t>日          期：</w:t>
      </w:r>
      <w:r>
        <w:rPr>
          <w:rFonts w:hint="eastAsia" w:cs="@仿宋_GB2312" w:asciiTheme="minorEastAsia" w:hAnsiTheme="minorEastAsia" w:eastAsiaTheme="minorEastAsia"/>
          <w:bCs/>
          <w:color w:val="auto"/>
          <w:kern w:val="2"/>
          <w:sz w:val="24"/>
          <w:highlight w:val="none"/>
          <w:u w:val="single"/>
        </w:rPr>
        <w:t xml:space="preserve">             </w:t>
      </w:r>
    </w:p>
    <w:p w14:paraId="4BAEA944">
      <w:pPr>
        <w:widowControl/>
        <w:jc w:val="left"/>
        <w:rPr>
          <w:rFonts w:hint="default" w:asciiTheme="minorEastAsia" w:hAnsiTheme="minorEastAsia" w:eastAsiaTheme="minorEastAsia"/>
          <w:b/>
          <w:color w:val="auto"/>
          <w:sz w:val="24"/>
          <w:highlight w:val="none"/>
          <w:lang w:val="en-US" w:eastAsia="zh-CN"/>
        </w:rPr>
      </w:pPr>
      <w:r>
        <w:rPr>
          <w:rFonts w:asciiTheme="minorEastAsia" w:hAnsiTheme="minorEastAsia" w:eastAsiaTheme="minorEastAsia"/>
          <w:b/>
          <w:color w:val="auto"/>
          <w:sz w:val="24"/>
          <w:highlight w:val="none"/>
        </w:rPr>
        <w:br w:type="page"/>
      </w:r>
      <w:bookmarkEnd w:id="596"/>
      <w:bookmarkStart w:id="597" w:name="_Toc28645"/>
      <w:bookmarkStart w:id="598" w:name="_Toc8176"/>
    </w:p>
    <w:p w14:paraId="56F3E96F">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二</w:t>
      </w:r>
      <w:r>
        <w:rPr>
          <w:rFonts w:hint="eastAsia" w:asciiTheme="minorEastAsia" w:hAnsiTheme="minorEastAsia" w:eastAsiaTheme="minorEastAsia"/>
          <w:b/>
          <w:color w:val="auto"/>
          <w:sz w:val="24"/>
          <w:highlight w:val="none"/>
        </w:rPr>
        <w:t>、其他相关证明材料</w:t>
      </w:r>
      <w:bookmarkEnd w:id="597"/>
      <w:bookmarkEnd w:id="598"/>
    </w:p>
    <w:p w14:paraId="255EEFE2">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rPr>
        <w:t>提供符合</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邀请、采购需求及评标方法和标准规定的相关证明文件。</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包含磋商文件第三章采购需求中要求提供的其他证明材料及材料品牌（主要材料品牌格式如下））</w:t>
      </w:r>
    </w:p>
    <w:p w14:paraId="3F004DA5">
      <w:pPr>
        <w:spacing w:line="360" w:lineRule="auto"/>
        <w:ind w:firstLine="435"/>
        <w:rPr>
          <w:rFonts w:hint="eastAsia" w:asciiTheme="minorEastAsia" w:hAnsiTheme="minorEastAsia" w:eastAsiaTheme="minorEastAsia"/>
          <w:b/>
          <w:color w:val="auto"/>
          <w:sz w:val="24"/>
          <w:highlight w:val="none"/>
        </w:rPr>
      </w:pPr>
    </w:p>
    <w:p w14:paraId="4FA13257">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7326A88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供应商在响应文件制作时可在此栏内上传磋商文件</w:t>
      </w:r>
      <w:r>
        <w:rPr>
          <w:rFonts w:asciiTheme="minorEastAsia" w:hAnsiTheme="minorEastAsia" w:eastAsiaTheme="minorEastAsia"/>
          <w:color w:val="auto"/>
          <w:sz w:val="24"/>
          <w:highlight w:val="none"/>
        </w:rPr>
        <w:t>要求上传的证明资料</w:t>
      </w:r>
      <w:r>
        <w:rPr>
          <w:rFonts w:hint="eastAsia" w:asciiTheme="minorEastAsia" w:hAnsiTheme="minorEastAsia" w:eastAsiaTheme="minorEastAsia"/>
          <w:color w:val="auto"/>
          <w:sz w:val="24"/>
          <w:highlight w:val="none"/>
        </w:rPr>
        <w:t>，如营业执照、证书</w:t>
      </w:r>
      <w:r>
        <w:rPr>
          <w:rFonts w:asciiTheme="minorEastAsia" w:hAnsiTheme="minorEastAsia" w:eastAsiaTheme="minorEastAsia"/>
          <w:color w:val="auto"/>
          <w:sz w:val="24"/>
          <w:highlight w:val="none"/>
        </w:rPr>
        <w:t>等，应将上述证明材料制作成扫描件上传。</w:t>
      </w:r>
    </w:p>
    <w:p w14:paraId="5FE1EF9A">
      <w:pPr>
        <w:pStyle w:val="273"/>
        <w:ind w:left="0" w:firstLine="0"/>
        <w:jc w:val="center"/>
        <w:rPr>
          <w:rFonts w:hint="eastAsia" w:asciiTheme="minorEastAsia" w:hAnsiTheme="minorEastAsia" w:eastAsiaTheme="minorEastAsia" w:cstheme="minorBidi"/>
          <w:b/>
          <w:color w:val="auto"/>
          <w:kern w:val="0"/>
          <w:sz w:val="24"/>
          <w:szCs w:val="20"/>
          <w:highlight w:val="none"/>
          <w:lang w:val="en-US" w:eastAsia="zh-CN" w:bidi="ar-SA"/>
        </w:rPr>
      </w:pPr>
    </w:p>
    <w:p w14:paraId="03015746">
      <w:pPr>
        <w:pStyle w:val="273"/>
        <w:ind w:left="0" w:firstLine="0"/>
        <w:jc w:val="both"/>
        <w:rPr>
          <w:rFonts w:hint="eastAsia" w:asciiTheme="minorEastAsia" w:hAnsiTheme="minorEastAsia" w:eastAsiaTheme="minorEastAsia" w:cstheme="minorBidi"/>
          <w:b/>
          <w:color w:val="auto"/>
          <w:kern w:val="0"/>
          <w:sz w:val="24"/>
          <w:szCs w:val="20"/>
          <w:highlight w:val="none"/>
          <w:lang w:val="en-US" w:eastAsia="zh-CN" w:bidi="ar-SA"/>
        </w:rPr>
      </w:pPr>
    </w:p>
    <w:p w14:paraId="63612B98">
      <w:pPr>
        <w:pStyle w:val="273"/>
        <w:ind w:left="0" w:firstLine="0"/>
        <w:jc w:val="center"/>
        <w:rPr>
          <w:rFonts w:hint="eastAsia" w:asciiTheme="minorEastAsia" w:hAnsiTheme="minorEastAsia" w:eastAsiaTheme="minorEastAsia" w:cstheme="minorBidi"/>
          <w:b/>
          <w:color w:val="auto"/>
          <w:kern w:val="0"/>
          <w:sz w:val="24"/>
          <w:szCs w:val="20"/>
          <w:highlight w:val="none"/>
          <w:lang w:val="en-US" w:eastAsia="zh-CN" w:bidi="ar-SA"/>
        </w:rPr>
      </w:pPr>
      <w:r>
        <w:rPr>
          <w:rFonts w:hint="eastAsia" w:asciiTheme="minorEastAsia" w:hAnsiTheme="minorEastAsia" w:eastAsiaTheme="minorEastAsia" w:cstheme="minorBidi"/>
          <w:b/>
          <w:color w:val="auto"/>
          <w:kern w:val="0"/>
          <w:sz w:val="24"/>
          <w:szCs w:val="20"/>
          <w:highlight w:val="none"/>
          <w:lang w:val="en-US" w:eastAsia="zh-CN" w:bidi="ar-SA"/>
        </w:rPr>
        <w:t>主要材料品牌</w:t>
      </w:r>
    </w:p>
    <w:tbl>
      <w:tblPr>
        <w:tblStyle w:val="55"/>
        <w:tblW w:w="9322"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3022"/>
        <w:gridCol w:w="1965"/>
        <w:gridCol w:w="2145"/>
        <w:gridCol w:w="1485"/>
      </w:tblGrid>
      <w:tr w14:paraId="711E4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05" w:type="dxa"/>
          </w:tcPr>
          <w:p w14:paraId="59EC3AA3">
            <w:pPr>
              <w:pStyle w:val="274"/>
              <w:adjustRightInd w:val="0"/>
              <w:snapToGrid w:val="0"/>
              <w:spacing w:line="500" w:lineRule="exact"/>
              <w:jc w:val="center"/>
              <w:rPr>
                <w:b/>
                <w:bCs/>
                <w:color w:val="auto"/>
                <w:szCs w:val="21"/>
                <w:highlight w:val="none"/>
              </w:rPr>
            </w:pPr>
            <w:r>
              <w:rPr>
                <w:rFonts w:hint="eastAsia"/>
                <w:b/>
                <w:bCs/>
                <w:color w:val="auto"/>
                <w:szCs w:val="21"/>
                <w:highlight w:val="none"/>
              </w:rPr>
              <w:t>序号</w:t>
            </w:r>
          </w:p>
        </w:tc>
        <w:tc>
          <w:tcPr>
            <w:tcW w:w="3022" w:type="dxa"/>
          </w:tcPr>
          <w:p w14:paraId="0DDD7906">
            <w:pPr>
              <w:pStyle w:val="274"/>
              <w:adjustRightInd w:val="0"/>
              <w:snapToGrid w:val="0"/>
              <w:spacing w:line="500" w:lineRule="exact"/>
              <w:jc w:val="center"/>
              <w:rPr>
                <w:b/>
                <w:bCs/>
                <w:color w:val="auto"/>
                <w:szCs w:val="21"/>
                <w:highlight w:val="none"/>
              </w:rPr>
            </w:pPr>
            <w:r>
              <w:rPr>
                <w:rFonts w:hint="eastAsia"/>
                <w:b/>
                <w:bCs/>
                <w:color w:val="auto"/>
                <w:szCs w:val="21"/>
                <w:highlight w:val="none"/>
              </w:rPr>
              <w:t>材料名称</w:t>
            </w:r>
          </w:p>
        </w:tc>
        <w:tc>
          <w:tcPr>
            <w:tcW w:w="1965" w:type="dxa"/>
          </w:tcPr>
          <w:p w14:paraId="00D05E48">
            <w:pPr>
              <w:pStyle w:val="274"/>
              <w:adjustRightInd w:val="0"/>
              <w:snapToGrid w:val="0"/>
              <w:spacing w:line="500" w:lineRule="exact"/>
              <w:jc w:val="center"/>
              <w:rPr>
                <w:rFonts w:hint="default" w:eastAsia="宋体"/>
                <w:b/>
                <w:bCs/>
                <w:color w:val="auto"/>
                <w:szCs w:val="21"/>
                <w:highlight w:val="none"/>
                <w:lang w:val="en-US" w:eastAsia="zh-CN"/>
              </w:rPr>
            </w:pPr>
            <w:r>
              <w:rPr>
                <w:rFonts w:hint="eastAsia"/>
                <w:b/>
                <w:bCs/>
                <w:color w:val="auto"/>
                <w:szCs w:val="21"/>
                <w:highlight w:val="none"/>
                <w:lang w:val="en-US" w:eastAsia="zh-CN"/>
              </w:rPr>
              <w:t>材料品牌</w:t>
            </w:r>
          </w:p>
        </w:tc>
        <w:tc>
          <w:tcPr>
            <w:tcW w:w="2145" w:type="dxa"/>
          </w:tcPr>
          <w:p w14:paraId="4EB032C0">
            <w:pPr>
              <w:pStyle w:val="274"/>
              <w:adjustRightInd w:val="0"/>
              <w:snapToGrid w:val="0"/>
              <w:spacing w:line="500" w:lineRule="exact"/>
              <w:jc w:val="center"/>
              <w:rPr>
                <w:rFonts w:hint="default" w:eastAsia="宋体"/>
                <w:b/>
                <w:bCs/>
                <w:color w:val="auto"/>
                <w:szCs w:val="21"/>
                <w:highlight w:val="none"/>
                <w:lang w:val="en-US" w:eastAsia="zh-CN"/>
              </w:rPr>
            </w:pPr>
            <w:r>
              <w:rPr>
                <w:rFonts w:hint="eastAsia"/>
                <w:b/>
                <w:bCs/>
                <w:color w:val="auto"/>
                <w:szCs w:val="21"/>
                <w:highlight w:val="none"/>
                <w:lang w:val="en-US" w:eastAsia="zh-CN"/>
              </w:rPr>
              <w:t>规格或型号</w:t>
            </w:r>
          </w:p>
        </w:tc>
        <w:tc>
          <w:tcPr>
            <w:tcW w:w="1485" w:type="dxa"/>
          </w:tcPr>
          <w:p w14:paraId="53C53DB2">
            <w:pPr>
              <w:pStyle w:val="274"/>
              <w:adjustRightInd w:val="0"/>
              <w:snapToGrid w:val="0"/>
              <w:spacing w:line="500" w:lineRule="exact"/>
              <w:jc w:val="center"/>
              <w:rPr>
                <w:b/>
                <w:bCs/>
                <w:color w:val="auto"/>
                <w:szCs w:val="21"/>
                <w:highlight w:val="none"/>
              </w:rPr>
            </w:pPr>
            <w:r>
              <w:rPr>
                <w:rFonts w:hint="eastAsia"/>
                <w:b/>
                <w:bCs/>
                <w:color w:val="auto"/>
                <w:szCs w:val="21"/>
                <w:highlight w:val="none"/>
              </w:rPr>
              <w:t>备注</w:t>
            </w:r>
          </w:p>
        </w:tc>
      </w:tr>
      <w:tr w14:paraId="2FE2B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05" w:type="dxa"/>
          </w:tcPr>
          <w:p w14:paraId="1E4803ED">
            <w:pPr>
              <w:pStyle w:val="274"/>
              <w:adjustRightInd w:val="0"/>
              <w:snapToGrid w:val="0"/>
              <w:spacing w:line="500" w:lineRule="exact"/>
              <w:jc w:val="center"/>
              <w:rPr>
                <w:color w:val="auto"/>
                <w:szCs w:val="21"/>
                <w:highlight w:val="none"/>
              </w:rPr>
            </w:pPr>
            <w:r>
              <w:rPr>
                <w:rFonts w:hint="eastAsia"/>
                <w:color w:val="auto"/>
                <w:szCs w:val="21"/>
                <w:highlight w:val="none"/>
              </w:rPr>
              <w:t>1</w:t>
            </w:r>
          </w:p>
        </w:tc>
        <w:tc>
          <w:tcPr>
            <w:tcW w:w="3022" w:type="dxa"/>
            <w:vAlign w:val="center"/>
          </w:tcPr>
          <w:p w14:paraId="52E1EB61">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防水卷材</w:t>
            </w:r>
          </w:p>
        </w:tc>
        <w:tc>
          <w:tcPr>
            <w:tcW w:w="1965" w:type="dxa"/>
          </w:tcPr>
          <w:p w14:paraId="6FFFA1EB">
            <w:pPr>
              <w:pStyle w:val="274"/>
              <w:adjustRightInd w:val="0"/>
              <w:snapToGrid w:val="0"/>
              <w:spacing w:line="500" w:lineRule="exact"/>
              <w:rPr>
                <w:color w:val="auto"/>
                <w:szCs w:val="21"/>
                <w:highlight w:val="none"/>
              </w:rPr>
            </w:pPr>
          </w:p>
        </w:tc>
        <w:tc>
          <w:tcPr>
            <w:tcW w:w="2145" w:type="dxa"/>
          </w:tcPr>
          <w:p w14:paraId="4C0F3F09">
            <w:pPr>
              <w:pStyle w:val="274"/>
              <w:adjustRightInd w:val="0"/>
              <w:snapToGrid w:val="0"/>
              <w:spacing w:line="500" w:lineRule="exact"/>
              <w:rPr>
                <w:color w:val="auto"/>
                <w:szCs w:val="21"/>
                <w:highlight w:val="none"/>
              </w:rPr>
            </w:pPr>
          </w:p>
        </w:tc>
        <w:tc>
          <w:tcPr>
            <w:tcW w:w="1485" w:type="dxa"/>
          </w:tcPr>
          <w:p w14:paraId="4CBED3CF">
            <w:pPr>
              <w:pStyle w:val="274"/>
              <w:adjustRightInd w:val="0"/>
              <w:snapToGrid w:val="0"/>
              <w:spacing w:line="500" w:lineRule="exact"/>
              <w:rPr>
                <w:color w:val="auto"/>
                <w:szCs w:val="21"/>
                <w:highlight w:val="none"/>
              </w:rPr>
            </w:pPr>
          </w:p>
        </w:tc>
      </w:tr>
      <w:tr w14:paraId="198E9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05" w:type="dxa"/>
          </w:tcPr>
          <w:p w14:paraId="55E12088">
            <w:pPr>
              <w:pStyle w:val="274"/>
              <w:adjustRightInd w:val="0"/>
              <w:snapToGrid w:val="0"/>
              <w:spacing w:line="500" w:lineRule="exact"/>
              <w:jc w:val="center"/>
              <w:rPr>
                <w:color w:val="auto"/>
                <w:szCs w:val="21"/>
                <w:highlight w:val="none"/>
              </w:rPr>
            </w:pPr>
            <w:r>
              <w:rPr>
                <w:rFonts w:hint="eastAsia"/>
                <w:color w:val="auto"/>
                <w:szCs w:val="21"/>
                <w:highlight w:val="none"/>
              </w:rPr>
              <w:t>2</w:t>
            </w:r>
          </w:p>
        </w:tc>
        <w:tc>
          <w:tcPr>
            <w:tcW w:w="3022" w:type="dxa"/>
            <w:vAlign w:val="center"/>
          </w:tcPr>
          <w:p w14:paraId="412C7496">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硅酸盐水泥</w:t>
            </w:r>
          </w:p>
        </w:tc>
        <w:tc>
          <w:tcPr>
            <w:tcW w:w="1965" w:type="dxa"/>
          </w:tcPr>
          <w:p w14:paraId="2BEDA915">
            <w:pPr>
              <w:pStyle w:val="274"/>
              <w:adjustRightInd w:val="0"/>
              <w:snapToGrid w:val="0"/>
              <w:spacing w:line="500" w:lineRule="exact"/>
              <w:rPr>
                <w:color w:val="auto"/>
                <w:szCs w:val="21"/>
                <w:highlight w:val="none"/>
              </w:rPr>
            </w:pPr>
          </w:p>
        </w:tc>
        <w:tc>
          <w:tcPr>
            <w:tcW w:w="2145" w:type="dxa"/>
          </w:tcPr>
          <w:p w14:paraId="397265F4">
            <w:pPr>
              <w:pStyle w:val="274"/>
              <w:adjustRightInd w:val="0"/>
              <w:snapToGrid w:val="0"/>
              <w:spacing w:line="500" w:lineRule="exact"/>
              <w:rPr>
                <w:color w:val="auto"/>
                <w:szCs w:val="21"/>
                <w:highlight w:val="none"/>
              </w:rPr>
            </w:pPr>
          </w:p>
        </w:tc>
        <w:tc>
          <w:tcPr>
            <w:tcW w:w="1485" w:type="dxa"/>
          </w:tcPr>
          <w:p w14:paraId="0DE2FABB">
            <w:pPr>
              <w:pStyle w:val="274"/>
              <w:adjustRightInd w:val="0"/>
              <w:snapToGrid w:val="0"/>
              <w:spacing w:line="500" w:lineRule="exact"/>
              <w:rPr>
                <w:color w:val="auto"/>
                <w:szCs w:val="21"/>
                <w:highlight w:val="none"/>
              </w:rPr>
            </w:pPr>
          </w:p>
        </w:tc>
      </w:tr>
    </w:tbl>
    <w:p w14:paraId="2E06C366">
      <w:pPr>
        <w:pStyle w:val="273"/>
        <w:ind w:left="0" w:leftChars="0" w:firstLine="0" w:firstLineChars="0"/>
        <w:jc w:val="left"/>
        <w:rPr>
          <w:rFonts w:ascii="宋体"/>
          <w:b/>
          <w:color w:val="auto"/>
          <w:sz w:val="32"/>
          <w:szCs w:val="32"/>
          <w:highlight w:val="none"/>
        </w:rPr>
      </w:pPr>
      <w:r>
        <w:rPr>
          <w:rFonts w:hint="eastAsia" w:ascii="宋体" w:hAnsi="宋体" w:cs="仿宋"/>
          <w:color w:val="auto"/>
          <w:sz w:val="22"/>
          <w:szCs w:val="22"/>
          <w:highlight w:val="none"/>
        </w:rPr>
        <w:t>注：材料品牌、规格或型号应明确填写，不能简略填写为“国产”、“自制”等，否则作为无效处理。</w:t>
      </w:r>
    </w:p>
    <w:p w14:paraId="530BC5DD">
      <w:pPr>
        <w:spacing w:line="560" w:lineRule="exact"/>
        <w:ind w:right="-298" w:rightChars="-149" w:firstLine="480" w:firstLineChars="200"/>
        <w:rPr>
          <w:rFonts w:hint="eastAsia" w:ascii="宋体" w:hAnsi="宋体" w:cs="宋体"/>
          <w:color w:val="auto"/>
          <w:sz w:val="24"/>
          <w:highlight w:val="none"/>
        </w:rPr>
      </w:pPr>
    </w:p>
    <w:p w14:paraId="4A802289">
      <w:pPr>
        <w:spacing w:line="560" w:lineRule="exact"/>
        <w:ind w:right="-298" w:rightChars="-149" w:firstLine="480" w:firstLineChars="200"/>
        <w:rPr>
          <w:rFonts w:hint="eastAsia" w:ascii="宋体" w:hAnsi="宋体" w:cs="宋体"/>
          <w:color w:val="auto"/>
          <w:sz w:val="24"/>
          <w:highlight w:val="none"/>
        </w:rPr>
      </w:pPr>
    </w:p>
    <w:p w14:paraId="10135818">
      <w:pPr>
        <w:spacing w:line="560" w:lineRule="exact"/>
        <w:ind w:right="-298" w:rightChars="-149" w:firstLine="480" w:firstLineChars="200"/>
        <w:rPr>
          <w:rFonts w:ascii="宋体" w:hAnsi="宋体" w:cs="宋体"/>
          <w:color w:val="auto"/>
          <w:sz w:val="24"/>
          <w:highlight w:val="none"/>
          <w:u w:val="single"/>
        </w:rPr>
      </w:pPr>
      <w:r>
        <w:rPr>
          <w:rFonts w:hint="eastAsia" w:ascii="宋体" w:hAnsi="宋体" w:cs="宋体"/>
          <w:color w:val="auto"/>
          <w:sz w:val="24"/>
          <w:highlight w:val="none"/>
        </w:rPr>
        <w:t>供应商人：</w:t>
      </w:r>
      <w:r>
        <w:rPr>
          <w:rFonts w:hint="eastAsia" w:ascii="宋体" w:hAnsi="宋体" w:cs="宋体"/>
          <w:color w:val="auto"/>
          <w:sz w:val="24"/>
          <w:highlight w:val="none"/>
          <w:u w:val="single"/>
        </w:rPr>
        <w:t xml:space="preserve">                             （</w:t>
      </w:r>
      <w:r>
        <w:rPr>
          <w:rFonts w:hint="eastAsia" w:ascii="宋体" w:hAnsi="宋体" w:cs="宋体"/>
          <w:bCs/>
          <w:color w:val="auto"/>
          <w:sz w:val="24"/>
          <w:highlight w:val="none"/>
          <w:u w:val="single"/>
        </w:rPr>
        <w:t>签章</w:t>
      </w:r>
      <w:r>
        <w:rPr>
          <w:rFonts w:hint="eastAsia" w:ascii="宋体" w:hAnsi="宋体" w:cs="宋体"/>
          <w:color w:val="auto"/>
          <w:sz w:val="24"/>
          <w:highlight w:val="none"/>
          <w:u w:val="single"/>
        </w:rPr>
        <w:t>）</w:t>
      </w:r>
    </w:p>
    <w:p w14:paraId="1D2E7B3D">
      <w:pPr>
        <w:spacing w:line="560" w:lineRule="exact"/>
        <w:ind w:right="-298" w:rightChars="-149" w:firstLine="480" w:firstLineChars="200"/>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（签章）</w:t>
      </w:r>
    </w:p>
    <w:p w14:paraId="06AA47D2">
      <w:pPr>
        <w:spacing w:line="560" w:lineRule="exact"/>
        <w:ind w:right="-298" w:rightChars="-149" w:firstLine="480" w:firstLineChars="200"/>
        <w:rPr>
          <w:rFonts w:ascii="宋体" w:hAnsi="宋体" w:cs="宋体"/>
          <w:color w:val="auto"/>
          <w:sz w:val="24"/>
          <w:highlight w:val="none"/>
        </w:rPr>
      </w:pPr>
      <w:r>
        <w:rPr>
          <w:rFonts w:hint="eastAsia" w:ascii="宋体" w:hAnsi="宋体" w:cs="宋体"/>
          <w:color w:val="auto"/>
          <w:sz w:val="24"/>
          <w:highlight w:val="none"/>
        </w:rPr>
        <w:t>单位地址：</w:t>
      </w:r>
      <w:r>
        <w:rPr>
          <w:rFonts w:hint="eastAsia" w:ascii="宋体" w:hAnsi="宋体" w:cs="宋体"/>
          <w:color w:val="auto"/>
          <w:sz w:val="24"/>
          <w:highlight w:val="none"/>
          <w:u w:val="single"/>
        </w:rPr>
        <w:t xml:space="preserve">                                   </w:t>
      </w:r>
    </w:p>
    <w:p w14:paraId="0AB79C6F">
      <w:pPr>
        <w:spacing w:line="360" w:lineRule="auto"/>
        <w:ind w:firstLine="435"/>
        <w:rPr>
          <w:rFonts w:hint="default" w:asciiTheme="minorEastAsia" w:hAnsiTheme="minorEastAsia" w:eastAsiaTheme="minorEastAsia"/>
          <w:color w:val="auto"/>
          <w:sz w:val="24"/>
          <w:highlight w:val="none"/>
          <w:lang w:val="en-US" w:eastAsia="zh-CN"/>
        </w:rPr>
      </w:pPr>
    </w:p>
    <w:p w14:paraId="2FC527BA">
      <w:pPr>
        <w:spacing w:line="360" w:lineRule="auto"/>
        <w:ind w:firstLine="480" w:firstLineChars="200"/>
        <w:rPr>
          <w:rFonts w:asciiTheme="minorEastAsia" w:hAnsiTheme="minorEastAsia" w:eastAsiaTheme="minorEastAsia"/>
          <w:color w:val="auto"/>
          <w:sz w:val="24"/>
          <w:highlight w:val="none"/>
        </w:rPr>
      </w:pPr>
    </w:p>
    <w:p w14:paraId="688D6752">
      <w:pPr>
        <w:spacing w:line="360" w:lineRule="auto"/>
        <w:ind w:firstLine="435"/>
        <w:rPr>
          <w:rFonts w:hint="eastAsia" w:asciiTheme="minorEastAsia" w:hAnsiTheme="minorEastAsia" w:eastAsiaTheme="minorEastAsia"/>
          <w:b/>
          <w:color w:val="auto"/>
          <w:sz w:val="24"/>
          <w:highlight w:val="none"/>
        </w:rPr>
      </w:pPr>
    </w:p>
    <w:p w14:paraId="67BAB6A0">
      <w:pPr>
        <w:spacing w:line="360" w:lineRule="auto"/>
        <w:ind w:firstLine="435"/>
        <w:rPr>
          <w:rFonts w:hint="eastAsia" w:asciiTheme="minorEastAsia" w:hAnsiTheme="minorEastAsia" w:eastAsiaTheme="minorEastAsia"/>
          <w:b/>
          <w:color w:val="auto"/>
          <w:sz w:val="24"/>
          <w:highlight w:val="none"/>
        </w:rPr>
      </w:pPr>
    </w:p>
    <w:p w14:paraId="2B45B96E">
      <w:pPr>
        <w:spacing w:line="360" w:lineRule="auto"/>
        <w:rPr>
          <w:rFonts w:hint="eastAsia" w:asciiTheme="minorEastAsia" w:hAnsiTheme="minorEastAsia" w:eastAsiaTheme="minorEastAsia"/>
          <w:b/>
          <w:color w:val="auto"/>
          <w:sz w:val="24"/>
          <w:highlight w:val="none"/>
        </w:rPr>
      </w:pPr>
    </w:p>
    <w:p w14:paraId="68C3DBA3">
      <w:pPr>
        <w:spacing w:line="360" w:lineRule="auto"/>
        <w:ind w:firstLine="435"/>
        <w:rPr>
          <w:rFonts w:hint="eastAsia" w:asciiTheme="minorEastAsia" w:hAnsiTheme="minorEastAsia" w:eastAsiaTheme="minorEastAsia"/>
          <w:b/>
          <w:color w:val="auto"/>
          <w:sz w:val="24"/>
          <w:highlight w:val="none"/>
        </w:rPr>
      </w:pPr>
    </w:p>
    <w:p w14:paraId="05A5ABEB">
      <w:pPr>
        <w:spacing w:line="360" w:lineRule="auto"/>
        <w:ind w:firstLine="435"/>
        <w:rPr>
          <w:rFonts w:hint="eastAsia" w:asciiTheme="minorEastAsia" w:hAnsiTheme="minorEastAsia" w:eastAsiaTheme="minorEastAsia"/>
          <w:b/>
          <w:color w:val="auto"/>
          <w:sz w:val="24"/>
          <w:highlight w:val="none"/>
        </w:rPr>
      </w:pPr>
    </w:p>
    <w:p w14:paraId="483F7864">
      <w:pPr>
        <w:pStyle w:val="50"/>
        <w:spacing w:before="0" w:beforeAutospacing="0" w:after="0" w:afterAutospacing="0" w:line="360" w:lineRule="auto"/>
        <w:ind w:firstLine="640"/>
        <w:jc w:val="both"/>
        <w:rPr>
          <w:color w:val="auto"/>
          <w:highlight w:val="none"/>
        </w:rPr>
      </w:pPr>
      <w:r>
        <w:rPr>
          <w:rFonts w:asciiTheme="minorEastAsia" w:hAnsiTheme="minorEastAsia" w:eastAsiaTheme="minorEastAsia"/>
          <w:color w:val="auto"/>
          <w:sz w:val="24"/>
          <w:highlight w:val="none"/>
        </w:rPr>
        <w:br w:type="page"/>
      </w:r>
    </w:p>
    <w:p w14:paraId="67759EC2">
      <w:pPr>
        <w:widowControl/>
        <w:jc w:val="center"/>
        <w:outlineLvl w:val="0"/>
        <w:rPr>
          <w:b/>
          <w:bCs/>
          <w:color w:val="auto"/>
          <w:sz w:val="28"/>
          <w:highlight w:val="none"/>
        </w:rPr>
      </w:pPr>
      <w:bookmarkStart w:id="599" w:name="_Toc24879"/>
      <w:r>
        <w:rPr>
          <w:rFonts w:hint="eastAsia"/>
          <w:b/>
          <w:bCs/>
          <w:color w:val="auto"/>
          <w:sz w:val="28"/>
          <w:highlight w:val="none"/>
        </w:rPr>
        <w:t>第</w:t>
      </w:r>
      <w:r>
        <w:rPr>
          <w:rFonts w:hint="eastAsia"/>
          <w:b/>
          <w:bCs/>
          <w:color w:val="auto"/>
          <w:sz w:val="28"/>
          <w:highlight w:val="none"/>
          <w:lang w:val="en-US" w:eastAsia="zh-CN"/>
        </w:rPr>
        <w:t>七</w:t>
      </w:r>
      <w:r>
        <w:rPr>
          <w:rFonts w:hint="eastAsia"/>
          <w:b/>
          <w:bCs/>
          <w:color w:val="auto"/>
          <w:sz w:val="28"/>
          <w:highlight w:val="none"/>
        </w:rPr>
        <w:t>章  政府采购</w:t>
      </w:r>
      <w:r>
        <w:rPr>
          <w:rFonts w:hint="eastAsia" w:asciiTheme="minorEastAsia" w:hAnsiTheme="minorEastAsia" w:eastAsiaTheme="minorEastAsia"/>
          <w:b/>
          <w:color w:val="auto"/>
          <w:sz w:val="28"/>
          <w:highlight w:val="none"/>
        </w:rPr>
        <w:t>供应</w:t>
      </w:r>
      <w:r>
        <w:rPr>
          <w:rFonts w:hint="eastAsia"/>
          <w:b/>
          <w:bCs/>
          <w:color w:val="auto"/>
          <w:sz w:val="28"/>
          <w:highlight w:val="none"/>
        </w:rPr>
        <w:t>商询问函和质疑函范本</w:t>
      </w:r>
      <w:bookmarkEnd w:id="599"/>
    </w:p>
    <w:p w14:paraId="0D02C46B">
      <w:pPr>
        <w:spacing w:line="360" w:lineRule="auto"/>
        <w:jc w:val="center"/>
        <w:outlineLvl w:val="1"/>
        <w:rPr>
          <w:rFonts w:ascii="仿宋" w:hAnsi="仿宋" w:eastAsia="仿宋" w:cs="仿宋"/>
          <w:b/>
          <w:bCs/>
          <w:color w:val="auto"/>
          <w:sz w:val="32"/>
          <w:szCs w:val="44"/>
          <w:highlight w:val="none"/>
        </w:rPr>
      </w:pPr>
      <w:bookmarkStart w:id="600" w:name="_Toc26448"/>
      <w:bookmarkStart w:id="601" w:name="_Toc2290"/>
      <w:r>
        <w:rPr>
          <w:rFonts w:hint="eastAsia" w:ascii="仿宋" w:hAnsi="仿宋" w:eastAsia="仿宋" w:cs="仿宋"/>
          <w:b/>
          <w:bCs/>
          <w:color w:val="auto"/>
          <w:sz w:val="32"/>
          <w:szCs w:val="44"/>
          <w:highlight w:val="none"/>
        </w:rPr>
        <w:t>询问函范本</w:t>
      </w:r>
      <w:bookmarkEnd w:id="600"/>
      <w:bookmarkEnd w:id="601"/>
    </w:p>
    <w:p w14:paraId="3F115538">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06D4B846">
      <w:pPr>
        <w:adjustRightInd w:val="0"/>
        <w:snapToGrid w:val="0"/>
        <w:spacing w:line="360" w:lineRule="auto"/>
        <w:rPr>
          <w:rFonts w:hint="eastAsia" w:cs="仿宋" w:asciiTheme="minorEastAsia" w:hAnsiTheme="minorEastAsia" w:eastAsiaTheme="minorEastAsia"/>
          <w:color w:val="auto"/>
          <w:sz w:val="24"/>
          <w:szCs w:val="24"/>
          <w:highlight w:val="none"/>
          <w:lang w:eastAsia="zh-CN"/>
        </w:rPr>
      </w:pPr>
      <w:r>
        <w:rPr>
          <w:rFonts w:hint="eastAsia" w:cs="仿宋" w:asciiTheme="minorEastAsia" w:hAnsiTheme="minorEastAsia" w:eastAsiaTheme="minorEastAsia"/>
          <w:color w:val="auto"/>
          <w:sz w:val="24"/>
          <w:szCs w:val="24"/>
          <w:highlight w:val="none"/>
          <w:lang w:val="en-US" w:eastAsia="zh-CN"/>
        </w:rPr>
        <w:t>致：</w:t>
      </w:r>
      <w:r>
        <w:rPr>
          <w:rFonts w:hint="eastAsia" w:cs="仿宋" w:asciiTheme="minorEastAsia" w:hAnsiTheme="minorEastAsia" w:eastAsiaTheme="minorEastAsia"/>
          <w:color w:val="auto"/>
          <w:sz w:val="24"/>
          <w:szCs w:val="24"/>
          <w:highlight w:val="none"/>
          <w:lang w:eastAsia="zh-CN"/>
        </w:rPr>
        <w:t>采购人</w:t>
      </w:r>
    </w:p>
    <w:p w14:paraId="00378D20">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lang w:val="en-US" w:eastAsia="zh-CN"/>
        </w:rPr>
        <w:t>项目名称、编号</w:t>
      </w:r>
      <w:r>
        <w:rPr>
          <w:rFonts w:hint="eastAsia" w:cs="仿宋" w:asciiTheme="minorEastAsia" w:hAnsiTheme="minorEastAsia" w:eastAsiaTheme="minorEastAsia"/>
          <w:color w:val="auto"/>
          <w:sz w:val="24"/>
          <w:szCs w:val="24"/>
          <w:highlight w:val="none"/>
          <w:u w:val="none"/>
          <w:lang w:val="en-US" w:eastAsia="zh-CN"/>
        </w:rPr>
        <w:t>）</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035D3170">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602" w:name="_Toc32070"/>
      <w:bookmarkStart w:id="603" w:name="_Toc14234"/>
      <w:r>
        <w:rPr>
          <w:rFonts w:hint="eastAsia" w:cs="仿宋" w:asciiTheme="minorEastAsia" w:hAnsiTheme="minorEastAsia" w:eastAsiaTheme="minorEastAsia"/>
          <w:color w:val="auto"/>
          <w:sz w:val="24"/>
          <w:szCs w:val="24"/>
          <w:highlight w:val="none"/>
        </w:rPr>
        <w:t>一、(事项一)</w:t>
      </w:r>
      <w:bookmarkEnd w:id="602"/>
      <w:bookmarkEnd w:id="603"/>
    </w:p>
    <w:p w14:paraId="2698C87D">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4743CF6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5D1D674F">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1F916897">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604" w:name="_Toc6489"/>
      <w:bookmarkStart w:id="605" w:name="_Toc16507"/>
      <w:r>
        <w:rPr>
          <w:rFonts w:hint="eastAsia" w:cs="仿宋" w:asciiTheme="minorEastAsia" w:hAnsiTheme="minorEastAsia" w:eastAsiaTheme="minorEastAsia"/>
          <w:color w:val="auto"/>
          <w:sz w:val="24"/>
          <w:szCs w:val="24"/>
          <w:highlight w:val="none"/>
        </w:rPr>
        <w:t>二、(事项二)</w:t>
      </w:r>
      <w:bookmarkEnd w:id="604"/>
      <w:bookmarkEnd w:id="605"/>
    </w:p>
    <w:p w14:paraId="63C229F7">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778674B">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7F8C9ED8">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4DF08D35">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15938067">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4F38EEDB">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20006CDF">
      <w:pPr>
        <w:jc w:val="center"/>
        <w:outlineLvl w:val="1"/>
        <w:rPr>
          <w:rFonts w:ascii="仿宋" w:hAnsi="仿宋" w:eastAsia="仿宋" w:cs="仿宋"/>
          <w:b/>
          <w:bCs/>
          <w:color w:val="auto"/>
          <w:sz w:val="32"/>
          <w:szCs w:val="44"/>
          <w:highlight w:val="none"/>
        </w:rPr>
      </w:pPr>
      <w:bookmarkStart w:id="606" w:name="_Toc26224"/>
      <w:bookmarkStart w:id="607" w:name="_Toc4923"/>
      <w:r>
        <w:rPr>
          <w:rFonts w:hint="eastAsia" w:ascii="仿宋" w:hAnsi="仿宋" w:eastAsia="仿宋" w:cs="仿宋"/>
          <w:b/>
          <w:bCs/>
          <w:color w:val="auto"/>
          <w:sz w:val="32"/>
          <w:szCs w:val="44"/>
          <w:highlight w:val="none"/>
        </w:rPr>
        <w:t>质疑函范本</w:t>
      </w:r>
      <w:bookmarkEnd w:id="606"/>
      <w:bookmarkEnd w:id="607"/>
    </w:p>
    <w:p w14:paraId="356D749B">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608" w:name="_Toc3847"/>
      <w:bookmarkStart w:id="609" w:name="_Toc10663"/>
      <w:r>
        <w:rPr>
          <w:rFonts w:hint="eastAsia" w:cs="仿宋" w:asciiTheme="minorEastAsia" w:hAnsiTheme="minorEastAsia" w:eastAsiaTheme="minorEastAsia"/>
          <w:b/>
          <w:bCs/>
          <w:color w:val="auto"/>
          <w:sz w:val="24"/>
          <w:szCs w:val="24"/>
          <w:highlight w:val="none"/>
        </w:rPr>
        <w:t>一、质疑供应商基本信息</w:t>
      </w:r>
      <w:bookmarkEnd w:id="608"/>
      <w:bookmarkEnd w:id="609"/>
    </w:p>
    <w:p w14:paraId="499A2D3C">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79EE1D76">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5CDD19C7">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292B65DD">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2270371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1419BD28">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4A36B2BE">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610" w:name="_Toc30012"/>
      <w:bookmarkStart w:id="611" w:name="_Toc19182"/>
      <w:r>
        <w:rPr>
          <w:rFonts w:hint="eastAsia" w:cs="仿宋" w:asciiTheme="minorEastAsia" w:hAnsiTheme="minorEastAsia" w:eastAsiaTheme="minorEastAsia"/>
          <w:b/>
          <w:bCs/>
          <w:color w:val="auto"/>
          <w:sz w:val="24"/>
          <w:szCs w:val="24"/>
          <w:highlight w:val="none"/>
        </w:rPr>
        <w:t>二、质疑项目基本情况</w:t>
      </w:r>
      <w:bookmarkEnd w:id="610"/>
      <w:bookmarkEnd w:id="611"/>
    </w:p>
    <w:p w14:paraId="7C33A599">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04A6413F">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19D8096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6148311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372B91B7">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612" w:name="_Toc9989"/>
      <w:bookmarkStart w:id="613" w:name="_Toc21700"/>
      <w:r>
        <w:rPr>
          <w:rFonts w:hint="eastAsia" w:cs="仿宋" w:asciiTheme="minorEastAsia" w:hAnsiTheme="minorEastAsia" w:eastAsiaTheme="minorEastAsia"/>
          <w:b/>
          <w:bCs/>
          <w:color w:val="auto"/>
          <w:sz w:val="24"/>
          <w:szCs w:val="24"/>
          <w:highlight w:val="none"/>
        </w:rPr>
        <w:t>三、质疑事项具体内容</w:t>
      </w:r>
      <w:bookmarkEnd w:id="612"/>
      <w:bookmarkEnd w:id="613"/>
    </w:p>
    <w:p w14:paraId="4007FBC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717FA388">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4A90D09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5C095FE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7DD0778E">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097B944A">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3BED4035">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656BF4BC">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614" w:name="_Toc19016"/>
      <w:bookmarkStart w:id="615" w:name="_Toc10625"/>
      <w:r>
        <w:rPr>
          <w:rFonts w:hint="eastAsia" w:cs="仿宋" w:asciiTheme="minorEastAsia" w:hAnsiTheme="minorEastAsia" w:eastAsiaTheme="minorEastAsia"/>
          <w:b/>
          <w:bCs/>
          <w:color w:val="auto"/>
          <w:sz w:val="24"/>
          <w:szCs w:val="24"/>
          <w:highlight w:val="none"/>
        </w:rPr>
        <w:t>四、与质疑事项相关的质疑请求</w:t>
      </w:r>
      <w:bookmarkEnd w:id="614"/>
      <w:bookmarkEnd w:id="615"/>
    </w:p>
    <w:p w14:paraId="482BBF4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1AADA7C4">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24C51082">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190823B6">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3CC59209">
      <w:pPr>
        <w:outlineLvl w:val="0"/>
        <w:rPr>
          <w:rFonts w:asciiTheme="minorEastAsia" w:hAnsiTheme="minorEastAsia" w:eastAsiaTheme="minorEastAsia"/>
          <w:b/>
          <w:color w:val="auto"/>
          <w:sz w:val="28"/>
          <w:szCs w:val="32"/>
          <w:highlight w:val="none"/>
        </w:rPr>
      </w:pPr>
      <w:bookmarkStart w:id="616" w:name="_Toc25274"/>
      <w:bookmarkStart w:id="617" w:name="_Toc17684"/>
      <w:r>
        <w:rPr>
          <w:rFonts w:hint="eastAsia" w:asciiTheme="minorEastAsia" w:hAnsiTheme="minorEastAsia" w:eastAsiaTheme="minorEastAsia"/>
          <w:b/>
          <w:color w:val="auto"/>
          <w:sz w:val="28"/>
          <w:szCs w:val="32"/>
          <w:highlight w:val="none"/>
        </w:rPr>
        <w:t>质疑函制作说明：</w:t>
      </w:r>
      <w:bookmarkEnd w:id="616"/>
      <w:bookmarkEnd w:id="617"/>
    </w:p>
    <w:p w14:paraId="6621DC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1930532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D8088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2C23786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44BF6E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0874CE9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14DD575E">
      <w:pPr>
        <w:rPr>
          <w:color w:val="auto"/>
          <w:highlight w:val="none"/>
        </w:rPr>
      </w:pPr>
      <w:r>
        <w:rPr>
          <w:color w:val="auto"/>
          <w:highlight w:val="none"/>
        </w:rPr>
        <w:br w:type="page"/>
      </w:r>
    </w:p>
    <w:p w14:paraId="31D820E5">
      <w:pPr>
        <w:outlineLvl w:val="0"/>
        <w:rPr>
          <w:rFonts w:hint="eastAsia" w:ascii="宋体" w:hAnsi="宋体" w:eastAsia="宋体" w:cs="宋体"/>
          <w:color w:val="auto"/>
          <w:sz w:val="28"/>
          <w:szCs w:val="28"/>
          <w:highlight w:val="none"/>
        </w:rPr>
      </w:pPr>
      <w:bookmarkStart w:id="618" w:name="_Toc11016"/>
      <w:r>
        <w:rPr>
          <w:rFonts w:hint="eastAsia" w:ascii="宋体" w:hAnsi="宋体" w:eastAsia="宋体" w:cs="宋体"/>
          <w:b/>
          <w:color w:val="auto"/>
          <w:sz w:val="28"/>
          <w:szCs w:val="28"/>
          <w:highlight w:val="none"/>
          <w:lang w:bidi="ar"/>
        </w:rPr>
        <w:t>附件1</w:t>
      </w:r>
      <w:bookmarkEnd w:id="618"/>
    </w:p>
    <w:p w14:paraId="0573D2A4">
      <w:pP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bidi="ar"/>
        </w:rPr>
        <w:t>关于联合惩戒失信行为 加强信用查询管理的通知</w:t>
      </w:r>
    </w:p>
    <w:p w14:paraId="1E5B9742">
      <w:pPr>
        <w:keepNext w:val="0"/>
        <w:keepLines w:val="0"/>
        <w:pageBreakBefore w:val="0"/>
        <w:kinsoku/>
        <w:overflowPunct/>
        <w:topLinePunct w:val="0"/>
        <w:autoSpaceDN/>
        <w:bidi w:val="0"/>
        <w:adjustRightInd/>
        <w:snapToGrid/>
        <w:spacing w:line="48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一、失信行为联合惩戒的范围和查询渠道</w:t>
      </w:r>
    </w:p>
    <w:p w14:paraId="74E5FA2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在我市公共资源交易活动中对存在下列失信行为的投标人、法定代表人及其项目经理（建造师）实施联合惩戒，禁止参与我市公共资源交易活动。</w:t>
      </w:r>
    </w:p>
    <w:p w14:paraId="49C87D21">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（一）工程建设项目</w:t>
      </w:r>
    </w:p>
    <w:p w14:paraId="19B593A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1、“信用中国”网站（www.creditchina.gov.cn）查询投标人、法定代表人及其项目经理(建造师)以下失信行为：</w:t>
      </w:r>
    </w:p>
    <w:p w14:paraId="5D8E60A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62ABDED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6736877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③被列入“拖欠农民工工资失信联合惩戒对象名单”的；</w:t>
      </w:r>
    </w:p>
    <w:p w14:paraId="31AA93D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④被列入 “严重失信主体名单”的；</w:t>
      </w:r>
    </w:p>
    <w:p w14:paraId="2E6CE4A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⑤在“信用中国”网站上披露的仍在公示期的严重失信行为(具体行为类别及判定依据见附件2)的。</w:t>
      </w:r>
    </w:p>
    <w:p w14:paraId="41279983">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2、国家企业信用信息公示系统网站（www.gsxt.gov.cn）查询投标人以下失信行为：</w:t>
      </w:r>
    </w:p>
    <w:p w14:paraId="12FDD57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①被列入“经营异常名录”或者“严重违法失信名单”的。</w:t>
      </w:r>
    </w:p>
    <w:p w14:paraId="6D2FA5D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3、由投标人、法定代表人及其项目经理(建造师)进行承诺，不进行现场网上信用查询的失信行为：</w:t>
      </w:r>
    </w:p>
    <w:p w14:paraId="50E1750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①前三年有行贿犯罪行为的单位和个人；</w:t>
      </w:r>
    </w:p>
    <w:p w14:paraId="12284B6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②被滁州市县两级公管部门取消在一定期限内的投标资格且在取消期限内的；</w:t>
      </w:r>
    </w:p>
    <w:p w14:paraId="3104CBC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③被滁州市县两级各行业主管部门取消在一定期限内的投标资格且在取消期限内的；</w:t>
      </w:r>
    </w:p>
    <w:p w14:paraId="2EFF30FE">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④因拖欠农民工工资被县级及以上有关行政主管部门限制投标资格且在限制期限内的；</w:t>
      </w:r>
    </w:p>
    <w:p w14:paraId="69705E4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40F1052C">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（二）政府采购项目</w:t>
      </w:r>
    </w:p>
    <w:p w14:paraId="7A3DE018">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1、“信用中国”网站（www.creditchina.gov.cn）查询供应商、法定代表人及其项目负责人以下失信行为：</w:t>
      </w:r>
    </w:p>
    <w:p w14:paraId="7AD1C979">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①被列入“失信被执行人”的;</w:t>
      </w:r>
    </w:p>
    <w:p w14:paraId="5662497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②被列入“重大税收违法失信主体”的；</w:t>
      </w:r>
    </w:p>
    <w:p w14:paraId="1C261734">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③被列入 “严重失信主体名单”的；</w:t>
      </w:r>
    </w:p>
    <w:p w14:paraId="5B826A6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④在“信用中国”网站上披露的仍在公示期的严重失信行为(具体行为类别及判定依据见附件2)的。</w:t>
      </w:r>
    </w:p>
    <w:p w14:paraId="01FD688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2、国家企业信用信息公示系统网站（</w:t>
      </w:r>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"http://www.gsxt.gov.cn）查询"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www.gsxt.gov.cn）</w:t>
      </w:r>
      <w:r>
        <w:rPr>
          <w:rFonts w:hint="eastAsia" w:ascii="宋体" w:hAnsi="宋体" w:eastAsia="宋体" w:cs="宋体"/>
          <w:bCs/>
          <w:color w:val="auto"/>
          <w:kern w:val="0"/>
          <w:sz w:val="24"/>
          <w:szCs w:val="24"/>
          <w:highlight w:val="none"/>
          <w:lang w:bidi="ar"/>
        </w:rPr>
        <w:fldChar w:fldCharType="end"/>
      </w:r>
      <w:r>
        <w:rPr>
          <w:rFonts w:hint="eastAsia" w:ascii="宋体" w:hAnsi="宋体" w:eastAsia="宋体" w:cs="宋体"/>
          <w:bCs/>
          <w:color w:val="auto"/>
          <w:kern w:val="0"/>
          <w:sz w:val="24"/>
          <w:szCs w:val="24"/>
          <w:highlight w:val="none"/>
          <w:lang w:bidi="ar"/>
        </w:rPr>
        <w:t>查询供应商以下失信行为：</w:t>
      </w:r>
    </w:p>
    <w:p w14:paraId="73FB16D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619" w:name="OLE_LINK101"/>
      <w:bookmarkStart w:id="620" w:name="OLE_LINK100"/>
      <w:bookmarkStart w:id="621" w:name="OLE_LINK102"/>
      <w:r>
        <w:rPr>
          <w:rFonts w:hint="eastAsia" w:ascii="宋体" w:hAnsi="宋体" w:eastAsia="宋体" w:cs="宋体"/>
          <w:bCs/>
          <w:color w:val="auto"/>
          <w:kern w:val="0"/>
          <w:sz w:val="24"/>
          <w:szCs w:val="24"/>
          <w:highlight w:val="none"/>
          <w:lang w:bidi="ar"/>
        </w:rPr>
        <w:t>被列入“经营异常名录”或者“严重违法失信名单”的</w:t>
      </w:r>
      <w:bookmarkEnd w:id="619"/>
      <w:bookmarkEnd w:id="620"/>
      <w:bookmarkEnd w:id="621"/>
      <w:r>
        <w:rPr>
          <w:rFonts w:hint="eastAsia" w:ascii="宋体" w:hAnsi="宋体" w:eastAsia="宋体" w:cs="宋体"/>
          <w:bCs/>
          <w:color w:val="auto"/>
          <w:kern w:val="0"/>
          <w:sz w:val="24"/>
          <w:szCs w:val="24"/>
          <w:highlight w:val="none"/>
          <w:lang w:bidi="ar"/>
        </w:rPr>
        <w:t>。</w:t>
      </w:r>
    </w:p>
    <w:p w14:paraId="5762D90D">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3、中国政府采购网站（</w:t>
      </w:r>
      <w:bookmarkStart w:id="622" w:name="OLE_LINK95"/>
      <w:bookmarkStart w:id="623" w:name="OLE_LINK96"/>
      <w:r>
        <w:rPr>
          <w:rFonts w:hint="eastAsia" w:ascii="宋体" w:hAnsi="宋体" w:eastAsia="宋体" w:cs="宋体"/>
          <w:bCs/>
          <w:color w:val="auto"/>
          <w:kern w:val="0"/>
          <w:sz w:val="24"/>
          <w:szCs w:val="24"/>
          <w:highlight w:val="none"/>
          <w:lang w:bidi="ar"/>
        </w:rPr>
        <w:fldChar w:fldCharType="begin"/>
      </w:r>
      <w:r>
        <w:rPr>
          <w:rFonts w:hint="eastAsia" w:ascii="宋体" w:hAnsi="宋体" w:eastAsia="宋体" w:cs="宋体"/>
          <w:bCs/>
          <w:color w:val="auto"/>
          <w:kern w:val="0"/>
          <w:sz w:val="24"/>
          <w:szCs w:val="24"/>
          <w:highlight w:val="none"/>
          <w:lang w:bidi="ar"/>
        </w:rPr>
        <w:instrText xml:space="preserve"> HYPERLINK "http://www.ccgp.gov.cn" </w:instrText>
      </w:r>
      <w:r>
        <w:rPr>
          <w:rFonts w:hint="eastAsia" w:ascii="宋体" w:hAnsi="宋体" w:eastAsia="宋体" w:cs="宋体"/>
          <w:bCs/>
          <w:color w:val="auto"/>
          <w:kern w:val="0"/>
          <w:sz w:val="24"/>
          <w:szCs w:val="24"/>
          <w:highlight w:val="none"/>
          <w:lang w:bidi="ar"/>
        </w:rPr>
        <w:fldChar w:fldCharType="separate"/>
      </w:r>
      <w:r>
        <w:rPr>
          <w:rFonts w:hint="eastAsia" w:ascii="宋体" w:hAnsi="宋体" w:eastAsia="宋体" w:cs="宋体"/>
          <w:bCs/>
          <w:color w:val="auto"/>
          <w:kern w:val="0"/>
          <w:sz w:val="24"/>
          <w:szCs w:val="24"/>
          <w:highlight w:val="none"/>
          <w:lang w:bidi="ar"/>
        </w:rPr>
        <w:t>www.ccgp.gov.cn</w:t>
      </w:r>
      <w:r>
        <w:rPr>
          <w:rFonts w:hint="eastAsia" w:ascii="宋体" w:hAnsi="宋体" w:eastAsia="宋体" w:cs="宋体"/>
          <w:bCs/>
          <w:color w:val="auto"/>
          <w:kern w:val="0"/>
          <w:sz w:val="24"/>
          <w:szCs w:val="24"/>
          <w:highlight w:val="none"/>
          <w:lang w:bidi="ar"/>
        </w:rPr>
        <w:fldChar w:fldCharType="end"/>
      </w:r>
      <w:bookmarkEnd w:id="622"/>
      <w:bookmarkEnd w:id="623"/>
      <w:r>
        <w:rPr>
          <w:rFonts w:hint="eastAsia" w:ascii="宋体" w:hAnsi="宋体" w:eastAsia="宋体" w:cs="宋体"/>
          <w:bCs/>
          <w:color w:val="auto"/>
          <w:kern w:val="0"/>
          <w:sz w:val="24"/>
          <w:szCs w:val="24"/>
          <w:highlight w:val="none"/>
          <w:lang w:bidi="ar"/>
        </w:rPr>
        <w:t>）查询以下失信行为：</w:t>
      </w:r>
    </w:p>
    <w:p w14:paraId="35657655">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①</w:t>
      </w:r>
      <w:bookmarkStart w:id="624" w:name="OLE_LINK104"/>
      <w:bookmarkStart w:id="625" w:name="OLE_LINK106"/>
      <w:bookmarkStart w:id="626" w:name="OLE_LINK105"/>
      <w:r>
        <w:rPr>
          <w:rFonts w:hint="eastAsia" w:ascii="宋体" w:hAnsi="宋体" w:eastAsia="宋体" w:cs="宋体"/>
          <w:bCs/>
          <w:color w:val="auto"/>
          <w:kern w:val="0"/>
          <w:sz w:val="24"/>
          <w:szCs w:val="24"/>
          <w:highlight w:val="none"/>
          <w:lang w:bidi="ar"/>
        </w:rPr>
        <w:t>被列入“政府采购严重违法失信行为信息记录”的</w:t>
      </w:r>
      <w:bookmarkEnd w:id="624"/>
      <w:bookmarkEnd w:id="625"/>
      <w:bookmarkEnd w:id="626"/>
      <w:r>
        <w:rPr>
          <w:rFonts w:hint="eastAsia" w:ascii="宋体" w:hAnsi="宋体" w:eastAsia="宋体" w:cs="宋体"/>
          <w:bCs/>
          <w:color w:val="auto"/>
          <w:kern w:val="0"/>
          <w:sz w:val="24"/>
          <w:szCs w:val="24"/>
          <w:highlight w:val="none"/>
          <w:lang w:bidi="ar"/>
        </w:rPr>
        <w:t>。</w:t>
      </w:r>
    </w:p>
    <w:p w14:paraId="355AE9E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4、由竞争主体进行承诺，不进行现场网上信用查询的失信行为：</w:t>
      </w:r>
    </w:p>
    <w:p w14:paraId="35260ACA">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①前三年有行贿犯罪行为的单位和个人。</w:t>
      </w:r>
    </w:p>
    <w:p w14:paraId="22B68184">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二、在开评标活动中的查询程序</w:t>
      </w:r>
    </w:p>
    <w:p w14:paraId="67C812C0">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014920C6">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8D73ABF">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3、项目单位及其委托的代理机构应当做好信用查询结果截图和记录留存。</w:t>
      </w:r>
    </w:p>
    <w:p w14:paraId="536F4724">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0"/>
          <w:sz w:val="24"/>
          <w:szCs w:val="24"/>
          <w:highlight w:val="none"/>
          <w:lang w:bidi="ar"/>
        </w:rPr>
        <w:t>三、相关要求</w:t>
      </w:r>
    </w:p>
    <w:p w14:paraId="251AD68B">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1、参与公共资源交易活动的竞争主体根据上述范围查询的内容进行自查并承诺，出具《诚信投标承诺书》（诚信投标承诺书包括但不限于上述自查并承诺内容）并注明承诺日期（投标截止时间前5日内）。</w:t>
      </w:r>
    </w:p>
    <w:p w14:paraId="36888C00">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lang w:bidi="ar"/>
        </w:rPr>
      </w:pPr>
      <w:r>
        <w:rPr>
          <w:rFonts w:hint="eastAsia" w:ascii="宋体" w:hAnsi="宋体" w:eastAsia="宋体" w:cs="宋体"/>
          <w:bCs/>
          <w:color w:val="auto"/>
          <w:kern w:val="0"/>
          <w:sz w:val="24"/>
          <w:szCs w:val="24"/>
          <w:highlight w:val="none"/>
          <w:lang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295BCF4C">
      <w:pPr>
        <w:keepNext w:val="0"/>
        <w:keepLines w:val="0"/>
        <w:pageBreakBefore w:val="0"/>
        <w:widowControl/>
        <w:kinsoku/>
        <w:wordWrap w:val="0"/>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4E2D03A1">
      <w:pPr>
        <w:keepNext w:val="0"/>
        <w:keepLines w:val="0"/>
        <w:pageBreakBefore w:val="0"/>
        <w:widowControl/>
        <w:kinsoku/>
        <w:overflowPunct/>
        <w:topLinePunct w:val="0"/>
        <w:autoSpaceDE w:val="0"/>
        <w:autoSpaceDN/>
        <w:bidi w:val="0"/>
        <w:adjustRightInd/>
        <w:snapToGrid/>
        <w:spacing w:line="48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2、“信用中国”查询的严重失信行为判定依据为各行业主管部门下发的联合惩戒文件中规定的行为（按附件2执行）。</w:t>
      </w:r>
    </w:p>
    <w:p w14:paraId="36B3C2BB">
      <w:pPr>
        <w:keepNext w:val="0"/>
        <w:keepLines w:val="0"/>
        <w:pageBreakBefore w:val="0"/>
        <w:widowControl/>
        <w:kinsoku/>
        <w:overflowPunct/>
        <w:topLinePunct w:val="0"/>
        <w:autoSpaceDE w:val="0"/>
        <w:autoSpaceDN/>
        <w:bidi w:val="0"/>
        <w:adjustRightInd/>
        <w:snapToGrid/>
        <w:spacing w:line="480" w:lineRule="exact"/>
        <w:ind w:firstLine="480" w:firstLineChars="200"/>
        <w:textAlignment w:val="baselin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bidi="ar"/>
        </w:rPr>
        <w:t>3、资格预审的项目以递交资格预审申请文件截止时间查询为准；资格后审的项目以递交投标文件截止时间查询为准。</w:t>
      </w:r>
    </w:p>
    <w:p w14:paraId="6F521DA8">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0A65641B">
      <w:pPr>
        <w:pStyle w:val="50"/>
        <w:widowControl/>
        <w:spacing w:before="0" w:after="120" w:afterAutospacing="0" w:line="360" w:lineRule="auto"/>
        <w:ind w:left="400" w:leftChars="20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 xml:space="preserve"> </w:t>
      </w:r>
    </w:p>
    <w:p w14:paraId="51A4813A">
      <w:pPr>
        <w:spacing w:line="4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br w:type="page"/>
      </w:r>
      <w:r>
        <w:rPr>
          <w:rFonts w:hint="eastAsia" w:ascii="宋体" w:hAnsi="宋体" w:eastAsia="宋体" w:cs="宋体"/>
          <w:b/>
          <w:color w:val="auto"/>
          <w:sz w:val="24"/>
          <w:szCs w:val="24"/>
          <w:highlight w:val="none"/>
          <w:lang w:bidi="ar"/>
        </w:rPr>
        <w:t>附件2</w:t>
      </w:r>
    </w:p>
    <w:p w14:paraId="01039E67">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“信用中国”查询的严重失信行为类别及判定依据</w:t>
      </w:r>
    </w:p>
    <w:p w14:paraId="2AB4E2A4">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bidi="ar"/>
        </w:rPr>
        <w:t xml:space="preserve"> </w:t>
      </w:r>
    </w:p>
    <w:p w14:paraId="21E2C8DB">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“信用中国”查询的严重失信行为判定依据为各行业主管部门下发的联合惩戒文件中规定的行为。下面将部分类别的严重失信行为列举如下：</w:t>
      </w:r>
    </w:p>
    <w:p w14:paraId="6D331193">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一、安全生产领域严重失信行为：</w:t>
      </w:r>
    </w:p>
    <w:p w14:paraId="2422769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（一）下列发生生产安全事故的生产经营单位及其有关人员应当列入严重失信主体名单：</w:t>
      </w:r>
    </w:p>
    <w:p w14:paraId="161E17D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1、发生特别重大、重大生产安全事故的生产经营单位及其主要负责人，以及经调查认定对该事故发生负有责任，应当列入名单的其他单位和人员；</w:t>
      </w:r>
    </w:p>
    <w:p w14:paraId="4401696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2、12个月内累计发生2起以上较大生产安全事故的生产经营单位及其主要负责人；</w:t>
      </w:r>
    </w:p>
    <w:p w14:paraId="05F1AE2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3、发生生产安全事故，情节特别严重、影响特别恶劣，依照《中华人民共和国安全生产法》第一百一十四条的规定被处以罚款数额2倍以上5倍以下罚款的生产经营单位及其主要负责人；</w:t>
      </w:r>
    </w:p>
    <w:p w14:paraId="4C0B27F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4、瞒报、谎报生产安全事故的生产经营单位及其有关责任人员；</w:t>
      </w:r>
    </w:p>
    <w:p w14:paraId="5E08B67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5、发生生产安全事故后，不立即组织抢救或者在事故调查处理期间擅离职守或者逃匿的生产经营单位主要负责人。</w:t>
      </w:r>
    </w:p>
    <w:p w14:paraId="22A6F7A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（二）下列未发生生产安全事故，但因安全生产违法行为，受到行政处罚的生产经营单位或者机构及其有关人员，应当列入严重失信主体名单：</w:t>
      </w:r>
    </w:p>
    <w:p w14:paraId="18729FD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1、未依法取得安全生产相关许可或者许可被暂扣、吊销期间从事相关生产经营活动的生产经营单位及其主要负责人；</w:t>
      </w:r>
    </w:p>
    <w:p w14:paraId="2B2962B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2、承担安全评价、认证、检测、检验职责的机构及其直接责任人员租借资质、挂靠、出具虚假报告或者证书的；</w:t>
      </w:r>
    </w:p>
    <w:p w14:paraId="78BBB8E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3、在应急管理部门作出行政处罚后，有执行能力拒不执行或者逃避执行的生产经营单位及其主要负责人；</w:t>
      </w:r>
    </w:p>
    <w:p w14:paraId="48074F91">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4、其他违反安全生产法律法规受到行政处罚，且性质恶劣、情节严重的。</w:t>
      </w:r>
    </w:p>
    <w:p w14:paraId="34E5A920">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依据：《安全生产严重失信主体名单管理办法》（2023年8月8日应急管理部令第11号）</w:t>
      </w:r>
    </w:p>
    <w:p w14:paraId="68F8F87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23361A40">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二、环境保护领域严重失信行为：</w:t>
      </w:r>
    </w:p>
    <w:p w14:paraId="104C3AD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（一）因为环境违法构成环境犯罪的；</w:t>
      </w:r>
    </w:p>
    <w:p w14:paraId="16BAD6A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（二）建设项目环境影响评价文件未按规定通过审批，擅自开工建设的；</w:t>
      </w:r>
    </w:p>
    <w:p w14:paraId="3C393BF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（三）建设项目环保设施未建成、环保措施未落实、未通过竣工环保验收或者验收不合格，主体工程正式投入生产或者使用的；</w:t>
      </w:r>
    </w:p>
    <w:p w14:paraId="186DD07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（四）建设项目性质、规模、地点、采用的生产工艺或者防治污染、防止生态破坏的措施发生重大变动，未重新报批环境影响评价文件，擅自投入生产或者使用的；</w:t>
      </w:r>
    </w:p>
    <w:p w14:paraId="43B6C0F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（五）主要污染物排放总量超过控制指标的；</w:t>
      </w:r>
    </w:p>
    <w:p w14:paraId="56B82A9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（六）私设暗管或者利用渗井、渗坑、裂隙、溶洞等排放、倾倒、处置水污染物，或者通过私设旁路排放大气污染物的；</w:t>
      </w:r>
    </w:p>
    <w:p w14:paraId="614F551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（七）非法排放、倾倒、处置危险废物，或者向无经营许可证或者超出经营许可范围的单位或个人提供或者委托其收集、贮存、利用、处置危险废物的；</w:t>
      </w:r>
    </w:p>
    <w:p w14:paraId="4D3C8C4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（八）环境违法行为造成集中式生活饮用水水源取水中断的；</w:t>
      </w:r>
    </w:p>
    <w:p w14:paraId="416D471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（九）环境违法行为对生活饮用水水源保护区、自然保护区、国家重点生态功能区、风景名胜区、居住功能区、基本农田保护区等环境敏感区造成重大不利影响的；</w:t>
      </w:r>
    </w:p>
    <w:p w14:paraId="6EB5AA6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（十）违法从事自然资源开发、交通基础设施建设，以及其他开发建设活动，造成严重生态破坏的；</w:t>
      </w:r>
    </w:p>
    <w:p w14:paraId="3E60A13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（十一）发生较大及以上突发环境事件的；</w:t>
      </w:r>
    </w:p>
    <w:p w14:paraId="13E8C17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（十二）被环保部门挂牌督办，整改逾期未完成的；</w:t>
      </w:r>
    </w:p>
    <w:p w14:paraId="19A9F44A">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（十三）以暴力、威胁等方式拒绝、阻挠环保部门工作人员现场检查的；</w:t>
      </w:r>
    </w:p>
    <w:p w14:paraId="05DCA328">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（十四）违反重污染天气应急预案有关规定，对重污染天气响应不力的。</w:t>
      </w:r>
    </w:p>
    <w:p w14:paraId="3504C01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依据：《关于对环境保护领域失信生产经营单位及其有关人员开展联合惩戒的合作备忘录》、《企业环境信用评价办法（试行）》（环发〔2013〕150号）</w:t>
      </w:r>
    </w:p>
    <w:p w14:paraId="0BBD6A4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7C7FA9B1">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三、公共资源交易领域严重失信行为</w:t>
      </w:r>
    </w:p>
    <w:p w14:paraId="271E11F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（一）违反法律规定，必须进行招标的项目而不招标的，将必须进行招标的项目化整为零或者以其他任何方式规避招标的； </w:t>
      </w:r>
    </w:p>
    <w:p w14:paraId="2EAD8F9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（二）招标代理机构违反法律规定，泄露应当保密的与招标投标活动有关的情况和资料的，或者与招标人、投标人串通损害 国家利益、社会公共利益或者他人合法权益的；</w:t>
      </w:r>
    </w:p>
    <w:p w14:paraId="6409E90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（三）招标人以不合理的条件限制或者排斥潜在投标人的，对潜在投标人实行歧视待遇的，强制要求投标人组成联合体共同 投标的，或者限制投标人之间竞争的；</w:t>
      </w:r>
    </w:p>
    <w:p w14:paraId="0DD8903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（四）依法必须进行招标的项目的招标人向他人透露已获取招标文件的潜在投标人的名称、数量或者可能影响公平竞争的有 关招标投标的其他情况的，或者泄露标底的；</w:t>
      </w:r>
    </w:p>
    <w:p w14:paraId="1CB8C6B6">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（五）投标人相互串通投标或者与招标人串通投标的，投标人以向招标人或者评标委员会成员行贿的手段谋取中标的； </w:t>
      </w:r>
    </w:p>
    <w:p w14:paraId="2C5A3C6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（六）投标人以他人名义投标或者以其他方式弄虚作假，骗取中标的；</w:t>
      </w:r>
    </w:p>
    <w:p w14:paraId="6C00122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（七）依法必须进行招标的项目，招标人违反法律规定，与投标人就投标价格、投标方案等实质性内容进行谈判的；</w:t>
      </w:r>
    </w:p>
    <w:p w14:paraId="72891A1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230DE42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（九）招标人在评标委员会依法推荐的中标候选人以外确定中标人的，依法必须进行招标的项目在所有投标被评标委员会否 决后自行确定中标人的； </w:t>
      </w:r>
    </w:p>
    <w:p w14:paraId="46A7328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（十）中标人将中标项目转让给他人的，将中标项目肢解后分别转让给他人的，违反法律规定将中标项目的部分主体、关键 性工作分包给他人的，或者分包人再次分包的； </w:t>
      </w:r>
    </w:p>
    <w:p w14:paraId="5B2D10F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（十一）招标人与中标人不按照招标文件和中标人的投标文件订立合同的，或者招标人、中标人订立背离合同实质性内容的 协议的； </w:t>
      </w:r>
    </w:p>
    <w:p w14:paraId="65CF4D2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（十二）中标人不按照与招标人订立的合同履行义务，情节严重的； </w:t>
      </w:r>
    </w:p>
    <w:p w14:paraId="60F348E4">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49B97752">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C5658C0">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（十五）采购人对应当实行集中采购的政府采购项目，不委托集中采购机构实行集中采购的； </w:t>
      </w:r>
    </w:p>
    <w:p w14:paraId="1075592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（十六）采购人、采购代理机构违反法律规定隐匿、销毁应当保存的采购文件或者伪造、变造采购文件的； </w:t>
      </w:r>
    </w:p>
    <w:p w14:paraId="334213AE">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6EA2B4A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（十八）疫苗生产企业向县级疾病预防控制机构以外的单位或者个人销售第二类疫苗的； </w:t>
      </w:r>
    </w:p>
    <w:p w14:paraId="34CB132E">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（十九）存在其他违反公共资源交易法律法规行为的。</w:t>
      </w:r>
    </w:p>
    <w:p w14:paraId="2BC67E5A">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依据：《关于对公共资源交易领域严重失信主体开展联合惩戒的备忘录》（发改法规〔2018〕457号）</w:t>
      </w:r>
    </w:p>
    <w:p w14:paraId="3E7FB6EA">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0D8FE7EC">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四、社会保险领域严重失信行为</w:t>
      </w:r>
    </w:p>
    <w:p w14:paraId="2FE1CE3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（一）用人单位未按相关规定参加社会保险且拒不整改的； </w:t>
      </w:r>
    </w:p>
    <w:p w14:paraId="6A4F341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（二）用人单位未如实申报社会保险缴费基数且拒不整改的； </w:t>
      </w:r>
    </w:p>
    <w:p w14:paraId="68F8B43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（三）应缴纳社会保险费却拒不缴纳的； </w:t>
      </w:r>
    </w:p>
    <w:p w14:paraId="5AB3A8AD">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（四）隐匿、转移、侵占、挪用社会保险费款、基金或者违规投资运营的；</w:t>
      </w:r>
    </w:p>
    <w:p w14:paraId="244843B3">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（五）以欺诈、伪造证明材料或者其他手段参加、申报社会保险和骗取社会保险基金支出或社会保险待遇的； </w:t>
      </w:r>
    </w:p>
    <w:p w14:paraId="2301BA7F">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（六）非法获取、出售或变相交易社会保险个人权益数据的； </w:t>
      </w:r>
    </w:p>
    <w:p w14:paraId="7EB3311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（七）社会保险服务机构违反服务协议或相关规定的； </w:t>
      </w:r>
    </w:p>
    <w:p w14:paraId="6370432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（八）拒绝协助社会保险行政部门、经办机构对事故和问题进 行调查核实的；拒绝接受或协助税务部门对社会保险实施监督检查， 不如实提供与社会保险相关各项资料的； </w:t>
      </w:r>
    </w:p>
    <w:p w14:paraId="4DAECC64">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（九）其他违反法律法规规定的。</w:t>
      </w:r>
    </w:p>
    <w:p w14:paraId="6A5BDEF1">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依据：《关于对社会保险领域严重失信企业及其有关人员实施联合惩戒的合作备忘录》（发改财金〔2018〕1704号）</w:t>
      </w:r>
    </w:p>
    <w:p w14:paraId="10C73C76">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25EDD444">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五、建筑市场领域严重失信行为</w:t>
      </w:r>
    </w:p>
    <w:p w14:paraId="70813EC9">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（一）利用虚假材料、以欺骗手段取得企业资质的；</w:t>
      </w:r>
    </w:p>
    <w:p w14:paraId="3F6F8D1C">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（二）发生转包、出借资质，受到行政处罚的；</w:t>
      </w:r>
    </w:p>
    <w:p w14:paraId="342A21E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（三）发生重大及以上工程质量安全事故，或1年内累计发生2次及以上较大工程质量安全事故，或发生性质恶劣、危害性严重、社会影响大的较大工程质量安全事故，受到行政处罚的；</w:t>
      </w:r>
    </w:p>
    <w:p w14:paraId="3FA867D5">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（四）经法院判决或仲裁机构裁决，认定为拖欠工程款,且拒不履行生效法律文书确定的义务的。</w:t>
      </w:r>
    </w:p>
    <w:p w14:paraId="2836B7F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各级住房城乡建设主管部门应当参照建筑市场主体“黑名单”，对被人力资源社会保障行政部门列入拖欠农民工工资“黑名单”的建筑市场各方主体加强监管。</w:t>
      </w:r>
    </w:p>
    <w:p w14:paraId="00191F99">
      <w:pPr>
        <w:widowControl/>
        <w:autoSpaceDE w:val="0"/>
        <w:spacing w:line="480" w:lineRule="exact"/>
        <w:ind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bidi="ar"/>
        </w:rPr>
        <w:t>依据：《建筑市场信用管理暂行办法》（建市〔2017〕241号）</w:t>
      </w:r>
    </w:p>
    <w:p w14:paraId="047C7BAD">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 xml:space="preserve"> </w:t>
      </w:r>
    </w:p>
    <w:p w14:paraId="1A32BB33">
      <w:pPr>
        <w:widowControl/>
        <w:autoSpaceDE w:val="0"/>
        <w:spacing w:line="480" w:lineRule="exact"/>
        <w:ind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六、政府采购严重失信行为</w:t>
      </w:r>
    </w:p>
    <w:p w14:paraId="54F19CF7">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供应商、采购代理机构在三年内受到财政部门作出下列情形之一的行政处罚，列入政府采购严重违法失信行为记录名单。</w:t>
      </w:r>
    </w:p>
    <w:p w14:paraId="7BF0ED98">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（一）三万元以上罚款；</w:t>
      </w:r>
    </w:p>
    <w:p w14:paraId="26227FBB">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（二）在一至三年内禁止参加政府采购活动（处罚期限届满的除外）；</w:t>
      </w:r>
    </w:p>
    <w:p w14:paraId="25BF2721">
      <w:pPr>
        <w:widowControl/>
        <w:autoSpaceDE w:val="0"/>
        <w:spacing w:line="480" w:lineRule="exact"/>
        <w:ind w:firstLine="480" w:firstLineChars="200"/>
        <w:jc w:val="left"/>
        <w:textAlignment w:val="baseline"/>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（三）在一至三年内禁止代理政府采购业务（处罚期限届满的除外）；</w:t>
      </w:r>
    </w:p>
    <w:p w14:paraId="7BE13BD7">
      <w:pPr>
        <w:widowControl/>
        <w:autoSpaceDE w:val="0"/>
        <w:spacing w:line="48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（四）撤销政府采购代理机构资格（仅针对《政府采购法》第78条修改前作出的处罚决定）。</w:t>
      </w:r>
    </w:p>
    <w:p w14:paraId="719D50C4">
      <w:pPr>
        <w:widowControl/>
        <w:autoSpaceDE w:val="0"/>
        <w:spacing w:line="480" w:lineRule="exact"/>
        <w:ind w:firstLine="482" w:firstLineChars="200"/>
        <w:jc w:val="left"/>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lang w:bidi="ar"/>
        </w:rPr>
        <w:t>依据：《关于报送政府采购严重违法失信行为信息记录的通知》（财办库〔2014〕526号）</w:t>
      </w:r>
    </w:p>
    <w:p w14:paraId="7CE46546">
      <w:pPr>
        <w:widowControl/>
        <w:autoSpaceDE w:val="0"/>
        <w:spacing w:line="48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 </w:t>
      </w:r>
    </w:p>
    <w:p w14:paraId="3B8EEA2D">
      <w:pPr>
        <w:widowControl/>
        <w:autoSpaceDE w:val="0"/>
        <w:spacing w:line="480" w:lineRule="exact"/>
        <w:ind w:firstLine="482"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lang w:bidi="ar"/>
        </w:rPr>
        <w:t>未列出的其他类别严重失信行为，由招标人（代理机构）根据各类别行业主管部门下发的联合惩戒文件进行判断</w:t>
      </w:r>
      <w:r>
        <w:rPr>
          <w:rFonts w:hint="eastAsia" w:ascii="宋体" w:hAnsi="宋体" w:eastAsia="宋体" w:cs="宋体"/>
          <w:b/>
          <w:bCs/>
          <w:color w:val="auto"/>
          <w:kern w:val="0"/>
          <w:sz w:val="24"/>
          <w:szCs w:val="24"/>
          <w:highlight w:val="none"/>
          <w:lang w:bidi="ar"/>
        </w:rPr>
        <w:t>。</w:t>
      </w:r>
    </w:p>
    <w:p w14:paraId="553F3F40">
      <w:pPr>
        <w:rPr>
          <w:color w:val="auto"/>
          <w:highlight w:val="none"/>
        </w:rPr>
      </w:pPr>
    </w:p>
    <w:sectPr>
      <w:headerReference r:id="rId8" w:type="default"/>
      <w:foot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3C51D">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32C86">
    <w:pPr>
      <w:pStyle w:val="3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D3C803">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0CD3C803">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715ED">
    <w:pPr>
      <w:pStyle w:val="33"/>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F521F">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7F521F">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C9714">
    <w:pPr>
      <w:pStyle w:val="33"/>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CF480">
                          <w:pPr>
                            <w:pStyle w:val="33"/>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D6CF480">
                    <w:pPr>
                      <w:pStyle w:val="33"/>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4FB6C">
    <w:pPr>
      <w:pStyle w:val="34"/>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F717">
    <w:pPr>
      <w:pStyle w:val="34"/>
      <w:jc w:val="both"/>
    </w:pPr>
    <w:r>
      <w:rPr>
        <w:rFonts w:hint="eastAsia"/>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w:t>
    </w:r>
    <w:r>
      <w:rPr>
        <w:rFonts w:hint="eastAsia"/>
        <w:lang w:val="en-US" w:eastAsia="zh-CN"/>
      </w:rPr>
      <w:t>磋商</w:t>
    </w:r>
    <w:r>
      <w:rPr>
        <w:rFonts w:hint="eastAsia" w:ascii="宋体" w:hAnsi="宋体" w:eastAsia="宋体"/>
      </w:rPr>
      <w:t>文件</w:t>
    </w:r>
    <w:r>
      <w:rPr>
        <w:rFonts w:hint="eastAsia" w:ascii="宋体" w:hAnsi="宋体" w:eastAsia="宋体"/>
        <w:lang w:eastAsia="zh-CN"/>
      </w:rPr>
      <w:t>示范文本（</w:t>
    </w:r>
    <w:r>
      <w:rPr>
        <w:rFonts w:hint="eastAsia" w:asciiTheme="minorEastAsia" w:hAnsiTheme="minorEastAsia" w:eastAsiaTheme="minorEastAsia"/>
      </w:rPr>
      <w:t>工程类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E264D">
    <w:pPr>
      <w:pStyle w:val="34"/>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F563F"/>
    <w:multiLevelType w:val="singleLevel"/>
    <w:tmpl w:val="97BF563F"/>
    <w:lvl w:ilvl="0" w:tentative="0">
      <w:start w:val="1"/>
      <w:numFmt w:val="decimal"/>
      <w:suff w:val="nothing"/>
      <w:lvlText w:val="（%1）"/>
      <w:lvlJc w:val="left"/>
    </w:lvl>
  </w:abstractNum>
  <w:abstractNum w:abstractNumId="1">
    <w:nsid w:val="AAB4D991"/>
    <w:multiLevelType w:val="singleLevel"/>
    <w:tmpl w:val="AAB4D991"/>
    <w:lvl w:ilvl="0" w:tentative="0">
      <w:start w:val="2"/>
      <w:numFmt w:val="decimal"/>
      <w:suff w:val="nothing"/>
      <w:lvlText w:val="（%1）"/>
      <w:lvlJc w:val="left"/>
    </w:lvl>
  </w:abstractNum>
  <w:abstractNum w:abstractNumId="2">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3">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GI3YTdkMjVkZTZjM2ZjZTQ5YjMxYTJjZjRlOWEifQ=="/>
  </w:docVars>
  <w:rsids>
    <w:rsidRoot w:val="00276BA1"/>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35135"/>
    <w:rsid w:val="00140687"/>
    <w:rsid w:val="0014543C"/>
    <w:rsid w:val="00146421"/>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487F"/>
    <w:rsid w:val="001D503E"/>
    <w:rsid w:val="001D53B4"/>
    <w:rsid w:val="001E1835"/>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27E6B"/>
    <w:rsid w:val="006300D0"/>
    <w:rsid w:val="00632012"/>
    <w:rsid w:val="00634694"/>
    <w:rsid w:val="00634D55"/>
    <w:rsid w:val="00636517"/>
    <w:rsid w:val="00636EE7"/>
    <w:rsid w:val="00637690"/>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3DDD"/>
    <w:rsid w:val="00825E35"/>
    <w:rsid w:val="00830A4E"/>
    <w:rsid w:val="008334F8"/>
    <w:rsid w:val="00834249"/>
    <w:rsid w:val="00835FFD"/>
    <w:rsid w:val="0084381F"/>
    <w:rsid w:val="00843E35"/>
    <w:rsid w:val="00845F72"/>
    <w:rsid w:val="00846020"/>
    <w:rsid w:val="0084791E"/>
    <w:rsid w:val="00850A91"/>
    <w:rsid w:val="008524CE"/>
    <w:rsid w:val="00856D9D"/>
    <w:rsid w:val="00857633"/>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D4E"/>
    <w:rsid w:val="00FF092F"/>
    <w:rsid w:val="00FF0DA7"/>
    <w:rsid w:val="00FF2DF6"/>
    <w:rsid w:val="00FF44E0"/>
    <w:rsid w:val="00FF6C72"/>
    <w:rsid w:val="01216A43"/>
    <w:rsid w:val="01255E31"/>
    <w:rsid w:val="01660FED"/>
    <w:rsid w:val="020B07BA"/>
    <w:rsid w:val="02987B74"/>
    <w:rsid w:val="033076FA"/>
    <w:rsid w:val="039E740C"/>
    <w:rsid w:val="03AC1B29"/>
    <w:rsid w:val="040B38D9"/>
    <w:rsid w:val="042518DB"/>
    <w:rsid w:val="04461F7D"/>
    <w:rsid w:val="044C50BA"/>
    <w:rsid w:val="04A22F2C"/>
    <w:rsid w:val="04A86794"/>
    <w:rsid w:val="0519269E"/>
    <w:rsid w:val="060D5ED0"/>
    <w:rsid w:val="06172438"/>
    <w:rsid w:val="061B3570"/>
    <w:rsid w:val="068B1EC9"/>
    <w:rsid w:val="06A44D39"/>
    <w:rsid w:val="06EE74DB"/>
    <w:rsid w:val="06FF6413"/>
    <w:rsid w:val="072015CC"/>
    <w:rsid w:val="07292FAF"/>
    <w:rsid w:val="076B3AA9"/>
    <w:rsid w:val="079C1EB4"/>
    <w:rsid w:val="080F6471"/>
    <w:rsid w:val="085F360E"/>
    <w:rsid w:val="08617CF0"/>
    <w:rsid w:val="08935065"/>
    <w:rsid w:val="08D85AD7"/>
    <w:rsid w:val="093E5132"/>
    <w:rsid w:val="09475E50"/>
    <w:rsid w:val="09652EA6"/>
    <w:rsid w:val="099C3247"/>
    <w:rsid w:val="0A793686"/>
    <w:rsid w:val="0B34273F"/>
    <w:rsid w:val="0B5759D8"/>
    <w:rsid w:val="0B584B6B"/>
    <w:rsid w:val="0B941820"/>
    <w:rsid w:val="0B9A6428"/>
    <w:rsid w:val="0BC76A6E"/>
    <w:rsid w:val="0BD069A1"/>
    <w:rsid w:val="0BEB3295"/>
    <w:rsid w:val="0C0B76AE"/>
    <w:rsid w:val="0C3F055B"/>
    <w:rsid w:val="0C695EBF"/>
    <w:rsid w:val="0C764D16"/>
    <w:rsid w:val="0CDC3B9F"/>
    <w:rsid w:val="0CE75980"/>
    <w:rsid w:val="0D3E7892"/>
    <w:rsid w:val="0D892EDB"/>
    <w:rsid w:val="0DA9532B"/>
    <w:rsid w:val="0DB72352"/>
    <w:rsid w:val="0DCD726B"/>
    <w:rsid w:val="0DFC12FE"/>
    <w:rsid w:val="0DFC36AD"/>
    <w:rsid w:val="0DFF1A91"/>
    <w:rsid w:val="0E30091C"/>
    <w:rsid w:val="0EB116DF"/>
    <w:rsid w:val="0EB9796D"/>
    <w:rsid w:val="0ED93BBF"/>
    <w:rsid w:val="0EE43F5B"/>
    <w:rsid w:val="0EE859DF"/>
    <w:rsid w:val="0EEC7E92"/>
    <w:rsid w:val="0F0767AD"/>
    <w:rsid w:val="0F2729AB"/>
    <w:rsid w:val="0F2B6D04"/>
    <w:rsid w:val="0FC76BB7"/>
    <w:rsid w:val="100C6B69"/>
    <w:rsid w:val="103C4234"/>
    <w:rsid w:val="10EA4999"/>
    <w:rsid w:val="10F935A7"/>
    <w:rsid w:val="1182211B"/>
    <w:rsid w:val="1218482D"/>
    <w:rsid w:val="125E4936"/>
    <w:rsid w:val="127001C5"/>
    <w:rsid w:val="12E83133"/>
    <w:rsid w:val="134C478E"/>
    <w:rsid w:val="13607801"/>
    <w:rsid w:val="1375778E"/>
    <w:rsid w:val="13AE4E75"/>
    <w:rsid w:val="14551D69"/>
    <w:rsid w:val="14E43199"/>
    <w:rsid w:val="156F4477"/>
    <w:rsid w:val="15FF01DE"/>
    <w:rsid w:val="16C62AAA"/>
    <w:rsid w:val="16F15C51"/>
    <w:rsid w:val="17146EEB"/>
    <w:rsid w:val="18A84B5D"/>
    <w:rsid w:val="18A85F98"/>
    <w:rsid w:val="1912647A"/>
    <w:rsid w:val="195C2910"/>
    <w:rsid w:val="1A907657"/>
    <w:rsid w:val="1AEB2ADF"/>
    <w:rsid w:val="1B210BF7"/>
    <w:rsid w:val="1B903686"/>
    <w:rsid w:val="1BD96DDB"/>
    <w:rsid w:val="1C47468D"/>
    <w:rsid w:val="1C8925AF"/>
    <w:rsid w:val="1CA23671"/>
    <w:rsid w:val="1CB17D58"/>
    <w:rsid w:val="1D015171"/>
    <w:rsid w:val="1D191BE5"/>
    <w:rsid w:val="1D3B78BE"/>
    <w:rsid w:val="1D6F3E9B"/>
    <w:rsid w:val="1D750D86"/>
    <w:rsid w:val="1DA376A1"/>
    <w:rsid w:val="1DAF4B38"/>
    <w:rsid w:val="1DCB7281"/>
    <w:rsid w:val="1DE530C2"/>
    <w:rsid w:val="1DEC70E9"/>
    <w:rsid w:val="1E0B00F8"/>
    <w:rsid w:val="1E112FC8"/>
    <w:rsid w:val="1E4C7D38"/>
    <w:rsid w:val="1F2E6A6D"/>
    <w:rsid w:val="1F5E5F75"/>
    <w:rsid w:val="1F6B2440"/>
    <w:rsid w:val="1F962CF2"/>
    <w:rsid w:val="1FBB33C8"/>
    <w:rsid w:val="1FC41B50"/>
    <w:rsid w:val="2007238A"/>
    <w:rsid w:val="21326E5F"/>
    <w:rsid w:val="21A12912"/>
    <w:rsid w:val="224204A0"/>
    <w:rsid w:val="22F4274D"/>
    <w:rsid w:val="233E43F8"/>
    <w:rsid w:val="234C653E"/>
    <w:rsid w:val="234F5BD5"/>
    <w:rsid w:val="237C1D35"/>
    <w:rsid w:val="23EA026F"/>
    <w:rsid w:val="24075DD2"/>
    <w:rsid w:val="241D3932"/>
    <w:rsid w:val="247E2DFD"/>
    <w:rsid w:val="25615D2D"/>
    <w:rsid w:val="263E440B"/>
    <w:rsid w:val="265B0373"/>
    <w:rsid w:val="26F70A5D"/>
    <w:rsid w:val="274D5052"/>
    <w:rsid w:val="27E85AF1"/>
    <w:rsid w:val="282B6C11"/>
    <w:rsid w:val="283830DC"/>
    <w:rsid w:val="28862D5C"/>
    <w:rsid w:val="288E11CC"/>
    <w:rsid w:val="28A96E2F"/>
    <w:rsid w:val="28FC235B"/>
    <w:rsid w:val="2A1534D2"/>
    <w:rsid w:val="2A9F6179"/>
    <w:rsid w:val="2ACF41CB"/>
    <w:rsid w:val="2B3841D6"/>
    <w:rsid w:val="2B5044AE"/>
    <w:rsid w:val="2B89414F"/>
    <w:rsid w:val="2B943FBD"/>
    <w:rsid w:val="2C382110"/>
    <w:rsid w:val="2C714E0E"/>
    <w:rsid w:val="2D1633EB"/>
    <w:rsid w:val="2D502549"/>
    <w:rsid w:val="2D611D48"/>
    <w:rsid w:val="2D964B2C"/>
    <w:rsid w:val="2E992065"/>
    <w:rsid w:val="2EB60132"/>
    <w:rsid w:val="2F044323"/>
    <w:rsid w:val="2F265CA3"/>
    <w:rsid w:val="2F850E2A"/>
    <w:rsid w:val="2F8779B7"/>
    <w:rsid w:val="2F974B8C"/>
    <w:rsid w:val="2FB15C4D"/>
    <w:rsid w:val="2FCF2577"/>
    <w:rsid w:val="2FD56F41"/>
    <w:rsid w:val="30703D5A"/>
    <w:rsid w:val="30766E97"/>
    <w:rsid w:val="30EB1633"/>
    <w:rsid w:val="30F93D50"/>
    <w:rsid w:val="311163BD"/>
    <w:rsid w:val="314D19A6"/>
    <w:rsid w:val="316B2774"/>
    <w:rsid w:val="31DC0F7C"/>
    <w:rsid w:val="3215051D"/>
    <w:rsid w:val="32B06690"/>
    <w:rsid w:val="32D56725"/>
    <w:rsid w:val="32FF3876"/>
    <w:rsid w:val="335C6818"/>
    <w:rsid w:val="336B74E9"/>
    <w:rsid w:val="34152599"/>
    <w:rsid w:val="343B70D4"/>
    <w:rsid w:val="3544508A"/>
    <w:rsid w:val="3588204A"/>
    <w:rsid w:val="35A64FEF"/>
    <w:rsid w:val="368340BC"/>
    <w:rsid w:val="36AD04C3"/>
    <w:rsid w:val="36E71BB0"/>
    <w:rsid w:val="36E7289C"/>
    <w:rsid w:val="374101FF"/>
    <w:rsid w:val="37427AD3"/>
    <w:rsid w:val="37492C0F"/>
    <w:rsid w:val="38222269"/>
    <w:rsid w:val="384A624F"/>
    <w:rsid w:val="385414FE"/>
    <w:rsid w:val="387E1491"/>
    <w:rsid w:val="38AF73EA"/>
    <w:rsid w:val="38CD4FE1"/>
    <w:rsid w:val="38F44DFD"/>
    <w:rsid w:val="395A1104"/>
    <w:rsid w:val="39605B44"/>
    <w:rsid w:val="3A0174E8"/>
    <w:rsid w:val="3A2F2590"/>
    <w:rsid w:val="3B09561E"/>
    <w:rsid w:val="3B3911ED"/>
    <w:rsid w:val="3B40257B"/>
    <w:rsid w:val="3B5006E0"/>
    <w:rsid w:val="3BDB4052"/>
    <w:rsid w:val="3BEA370A"/>
    <w:rsid w:val="3C2546B9"/>
    <w:rsid w:val="3C28373B"/>
    <w:rsid w:val="3C3B0F3B"/>
    <w:rsid w:val="3C920A28"/>
    <w:rsid w:val="3C9227B9"/>
    <w:rsid w:val="3C964B49"/>
    <w:rsid w:val="3CAD3C40"/>
    <w:rsid w:val="3CB72D11"/>
    <w:rsid w:val="3CBE5E4E"/>
    <w:rsid w:val="3DAD2ABF"/>
    <w:rsid w:val="3E350391"/>
    <w:rsid w:val="3E8B1D5F"/>
    <w:rsid w:val="3F4441C1"/>
    <w:rsid w:val="3F9A4950"/>
    <w:rsid w:val="40784565"/>
    <w:rsid w:val="408D59ED"/>
    <w:rsid w:val="40A71336"/>
    <w:rsid w:val="40B54BA9"/>
    <w:rsid w:val="40C31C84"/>
    <w:rsid w:val="41F11AC2"/>
    <w:rsid w:val="41FF0A9A"/>
    <w:rsid w:val="42664FBD"/>
    <w:rsid w:val="42A653BA"/>
    <w:rsid w:val="43406525"/>
    <w:rsid w:val="437C57C3"/>
    <w:rsid w:val="43E066A9"/>
    <w:rsid w:val="44184095"/>
    <w:rsid w:val="44967428"/>
    <w:rsid w:val="44C63AF1"/>
    <w:rsid w:val="44CC5046"/>
    <w:rsid w:val="44F243AD"/>
    <w:rsid w:val="4517259F"/>
    <w:rsid w:val="458E4348"/>
    <w:rsid w:val="45B649C6"/>
    <w:rsid w:val="45CF4C28"/>
    <w:rsid w:val="45E524CA"/>
    <w:rsid w:val="46040D75"/>
    <w:rsid w:val="465A0995"/>
    <w:rsid w:val="46902609"/>
    <w:rsid w:val="46D629D1"/>
    <w:rsid w:val="472650D5"/>
    <w:rsid w:val="476B0980"/>
    <w:rsid w:val="47C27D6C"/>
    <w:rsid w:val="4838270D"/>
    <w:rsid w:val="486F44A0"/>
    <w:rsid w:val="487E7C99"/>
    <w:rsid w:val="48EC3373"/>
    <w:rsid w:val="48F007C1"/>
    <w:rsid w:val="493A4AAE"/>
    <w:rsid w:val="493B64BB"/>
    <w:rsid w:val="495C4A24"/>
    <w:rsid w:val="495E0E6D"/>
    <w:rsid w:val="496833C9"/>
    <w:rsid w:val="496F4EE7"/>
    <w:rsid w:val="497D7908"/>
    <w:rsid w:val="49CD7090"/>
    <w:rsid w:val="49D55251"/>
    <w:rsid w:val="49E13C0C"/>
    <w:rsid w:val="4AE7656F"/>
    <w:rsid w:val="4BE87A98"/>
    <w:rsid w:val="4C1743E7"/>
    <w:rsid w:val="4C2E43AC"/>
    <w:rsid w:val="4E616C92"/>
    <w:rsid w:val="4E6F2E5D"/>
    <w:rsid w:val="4EFD2805"/>
    <w:rsid w:val="4F6E7BBD"/>
    <w:rsid w:val="4F9B25B3"/>
    <w:rsid w:val="5051105B"/>
    <w:rsid w:val="50760AC1"/>
    <w:rsid w:val="508A00C9"/>
    <w:rsid w:val="508A5A0C"/>
    <w:rsid w:val="50A83208"/>
    <w:rsid w:val="50B13DEA"/>
    <w:rsid w:val="51F003FF"/>
    <w:rsid w:val="52631405"/>
    <w:rsid w:val="52CB651B"/>
    <w:rsid w:val="532C278F"/>
    <w:rsid w:val="5373753A"/>
    <w:rsid w:val="5407371F"/>
    <w:rsid w:val="55076EDB"/>
    <w:rsid w:val="556233C2"/>
    <w:rsid w:val="55782BE6"/>
    <w:rsid w:val="557F62EE"/>
    <w:rsid w:val="55E97640"/>
    <w:rsid w:val="55EE2EA8"/>
    <w:rsid w:val="565019E7"/>
    <w:rsid w:val="565149C5"/>
    <w:rsid w:val="566969D2"/>
    <w:rsid w:val="568162FE"/>
    <w:rsid w:val="56861129"/>
    <w:rsid w:val="569861B6"/>
    <w:rsid w:val="56B6493F"/>
    <w:rsid w:val="56C87367"/>
    <w:rsid w:val="56D26221"/>
    <w:rsid w:val="56DF0A43"/>
    <w:rsid w:val="5757215D"/>
    <w:rsid w:val="57B8376D"/>
    <w:rsid w:val="5809250B"/>
    <w:rsid w:val="587D0513"/>
    <w:rsid w:val="58946959"/>
    <w:rsid w:val="589E1721"/>
    <w:rsid w:val="58DA3BB7"/>
    <w:rsid w:val="58F307D5"/>
    <w:rsid w:val="5A4E660B"/>
    <w:rsid w:val="5A5113C2"/>
    <w:rsid w:val="5A6C021E"/>
    <w:rsid w:val="5AA24261"/>
    <w:rsid w:val="5B307ABF"/>
    <w:rsid w:val="5B4B48F9"/>
    <w:rsid w:val="5B4F43E9"/>
    <w:rsid w:val="5B6B0AF7"/>
    <w:rsid w:val="5C4E28F2"/>
    <w:rsid w:val="5C7E485A"/>
    <w:rsid w:val="5C8F7148"/>
    <w:rsid w:val="5C983B6D"/>
    <w:rsid w:val="5CF7049E"/>
    <w:rsid w:val="5D5009C9"/>
    <w:rsid w:val="5D5B355A"/>
    <w:rsid w:val="5D8C4430"/>
    <w:rsid w:val="5DBC1ADE"/>
    <w:rsid w:val="5E3A5CA0"/>
    <w:rsid w:val="5EBD6387"/>
    <w:rsid w:val="5EF62DCD"/>
    <w:rsid w:val="5F5024DD"/>
    <w:rsid w:val="5F5A15AE"/>
    <w:rsid w:val="5F6103C2"/>
    <w:rsid w:val="5F6A74FD"/>
    <w:rsid w:val="5FBC7B73"/>
    <w:rsid w:val="5FCD130C"/>
    <w:rsid w:val="5FD07FE9"/>
    <w:rsid w:val="60327E35"/>
    <w:rsid w:val="60613CC2"/>
    <w:rsid w:val="60824919"/>
    <w:rsid w:val="60974CCE"/>
    <w:rsid w:val="60DF1D6B"/>
    <w:rsid w:val="61737CE0"/>
    <w:rsid w:val="617A62BB"/>
    <w:rsid w:val="61C64CD9"/>
    <w:rsid w:val="62157A0E"/>
    <w:rsid w:val="62450E0A"/>
    <w:rsid w:val="6270505E"/>
    <w:rsid w:val="62A2790D"/>
    <w:rsid w:val="62C51434"/>
    <w:rsid w:val="62EB49FC"/>
    <w:rsid w:val="632B05B6"/>
    <w:rsid w:val="6356208C"/>
    <w:rsid w:val="63D905AD"/>
    <w:rsid w:val="63EF68D1"/>
    <w:rsid w:val="645F3309"/>
    <w:rsid w:val="647A03AB"/>
    <w:rsid w:val="64F91349"/>
    <w:rsid w:val="64FD6C64"/>
    <w:rsid w:val="652674EA"/>
    <w:rsid w:val="653D52B2"/>
    <w:rsid w:val="6558033E"/>
    <w:rsid w:val="65B46500"/>
    <w:rsid w:val="66E2747D"/>
    <w:rsid w:val="66F7550A"/>
    <w:rsid w:val="67296C8E"/>
    <w:rsid w:val="673047EC"/>
    <w:rsid w:val="68024591"/>
    <w:rsid w:val="6833421D"/>
    <w:rsid w:val="683B31A6"/>
    <w:rsid w:val="68404FAA"/>
    <w:rsid w:val="688E4077"/>
    <w:rsid w:val="68907BFB"/>
    <w:rsid w:val="68B41D2F"/>
    <w:rsid w:val="68F16ADF"/>
    <w:rsid w:val="6A4B69A3"/>
    <w:rsid w:val="6A9874AE"/>
    <w:rsid w:val="6AAD1A41"/>
    <w:rsid w:val="6ABF64DA"/>
    <w:rsid w:val="6B343211"/>
    <w:rsid w:val="6B99047C"/>
    <w:rsid w:val="6B9C347D"/>
    <w:rsid w:val="6BAC13E3"/>
    <w:rsid w:val="6BAC18E9"/>
    <w:rsid w:val="6C4E3716"/>
    <w:rsid w:val="6C847C6A"/>
    <w:rsid w:val="6D1D70C2"/>
    <w:rsid w:val="6D231231"/>
    <w:rsid w:val="6D2F1B21"/>
    <w:rsid w:val="6D3D7D20"/>
    <w:rsid w:val="6D592EA5"/>
    <w:rsid w:val="6DB620A5"/>
    <w:rsid w:val="6E3F02ED"/>
    <w:rsid w:val="6E5F172B"/>
    <w:rsid w:val="6EDC3D8E"/>
    <w:rsid w:val="6F5D0B2F"/>
    <w:rsid w:val="6F6117F5"/>
    <w:rsid w:val="6F806E0F"/>
    <w:rsid w:val="6F84274A"/>
    <w:rsid w:val="6FBE314B"/>
    <w:rsid w:val="6FD902CD"/>
    <w:rsid w:val="6FDC216E"/>
    <w:rsid w:val="6FDD7DBD"/>
    <w:rsid w:val="70217AAF"/>
    <w:rsid w:val="70840ECA"/>
    <w:rsid w:val="70A0444C"/>
    <w:rsid w:val="71777D9E"/>
    <w:rsid w:val="71A212BE"/>
    <w:rsid w:val="71B40FF2"/>
    <w:rsid w:val="71E7396A"/>
    <w:rsid w:val="726C0118"/>
    <w:rsid w:val="727E6F0A"/>
    <w:rsid w:val="72A852EE"/>
    <w:rsid w:val="72B55021"/>
    <w:rsid w:val="72B95772"/>
    <w:rsid w:val="731A4E85"/>
    <w:rsid w:val="73E90DBD"/>
    <w:rsid w:val="74FC2405"/>
    <w:rsid w:val="759233F8"/>
    <w:rsid w:val="75D27E21"/>
    <w:rsid w:val="75F51609"/>
    <w:rsid w:val="7610431D"/>
    <w:rsid w:val="76375D4D"/>
    <w:rsid w:val="76805946"/>
    <w:rsid w:val="768F7938"/>
    <w:rsid w:val="76D37824"/>
    <w:rsid w:val="78373BAC"/>
    <w:rsid w:val="78D4376C"/>
    <w:rsid w:val="78E33F6B"/>
    <w:rsid w:val="795D6459"/>
    <w:rsid w:val="79775D93"/>
    <w:rsid w:val="799B26EC"/>
    <w:rsid w:val="79DA107C"/>
    <w:rsid w:val="79E9796A"/>
    <w:rsid w:val="7A155D61"/>
    <w:rsid w:val="7A28432B"/>
    <w:rsid w:val="7A57076C"/>
    <w:rsid w:val="7A5769BE"/>
    <w:rsid w:val="7A8A3616"/>
    <w:rsid w:val="7A9E45ED"/>
    <w:rsid w:val="7B7826CC"/>
    <w:rsid w:val="7B853EC3"/>
    <w:rsid w:val="7BE75B20"/>
    <w:rsid w:val="7C0641F8"/>
    <w:rsid w:val="7C2B1EB0"/>
    <w:rsid w:val="7C482A62"/>
    <w:rsid w:val="7CAE2B9E"/>
    <w:rsid w:val="7CB7224A"/>
    <w:rsid w:val="7D18299B"/>
    <w:rsid w:val="7D2A512B"/>
    <w:rsid w:val="7D6067A7"/>
    <w:rsid w:val="7DEE13E8"/>
    <w:rsid w:val="7E2F5732"/>
    <w:rsid w:val="7E6D055E"/>
    <w:rsid w:val="7ED20D09"/>
    <w:rsid w:val="7F505380"/>
    <w:rsid w:val="7F71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paragraph" w:styleId="3">
    <w:name w:val="heading 1"/>
    <w:basedOn w:val="1"/>
    <w:next w:val="1"/>
    <w:link w:val="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8"/>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5">
    <w:name w:val="heading 3"/>
    <w:basedOn w:val="1"/>
    <w:next w:val="1"/>
    <w:link w:val="8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92"/>
    <w:qFormat/>
    <w:uiPriority w:val="0"/>
    <w:pPr>
      <w:keepNext/>
      <w:keepLines/>
      <w:spacing w:before="280" w:after="290" w:line="376" w:lineRule="auto"/>
      <w:outlineLvl w:val="3"/>
    </w:pPr>
    <w:rPr>
      <w:b/>
      <w:bCs/>
      <w:sz w:val="28"/>
      <w:szCs w:val="28"/>
    </w:rPr>
  </w:style>
  <w:style w:type="paragraph" w:styleId="7">
    <w:name w:val="heading 5"/>
    <w:basedOn w:val="1"/>
    <w:next w:val="1"/>
    <w:link w:val="99"/>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8">
    <w:name w:val="heading 6"/>
    <w:basedOn w:val="7"/>
    <w:next w:val="1"/>
    <w:link w:val="100"/>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9">
    <w:name w:val="heading 7"/>
    <w:basedOn w:val="8"/>
    <w:next w:val="1"/>
    <w:link w:val="101"/>
    <w:qFormat/>
    <w:uiPriority w:val="0"/>
    <w:pPr>
      <w:tabs>
        <w:tab w:val="left" w:pos="1800"/>
        <w:tab w:val="clear" w:pos="1440"/>
      </w:tabs>
      <w:ind w:left="1276" w:hanging="1276"/>
      <w:outlineLvl w:val="6"/>
    </w:pPr>
  </w:style>
  <w:style w:type="paragraph" w:styleId="10">
    <w:name w:val="heading 8"/>
    <w:basedOn w:val="1"/>
    <w:next w:val="1"/>
    <w:link w:val="102"/>
    <w:qFormat/>
    <w:uiPriority w:val="0"/>
    <w:pPr>
      <w:keepNext/>
      <w:keepLines/>
      <w:spacing w:line="400" w:lineRule="exact"/>
      <w:jc w:val="center"/>
      <w:outlineLvl w:val="7"/>
    </w:pPr>
    <w:rPr>
      <w:rFonts w:eastAsia="黑体" w:cs="Times New Roman"/>
      <w:kern w:val="2"/>
      <w:sz w:val="32"/>
      <w:szCs w:val="32"/>
      <w:lang w:val="zh-CN"/>
    </w:rPr>
  </w:style>
  <w:style w:type="paragraph" w:styleId="11">
    <w:name w:val="heading 9"/>
    <w:basedOn w:val="1"/>
    <w:next w:val="1"/>
    <w:link w:val="103"/>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link w:val="130"/>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12">
    <w:name w:val="List 3"/>
    <w:basedOn w:val="1"/>
    <w:qFormat/>
    <w:uiPriority w:val="0"/>
    <w:pPr>
      <w:ind w:left="100" w:leftChars="400" w:hanging="200" w:hangingChars="200"/>
    </w:pPr>
    <w:rPr>
      <w:rFonts w:ascii="Calibri" w:hAnsi="Calibri" w:cs="Times New Roman"/>
      <w:kern w:val="2"/>
      <w:sz w:val="21"/>
      <w:szCs w:val="22"/>
    </w:rPr>
  </w:style>
  <w:style w:type="paragraph" w:styleId="13">
    <w:name w:val="toc 7"/>
    <w:basedOn w:val="1"/>
    <w:next w:val="1"/>
    <w:unhideWhenUsed/>
    <w:qFormat/>
    <w:uiPriority w:val="39"/>
    <w:pPr>
      <w:ind w:left="1260"/>
      <w:jc w:val="left"/>
    </w:pPr>
    <w:rPr>
      <w:rFonts w:ascii="Calibri" w:hAnsi="Calibri" w:cs="Calibri"/>
      <w:kern w:val="2"/>
      <w:sz w:val="18"/>
      <w:szCs w:val="18"/>
    </w:rPr>
  </w:style>
  <w:style w:type="paragraph" w:styleId="14">
    <w:name w:val="Normal Indent"/>
    <w:basedOn w:val="1"/>
    <w:qFormat/>
    <w:uiPriority w:val="0"/>
    <w:pPr>
      <w:autoSpaceDE w:val="0"/>
      <w:autoSpaceDN w:val="0"/>
      <w:adjustRightInd w:val="0"/>
      <w:ind w:firstLine="420"/>
      <w:jc w:val="left"/>
    </w:pPr>
    <w:rPr>
      <w:rFonts w:hAnsi="Times New Roman" w:cs="Times New Roman"/>
      <w:sz w:val="24"/>
    </w:rPr>
  </w:style>
  <w:style w:type="paragraph" w:styleId="15">
    <w:name w:val="caption"/>
    <w:basedOn w:val="1"/>
    <w:next w:val="1"/>
    <w:qFormat/>
    <w:uiPriority w:val="0"/>
    <w:pPr>
      <w:spacing w:before="152" w:after="160"/>
    </w:pPr>
    <w:rPr>
      <w:rFonts w:ascii="Arial" w:hAnsi="Arial" w:eastAsia="黑体" w:cs="Arial"/>
      <w:kern w:val="2"/>
    </w:rPr>
  </w:style>
  <w:style w:type="paragraph" w:styleId="16">
    <w:name w:val="Document Map"/>
    <w:basedOn w:val="1"/>
    <w:link w:val="148"/>
    <w:qFormat/>
    <w:uiPriority w:val="0"/>
    <w:pPr>
      <w:shd w:val="clear" w:color="auto" w:fill="000080"/>
    </w:pPr>
    <w:rPr>
      <w:rFonts w:ascii="Calibri" w:hAnsi="Calibri" w:cs="Times New Roman"/>
      <w:bCs/>
      <w:kern w:val="2"/>
      <w:sz w:val="21"/>
      <w:szCs w:val="32"/>
      <w:lang w:val="zh-CN"/>
    </w:rPr>
  </w:style>
  <w:style w:type="paragraph" w:styleId="17">
    <w:name w:val="annotation text"/>
    <w:basedOn w:val="1"/>
    <w:link w:val="84"/>
    <w:qFormat/>
    <w:uiPriority w:val="0"/>
    <w:pPr>
      <w:jc w:val="left"/>
    </w:pPr>
    <w:rPr>
      <w:rFonts w:ascii="Arial" w:hAnsi="Arial" w:eastAsia="黑体" w:cs="Arial"/>
    </w:rPr>
  </w:style>
  <w:style w:type="paragraph" w:styleId="18">
    <w:name w:val="Salutation"/>
    <w:basedOn w:val="1"/>
    <w:next w:val="1"/>
    <w:link w:val="114"/>
    <w:qFormat/>
    <w:uiPriority w:val="0"/>
    <w:rPr>
      <w:rFonts w:ascii="仿宋_GB2312" w:hAnsi="Times New Roman" w:eastAsia="仿宋_GB2312" w:cs="Times New Roman"/>
      <w:kern w:val="2"/>
      <w:sz w:val="28"/>
      <w:lang w:val="zh-CN"/>
    </w:rPr>
  </w:style>
  <w:style w:type="paragraph" w:styleId="19">
    <w:name w:val="Body Text 3"/>
    <w:basedOn w:val="1"/>
    <w:link w:val="134"/>
    <w:qFormat/>
    <w:uiPriority w:val="0"/>
    <w:pPr>
      <w:adjustRightInd w:val="0"/>
      <w:snapToGrid w:val="0"/>
    </w:pPr>
    <w:rPr>
      <w:rFonts w:ascii="仿宋_GB2312" w:eastAsia="仿宋_GB2312" w:cs="Times New Roman"/>
      <w:bCs/>
      <w:color w:val="000000"/>
      <w:kern w:val="2"/>
      <w:sz w:val="24"/>
      <w:szCs w:val="32"/>
      <w:lang w:val="zh-CN"/>
    </w:rPr>
  </w:style>
  <w:style w:type="paragraph" w:styleId="20">
    <w:name w:val="Body Text"/>
    <w:basedOn w:val="1"/>
    <w:link w:val="93"/>
    <w:qFormat/>
    <w:uiPriority w:val="0"/>
    <w:pPr>
      <w:spacing w:after="120"/>
    </w:pPr>
    <w:rPr>
      <w:rFonts w:ascii="@微软简标宋" w:hAnsi="@微软简标宋" w:eastAsia="@微软简标宋" w:cs="@微软简标宋"/>
      <w:szCs w:val="24"/>
      <w:lang w:val="zh-CN"/>
    </w:rPr>
  </w:style>
  <w:style w:type="paragraph" w:styleId="21">
    <w:name w:val="Body Text Indent"/>
    <w:basedOn w:val="1"/>
    <w:next w:val="22"/>
    <w:link w:val="108"/>
    <w:unhideWhenUsed/>
    <w:qFormat/>
    <w:uiPriority w:val="0"/>
    <w:pPr>
      <w:spacing w:after="120"/>
      <w:ind w:left="420" w:leftChars="200"/>
    </w:pPr>
    <w:rPr>
      <w:rFonts w:asciiTheme="minorHAnsi" w:hAnsiTheme="minorHAnsi"/>
      <w:kern w:val="2"/>
      <w:sz w:val="21"/>
      <w:szCs w:val="22"/>
    </w:rPr>
  </w:style>
  <w:style w:type="paragraph" w:styleId="22">
    <w:name w:val="envelope return"/>
    <w:basedOn w:val="1"/>
    <w:next w:val="13"/>
    <w:qFormat/>
    <w:uiPriority w:val="0"/>
    <w:pPr>
      <w:snapToGrid w:val="0"/>
    </w:pPr>
    <w:rPr>
      <w:rFonts w:ascii="Arial" w:hAnsi="Arial"/>
    </w:rPr>
  </w:style>
  <w:style w:type="paragraph" w:styleId="23">
    <w:name w:val="List 2"/>
    <w:basedOn w:val="1"/>
    <w:qFormat/>
    <w:uiPriority w:val="0"/>
    <w:pPr>
      <w:ind w:left="100" w:leftChars="200" w:hanging="200" w:hangingChars="200"/>
    </w:pPr>
    <w:rPr>
      <w:rFonts w:ascii="Calibri" w:hAnsi="Calibri" w:cs="Times New Roman"/>
      <w:kern w:val="2"/>
      <w:sz w:val="21"/>
      <w:szCs w:val="22"/>
    </w:rPr>
  </w:style>
  <w:style w:type="paragraph" w:styleId="24">
    <w:name w:val="List Continue"/>
    <w:basedOn w:val="1"/>
    <w:qFormat/>
    <w:uiPriority w:val="0"/>
    <w:pPr>
      <w:spacing w:after="120"/>
      <w:ind w:left="420" w:leftChars="200"/>
    </w:pPr>
    <w:rPr>
      <w:rFonts w:ascii="Calibri" w:hAnsi="Calibri" w:cs="Times New Roman"/>
      <w:kern w:val="2"/>
      <w:sz w:val="21"/>
      <w:szCs w:val="22"/>
    </w:rPr>
  </w:style>
  <w:style w:type="paragraph" w:styleId="25">
    <w:name w:val="Block Text"/>
    <w:basedOn w:val="1"/>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6">
    <w:name w:val="index 4"/>
    <w:basedOn w:val="1"/>
    <w:next w:val="1"/>
    <w:qFormat/>
    <w:uiPriority w:val="0"/>
    <w:pPr>
      <w:ind w:left="600" w:leftChars="600"/>
    </w:pPr>
    <w:rPr>
      <w:rFonts w:ascii="Times New Roman" w:hAnsi="Times New Roman" w:cs="Times New Roman"/>
      <w:kern w:val="2"/>
      <w:sz w:val="21"/>
      <w:szCs w:val="24"/>
    </w:rPr>
  </w:style>
  <w:style w:type="paragraph" w:styleId="27">
    <w:name w:val="toc 5"/>
    <w:basedOn w:val="1"/>
    <w:next w:val="1"/>
    <w:unhideWhenUsed/>
    <w:qFormat/>
    <w:uiPriority w:val="39"/>
    <w:pPr>
      <w:ind w:left="840"/>
      <w:jc w:val="left"/>
    </w:pPr>
    <w:rPr>
      <w:rFonts w:ascii="Calibri" w:hAnsi="Calibri" w:cs="Calibri"/>
      <w:kern w:val="2"/>
      <w:sz w:val="18"/>
      <w:szCs w:val="18"/>
    </w:rPr>
  </w:style>
  <w:style w:type="paragraph" w:styleId="28">
    <w:name w:val="toc 3"/>
    <w:basedOn w:val="1"/>
    <w:next w:val="1"/>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9">
    <w:name w:val="Plain Text"/>
    <w:basedOn w:val="1"/>
    <w:link w:val="73"/>
    <w:qFormat/>
    <w:uiPriority w:val="0"/>
    <w:rPr>
      <w:rFonts w:hAnsi="Courier New" w:eastAsiaTheme="minorEastAsia"/>
      <w:szCs w:val="22"/>
    </w:rPr>
  </w:style>
  <w:style w:type="paragraph" w:styleId="30">
    <w:name w:val="toc 8"/>
    <w:basedOn w:val="1"/>
    <w:next w:val="1"/>
    <w:unhideWhenUsed/>
    <w:qFormat/>
    <w:uiPriority w:val="39"/>
    <w:pPr>
      <w:ind w:left="1470"/>
      <w:jc w:val="left"/>
    </w:pPr>
    <w:rPr>
      <w:rFonts w:ascii="Calibri" w:hAnsi="Calibri" w:cs="Calibri"/>
      <w:kern w:val="2"/>
      <w:sz w:val="18"/>
      <w:szCs w:val="18"/>
    </w:rPr>
  </w:style>
  <w:style w:type="paragraph" w:styleId="31">
    <w:name w:val="Date"/>
    <w:basedOn w:val="1"/>
    <w:next w:val="1"/>
    <w:link w:val="80"/>
    <w:qFormat/>
    <w:uiPriority w:val="0"/>
    <w:rPr>
      <w:rFonts w:ascii="Arial" w:hAnsi="Arial" w:cs="Arial"/>
      <w:b/>
      <w:sz w:val="28"/>
    </w:rPr>
  </w:style>
  <w:style w:type="paragraph" w:styleId="32">
    <w:name w:val="Balloon Text"/>
    <w:basedOn w:val="1"/>
    <w:link w:val="67"/>
    <w:unhideWhenUsed/>
    <w:qFormat/>
    <w:uiPriority w:val="0"/>
    <w:rPr>
      <w:sz w:val="18"/>
      <w:szCs w:val="18"/>
    </w:rPr>
  </w:style>
  <w:style w:type="paragraph" w:styleId="33">
    <w:name w:val="footer"/>
    <w:basedOn w:val="1"/>
    <w:link w:val="72"/>
    <w:unhideWhenUsed/>
    <w:qFormat/>
    <w:uiPriority w:val="99"/>
    <w:pPr>
      <w:tabs>
        <w:tab w:val="center" w:pos="4153"/>
        <w:tab w:val="right" w:pos="8306"/>
      </w:tabs>
      <w:snapToGrid w:val="0"/>
      <w:jc w:val="left"/>
    </w:pPr>
    <w:rPr>
      <w:sz w:val="18"/>
      <w:szCs w:val="18"/>
    </w:rPr>
  </w:style>
  <w:style w:type="paragraph" w:styleId="34">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qFormat/>
    <w:uiPriority w:val="0"/>
    <w:pPr>
      <w:spacing w:after="120"/>
      <w:ind w:left="1680" w:leftChars="800"/>
    </w:pPr>
    <w:rPr>
      <w:rFonts w:ascii="Calibri" w:hAnsi="Calibri" w:cs="Times New Roman"/>
      <w:kern w:val="2"/>
      <w:sz w:val="21"/>
      <w:szCs w:val="22"/>
    </w:rPr>
  </w:style>
  <w:style w:type="paragraph" w:styleId="37">
    <w:name w:val="toc 4"/>
    <w:basedOn w:val="1"/>
    <w:next w:val="1"/>
    <w:unhideWhenUsed/>
    <w:qFormat/>
    <w:uiPriority w:val="39"/>
    <w:pPr>
      <w:ind w:left="630"/>
      <w:jc w:val="left"/>
    </w:pPr>
    <w:rPr>
      <w:rFonts w:ascii="Calibri" w:hAnsi="Calibri" w:cs="Calibri"/>
      <w:kern w:val="2"/>
      <w:sz w:val="18"/>
      <w:szCs w:val="18"/>
    </w:rPr>
  </w:style>
  <w:style w:type="paragraph" w:styleId="38">
    <w:name w:val="index heading"/>
    <w:basedOn w:val="1"/>
    <w:next w:val="39"/>
    <w:semiHidden/>
    <w:qFormat/>
    <w:uiPriority w:val="0"/>
    <w:rPr>
      <w:rFonts w:ascii="Times New Roman" w:hAnsi="Times New Roman" w:cs="Times New Roman"/>
      <w:kern w:val="2"/>
      <w:sz w:val="21"/>
      <w:szCs w:val="24"/>
    </w:rPr>
  </w:style>
  <w:style w:type="paragraph" w:styleId="39">
    <w:name w:val="index 1"/>
    <w:basedOn w:val="1"/>
    <w:next w:val="1"/>
    <w:qFormat/>
    <w:uiPriority w:val="0"/>
    <w:pPr>
      <w:jc w:val="center"/>
    </w:pPr>
    <w:rPr>
      <w:rFonts w:ascii="Arial" w:hAnsi="Arial" w:eastAsia="Arial" w:cs="Arial"/>
      <w:b/>
      <w:bCs/>
      <w:sz w:val="28"/>
    </w:rPr>
  </w:style>
  <w:style w:type="paragraph" w:styleId="40">
    <w:name w:val="Subtitle"/>
    <w:basedOn w:val="1"/>
    <w:link w:val="222"/>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qFormat/>
    <w:uiPriority w:val="0"/>
    <w:pPr>
      <w:ind w:left="200" w:hanging="200" w:hangingChars="200"/>
    </w:pPr>
    <w:rPr>
      <w:rFonts w:ascii="Calibri" w:hAnsi="Calibri" w:cs="Times New Roman"/>
      <w:kern w:val="2"/>
      <w:sz w:val="21"/>
      <w:szCs w:val="22"/>
    </w:rPr>
  </w:style>
  <w:style w:type="paragraph" w:styleId="42">
    <w:name w:val="footnote text"/>
    <w:basedOn w:val="1"/>
    <w:link w:val="110"/>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unhideWhenUsed/>
    <w:qFormat/>
    <w:uiPriority w:val="39"/>
    <w:pPr>
      <w:ind w:left="1050"/>
      <w:jc w:val="left"/>
    </w:pPr>
    <w:rPr>
      <w:rFonts w:ascii="Calibri" w:hAnsi="Calibri" w:cs="Calibri"/>
      <w:kern w:val="2"/>
      <w:sz w:val="18"/>
      <w:szCs w:val="18"/>
    </w:rPr>
  </w:style>
  <w:style w:type="paragraph" w:styleId="44">
    <w:name w:val="Body Text Indent 3"/>
    <w:basedOn w:val="1"/>
    <w:link w:val="129"/>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unhideWhenUsed/>
    <w:qFormat/>
    <w:uiPriority w:val="39"/>
    <w:pPr>
      <w:ind w:left="1680"/>
      <w:jc w:val="left"/>
    </w:pPr>
    <w:rPr>
      <w:rFonts w:ascii="Calibri" w:hAnsi="Calibri" w:cs="Calibri"/>
      <w:kern w:val="2"/>
      <w:sz w:val="18"/>
      <w:szCs w:val="18"/>
    </w:rPr>
  </w:style>
  <w:style w:type="paragraph" w:styleId="47">
    <w:name w:val="Body Text 2"/>
    <w:basedOn w:val="1"/>
    <w:link w:val="133"/>
    <w:qFormat/>
    <w:uiPriority w:val="0"/>
    <w:pPr>
      <w:spacing w:line="360" w:lineRule="auto"/>
    </w:pPr>
    <w:rPr>
      <w:rFonts w:hAnsi="Times New Roman" w:cs="Times New Roman"/>
      <w:spacing w:val="-20"/>
      <w:kern w:val="2"/>
      <w:sz w:val="28"/>
      <w:lang w:val="zh-CN"/>
    </w:rPr>
  </w:style>
  <w:style w:type="paragraph" w:styleId="48">
    <w:name w:val="List 4"/>
    <w:basedOn w:val="1"/>
    <w:qFormat/>
    <w:uiPriority w:val="0"/>
    <w:pPr>
      <w:ind w:left="100" w:leftChars="600" w:hanging="200" w:hangingChars="200"/>
    </w:pPr>
    <w:rPr>
      <w:rFonts w:ascii="Calibri" w:hAnsi="Calibri" w:cs="Times New Roman"/>
      <w:kern w:val="2"/>
      <w:sz w:val="21"/>
      <w:szCs w:val="22"/>
    </w:rPr>
  </w:style>
  <w:style w:type="paragraph" w:styleId="49">
    <w:name w:val="List Continue 2"/>
    <w:basedOn w:val="1"/>
    <w:qFormat/>
    <w:uiPriority w:val="0"/>
    <w:pPr>
      <w:spacing w:after="120"/>
      <w:ind w:left="840" w:leftChars="400"/>
    </w:pPr>
    <w:rPr>
      <w:rFonts w:ascii="Calibri" w:hAnsi="Calibri" w:cs="Times New Roman"/>
      <w:kern w:val="2"/>
      <w:sz w:val="21"/>
      <w:szCs w:val="22"/>
    </w:rPr>
  </w:style>
  <w:style w:type="paragraph" w:styleId="50">
    <w:name w:val="Normal (Web)"/>
    <w:basedOn w:val="1"/>
    <w:qFormat/>
    <w:uiPriority w:val="0"/>
    <w:pPr>
      <w:widowControl/>
      <w:spacing w:before="100" w:beforeAutospacing="1" w:after="100" w:afterAutospacing="1"/>
      <w:jc w:val="left"/>
    </w:pPr>
    <w:rPr>
      <w:rFonts w:cs="宋体"/>
      <w:color w:val="0066CC"/>
      <w:sz w:val="24"/>
      <w:szCs w:val="24"/>
    </w:rPr>
  </w:style>
  <w:style w:type="paragraph" w:styleId="51">
    <w:name w:val="Title"/>
    <w:basedOn w:val="4"/>
    <w:next w:val="1"/>
    <w:link w:val="137"/>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7"/>
    <w:next w:val="17"/>
    <w:link w:val="95"/>
    <w:unhideWhenUsed/>
    <w:qFormat/>
    <w:uiPriority w:val="0"/>
    <w:rPr>
      <w:rFonts w:ascii="宋体" w:hAnsi="宋体" w:eastAsia="宋体" w:cstheme="minorBidi"/>
      <w:b/>
      <w:bCs/>
    </w:rPr>
  </w:style>
  <w:style w:type="paragraph" w:styleId="53">
    <w:name w:val="Body Text First Indent"/>
    <w:basedOn w:val="20"/>
    <w:semiHidden/>
    <w:unhideWhenUsed/>
    <w:qFormat/>
    <w:uiPriority w:val="99"/>
    <w:pPr>
      <w:ind w:firstLine="420" w:firstLineChars="100"/>
    </w:pPr>
  </w:style>
  <w:style w:type="paragraph" w:styleId="54">
    <w:name w:val="Body Text First Indent 2"/>
    <w:basedOn w:val="21"/>
    <w:next w:val="1"/>
    <w:qFormat/>
    <w:uiPriority w:val="0"/>
    <w:pPr>
      <w:spacing w:line="360" w:lineRule="auto"/>
      <w:ind w:firstLine="200"/>
    </w:pPr>
    <w:rPr>
      <w:sz w:val="21"/>
    </w:rPr>
  </w:style>
  <w:style w:type="table" w:styleId="56">
    <w:name w:val="Table Grid"/>
    <w:basedOn w:val="55"/>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basedOn w:val="57"/>
    <w:semiHidden/>
    <w:unhideWhenUsed/>
    <w:qFormat/>
    <w:uiPriority w:val="99"/>
    <w:rPr>
      <w:color w:val="800080" w:themeColor="followedHyperlink"/>
      <w:u w:val="single"/>
      <w14:textFill>
        <w14:solidFill>
          <w14:schemeClr w14:val="folHlink"/>
        </w14:solidFill>
      </w14:textFill>
    </w:rPr>
  </w:style>
  <w:style w:type="character" w:styleId="61">
    <w:name w:val="Emphasis"/>
    <w:qFormat/>
    <w:uiPriority w:val="0"/>
    <w:rPr>
      <w:color w:val="CC0033"/>
    </w:rPr>
  </w:style>
  <w:style w:type="character" w:styleId="62">
    <w:name w:val="Hyperlink"/>
    <w:basedOn w:val="57"/>
    <w:unhideWhenUsed/>
    <w:qFormat/>
    <w:uiPriority w:val="99"/>
    <w:rPr>
      <w:color w:val="0000FF" w:themeColor="hyperlink"/>
      <w:u w:val="single"/>
      <w14:textFill>
        <w14:solidFill>
          <w14:schemeClr w14:val="hlink"/>
        </w14:solidFill>
      </w14:textFill>
    </w:rPr>
  </w:style>
  <w:style w:type="character" w:styleId="63">
    <w:name w:val="annotation reference"/>
    <w:basedOn w:val="57"/>
    <w:unhideWhenUsed/>
    <w:qFormat/>
    <w:uiPriority w:val="0"/>
    <w:rPr>
      <w:sz w:val="21"/>
      <w:szCs w:val="21"/>
    </w:rPr>
  </w:style>
  <w:style w:type="character" w:styleId="64">
    <w:name w:val="footnote reference"/>
    <w:unhideWhenUsed/>
    <w:qFormat/>
    <w:uiPriority w:val="0"/>
    <w:rPr>
      <w:vertAlign w:val="superscript"/>
    </w:rPr>
  </w:style>
  <w:style w:type="character" w:styleId="65">
    <w:name w:val="HTML Sample"/>
    <w:qFormat/>
    <w:uiPriority w:val="0"/>
    <w:rPr>
      <w:rFonts w:hint="default" w:ascii="monospace" w:hAnsi="monospace" w:eastAsia="monospace" w:cs="monospace"/>
      <w:sz w:val="21"/>
      <w:szCs w:val="21"/>
    </w:rPr>
  </w:style>
  <w:style w:type="paragraph" w:customStyle="1" w:styleId="66">
    <w:name w:val="正文文字 8"/>
    <w:basedOn w:val="1"/>
    <w:next w:val="1"/>
    <w:qFormat/>
    <w:uiPriority w:val="0"/>
    <w:pPr>
      <w:ind w:left="240"/>
    </w:pPr>
    <w:rPr>
      <w:sz w:val="16"/>
    </w:rPr>
  </w:style>
  <w:style w:type="character" w:customStyle="1" w:styleId="67">
    <w:name w:val="批注框文本 Char"/>
    <w:basedOn w:val="57"/>
    <w:link w:val="32"/>
    <w:qFormat/>
    <w:uiPriority w:val="0"/>
    <w:rPr>
      <w:rFonts w:ascii="@仿宋_GB2312" w:hAnsi="@仿宋_GB2312" w:eastAsia="@仿宋_GB2312" w:cs="@仿宋_GB2312"/>
      <w:sz w:val="18"/>
      <w:szCs w:val="18"/>
    </w:rPr>
  </w:style>
  <w:style w:type="paragraph" w:customStyle="1" w:styleId="68">
    <w:name w:val="正文（缩进）"/>
    <w:basedOn w:val="1"/>
    <w:qFormat/>
    <w:uiPriority w:val="0"/>
    <w:pPr>
      <w:widowControl/>
      <w:spacing w:before="156" w:after="156"/>
      <w:ind w:firstLine="480" w:firstLineChars="200"/>
      <w:jc w:val="left"/>
    </w:pPr>
    <w:rPr>
      <w:sz w:val="24"/>
      <w:szCs w:val="24"/>
    </w:rPr>
  </w:style>
  <w:style w:type="paragraph" w:customStyle="1" w:styleId="69">
    <w:name w:val="xl31"/>
    <w:basedOn w:val="1"/>
    <w:qFormat/>
    <w:uiPriority w:val="0"/>
    <w:pPr>
      <w:widowControl/>
      <w:spacing w:before="100" w:beforeAutospacing="1" w:after="100" w:afterAutospacing="1"/>
      <w:jc w:val="center"/>
    </w:pPr>
    <w:rPr>
      <w:b/>
      <w:bCs/>
      <w:sz w:val="28"/>
      <w:szCs w:val="28"/>
    </w:rPr>
  </w:style>
  <w:style w:type="paragraph" w:customStyle="1" w:styleId="70">
    <w:name w:val="D&amp;L"/>
    <w:basedOn w:val="34"/>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Char"/>
    <w:basedOn w:val="57"/>
    <w:link w:val="34"/>
    <w:qFormat/>
    <w:uiPriority w:val="99"/>
    <w:rPr>
      <w:rFonts w:ascii="@仿宋_GB2312" w:hAnsi="@仿宋_GB2312" w:eastAsia="@仿宋_GB2312" w:cs="@仿宋_GB2312"/>
      <w:sz w:val="18"/>
      <w:szCs w:val="18"/>
    </w:rPr>
  </w:style>
  <w:style w:type="character" w:customStyle="1" w:styleId="72">
    <w:name w:val="页脚 Char"/>
    <w:basedOn w:val="57"/>
    <w:link w:val="33"/>
    <w:qFormat/>
    <w:uiPriority w:val="99"/>
    <w:rPr>
      <w:rFonts w:ascii="@仿宋_GB2312" w:hAnsi="@仿宋_GB2312" w:eastAsia="@仿宋_GB2312" w:cs="@仿宋_GB2312"/>
      <w:sz w:val="18"/>
      <w:szCs w:val="18"/>
    </w:rPr>
  </w:style>
  <w:style w:type="character" w:customStyle="1" w:styleId="73">
    <w:name w:val="纯文本 Char"/>
    <w:link w:val="29"/>
    <w:qFormat/>
    <w:uiPriority w:val="0"/>
    <w:rPr>
      <w:rFonts w:ascii="宋体" w:hAnsi="Courier New"/>
    </w:rPr>
  </w:style>
  <w:style w:type="character" w:customStyle="1" w:styleId="74">
    <w:name w:val="纯文本 字符1"/>
    <w:basedOn w:val="57"/>
    <w:semiHidden/>
    <w:qFormat/>
    <w:uiPriority w:val="99"/>
    <w:rPr>
      <w:rFonts w:hAnsi="Courier New" w:cs="Courier New" w:asciiTheme="minorEastAsia"/>
      <w:szCs w:val="20"/>
    </w:rPr>
  </w:style>
  <w:style w:type="character" w:customStyle="1" w:styleId="75">
    <w:name w:val="未处理的提及1"/>
    <w:basedOn w:val="57"/>
    <w:semiHidden/>
    <w:unhideWhenUsed/>
    <w:qFormat/>
    <w:uiPriority w:val="99"/>
    <w:rPr>
      <w:color w:val="605E5C"/>
      <w:shd w:val="clear" w:color="auto" w:fill="E1DFDD"/>
    </w:rPr>
  </w:style>
  <w:style w:type="paragraph" w:styleId="76">
    <w:name w:val="List Paragraph"/>
    <w:basedOn w:val="1"/>
    <w:qFormat/>
    <w:uiPriority w:val="34"/>
    <w:pPr>
      <w:ind w:firstLine="420" w:firstLineChars="200"/>
    </w:pPr>
  </w:style>
  <w:style w:type="paragraph" w:customStyle="1" w:styleId="77">
    <w:name w:val="Char Char Char Char Char Char Char1 Char"/>
    <w:basedOn w:val="1"/>
    <w:qFormat/>
    <w:uiPriority w:val="0"/>
    <w:rPr>
      <w:rFonts w:ascii="Arial" w:hAnsi="Arial" w:cs="Arial"/>
      <w:sz w:val="24"/>
    </w:rPr>
  </w:style>
  <w:style w:type="table" w:customStyle="1" w:styleId="78">
    <w:name w:val="网格表 1 浅色1"/>
    <w:basedOn w:val="5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7"/>
    <w:semiHidden/>
    <w:qFormat/>
    <w:uiPriority w:val="99"/>
    <w:rPr>
      <w:rFonts w:ascii="@仿宋_GB2312" w:hAnsi="@仿宋_GB2312" w:eastAsia="@仿宋_GB2312" w:cs="@仿宋_GB2312"/>
      <w:szCs w:val="20"/>
    </w:rPr>
  </w:style>
  <w:style w:type="character" w:customStyle="1" w:styleId="80">
    <w:name w:val="日期 Char"/>
    <w:link w:val="31"/>
    <w:qFormat/>
    <w:uiPriority w:val="0"/>
    <w:rPr>
      <w:rFonts w:ascii="Arial" w:hAnsi="Arial" w:eastAsia="宋体" w:cs="Arial"/>
      <w:b/>
      <w:sz w:val="28"/>
      <w:szCs w:val="20"/>
    </w:rPr>
  </w:style>
  <w:style w:type="character" w:customStyle="1" w:styleId="81">
    <w:name w:val="纯文本 Char1"/>
    <w:link w:val="82"/>
    <w:qFormat/>
    <w:locked/>
    <w:uiPriority w:val="99"/>
    <w:rPr>
      <w:rFonts w:ascii="Arial" w:hAnsi="Arial" w:eastAsia="Arial"/>
      <w:kern w:val="2"/>
      <w:sz w:val="21"/>
      <w:lang w:val="en-US" w:eastAsia="zh-CN" w:bidi="ar-SA"/>
    </w:rPr>
  </w:style>
  <w:style w:type="paragraph" w:customStyle="1" w:styleId="82">
    <w:name w:val="纯文本1"/>
    <w:basedOn w:val="1"/>
    <w:link w:val="81"/>
    <w:qFormat/>
    <w:uiPriority w:val="0"/>
    <w:rPr>
      <w:rFonts w:ascii="Arial" w:hAnsi="Arial" w:eastAsia="Arial"/>
    </w:rPr>
  </w:style>
  <w:style w:type="character" w:customStyle="1" w:styleId="83">
    <w:name w:val="批注文字 Char"/>
    <w:basedOn w:val="57"/>
    <w:qFormat/>
    <w:uiPriority w:val="0"/>
    <w:rPr>
      <w:rFonts w:ascii="@仿宋_GB2312" w:hAnsi="@仿宋_GB2312" w:eastAsia="@仿宋_GB2312" w:cs="@仿宋_GB2312"/>
      <w:szCs w:val="20"/>
    </w:rPr>
  </w:style>
  <w:style w:type="character" w:customStyle="1" w:styleId="84">
    <w:name w:val="批注文字 Char1"/>
    <w:link w:val="17"/>
    <w:qFormat/>
    <w:uiPriority w:val="99"/>
    <w:rPr>
      <w:rFonts w:ascii="Arial" w:hAnsi="Arial" w:eastAsia="黑体" w:cs="Arial"/>
      <w:szCs w:val="20"/>
    </w:rPr>
  </w:style>
  <w:style w:type="character" w:customStyle="1" w:styleId="85">
    <w:name w:val="标题 1 Char"/>
    <w:basedOn w:val="57"/>
    <w:link w:val="3"/>
    <w:qFormat/>
    <w:uiPriority w:val="0"/>
    <w:rPr>
      <w:rFonts w:ascii="@仿宋_GB2312" w:hAnsi="@仿宋_GB2312" w:eastAsia="@仿宋_GB2312" w:cs="@仿宋_GB2312"/>
      <w:b/>
      <w:bCs/>
      <w:kern w:val="44"/>
      <w:sz w:val="44"/>
      <w:szCs w:val="44"/>
    </w:rPr>
  </w:style>
  <w:style w:type="paragraph" w:customStyle="1" w:styleId="86">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Char"/>
    <w:basedOn w:val="57"/>
    <w:link w:val="5"/>
    <w:qFormat/>
    <w:uiPriority w:val="0"/>
    <w:rPr>
      <w:rFonts w:ascii="@仿宋_GB2312" w:hAnsi="@仿宋_GB2312" w:eastAsia="@仿宋_GB2312" w:cs="@仿宋_GB2312"/>
      <w:b/>
      <w:bCs/>
      <w:sz w:val="32"/>
      <w:szCs w:val="32"/>
    </w:rPr>
  </w:style>
  <w:style w:type="character" w:customStyle="1" w:styleId="88">
    <w:name w:val="fontstyle01"/>
    <w:basedOn w:val="57"/>
    <w:qFormat/>
    <w:uiPriority w:val="0"/>
    <w:rPr>
      <w:rFonts w:hint="eastAsia" w:ascii="宋体" w:hAnsi="宋体" w:eastAsia="宋体"/>
      <w:color w:val="000000"/>
      <w:sz w:val="22"/>
      <w:szCs w:val="22"/>
    </w:rPr>
  </w:style>
  <w:style w:type="character" w:customStyle="1" w:styleId="89">
    <w:name w:val="fontstyle21"/>
    <w:basedOn w:val="57"/>
    <w:qFormat/>
    <w:uiPriority w:val="0"/>
    <w:rPr>
      <w:rFonts w:hint="default" w:ascii="TimesNewRomanPSMT" w:hAnsi="TimesNewRomanPSMT"/>
      <w:color w:val="000000"/>
      <w:sz w:val="22"/>
      <w:szCs w:val="22"/>
    </w:rPr>
  </w:style>
  <w:style w:type="character" w:customStyle="1" w:styleId="9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7"/>
    <w:semiHidden/>
    <w:qFormat/>
    <w:uiPriority w:val="9"/>
    <w:rPr>
      <w:rFonts w:asciiTheme="majorHAnsi" w:hAnsiTheme="majorHAnsi" w:eastAsiaTheme="majorEastAsia" w:cstheme="majorBidi"/>
      <w:b/>
      <w:bCs/>
      <w:sz w:val="28"/>
      <w:szCs w:val="28"/>
    </w:rPr>
  </w:style>
  <w:style w:type="character" w:customStyle="1" w:styleId="92">
    <w:name w:val="标题 4 Char"/>
    <w:link w:val="6"/>
    <w:qFormat/>
    <w:uiPriority w:val="0"/>
    <w:rPr>
      <w:rFonts w:ascii="@仿宋_GB2312" w:hAnsi="@仿宋_GB2312" w:eastAsia="@仿宋_GB2312" w:cs="@仿宋_GB2312"/>
      <w:b/>
      <w:bCs/>
      <w:sz w:val="28"/>
      <w:szCs w:val="28"/>
    </w:rPr>
  </w:style>
  <w:style w:type="character" w:customStyle="1" w:styleId="93">
    <w:name w:val="正文文本 Char"/>
    <w:basedOn w:val="57"/>
    <w:link w:val="20"/>
    <w:qFormat/>
    <w:uiPriority w:val="0"/>
    <w:rPr>
      <w:rFonts w:ascii="@微软简标宋" w:hAnsi="@微软简标宋" w:eastAsia="@微软简标宋" w:cs="@微软简标宋"/>
      <w:szCs w:val="24"/>
      <w:lang w:val="zh-CN" w:eastAsia="zh-CN"/>
    </w:rPr>
  </w:style>
  <w:style w:type="table" w:customStyle="1" w:styleId="94">
    <w:name w:val="网格型1"/>
    <w:basedOn w:val="5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5">
    <w:name w:val="批注主题 Char"/>
    <w:basedOn w:val="84"/>
    <w:link w:val="52"/>
    <w:qFormat/>
    <w:uiPriority w:val="0"/>
    <w:rPr>
      <w:rFonts w:ascii="Arial" w:hAnsi="Arial" w:eastAsia="黑体" w:cs="Arial"/>
      <w:b/>
      <w:bCs/>
      <w:szCs w:val="20"/>
    </w:rPr>
  </w:style>
  <w:style w:type="paragraph" w:customStyle="1" w:styleId="96">
    <w:name w:val="普通 (Web)"/>
    <w:basedOn w:val="1"/>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5"/>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
    <w:name w:val="标题 2 Char"/>
    <w:basedOn w:val="57"/>
    <w:link w:val="4"/>
    <w:qFormat/>
    <w:uiPriority w:val="0"/>
    <w:rPr>
      <w:rFonts w:ascii="Cambria" w:hAnsi="Cambria" w:cs="Times New Roman"/>
      <w:b/>
      <w:bCs/>
      <w:kern w:val="2"/>
      <w:sz w:val="32"/>
      <w:szCs w:val="32"/>
      <w:lang w:val="zh-CN" w:eastAsia="zh-CN"/>
    </w:rPr>
  </w:style>
  <w:style w:type="character" w:customStyle="1" w:styleId="99">
    <w:name w:val="标题 5 Char"/>
    <w:basedOn w:val="57"/>
    <w:link w:val="7"/>
    <w:qFormat/>
    <w:uiPriority w:val="0"/>
    <w:rPr>
      <w:rFonts w:ascii="Calibri" w:hAnsi="Calibri" w:cs="Times New Roman"/>
      <w:b/>
      <w:bCs/>
      <w:kern w:val="2"/>
      <w:sz w:val="28"/>
      <w:szCs w:val="28"/>
      <w:lang w:val="zh-CN" w:eastAsia="zh-CN"/>
    </w:rPr>
  </w:style>
  <w:style w:type="character" w:customStyle="1" w:styleId="100">
    <w:name w:val="标题 6 Char"/>
    <w:basedOn w:val="57"/>
    <w:link w:val="8"/>
    <w:qFormat/>
    <w:uiPriority w:val="0"/>
    <w:rPr>
      <w:rFonts w:ascii="Times New Roman" w:hAnsi="Times New Roman" w:cs="Times New Roman"/>
      <w:b/>
      <w:bCs/>
      <w:kern w:val="2"/>
      <w:sz w:val="30"/>
      <w:szCs w:val="18"/>
      <w:lang w:val="zh-CN" w:eastAsia="zh-CN"/>
    </w:rPr>
  </w:style>
  <w:style w:type="character" w:customStyle="1" w:styleId="101">
    <w:name w:val="标题 7 Char"/>
    <w:basedOn w:val="57"/>
    <w:link w:val="9"/>
    <w:qFormat/>
    <w:uiPriority w:val="0"/>
    <w:rPr>
      <w:rFonts w:ascii="Times New Roman" w:hAnsi="Times New Roman" w:cs="Times New Roman"/>
      <w:b/>
      <w:bCs/>
      <w:kern w:val="2"/>
      <w:sz w:val="30"/>
      <w:szCs w:val="18"/>
      <w:lang w:val="zh-CN" w:eastAsia="zh-CN"/>
    </w:rPr>
  </w:style>
  <w:style w:type="character" w:customStyle="1" w:styleId="102">
    <w:name w:val="标题 8 Char"/>
    <w:basedOn w:val="57"/>
    <w:link w:val="10"/>
    <w:qFormat/>
    <w:uiPriority w:val="0"/>
    <w:rPr>
      <w:rFonts w:eastAsia="黑体" w:cs="Times New Roman"/>
      <w:kern w:val="2"/>
      <w:sz w:val="32"/>
      <w:szCs w:val="32"/>
      <w:lang w:val="zh-CN" w:eastAsia="zh-CN"/>
    </w:rPr>
  </w:style>
  <w:style w:type="character" w:customStyle="1" w:styleId="103">
    <w:name w:val="标题 9 Char"/>
    <w:basedOn w:val="57"/>
    <w:link w:val="11"/>
    <w:qFormat/>
    <w:uiPriority w:val="0"/>
    <w:rPr>
      <w:rFonts w:ascii="Cambria" w:hAnsi="Cambria" w:cs="Times New Roman"/>
      <w:kern w:val="2"/>
      <w:sz w:val="21"/>
      <w:szCs w:val="21"/>
      <w:lang w:val="zh-CN" w:eastAsia="zh-CN"/>
    </w:rPr>
  </w:style>
  <w:style w:type="character" w:customStyle="1" w:styleId="104">
    <w:name w:val="纯文本 Char2"/>
    <w:qFormat/>
    <w:uiPriority w:val="0"/>
    <w:rPr>
      <w:rFonts w:ascii="宋体" w:hAnsi="Courier New"/>
    </w:rPr>
  </w:style>
  <w:style w:type="table" w:customStyle="1" w:styleId="105">
    <w:name w:val="网格型3"/>
    <w:basedOn w:val="55"/>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
    <w:name w:val="网格表 1 浅色11"/>
    <w:basedOn w:val="55"/>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Char"/>
    <w:basedOn w:val="57"/>
    <w:link w:val="21"/>
    <w:qFormat/>
    <w:uiPriority w:val="0"/>
    <w:rPr>
      <w:rFonts w:asciiTheme="minorHAnsi" w:hAnsiTheme="minorHAnsi"/>
      <w:kern w:val="2"/>
      <w:sz w:val="21"/>
      <w:szCs w:val="22"/>
    </w:rPr>
  </w:style>
  <w:style w:type="paragraph" w:customStyle="1" w:styleId="109">
    <w:name w:val="Char"/>
    <w:basedOn w:val="1"/>
    <w:qFormat/>
    <w:uiPriority w:val="0"/>
    <w:rPr>
      <w:rFonts w:ascii="Tahoma" w:hAnsi="Tahoma" w:cs="Times New Roman"/>
      <w:sz w:val="24"/>
    </w:rPr>
  </w:style>
  <w:style w:type="character" w:customStyle="1" w:styleId="110">
    <w:name w:val="脚注文本 Char"/>
    <w:basedOn w:val="57"/>
    <w:link w:val="42"/>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5"/>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qFormat/>
    <w:uiPriority w:val="0"/>
    <w:rPr>
      <w:rFonts w:ascii="Times New Roman" w:hAnsi="Times New Roman" w:eastAsia="Times New Roman" w:cs="Times New Roman"/>
      <w:sz w:val="24"/>
      <w:szCs w:val="24"/>
      <w:lang w:val="en-US" w:eastAsia="zh-CN" w:bidi="ar-SA"/>
    </w:rPr>
  </w:style>
  <w:style w:type="character" w:customStyle="1" w:styleId="114">
    <w:name w:val="称呼 Char"/>
    <w:basedOn w:val="57"/>
    <w:link w:val="18"/>
    <w:qFormat/>
    <w:uiPriority w:val="0"/>
    <w:rPr>
      <w:rFonts w:ascii="仿宋_GB2312" w:hAnsi="Times New Roman" w:eastAsia="仿宋_GB2312" w:cs="Times New Roman"/>
      <w:kern w:val="2"/>
      <w:sz w:val="28"/>
      <w:lang w:val="zh-CN" w:eastAsia="zh-CN"/>
    </w:rPr>
  </w:style>
  <w:style w:type="paragraph" w:customStyle="1" w:styleId="1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qFormat/>
    <w:uiPriority w:val="0"/>
    <w:rPr>
      <w:rFonts w:ascii="Times New Roman" w:hAnsi="Times New Roman" w:eastAsia="Times New Roman" w:cs="Times New Roman"/>
      <w:sz w:val="24"/>
      <w:szCs w:val="24"/>
      <w:lang w:val="en-US" w:eastAsia="zh-CN" w:bidi="ar-SA"/>
    </w:rPr>
  </w:style>
  <w:style w:type="paragraph" w:customStyle="1" w:styleId="121">
    <w:name w:val="Normal_3"/>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qFormat/>
    <w:uiPriority w:val="0"/>
    <w:rPr>
      <w:rFonts w:ascii="Tahoma" w:hAnsi="Tahoma" w:cs="Times New Roman"/>
      <w:kern w:val="2"/>
      <w:sz w:val="24"/>
    </w:rPr>
  </w:style>
  <w:style w:type="paragraph" w:customStyle="1" w:styleId="123">
    <w:name w:val="Blockquote"/>
    <w:basedOn w:val="1"/>
    <w:link w:val="124"/>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qFormat/>
    <w:uiPriority w:val="0"/>
    <w:rPr>
      <w:rFonts w:ascii="Times New Roman" w:hAnsi="Times New Roman" w:cs="Times New Roman"/>
      <w:sz w:val="24"/>
      <w:lang w:val="zh-CN" w:eastAsia="zh-CN"/>
    </w:rPr>
  </w:style>
  <w:style w:type="paragraph" w:customStyle="1" w:styleId="125">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6"/>
    <w:qFormat/>
    <w:uiPriority w:val="0"/>
    <w:pPr>
      <w:spacing w:line="360" w:lineRule="auto"/>
      <w:ind w:firstLine="420" w:firstLineChars="200"/>
    </w:pPr>
    <w:rPr>
      <w:rFonts w:cs="Times New Roman"/>
      <w:kern w:val="2"/>
      <w:sz w:val="21"/>
      <w:szCs w:val="21"/>
    </w:rPr>
  </w:style>
  <w:style w:type="character" w:customStyle="1" w:styleId="127">
    <w:name w:val="tdrownotice1"/>
    <w:qFormat/>
    <w:uiPriority w:val="0"/>
    <w:rPr>
      <w:sz w:val="22"/>
    </w:rPr>
  </w:style>
  <w:style w:type="paragraph" w:customStyle="1" w:styleId="128">
    <w:name w:val="段落2"/>
    <w:basedOn w:val="1"/>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Char"/>
    <w:basedOn w:val="57"/>
    <w:link w:val="44"/>
    <w:qFormat/>
    <w:uiPriority w:val="0"/>
    <w:rPr>
      <w:rFonts w:hAnsi="MS Sans Serif" w:cs="Times New Roman"/>
      <w:bCs/>
      <w:color w:val="000000"/>
      <w:sz w:val="24"/>
      <w:lang w:val="zh-CN" w:eastAsia="zh-CN"/>
    </w:rPr>
  </w:style>
  <w:style w:type="character" w:customStyle="1" w:styleId="130">
    <w:name w:val="正文文本缩进 2 Char"/>
    <w:basedOn w:val="57"/>
    <w:link w:val="2"/>
    <w:qFormat/>
    <w:uiPriority w:val="0"/>
    <w:rPr>
      <w:rFonts w:hAnsi="MS Sans Serif" w:cs="Times New Roman"/>
      <w:bCs/>
      <w:spacing w:val="12"/>
      <w:sz w:val="24"/>
      <w:lang w:val="zh-CN" w:eastAsia="zh-CN"/>
    </w:rPr>
  </w:style>
  <w:style w:type="paragraph" w:customStyle="1" w:styleId="131">
    <w:name w:val="目录"/>
    <w:basedOn w:val="1"/>
    <w:qFormat/>
    <w:uiPriority w:val="0"/>
    <w:pPr>
      <w:widowControl/>
      <w:jc w:val="center"/>
    </w:pPr>
    <w:rPr>
      <w:rFonts w:hAnsi="Calibri" w:cs="Times New Roman"/>
      <w:b/>
      <w:sz w:val="36"/>
    </w:rPr>
  </w:style>
  <w:style w:type="paragraph" w:customStyle="1" w:styleId="132">
    <w:name w:val="目录文字"/>
    <w:basedOn w:val="1"/>
    <w:qFormat/>
    <w:uiPriority w:val="0"/>
    <w:pPr>
      <w:widowControl/>
      <w:spacing w:line="480" w:lineRule="auto"/>
      <w:jc w:val="left"/>
    </w:pPr>
    <w:rPr>
      <w:rFonts w:cs="Times New Roman"/>
      <w:sz w:val="24"/>
    </w:rPr>
  </w:style>
  <w:style w:type="character" w:customStyle="1" w:styleId="133">
    <w:name w:val="正文文本 2 Char"/>
    <w:basedOn w:val="57"/>
    <w:link w:val="47"/>
    <w:qFormat/>
    <w:uiPriority w:val="0"/>
    <w:rPr>
      <w:rFonts w:hAnsi="Times New Roman" w:cs="Times New Roman"/>
      <w:spacing w:val="-20"/>
      <w:kern w:val="2"/>
      <w:sz w:val="28"/>
      <w:lang w:val="zh-CN" w:eastAsia="zh-CN"/>
    </w:rPr>
  </w:style>
  <w:style w:type="character" w:customStyle="1" w:styleId="134">
    <w:name w:val="正文文本 3 Char"/>
    <w:basedOn w:val="57"/>
    <w:link w:val="19"/>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Char"/>
    <w:basedOn w:val="57"/>
    <w:link w:val="51"/>
    <w:qFormat/>
    <w:uiPriority w:val="0"/>
    <w:rPr>
      <w:rFonts w:eastAsia="黑体" w:cs="Times New Roman"/>
      <w:b/>
      <w:smallCaps/>
      <w:snapToGrid w:val="0"/>
      <w:kern w:val="2"/>
      <w:sz w:val="44"/>
      <w:szCs w:val="24"/>
      <w:lang w:val="zh-CN" w:eastAsia="zh-CN"/>
    </w:rPr>
  </w:style>
  <w:style w:type="paragraph" w:customStyle="1" w:styleId="138">
    <w:name w:val="段落1 Char"/>
    <w:basedOn w:val="29"/>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qFormat/>
    <w:uiPriority w:val="0"/>
    <w:rPr>
      <w:rFonts w:ascii="Calibri" w:hAnsi="Calibri" w:cs="Times New Roman"/>
      <w:kern w:val="2"/>
      <w:sz w:val="21"/>
      <w:szCs w:val="22"/>
    </w:rPr>
  </w:style>
  <w:style w:type="paragraph" w:customStyle="1" w:styleId="141">
    <w:name w:val="Char Char Char Char"/>
    <w:basedOn w:val="1"/>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qFormat/>
    <w:uiPriority w:val="0"/>
    <w:pPr>
      <w:widowControl/>
      <w:spacing w:line="360" w:lineRule="auto"/>
      <w:jc w:val="left"/>
    </w:pPr>
    <w:rPr>
      <w:rFonts w:ascii="Calibri" w:hAnsi="Calibri" w:cs="Times New Roman"/>
      <w:sz w:val="21"/>
      <w:lang w:eastAsia="en-US"/>
    </w:rPr>
  </w:style>
  <w:style w:type="character" w:customStyle="1" w:styleId="143">
    <w:name w:val="t_tag"/>
    <w:basedOn w:val="57"/>
    <w:qFormat/>
    <w:uiPriority w:val="0"/>
  </w:style>
  <w:style w:type="table" w:customStyle="1" w:styleId="144">
    <w:name w:val="网格型11"/>
    <w:basedOn w:val="55"/>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45">
    <w:name w:val="批注框文本 Char1"/>
    <w:basedOn w:val="57"/>
    <w:qFormat/>
    <w:uiPriority w:val="0"/>
    <w:rPr>
      <w:rFonts w:ascii="Times New Roman" w:hAnsi="Times New Roman" w:eastAsia="宋体" w:cs="Times New Roman"/>
      <w:sz w:val="18"/>
      <w:szCs w:val="18"/>
    </w:rPr>
  </w:style>
  <w:style w:type="character" w:customStyle="1" w:styleId="146">
    <w:name w:val="批注主题 Char1"/>
    <w:basedOn w:val="84"/>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qFormat/>
    <w:uiPriority w:val="0"/>
    <w:rPr>
      <w:rFonts w:ascii="Calibri" w:hAnsi="Calibri" w:cs="Times New Roman"/>
      <w:kern w:val="2"/>
      <w:sz w:val="21"/>
      <w:szCs w:val="22"/>
    </w:rPr>
  </w:style>
  <w:style w:type="character" w:customStyle="1" w:styleId="148">
    <w:name w:val="文档结构图 Char"/>
    <w:basedOn w:val="57"/>
    <w:link w:val="16"/>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qFormat/>
    <w:uiPriority w:val="0"/>
    <w:rPr>
      <w:rFonts w:ascii="Calibri" w:hAnsi="Calibri" w:eastAsia="宋体"/>
      <w:b/>
      <w:kern w:val="44"/>
      <w:sz w:val="44"/>
      <w:szCs w:val="44"/>
    </w:rPr>
  </w:style>
  <w:style w:type="character" w:customStyle="1" w:styleId="150">
    <w:name w:val="标题 3 Char1"/>
    <w:semiHidden/>
    <w:qFormat/>
    <w:uiPriority w:val="0"/>
    <w:rPr>
      <w:rFonts w:ascii="Calibri" w:hAnsi="Calibri" w:eastAsia="宋体"/>
      <w:b/>
      <w:kern w:val="2"/>
      <w:sz w:val="32"/>
    </w:rPr>
  </w:style>
  <w:style w:type="character" w:customStyle="1" w:styleId="151">
    <w:name w:val="标题 4 Char1"/>
    <w:semiHidden/>
    <w:qFormat/>
    <w:uiPriority w:val="0"/>
    <w:rPr>
      <w:rFonts w:ascii="Cambria" w:hAnsi="Cambria" w:eastAsia="宋体"/>
      <w:b/>
      <w:kern w:val="2"/>
      <w:sz w:val="28"/>
      <w:szCs w:val="28"/>
    </w:rPr>
  </w:style>
  <w:style w:type="character" w:customStyle="1" w:styleId="152">
    <w:name w:val="标题 5 Char1"/>
    <w:semiHidden/>
    <w:qFormat/>
    <w:uiPriority w:val="0"/>
    <w:rPr>
      <w:rFonts w:ascii="Calibri" w:hAnsi="Calibri" w:eastAsia="宋体"/>
      <w:b/>
      <w:kern w:val="2"/>
      <w:sz w:val="28"/>
      <w:szCs w:val="28"/>
    </w:rPr>
  </w:style>
  <w:style w:type="character" w:customStyle="1" w:styleId="153">
    <w:name w:val="标题 6 Char1"/>
    <w:semiHidden/>
    <w:qFormat/>
    <w:uiPriority w:val="0"/>
    <w:rPr>
      <w:rFonts w:ascii="Cambria" w:hAnsi="Cambria" w:eastAsia="宋体"/>
      <w:b/>
      <w:kern w:val="2"/>
      <w:sz w:val="24"/>
      <w:szCs w:val="24"/>
    </w:rPr>
  </w:style>
  <w:style w:type="character" w:customStyle="1" w:styleId="154">
    <w:name w:val="标题 7 Char1"/>
    <w:semiHidden/>
    <w:qFormat/>
    <w:uiPriority w:val="0"/>
    <w:rPr>
      <w:rFonts w:ascii="Calibri" w:hAnsi="Calibri" w:eastAsia="宋体"/>
      <w:b/>
      <w:kern w:val="2"/>
      <w:sz w:val="24"/>
      <w:szCs w:val="24"/>
    </w:rPr>
  </w:style>
  <w:style w:type="character" w:customStyle="1" w:styleId="155">
    <w:name w:val="标题 8 Char1"/>
    <w:semiHidden/>
    <w:qFormat/>
    <w:uiPriority w:val="0"/>
    <w:rPr>
      <w:rFonts w:ascii="Cambria" w:hAnsi="Cambria" w:eastAsia="宋体"/>
      <w:kern w:val="2"/>
      <w:sz w:val="24"/>
      <w:szCs w:val="24"/>
    </w:rPr>
  </w:style>
  <w:style w:type="character" w:customStyle="1" w:styleId="156">
    <w:name w:val="标题 9 Char1"/>
    <w:semiHidden/>
    <w:qFormat/>
    <w:uiPriority w:val="0"/>
    <w:rPr>
      <w:rFonts w:ascii="Cambria" w:hAnsi="Cambria" w:eastAsia="宋体"/>
      <w:kern w:val="2"/>
      <w:sz w:val="21"/>
      <w:szCs w:val="21"/>
    </w:rPr>
  </w:style>
  <w:style w:type="paragraph" w:customStyle="1" w:styleId="157">
    <w:name w:val="MsoNormal"/>
    <w:basedOn w:val="158"/>
    <w:qFormat/>
    <w:uiPriority w:val="0"/>
    <w:rPr>
      <w:rFonts w:ascii="Calibri" w:hAnsi="Calibri" w:eastAsia="Calibri"/>
      <w:sz w:val="21"/>
    </w:rPr>
  </w:style>
  <w:style w:type="paragraph" w:customStyle="1" w:styleId="158">
    <w:name w:val="Normal_0"/>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qFormat/>
    <w:uiPriority w:val="99"/>
    <w:rPr>
      <w:rFonts w:ascii="宋体" w:hAnsi="Courier New"/>
      <w:szCs w:val="21"/>
    </w:rPr>
  </w:style>
  <w:style w:type="character" w:customStyle="1" w:styleId="164">
    <w:name w:val="Texte Char1"/>
    <w:link w:val="163"/>
    <w:qFormat/>
    <w:uiPriority w:val="99"/>
    <w:rPr>
      <w:rFonts w:hAnsi="Courier New" w:cs="Times New Roman"/>
      <w:kern w:val="2"/>
      <w:sz w:val="21"/>
      <w:szCs w:val="21"/>
    </w:rPr>
  </w:style>
  <w:style w:type="paragraph" w:customStyle="1" w:styleId="165">
    <w:name w:val="纯文本_1"/>
    <w:basedOn w:val="166"/>
    <w:link w:val="167"/>
    <w:qFormat/>
    <w:uiPriority w:val="0"/>
    <w:rPr>
      <w:rFonts w:ascii="宋体" w:hAnsi="Courier New"/>
      <w:szCs w:val="21"/>
      <w:lang w:val="zh-CN"/>
    </w:rPr>
  </w:style>
  <w:style w:type="paragraph" w:customStyle="1" w:styleId="16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qFormat/>
    <w:uiPriority w:val="0"/>
    <w:rPr>
      <w:rFonts w:hAnsi="Courier New" w:cs="Times New Roman"/>
      <w:kern w:val="2"/>
      <w:sz w:val="21"/>
      <w:szCs w:val="21"/>
      <w:lang w:val="zh-CN" w:eastAsia="zh-CN"/>
    </w:rPr>
  </w:style>
  <w:style w:type="paragraph" w:customStyle="1" w:styleId="168">
    <w:name w:val="标题 3_0"/>
    <w:basedOn w:val="169"/>
    <w:next w:val="170"/>
    <w:link w:val="181"/>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unhideWhenUsed/>
    <w:qFormat/>
    <w:uiPriority w:val="0"/>
    <w:pPr>
      <w:ind w:firstLine="420" w:firstLineChars="200"/>
    </w:pPr>
    <w:rPr>
      <w:rFonts w:ascii="Calibri" w:hAnsi="Calibri"/>
      <w:bCs/>
      <w:szCs w:val="32"/>
    </w:rPr>
  </w:style>
  <w:style w:type="paragraph" w:customStyle="1" w:styleId="171">
    <w:name w:val="标题 1_0"/>
    <w:basedOn w:val="169"/>
    <w:next w:val="169"/>
    <w:link w:val="172"/>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qFormat/>
    <w:uiPriority w:val="0"/>
    <w:rPr>
      <w:rFonts w:ascii="黑体" w:hAnsi="Times New Roman" w:eastAsia="黑体" w:cs="Times New Roman"/>
      <w:sz w:val="52"/>
      <w:lang w:val="zh-CN" w:eastAsia="zh-CN"/>
    </w:rPr>
  </w:style>
  <w:style w:type="paragraph" w:customStyle="1" w:styleId="173">
    <w:name w:val="标题 6_0"/>
    <w:basedOn w:val="169"/>
    <w:next w:val="169"/>
    <w:link w:val="174"/>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qFormat/>
    <w:uiPriority w:val="0"/>
    <w:rPr>
      <w:rFonts w:ascii="Arial" w:hAnsi="Arial" w:eastAsia="黑体" w:cs="Times New Roman"/>
      <w:sz w:val="21"/>
      <w:szCs w:val="21"/>
      <w:lang w:val="zh-CN" w:eastAsia="zh-CN"/>
    </w:rPr>
  </w:style>
  <w:style w:type="character" w:customStyle="1" w:styleId="181">
    <w:name w:val="标题 3 Char_0"/>
    <w:link w:val="168"/>
    <w:qFormat/>
    <w:uiPriority w:val="0"/>
    <w:rPr>
      <w:rFonts w:ascii="Times New Roman" w:hAnsi="Times New Roman" w:cs="Times New Roman"/>
      <w:b/>
      <w:sz w:val="32"/>
      <w:lang w:val="zh-CN" w:eastAsia="zh-CN"/>
    </w:rPr>
  </w:style>
  <w:style w:type="paragraph" w:customStyle="1" w:styleId="182">
    <w:name w:val="Blockquote_0"/>
    <w:basedOn w:val="169"/>
    <w:link w:val="183"/>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qFormat/>
    <w:locked/>
    <w:uiPriority w:val="0"/>
    <w:rPr>
      <w:rFonts w:ascii="Times New Roman" w:hAnsi="Times New Roman" w:cs="Times New Roman"/>
      <w:sz w:val="24"/>
      <w:lang w:val="zh-CN" w:eastAsia="zh-CN"/>
    </w:rPr>
  </w:style>
  <w:style w:type="paragraph" w:customStyle="1" w:styleId="184">
    <w:name w:val="标题 4_0"/>
    <w:basedOn w:val="169"/>
    <w:next w:val="169"/>
    <w:link w:val="185"/>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qFormat/>
    <w:uiPriority w:val="0"/>
    <w:rPr>
      <w:rFonts w:ascii="Arial" w:hAnsi="Arial" w:eastAsia="黑体" w:cs="Times New Roman"/>
      <w:sz w:val="28"/>
      <w:lang w:val="zh-CN" w:eastAsia="zh-CN"/>
    </w:rPr>
  </w:style>
  <w:style w:type="paragraph" w:customStyle="1" w:styleId="186">
    <w:name w:val="纯文本_2"/>
    <w:basedOn w:val="169"/>
    <w:link w:val="187"/>
    <w:qFormat/>
    <w:uiPriority w:val="0"/>
    <w:rPr>
      <w:rFonts w:ascii="宋体" w:hAnsi="Courier New"/>
      <w:szCs w:val="21"/>
      <w:lang w:val="zh-CN"/>
    </w:rPr>
  </w:style>
  <w:style w:type="character" w:customStyle="1" w:styleId="187">
    <w:name w:val="纯文本 Char1_1"/>
    <w:link w:val="186"/>
    <w:qFormat/>
    <w:uiPriority w:val="0"/>
    <w:rPr>
      <w:rFonts w:hAnsi="Courier New" w:cs="Times New Roman"/>
      <w:kern w:val="2"/>
      <w:sz w:val="21"/>
      <w:szCs w:val="21"/>
      <w:lang w:val="zh-CN" w:eastAsia="zh-CN"/>
    </w:rPr>
  </w:style>
  <w:style w:type="paragraph" w:customStyle="1" w:styleId="188">
    <w:name w:val="Blockquote_0_1"/>
    <w:basedOn w:val="189"/>
    <w:link w:val="190"/>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qFormat/>
    <w:locked/>
    <w:uiPriority w:val="0"/>
    <w:rPr>
      <w:rFonts w:ascii="Times New Roman" w:hAnsi="Times New Roman" w:cs="Times New Roman"/>
      <w:sz w:val="24"/>
      <w:lang w:val="zh-CN" w:eastAsia="zh-CN"/>
    </w:rPr>
  </w:style>
  <w:style w:type="paragraph" w:customStyle="1" w:styleId="191">
    <w:name w:val="正文文本_0"/>
    <w:basedOn w:val="169"/>
    <w:link w:val="192"/>
    <w:qFormat/>
    <w:uiPriority w:val="0"/>
    <w:pPr>
      <w:spacing w:after="120"/>
    </w:pPr>
    <w:rPr>
      <w:lang w:val="zh-CN"/>
    </w:rPr>
  </w:style>
  <w:style w:type="character" w:customStyle="1" w:styleId="192">
    <w:name w:val="正文文本 Char_0"/>
    <w:link w:val="191"/>
    <w:qFormat/>
    <w:uiPriority w:val="0"/>
    <w:rPr>
      <w:rFonts w:ascii="Times New Roman" w:hAnsi="Times New Roman" w:cs="Times New Roman"/>
      <w:kern w:val="2"/>
      <w:sz w:val="21"/>
      <w:szCs w:val="24"/>
      <w:lang w:val="zh-CN" w:eastAsia="zh-CN"/>
    </w:rPr>
  </w:style>
  <w:style w:type="paragraph" w:customStyle="1" w:styleId="193">
    <w:name w:val="普通(网站)_0"/>
    <w:basedOn w:val="169"/>
    <w:qFormat/>
    <w:uiPriority w:val="0"/>
    <w:pPr>
      <w:widowControl/>
      <w:spacing w:before="100" w:beforeAutospacing="1" w:after="100" w:afterAutospacing="1"/>
      <w:jc w:val="left"/>
    </w:pPr>
    <w:rPr>
      <w:rFonts w:ascii="宋体" w:hAnsi="宋体"/>
      <w:kern w:val="0"/>
      <w:sz w:val="24"/>
    </w:rPr>
  </w:style>
  <w:style w:type="paragraph" w:customStyle="1" w:styleId="19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qFormat/>
    <w:uiPriority w:val="0"/>
    <w:rPr>
      <w:rFonts w:ascii="Times New Roman" w:hAnsi="Times New Roman" w:cs="Times New Roman"/>
      <w:sz w:val="18"/>
      <w:lang w:val="zh-CN" w:eastAsia="zh-CN"/>
    </w:rPr>
  </w:style>
  <w:style w:type="paragraph" w:customStyle="1" w:styleId="198">
    <w:name w:val="font5"/>
    <w:basedOn w:val="1"/>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qFormat/>
    <w:uiPriority w:val="0"/>
    <w:rPr>
      <w:rFonts w:ascii="Tahoma" w:hAnsi="Tahoma" w:cs="Times New Roman"/>
      <w:kern w:val="2"/>
      <w:sz w:val="24"/>
    </w:rPr>
  </w:style>
  <w:style w:type="paragraph" w:customStyle="1" w:styleId="221">
    <w:name w:val="范本目录"/>
    <w:basedOn w:val="1"/>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Char"/>
    <w:basedOn w:val="57"/>
    <w:link w:val="40"/>
    <w:qFormat/>
    <w:uiPriority w:val="0"/>
    <w:rPr>
      <w:rFonts w:ascii="Arial" w:hAnsi="Arial" w:cs="Times New Roman"/>
      <w:b/>
      <w:bCs/>
      <w:kern w:val="28"/>
      <w:sz w:val="32"/>
      <w:szCs w:val="32"/>
      <w:lang w:val="zh-CN" w:eastAsia="zh-CN"/>
    </w:rPr>
  </w:style>
  <w:style w:type="character" w:customStyle="1" w:styleId="223">
    <w:name w:val="Char Char"/>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qFormat/>
    <w:uiPriority w:val="0"/>
    <w:rPr>
      <w:rFonts w:ascii="Arial" w:hAnsi="Arial"/>
      <w:b/>
      <w:bCs/>
      <w:sz w:val="24"/>
      <w:szCs w:val="32"/>
    </w:rPr>
  </w:style>
  <w:style w:type="paragraph" w:customStyle="1" w:styleId="225">
    <w:name w:val="标题4"/>
    <w:basedOn w:val="4"/>
    <w:next w:val="26"/>
    <w:link w:val="224"/>
    <w:qFormat/>
    <w:uiPriority w:val="0"/>
    <w:pPr>
      <w:spacing w:before="0" w:after="0" w:line="413" w:lineRule="auto"/>
    </w:pPr>
    <w:rPr>
      <w:rFonts w:ascii="Arial" w:hAnsi="Arial" w:cstheme="minorBidi"/>
      <w:kern w:val="0"/>
      <w:sz w:val="24"/>
      <w:lang w:val="en-US"/>
    </w:rPr>
  </w:style>
  <w:style w:type="character" w:customStyle="1" w:styleId="226">
    <w:name w:val="明显引用 Char"/>
    <w:link w:val="227"/>
    <w:qFormat/>
    <w:uiPriority w:val="0"/>
    <w:rPr>
      <w:b/>
      <w:bCs/>
      <w:i/>
      <w:iCs/>
      <w:color w:val="4F81BD"/>
    </w:rPr>
  </w:style>
  <w:style w:type="paragraph" w:styleId="227">
    <w:name w:val="Intense Quote"/>
    <w:basedOn w:val="1"/>
    <w:next w:val="1"/>
    <w:link w:val="226"/>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7"/>
    <w:qFormat/>
    <w:uiPriority w:val="30"/>
    <w:rPr>
      <w:rFonts w:ascii="Times New Roman" w:hAnsi="Times New Roman" w:eastAsia="宋体" w:cs="Times New Roman"/>
      <w:i/>
      <w:iCs/>
      <w:color w:val="5B9BD5"/>
      <w:szCs w:val="24"/>
    </w:rPr>
  </w:style>
  <w:style w:type="character" w:customStyle="1" w:styleId="230">
    <w:name w:val="标题5 Char Char"/>
    <w:link w:val="231"/>
    <w:qFormat/>
    <w:uiPriority w:val="0"/>
    <w:rPr>
      <w:rFonts w:ascii="Arial" w:hAnsi="Arial"/>
      <w:b/>
      <w:bCs/>
      <w:sz w:val="24"/>
      <w:szCs w:val="32"/>
    </w:rPr>
  </w:style>
  <w:style w:type="paragraph" w:customStyle="1" w:styleId="231">
    <w:name w:val="标题5"/>
    <w:basedOn w:val="5"/>
    <w:link w:val="230"/>
    <w:qFormat/>
    <w:uiPriority w:val="0"/>
    <w:pPr>
      <w:spacing w:line="413" w:lineRule="auto"/>
      <w:jc w:val="left"/>
    </w:pPr>
    <w:rPr>
      <w:rFonts w:ascii="Arial" w:hAnsi="Arial"/>
      <w:sz w:val="24"/>
    </w:rPr>
  </w:style>
  <w:style w:type="character" w:customStyle="1" w:styleId="232">
    <w:name w:val="引用 Char"/>
    <w:link w:val="233"/>
    <w:qFormat/>
    <w:uiPriority w:val="0"/>
    <w:rPr>
      <w:i/>
      <w:iCs/>
      <w:color w:val="000000"/>
    </w:rPr>
  </w:style>
  <w:style w:type="paragraph" w:styleId="233">
    <w:name w:val="Quote"/>
    <w:basedOn w:val="1"/>
    <w:next w:val="1"/>
    <w:link w:val="232"/>
    <w:qFormat/>
    <w:uiPriority w:val="0"/>
    <w:rPr>
      <w:i/>
      <w:iCs/>
      <w:color w:val="000000"/>
    </w:rPr>
  </w:style>
  <w:style w:type="paragraph" w:customStyle="1" w:styleId="234">
    <w:name w:val="引用1"/>
    <w:basedOn w:val="1"/>
    <w:next w:val="1"/>
    <w:qFormat/>
    <w:uiPriority w:val="0"/>
    <w:rPr>
      <w:rFonts w:ascii="Calibri" w:hAnsi="Calibri" w:cs="Times New Roman"/>
      <w:i/>
      <w:iCs/>
      <w:color w:val="000000"/>
      <w:kern w:val="2"/>
      <w:sz w:val="21"/>
      <w:szCs w:val="22"/>
    </w:rPr>
  </w:style>
  <w:style w:type="character" w:customStyle="1" w:styleId="235">
    <w:name w:val="引用 Char1"/>
    <w:basedOn w:val="57"/>
    <w:qFormat/>
    <w:uiPriority w:val="29"/>
    <w:rPr>
      <w:rFonts w:ascii="Times New Roman" w:hAnsi="Times New Roman" w:eastAsia="宋体" w:cs="Times New Roman"/>
      <w:i/>
      <w:iCs/>
      <w:color w:val="404040"/>
      <w:szCs w:val="24"/>
    </w:rPr>
  </w:style>
  <w:style w:type="character" w:customStyle="1" w:styleId="236">
    <w:name w:val="ask-title2"/>
    <w:qFormat/>
    <w:uiPriority w:val="0"/>
  </w:style>
  <w:style w:type="character" w:customStyle="1" w:styleId="237">
    <w:name w:val="正文文本 Char1"/>
    <w:qFormat/>
    <w:uiPriority w:val="0"/>
    <w:rPr>
      <w:kern w:val="2"/>
      <w:sz w:val="21"/>
      <w:szCs w:val="22"/>
    </w:rPr>
  </w:style>
  <w:style w:type="character" w:customStyle="1" w:styleId="238">
    <w:name w:val="不明显强调1"/>
    <w:qFormat/>
    <w:uiPriority w:val="0"/>
    <w:rPr>
      <w:i/>
      <w:iCs/>
      <w:color w:val="808080"/>
    </w:rPr>
  </w:style>
  <w:style w:type="character" w:customStyle="1" w:styleId="239">
    <w:name w:val="明显参考1"/>
    <w:qFormat/>
    <w:uiPriority w:val="0"/>
    <w:rPr>
      <w:b/>
      <w:bCs/>
      <w:smallCaps/>
      <w:color w:val="C0504D"/>
      <w:spacing w:val="5"/>
      <w:u w:val="single"/>
    </w:rPr>
  </w:style>
  <w:style w:type="character" w:customStyle="1" w:styleId="240">
    <w:name w:val="书籍标题1"/>
    <w:qFormat/>
    <w:uiPriority w:val="0"/>
    <w:rPr>
      <w:b/>
      <w:bCs/>
      <w:smallCaps/>
      <w:spacing w:val="5"/>
    </w:rPr>
  </w:style>
  <w:style w:type="character" w:customStyle="1" w:styleId="241">
    <w:name w:val="日期 Char1"/>
    <w:qFormat/>
    <w:uiPriority w:val="0"/>
    <w:rPr>
      <w:kern w:val="2"/>
      <w:sz w:val="21"/>
      <w:szCs w:val="22"/>
    </w:rPr>
  </w:style>
  <w:style w:type="character" w:customStyle="1" w:styleId="242">
    <w:name w:val="明显强调1"/>
    <w:qFormat/>
    <w:uiPriority w:val="0"/>
    <w:rPr>
      <w:b/>
      <w:bCs/>
      <w:i/>
      <w:iCs/>
      <w:color w:val="4F81BD"/>
    </w:rPr>
  </w:style>
  <w:style w:type="character" w:customStyle="1" w:styleId="243">
    <w:name w:val="textcontents"/>
    <w:qFormat/>
    <w:uiPriority w:val="0"/>
    <w:rPr>
      <w:rFonts w:cs="Times New Roman"/>
    </w:rPr>
  </w:style>
  <w:style w:type="character" w:customStyle="1" w:styleId="244">
    <w:name w:val="不明显参考1"/>
    <w:qFormat/>
    <w:uiPriority w:val="0"/>
    <w:rPr>
      <w:smallCaps/>
      <w:color w:val="C0504D"/>
      <w:u w:val="single"/>
    </w:rPr>
  </w:style>
  <w:style w:type="character" w:customStyle="1" w:styleId="245">
    <w:name w:val="批注文字 Char Char"/>
    <w:qFormat/>
    <w:uiPriority w:val="0"/>
    <w:rPr>
      <w:rFonts w:ascii="宋体" w:hAnsi="Times New Roman" w:eastAsia="宋体" w:cs="Times New Roman"/>
      <w:sz w:val="28"/>
      <w:szCs w:val="20"/>
    </w:rPr>
  </w:style>
  <w:style w:type="character" w:customStyle="1" w:styleId="246">
    <w:name w:val="文档结构图 Char1"/>
    <w:qFormat/>
    <w:uiPriority w:val="0"/>
    <w:rPr>
      <w:rFonts w:ascii="宋体"/>
      <w:kern w:val="2"/>
      <w:sz w:val="18"/>
      <w:szCs w:val="18"/>
    </w:rPr>
  </w:style>
  <w:style w:type="paragraph" w:customStyle="1" w:styleId="247">
    <w:name w:val="修订1"/>
    <w:qFormat/>
    <w:uiPriority w:val="0"/>
    <w:rPr>
      <w:rFonts w:ascii="Times New Roman" w:hAnsi="Times New Roman" w:eastAsia="宋体" w:cs="Times New Roman"/>
      <w:kern w:val="2"/>
      <w:sz w:val="21"/>
      <w:szCs w:val="24"/>
      <w:lang w:val="en-US" w:eastAsia="zh-CN" w:bidi="ar-SA"/>
    </w:rPr>
  </w:style>
  <w:style w:type="character" w:customStyle="1" w:styleId="248">
    <w:name w:val="页脚 Char1"/>
    <w:semiHidden/>
    <w:qFormat/>
    <w:uiPriority w:val="99"/>
    <w:rPr>
      <w:kern w:val="2"/>
      <w:sz w:val="18"/>
      <w:szCs w:val="18"/>
    </w:rPr>
  </w:style>
  <w:style w:type="character" w:customStyle="1" w:styleId="249">
    <w:name w:val="批注框文本 Char2"/>
    <w:semiHidden/>
    <w:qFormat/>
    <w:uiPriority w:val="99"/>
    <w:rPr>
      <w:kern w:val="2"/>
      <w:sz w:val="18"/>
      <w:szCs w:val="18"/>
    </w:rPr>
  </w:style>
  <w:style w:type="character" w:customStyle="1" w:styleId="250">
    <w:name w:val="批注主题 Char2"/>
    <w:semiHidden/>
    <w:qFormat/>
    <w:uiPriority w:val="99"/>
    <w:rPr>
      <w:b/>
      <w:bCs/>
      <w:kern w:val="2"/>
      <w:sz w:val="21"/>
      <w:szCs w:val="22"/>
    </w:rPr>
  </w:style>
  <w:style w:type="character" w:customStyle="1" w:styleId="251">
    <w:name w:val="文档结构图 Char2"/>
    <w:semiHidden/>
    <w:qFormat/>
    <w:uiPriority w:val="99"/>
    <w:rPr>
      <w:rFonts w:ascii="宋体"/>
      <w:kern w:val="2"/>
      <w:sz w:val="18"/>
      <w:szCs w:val="18"/>
    </w:rPr>
  </w:style>
  <w:style w:type="character" w:customStyle="1" w:styleId="252">
    <w:name w:val="页眉 Char1"/>
    <w:semiHidden/>
    <w:qFormat/>
    <w:uiPriority w:val="99"/>
    <w:rPr>
      <w:kern w:val="2"/>
      <w:sz w:val="18"/>
      <w:szCs w:val="18"/>
    </w:rPr>
  </w:style>
  <w:style w:type="character" w:customStyle="1" w:styleId="253">
    <w:name w:val="日期 Char2"/>
    <w:semiHidden/>
    <w:qFormat/>
    <w:uiPriority w:val="99"/>
    <w:rPr>
      <w:kern w:val="2"/>
      <w:sz w:val="21"/>
      <w:szCs w:val="22"/>
    </w:rPr>
  </w:style>
  <w:style w:type="character" w:customStyle="1" w:styleId="254">
    <w:name w:val="正文文本 Char2"/>
    <w:semiHidden/>
    <w:qFormat/>
    <w:uiPriority w:val="99"/>
    <w:rPr>
      <w:kern w:val="2"/>
      <w:sz w:val="21"/>
      <w:szCs w:val="22"/>
    </w:rPr>
  </w:style>
  <w:style w:type="character" w:customStyle="1" w:styleId="255">
    <w:name w:val="标题 Char1"/>
    <w:qFormat/>
    <w:uiPriority w:val="10"/>
    <w:rPr>
      <w:rFonts w:ascii="Cambria" w:hAnsi="Cambria" w:cs="Times New Roman"/>
      <w:b/>
      <w:bCs/>
      <w:kern w:val="2"/>
      <w:sz w:val="32"/>
      <w:szCs w:val="32"/>
    </w:rPr>
  </w:style>
  <w:style w:type="character" w:customStyle="1" w:styleId="256">
    <w:name w:val="副标题 Char1"/>
    <w:qFormat/>
    <w:uiPriority w:val="11"/>
    <w:rPr>
      <w:rFonts w:ascii="Cambria" w:hAnsi="Cambria" w:cs="Times New Roman"/>
      <w:b/>
      <w:bCs/>
      <w:kern w:val="28"/>
      <w:sz w:val="32"/>
      <w:szCs w:val="32"/>
    </w:rPr>
  </w:style>
  <w:style w:type="paragraph" w:customStyle="1" w:styleId="257">
    <w:name w:val="空半行"/>
    <w:basedOn w:val="1"/>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qFormat/>
    <w:uiPriority w:val="0"/>
    <w:rPr>
      <w:rFonts w:ascii="楷体" w:eastAsia="楷体"/>
      <w:b/>
      <w:color w:val="0000FF"/>
    </w:rPr>
  </w:style>
  <w:style w:type="paragraph" w:customStyle="1" w:styleId="261">
    <w:name w:val="正文2"/>
    <w:link w:val="260"/>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qFormat/>
    <w:locked/>
    <w:uiPriority w:val="99"/>
    <w:rPr>
      <w:rFonts w:ascii="MingLiU" w:eastAsia="MingLiU" w:cs="MingLiU"/>
      <w:spacing w:val="20"/>
      <w:sz w:val="22"/>
      <w:shd w:val="clear" w:color="auto" w:fill="FFFFFF"/>
    </w:rPr>
  </w:style>
  <w:style w:type="paragraph" w:customStyle="1" w:styleId="264">
    <w:name w:val="正文文本 (2)1"/>
    <w:basedOn w:val="1"/>
    <w:link w:val="263"/>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qFormat/>
    <w:uiPriority w:val="99"/>
    <w:rPr>
      <w:rFonts w:ascii="MingLiU" w:eastAsia="MingLiU" w:cs="MingLiU"/>
      <w:spacing w:val="0"/>
      <w:sz w:val="22"/>
      <w:shd w:val="clear" w:color="auto" w:fill="FFFFFF"/>
    </w:rPr>
  </w:style>
  <w:style w:type="character" w:customStyle="1" w:styleId="266">
    <w:name w:val="访问过的超链接1"/>
    <w:basedOn w:val="57"/>
    <w:semiHidden/>
    <w:unhideWhenUsed/>
    <w:qFormat/>
    <w:uiPriority w:val="99"/>
    <w:rPr>
      <w:color w:val="954F72"/>
      <w:u w:val="single"/>
    </w:rPr>
  </w:style>
  <w:style w:type="character" w:customStyle="1" w:styleId="267">
    <w:name w:val="明显引用 Char2"/>
    <w:basedOn w:val="57"/>
    <w:qFormat/>
    <w:uiPriority w:val="30"/>
    <w:rPr>
      <w:b/>
      <w:bCs/>
      <w:i/>
      <w:iCs/>
      <w:color w:val="4F81BD" w:themeColor="accent1"/>
      <w14:textFill>
        <w14:solidFill>
          <w14:schemeClr w14:val="accent1"/>
        </w14:solidFill>
      </w14:textFill>
    </w:rPr>
  </w:style>
  <w:style w:type="character" w:customStyle="1" w:styleId="268">
    <w:name w:val="引用 Char2"/>
    <w:basedOn w:val="57"/>
    <w:qFormat/>
    <w:uiPriority w:val="29"/>
    <w:rPr>
      <w:i/>
      <w:iCs/>
      <w:color w:val="000000" w:themeColor="text1"/>
      <w14:textFill>
        <w14:solidFill>
          <w14:schemeClr w14:val="tx1"/>
        </w14:solidFill>
      </w14:textFill>
    </w:rPr>
  </w:style>
  <w:style w:type="table" w:customStyle="1" w:styleId="269">
    <w:name w:val="网格型4"/>
    <w:basedOn w:val="55"/>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
    <w:name w:val="Table Normal"/>
    <w:semiHidden/>
    <w:unhideWhenUsed/>
    <w:qFormat/>
    <w:uiPriority w:val="0"/>
    <w:tblPr>
      <w:tblCellMar>
        <w:top w:w="0" w:type="dxa"/>
        <w:left w:w="0" w:type="dxa"/>
        <w:bottom w:w="0" w:type="dxa"/>
        <w:right w:w="0" w:type="dxa"/>
      </w:tblCellMar>
    </w:tblPr>
  </w:style>
  <w:style w:type="paragraph" w:customStyle="1" w:styleId="271">
    <w:name w:val="Table Text"/>
    <w:basedOn w:val="1"/>
    <w:semiHidden/>
    <w:qFormat/>
    <w:uiPriority w:val="0"/>
    <w:rPr>
      <w:rFonts w:ascii="Arial" w:hAnsi="Arial" w:eastAsia="Arial" w:cs="Arial"/>
      <w:sz w:val="21"/>
      <w:szCs w:val="21"/>
      <w:lang w:val="en-US" w:eastAsia="en-US" w:bidi="ar-SA"/>
    </w:rPr>
  </w:style>
  <w:style w:type="character" w:customStyle="1" w:styleId="272">
    <w:name w:val="fontstyle11"/>
    <w:qFormat/>
    <w:uiPriority w:val="0"/>
    <w:rPr>
      <w:rFonts w:ascii="Calibri" w:hAnsi="Calibri" w:cs="Calibri"/>
      <w:color w:val="000000"/>
      <w:sz w:val="22"/>
      <w:szCs w:val="22"/>
    </w:rPr>
  </w:style>
  <w:style w:type="paragraph" w:customStyle="1" w:styleId="273">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274">
    <w:name w:val="Table Paragraph"/>
    <w:basedOn w:val="1"/>
    <w:qFormat/>
    <w:uiPriority w:val="1"/>
    <w:rPr>
      <w:rFonts w:ascii="宋体" w:hAnsi="宋体" w:cs="宋体"/>
      <w:lang w:val="zh-CN" w:bidi="zh-CN"/>
    </w:rPr>
  </w:style>
  <w:style w:type="character" w:customStyle="1" w:styleId="275">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100</Pages>
  <Words>51325</Words>
  <Characters>54062</Characters>
  <Lines>451</Lines>
  <Paragraphs>127</Paragraphs>
  <TotalTime>1</TotalTime>
  <ScaleCrop>false</ScaleCrop>
  <LinksUpToDate>false</LinksUpToDate>
  <CharactersWithSpaces>59466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韦韦</cp:lastModifiedBy>
  <cp:lastPrinted>2025-02-06T01:03:00Z</cp:lastPrinted>
  <dcterms:modified xsi:type="dcterms:W3CDTF">2025-04-09T06:04:58Z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456A8E0987814F0689620C34DD97C5FE_12</vt:lpwstr>
  </property>
  <property fmtid="{D5CDD505-2E9C-101B-9397-08002B2CF9AE}" pid="4" name="KSOTemplateDocerSaveRecord">
    <vt:lpwstr>eyJoZGlkIjoiZmQ5MGI3YTdkMjVkZTZjM2ZjZTQ5YjMxYTJjZjRlOWEiLCJ1c2VySWQiOiIzNjE4MjQ5In0=</vt:lpwstr>
  </property>
</Properties>
</file>