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2023年市政基础设施中修、安保和养护工程五标段排水设施养护维修项目结算复核服务项目</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ind w:firstLine="2880" w:firstLineChars="900"/>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项目编号：HXJY1110001034718001</w:t>
      </w:r>
      <w:bookmarkStart w:id="68" w:name="_GoBack"/>
      <w:bookmarkEnd w:id="68"/>
      <w:r>
        <w:rPr>
          <w:rFonts w:hint="eastAsia" w:ascii="仿宋" w:hAnsi="仿宋" w:eastAsia="仿宋" w:cs="仿宋"/>
          <w:i w:val="0"/>
          <w:iCs w:val="0"/>
          <w:caps w:val="0"/>
          <w:color w:val="auto"/>
          <w:spacing w:val="0"/>
          <w:kern w:val="0"/>
          <w:sz w:val="28"/>
          <w:szCs w:val="28"/>
          <w:highlight w:val="none"/>
          <w:u w:val="single"/>
          <w:shd w:val="clear" w:fill="FFFFFF"/>
          <w:lang w:val="en-US" w:eastAsia="zh-CN" w:bidi="ar"/>
        </w:rPr>
        <w:t xml:space="preserve">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44D60B52">
      <w:pPr>
        <w:wordWrap w:val="0"/>
        <w:spacing w:line="800" w:lineRule="exact"/>
        <w:ind w:right="480" w:firstLine="960" w:firstLineChars="300"/>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滁州市市政设施管理中心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5E2CC12C">
      <w:pPr>
        <w:spacing w:line="800" w:lineRule="exact"/>
        <w:jc w:val="center"/>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4 </w:t>
      </w:r>
      <w:r>
        <w:rPr>
          <w:rFonts w:hint="eastAsia" w:ascii="宋体" w:hAnsi="宋体" w:eastAsia="宋体" w:cs="宋体"/>
          <w:color w:val="auto"/>
          <w:sz w:val="32"/>
          <w:highlight w:val="none"/>
        </w:rPr>
        <w:t>月</w:t>
      </w:r>
    </w:p>
    <w:p w14:paraId="563A1069">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134" w:right="1106" w:bottom="1134" w:left="1259" w:header="680" w:footer="680" w:gutter="0"/>
          <w:cols w:space="0" w:num="1"/>
          <w:titlePg/>
          <w:docGrid w:type="lines" w:linePitch="318" w:charSpace="0"/>
        </w:sectPr>
      </w:pPr>
    </w:p>
    <w:p w14:paraId="35F77A08">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1"/>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p>
    <w:p w14:paraId="4CD5E4E4">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hAnsi="宋体" w:eastAsia="宋体" w:cs="宋体"/>
          <w:color w:val="auto"/>
          <w:highlight w:val="none"/>
          <w:lang w:eastAsia="zh-CN"/>
        </w:rPr>
        <w:t>投标人须知</w:t>
      </w:r>
      <w:r>
        <w:rPr>
          <w:rFonts w:hint="eastAsia" w:ascii="宋体" w:hAnsi="宋体" w:eastAsia="宋体" w:cs="宋体"/>
          <w:color w:val="auto"/>
          <w:highlight w:val="none"/>
        </w:rPr>
        <w:tab/>
      </w:r>
      <w:r>
        <w:rPr>
          <w:rFonts w:hint="eastAsia" w:hAnsi="宋体" w:eastAsia="宋体" w:cs="宋体"/>
          <w:color w:val="auto"/>
          <w:highlight w:val="none"/>
          <w:lang w:val="en-US" w:eastAsia="zh-CN"/>
        </w:rPr>
        <w:t>6</w:t>
      </w:r>
      <w:r>
        <w:rPr>
          <w:rFonts w:hint="eastAsia" w:ascii="宋体" w:hAnsi="宋体" w:eastAsia="宋体" w:cs="宋体"/>
          <w:bCs w:val="0"/>
          <w:color w:val="auto"/>
          <w:szCs w:val="24"/>
          <w:highlight w:val="none"/>
        </w:rPr>
        <w:fldChar w:fldCharType="end"/>
      </w:r>
    </w:p>
    <w:p w14:paraId="37667979">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65E06610">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703F52F3">
      <w:pPr>
        <w:pStyle w:val="31"/>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2E1D2DC7">
      <w:pPr>
        <w:pStyle w:val="3"/>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33519C63">
      <w:pPr>
        <w:rPr>
          <w:rFonts w:hint="eastAsia" w:ascii="宋体" w:hAnsi="宋体" w:eastAsia="宋体" w:cs="宋体"/>
          <w:color w:val="auto"/>
          <w:highlight w:val="none"/>
        </w:rPr>
        <w:sectPr>
          <w:footerReference r:id="rId8" w:type="first"/>
          <w:footerReference r:id="rId7"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3"/>
        <w:numPr>
          <w:ilvl w:val="0"/>
          <w:numId w:val="1"/>
        </w:numPr>
        <w:bidi w:val="0"/>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0105351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 w:name="_Toc31215"/>
      <w:bookmarkStart w:id="2" w:name="_Toc28359079"/>
      <w:bookmarkStart w:id="3" w:name="_Toc23993"/>
      <w:bookmarkStart w:id="4" w:name="_Toc28359002"/>
      <w:bookmarkStart w:id="5" w:name="_Toc35393621"/>
      <w:bookmarkStart w:id="6" w:name="_Toc35393790"/>
      <w:bookmarkStart w:id="7" w:name="_Toc11704"/>
      <w:bookmarkStart w:id="8" w:name="_Hlk24379207"/>
      <w:r>
        <w:rPr>
          <w:rFonts w:hint="eastAsia" w:ascii="黑体" w:hAnsi="黑体" w:eastAsia="黑体" w:cs="黑体"/>
          <w:b w:val="0"/>
          <w:color w:val="auto"/>
          <w:sz w:val="28"/>
          <w:szCs w:val="28"/>
          <w:highlight w:val="none"/>
        </w:rPr>
        <w:t>一、项目基本情况</w:t>
      </w:r>
      <w:bookmarkEnd w:id="1"/>
      <w:bookmarkEnd w:id="2"/>
      <w:bookmarkEnd w:id="3"/>
      <w:bookmarkEnd w:id="4"/>
      <w:bookmarkEnd w:id="5"/>
      <w:bookmarkEnd w:id="6"/>
      <w:bookmarkEnd w:id="7"/>
    </w:p>
    <w:bookmarkEnd w:id="8"/>
    <w:p w14:paraId="660E9687">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bookmarkStart w:id="9" w:name="_Toc35393622"/>
      <w:bookmarkStart w:id="10" w:name="_Toc28359080"/>
      <w:bookmarkStart w:id="11" w:name="_Toc28004"/>
      <w:bookmarkStart w:id="12" w:name="_Toc28359003"/>
      <w:bookmarkStart w:id="13" w:name="_Toc35393791"/>
      <w:bookmarkStart w:id="14" w:name="_Toc4879"/>
      <w:r>
        <w:rPr>
          <w:rFonts w:hint="eastAsia" w:ascii="宋体" w:hAnsi="宋体" w:eastAsia="宋体" w:cs="宋体"/>
          <w:kern w:val="2"/>
          <w:sz w:val="21"/>
          <w:szCs w:val="21"/>
          <w:lang w:val="en-US" w:eastAsia="zh-CN" w:bidi="ar"/>
        </w:rPr>
        <w:t>项目编号：HXJY1110001034718001</w:t>
      </w:r>
    </w:p>
    <w:p w14:paraId="1E27E1DB">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项目名称：</w:t>
      </w:r>
      <w:r>
        <w:rPr>
          <w:rFonts w:hint="eastAsia" w:ascii="宋体" w:hAnsi="宋体" w:cs="宋体"/>
          <w:kern w:val="2"/>
          <w:sz w:val="21"/>
          <w:szCs w:val="21"/>
          <w:lang w:val="en-US" w:eastAsia="zh-CN" w:bidi="ar"/>
        </w:rPr>
        <w:t>2023年市政基础设施中修、安保和养护工程五标段排水设施养护维修项目结算复核服务项目</w:t>
      </w:r>
    </w:p>
    <w:p w14:paraId="1991BF28">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预算金额：0.9万元</w:t>
      </w:r>
    </w:p>
    <w:p w14:paraId="5705B9E1">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最高限价：本项目的最高限价为基本费5000元</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审核成果费率4%（审核成果费率为不可竞争费率，固定不变），基本费由投标人自主报价，不得高于上述基本费最高限价，否则按无效标处理。（投标报价不可以填报0或负数，否则按无效标处理）</w:t>
      </w:r>
    </w:p>
    <w:p w14:paraId="569A284C">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采购需求：</w:t>
      </w:r>
      <w:r>
        <w:rPr>
          <w:rFonts w:hint="eastAsia" w:ascii="宋体" w:hAnsi="宋体" w:cs="宋体"/>
          <w:kern w:val="2"/>
          <w:sz w:val="21"/>
          <w:szCs w:val="21"/>
          <w:lang w:val="en-US" w:eastAsia="zh-CN" w:bidi="ar"/>
        </w:rPr>
        <w:t>2023年市政基础设施中修、安保和养护工程五标段排水设施养护维修项目结算复核服务项目</w:t>
      </w:r>
      <w:r>
        <w:rPr>
          <w:rFonts w:hint="eastAsia" w:ascii="宋体" w:hAnsi="宋体" w:eastAsia="宋体" w:cs="宋体"/>
          <w:kern w:val="2"/>
          <w:sz w:val="21"/>
          <w:szCs w:val="21"/>
          <w:lang w:val="en-US" w:eastAsia="zh-CN" w:bidi="ar"/>
        </w:rPr>
        <w:t>，具体详见工程量清单和施工图纸及结算报告。本次招标需求为上述工程的结算复核服务</w:t>
      </w:r>
    </w:p>
    <w:p w14:paraId="1042DD81">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标段（包别）划分：1个标段</w:t>
      </w:r>
    </w:p>
    <w:p w14:paraId="53B76FA9">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合同履行期限：执行滁重〔2022〕55号《工程造价咨询服务管理办法》的通知第十八、十九条规定</w:t>
      </w:r>
    </w:p>
    <w:p w14:paraId="20F129E5">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5" w:name="_Toc30013"/>
      <w:r>
        <w:rPr>
          <w:rFonts w:hint="eastAsia" w:ascii="黑体" w:hAnsi="黑体" w:eastAsia="黑体" w:cs="黑体"/>
          <w:b w:val="0"/>
          <w:color w:val="auto"/>
          <w:sz w:val="28"/>
          <w:szCs w:val="28"/>
          <w:highlight w:val="none"/>
        </w:rPr>
        <w:t>二、申请人的资格要求：</w:t>
      </w:r>
      <w:bookmarkEnd w:id="9"/>
      <w:bookmarkEnd w:id="10"/>
      <w:bookmarkEnd w:id="11"/>
      <w:bookmarkEnd w:id="12"/>
      <w:bookmarkEnd w:id="13"/>
      <w:bookmarkEnd w:id="14"/>
      <w:bookmarkEnd w:id="15"/>
    </w:p>
    <w:p w14:paraId="41B157CB">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1.投标人要求：投标人须具有承担本项目相应服务能力；</w:t>
      </w:r>
    </w:p>
    <w:p w14:paraId="2E536E7B">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bookmarkStart w:id="16" w:name="_Toc28359081"/>
      <w:bookmarkStart w:id="17" w:name="_Toc28359004"/>
      <w:r>
        <w:rPr>
          <w:rFonts w:hint="eastAsia" w:ascii="宋体" w:hAnsi="宋体" w:eastAsia="宋体" w:cs="宋体"/>
          <w:kern w:val="2"/>
          <w:sz w:val="21"/>
          <w:szCs w:val="21"/>
          <w:lang w:val="en-US" w:eastAsia="zh-CN" w:bidi="ar"/>
        </w:rPr>
        <w:t>2.项目负责人要求：须具有建设部颁发的注册在投标单位的土木建筑工程专业一级注册造价工程师（或原注册造价工程师）；</w:t>
      </w:r>
    </w:p>
    <w:p w14:paraId="171F54D0">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3.其他要求：项目组其他成员（不含项目负责人）要求：不少于2名且具有在本单位注册的二级及以上造价工程师（土木建筑工程专业至少1名、安装工程专业至少1名）</w:t>
      </w:r>
      <w:r>
        <w:rPr>
          <w:rFonts w:hint="eastAsia" w:ascii="宋体" w:hAnsi="宋体" w:cs="宋体"/>
          <w:kern w:val="2"/>
          <w:sz w:val="21"/>
          <w:szCs w:val="21"/>
          <w:lang w:val="en-US" w:eastAsia="zh-CN" w:bidi="ar"/>
        </w:rPr>
        <w:t>。</w:t>
      </w:r>
    </w:p>
    <w:p w14:paraId="2AEC28B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bookmarkStart w:id="18" w:name="_Toc35393792"/>
      <w:bookmarkStart w:id="19" w:name="_Toc2689"/>
      <w:bookmarkStart w:id="20" w:name="_Toc7189"/>
      <w:bookmarkStart w:id="21" w:name="_Toc35393623"/>
      <w:bookmarkStart w:id="22" w:name="_Toc28172"/>
      <w:r>
        <w:rPr>
          <w:rFonts w:hint="eastAsia" w:ascii="黑体" w:hAnsi="黑体" w:eastAsia="黑体" w:cs="黑体"/>
          <w:b w:val="0"/>
          <w:color w:val="auto"/>
          <w:sz w:val="28"/>
          <w:szCs w:val="28"/>
          <w:highlight w:val="none"/>
        </w:rPr>
        <w:t>三、获取</w:t>
      </w:r>
      <w:bookmarkEnd w:id="16"/>
      <w:bookmarkEnd w:id="17"/>
      <w:bookmarkEnd w:id="18"/>
      <w:bookmarkEnd w:id="19"/>
      <w:bookmarkEnd w:id="20"/>
      <w:bookmarkEnd w:id="21"/>
      <w:bookmarkEnd w:id="22"/>
      <w:r>
        <w:rPr>
          <w:rFonts w:hint="eastAsia" w:ascii="黑体" w:hAnsi="黑体" w:eastAsia="黑体" w:cs="黑体"/>
          <w:b w:val="0"/>
          <w:color w:val="auto"/>
          <w:sz w:val="28"/>
          <w:szCs w:val="28"/>
          <w:highlight w:val="none"/>
          <w:lang w:eastAsia="zh-CN"/>
        </w:rPr>
        <w:t>招标文件</w:t>
      </w:r>
    </w:p>
    <w:p w14:paraId="42BFF7A7">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1、招标文件获取方式：</w:t>
      </w:r>
    </w:p>
    <w:p w14:paraId="7B7E7722">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时间：2025年</w:t>
      </w: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日至2025年</w:t>
      </w: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日9时00分。</w:t>
      </w:r>
    </w:p>
    <w:p w14:paraId="38975E68">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地点：请于公告发布之日起从滁州市城投工程咨询管理有限公司官网（https://www.czctgczx.com/）下载。投标人自行承担因未按要求获取招标文件导致无法上传电子投标文件的风险。</w:t>
      </w:r>
    </w:p>
    <w:p w14:paraId="3C2AAA22">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22308A09">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2、招标文件及相关资料售价：人民币0元/套（含清单控制价、图纸及澄清答疑文件）。</w:t>
      </w:r>
    </w:p>
    <w:p w14:paraId="09247A6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23" w:name="_Toc28359082"/>
      <w:bookmarkStart w:id="24" w:name="_Toc28359005"/>
      <w:bookmarkStart w:id="25" w:name="_Toc35393793"/>
      <w:bookmarkStart w:id="26" w:name="_Toc23486"/>
      <w:bookmarkStart w:id="27" w:name="_Toc19139"/>
      <w:bookmarkStart w:id="28" w:name="_Toc35393624"/>
      <w:bookmarkStart w:id="29" w:name="_Toc6135"/>
      <w:r>
        <w:rPr>
          <w:rFonts w:hint="eastAsia" w:ascii="黑体" w:hAnsi="黑体" w:eastAsia="黑体" w:cs="黑体"/>
          <w:b w:val="0"/>
          <w:color w:val="auto"/>
          <w:sz w:val="28"/>
          <w:szCs w:val="28"/>
          <w:highlight w:val="none"/>
        </w:rPr>
        <w:t>四、提交投标文件</w:t>
      </w:r>
      <w:bookmarkEnd w:id="23"/>
      <w:bookmarkEnd w:id="24"/>
      <w:r>
        <w:rPr>
          <w:rFonts w:hint="eastAsia" w:ascii="黑体" w:hAnsi="黑体" w:eastAsia="黑体" w:cs="黑体"/>
          <w:b w:val="0"/>
          <w:color w:val="auto"/>
          <w:sz w:val="28"/>
          <w:szCs w:val="28"/>
          <w:highlight w:val="none"/>
        </w:rPr>
        <w:t>截止时间、开标时间和地点</w:t>
      </w:r>
      <w:bookmarkEnd w:id="25"/>
      <w:bookmarkEnd w:id="26"/>
      <w:bookmarkEnd w:id="27"/>
      <w:bookmarkEnd w:id="28"/>
      <w:bookmarkEnd w:id="29"/>
    </w:p>
    <w:p w14:paraId="78DDBB26">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bookmarkStart w:id="30" w:name="_Toc19623"/>
      <w:bookmarkStart w:id="31" w:name="_Toc35393794"/>
      <w:bookmarkStart w:id="32" w:name="_Toc35393625"/>
      <w:bookmarkStart w:id="33" w:name="_Toc5602"/>
      <w:bookmarkStart w:id="34" w:name="_Toc28359084"/>
      <w:bookmarkStart w:id="35" w:name="_Toc1913"/>
      <w:bookmarkStart w:id="36" w:name="_Toc28359007"/>
      <w:r>
        <w:rPr>
          <w:rFonts w:hint="eastAsia" w:ascii="宋体" w:hAnsi="宋体" w:eastAsia="宋体" w:cs="宋体"/>
          <w:kern w:val="2"/>
          <w:sz w:val="21"/>
          <w:szCs w:val="21"/>
          <w:lang w:val="en-US" w:eastAsia="zh-CN" w:bidi="ar"/>
        </w:rPr>
        <w:t>1、投标文件递交的截止时间为2025年</w:t>
      </w: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日9时00分；</w:t>
      </w:r>
    </w:p>
    <w:p w14:paraId="6EAC1003">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2、网上开标，投标人登录滁州市城投工程咨询有限公司不见面开标系统参与网上开标（网址：http://js.etrading.cn/EpointBidOpening/bidopeninghallaction/hall/login）。</w:t>
      </w:r>
    </w:p>
    <w:p w14:paraId="7B11CB74">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3、投标人应在投标截止时间之前，登陆新点电子交易平台【滁州专区】上传投标文件。</w:t>
      </w:r>
    </w:p>
    <w:p w14:paraId="68E70389">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rPr>
        <w:t>五、公告</w:t>
      </w:r>
      <w:bookmarkEnd w:id="30"/>
      <w:bookmarkEnd w:id="31"/>
      <w:bookmarkEnd w:id="32"/>
      <w:bookmarkEnd w:id="33"/>
      <w:bookmarkEnd w:id="34"/>
      <w:bookmarkEnd w:id="35"/>
      <w:bookmarkEnd w:id="36"/>
      <w:r>
        <w:rPr>
          <w:rFonts w:hint="eastAsia" w:ascii="黑体" w:hAnsi="黑体" w:eastAsia="黑体" w:cs="黑体"/>
          <w:b w:val="0"/>
          <w:color w:val="auto"/>
          <w:sz w:val="28"/>
          <w:szCs w:val="28"/>
          <w:highlight w:val="none"/>
          <w:lang w:val="en-US" w:eastAsia="zh-CN"/>
        </w:rPr>
        <w:t>发布期限及媒体</w:t>
      </w:r>
    </w:p>
    <w:p w14:paraId="70ADAEFA">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自本公告发布之日起至投标截止时间止。</w:t>
      </w:r>
    </w:p>
    <w:p w14:paraId="4D51DD30">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招标公告同时在中国招标公共服务平台（http://www.cebpubservice.com/）、安徽省招标投标信息网（www.ahtba.org.cn）、滁州市城投工程咨询管理有限公司（https://www.czctgczx.com/）、滁州市重点工程建设管理处（http://zdc.chuzhou.gov.cn/）上发布</w:t>
      </w:r>
    </w:p>
    <w:p w14:paraId="25B232D4">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六、投标保证金金额及缴纳账户</w:t>
      </w:r>
    </w:p>
    <w:p w14:paraId="1B54B949">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是否要求投标人提交投标保证金：不要求。</w:t>
      </w:r>
    </w:p>
    <w:p w14:paraId="554F4E18">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七</w:t>
      </w:r>
      <w:r>
        <w:rPr>
          <w:rFonts w:hint="eastAsia" w:ascii="黑体" w:hAnsi="黑体" w:eastAsia="黑体" w:cs="黑体"/>
          <w:b w:val="0"/>
          <w:color w:val="auto"/>
          <w:sz w:val="28"/>
          <w:szCs w:val="28"/>
          <w:highlight w:val="none"/>
        </w:rPr>
        <w:t>、其他补充事宜</w:t>
      </w:r>
    </w:p>
    <w:p w14:paraId="4822D4EF">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79B18F40">
      <w:pPr>
        <w:keepNext w:val="0"/>
        <w:keepLines w:val="0"/>
        <w:widowControl w:val="0"/>
        <w:suppressLineNumbers w:val="0"/>
        <w:wordWrap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3ED7A20F">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1178CA94">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5F0BEAB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5.本项目采用不见面开标，投标人登录滁州市城投工程咨询有限公司不见面开标系统参与网上开标（网址：http://js.etrading.cn/EpointBidOpening/bidopeninghallaction/hall/login）。</w:t>
      </w:r>
    </w:p>
    <w:p w14:paraId="598172A0">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6.投标人应在投标截止时间之前，登录新点电子交易平台【滁州专区】上传投标文件。投标人逾期上传投标文件的，电子系统不予受理。</w:t>
      </w:r>
    </w:p>
    <w:p w14:paraId="794BAFAB">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55596CA9">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八、</w:t>
      </w:r>
      <w:r>
        <w:rPr>
          <w:rFonts w:hint="eastAsia" w:ascii="黑体" w:hAnsi="黑体" w:eastAsia="黑体" w:cs="黑体"/>
          <w:b w:val="0"/>
          <w:color w:val="auto"/>
          <w:sz w:val="28"/>
          <w:szCs w:val="28"/>
          <w:highlight w:val="none"/>
        </w:rPr>
        <w:t>对本次招标提出询问，请按以下方式联系</w:t>
      </w:r>
    </w:p>
    <w:p w14:paraId="63CC9399">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招标人</w:t>
      </w:r>
      <w:r>
        <w:rPr>
          <w:rFonts w:hint="eastAsia" w:ascii="宋体" w:hAnsi="宋体" w:eastAsia="宋体" w:cs="宋体"/>
          <w:kern w:val="2"/>
          <w:sz w:val="21"/>
          <w:szCs w:val="21"/>
          <w:lang w:val="en-US" w:eastAsia="zh-CN" w:bidi="ar"/>
        </w:rPr>
        <w:t>信息</w:t>
      </w:r>
    </w:p>
    <w:p w14:paraId="008F993E">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名称：滁州市市政设施管理中心        </w:t>
      </w:r>
    </w:p>
    <w:p w14:paraId="2676EEB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地址：滁州市琅琊西路建设大厦7楼                </w:t>
      </w:r>
    </w:p>
    <w:p w14:paraId="00D6D654">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联系方式：</w:t>
      </w:r>
      <w:bookmarkStart w:id="37" w:name="_Toc28359086"/>
      <w:bookmarkStart w:id="38" w:name="_Toc28359009"/>
      <w:r>
        <w:rPr>
          <w:rFonts w:hint="eastAsia" w:ascii="宋体" w:hAnsi="宋体" w:eastAsia="宋体" w:cs="宋体"/>
          <w:kern w:val="2"/>
          <w:sz w:val="21"/>
          <w:szCs w:val="21"/>
          <w:lang w:val="en-US" w:eastAsia="zh-CN" w:bidi="ar"/>
        </w:rPr>
        <w:t xml:space="preserve">李福锟  19155000509             </w:t>
      </w:r>
    </w:p>
    <w:p w14:paraId="03EF201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eastAsia" w:ascii="宋体" w:hAnsi="宋体" w:cs="宋体"/>
          <w:kern w:val="2"/>
          <w:sz w:val="21"/>
          <w:szCs w:val="21"/>
          <w:lang w:val="en-US" w:eastAsia="zh-CN" w:bidi="ar"/>
        </w:rPr>
        <w:t>代理机构</w:t>
      </w:r>
      <w:r>
        <w:rPr>
          <w:rFonts w:hint="eastAsia" w:ascii="宋体" w:hAnsi="宋体" w:eastAsia="宋体" w:cs="宋体"/>
          <w:kern w:val="2"/>
          <w:sz w:val="21"/>
          <w:szCs w:val="21"/>
          <w:lang w:val="en-US" w:eastAsia="zh-CN" w:bidi="ar"/>
        </w:rPr>
        <w:t>信息</w:t>
      </w:r>
      <w:bookmarkEnd w:id="37"/>
      <w:bookmarkEnd w:id="38"/>
    </w:p>
    <w:p w14:paraId="172B8153">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bookmarkStart w:id="39" w:name="_Toc28359010"/>
      <w:bookmarkStart w:id="40" w:name="_Toc28359087"/>
      <w:r>
        <w:rPr>
          <w:rFonts w:hint="eastAsia" w:ascii="宋体" w:hAnsi="宋体" w:eastAsia="宋体" w:cs="宋体"/>
          <w:kern w:val="2"/>
          <w:sz w:val="21"/>
          <w:szCs w:val="21"/>
          <w:lang w:val="en-US" w:eastAsia="zh-CN" w:bidi="ar"/>
        </w:rPr>
        <w:t>名称：滁州市城投工程咨询管理有限公司</w:t>
      </w:r>
    </w:p>
    <w:p w14:paraId="61DC66B0">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地址：滁州市龙蟠大道109号房产商务大厦6楼605                </w:t>
      </w:r>
    </w:p>
    <w:p w14:paraId="3942C597">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联系方式：胡国庆 0550-3519517、18005500950             </w:t>
      </w:r>
    </w:p>
    <w:p w14:paraId="1BC655DA">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bookmarkEnd w:id="39"/>
      <w:bookmarkEnd w:id="40"/>
      <w:r>
        <w:rPr>
          <w:rFonts w:hint="eastAsia" w:ascii="宋体" w:hAnsi="宋体" w:eastAsia="宋体" w:cs="宋体"/>
          <w:kern w:val="2"/>
          <w:sz w:val="21"/>
          <w:szCs w:val="21"/>
          <w:lang w:val="en-US" w:eastAsia="zh-CN" w:bidi="ar"/>
        </w:rPr>
        <w:t>监督部门：/</w:t>
      </w:r>
    </w:p>
    <w:p w14:paraId="03C87A4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名称：/             </w:t>
      </w:r>
    </w:p>
    <w:p w14:paraId="2B50E2F9">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电话：/           </w:t>
      </w:r>
    </w:p>
    <w:p w14:paraId="49FB204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kern w:val="2"/>
          <w:sz w:val="21"/>
          <w:szCs w:val="21"/>
          <w:lang w:val="en-US" w:eastAsia="zh-CN" w:bidi="ar"/>
        </w:rPr>
      </w:pPr>
    </w:p>
    <w:p w14:paraId="315D5081">
      <w:pPr>
        <w:pStyle w:val="63"/>
        <w:rPr>
          <w:rFonts w:hint="default"/>
          <w:color w:val="auto"/>
          <w:highlight w:val="none"/>
        </w:rPr>
      </w:pPr>
    </w:p>
    <w:p w14:paraId="21C74F84">
      <w:pPr>
        <w:numPr>
          <w:ilvl w:val="0"/>
          <w:numId w:val="0"/>
        </w:numPr>
        <w:rPr>
          <w:rFonts w:hint="default"/>
          <w:color w:val="auto"/>
          <w:highlight w:val="none"/>
          <w:lang w:val="en-US" w:eastAsia="zh-CN"/>
        </w:rPr>
      </w:pPr>
    </w:p>
    <w:p w14:paraId="607C199E">
      <w:pPr>
        <w:pStyle w:val="3"/>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eastAsia="zh-CN"/>
        </w:rPr>
      </w:pPr>
      <w:bookmarkStart w:id="41"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1"/>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投标人须知</w:t>
      </w:r>
    </w:p>
    <w:p w14:paraId="11A55803">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588" w:type="dxa"/>
        <w:tblInd w:w="2" w:type="dxa"/>
        <w:tblLayout w:type="fixed"/>
        <w:tblCellMar>
          <w:top w:w="0" w:type="dxa"/>
          <w:left w:w="0" w:type="dxa"/>
          <w:bottom w:w="0" w:type="dxa"/>
          <w:right w:w="0" w:type="dxa"/>
        </w:tblCellMar>
      </w:tblPr>
      <w:tblGrid>
        <w:gridCol w:w="792"/>
        <w:gridCol w:w="1308"/>
        <w:gridCol w:w="7488"/>
      </w:tblGrid>
      <w:tr w14:paraId="78EF493F">
        <w:tblPrEx>
          <w:tblCellMar>
            <w:top w:w="0" w:type="dxa"/>
            <w:left w:w="0" w:type="dxa"/>
            <w:bottom w:w="0" w:type="dxa"/>
            <w:right w:w="0" w:type="dxa"/>
          </w:tblCellMar>
        </w:tblPrEx>
        <w:trPr>
          <w:trHeight w:val="580" w:hRule="atLeast"/>
        </w:trPr>
        <w:tc>
          <w:tcPr>
            <w:tcW w:w="792"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1308"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7488"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说明与要求</w:t>
            </w:r>
          </w:p>
        </w:tc>
      </w:tr>
      <w:tr w14:paraId="726904A0">
        <w:tblPrEx>
          <w:tblCellMar>
            <w:top w:w="0" w:type="dxa"/>
            <w:left w:w="0" w:type="dxa"/>
            <w:bottom w:w="0" w:type="dxa"/>
            <w:right w:w="0" w:type="dxa"/>
          </w:tblCellMar>
        </w:tblPrEx>
        <w:trPr>
          <w:trHeight w:val="986" w:hRule="atLeast"/>
        </w:trPr>
        <w:tc>
          <w:tcPr>
            <w:tcW w:w="792"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8"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488"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2023年市政基础设施中修、安保和养护工程五标段排水设施养护维修项目结算复核服务项目</w:t>
            </w:r>
          </w:p>
          <w:p w14:paraId="3D870AD5">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2023年市政基础设施中修、安保和养护工程五标段排水设施养护维修项目，送审金额约440万元，</w:t>
            </w:r>
            <w:r>
              <w:rPr>
                <w:rFonts w:hint="eastAsia" w:ascii="宋体" w:hAnsi="宋体" w:eastAsia="宋体" w:cs="宋体"/>
                <w:color w:val="auto"/>
                <w:kern w:val="0"/>
                <w:sz w:val="21"/>
                <w:szCs w:val="21"/>
                <w:highlight w:val="none"/>
                <w:lang w:val="en-US" w:eastAsia="zh-CN"/>
              </w:rPr>
              <w:t>服务费用约</w:t>
            </w:r>
            <w:r>
              <w:rPr>
                <w:rFonts w:hint="eastAsia" w:ascii="宋体" w:hAnsi="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lang w:val="en-US" w:eastAsia="zh-CN"/>
              </w:rPr>
              <w:t xml:space="preserve">万元。  </w:t>
            </w:r>
          </w:p>
        </w:tc>
      </w:tr>
      <w:tr w14:paraId="4047B0BA">
        <w:tblPrEx>
          <w:tblCellMar>
            <w:top w:w="0" w:type="dxa"/>
            <w:left w:w="0" w:type="dxa"/>
            <w:bottom w:w="0" w:type="dxa"/>
            <w:right w:w="0" w:type="dxa"/>
          </w:tblCellMar>
        </w:tblPrEx>
        <w:trPr>
          <w:trHeight w:val="255" w:hRule="atLeast"/>
        </w:trPr>
        <w:tc>
          <w:tcPr>
            <w:tcW w:w="792"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08"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488" w:type="dxa"/>
            <w:tcBorders>
              <w:top w:val="single" w:color="auto" w:sz="8" w:space="0"/>
              <w:left w:val="single" w:color="auto" w:sz="4" w:space="0"/>
              <w:bottom w:val="single" w:color="auto" w:sz="8" w:space="0"/>
              <w:right w:val="single" w:color="auto" w:sz="8" w:space="0"/>
            </w:tcBorders>
            <w:vAlign w:val="center"/>
          </w:tcPr>
          <w:p w14:paraId="2B02BB95">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rPr>
              <w:t>2023年市政基础设施中修、安保和养护工程五标段排水设施养护维修项目结算复核服务项目</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rPr>
              <w:t>具体详见工程量清单和施工图纸及结算报告。</w:t>
            </w:r>
          </w:p>
          <w:p w14:paraId="0003F08F">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本次招标需求为上述工程的</w:t>
            </w:r>
            <w:r>
              <w:rPr>
                <w:rFonts w:hint="eastAsia" w:ascii="宋体" w:hAnsi="宋体" w:eastAsia="宋体" w:cs="宋体"/>
                <w:color w:val="auto"/>
                <w:kern w:val="0"/>
                <w:sz w:val="21"/>
                <w:szCs w:val="21"/>
                <w:highlight w:val="none"/>
                <w:lang w:eastAsia="zh-CN"/>
              </w:rPr>
              <w:t>结算复核服务。</w:t>
            </w:r>
          </w:p>
        </w:tc>
      </w:tr>
      <w:tr w14:paraId="597FACB0">
        <w:tblPrEx>
          <w:tblCellMar>
            <w:top w:w="0" w:type="dxa"/>
            <w:left w:w="0" w:type="dxa"/>
            <w:bottom w:w="0" w:type="dxa"/>
            <w:right w:w="0" w:type="dxa"/>
          </w:tblCellMar>
        </w:tblPrEx>
        <w:trPr>
          <w:trHeight w:val="315" w:hRule="atLeast"/>
        </w:trPr>
        <w:tc>
          <w:tcPr>
            <w:tcW w:w="792"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08"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488"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执行滁重〔2022〕55号《工程造价咨询服务管理办法》的通知第十八、十九条规定</w:t>
            </w:r>
            <w:r>
              <w:rPr>
                <w:rFonts w:hint="eastAsia" w:ascii="宋体" w:hAnsi="宋体" w:cs="宋体"/>
                <w:color w:val="auto"/>
                <w:sz w:val="21"/>
                <w:szCs w:val="21"/>
                <w:highlight w:val="none"/>
                <w:lang w:eastAsia="zh-CN"/>
              </w:rPr>
              <w:t>。</w:t>
            </w:r>
          </w:p>
        </w:tc>
      </w:tr>
      <w:tr w14:paraId="24784F21">
        <w:tblPrEx>
          <w:tblCellMar>
            <w:top w:w="0" w:type="dxa"/>
            <w:left w:w="0" w:type="dxa"/>
            <w:bottom w:w="0" w:type="dxa"/>
            <w:right w:w="0" w:type="dxa"/>
          </w:tblCellMar>
        </w:tblPrEx>
        <w:trPr>
          <w:trHeight w:val="425" w:hRule="atLeast"/>
        </w:trPr>
        <w:tc>
          <w:tcPr>
            <w:tcW w:w="792"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08"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488"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80" w:lineRule="exact"/>
              <w:ind w:left="63" w:leftChars="30" w:right="63" w:righ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92"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8"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488"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792"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308"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488"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92"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308" w:type="dxa"/>
            <w:tcBorders>
              <w:top w:val="single" w:color="auto" w:sz="8" w:space="0"/>
              <w:left w:val="single" w:color="auto" w:sz="4" w:space="0"/>
              <w:bottom w:val="single" w:color="auto" w:sz="8" w:space="0"/>
              <w:right w:val="single" w:color="auto" w:sz="4" w:space="0"/>
            </w:tcBorders>
            <w:vAlign w:val="center"/>
          </w:tcPr>
          <w:p w14:paraId="396C664A">
            <w:pPr>
              <w:pStyle w:val="24"/>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color w:val="auto"/>
                <w:szCs w:val="21"/>
                <w:highlight w:val="none"/>
              </w:rPr>
              <w:t>招标方式</w:t>
            </w:r>
          </w:p>
        </w:tc>
        <w:tc>
          <w:tcPr>
            <w:tcW w:w="7488" w:type="dxa"/>
            <w:tcBorders>
              <w:top w:val="single" w:color="auto" w:sz="8" w:space="0"/>
              <w:left w:val="single" w:color="auto" w:sz="4" w:space="0"/>
              <w:bottom w:val="single" w:color="auto" w:sz="8" w:space="0"/>
              <w:right w:val="single" w:color="auto" w:sz="8" w:space="0"/>
            </w:tcBorders>
            <w:vAlign w:val="center"/>
          </w:tcPr>
          <w:p w14:paraId="59739CC9">
            <w:pPr>
              <w:pStyle w:val="24"/>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rPr>
              <w:t xml:space="preserve">(本项目采用网上电子招投标) </w:t>
            </w:r>
          </w:p>
        </w:tc>
      </w:tr>
      <w:tr w14:paraId="0DEE0E5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08"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488" w:type="dxa"/>
            <w:tcBorders>
              <w:top w:val="single" w:color="auto" w:sz="8" w:space="0"/>
              <w:left w:val="single" w:color="auto" w:sz="4" w:space="0"/>
              <w:bottom w:val="single" w:color="auto" w:sz="8" w:space="0"/>
              <w:right w:val="single" w:color="auto" w:sz="8" w:space="0"/>
            </w:tcBorders>
            <w:vAlign w:val="center"/>
          </w:tcPr>
          <w:p w14:paraId="0CD47C88">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本项目的最高限价为基本费</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审核成果费率4%（审核成果费率为不可竞争费率，固定不变），基本费由投标人自主报价，不得高于上述基本费最高限价，否则按无效标处理。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p>
          <w:p w14:paraId="3F16972A">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7054BFC">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服务费计算方式为：基本费+审核成果费。其中，</w:t>
            </w:r>
            <w:r>
              <w:rPr>
                <w:rFonts w:hint="eastAsia" w:ascii="宋体" w:hAnsi="宋体" w:eastAsia="宋体" w:cs="宋体"/>
                <w:color w:val="auto"/>
                <w:sz w:val="21"/>
                <w:szCs w:val="21"/>
                <w:highlight w:val="none"/>
                <w:lang w:val="en-US" w:eastAsia="zh-CN"/>
              </w:rPr>
              <w:t>基本费由投标人自主报价</w:t>
            </w:r>
            <w:r>
              <w:rPr>
                <w:rFonts w:hint="eastAsia" w:ascii="宋体" w:hAnsi="宋体" w:eastAsia="宋体" w:cs="宋体"/>
                <w:color w:val="auto"/>
                <w:sz w:val="21"/>
                <w:szCs w:val="21"/>
                <w:highlight w:val="none"/>
              </w:rPr>
              <w:t>；审核成果费计算基数为独立核减金额。</w:t>
            </w:r>
          </w:p>
          <w:p w14:paraId="7053B625">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308" w:type="dxa"/>
            <w:tcBorders>
              <w:top w:val="single" w:color="auto" w:sz="8" w:space="0"/>
              <w:left w:val="single" w:color="auto" w:sz="4" w:space="0"/>
              <w:bottom w:val="single" w:color="auto" w:sz="8" w:space="0"/>
              <w:right w:val="single" w:color="auto" w:sz="4" w:space="0"/>
            </w:tcBorders>
            <w:vAlign w:val="center"/>
          </w:tcPr>
          <w:p w14:paraId="2356DB8C">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431ACE11">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488"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80" w:lineRule="exact"/>
              <w:ind w:left="63" w:leftChars="30" w:right="63" w:righ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4</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10</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w:t>
            </w:r>
            <w:r>
              <w:rPr>
                <w:rFonts w:hint="eastAsia" w:ascii="宋体" w:hAnsi="宋体" w:cs="宋体"/>
                <w:color w:val="auto"/>
                <w:kern w:val="0"/>
                <w:sz w:val="21"/>
                <w:szCs w:val="21"/>
                <w:highlight w:val="none"/>
                <w:lang w:val="en-US" w:eastAsia="zh-CN"/>
              </w:rPr>
              <w:t>异议</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4</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11</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308" w:type="dxa"/>
            <w:tcBorders>
              <w:top w:val="single" w:color="auto" w:sz="8" w:space="0"/>
              <w:left w:val="single" w:color="auto" w:sz="4" w:space="0"/>
              <w:bottom w:val="single" w:color="auto" w:sz="8" w:space="0"/>
              <w:right w:val="single" w:color="auto" w:sz="4" w:space="0"/>
            </w:tcBorders>
            <w:vAlign w:val="center"/>
          </w:tcPr>
          <w:p w14:paraId="0B644D17">
            <w:pPr>
              <w:pStyle w:val="24"/>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color w:val="auto"/>
                <w:szCs w:val="21"/>
                <w:highlight w:val="none"/>
              </w:rPr>
              <w:t>投标有效期</w:t>
            </w:r>
          </w:p>
        </w:tc>
        <w:tc>
          <w:tcPr>
            <w:tcW w:w="7488" w:type="dxa"/>
            <w:tcBorders>
              <w:top w:val="single" w:color="auto" w:sz="8" w:space="0"/>
              <w:left w:val="single" w:color="auto" w:sz="4" w:space="0"/>
              <w:bottom w:val="single" w:color="auto" w:sz="8" w:space="0"/>
              <w:right w:val="single" w:color="auto" w:sz="8" w:space="0"/>
            </w:tcBorders>
            <w:vAlign w:val="center"/>
          </w:tcPr>
          <w:p w14:paraId="0CB8330D">
            <w:pPr>
              <w:pStyle w:val="24"/>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投标有效期为</w:t>
            </w:r>
            <w:r>
              <w:rPr>
                <w:rFonts w:hint="eastAsia"/>
                <w:color w:val="auto"/>
                <w:szCs w:val="21"/>
                <w:highlight w:val="none"/>
                <w:u w:val="single"/>
                <w:lang w:val="en-US" w:eastAsia="zh-CN"/>
              </w:rPr>
              <w:t>60</w:t>
            </w:r>
            <w:r>
              <w:rPr>
                <w:rFonts w:hint="eastAsia"/>
                <w:color w:val="auto"/>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308" w:type="dxa"/>
            <w:tcBorders>
              <w:top w:val="single" w:color="auto" w:sz="8" w:space="0"/>
              <w:left w:val="single" w:color="auto" w:sz="4" w:space="0"/>
              <w:bottom w:val="single" w:color="auto" w:sz="8" w:space="0"/>
              <w:right w:val="single" w:color="auto" w:sz="4" w:space="0"/>
            </w:tcBorders>
            <w:vAlign w:val="center"/>
          </w:tcPr>
          <w:p w14:paraId="32269176">
            <w:pPr>
              <w:pStyle w:val="24"/>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投标文件</w:t>
            </w:r>
            <w:r>
              <w:rPr>
                <w:rFonts w:hint="eastAsia"/>
                <w:color w:val="auto"/>
                <w:szCs w:val="21"/>
                <w:highlight w:val="none"/>
                <w:lang w:val="en-US" w:eastAsia="zh-CN"/>
              </w:rPr>
              <w:t>递交</w:t>
            </w:r>
          </w:p>
        </w:tc>
        <w:tc>
          <w:tcPr>
            <w:tcW w:w="7488"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80" w:lineRule="exact"/>
              <w:ind w:left="63" w:leftChars="30" w:right="63" w:rightChars="30"/>
              <w:textAlignment w:val="auto"/>
              <w:rPr>
                <w:rFonts w:hint="eastAsia" w:ascii="宋体" w:hAnsi="宋体" w:cs="宋体"/>
                <w:color w:val="auto"/>
                <w:szCs w:val="21"/>
                <w:highlight w:val="none"/>
              </w:rPr>
            </w:pPr>
            <w:r>
              <w:rPr>
                <w:rFonts w:hint="eastAsia" w:ascii="宋体" w:hAnsi="宋体" w:cs="宋体"/>
                <w:color w:val="auto"/>
                <w:szCs w:val="21"/>
                <w:highlight w:val="none"/>
              </w:rPr>
              <w:t>加密电子投标文件投标人应在投标截止时间前通过新点电子交易平台后在【滁州专区】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https://www.etrading.cn/BREpointSSO/login/oauth2login?regioncode=DQ_ChuZhou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80" w:lineRule="exact"/>
              <w:ind w:left="63" w:leftChars="30" w:right="63" w:righ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cs="宋体"/>
                <w:b/>
                <w:color w:val="auto"/>
                <w:kern w:val="0"/>
                <w:szCs w:val="21"/>
                <w:highlight w:val="none"/>
                <w:u w:val="single"/>
              </w:rPr>
              <w:t xml:space="preserve"> </w:t>
            </w:r>
            <w:r>
              <w:rPr>
                <w:rFonts w:ascii="宋体" w:hAnsi="宋体" w:cs="宋体"/>
                <w:b/>
                <w:color w:val="auto"/>
                <w:kern w:val="0"/>
                <w:szCs w:val="21"/>
                <w:highlight w:val="none"/>
                <w:u w:val="single"/>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308"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adjustRightInd/>
              <w:snapToGrid/>
              <w:spacing w:line="440" w:lineRule="exact"/>
              <w:jc w:val="left"/>
              <w:textAlignment w:val="auto"/>
              <w:rPr>
                <w:rFonts w:hint="eastAsia"/>
                <w:color w:val="auto"/>
                <w:szCs w:val="21"/>
                <w:highlight w:val="none"/>
              </w:rPr>
            </w:pPr>
            <w:r>
              <w:rPr>
                <w:rFonts w:hint="eastAsia" w:ascii="宋体"/>
                <w:color w:val="auto"/>
                <w:szCs w:val="21"/>
                <w:highlight w:val="none"/>
              </w:rPr>
              <w:t>签字或盖章要求</w:t>
            </w:r>
          </w:p>
        </w:tc>
        <w:tc>
          <w:tcPr>
            <w:tcW w:w="7488" w:type="dxa"/>
            <w:tcBorders>
              <w:top w:val="single" w:color="auto" w:sz="8" w:space="0"/>
              <w:left w:val="single" w:color="auto" w:sz="4" w:space="0"/>
              <w:bottom w:val="single" w:color="auto" w:sz="8" w:space="0"/>
              <w:right w:val="single" w:color="auto" w:sz="8" w:space="0"/>
            </w:tcBorders>
            <w:vAlign w:val="center"/>
          </w:tcPr>
          <w:p w14:paraId="434CE441">
            <w:pPr>
              <w:keepNext w:val="0"/>
              <w:keepLines w:val="0"/>
              <w:pageBreakBefore w:val="0"/>
              <w:widowControl/>
              <w:kinsoku/>
              <w:overflowPunct/>
              <w:topLinePunct w:val="0"/>
              <w:autoSpaceDE/>
              <w:autoSpaceDN/>
              <w:bidi w:val="0"/>
              <w:adjustRightInd/>
              <w:snapToGrid/>
              <w:spacing w:line="48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66A35DAC">
            <w:pPr>
              <w:keepNext w:val="0"/>
              <w:keepLines w:val="0"/>
              <w:pageBreakBefore w:val="0"/>
              <w:widowControl/>
              <w:kinsoku/>
              <w:overflowPunct/>
              <w:topLinePunct w:val="0"/>
              <w:autoSpaceDE/>
              <w:autoSpaceDN/>
              <w:bidi w:val="0"/>
              <w:adjustRightInd/>
              <w:snapToGrid/>
              <w:spacing w:line="48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否则经评委会一致认定后，按照无效投标处理。</w:t>
            </w:r>
          </w:p>
        </w:tc>
      </w:tr>
      <w:tr w14:paraId="443033B5">
        <w:tblPrEx>
          <w:tblCellMar>
            <w:top w:w="0" w:type="dxa"/>
            <w:left w:w="0" w:type="dxa"/>
            <w:bottom w:w="0" w:type="dxa"/>
            <w:right w:w="0" w:type="dxa"/>
          </w:tblCellMar>
        </w:tblPrEx>
        <w:trPr>
          <w:trHeight w:val="1961" w:hRule="atLeast"/>
        </w:trPr>
        <w:tc>
          <w:tcPr>
            <w:tcW w:w="792"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13</w:t>
            </w:r>
          </w:p>
        </w:tc>
        <w:tc>
          <w:tcPr>
            <w:tcW w:w="1308"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投标文件提交截止时间</w:t>
            </w:r>
          </w:p>
        </w:tc>
        <w:tc>
          <w:tcPr>
            <w:tcW w:w="7488"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ascii="宋体"/>
                <w:color w:val="auto"/>
                <w:szCs w:val="21"/>
                <w:highlight w:val="none"/>
              </w:rPr>
            </w:pPr>
            <w:r>
              <w:rPr>
                <w:rFonts w:hint="eastAsia" w:ascii="宋体"/>
                <w:color w:val="auto"/>
                <w:szCs w:val="21"/>
                <w:highlight w:val="none"/>
              </w:rPr>
              <w:t>网上递交投标文件截止时间：</w:t>
            </w:r>
            <w:r>
              <w:rPr>
                <w:rFonts w:hint="eastAsia" w:ascii="宋体"/>
                <w:b/>
                <w:bCs/>
                <w:color w:val="auto"/>
                <w:szCs w:val="21"/>
                <w:highlight w:val="none"/>
                <w:lang w:val="en-US" w:eastAsia="zh-CN"/>
              </w:rPr>
              <w:t>2025</w:t>
            </w:r>
            <w:r>
              <w:rPr>
                <w:rFonts w:hint="eastAsia" w:ascii="宋体"/>
                <w:b/>
                <w:bCs/>
                <w:color w:val="auto"/>
                <w:szCs w:val="21"/>
                <w:highlight w:val="none"/>
              </w:rPr>
              <w:t>年</w:t>
            </w:r>
            <w:r>
              <w:rPr>
                <w:rFonts w:hint="eastAsia" w:ascii="宋体"/>
                <w:b/>
                <w:bCs/>
                <w:color w:val="auto"/>
                <w:szCs w:val="21"/>
                <w:highlight w:val="none"/>
                <w:lang w:val="en-US" w:eastAsia="zh-CN"/>
              </w:rPr>
              <w:t>4</w:t>
            </w:r>
            <w:r>
              <w:rPr>
                <w:rFonts w:hint="eastAsia" w:ascii="宋体"/>
                <w:b/>
                <w:bCs/>
                <w:color w:val="auto"/>
                <w:szCs w:val="21"/>
                <w:highlight w:val="none"/>
              </w:rPr>
              <w:t>月</w:t>
            </w:r>
            <w:r>
              <w:rPr>
                <w:rFonts w:hint="eastAsia" w:ascii="宋体"/>
                <w:b/>
                <w:bCs/>
                <w:color w:val="auto"/>
                <w:szCs w:val="21"/>
                <w:highlight w:val="none"/>
                <w:lang w:val="en-US" w:eastAsia="zh-CN"/>
              </w:rPr>
              <w:t>14</w:t>
            </w:r>
            <w:r>
              <w:rPr>
                <w:rFonts w:hint="eastAsia" w:ascii="宋体"/>
                <w:b/>
                <w:bCs/>
                <w:color w:val="auto"/>
                <w:szCs w:val="21"/>
                <w:highlight w:val="none"/>
              </w:rPr>
              <w:t>日</w:t>
            </w:r>
            <w:r>
              <w:rPr>
                <w:rFonts w:hint="eastAsia" w:ascii="宋体"/>
                <w:b/>
                <w:bCs/>
                <w:color w:val="auto"/>
                <w:szCs w:val="21"/>
                <w:highlight w:val="none"/>
                <w:lang w:val="en-US" w:eastAsia="zh-CN"/>
              </w:rPr>
              <w:t>9</w:t>
            </w:r>
            <w:r>
              <w:rPr>
                <w:rFonts w:hint="eastAsia" w:ascii="宋体"/>
                <w:b/>
                <w:bCs/>
                <w:color w:val="auto"/>
                <w:szCs w:val="21"/>
                <w:highlight w:val="none"/>
              </w:rPr>
              <w:t>时</w:t>
            </w:r>
            <w:r>
              <w:rPr>
                <w:rFonts w:hint="eastAsia" w:ascii="宋体"/>
                <w:b/>
                <w:bCs/>
                <w:color w:val="auto"/>
                <w:szCs w:val="21"/>
                <w:highlight w:val="none"/>
                <w:lang w:val="en-US" w:eastAsia="zh-CN"/>
              </w:rPr>
              <w:t>00</w:t>
            </w:r>
            <w:r>
              <w:rPr>
                <w:rFonts w:hint="eastAsia" w:ascii="宋体"/>
                <w:b/>
                <w:bCs/>
                <w:color w:val="auto"/>
                <w:szCs w:val="21"/>
                <w:highlight w:val="none"/>
              </w:rPr>
              <w:t>分（北京时间）</w:t>
            </w:r>
          </w:p>
          <w:p w14:paraId="6FF010F2">
            <w:pPr>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ascii="黑体" w:eastAsia="黑体" w:cs="黑体"/>
                <w:bCs/>
                <w:color w:val="auto"/>
                <w:szCs w:val="21"/>
                <w:highlight w:val="none"/>
              </w:rPr>
            </w:pPr>
            <w:r>
              <w:rPr>
                <w:rFonts w:hint="eastAsia" w:ascii="宋体"/>
                <w:b/>
                <w:color w:val="auto"/>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adjustRightInd/>
              <w:snapToGrid/>
              <w:spacing w:line="480" w:lineRule="exact"/>
              <w:ind w:left="63" w:leftChars="30" w:right="63" w:rightChars="30"/>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Cs w:val="21"/>
                <w:highlight w:val="none"/>
              </w:rPr>
              <w:t>1.解密程序开始后</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466" w:hRule="atLeast"/>
        </w:trPr>
        <w:tc>
          <w:tcPr>
            <w:tcW w:w="792"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308"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color w:val="auto"/>
                <w:szCs w:val="21"/>
                <w:highlight w:val="none"/>
              </w:rPr>
            </w:pPr>
            <w:r>
              <w:rPr>
                <w:rFonts w:hint="eastAsia" w:ascii="宋体"/>
                <w:color w:val="auto"/>
                <w:szCs w:val="21"/>
                <w:highlight w:val="none"/>
              </w:rPr>
              <w:t>是否退还投标文件</w:t>
            </w:r>
          </w:p>
        </w:tc>
        <w:tc>
          <w:tcPr>
            <w:tcW w:w="7488"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ascii="宋体" w:hAnsi="宋体" w:cs="宋体"/>
                <w:color w:val="auto"/>
                <w:szCs w:val="21"/>
                <w:highlight w:val="none"/>
              </w:rPr>
            </w:pPr>
            <w:r>
              <w:rPr>
                <w:rFonts w:hint="eastAsia"/>
                <w:color w:val="auto"/>
                <w:szCs w:val="21"/>
                <w:highlight w:val="none"/>
              </w:rPr>
              <w:t>否</w:t>
            </w:r>
          </w:p>
        </w:tc>
      </w:tr>
      <w:tr w14:paraId="266A8CA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15</w:t>
            </w:r>
          </w:p>
        </w:tc>
        <w:tc>
          <w:tcPr>
            <w:tcW w:w="1308"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color w:val="auto"/>
                <w:szCs w:val="21"/>
                <w:highlight w:val="none"/>
              </w:rPr>
              <w:t>开标时间及地点</w:t>
            </w:r>
          </w:p>
        </w:tc>
        <w:tc>
          <w:tcPr>
            <w:tcW w:w="7488"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color w:val="auto"/>
                <w:highlight w:val="none"/>
              </w:rPr>
            </w:pPr>
            <w:r>
              <w:rPr>
                <w:rFonts w:hint="eastAsia" w:ascii="ˎ̥" w:hAnsi="ˎ̥"/>
                <w:color w:val="auto"/>
                <w:highlight w:val="none"/>
              </w:rPr>
              <w:t>详见招标公告</w:t>
            </w:r>
          </w:p>
        </w:tc>
      </w:tr>
      <w:tr w14:paraId="076992A3">
        <w:tblPrEx>
          <w:tblCellMar>
            <w:top w:w="0" w:type="dxa"/>
            <w:left w:w="0" w:type="dxa"/>
            <w:bottom w:w="0" w:type="dxa"/>
            <w:right w:w="0" w:type="dxa"/>
          </w:tblCellMar>
        </w:tblPrEx>
        <w:trPr>
          <w:trHeight w:val="454" w:hRule="atLeast"/>
        </w:trPr>
        <w:tc>
          <w:tcPr>
            <w:tcW w:w="792"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16</w:t>
            </w:r>
          </w:p>
        </w:tc>
        <w:tc>
          <w:tcPr>
            <w:tcW w:w="1308"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开标程序</w:t>
            </w:r>
          </w:p>
        </w:tc>
        <w:tc>
          <w:tcPr>
            <w:tcW w:w="7488"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color w:val="auto"/>
                <w:highlight w:val="none"/>
              </w:rPr>
            </w:pPr>
            <w:r>
              <w:rPr>
                <w:rFonts w:hint="eastAsia"/>
                <w:color w:val="auto"/>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17</w:t>
            </w:r>
          </w:p>
        </w:tc>
        <w:tc>
          <w:tcPr>
            <w:tcW w:w="1308" w:type="dxa"/>
            <w:tcBorders>
              <w:top w:val="single" w:color="auto" w:sz="8" w:space="0"/>
              <w:left w:val="single" w:color="auto" w:sz="4" w:space="0"/>
              <w:bottom w:val="single" w:color="auto" w:sz="8" w:space="0"/>
              <w:right w:val="single" w:color="auto" w:sz="4" w:space="0"/>
            </w:tcBorders>
            <w:vAlign w:val="center"/>
          </w:tcPr>
          <w:p w14:paraId="5CB513ED">
            <w:pPr>
              <w:pStyle w:val="24"/>
              <w:keepNext w:val="0"/>
              <w:keepLines w:val="0"/>
              <w:pageBreakBefore w:val="0"/>
              <w:kinsoku/>
              <w:overflowPunct/>
              <w:topLinePunct w:val="0"/>
              <w:autoSpaceDE/>
              <w:autoSpaceDN/>
              <w:bidi w:val="0"/>
              <w:adjustRightInd/>
              <w:snapToGrid/>
              <w:spacing w:line="440" w:lineRule="exact"/>
              <w:jc w:val="left"/>
              <w:textAlignment w:val="auto"/>
              <w:rPr>
                <w:rFonts w:hint="eastAsia" w:ascii="宋体"/>
                <w:color w:val="auto"/>
                <w:szCs w:val="21"/>
                <w:highlight w:val="none"/>
              </w:rPr>
            </w:pPr>
            <w:r>
              <w:rPr>
                <w:rFonts w:hint="eastAsia"/>
                <w:color w:val="auto"/>
                <w:szCs w:val="21"/>
                <w:highlight w:val="none"/>
              </w:rPr>
              <w:t>评标委员会的组建</w:t>
            </w:r>
          </w:p>
        </w:tc>
        <w:tc>
          <w:tcPr>
            <w:tcW w:w="7488"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80" w:lineRule="exact"/>
              <w:ind w:left="63" w:leftChars="30" w:right="63" w:righ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4"/>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color w:val="auto"/>
                <w:szCs w:val="21"/>
                <w:highlight w:val="none"/>
              </w:rPr>
            </w:pPr>
            <w:r>
              <w:rPr>
                <w:rFonts w:hint="eastAsia"/>
                <w:color w:val="auto"/>
                <w:szCs w:val="21"/>
                <w:highlight w:val="none"/>
              </w:rPr>
              <w:t>评标专家确定方式：专家评委由</w:t>
            </w:r>
            <w:r>
              <w:rPr>
                <w:rFonts w:hint="eastAsia"/>
                <w:color w:val="auto"/>
                <w:szCs w:val="21"/>
                <w:highlight w:val="none"/>
                <w:lang w:eastAsia="zh-CN"/>
              </w:rPr>
              <w:t>招标人</w:t>
            </w:r>
            <w:r>
              <w:rPr>
                <w:rFonts w:hint="eastAsia"/>
                <w:color w:val="auto"/>
                <w:szCs w:val="21"/>
                <w:highlight w:val="none"/>
              </w:rPr>
              <w:t>在开标前从专家库中随机抽取。</w:t>
            </w:r>
          </w:p>
        </w:tc>
      </w:tr>
      <w:tr w14:paraId="02D6C8AD">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18</w:t>
            </w:r>
          </w:p>
        </w:tc>
        <w:tc>
          <w:tcPr>
            <w:tcW w:w="1308" w:type="dxa"/>
            <w:tcBorders>
              <w:top w:val="single" w:color="auto" w:sz="8" w:space="0"/>
              <w:left w:val="single" w:color="auto" w:sz="4" w:space="0"/>
              <w:bottom w:val="single" w:color="auto" w:sz="8" w:space="0"/>
              <w:right w:val="single" w:color="auto" w:sz="4" w:space="0"/>
            </w:tcBorders>
            <w:vAlign w:val="center"/>
          </w:tcPr>
          <w:p w14:paraId="289798AF">
            <w:pPr>
              <w:pStyle w:val="24"/>
              <w:keepNext w:val="0"/>
              <w:keepLines w:val="0"/>
              <w:pageBreakBefore w:val="0"/>
              <w:kinsoku/>
              <w:overflowPunct/>
              <w:topLinePunct w:val="0"/>
              <w:autoSpaceDE/>
              <w:autoSpaceDN/>
              <w:bidi w:val="0"/>
              <w:adjustRightInd/>
              <w:snapToGrid/>
              <w:spacing w:line="440" w:lineRule="exact"/>
              <w:jc w:val="left"/>
              <w:textAlignment w:val="auto"/>
              <w:rPr>
                <w:rFonts w:hint="eastAsia"/>
                <w:color w:val="auto"/>
                <w:szCs w:val="21"/>
                <w:highlight w:val="none"/>
              </w:rPr>
            </w:pPr>
            <w:r>
              <w:rPr>
                <w:rFonts w:hint="eastAsia"/>
                <w:color w:val="auto"/>
                <w:szCs w:val="21"/>
                <w:highlight w:val="none"/>
              </w:rPr>
              <w:t>是否授权评标委员会确定中标候选人</w:t>
            </w:r>
          </w:p>
        </w:tc>
        <w:tc>
          <w:tcPr>
            <w:tcW w:w="7488" w:type="dxa"/>
            <w:tcBorders>
              <w:top w:val="single" w:color="auto" w:sz="8" w:space="0"/>
              <w:left w:val="single" w:color="auto" w:sz="4" w:space="0"/>
              <w:bottom w:val="single" w:color="auto" w:sz="8" w:space="0"/>
              <w:right w:val="single" w:color="auto" w:sz="8" w:space="0"/>
            </w:tcBorders>
            <w:vAlign w:val="center"/>
          </w:tcPr>
          <w:p w14:paraId="50C3E122">
            <w:pPr>
              <w:pStyle w:val="24"/>
              <w:keepNext w:val="0"/>
              <w:keepLines w:val="0"/>
              <w:pageBreakBefore w:val="0"/>
              <w:kinsoku/>
              <w:overflowPunct/>
              <w:topLinePunct w:val="0"/>
              <w:autoSpaceDE/>
              <w:autoSpaceDN/>
              <w:bidi w:val="0"/>
              <w:adjustRightInd/>
              <w:snapToGrid/>
              <w:spacing w:line="480" w:lineRule="exact"/>
              <w:ind w:left="63" w:leftChars="30" w:right="63" w:rightChars="30"/>
              <w:textAlignment w:val="auto"/>
              <w:rPr>
                <w:rFonts w:hint="eastAsia"/>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u w:val="single" w:color="auto"/>
              </w:rPr>
              <w:t xml:space="preserve"> </w:t>
            </w:r>
            <w:r>
              <w:rPr>
                <w:rFonts w:hint="eastAsia" w:hAnsi="宋体"/>
                <w:color w:val="auto"/>
                <w:szCs w:val="21"/>
                <w:highlight w:val="none"/>
                <w:u w:val="single" w:color="auto"/>
                <w:lang w:val="en-US" w:eastAsia="zh-CN"/>
              </w:rPr>
              <w:t>2</w:t>
            </w:r>
            <w:r>
              <w:rPr>
                <w:rFonts w:hint="eastAsia" w:hAnsi="宋体"/>
                <w:color w:val="auto"/>
                <w:szCs w:val="21"/>
                <w:highlight w:val="none"/>
                <w:u w:val="single" w:color="auto"/>
              </w:rPr>
              <w:t xml:space="preserve"> </w:t>
            </w:r>
            <w:r>
              <w:rPr>
                <w:rFonts w:hint="eastAsia" w:hAnsi="宋体"/>
                <w:color w:val="auto"/>
                <w:szCs w:val="21"/>
                <w:highlight w:val="none"/>
              </w:rPr>
              <w:t>名中标候选人。</w:t>
            </w:r>
          </w:p>
        </w:tc>
      </w:tr>
      <w:tr w14:paraId="191E86E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19</w:t>
            </w:r>
          </w:p>
        </w:tc>
        <w:tc>
          <w:tcPr>
            <w:tcW w:w="1308" w:type="dxa"/>
            <w:tcBorders>
              <w:top w:val="single" w:color="auto" w:sz="8" w:space="0"/>
              <w:left w:val="single" w:color="auto" w:sz="4" w:space="0"/>
              <w:bottom w:val="single" w:color="auto" w:sz="8" w:space="0"/>
              <w:right w:val="single" w:color="auto" w:sz="4" w:space="0"/>
            </w:tcBorders>
            <w:vAlign w:val="center"/>
          </w:tcPr>
          <w:p w14:paraId="77F75070">
            <w:pPr>
              <w:pStyle w:val="24"/>
              <w:keepNext w:val="0"/>
              <w:keepLines w:val="0"/>
              <w:pageBreakBefore w:val="0"/>
              <w:kinsoku/>
              <w:overflowPunct/>
              <w:topLinePunct w:val="0"/>
              <w:autoSpaceDE/>
              <w:autoSpaceDN/>
              <w:bidi w:val="0"/>
              <w:adjustRightInd/>
              <w:snapToGrid/>
              <w:spacing w:line="440" w:lineRule="exact"/>
              <w:jc w:val="left"/>
              <w:textAlignment w:val="auto"/>
              <w:rPr>
                <w:rFonts w:hint="eastAsia"/>
                <w:color w:val="auto"/>
                <w:szCs w:val="21"/>
                <w:highlight w:val="none"/>
              </w:rPr>
            </w:pPr>
            <w:r>
              <w:rPr>
                <w:rFonts w:hint="eastAsia"/>
                <w:color w:val="auto"/>
                <w:szCs w:val="21"/>
                <w:highlight w:val="none"/>
              </w:rPr>
              <w:t>中标结果公告媒介</w:t>
            </w:r>
          </w:p>
        </w:tc>
        <w:tc>
          <w:tcPr>
            <w:tcW w:w="7488" w:type="dxa"/>
            <w:tcBorders>
              <w:top w:val="single" w:color="auto" w:sz="8" w:space="0"/>
              <w:left w:val="single" w:color="auto" w:sz="4" w:space="0"/>
              <w:bottom w:val="single" w:color="auto" w:sz="8" w:space="0"/>
              <w:right w:val="single" w:color="auto" w:sz="8" w:space="0"/>
            </w:tcBorders>
            <w:vAlign w:val="top"/>
          </w:tcPr>
          <w:p w14:paraId="2F0DB711">
            <w:pPr>
              <w:pStyle w:val="24"/>
              <w:keepNext w:val="0"/>
              <w:keepLines w:val="0"/>
              <w:pageBreakBefore w:val="0"/>
              <w:kinsoku/>
              <w:wordWrap w:val="0"/>
              <w:overflowPunct/>
              <w:topLinePunct w:val="0"/>
              <w:autoSpaceDE/>
              <w:autoSpaceDN/>
              <w:bidi w:val="0"/>
              <w:adjustRightInd/>
              <w:snapToGrid/>
              <w:spacing w:line="480" w:lineRule="exact"/>
              <w:ind w:left="63" w:leftChars="30" w:right="63" w:rightChars="30"/>
              <w:textAlignment w:val="auto"/>
              <w:rPr>
                <w:rFonts w:hint="eastAsia"/>
                <w:color w:val="auto"/>
                <w:szCs w:val="21"/>
                <w:highlight w:val="none"/>
              </w:rPr>
            </w:pP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ascii="宋体" w:hAnsi="宋体" w:eastAsia="宋体" w:cs="宋体"/>
                <w:color w:val="auto"/>
                <w:szCs w:val="21"/>
                <w:highlight w:val="none"/>
              </w:rPr>
              <w:t>滁州市重点工程建设管理处（http://zdc.chuzhou.gov.cn/）</w:t>
            </w:r>
            <w:r>
              <w:rPr>
                <w:rFonts w:hint="eastAsia"/>
                <w:color w:val="auto"/>
                <w:spacing w:val="-4"/>
                <w:szCs w:val="21"/>
                <w:highlight w:val="none"/>
              </w:rPr>
              <w:t>等网站</w:t>
            </w:r>
          </w:p>
        </w:tc>
      </w:tr>
      <w:tr w14:paraId="6EA640C0">
        <w:tblPrEx>
          <w:tblCellMar>
            <w:top w:w="0" w:type="dxa"/>
            <w:left w:w="0" w:type="dxa"/>
            <w:bottom w:w="0" w:type="dxa"/>
            <w:right w:w="0" w:type="dxa"/>
          </w:tblCellMar>
        </w:tblPrEx>
        <w:trPr>
          <w:trHeight w:val="478" w:hRule="atLeast"/>
        </w:trPr>
        <w:tc>
          <w:tcPr>
            <w:tcW w:w="792"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w:t>
            </w:r>
          </w:p>
        </w:tc>
        <w:tc>
          <w:tcPr>
            <w:tcW w:w="1308"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adjustRightInd/>
              <w:snapToGrid/>
              <w:spacing w:line="440" w:lineRule="exact"/>
              <w:jc w:val="left"/>
              <w:textAlignment w:val="auto"/>
              <w:rPr>
                <w:rFonts w:hint="eastAsia"/>
                <w:color w:val="auto"/>
                <w:szCs w:val="21"/>
                <w:highlight w:val="none"/>
              </w:rPr>
            </w:pPr>
            <w:r>
              <w:rPr>
                <w:rFonts w:hint="eastAsia" w:ascii="宋体"/>
                <w:color w:val="auto"/>
                <w:szCs w:val="21"/>
                <w:highlight w:val="none"/>
              </w:rPr>
              <w:t>履约担保</w:t>
            </w:r>
          </w:p>
        </w:tc>
        <w:tc>
          <w:tcPr>
            <w:tcW w:w="7488"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80" w:lineRule="exact"/>
              <w:ind w:left="63" w:leftChars="30" w:right="63" w:rightChars="30"/>
              <w:jc w:val="both"/>
              <w:textAlignment w:val="auto"/>
              <w:rPr>
                <w:rFonts w:hint="eastAsia"/>
                <w:color w:val="auto"/>
                <w:szCs w:val="21"/>
                <w:highlight w:val="none"/>
              </w:rPr>
            </w:pPr>
            <w:r>
              <w:rPr>
                <w:rFonts w:hint="eastAsia"/>
                <w:color w:val="auto"/>
                <w:szCs w:val="21"/>
                <w:highlight w:val="none"/>
              </w:rPr>
              <w:t>是否收取履约担保：□收取，</w:t>
            </w:r>
            <w:r>
              <w:rPr>
                <w:rFonts w:hint="eastAsia"/>
                <w:color w:val="auto"/>
                <w:szCs w:val="21"/>
                <w:highlight w:val="none"/>
              </w:rPr>
              <w:sym w:font="Wingdings 2" w:char="0052"/>
            </w:r>
            <w:r>
              <w:rPr>
                <w:rFonts w:hint="eastAsia"/>
                <w:color w:val="auto"/>
                <w:szCs w:val="21"/>
                <w:highlight w:val="none"/>
              </w:rPr>
              <w:t>不收取</w:t>
            </w:r>
          </w:p>
        </w:tc>
      </w:tr>
      <w:tr w14:paraId="361F7F39">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4E9DEB7B">
            <w:pPr>
              <w:keepNext w:val="0"/>
              <w:keepLines w:val="0"/>
              <w:pageBreakBefore w:val="0"/>
              <w:widowControl/>
              <w:kinsoku/>
              <w:overflowPunct/>
              <w:topLinePunct w:val="0"/>
              <w:autoSpaceDE/>
              <w:autoSpaceDN/>
              <w:bidi w:val="0"/>
              <w:adjustRightInd/>
              <w:snapToGrid/>
              <w:spacing w:line="480" w:lineRule="exact"/>
              <w:ind w:left="63" w:leftChars="30" w:right="63" w:rightChars="30"/>
              <w:jc w:val="center"/>
              <w:textAlignment w:val="auto"/>
              <w:rPr>
                <w:rFonts w:hint="eastAsia"/>
                <w:color w:val="auto"/>
                <w:szCs w:val="21"/>
                <w:highlight w:val="none"/>
              </w:rPr>
            </w:pPr>
            <w:r>
              <w:rPr>
                <w:rFonts w:hint="eastAsia" w:ascii="宋体" w:hAnsi="宋体" w:eastAsia="宋体" w:cs="宋体"/>
                <w:b/>
                <w:bCs/>
                <w:color w:val="auto"/>
                <w:sz w:val="21"/>
                <w:szCs w:val="21"/>
                <w:highlight w:val="none"/>
              </w:rPr>
              <w:t>需要补充的其他内容</w:t>
            </w:r>
          </w:p>
        </w:tc>
      </w:tr>
      <w:tr w14:paraId="1140AE85">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电子招标投标</w:t>
            </w:r>
          </w:p>
        </w:tc>
        <w:tc>
          <w:tcPr>
            <w:tcW w:w="7488" w:type="dxa"/>
            <w:tcBorders>
              <w:top w:val="single" w:color="auto" w:sz="8" w:space="0"/>
              <w:left w:val="single" w:color="auto" w:sz="4" w:space="0"/>
              <w:bottom w:val="single" w:color="auto" w:sz="8" w:space="0"/>
              <w:right w:val="single" w:color="auto" w:sz="8" w:space="0"/>
            </w:tcBorders>
            <w:vAlign w:val="center"/>
          </w:tcPr>
          <w:p w14:paraId="57193DD9">
            <w:pPr>
              <w:keepNext w:val="0"/>
              <w:keepLines w:val="0"/>
              <w:pageBreakBefore w:val="0"/>
              <w:kinsoku/>
              <w:overflowPunct/>
              <w:topLinePunct w:val="0"/>
              <w:autoSpaceDE/>
              <w:autoSpaceDN/>
              <w:bidi w:val="0"/>
              <w:adjustRightInd/>
              <w:snapToGrid/>
              <w:spacing w:line="480" w:lineRule="exact"/>
              <w:ind w:left="63" w:leftChars="30" w:right="63" w:righ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53DD2192">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0E373B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488"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2.在滁州市重点工程管理处限制承揽业务期限内的企业不予参加。</w:t>
            </w:r>
          </w:p>
          <w:p w14:paraId="38C5E71F">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34C31394">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4.本项目招标代理单位、清单控制价编制单位、监理单位及项目跟踪审计不得参加投标。</w:t>
            </w:r>
          </w:p>
        </w:tc>
      </w:tr>
      <w:tr w14:paraId="234C8D6C">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488" w:type="dxa"/>
            <w:tcBorders>
              <w:top w:val="single" w:color="auto" w:sz="8" w:space="0"/>
              <w:left w:val="single" w:color="auto" w:sz="4" w:space="0"/>
              <w:bottom w:val="single" w:color="auto" w:sz="8" w:space="0"/>
              <w:right w:val="single" w:color="auto" w:sz="8" w:space="0"/>
            </w:tcBorders>
            <w:vAlign w:val="center"/>
          </w:tcPr>
          <w:p w14:paraId="4E0E6A65">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1、项目建设期间，相关部门将对跟踪审计工作进行不定期检查，如发现有不符合《跟踪审计委托协议》相关工作要求的行为，将按照约定给予相应的处罚。</w:t>
            </w:r>
          </w:p>
          <w:p w14:paraId="64C927B7">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2、本项目执行《工程造价咨询服务管理办法》中相关规定</w:t>
            </w:r>
            <w:r>
              <w:rPr>
                <w:rFonts w:hint="eastAsia" w:ascii="宋体" w:hAnsi="宋体" w:cs="宋体"/>
                <w:color w:val="auto"/>
                <w:kern w:val="0"/>
                <w:sz w:val="21"/>
                <w:szCs w:val="21"/>
                <w:highlight w:val="none"/>
                <w:lang w:val="en-US" w:eastAsia="zh-CN"/>
              </w:rPr>
              <w:t>。</w:t>
            </w:r>
          </w:p>
          <w:p w14:paraId="6EEE0425">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本项目结算不支持付款给分公司。</w:t>
            </w:r>
          </w:p>
          <w:p w14:paraId="45103D70">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0599FC0E">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488"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招标代理费及专家评审费</w:t>
            </w:r>
          </w:p>
        </w:tc>
        <w:tc>
          <w:tcPr>
            <w:tcW w:w="7488"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8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本项目招标代理服务费用0元，专家评审费另计（最终以实际发生为准，按实计收），中标单位在领取中标通知书前一次性支付给代理公司</w:t>
            </w:r>
            <w:r>
              <w:rPr>
                <w:rFonts w:hint="eastAsia" w:ascii="宋体" w:hAnsi="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highlight w:val="none"/>
                <w:lang w:val="en-US" w:eastAsia="zh-CN"/>
              </w:rPr>
            </w:pPr>
            <w:r>
              <w:rPr>
                <w:rFonts w:hint="eastAsia" w:ascii="宋体" w:hAnsi="宋体" w:cs="宋体"/>
                <w:color w:val="auto"/>
                <w:szCs w:val="21"/>
                <w:highlight w:val="none"/>
              </w:rPr>
              <w:t>评标过程中的澄清、说明或补正</w:t>
            </w:r>
          </w:p>
        </w:tc>
        <w:tc>
          <w:tcPr>
            <w:tcW w:w="7488"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）评标委员会通过</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系统将需要澄清、说明或补正的内容以询标函的形式发送给投标人，投标人应安排专人登录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rPr>
              <w:t>2</w:t>
            </w:r>
            <w:r>
              <w:rPr>
                <w:rFonts w:hint="eastAsia" w:ascii="宋体" w:hAnsi="宋体" w:cs="宋体"/>
                <w:color w:val="auto"/>
                <w:szCs w:val="21"/>
                <w:highlight w:val="none"/>
              </w:rPr>
              <w:t>）因投标人未登录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712B3984">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484E3761">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其他说明</w:t>
            </w:r>
          </w:p>
        </w:tc>
        <w:tc>
          <w:tcPr>
            <w:tcW w:w="7488" w:type="dxa"/>
            <w:tcBorders>
              <w:top w:val="single" w:color="auto" w:sz="8" w:space="0"/>
              <w:left w:val="single" w:color="auto" w:sz="4" w:space="0"/>
              <w:bottom w:val="single" w:color="auto" w:sz="8" w:space="0"/>
              <w:right w:val="single" w:color="auto" w:sz="8" w:space="0"/>
            </w:tcBorders>
            <w:vAlign w:val="center"/>
          </w:tcPr>
          <w:p w14:paraId="4B6AF51A">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本招标文件前后条款若有不一致之处，在澄清答疑时又未作出明确规定时，各投标人的投标文件只要满足其中任一条款，均视为对本招标文件的响应。</w:t>
            </w:r>
          </w:p>
          <w:p w14:paraId="6C350BFF">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系统中提供的表格与招标文件中不一致时，以招标文件中提供的表格格式为准。</w:t>
            </w:r>
          </w:p>
          <w:p w14:paraId="5EC89112">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本项目招标公告与本招标文件不一致之处，以本招标文件为准。</w:t>
            </w:r>
          </w:p>
          <w:p w14:paraId="78ECF2E5">
            <w:pPr>
              <w:keepNext w:val="0"/>
              <w:keepLines w:val="0"/>
              <w:pageBreakBefore w:val="0"/>
              <w:widowControl/>
              <w:kinsoku/>
              <w:wordWrap/>
              <w:overflowPunct/>
              <w:topLinePunct w:val="0"/>
              <w:autoSpaceDE/>
              <w:autoSpaceDN/>
              <w:bidi w:val="0"/>
              <w:adjustRightInd/>
              <w:snapToGrid/>
              <w:spacing w:line="48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本文件的最终解释权归招标人、招标代理机构所有。</w:t>
            </w:r>
          </w:p>
        </w:tc>
      </w:tr>
    </w:tbl>
    <w:p w14:paraId="6B6B80AD">
      <w:pPr>
        <w:pStyle w:val="3"/>
        <w:spacing w:before="0" w:after="0"/>
        <w:rPr>
          <w:rFonts w:hint="eastAsia" w:ascii="宋体" w:hAnsi="宋体" w:eastAsia="宋体" w:cs="宋体"/>
          <w:color w:val="auto"/>
          <w:highlight w:val="none"/>
        </w:rPr>
      </w:pPr>
    </w:p>
    <w:p w14:paraId="0239A691">
      <w:pPr>
        <w:rPr>
          <w:rFonts w:hint="eastAsia" w:ascii="宋体" w:hAnsi="宋体" w:eastAsia="宋体" w:cs="宋体"/>
          <w:color w:val="auto"/>
          <w:highlight w:val="none"/>
        </w:rPr>
      </w:pPr>
    </w:p>
    <w:p w14:paraId="42D22371">
      <w:pPr>
        <w:pStyle w:val="44"/>
        <w:rPr>
          <w:rFonts w:hint="eastAsia" w:ascii="宋体" w:hAnsi="宋体" w:eastAsia="宋体" w:cs="宋体"/>
          <w:color w:val="auto"/>
          <w:highlight w:val="none"/>
        </w:rPr>
      </w:pPr>
    </w:p>
    <w:p w14:paraId="0B077E29">
      <w:pPr>
        <w:rPr>
          <w:rFonts w:hint="eastAsia" w:ascii="宋体" w:hAnsi="宋体" w:eastAsia="宋体" w:cs="宋体"/>
          <w:color w:val="auto"/>
          <w:highlight w:val="none"/>
        </w:rPr>
      </w:pPr>
    </w:p>
    <w:p w14:paraId="38BD0DF9">
      <w:pPr>
        <w:pStyle w:val="44"/>
        <w:rPr>
          <w:rFonts w:hint="eastAsia" w:ascii="宋体" w:hAnsi="宋体" w:eastAsia="宋体" w:cs="宋体"/>
          <w:color w:val="auto"/>
          <w:highlight w:val="none"/>
        </w:rPr>
      </w:pPr>
    </w:p>
    <w:p w14:paraId="29DFA8C4">
      <w:pPr>
        <w:rPr>
          <w:rFonts w:hint="eastAsia" w:ascii="宋体" w:hAnsi="宋体" w:eastAsia="宋体" w:cs="宋体"/>
          <w:color w:val="auto"/>
          <w:highlight w:val="none"/>
        </w:rPr>
      </w:pPr>
    </w:p>
    <w:p w14:paraId="22651DDE">
      <w:pPr>
        <w:pStyle w:val="44"/>
        <w:rPr>
          <w:rFonts w:hint="eastAsia" w:ascii="宋体" w:hAnsi="宋体" w:eastAsia="宋体" w:cs="宋体"/>
          <w:color w:val="auto"/>
          <w:highlight w:val="none"/>
        </w:rPr>
      </w:pPr>
    </w:p>
    <w:p w14:paraId="0E1D3FAF">
      <w:pPr>
        <w:rPr>
          <w:rFonts w:hint="eastAsia" w:ascii="宋体" w:hAnsi="宋体" w:eastAsia="宋体" w:cs="宋体"/>
          <w:color w:val="auto"/>
          <w:highlight w:val="none"/>
        </w:rPr>
      </w:pPr>
    </w:p>
    <w:p w14:paraId="396EF2B9">
      <w:pPr>
        <w:pStyle w:val="44"/>
        <w:rPr>
          <w:rFonts w:hint="eastAsia" w:ascii="宋体" w:hAnsi="宋体" w:eastAsia="宋体" w:cs="宋体"/>
          <w:color w:val="auto"/>
          <w:highlight w:val="none"/>
        </w:rPr>
      </w:pPr>
    </w:p>
    <w:p w14:paraId="202E0C52">
      <w:pPr>
        <w:rPr>
          <w:rFonts w:hint="eastAsia" w:ascii="宋体" w:hAnsi="宋体" w:eastAsia="宋体" w:cs="宋体"/>
          <w:color w:val="auto"/>
          <w:highlight w:val="none"/>
        </w:rPr>
      </w:pPr>
    </w:p>
    <w:p w14:paraId="4132C785">
      <w:pPr>
        <w:pStyle w:val="44"/>
        <w:rPr>
          <w:rFonts w:hint="eastAsia"/>
          <w:color w:val="auto"/>
          <w:highlight w:val="none"/>
        </w:rPr>
      </w:pPr>
    </w:p>
    <w:p w14:paraId="7BF8D4DF">
      <w:pPr>
        <w:rPr>
          <w:rFonts w:hint="eastAsia" w:ascii="宋体" w:hAnsi="宋体" w:eastAsia="宋体" w:cs="宋体"/>
          <w:color w:val="auto"/>
          <w:highlight w:val="none"/>
        </w:rPr>
      </w:pPr>
    </w:p>
    <w:p w14:paraId="6AFBE702">
      <w:pPr>
        <w:rPr>
          <w:rFonts w:hint="eastAsia" w:ascii="宋体" w:hAnsi="宋体" w:eastAsia="宋体" w:cs="宋体"/>
          <w:b/>
          <w:bCs/>
          <w:color w:val="auto"/>
          <w:sz w:val="28"/>
          <w:highlight w:val="none"/>
        </w:rPr>
      </w:pPr>
      <w:bookmarkStart w:id="42" w:name="_Toc515"/>
      <w:bookmarkStart w:id="43" w:name="_Toc13663"/>
      <w:r>
        <w:rPr>
          <w:rFonts w:hint="eastAsia" w:ascii="宋体" w:hAnsi="宋体" w:eastAsia="宋体" w:cs="宋体"/>
          <w:b/>
          <w:bCs/>
          <w:color w:val="auto"/>
          <w:sz w:val="28"/>
          <w:highlight w:val="none"/>
        </w:rPr>
        <w:br w:type="page"/>
      </w:r>
    </w:p>
    <w:p w14:paraId="6094F76D">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2"/>
      <w:bookmarkEnd w:id="43"/>
    </w:p>
    <w:p w14:paraId="5FB3339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名称：</w:t>
      </w:r>
      <w:r>
        <w:rPr>
          <w:rFonts w:hint="eastAsia" w:ascii="宋体" w:hAnsi="宋体" w:cs="宋体"/>
          <w:color w:val="auto"/>
          <w:kern w:val="0"/>
          <w:sz w:val="21"/>
          <w:szCs w:val="21"/>
          <w:highlight w:val="none"/>
          <w:u w:val="none"/>
          <w:lang w:val="en-US" w:eastAsia="zh-CN"/>
        </w:rPr>
        <w:t>2023年市政基础设施中修、安保和养护工程五标段排水设施养护维修项目结算复核服务项目</w:t>
      </w:r>
    </w:p>
    <w:p w14:paraId="26F9FD9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eastAsia="宋体" w:cs="宋体"/>
          <w:color w:val="auto"/>
          <w:sz w:val="21"/>
          <w:szCs w:val="21"/>
          <w:highlight w:val="none"/>
          <w:u w:val="none"/>
          <w:lang w:val="en-US" w:eastAsia="zh-CN"/>
        </w:rPr>
        <w:t>滁州市市政设施管理中心</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cs="宋体"/>
          <w:color w:val="auto"/>
          <w:sz w:val="21"/>
          <w:szCs w:val="21"/>
          <w:highlight w:val="none"/>
          <w:u w:val="none"/>
          <w:lang w:val="en-US" w:eastAsia="zh-CN"/>
        </w:rPr>
        <w:t>2023年市政基础设施中修、安保和养护工程五标段排水设施养护维修项目</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送审金额约440万元</w:t>
      </w:r>
      <w:r>
        <w:rPr>
          <w:rFonts w:hint="eastAsia" w:ascii="宋体" w:hAnsi="宋体" w:eastAsia="宋体" w:cs="宋体"/>
          <w:color w:val="auto"/>
          <w:sz w:val="21"/>
          <w:szCs w:val="21"/>
          <w:highlight w:val="none"/>
          <w:u w:val="none"/>
          <w:lang w:val="en-US" w:eastAsia="zh-CN"/>
        </w:rPr>
        <w:t>，服务费用约</w:t>
      </w:r>
      <w:r>
        <w:rPr>
          <w:rFonts w:hint="eastAsia" w:ascii="宋体" w:hAnsi="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val="en-US" w:eastAsia="zh-CN"/>
        </w:rPr>
        <w:t>万元</w:t>
      </w:r>
      <w:r>
        <w:rPr>
          <w:rFonts w:hint="eastAsia" w:ascii="宋体" w:hAnsi="宋体" w:eastAsia="宋体" w:cs="宋体"/>
          <w:color w:val="auto"/>
          <w:kern w:val="0"/>
          <w:sz w:val="21"/>
          <w:szCs w:val="21"/>
          <w:highlight w:val="none"/>
          <w:u w:val="none"/>
          <w:lang w:val="en-US" w:eastAsia="zh-CN"/>
        </w:rPr>
        <w:t>。</w:t>
      </w:r>
    </w:p>
    <w:p w14:paraId="3FC6757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服务需求</w:t>
      </w:r>
    </w:p>
    <w:p w14:paraId="5831824C">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2B98AD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0330481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74D9A58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1F7FF8E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577796E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2B5113F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58FF222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5EB78DEC">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8D02FB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6A7ADDF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3200DD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5ABC7BD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7FDA44C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6DFAA1D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3F418DB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69602B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14:paraId="446700B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章评标办法）。</w:t>
      </w:r>
    </w:p>
    <w:p w14:paraId="13B7D934">
      <w:pPr>
        <w:spacing w:line="400" w:lineRule="exact"/>
        <w:jc w:val="center"/>
        <w:outlineLvl w:val="1"/>
        <w:rPr>
          <w:rFonts w:hint="eastAsia" w:ascii="宋体" w:hAnsi="宋体" w:eastAsia="宋体" w:cs="宋体"/>
          <w:b/>
          <w:bCs/>
          <w:color w:val="auto"/>
          <w:sz w:val="28"/>
          <w:highlight w:val="none"/>
        </w:rPr>
      </w:pPr>
      <w:bookmarkStart w:id="44" w:name="_Toc29988"/>
      <w:bookmarkStart w:id="45" w:name="_Toc17301"/>
    </w:p>
    <w:p w14:paraId="2DD47ABF">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4"/>
      <w:bookmarkEnd w:id="45"/>
    </w:p>
    <w:p w14:paraId="62AC36E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440" w:lineRule="exact"/>
        <w:ind w:firstLine="840" w:firstLineChars="4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440" w:lineRule="exact"/>
        <w:ind w:firstLine="840" w:firstLineChars="4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440" w:lineRule="exact"/>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440" w:lineRule="exact"/>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13.4投标人可以通过新点电子交易平台【滁州专区】对招标文件提出澄清（异议）。招标文件的澄清将在滁州市城投工程咨询管理有限公司（https://www.czctgczx.com/）、滁州市重点工程建设管理处（http://zdc.chuzhou.gov.cn/）等网站发布，但不指明澄清问题的来源。如果澄清内容影响投标文件编制的，将相应延长投标截止时间。</w:t>
      </w:r>
    </w:p>
    <w:p w14:paraId="182D12D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本项目的最高限价为基本费</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000元</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基本费由投标人自主报价，</w:t>
      </w:r>
      <w:r>
        <w:rPr>
          <w:rFonts w:hint="eastAsia" w:ascii="宋体" w:hAnsi="宋体" w:eastAsia="宋体" w:cs="宋体"/>
          <w:b/>
          <w:bCs/>
          <w:color w:val="auto"/>
          <w:sz w:val="21"/>
          <w:szCs w:val="21"/>
          <w:highlight w:val="none"/>
        </w:rPr>
        <w:t>不得高于上述基本费最高限价，否则按无效标处理。</w:t>
      </w:r>
    </w:p>
    <w:p w14:paraId="118CF4A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outlineLvl w:val="1"/>
        <w:rPr>
          <w:rFonts w:hint="eastAsia" w:ascii="宋体" w:hAnsi="宋体" w:eastAsia="宋体" w:cs="宋体"/>
          <w:color w:val="auto"/>
          <w:sz w:val="28"/>
          <w:szCs w:val="28"/>
          <w:highlight w:val="none"/>
        </w:rPr>
      </w:pPr>
      <w:bookmarkStart w:id="46" w:name="_Toc24852"/>
    </w:p>
    <w:p w14:paraId="344A8BB9">
      <w:pPr>
        <w:spacing w:line="400" w:lineRule="exact"/>
        <w:jc w:val="center"/>
        <w:outlineLvl w:val="1"/>
        <w:rPr>
          <w:rFonts w:hint="eastAsia" w:ascii="宋体" w:hAnsi="宋体" w:eastAsia="宋体" w:cs="宋体"/>
          <w:b/>
          <w:bCs/>
          <w:color w:val="auto"/>
          <w:sz w:val="28"/>
          <w:highlight w:val="none"/>
        </w:rPr>
      </w:pPr>
      <w:bookmarkStart w:id="47" w:name="_Toc6831"/>
      <w:r>
        <w:rPr>
          <w:rFonts w:hint="eastAsia" w:ascii="宋体" w:hAnsi="宋体" w:eastAsia="宋体" w:cs="宋体"/>
          <w:b/>
          <w:bCs/>
          <w:color w:val="auto"/>
          <w:sz w:val="28"/>
          <w:highlight w:val="none"/>
        </w:rPr>
        <w:t>三、投标文件的编制</w:t>
      </w:r>
      <w:bookmarkEnd w:id="46"/>
      <w:bookmarkEnd w:id="47"/>
    </w:p>
    <w:p w14:paraId="64695F4A">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457CE7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529DCA5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1D000F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keepNext w:val="0"/>
        <w:keepLines w:val="0"/>
        <w:pageBreakBefore w:val="0"/>
        <w:widowControl w:val="0"/>
        <w:numPr>
          <w:ilvl w:val="0"/>
          <w:numId w:val="0"/>
        </w:numPr>
        <w:kinsoku/>
        <w:wordWrap/>
        <w:overflowPunct/>
        <w:topLinePunct w:val="0"/>
        <w:autoSpaceDE/>
        <w:autoSpaceDN/>
        <w:bidi w:val="0"/>
        <w:spacing w:line="440" w:lineRule="exact"/>
        <w:ind w:firstLine="422" w:firstLineChars="200"/>
        <w:jc w:val="both"/>
        <w:textAlignment w:val="auto"/>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072124E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5E5DC0D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104595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506A6FC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6355F85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5B87B75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44"/>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65D00B0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r>
        <w:rPr>
          <w:rFonts w:hint="eastAsia" w:ascii="宋体" w:hAnsi="宋体" w:cs="宋体"/>
          <w:color w:val="auto"/>
          <w:kern w:val="0"/>
          <w:szCs w:val="21"/>
          <w:highlight w:val="none"/>
          <w:lang w:eastAsia="zh-CN"/>
        </w:rPr>
        <w:t>。</w:t>
      </w:r>
    </w:p>
    <w:p w14:paraId="235F67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2893E5B9">
      <w:pPr>
        <w:keepNext w:val="0"/>
        <w:keepLines w:val="0"/>
        <w:pageBreakBefore w:val="0"/>
        <w:widowControl w:val="0"/>
        <w:kinsoku/>
        <w:wordWrap/>
        <w:overflowPunct/>
        <w:topLinePunct w:val="0"/>
        <w:autoSpaceDE/>
        <w:autoSpaceDN/>
        <w:bidi w:val="0"/>
        <w:spacing w:line="440" w:lineRule="exact"/>
        <w:ind w:firstLine="480" w:firstLineChars="200"/>
        <w:jc w:val="center"/>
        <w:textAlignment w:val="auto"/>
        <w:outlineLvl w:val="1"/>
        <w:rPr>
          <w:rFonts w:hint="eastAsia" w:ascii="宋体" w:hAnsi="宋体" w:eastAsia="宋体" w:cs="宋体"/>
          <w:color w:val="auto"/>
          <w:sz w:val="24"/>
          <w:highlight w:val="none"/>
          <w:lang w:val="en-US" w:eastAsia="zh-CN"/>
        </w:rPr>
      </w:pPr>
      <w:bookmarkStart w:id="48" w:name="_Toc27519"/>
      <w:r>
        <w:rPr>
          <w:rFonts w:hint="eastAsia" w:ascii="宋体" w:hAnsi="宋体" w:eastAsia="宋体" w:cs="宋体"/>
          <w:color w:val="auto"/>
          <w:sz w:val="24"/>
          <w:highlight w:val="none"/>
          <w:lang w:val="en-US" w:eastAsia="zh-CN"/>
        </w:rPr>
        <w:t xml:space="preserve"> </w:t>
      </w:r>
    </w:p>
    <w:p w14:paraId="0A229A7F">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49" w:name="_Toc13407"/>
      <w:r>
        <w:rPr>
          <w:rFonts w:hint="eastAsia" w:ascii="宋体" w:hAnsi="宋体" w:eastAsia="宋体" w:cs="宋体"/>
          <w:b/>
          <w:bCs/>
          <w:color w:val="auto"/>
          <w:sz w:val="28"/>
          <w:highlight w:val="none"/>
        </w:rPr>
        <w:t>四、投标文件的递交</w:t>
      </w:r>
      <w:bookmarkEnd w:id="48"/>
      <w:bookmarkEnd w:id="49"/>
    </w:p>
    <w:p w14:paraId="354540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投标文件的提交</w:t>
      </w:r>
    </w:p>
    <w:p w14:paraId="7F8AEA8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8"/>
          <w:szCs w:val="28"/>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color w:val="auto"/>
          <w:highlight w:val="none"/>
        </w:rPr>
        <w:t>采用网上招投标的，在规定的投标截止时间前，投标人可以自行从网上招投标系统撤回已递交的投标文件，并可修改后重新上传，开标时以投标截止时间前投标人最终上传的投标文件为准</w:t>
      </w:r>
    </w:p>
    <w:p w14:paraId="71F4C495">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1"/>
        <w:rPr>
          <w:rFonts w:hint="eastAsia" w:ascii="宋体" w:hAnsi="宋体" w:eastAsia="宋体" w:cs="宋体"/>
          <w:b/>
          <w:bCs/>
          <w:color w:val="auto"/>
          <w:sz w:val="28"/>
          <w:highlight w:val="none"/>
        </w:rPr>
      </w:pPr>
      <w:bookmarkStart w:id="50" w:name="_Toc24005"/>
      <w:bookmarkStart w:id="51" w:name="_Toc18173"/>
    </w:p>
    <w:p w14:paraId="7500E7D0">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五、开标、评标和定标</w:t>
      </w:r>
      <w:bookmarkEnd w:id="50"/>
      <w:bookmarkEnd w:id="51"/>
    </w:p>
    <w:p w14:paraId="066918F9">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开标会议由代理机构主持。 </w:t>
      </w:r>
    </w:p>
    <w:p w14:paraId="04855B42">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（5）开标结束。 </w:t>
      </w:r>
    </w:p>
    <w:p w14:paraId="01DEFBCB">
      <w:pPr>
        <w:keepNext w:val="0"/>
        <w:keepLines w:val="0"/>
        <w:pageBreakBefore w:val="0"/>
        <w:widowControl w:val="0"/>
        <w:kinsoku/>
        <w:wordWrap w:val="0"/>
        <w:overflowPunct/>
        <w:topLinePunct w:val="0"/>
        <w:autoSpaceDE/>
        <w:autoSpaceDN/>
        <w:bidi w:val="0"/>
        <w:spacing w:line="440" w:lineRule="exact"/>
        <w:ind w:right="0" w:rightChars="0" w:firstLine="420" w:firstLineChars="2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多标包项目按照标段顺序按以上程序依次开标。 </w:t>
      </w:r>
    </w:p>
    <w:p w14:paraId="10B86A20">
      <w:pPr>
        <w:keepNext w:val="0"/>
        <w:keepLines w:val="0"/>
        <w:pageBreakBefore w:val="0"/>
        <w:widowControl w:val="0"/>
        <w:kinsoku/>
        <w:wordWrap/>
        <w:overflowPunct/>
        <w:topLinePunct w:val="0"/>
        <w:autoSpaceDE/>
        <w:autoSpaceDN/>
        <w:bidi w:val="0"/>
        <w:spacing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03615267">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keepNext w:val="0"/>
        <w:keepLines w:val="0"/>
        <w:pageBreakBefore w:val="0"/>
        <w:widowControl w:val="0"/>
        <w:kinsoku/>
        <w:overflowPunct/>
        <w:topLinePunct w:val="0"/>
        <w:autoSpaceDE/>
        <w:autoSpaceDN/>
        <w:bidi w:val="0"/>
        <w:spacing w:line="440" w:lineRule="exact"/>
        <w:ind w:right="0" w:rightChars="0" w:firstLine="422" w:firstLineChars="200"/>
        <w:jc w:val="left"/>
        <w:textAlignment w:val="auto"/>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6CDAF2D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0C36E7C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w:t>
      </w:r>
      <w:r>
        <w:rPr>
          <w:rFonts w:hint="eastAsia" w:ascii="宋体" w:hAnsi="宋体" w:cs="宋体"/>
          <w:b/>
          <w:bCs/>
          <w:color w:val="auto"/>
          <w:szCs w:val="21"/>
          <w:highlight w:val="none"/>
          <w:lang w:val="en-US" w:eastAsia="zh-CN"/>
        </w:rPr>
        <w:t>异议</w:t>
      </w:r>
      <w:r>
        <w:rPr>
          <w:rFonts w:hint="eastAsia" w:ascii="宋体" w:hAnsi="宋体" w:eastAsia="宋体" w:cs="宋体"/>
          <w:b/>
          <w:bCs/>
          <w:color w:val="auto"/>
          <w:szCs w:val="21"/>
          <w:highlight w:val="none"/>
          <w:lang w:val="en-US" w:eastAsia="zh-CN"/>
        </w:rPr>
        <w:t>(异议)及回复以及评标过程中询标流程操作手册。</w:t>
      </w:r>
    </w:p>
    <w:p w14:paraId="2A6BC29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w:t>
      </w:r>
      <w:r>
        <w:rPr>
          <w:rFonts w:hint="eastAsia" w:ascii="宋体" w:hAnsi="宋体" w:cs="宋体"/>
          <w:color w:val="auto"/>
          <w:szCs w:val="21"/>
          <w:highlight w:val="none"/>
          <w:lang w:val="en-US" w:eastAsia="zh-CN"/>
        </w:rPr>
        <w:t>异议</w:t>
      </w:r>
      <w:r>
        <w:rPr>
          <w:rFonts w:hint="eastAsia" w:ascii="宋体" w:hAnsi="宋体" w:eastAsia="宋体" w:cs="宋体"/>
          <w:color w:val="auto"/>
          <w:szCs w:val="21"/>
          <w:highlight w:val="none"/>
          <w:lang w:val="en-US" w:eastAsia="zh-CN"/>
        </w:rPr>
        <w:t>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keepNext w:val="0"/>
        <w:keepLines w:val="0"/>
        <w:pageBreakBefore w:val="0"/>
        <w:widowControl w:val="0"/>
        <w:kinsoku/>
        <w:overflowPunct/>
        <w:topLinePunct w:val="0"/>
        <w:autoSpaceDE/>
        <w:autoSpaceDN/>
        <w:bidi w:val="0"/>
        <w:spacing w:line="440" w:lineRule="exact"/>
        <w:ind w:right="0" w:rightChars="0" w:firstLine="422"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3E76CB44">
      <w:pPr>
        <w:pStyle w:val="16"/>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634B4A8C">
      <w:pPr>
        <w:pStyle w:val="16"/>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1F099C5C">
      <w:pPr>
        <w:pStyle w:val="16"/>
        <w:keepNext w:val="0"/>
        <w:keepLines w:val="0"/>
        <w:pageBreakBefore w:val="0"/>
        <w:widowControl w:val="0"/>
        <w:kinsoku/>
        <w:wordWrap w:val="0"/>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002F8488">
      <w:pPr>
        <w:pStyle w:val="16"/>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166F485C">
      <w:pPr>
        <w:pStyle w:val="16"/>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6"/>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keepNext w:val="0"/>
        <w:keepLines w:val="0"/>
        <w:pageBreakBefore w:val="0"/>
        <w:widowControl w:val="0"/>
        <w:kinsoku/>
        <w:overflowPunct/>
        <w:topLinePunct w:val="0"/>
        <w:autoSpaceDE/>
        <w:autoSpaceDN/>
        <w:bidi w:val="0"/>
        <w:adjustRightInd w:val="0"/>
        <w:snapToGrid w:val="0"/>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keepNext w:val="0"/>
        <w:keepLines w:val="0"/>
        <w:pageBreakBefore w:val="0"/>
        <w:widowControl w:val="0"/>
        <w:kinsoku/>
        <w:overflowPunct/>
        <w:topLinePunct w:val="0"/>
        <w:autoSpaceDE/>
        <w:autoSpaceDN/>
        <w:bidi w:val="0"/>
        <w:adjustRightInd w:val="0"/>
        <w:snapToGrid w:val="0"/>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keepNext w:val="0"/>
        <w:keepLines w:val="0"/>
        <w:pageBreakBefore w:val="0"/>
        <w:widowControl w:val="0"/>
        <w:kinsoku/>
        <w:overflowPunct/>
        <w:topLinePunct w:val="0"/>
        <w:autoSpaceDE/>
        <w:autoSpaceDN/>
        <w:bidi w:val="0"/>
        <w:adjustRightInd w:val="0"/>
        <w:snapToGrid w:val="0"/>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keepNext w:val="0"/>
        <w:keepLines w:val="0"/>
        <w:pageBreakBefore w:val="0"/>
        <w:widowControl w:val="0"/>
        <w:kinsoku/>
        <w:overflowPunct/>
        <w:topLinePunct w:val="0"/>
        <w:autoSpaceDE/>
        <w:autoSpaceDN/>
        <w:bidi w:val="0"/>
        <w:adjustRightInd w:val="0"/>
        <w:snapToGrid w:val="0"/>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keepNext w:val="0"/>
        <w:keepLines w:val="0"/>
        <w:pageBreakBefore w:val="0"/>
        <w:widowControl w:val="0"/>
        <w:kinsoku/>
        <w:overflowPunct/>
        <w:topLinePunct w:val="0"/>
        <w:autoSpaceDE/>
        <w:autoSpaceDN/>
        <w:bidi w:val="0"/>
        <w:adjustRightInd w:val="0"/>
        <w:snapToGrid w:val="0"/>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35313DCC">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重新招标后，投标截止时间结束后提交投标文件的投标人少于3家或者符合专业条件的投标人或对招标文件作出实质性响应的投标人不足3家的，招标人可采取竞争性谈判、单一来源采购方式进行项目发包。</w:t>
      </w:r>
    </w:p>
    <w:p w14:paraId="7295FCC4">
      <w:pPr>
        <w:keepNext w:val="0"/>
        <w:keepLines w:val="0"/>
        <w:pageBreakBefore w:val="0"/>
        <w:widowControl w:val="0"/>
        <w:kinsoku/>
        <w:overflowPunct/>
        <w:topLinePunct w:val="0"/>
        <w:autoSpaceDE/>
        <w:autoSpaceDN/>
        <w:bidi w:val="0"/>
        <w:spacing w:line="440" w:lineRule="exact"/>
        <w:ind w:right="0" w:rightChars="0" w:firstLine="420"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参加竞争性谈判、单一来源采购的投标人必须符合下列条件：①、投标资格符合招标文件要求；②、对招标文件作出实质性响应。 </w:t>
      </w:r>
    </w:p>
    <w:p w14:paraId="6CB16242">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2" w:name="_Toc22926"/>
      <w:bookmarkStart w:id="53" w:name="_Toc21491"/>
      <w:r>
        <w:rPr>
          <w:rFonts w:hint="eastAsia" w:ascii="宋体" w:hAnsi="宋体" w:eastAsia="宋体" w:cs="宋体"/>
          <w:b/>
          <w:bCs/>
          <w:color w:val="auto"/>
          <w:sz w:val="28"/>
          <w:highlight w:val="none"/>
        </w:rPr>
        <w:t>六、合同的授予</w:t>
      </w:r>
      <w:bookmarkEnd w:id="52"/>
      <w:bookmarkEnd w:id="53"/>
    </w:p>
    <w:p w14:paraId="2EDC14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4" w:name="_Toc31589_WPSOffice_Level1"/>
      <w:bookmarkStart w:id="55" w:name="_Toc3222"/>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lang w:eastAsia="zh-CN"/>
        </w:rPr>
      </w:pPr>
      <w:bookmarkStart w:id="56" w:name="_Toc449028875"/>
      <w:r>
        <w:rPr>
          <w:rFonts w:hint="eastAsia" w:ascii="宋体" w:hAnsi="宋体" w:eastAsia="宋体" w:cs="宋体"/>
          <w:b/>
          <w:bCs/>
          <w:color w:val="auto"/>
          <w:sz w:val="28"/>
          <w:highlight w:val="none"/>
          <w:lang w:val="en-US" w:eastAsia="zh-CN"/>
        </w:rPr>
        <w:t>八、</w:t>
      </w:r>
      <w:bookmarkEnd w:id="56"/>
      <w:r>
        <w:rPr>
          <w:rFonts w:hint="eastAsia" w:ascii="宋体" w:hAnsi="宋体" w:cs="宋体"/>
          <w:b/>
          <w:bCs/>
          <w:color w:val="auto"/>
          <w:sz w:val="28"/>
          <w:highlight w:val="none"/>
          <w:lang w:eastAsia="zh-CN"/>
        </w:rPr>
        <w:t>异议</w:t>
      </w:r>
    </w:p>
    <w:p w14:paraId="1CD4C1C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w:t>
      </w:r>
      <w:r>
        <w:rPr>
          <w:rFonts w:hint="eastAsia" w:ascii="宋体" w:hAnsi="宋体" w:cs="宋体"/>
          <w:b/>
          <w:color w:val="auto"/>
          <w:sz w:val="21"/>
          <w:szCs w:val="21"/>
          <w:highlight w:val="none"/>
          <w:lang w:eastAsia="zh-CN"/>
        </w:rPr>
        <w:t>异议</w:t>
      </w:r>
    </w:p>
    <w:p w14:paraId="2E4B5FF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w:t>
      </w:r>
      <w:r>
        <w:rPr>
          <w:rFonts w:hint="eastAsia" w:ascii="宋体" w:hAnsi="宋体" w:cs="宋体"/>
          <w:b/>
          <w:bCs/>
          <w:color w:val="auto"/>
          <w:sz w:val="21"/>
          <w:szCs w:val="21"/>
          <w:highlight w:val="none"/>
          <w:lang w:eastAsia="zh-CN"/>
        </w:rPr>
        <w:t>异议</w:t>
      </w:r>
      <w:r>
        <w:rPr>
          <w:rFonts w:hint="eastAsia" w:ascii="宋体" w:hAnsi="宋体" w:eastAsia="宋体" w:cs="宋体"/>
          <w:b/>
          <w:bCs/>
          <w:color w:val="auto"/>
          <w:sz w:val="21"/>
          <w:szCs w:val="21"/>
          <w:highlight w:val="none"/>
        </w:rPr>
        <w:t>（异议）函只能针对一个项目提出</w:t>
      </w:r>
      <w:r>
        <w:rPr>
          <w:rFonts w:hint="eastAsia" w:ascii="宋体" w:hAnsi="宋体" w:cs="宋体"/>
          <w:b/>
          <w:bCs/>
          <w:color w:val="auto"/>
          <w:sz w:val="21"/>
          <w:szCs w:val="21"/>
          <w:highlight w:val="none"/>
          <w:lang w:eastAsia="zh-CN"/>
        </w:rPr>
        <w:t>异议</w:t>
      </w:r>
      <w:r>
        <w:rPr>
          <w:rFonts w:hint="eastAsia" w:ascii="宋体" w:hAnsi="宋体" w:eastAsia="宋体" w:cs="宋体"/>
          <w:b/>
          <w:bCs/>
          <w:color w:val="auto"/>
          <w:sz w:val="21"/>
          <w:szCs w:val="21"/>
          <w:highlight w:val="none"/>
        </w:rPr>
        <w:t>，且针对同一招标采购程序环节的</w:t>
      </w:r>
      <w:r>
        <w:rPr>
          <w:rFonts w:hint="eastAsia" w:ascii="宋体" w:hAnsi="宋体" w:cs="宋体"/>
          <w:b/>
          <w:bCs/>
          <w:color w:val="auto"/>
          <w:sz w:val="21"/>
          <w:szCs w:val="21"/>
          <w:highlight w:val="none"/>
          <w:lang w:eastAsia="zh-CN"/>
        </w:rPr>
        <w:t>异议</w:t>
      </w:r>
      <w:r>
        <w:rPr>
          <w:rFonts w:hint="eastAsia" w:ascii="宋体" w:hAnsi="宋体" w:eastAsia="宋体" w:cs="宋体"/>
          <w:b/>
          <w:bCs/>
          <w:color w:val="auto"/>
          <w:sz w:val="21"/>
          <w:szCs w:val="21"/>
          <w:highlight w:val="none"/>
        </w:rPr>
        <w:t>（异议）应当一次性提出</w:t>
      </w:r>
      <w:r>
        <w:rPr>
          <w:rFonts w:hint="eastAsia" w:ascii="宋体" w:hAnsi="宋体" w:eastAsia="宋体" w:cs="宋体"/>
          <w:b/>
          <w:bCs/>
          <w:color w:val="auto"/>
          <w:sz w:val="21"/>
          <w:szCs w:val="21"/>
          <w:highlight w:val="none"/>
          <w:lang w:eastAsia="zh-CN"/>
        </w:rPr>
        <w:t>。</w:t>
      </w:r>
    </w:p>
    <w:p w14:paraId="5D681A0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lang w:val="en-US" w:eastAsia="zh-CN"/>
        </w:rPr>
        <w:t>，负有举证的责任。投标人提出</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lang w:val="en-US" w:eastAsia="zh-CN"/>
        </w:rPr>
        <w:t>应当提交</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lang w:val="en-US" w:eastAsia="zh-CN"/>
        </w:rPr>
        <w:t>函和必要的证明材料。书面异议材料应当包括以下内容：</w:t>
      </w:r>
    </w:p>
    <w:p w14:paraId="2A752D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（1）异议人的名称、地址、有效联系方式；</w:t>
      </w:r>
    </w:p>
    <w:p w14:paraId="5716AB9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（2）项目名称、项目编号、标段号（如有）；</w:t>
      </w:r>
    </w:p>
    <w:p w14:paraId="01C1DAF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（3）被异议人名称；</w:t>
      </w:r>
    </w:p>
    <w:p w14:paraId="55A15F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（4）具体的异议事项、基本事实及必要的证明材料；</w:t>
      </w:r>
    </w:p>
    <w:p w14:paraId="2869E6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（5）明确的请求及主张；</w:t>
      </w:r>
    </w:p>
    <w:p w14:paraId="0B6FA92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（6）提起异议的日期。</w:t>
      </w:r>
    </w:p>
    <w:p w14:paraId="674086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（7）异议人为法人的，应当由法定代表人或授权代表签字并加盖公章；为其他组织或个人的，异议材料须由其主要负责人或者异议人本人签字，并附有效身份证明复印件。</w:t>
      </w:r>
    </w:p>
    <w:p w14:paraId="287765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（8）异议人需要修改、补充异议材料的，应当在招标人或招标代理机构规定的期限内提交修改或补充材料。</w:t>
      </w:r>
    </w:p>
    <w:p w14:paraId="5C0D527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有下列情形之一的，不予受理：</w:t>
      </w:r>
    </w:p>
    <w:p w14:paraId="4C3231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（1）提出异议的主体不是所异议项目投标人或者其他利害关系人的； </w:t>
      </w:r>
    </w:p>
    <w:p w14:paraId="5A4361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（2）未在公示期间提出异议的；</w:t>
      </w:r>
    </w:p>
    <w:p w14:paraId="0D646D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（3）异议材料不完整的；</w:t>
      </w:r>
    </w:p>
    <w:p w14:paraId="55ED81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（4）异议事项含有主观猜测等内容且未提供有效线索、难以查证的；</w:t>
      </w:r>
    </w:p>
    <w:p w14:paraId="46FBFFD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（5）对其他投标人的投标文件详细内容异议，无法提供合法来源渠道的；</w:t>
      </w:r>
    </w:p>
    <w:p w14:paraId="07F11C0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（6）异议事项已进入投诉处理、行政复议或行政诉讼程序的。</w:t>
      </w:r>
    </w:p>
    <w:p w14:paraId="26A452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w:t>
      </w:r>
      <w:r>
        <w:rPr>
          <w:rFonts w:hint="eastAsia" w:ascii="宋体" w:hAnsi="宋体" w:cs="宋体"/>
          <w:color w:val="auto"/>
          <w:kern w:val="10"/>
          <w:sz w:val="21"/>
          <w:szCs w:val="21"/>
          <w:highlight w:val="none"/>
          <w:lang w:eastAsia="zh-CN"/>
        </w:rPr>
        <w:t>异议</w:t>
      </w:r>
      <w:r>
        <w:rPr>
          <w:rFonts w:hint="eastAsia" w:ascii="宋体" w:hAnsi="宋体" w:eastAsia="宋体" w:cs="宋体"/>
          <w:color w:val="auto"/>
          <w:kern w:val="10"/>
          <w:sz w:val="21"/>
          <w:szCs w:val="21"/>
          <w:highlight w:val="none"/>
        </w:rPr>
        <w:t>函后，将审查</w:t>
      </w:r>
      <w:r>
        <w:rPr>
          <w:rFonts w:hint="eastAsia" w:ascii="宋体" w:hAnsi="宋体" w:cs="宋体"/>
          <w:color w:val="auto"/>
          <w:kern w:val="10"/>
          <w:sz w:val="21"/>
          <w:szCs w:val="21"/>
          <w:highlight w:val="none"/>
          <w:lang w:eastAsia="zh-CN"/>
        </w:rPr>
        <w:t>异议</w:t>
      </w:r>
      <w:r>
        <w:rPr>
          <w:rFonts w:hint="eastAsia" w:ascii="宋体" w:hAnsi="宋体" w:eastAsia="宋体" w:cs="宋体"/>
          <w:color w:val="auto"/>
          <w:kern w:val="10"/>
          <w:sz w:val="21"/>
          <w:szCs w:val="21"/>
          <w:highlight w:val="none"/>
        </w:rPr>
        <w:t>函的格式、内容以及所附的证明文件是否符合要求。如不符合，说明原因退回投标人；如符合要求，则接受该</w:t>
      </w:r>
      <w:r>
        <w:rPr>
          <w:rFonts w:hint="eastAsia" w:ascii="宋体" w:hAnsi="宋体" w:cs="宋体"/>
          <w:color w:val="auto"/>
          <w:kern w:val="10"/>
          <w:sz w:val="21"/>
          <w:szCs w:val="21"/>
          <w:highlight w:val="none"/>
          <w:lang w:eastAsia="zh-CN"/>
        </w:rPr>
        <w:t>异议</w:t>
      </w:r>
      <w:r>
        <w:rPr>
          <w:rFonts w:hint="eastAsia" w:ascii="宋体" w:hAnsi="宋体" w:eastAsia="宋体" w:cs="宋体"/>
          <w:color w:val="auto"/>
          <w:kern w:val="10"/>
          <w:sz w:val="21"/>
          <w:szCs w:val="21"/>
          <w:highlight w:val="none"/>
        </w:rPr>
        <w:t>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lang w:val="en-US" w:eastAsia="zh-CN"/>
        </w:rPr>
        <w:t>的时间，从实际接受投标人</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lang w:val="en-US" w:eastAsia="zh-CN"/>
        </w:rPr>
        <w:t>函的时间开始计算</w:t>
      </w:r>
      <w:r>
        <w:rPr>
          <w:rFonts w:hint="eastAsia" w:ascii="宋体" w:hAnsi="宋体" w:eastAsia="宋体" w:cs="宋体"/>
          <w:color w:val="auto"/>
          <w:kern w:val="10"/>
          <w:sz w:val="21"/>
          <w:szCs w:val="21"/>
          <w:highlight w:val="none"/>
        </w:rPr>
        <w:t>。</w:t>
      </w:r>
    </w:p>
    <w:p w14:paraId="32EDDA19">
      <w:pPr>
        <w:pStyle w:val="3"/>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7" w:name="_Toc13234"/>
      <w:r>
        <w:rPr>
          <w:rFonts w:hint="eastAsia" w:ascii="宋体" w:hAnsi="宋体" w:eastAsia="宋体" w:cs="宋体"/>
          <w:color w:val="auto"/>
          <w:highlight w:val="none"/>
          <w:lang w:val="en-US" w:eastAsia="zh-CN"/>
        </w:rPr>
        <w:t>第二章 评标办法</w:t>
      </w:r>
      <w:bookmarkEnd w:id="57"/>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58" w:name="_Toc14912"/>
      <w:r>
        <w:rPr>
          <w:rFonts w:hint="eastAsia" w:ascii="宋体" w:hAnsi="宋体" w:eastAsia="宋体" w:cs="宋体"/>
          <w:b/>
          <w:bCs/>
          <w:color w:val="auto"/>
          <w:sz w:val="24"/>
          <w:szCs w:val="24"/>
          <w:highlight w:val="none"/>
          <w:lang w:val="en-US" w:eastAsia="zh-CN"/>
        </w:rPr>
        <w:t>一、总则</w:t>
      </w:r>
      <w:bookmarkEnd w:id="58"/>
    </w:p>
    <w:p w14:paraId="068C503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法，评标委员会对满足招标文件实质性要求的投标文件，按照本章规定的评分标准进行打分，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1C9C5EA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招标人不接受投标单位主动提出的澄清。</w:t>
      </w:r>
    </w:p>
    <w:p w14:paraId="34335270">
      <w:pPr>
        <w:jc w:val="center"/>
        <w:outlineLvl w:val="1"/>
        <w:rPr>
          <w:rFonts w:hint="eastAsia" w:ascii="宋体"/>
          <w:b/>
          <w:color w:val="auto"/>
          <w:sz w:val="28"/>
          <w:szCs w:val="28"/>
          <w:highlight w:val="none"/>
        </w:rPr>
      </w:pPr>
      <w:bookmarkStart w:id="59" w:name="_Toc58430318"/>
      <w:bookmarkStart w:id="60" w:name="_Toc449028878"/>
      <w:bookmarkStart w:id="61" w:name="_Toc29779"/>
      <w:r>
        <w:rPr>
          <w:rFonts w:hint="eastAsia" w:ascii="宋体"/>
          <w:b/>
          <w:color w:val="auto"/>
          <w:sz w:val="28"/>
          <w:szCs w:val="28"/>
          <w:highlight w:val="none"/>
        </w:rPr>
        <w:t>二、投标文件初审</w:t>
      </w:r>
      <w:bookmarkEnd w:id="59"/>
      <w:bookmarkEnd w:id="60"/>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326"/>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评审因素</w:t>
            </w:r>
          </w:p>
        </w:tc>
        <w:tc>
          <w:tcPr>
            <w:tcW w:w="2326" w:type="dxa"/>
            <w:noWrap w:val="0"/>
            <w:vAlign w:val="center"/>
          </w:tcPr>
          <w:p w14:paraId="52F81D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326" w:type="dxa"/>
            <w:noWrap w:val="0"/>
            <w:vAlign w:val="center"/>
          </w:tcPr>
          <w:p w14:paraId="271423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326" w:type="dxa"/>
            <w:noWrap w:val="0"/>
            <w:vAlign w:val="center"/>
          </w:tcPr>
          <w:p w14:paraId="607FD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7227E2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452012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326" w:type="dxa"/>
            <w:noWrap w:val="0"/>
            <w:vAlign w:val="center"/>
          </w:tcPr>
          <w:p w14:paraId="2E0E8A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744FA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69BC9D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拟派项目负责人注册造价师证书（若注册证书上无法体现专业的，还需另行提供证明专业的证明材料）</w:t>
            </w:r>
          </w:p>
        </w:tc>
        <w:tc>
          <w:tcPr>
            <w:tcW w:w="2326" w:type="dxa"/>
            <w:noWrap w:val="0"/>
            <w:vAlign w:val="center"/>
          </w:tcPr>
          <w:p w14:paraId="68DD7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7B1411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6F4CA7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项目组其他成员（不含项目负责人）要求：</w:t>
            </w:r>
            <w:r>
              <w:rPr>
                <w:rFonts w:hint="eastAsia" w:ascii="宋体" w:hAnsi="宋体" w:eastAsia="宋体" w:cs="宋体"/>
                <w:color w:val="auto"/>
                <w:kern w:val="0"/>
                <w:sz w:val="21"/>
                <w:szCs w:val="21"/>
                <w:highlight w:val="none"/>
                <w:lang w:val="en-US" w:eastAsia="zh-CN"/>
              </w:rPr>
              <w:t>不少于2名且具有在本单位注册的二级及以上造价工程师（土木建筑工程专业至少1名、安装工程专业至少1名）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p>
        </w:tc>
        <w:tc>
          <w:tcPr>
            <w:tcW w:w="2326" w:type="dxa"/>
            <w:noWrap w:val="0"/>
            <w:vAlign w:val="center"/>
          </w:tcPr>
          <w:p w14:paraId="551EAE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1B267B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052770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326" w:type="dxa"/>
            <w:noWrap w:val="0"/>
            <w:vAlign w:val="center"/>
          </w:tcPr>
          <w:p w14:paraId="7662CE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638867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2A2A92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326" w:type="dxa"/>
            <w:noWrap w:val="0"/>
            <w:vAlign w:val="center"/>
          </w:tcPr>
          <w:p w14:paraId="48FC56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8996A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2BA92C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w:t>
            </w:r>
          </w:p>
        </w:tc>
        <w:tc>
          <w:tcPr>
            <w:tcW w:w="2326" w:type="dxa"/>
            <w:noWrap w:val="0"/>
            <w:vAlign w:val="center"/>
          </w:tcPr>
          <w:p w14:paraId="460637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vMerge w:val="continue"/>
            <w:noWrap w:val="0"/>
            <w:vAlign w:val="center"/>
          </w:tcPr>
          <w:p w14:paraId="1E9B2A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54646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5296" w:type="dxa"/>
            <w:noWrap w:val="0"/>
            <w:vAlign w:val="center"/>
          </w:tcPr>
          <w:p w14:paraId="20237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326" w:type="dxa"/>
            <w:noWrap w:val="0"/>
            <w:vAlign w:val="center"/>
          </w:tcPr>
          <w:p w14:paraId="3BC905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bl>
    <w:p w14:paraId="6C89B1B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b/>
          <w:color w:val="auto"/>
          <w:szCs w:val="21"/>
          <w:highlight w:val="none"/>
        </w:rPr>
      </w:pPr>
      <w:r>
        <w:rPr>
          <w:rFonts w:hint="eastAsia" w:ascii="宋体"/>
          <w:b/>
          <w:color w:val="auto"/>
          <w:szCs w:val="21"/>
          <w:highlight w:val="none"/>
        </w:rPr>
        <w:t>4.符合性审查</w:t>
      </w:r>
    </w:p>
    <w:p w14:paraId="52B474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noWrap w:val="0"/>
            <w:vAlign w:val="center"/>
          </w:tcPr>
          <w:p w14:paraId="40130C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5E30E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173" w:type="dxa"/>
            <w:noWrap w:val="0"/>
            <w:vAlign w:val="center"/>
          </w:tcPr>
          <w:p w14:paraId="1DA41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C50280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3A2D0D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4173" w:type="dxa"/>
            <w:noWrap w:val="0"/>
            <w:vAlign w:val="center"/>
          </w:tcPr>
          <w:p w14:paraId="492408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58AA67A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6A8D7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olor w:val="auto"/>
                <w:szCs w:val="21"/>
                <w:highlight w:val="none"/>
              </w:rPr>
              <w:t>（3）报价唯一</w:t>
            </w:r>
          </w:p>
        </w:tc>
        <w:tc>
          <w:tcPr>
            <w:tcW w:w="4173" w:type="dxa"/>
            <w:noWrap w:val="0"/>
            <w:vAlign w:val="center"/>
          </w:tcPr>
          <w:p w14:paraId="5B76B0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D464BD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570C2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ascii="宋体"/>
                <w:color w:val="auto"/>
                <w:szCs w:val="21"/>
                <w:highlight w:val="none"/>
              </w:rPr>
              <w:t xml:space="preserve"> (4) 投标文件的有效期</w:t>
            </w:r>
          </w:p>
        </w:tc>
        <w:tc>
          <w:tcPr>
            <w:tcW w:w="4173" w:type="dxa"/>
            <w:noWrap w:val="0"/>
            <w:vAlign w:val="center"/>
          </w:tcPr>
          <w:p w14:paraId="0A1047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450388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4173" w:type="dxa"/>
            <w:noWrap w:val="0"/>
            <w:vAlign w:val="center"/>
          </w:tcPr>
          <w:p w14:paraId="0504A0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68F4ED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5F71A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4173" w:type="dxa"/>
            <w:noWrap w:val="0"/>
            <w:vAlign w:val="center"/>
          </w:tcPr>
          <w:p w14:paraId="25330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90BF1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4173" w:type="dxa"/>
            <w:noWrap w:val="0"/>
            <w:vAlign w:val="center"/>
          </w:tcPr>
          <w:p w14:paraId="3CC7D2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B6CA58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0D9E24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4173" w:type="dxa"/>
            <w:noWrap w:val="0"/>
            <w:vAlign w:val="center"/>
          </w:tcPr>
          <w:p w14:paraId="1DE6E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114D31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65BB3E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2D7B31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E29A7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outlineLvl w:val="1"/>
        <w:rPr>
          <w:rFonts w:hint="eastAsia" w:ascii="宋体" w:hAnsi="宋体" w:eastAsia="宋体" w:cs="宋体"/>
          <w:b/>
          <w:bCs/>
          <w:color w:val="auto"/>
          <w:sz w:val="24"/>
          <w:szCs w:val="24"/>
          <w:highlight w:val="none"/>
        </w:rPr>
      </w:pPr>
    </w:p>
    <w:p w14:paraId="7D9242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1"/>
    </w:p>
    <w:p w14:paraId="4E3504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本项目采用远程开标，具体操作方法详见服务指南&gt;交易须知&gt;开标大厅远程解密、异议(异议)及回复以及评标过程中询标流程操作手册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2"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2"/>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76F562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以基本费作为评审价格</w:t>
            </w:r>
            <w:r>
              <w:rPr>
                <w:rFonts w:hint="eastAsia" w:ascii="宋体" w:hAnsi="宋体" w:eastAsia="宋体" w:cs="宋体"/>
                <w:color w:val="auto"/>
                <w:sz w:val="21"/>
                <w:szCs w:val="21"/>
                <w:highlight w:val="none"/>
                <w:lang w:eastAsia="zh-CN"/>
              </w:rPr>
              <w:t>）</w:t>
            </w:r>
          </w:p>
          <w:p w14:paraId="4B1B46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2、评标基准值为所有投标人投标报价的算术平均值</w:t>
            </w:r>
            <w:r>
              <w:rPr>
                <w:rFonts w:hint="eastAsia" w:ascii="宋体" w:hAnsi="宋体" w:eastAsia="宋体" w:cs="宋体"/>
                <w:color w:val="auto"/>
                <w:sz w:val="21"/>
                <w:szCs w:val="21"/>
                <w:highlight w:val="none"/>
                <w:lang w:eastAsia="zh-CN"/>
              </w:rPr>
              <w:t>。</w:t>
            </w:r>
          </w:p>
          <w:p w14:paraId="2AD50DE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3、计算报价偏差率</w:t>
            </w:r>
          </w:p>
          <w:p w14:paraId="3CF5BF9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①偏差率=|（投标报价-评标基准价）/评标基准价|×100%</w:t>
            </w:r>
          </w:p>
          <w:p w14:paraId="2DFF0D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1963C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23C26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3F7BA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32C8AE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003755BC">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p>
    <w:p w14:paraId="1DD67D2D">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bookmarkStart w:id="63"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3"/>
    </w:p>
    <w:p w14:paraId="1BD855F9">
      <w:pPr>
        <w:pStyle w:val="44"/>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200"/>
        <w:textAlignment w:val="auto"/>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46FF0A7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095585C1">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3"/>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4" w:name="_Toc3848"/>
      <w:r>
        <w:rPr>
          <w:rFonts w:hint="eastAsia" w:ascii="宋体" w:hAnsi="宋体" w:eastAsia="宋体" w:cs="宋体"/>
          <w:color w:val="auto"/>
          <w:sz w:val="44"/>
          <w:szCs w:val="44"/>
          <w:highlight w:val="none"/>
          <w:lang w:val="en-US" w:eastAsia="zh-CN"/>
        </w:rPr>
        <w:t>第三章 合同条款</w:t>
      </w:r>
      <w:bookmarkEnd w:id="54"/>
      <w:bookmarkEnd w:id="55"/>
      <w:bookmarkEnd w:id="64"/>
    </w:p>
    <w:p w14:paraId="209DF1AC">
      <w:pPr>
        <w:rPr>
          <w:rFonts w:hint="eastAsia" w:ascii="宋体" w:hAnsi="宋体" w:eastAsia="宋体" w:cs="宋体"/>
          <w:color w:val="auto"/>
          <w:highlight w:val="none"/>
        </w:rPr>
      </w:pPr>
    </w:p>
    <w:p w14:paraId="693D8329">
      <w:pPr>
        <w:spacing w:line="360" w:lineRule="auto"/>
        <w:jc w:val="center"/>
        <w:rPr>
          <w:rFonts w:hint="eastAsia" w:ascii="宋体" w:hAnsi="宋体" w:eastAsia="宋体" w:cs="宋体"/>
          <w:color w:val="auto"/>
          <w:w w:val="90"/>
          <w:sz w:val="72"/>
          <w:szCs w:val="52"/>
          <w:highlight w:val="none"/>
        </w:rPr>
      </w:pPr>
      <w:r>
        <w:rPr>
          <w:rFonts w:hint="eastAsia" w:ascii="宋体" w:hAnsi="宋体" w:eastAsia="宋体" w:cs="宋体"/>
          <w:color w:val="auto"/>
          <w:w w:val="90"/>
          <w:sz w:val="72"/>
          <w:szCs w:val="52"/>
          <w:highlight w:val="none"/>
        </w:rPr>
        <w:t>建设工程造价咨询合同</w:t>
      </w:r>
    </w:p>
    <w:p w14:paraId="189065E5">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（结算审计复核）</w:t>
      </w:r>
    </w:p>
    <w:p w14:paraId="4EA17EE1">
      <w:pPr>
        <w:jc w:val="center"/>
        <w:rPr>
          <w:rFonts w:hint="eastAsia" w:ascii="宋体" w:hAnsi="宋体" w:eastAsia="宋体" w:cs="宋体"/>
          <w:color w:val="auto"/>
          <w:sz w:val="72"/>
          <w:szCs w:val="72"/>
          <w:highlight w:val="none"/>
        </w:rPr>
      </w:pPr>
    </w:p>
    <w:p w14:paraId="1B2783B7">
      <w:pPr>
        <w:jc w:val="center"/>
        <w:rPr>
          <w:rFonts w:hint="eastAsia" w:ascii="宋体" w:hAnsi="宋体" w:eastAsia="宋体" w:cs="宋体"/>
          <w:color w:val="auto"/>
          <w:sz w:val="72"/>
          <w:szCs w:val="72"/>
          <w:highlight w:val="none"/>
        </w:rPr>
      </w:pPr>
    </w:p>
    <w:p w14:paraId="759B9A9B">
      <w:pPr>
        <w:jc w:val="center"/>
        <w:rPr>
          <w:rFonts w:hint="eastAsia" w:ascii="宋体" w:hAnsi="宋体" w:eastAsia="宋体" w:cs="宋体"/>
          <w:color w:val="auto"/>
          <w:sz w:val="72"/>
          <w:szCs w:val="72"/>
          <w:highlight w:val="none"/>
        </w:rPr>
      </w:pPr>
    </w:p>
    <w:p w14:paraId="16FD3861">
      <w:pPr>
        <w:pStyle w:val="44"/>
        <w:rPr>
          <w:rFonts w:hint="eastAsia" w:ascii="宋体" w:hAnsi="宋体" w:eastAsia="宋体" w:cs="宋体"/>
          <w:color w:val="auto"/>
          <w:highlight w:val="none"/>
        </w:rPr>
      </w:pPr>
    </w:p>
    <w:p w14:paraId="13EB1CA0">
      <w:pPr>
        <w:rPr>
          <w:rFonts w:hint="eastAsia" w:ascii="宋体" w:hAnsi="宋体" w:eastAsia="宋体" w:cs="宋体"/>
          <w:color w:val="auto"/>
          <w:highlight w:val="none"/>
        </w:rPr>
      </w:pPr>
    </w:p>
    <w:p w14:paraId="72C77FA6">
      <w:pPr>
        <w:spacing w:line="240" w:lineRule="exact"/>
        <w:jc w:val="center"/>
        <w:rPr>
          <w:rFonts w:hint="eastAsia" w:ascii="宋体" w:hAnsi="宋体" w:eastAsia="宋体" w:cs="宋体"/>
          <w:color w:val="auto"/>
          <w:sz w:val="72"/>
          <w:szCs w:val="72"/>
          <w:highlight w:val="none"/>
        </w:rPr>
      </w:pPr>
    </w:p>
    <w:p w14:paraId="13C424BC">
      <w:pPr>
        <w:spacing w:line="240" w:lineRule="exact"/>
        <w:jc w:val="center"/>
        <w:rPr>
          <w:rFonts w:hint="eastAsia" w:ascii="宋体" w:hAnsi="宋体" w:eastAsia="宋体" w:cs="宋体"/>
          <w:color w:val="auto"/>
          <w:sz w:val="72"/>
          <w:szCs w:val="72"/>
          <w:highlight w:val="none"/>
        </w:rPr>
      </w:pPr>
    </w:p>
    <w:p w14:paraId="6BD46474">
      <w:pPr>
        <w:spacing w:line="800" w:lineRule="exact"/>
        <w:rPr>
          <w:rFonts w:hint="eastAsia" w:ascii="宋体" w:hAnsi="宋体" w:eastAsia="宋体" w:cs="宋体"/>
          <w:color w:val="auto"/>
          <w:sz w:val="36"/>
          <w:szCs w:val="30"/>
          <w:highlight w:val="none"/>
          <w:u w:val="single"/>
        </w:rPr>
      </w:pPr>
      <w:r>
        <w:rPr>
          <w:rFonts w:hint="eastAsia" w:ascii="宋体" w:hAnsi="宋体" w:eastAsia="宋体" w:cs="宋体"/>
          <w:color w:val="auto"/>
          <w:sz w:val="36"/>
          <w:szCs w:val="30"/>
          <w:highlight w:val="none"/>
        </w:rPr>
        <w:t>委托单位：</w:t>
      </w:r>
      <w:r>
        <w:rPr>
          <w:rFonts w:hint="eastAsia" w:ascii="宋体" w:hAnsi="宋体" w:eastAsia="宋体" w:cs="宋体"/>
          <w:color w:val="auto"/>
          <w:sz w:val="36"/>
          <w:szCs w:val="30"/>
          <w:highlight w:val="none"/>
          <w:u w:val="single"/>
          <w:lang w:val="en-US" w:eastAsia="zh-CN"/>
        </w:rPr>
        <w:t>滁州市市政设施管理中心</w:t>
      </w:r>
    </w:p>
    <w:p w14:paraId="008F8D69">
      <w:pPr>
        <w:spacing w:line="800" w:lineRule="exact"/>
        <w:rPr>
          <w:rFonts w:hint="eastAsia" w:ascii="宋体" w:hAnsi="宋体" w:eastAsia="宋体" w:cs="宋体"/>
          <w:color w:val="auto"/>
          <w:sz w:val="36"/>
          <w:szCs w:val="30"/>
          <w:highlight w:val="none"/>
          <w:u w:val="single"/>
          <w:lang w:eastAsia="zh-CN"/>
        </w:rPr>
      </w:pPr>
      <w:r>
        <w:rPr>
          <w:rFonts w:hint="eastAsia" w:ascii="宋体" w:hAnsi="宋体" w:eastAsia="宋体" w:cs="宋体"/>
          <w:color w:val="auto"/>
          <w:sz w:val="36"/>
          <w:szCs w:val="30"/>
          <w:highlight w:val="none"/>
        </w:rPr>
        <w:t>工程名称：</w:t>
      </w:r>
      <w:r>
        <w:rPr>
          <w:rFonts w:hint="eastAsia" w:ascii="宋体" w:hAnsi="宋体" w:cs="宋体"/>
          <w:color w:val="auto"/>
          <w:sz w:val="36"/>
          <w:szCs w:val="30"/>
          <w:highlight w:val="none"/>
          <w:u w:val="single"/>
          <w:lang w:val="en-US" w:eastAsia="zh-CN"/>
        </w:rPr>
        <w:t>2023年市政基础设施中修、安保和养护工程五标段排水设施养护维修项目结算复核服务项目</w:t>
      </w:r>
    </w:p>
    <w:p w14:paraId="0EB3D2B5">
      <w:pPr>
        <w:spacing w:line="800" w:lineRule="exact"/>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签订时间：</w:t>
      </w:r>
      <w:r>
        <w:rPr>
          <w:rFonts w:hint="eastAsia" w:ascii="宋体" w:hAnsi="宋体" w:eastAsia="宋体" w:cs="宋体"/>
          <w:color w:val="auto"/>
          <w:sz w:val="36"/>
          <w:szCs w:val="30"/>
          <w:highlight w:val="none"/>
          <w:u w:val="single"/>
        </w:rPr>
        <w:t xml:space="preserve"> 202</w:t>
      </w:r>
      <w:r>
        <w:rPr>
          <w:rFonts w:hint="eastAsia" w:ascii="宋体" w:hAnsi="宋体" w:cs="宋体"/>
          <w:color w:val="auto"/>
          <w:sz w:val="36"/>
          <w:szCs w:val="30"/>
          <w:highlight w:val="none"/>
          <w:u w:val="single"/>
          <w:lang w:val="en-US" w:eastAsia="zh-CN"/>
        </w:rPr>
        <w:t xml:space="preserve">5 </w:t>
      </w:r>
      <w:r>
        <w:rPr>
          <w:rFonts w:hint="eastAsia" w:ascii="宋体" w:hAnsi="宋体" w:eastAsia="宋体" w:cs="宋体"/>
          <w:color w:val="auto"/>
          <w:sz w:val="36"/>
          <w:szCs w:val="30"/>
          <w:highlight w:val="none"/>
        </w:rPr>
        <w:t>年</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月</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日</w:t>
      </w:r>
    </w:p>
    <w:p w14:paraId="10A6F23C">
      <w:pPr>
        <w:pStyle w:val="44"/>
        <w:rPr>
          <w:rFonts w:hint="eastAsia" w:ascii="宋体" w:hAnsi="宋体" w:eastAsia="宋体" w:cs="宋体"/>
          <w:color w:val="auto"/>
          <w:highlight w:val="none"/>
        </w:rPr>
      </w:pPr>
    </w:p>
    <w:p w14:paraId="563F2715">
      <w:pPr>
        <w:pStyle w:val="44"/>
        <w:rPr>
          <w:rFonts w:hint="eastAsia" w:ascii="宋体" w:hAnsi="宋体" w:eastAsia="宋体" w:cs="宋体"/>
          <w:color w:val="auto"/>
          <w:highlight w:val="none"/>
        </w:rPr>
      </w:pPr>
    </w:p>
    <w:p w14:paraId="1E562EAA">
      <w:pPr>
        <w:pStyle w:val="3"/>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结算审计复核委托协议</w:t>
      </w:r>
    </w:p>
    <w:p w14:paraId="15C5F011">
      <w:pPr>
        <w:adjustRightInd w:val="0"/>
        <w:snapToGrid w:val="0"/>
        <w:jc w:val="left"/>
        <w:rPr>
          <w:rFonts w:hint="eastAsia" w:ascii="宋体" w:hAnsi="宋体" w:eastAsia="宋体" w:cs="宋体"/>
          <w:color w:val="auto"/>
          <w:sz w:val="18"/>
          <w:szCs w:val="18"/>
          <w:highlight w:val="none"/>
        </w:rPr>
      </w:pPr>
    </w:p>
    <w:p w14:paraId="3F2FCB2A">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委托人（全称）：</w:t>
      </w:r>
      <w:r>
        <w:rPr>
          <w:rFonts w:hint="eastAsia" w:ascii="宋体" w:hAnsi="宋体" w:eastAsia="宋体" w:cs="宋体"/>
          <w:color w:val="auto"/>
          <w:sz w:val="28"/>
          <w:szCs w:val="28"/>
          <w:highlight w:val="none"/>
          <w:lang w:val="en-US" w:eastAsia="zh-CN"/>
        </w:rPr>
        <w:t>滁州市市政设施管理中心</w:t>
      </w:r>
      <w:r>
        <w:rPr>
          <w:rFonts w:hint="eastAsia" w:ascii="宋体" w:hAnsi="宋体" w:eastAsia="宋体" w:cs="宋体"/>
          <w:color w:val="auto"/>
          <w:sz w:val="28"/>
          <w:szCs w:val="28"/>
          <w:highlight w:val="none"/>
        </w:rPr>
        <w:t xml:space="preserve"> </w:t>
      </w:r>
    </w:p>
    <w:p w14:paraId="4AC18DA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受托人（全称）：</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402B6BA">
      <w:pPr>
        <w:ind w:firstLine="560" w:firstLineChars="200"/>
        <w:rPr>
          <w:rFonts w:hint="eastAsia" w:ascii="宋体" w:hAnsi="宋体" w:eastAsia="宋体" w:cs="宋体"/>
          <w:color w:val="auto"/>
          <w:sz w:val="28"/>
          <w:szCs w:val="28"/>
          <w:highlight w:val="none"/>
        </w:rPr>
      </w:pPr>
    </w:p>
    <w:p w14:paraId="374D1E89">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为保证滁州市政府投资项目审计工作质量和效率，依据《中华人民共和国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》等有关法律规定，遵循平等、自愿、公平和诚实信用的原则，双方就</w:t>
      </w:r>
      <w:r>
        <w:rPr>
          <w:rFonts w:hint="eastAsia" w:ascii="宋体" w:hAnsi="宋体" w:cs="宋体"/>
          <w:color w:val="auto"/>
          <w:sz w:val="28"/>
          <w:szCs w:val="28"/>
          <w:highlight w:val="none"/>
          <w:u w:val="single"/>
          <w:lang w:val="en-US" w:eastAsia="zh-CN"/>
        </w:rPr>
        <w:t xml:space="preserve"> 2023年市政基础设施中修、安保和养护工程五标段排水设施养护维修项目 </w:t>
      </w:r>
      <w:r>
        <w:rPr>
          <w:rFonts w:hint="eastAsia" w:ascii="宋体" w:hAnsi="宋体" w:eastAsia="宋体" w:cs="宋体"/>
          <w:color w:val="auto"/>
          <w:sz w:val="28"/>
          <w:szCs w:val="28"/>
          <w:highlight w:val="none"/>
        </w:rPr>
        <w:t>及有关事项协商一致，共同达成如下协议：</w:t>
      </w:r>
    </w:p>
    <w:p w14:paraId="1D6BB49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w:t>
      </w:r>
    </w:p>
    <w:p w14:paraId="2CE4B9EA">
      <w:pPr>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Cs/>
          <w:color w:val="auto"/>
          <w:sz w:val="28"/>
          <w:szCs w:val="28"/>
          <w:highlight w:val="none"/>
        </w:rPr>
        <w:t>1、项目名称</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2023年市政基础设施中修、安保和养护工程五标段排水设施养护维修项目结算复核服务项目</w:t>
      </w:r>
    </w:p>
    <w:p w14:paraId="1BD8E276">
      <w:pPr>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2、项目造价</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
    <w:p w14:paraId="356432EA">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3、委托内容：</w:t>
      </w:r>
      <w:r>
        <w:rPr>
          <w:rFonts w:hint="eastAsia" w:ascii="宋体" w:hAnsi="宋体" w:eastAsia="宋体" w:cs="宋体"/>
          <w:color w:val="auto"/>
          <w:sz w:val="28"/>
          <w:szCs w:val="28"/>
          <w:highlight w:val="none"/>
          <w:u w:val="single"/>
        </w:rPr>
        <w:t>结算审计复核。</w:t>
      </w:r>
    </w:p>
    <w:p w14:paraId="753C4C6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二、项目结算复核人员配备</w:t>
      </w:r>
    </w:p>
    <w:p w14:paraId="5F823F2F">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项目组成人员要求：企业拟派的项目负责人：注册造价工程师（或一级造价师）1名；项目组成人员：</w:t>
      </w:r>
      <w:r>
        <w:rPr>
          <w:rFonts w:hint="eastAsia" w:ascii="宋体" w:hAnsi="宋体" w:eastAsia="宋体" w:cs="宋体"/>
          <w:color w:val="auto"/>
          <w:sz w:val="28"/>
          <w:szCs w:val="28"/>
          <w:highlight w:val="none"/>
          <w:lang w:val="en-US" w:eastAsia="zh-CN"/>
        </w:rPr>
        <w:t>二级及以上</w:t>
      </w:r>
      <w:r>
        <w:rPr>
          <w:rFonts w:hint="eastAsia" w:ascii="宋体" w:hAnsi="宋体" w:eastAsia="宋体" w:cs="宋体"/>
          <w:color w:val="auto"/>
          <w:sz w:val="28"/>
          <w:szCs w:val="28"/>
          <w:highlight w:val="none"/>
        </w:rPr>
        <w:t>注册造价工程师不少于</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名。</w:t>
      </w:r>
    </w:p>
    <w:p w14:paraId="5377CF51">
      <w:pPr>
        <w:widowControl/>
        <w:ind w:left="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本项目结算复核人员为：</w:t>
      </w:r>
    </w:p>
    <w:p w14:paraId="1C039C48">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5CA34A8E">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12514649">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02BBEC5A">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三、咨询期限</w:t>
      </w:r>
    </w:p>
    <w:p w14:paraId="1EC3B369">
      <w:pPr>
        <w:spacing w:line="58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1、计划开始日期：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6317D9E1">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2、计划结束日期：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7AB2734">
      <w:pPr>
        <w:pStyle w:val="44"/>
        <w:ind w:left="0" w:leftChars="0" w:firstLine="6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3、结算复核时限要求：执行滁重〔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造价咨询服务管理办法》的通知第十</w:t>
      </w:r>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十九</w:t>
      </w:r>
      <w:r>
        <w:rPr>
          <w:rFonts w:hint="eastAsia" w:ascii="宋体" w:hAnsi="宋体" w:eastAsia="宋体" w:cs="宋体"/>
          <w:color w:val="auto"/>
          <w:sz w:val="28"/>
          <w:szCs w:val="28"/>
          <w:highlight w:val="none"/>
        </w:rPr>
        <w:t>条规定。</w:t>
      </w:r>
    </w:p>
    <w:p w14:paraId="5F248DC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四、质量标准</w:t>
      </w:r>
    </w:p>
    <w:p w14:paraId="1FD0EAF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工程造价咨询成果文件质量符合</w:t>
      </w:r>
      <w:r>
        <w:rPr>
          <w:rFonts w:hint="eastAsia" w:ascii="宋体" w:hAnsi="宋体" w:eastAsia="宋体" w:cs="宋体"/>
          <w:color w:val="auto"/>
          <w:sz w:val="28"/>
          <w:szCs w:val="28"/>
          <w:highlight w:val="none"/>
          <w:u w:val="single"/>
        </w:rPr>
        <w:t xml:space="preserve">《建设工程造价咨询成果文件质量标准》（CECA/GC7-2012)要求 </w:t>
      </w:r>
      <w:r>
        <w:rPr>
          <w:rFonts w:hint="eastAsia" w:ascii="宋体" w:hAnsi="宋体" w:eastAsia="宋体" w:cs="宋体"/>
          <w:color w:val="auto"/>
          <w:sz w:val="28"/>
          <w:szCs w:val="28"/>
          <w:highlight w:val="none"/>
        </w:rPr>
        <w:t>标准。</w:t>
      </w:r>
    </w:p>
    <w:p w14:paraId="2EDA499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五、咨询酬金 </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kinsoku/>
              <w:wordWrap/>
              <w:overflowPunct/>
              <w:topLinePunct w:val="0"/>
              <w:autoSpaceDE/>
              <w:autoSpaceDN/>
              <w:bidi w:val="0"/>
              <w:adjustRightInd/>
              <w:spacing w:line="600" w:lineRule="exact"/>
              <w:ind w:left="0" w:left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kinsoku/>
              <w:wordWrap/>
              <w:overflowPunct/>
              <w:topLinePunct w:val="0"/>
              <w:autoSpaceDE/>
              <w:autoSpaceDN/>
              <w:bidi w:val="0"/>
              <w:adjustRightInd/>
              <w:spacing w:line="600" w:lineRule="exact"/>
              <w:ind w:left="0" w:leftChars="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付款方式：出具审核报告，交付招标人初审确认，报经招标人备案审查通过后，按照招标人审查备案金额结算支付审计服务费用。（注：发包人在政府资金调度会批准且发票送达后完成支付）。</w:t>
      </w:r>
    </w:p>
    <w:p w14:paraId="16DD103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六、处罚规定</w:t>
      </w:r>
    </w:p>
    <w:p w14:paraId="65D7F829">
      <w:pPr>
        <w:pStyle w:val="44"/>
        <w:ind w:left="0" w:leftChars="0"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执行</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w:t>
      </w:r>
      <w:r>
        <w:rPr>
          <w:rFonts w:hint="eastAsia" w:ascii="宋体" w:hAnsi="宋体" w:eastAsia="宋体" w:cs="宋体"/>
          <w:bCs/>
          <w:color w:val="auto"/>
          <w:sz w:val="28"/>
          <w:szCs w:val="28"/>
          <w:highlight w:val="none"/>
        </w:rPr>
        <w:t>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color w:val="auto"/>
          <w:sz w:val="28"/>
          <w:szCs w:val="28"/>
          <w:highlight w:val="none"/>
        </w:rPr>
        <w:t>）第七章。</w:t>
      </w:r>
    </w:p>
    <w:p w14:paraId="1D72AA8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七、签订时间</w:t>
      </w:r>
    </w:p>
    <w:p w14:paraId="0A8BDA9C">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bCs/>
          <w:color w:val="auto"/>
          <w:sz w:val="28"/>
          <w:szCs w:val="28"/>
          <w:highlight w:val="none"/>
        </w:rPr>
        <w:t>签订</w:t>
      </w:r>
      <w:r>
        <w:rPr>
          <w:rFonts w:hint="eastAsia" w:ascii="宋体" w:hAnsi="宋体" w:eastAsia="宋体" w:cs="宋体"/>
          <w:color w:val="auto"/>
          <w:sz w:val="28"/>
          <w:szCs w:val="28"/>
          <w:highlight w:val="none"/>
        </w:rPr>
        <w:t>。</w:t>
      </w:r>
    </w:p>
    <w:p w14:paraId="04EBCA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八、签订地点</w:t>
      </w:r>
    </w:p>
    <w:p w14:paraId="6F935966">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滁州市市政设施管理中心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签订。</w:t>
      </w:r>
    </w:p>
    <w:p w14:paraId="630D3FC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九、补充协议</w:t>
      </w:r>
    </w:p>
    <w:p w14:paraId="6022A71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合同未尽事宜，合同当事人另行签订补充协议，补充协议是合同的组成部分。</w:t>
      </w:r>
    </w:p>
    <w:p w14:paraId="7A2EF4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十、合同生效</w:t>
      </w:r>
    </w:p>
    <w:p w14:paraId="371632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 xml:space="preserve">   签订之日起   </w:t>
      </w:r>
      <w:r>
        <w:rPr>
          <w:rFonts w:hint="eastAsia" w:ascii="宋体" w:hAnsi="宋体" w:eastAsia="宋体" w:cs="宋体"/>
          <w:color w:val="auto"/>
          <w:sz w:val="28"/>
          <w:szCs w:val="28"/>
          <w:highlight w:val="none"/>
        </w:rPr>
        <w:t>生效。</w:t>
      </w:r>
    </w:p>
    <w:p w14:paraId="793F14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十一、合同份数</w:t>
      </w:r>
    </w:p>
    <w:p w14:paraId="5B85F39B">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肆  </w:t>
      </w:r>
      <w:r>
        <w:rPr>
          <w:rFonts w:hint="eastAsia" w:ascii="宋体" w:hAnsi="宋体" w:eastAsia="宋体" w:cs="宋体"/>
          <w:color w:val="auto"/>
          <w:sz w:val="28"/>
          <w:szCs w:val="28"/>
          <w:highlight w:val="none"/>
        </w:rPr>
        <w:t>份，均具有同等法律效力，委托人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份，咨询人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w:t>
      </w:r>
    </w:p>
    <w:p w14:paraId="22D1C898">
      <w:pPr>
        <w:pStyle w:val="44"/>
        <w:ind w:left="420" w:firstLine="600"/>
        <w:rPr>
          <w:rFonts w:hint="eastAsia" w:ascii="宋体" w:hAnsi="宋体" w:eastAsia="宋体" w:cs="宋体"/>
          <w:bCs/>
          <w:color w:val="auto"/>
          <w:sz w:val="28"/>
          <w:szCs w:val="28"/>
          <w:highlight w:val="none"/>
        </w:rPr>
      </w:pPr>
    </w:p>
    <w:p w14:paraId="5B7D3CE4">
      <w:pPr>
        <w:rPr>
          <w:rFonts w:hint="eastAsia" w:ascii="宋体" w:hAnsi="宋体" w:eastAsia="宋体" w:cs="宋体"/>
          <w:color w:val="auto"/>
          <w:sz w:val="28"/>
          <w:szCs w:val="28"/>
          <w:highlight w:val="none"/>
        </w:rPr>
      </w:pPr>
    </w:p>
    <w:p w14:paraId="09E878C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委托人：  (公章)                受托人：  (公章)         </w:t>
      </w:r>
    </w:p>
    <w:p w14:paraId="26F5EC2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A7284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035B405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6734B7DB">
      <w:pPr>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                      年  月  日</w:t>
      </w:r>
    </w:p>
    <w:p w14:paraId="4FB659AE">
      <w:pPr>
        <w:pStyle w:val="44"/>
        <w:rPr>
          <w:rFonts w:hint="eastAsia" w:ascii="宋体" w:hAnsi="宋体" w:eastAsia="宋体" w:cs="宋体"/>
          <w:color w:val="auto"/>
          <w:sz w:val="30"/>
          <w:szCs w:val="30"/>
          <w:highlight w:val="none"/>
        </w:rPr>
      </w:pPr>
    </w:p>
    <w:p w14:paraId="10CCF302">
      <w:pPr>
        <w:pStyle w:val="41"/>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50CBD3E3">
      <w:pPr>
        <w:pStyle w:val="41"/>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2FE4916C">
      <w:pPr>
        <w:pStyle w:val="3"/>
        <w:spacing w:before="0" w:after="0"/>
        <w:rPr>
          <w:rFonts w:hint="eastAsia" w:ascii="宋体" w:hAnsi="宋体" w:eastAsia="宋体" w:cs="宋体"/>
          <w:color w:val="auto"/>
          <w:highlight w:val="none"/>
          <w:lang w:val="en-US" w:eastAsia="zh-CN"/>
        </w:rPr>
      </w:pPr>
    </w:p>
    <w:p w14:paraId="72B18565">
      <w:pPr>
        <w:pStyle w:val="3"/>
        <w:spacing w:before="0" w:after="0"/>
        <w:rPr>
          <w:rFonts w:hint="eastAsia" w:ascii="宋体" w:hAnsi="宋体" w:eastAsia="宋体" w:cs="宋体"/>
          <w:color w:val="auto"/>
          <w:highlight w:val="none"/>
          <w:lang w:val="en-US" w:eastAsia="zh-CN"/>
        </w:rPr>
      </w:pPr>
    </w:p>
    <w:p w14:paraId="60066C57">
      <w:pPr>
        <w:rPr>
          <w:rFonts w:hint="eastAsia" w:ascii="宋体" w:hAnsi="宋体" w:eastAsia="宋体" w:cs="宋体"/>
          <w:color w:val="auto"/>
          <w:highlight w:val="none"/>
          <w:lang w:val="en-US" w:eastAsia="zh-CN"/>
        </w:rPr>
      </w:pPr>
    </w:p>
    <w:p w14:paraId="38ED02D7">
      <w:pPr>
        <w:pStyle w:val="44"/>
        <w:rPr>
          <w:rFonts w:hint="eastAsia" w:ascii="宋体" w:hAnsi="宋体" w:eastAsia="宋体" w:cs="宋体"/>
          <w:color w:val="auto"/>
          <w:highlight w:val="none"/>
          <w:lang w:val="en-US" w:eastAsia="zh-CN"/>
        </w:rPr>
      </w:pPr>
    </w:p>
    <w:p w14:paraId="7E1EBAFE">
      <w:pPr>
        <w:rPr>
          <w:rFonts w:hint="eastAsia" w:ascii="宋体" w:hAnsi="宋体" w:eastAsia="宋体" w:cs="宋体"/>
          <w:color w:val="auto"/>
          <w:highlight w:val="none"/>
          <w:lang w:val="en-US" w:eastAsia="zh-CN"/>
        </w:rPr>
      </w:pPr>
    </w:p>
    <w:p w14:paraId="79E78C80">
      <w:pPr>
        <w:pStyle w:val="44"/>
        <w:rPr>
          <w:rFonts w:hint="eastAsia" w:ascii="宋体" w:hAnsi="宋体" w:eastAsia="宋体" w:cs="宋体"/>
          <w:color w:val="auto"/>
          <w:highlight w:val="none"/>
          <w:lang w:val="en-US" w:eastAsia="zh-CN"/>
        </w:rPr>
      </w:pPr>
    </w:p>
    <w:p w14:paraId="6BCD3E8E">
      <w:pPr>
        <w:pStyle w:val="3"/>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5" w:name="_Toc30675"/>
      <w:r>
        <w:rPr>
          <w:rFonts w:hint="eastAsia" w:ascii="宋体" w:hAnsi="宋体" w:eastAsia="宋体" w:cs="宋体"/>
          <w:color w:val="auto"/>
          <w:highlight w:val="none"/>
          <w:lang w:val="en-US" w:eastAsia="zh-CN"/>
        </w:rPr>
        <w:t>第四章 投标文件格式</w:t>
      </w:r>
      <w:bookmarkEnd w:id="65"/>
    </w:p>
    <w:p w14:paraId="0E6ABB34">
      <w:pPr>
        <w:jc w:val="center"/>
        <w:rPr>
          <w:rFonts w:hint="eastAsia" w:ascii="宋体" w:hAnsi="宋体" w:eastAsia="宋体" w:cs="宋体"/>
          <w:color w:val="auto"/>
          <w:sz w:val="28"/>
          <w:szCs w:val="28"/>
          <w:highlight w:val="none"/>
          <w:u w:val="single"/>
        </w:rPr>
      </w:pPr>
    </w:p>
    <w:p w14:paraId="60EA8196">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5E370B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34728B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453C4DA0">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35D0292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1D61128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项目组其他成员（不含项目负责人）要求：</w:t>
      </w:r>
      <w:r>
        <w:rPr>
          <w:rFonts w:hint="eastAsia" w:ascii="宋体" w:hAnsi="宋体" w:eastAsia="宋体" w:cs="宋体"/>
          <w:color w:val="auto"/>
          <w:kern w:val="0"/>
          <w:sz w:val="21"/>
          <w:szCs w:val="21"/>
          <w:highlight w:val="none"/>
          <w:lang w:val="en-US" w:eastAsia="zh-CN"/>
        </w:rPr>
        <w:t>不少于2名且具有在本单位注册的二级及以上造价工程师（土木建筑工程专业至少1名、安装工程专业至少1名）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21D2185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3599414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6040CF70">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6D0DA0B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keepNext w:val="0"/>
        <w:keepLines w:val="0"/>
        <w:pageBreakBefore w:val="0"/>
        <w:widowControl/>
        <w:kinsoku/>
        <w:wordWrap/>
        <w:overflowPunct/>
        <w:topLinePunct w:val="0"/>
        <w:autoSpaceDE/>
        <w:autoSpaceDN/>
        <w:bidi w:val="0"/>
        <w:adjustRightInd/>
        <w:snapToGrid/>
        <w:spacing w:before="160" w:beforeLines="50" w:after="160" w:afterLines="50" w:line="480" w:lineRule="exact"/>
        <w:ind w:firstLine="180" w:firstLineChars="75"/>
        <w:textAlignment w:val="baseline"/>
        <w:rPr>
          <w:rFonts w:hint="eastAsia" w:ascii="宋体" w:hAnsi="宋体" w:eastAsia="宋体" w:cs="宋体"/>
          <w:b/>
          <w:color w:val="auto"/>
          <w:sz w:val="24"/>
          <w:szCs w:val="24"/>
          <w:highlight w:val="none"/>
        </w:rPr>
      </w:pPr>
      <w:bookmarkStart w:id="66"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6"/>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项目名称、编号</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62537F1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0648E733">
      <w:pPr>
        <w:spacing w:line="480" w:lineRule="exact"/>
        <w:ind w:firstLine="480" w:firstLineChars="200"/>
        <w:jc w:val="center"/>
        <w:rPr>
          <w:rFonts w:hint="eastAsia" w:ascii="宋体" w:hAnsi="Times New Roman" w:eastAsia="宋体" w:cs="Times New Roman"/>
          <w:color w:val="auto"/>
          <w:sz w:val="24"/>
          <w:highlight w:val="none"/>
        </w:rPr>
      </w:pPr>
      <w:r>
        <w:rPr>
          <w:rFonts w:hint="eastAsia" w:ascii="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 xml:space="preserve">委托代理人（身份证号码）：               </w:t>
      </w:r>
    </w:p>
    <w:p w14:paraId="2B8D027D">
      <w:pPr>
        <w:spacing w:line="480" w:lineRule="exact"/>
        <w:ind w:firstLine="5760" w:firstLineChars="2400"/>
        <w:jc w:val="both"/>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1"/>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44"/>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6AB2EB72">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single"/>
        </w:rPr>
        <w:t>：执行滁重〔</w:t>
      </w:r>
      <w:r>
        <w:rPr>
          <w:rFonts w:hint="eastAsia" w:ascii="宋体" w:hAnsi="宋体" w:eastAsia="宋体" w:cs="宋体"/>
          <w:color w:val="auto"/>
          <w:szCs w:val="21"/>
          <w:highlight w:val="none"/>
          <w:u w:val="single"/>
          <w:lang w:eastAsia="zh-CN"/>
        </w:rPr>
        <w:t>20</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55号</w:t>
      </w:r>
      <w:r>
        <w:rPr>
          <w:rFonts w:hint="eastAsia" w:ascii="宋体" w:hAnsi="宋体" w:eastAsia="宋体" w:cs="宋体"/>
          <w:color w:val="auto"/>
          <w:szCs w:val="21"/>
          <w:highlight w:val="none"/>
          <w:u w:val="single"/>
        </w:rPr>
        <w:t>《工程造价咨询服务管理办法》的通知第十</w:t>
      </w:r>
      <w:r>
        <w:rPr>
          <w:rFonts w:hint="eastAsia" w:ascii="宋体" w:hAnsi="宋体" w:eastAsia="宋体" w:cs="宋体"/>
          <w:color w:val="auto"/>
          <w:szCs w:val="21"/>
          <w:highlight w:val="none"/>
          <w:u w:val="single"/>
          <w:lang w:eastAsia="zh-CN"/>
        </w:rPr>
        <w:t>八</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十九</w:t>
      </w:r>
      <w:r>
        <w:rPr>
          <w:rFonts w:hint="eastAsia" w:ascii="宋体" w:hAnsi="宋体" w:eastAsia="宋体" w:cs="宋体"/>
          <w:color w:val="auto"/>
          <w:szCs w:val="21"/>
          <w:highlight w:val="none"/>
          <w:u w:val="single"/>
        </w:rPr>
        <w:t>条规定</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44"/>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E1611FF">
      <w:pPr>
        <w:spacing w:line="360" w:lineRule="auto"/>
        <w:rPr>
          <w:rFonts w:hint="eastAsia" w:ascii="宋体" w:hAnsi="宋体" w:cs="宋体"/>
          <w:b/>
          <w:color w:val="auto"/>
          <w:sz w:val="28"/>
          <w:szCs w:val="28"/>
          <w:highlight w:val="none"/>
          <w:lang w:val="en-US" w:eastAsia="zh-CN"/>
        </w:rPr>
      </w:pPr>
    </w:p>
    <w:p w14:paraId="739A9E3E">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3"/>
        <w:spacing w:before="0" w:after="0"/>
        <w:rPr>
          <w:rFonts w:hint="eastAsia" w:ascii="宋体" w:hAnsi="宋体" w:eastAsia="宋体" w:cs="宋体"/>
          <w:color w:val="auto"/>
          <w:highlight w:val="none"/>
          <w:lang w:val="en-US" w:eastAsia="zh-CN"/>
        </w:rPr>
      </w:pPr>
      <w:bookmarkStart w:id="67" w:name="_Toc31498"/>
      <w:r>
        <w:rPr>
          <w:rFonts w:hint="eastAsia" w:ascii="宋体" w:hAnsi="宋体" w:eastAsia="宋体" w:cs="宋体"/>
          <w:color w:val="auto"/>
          <w:highlight w:val="none"/>
          <w:lang w:val="en-US" w:eastAsia="zh-CN"/>
        </w:rPr>
        <w:t>第五章 招标单位、招标代理机构对本招标文件的确认</w:t>
      </w:r>
      <w:bookmarkEnd w:id="67"/>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2023年市政基础设施中修、安保和养护工程五标段排水设施养护维修项目结算复核服务项目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val="en-US" w:eastAsia="zh-CN"/>
              </w:rPr>
              <w:t>滁州市市政设施管理中心</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李福锟</w:t>
            </w:r>
          </w:p>
          <w:p w14:paraId="0C9165C7">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19155000509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胡国庆</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cs="宋体"/>
                <w:color w:val="auto"/>
                <w:sz w:val="28"/>
                <w:szCs w:val="28"/>
                <w:highlight w:val="none"/>
                <w:lang w:eastAsia="zh-CN"/>
              </w:rPr>
              <w:t>0550-3519517</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18005500950</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p>
        </w:tc>
      </w:tr>
    </w:tbl>
    <w:p w14:paraId="22D2196B">
      <w:pPr>
        <w:pStyle w:val="2"/>
        <w:jc w:val="left"/>
        <w:rPr>
          <w:rFonts w:hint="eastAsia" w:ascii="宋体" w:hAnsi="宋体" w:eastAsia="宋体" w:cs="宋体"/>
          <w:color w:val="auto"/>
          <w:kern w:val="0"/>
          <w:sz w:val="24"/>
          <w:szCs w:val="24"/>
          <w:highlight w:val="none"/>
        </w:rPr>
      </w:pPr>
    </w:p>
    <w:p w14:paraId="63AE5489">
      <w:pPr>
        <w:pStyle w:val="2"/>
        <w:jc w:val="left"/>
        <w:rPr>
          <w:rFonts w:hint="eastAsia" w:ascii="宋体" w:hAnsi="宋体" w:eastAsia="宋体" w:cs="宋体"/>
          <w:color w:val="auto"/>
          <w:kern w:val="0"/>
          <w:sz w:val="24"/>
          <w:szCs w:val="24"/>
          <w:highlight w:val="none"/>
        </w:rPr>
      </w:pPr>
    </w:p>
    <w:p w14:paraId="542E3EE9">
      <w:pPr>
        <w:pStyle w:val="2"/>
        <w:jc w:val="left"/>
        <w:rPr>
          <w:rFonts w:hint="eastAsia" w:ascii="宋体" w:hAnsi="宋体" w:eastAsia="宋体" w:cs="宋体"/>
          <w:color w:val="auto"/>
          <w:kern w:val="0"/>
          <w:sz w:val="24"/>
          <w:szCs w:val="24"/>
          <w:highlight w:val="none"/>
        </w:rPr>
      </w:pPr>
    </w:p>
    <w:p w14:paraId="2D9AB935">
      <w:pPr>
        <w:pStyle w:val="2"/>
        <w:jc w:val="left"/>
        <w:rPr>
          <w:rFonts w:hint="eastAsia" w:ascii="宋体" w:hAnsi="宋体" w:eastAsia="宋体" w:cs="宋体"/>
          <w:color w:val="auto"/>
          <w:kern w:val="0"/>
          <w:sz w:val="24"/>
          <w:szCs w:val="24"/>
          <w:highlight w:val="none"/>
        </w:rPr>
      </w:pPr>
    </w:p>
    <w:p w14:paraId="21A15060">
      <w:pPr>
        <w:pStyle w:val="2"/>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5762">
    <w:pPr>
      <w:pStyle w:val="29"/>
      <w:rPr>
        <w:rStyle w:val="49"/>
      </w:rPr>
    </w:pPr>
  </w:p>
  <w:p w14:paraId="27617CD2">
    <w:pPr>
      <w:pStyle w:val="29"/>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B8F2946"/>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B8F294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60B7">
    <w:pPr>
      <w:pStyle w:val="29"/>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29"/>
      <w:rPr>
        <w:rStyle w:val="49"/>
      </w:rPr>
    </w:pPr>
  </w:p>
  <w:p w14:paraId="24D89652">
    <w:pPr>
      <w:pStyle w:val="29"/>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29"/>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29"/>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29"/>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29"/>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E45F">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5E45F">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157870D5">
    <w:pPr>
      <w:pStyle w:val="29"/>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FC55">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CB6E"/>
    <w:multiLevelType w:val="singleLevel"/>
    <w:tmpl w:val="1EF8CB6E"/>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4877EC"/>
    <w:rsid w:val="035607B0"/>
    <w:rsid w:val="035A0B08"/>
    <w:rsid w:val="03BE185C"/>
    <w:rsid w:val="03DD3435"/>
    <w:rsid w:val="04880F3B"/>
    <w:rsid w:val="04BB1052"/>
    <w:rsid w:val="058F191A"/>
    <w:rsid w:val="064047AA"/>
    <w:rsid w:val="07023E8A"/>
    <w:rsid w:val="073060B3"/>
    <w:rsid w:val="073F34F8"/>
    <w:rsid w:val="07FD79C9"/>
    <w:rsid w:val="08891FDF"/>
    <w:rsid w:val="08EE1782"/>
    <w:rsid w:val="090B57DF"/>
    <w:rsid w:val="094625ED"/>
    <w:rsid w:val="098A2126"/>
    <w:rsid w:val="098C0FAE"/>
    <w:rsid w:val="0A1370D9"/>
    <w:rsid w:val="0A426CE3"/>
    <w:rsid w:val="0A783487"/>
    <w:rsid w:val="0A920A74"/>
    <w:rsid w:val="0B1A05CF"/>
    <w:rsid w:val="0B3B4932"/>
    <w:rsid w:val="0B8A5AE2"/>
    <w:rsid w:val="0BB27EF8"/>
    <w:rsid w:val="0C30371E"/>
    <w:rsid w:val="0C47209B"/>
    <w:rsid w:val="0CDE4AF1"/>
    <w:rsid w:val="0CEC2F96"/>
    <w:rsid w:val="0D2F7233"/>
    <w:rsid w:val="0DB0649C"/>
    <w:rsid w:val="0E2234E7"/>
    <w:rsid w:val="0E832759"/>
    <w:rsid w:val="0ECF7747"/>
    <w:rsid w:val="0F9D46EF"/>
    <w:rsid w:val="124026B6"/>
    <w:rsid w:val="12C329EB"/>
    <w:rsid w:val="137A735A"/>
    <w:rsid w:val="13B24508"/>
    <w:rsid w:val="13E54BBD"/>
    <w:rsid w:val="152F63E2"/>
    <w:rsid w:val="158272E5"/>
    <w:rsid w:val="15D60886"/>
    <w:rsid w:val="16A220B2"/>
    <w:rsid w:val="16AB249D"/>
    <w:rsid w:val="16E538DC"/>
    <w:rsid w:val="17153410"/>
    <w:rsid w:val="19475149"/>
    <w:rsid w:val="19FB0CBC"/>
    <w:rsid w:val="1A1E40F3"/>
    <w:rsid w:val="1AF847D0"/>
    <w:rsid w:val="1C136BB6"/>
    <w:rsid w:val="1C4B5EA8"/>
    <w:rsid w:val="1DD50EE3"/>
    <w:rsid w:val="1E1554ED"/>
    <w:rsid w:val="1E66223E"/>
    <w:rsid w:val="207B6E01"/>
    <w:rsid w:val="211B1C44"/>
    <w:rsid w:val="21F200C1"/>
    <w:rsid w:val="224A075F"/>
    <w:rsid w:val="22E66E8E"/>
    <w:rsid w:val="23816BA4"/>
    <w:rsid w:val="23B802A0"/>
    <w:rsid w:val="24002495"/>
    <w:rsid w:val="24AA7567"/>
    <w:rsid w:val="25E4098B"/>
    <w:rsid w:val="26252182"/>
    <w:rsid w:val="265122FF"/>
    <w:rsid w:val="265E174C"/>
    <w:rsid w:val="2686038F"/>
    <w:rsid w:val="26EF5515"/>
    <w:rsid w:val="281178FD"/>
    <w:rsid w:val="28C72B2B"/>
    <w:rsid w:val="29E75E0C"/>
    <w:rsid w:val="29F23E8A"/>
    <w:rsid w:val="2A241E9E"/>
    <w:rsid w:val="2B367DA6"/>
    <w:rsid w:val="2C7D3C0D"/>
    <w:rsid w:val="2C874AAF"/>
    <w:rsid w:val="2C8E66A6"/>
    <w:rsid w:val="2CAF5168"/>
    <w:rsid w:val="2CBB47F9"/>
    <w:rsid w:val="2D4A1910"/>
    <w:rsid w:val="2DFF7667"/>
    <w:rsid w:val="2EC14298"/>
    <w:rsid w:val="2EFD1D1D"/>
    <w:rsid w:val="2F3A186E"/>
    <w:rsid w:val="2FE563D7"/>
    <w:rsid w:val="30E7327D"/>
    <w:rsid w:val="31FB42D0"/>
    <w:rsid w:val="32852601"/>
    <w:rsid w:val="32D3700E"/>
    <w:rsid w:val="32F07192"/>
    <w:rsid w:val="332433C5"/>
    <w:rsid w:val="3376156C"/>
    <w:rsid w:val="33DB598F"/>
    <w:rsid w:val="33E34843"/>
    <w:rsid w:val="348E387D"/>
    <w:rsid w:val="35A46FAE"/>
    <w:rsid w:val="35C6441D"/>
    <w:rsid w:val="35E6061B"/>
    <w:rsid w:val="36C51A8B"/>
    <w:rsid w:val="37026723"/>
    <w:rsid w:val="37526B7E"/>
    <w:rsid w:val="376471D8"/>
    <w:rsid w:val="385F78F9"/>
    <w:rsid w:val="38866F75"/>
    <w:rsid w:val="393F251C"/>
    <w:rsid w:val="398960D8"/>
    <w:rsid w:val="39E8421F"/>
    <w:rsid w:val="3A066436"/>
    <w:rsid w:val="3A2516BB"/>
    <w:rsid w:val="3B3C635C"/>
    <w:rsid w:val="3CA22617"/>
    <w:rsid w:val="3CCB04A6"/>
    <w:rsid w:val="3CD37326"/>
    <w:rsid w:val="3D376DE7"/>
    <w:rsid w:val="3E7850FA"/>
    <w:rsid w:val="3EED354E"/>
    <w:rsid w:val="3F1410DB"/>
    <w:rsid w:val="3F173AB4"/>
    <w:rsid w:val="3F7A539C"/>
    <w:rsid w:val="3FB112F9"/>
    <w:rsid w:val="3FB5783A"/>
    <w:rsid w:val="4004001B"/>
    <w:rsid w:val="408338D7"/>
    <w:rsid w:val="411B4DE1"/>
    <w:rsid w:val="41510996"/>
    <w:rsid w:val="42147451"/>
    <w:rsid w:val="43727992"/>
    <w:rsid w:val="43881670"/>
    <w:rsid w:val="43E563C8"/>
    <w:rsid w:val="43E82525"/>
    <w:rsid w:val="44592EA6"/>
    <w:rsid w:val="44A8055A"/>
    <w:rsid w:val="44F7334E"/>
    <w:rsid w:val="45303661"/>
    <w:rsid w:val="45AF30FD"/>
    <w:rsid w:val="46420BB9"/>
    <w:rsid w:val="465B3014"/>
    <w:rsid w:val="472F5293"/>
    <w:rsid w:val="473A07C7"/>
    <w:rsid w:val="47DB0FE0"/>
    <w:rsid w:val="47EB386F"/>
    <w:rsid w:val="485A4022"/>
    <w:rsid w:val="48986B3F"/>
    <w:rsid w:val="494476DB"/>
    <w:rsid w:val="49B66251"/>
    <w:rsid w:val="4A125037"/>
    <w:rsid w:val="4AB455FC"/>
    <w:rsid w:val="4B4C6831"/>
    <w:rsid w:val="4BB93099"/>
    <w:rsid w:val="4CA21C4A"/>
    <w:rsid w:val="4E87606B"/>
    <w:rsid w:val="4EB81818"/>
    <w:rsid w:val="4ED1777D"/>
    <w:rsid w:val="4F301B64"/>
    <w:rsid w:val="4F443F90"/>
    <w:rsid w:val="4F627A2B"/>
    <w:rsid w:val="4F8A1859"/>
    <w:rsid w:val="4FCD4721"/>
    <w:rsid w:val="502D24E4"/>
    <w:rsid w:val="504773D5"/>
    <w:rsid w:val="50EC3893"/>
    <w:rsid w:val="50EC70D4"/>
    <w:rsid w:val="5105691F"/>
    <w:rsid w:val="511E5BAD"/>
    <w:rsid w:val="513918A9"/>
    <w:rsid w:val="517F3DD4"/>
    <w:rsid w:val="51BC2AE8"/>
    <w:rsid w:val="51EC090F"/>
    <w:rsid w:val="52244348"/>
    <w:rsid w:val="52CE5689"/>
    <w:rsid w:val="530E7F58"/>
    <w:rsid w:val="558A3D0F"/>
    <w:rsid w:val="559A68B9"/>
    <w:rsid w:val="569E5C28"/>
    <w:rsid w:val="56B17EF3"/>
    <w:rsid w:val="57313D11"/>
    <w:rsid w:val="578D69F6"/>
    <w:rsid w:val="58311B26"/>
    <w:rsid w:val="59254E33"/>
    <w:rsid w:val="597E4543"/>
    <w:rsid w:val="599A4762"/>
    <w:rsid w:val="59B94A33"/>
    <w:rsid w:val="59C42C57"/>
    <w:rsid w:val="5A421A14"/>
    <w:rsid w:val="5AFB2C32"/>
    <w:rsid w:val="5AFC7B78"/>
    <w:rsid w:val="5B2F036B"/>
    <w:rsid w:val="5B5877E2"/>
    <w:rsid w:val="5BA9771F"/>
    <w:rsid w:val="5BAC7A1D"/>
    <w:rsid w:val="5BAE0EF6"/>
    <w:rsid w:val="5BE3458F"/>
    <w:rsid w:val="5DC22821"/>
    <w:rsid w:val="5DD0286D"/>
    <w:rsid w:val="5EEA0F2A"/>
    <w:rsid w:val="5F9D1CA2"/>
    <w:rsid w:val="5FD300DB"/>
    <w:rsid w:val="5FE25B93"/>
    <w:rsid w:val="603F3AE9"/>
    <w:rsid w:val="608C59E7"/>
    <w:rsid w:val="60FD39DD"/>
    <w:rsid w:val="61051B53"/>
    <w:rsid w:val="61095D5D"/>
    <w:rsid w:val="61284751"/>
    <w:rsid w:val="619057DE"/>
    <w:rsid w:val="62397BA1"/>
    <w:rsid w:val="629F458E"/>
    <w:rsid w:val="64F222D0"/>
    <w:rsid w:val="655541D3"/>
    <w:rsid w:val="65594766"/>
    <w:rsid w:val="65AE22F3"/>
    <w:rsid w:val="65C12033"/>
    <w:rsid w:val="66465782"/>
    <w:rsid w:val="66AF6E4C"/>
    <w:rsid w:val="670A4733"/>
    <w:rsid w:val="672F3E8A"/>
    <w:rsid w:val="67DE5EA5"/>
    <w:rsid w:val="68B4049D"/>
    <w:rsid w:val="68E615DD"/>
    <w:rsid w:val="6907286A"/>
    <w:rsid w:val="6908397B"/>
    <w:rsid w:val="6A16299D"/>
    <w:rsid w:val="6B7F2EAB"/>
    <w:rsid w:val="6C224890"/>
    <w:rsid w:val="6CC00CAD"/>
    <w:rsid w:val="6D0B604A"/>
    <w:rsid w:val="6DAC05BE"/>
    <w:rsid w:val="6E2337BB"/>
    <w:rsid w:val="6E802F39"/>
    <w:rsid w:val="6F5F3A74"/>
    <w:rsid w:val="6F8373FF"/>
    <w:rsid w:val="6FDE7145"/>
    <w:rsid w:val="701268B7"/>
    <w:rsid w:val="7025059A"/>
    <w:rsid w:val="708446DD"/>
    <w:rsid w:val="713E6246"/>
    <w:rsid w:val="71D05043"/>
    <w:rsid w:val="725809D6"/>
    <w:rsid w:val="73840989"/>
    <w:rsid w:val="73875405"/>
    <w:rsid w:val="73B74532"/>
    <w:rsid w:val="742E508B"/>
    <w:rsid w:val="744228E5"/>
    <w:rsid w:val="74425F26"/>
    <w:rsid w:val="74C37339"/>
    <w:rsid w:val="74CC7CBB"/>
    <w:rsid w:val="75847F67"/>
    <w:rsid w:val="75A5092B"/>
    <w:rsid w:val="76D62696"/>
    <w:rsid w:val="77185B7F"/>
    <w:rsid w:val="774E2667"/>
    <w:rsid w:val="77910BE3"/>
    <w:rsid w:val="78270463"/>
    <w:rsid w:val="78EA3B59"/>
    <w:rsid w:val="797A042B"/>
    <w:rsid w:val="7B2726C7"/>
    <w:rsid w:val="7B360113"/>
    <w:rsid w:val="7C016BE2"/>
    <w:rsid w:val="7C8660BD"/>
    <w:rsid w:val="7C934347"/>
    <w:rsid w:val="7CA05978"/>
    <w:rsid w:val="7E550EF8"/>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4">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66"/>
    <w:qFormat/>
    <w:uiPriority w:val="99"/>
    <w:pPr>
      <w:keepNext/>
      <w:keepLines/>
      <w:spacing w:before="260" w:after="260" w:line="416" w:lineRule="auto"/>
      <w:outlineLvl w:val="2"/>
    </w:pPr>
    <w:rPr>
      <w:b/>
      <w:bCs/>
      <w:sz w:val="32"/>
      <w:szCs w:val="32"/>
    </w:rPr>
  </w:style>
  <w:style w:type="paragraph" w:styleId="6">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7">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8">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6"/>
    <w:qFormat/>
    <w:uiPriority w:val="99"/>
    <w:pPr>
      <w:jc w:val="center"/>
    </w:pPr>
    <w:rPr>
      <w:b/>
      <w:bCs/>
      <w:sz w:val="44"/>
      <w:szCs w:val="44"/>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qFormat/>
    <w:uiPriority w:val="99"/>
    <w:pPr>
      <w:adjustRightInd w:val="0"/>
      <w:spacing w:line="360" w:lineRule="atLeast"/>
      <w:ind w:firstLine="482"/>
      <w:textAlignment w:val="baseline"/>
    </w:pPr>
    <w:rPr>
      <w:kern w:val="0"/>
      <w:sz w:val="24"/>
      <w:szCs w:val="24"/>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3"/>
    <w:semiHidden/>
    <w:qFormat/>
    <w:uiPriority w:val="99"/>
    <w:pPr>
      <w:shd w:val="clear" w:color="auto" w:fill="000080"/>
    </w:pPr>
    <w:rPr>
      <w:kern w:val="0"/>
      <w:sz w:val="20"/>
      <w:szCs w:val="20"/>
      <w:shd w:val="clear" w:color="auto" w:fill="000080"/>
    </w:rPr>
  </w:style>
  <w:style w:type="paragraph" w:styleId="16">
    <w:name w:val="annotation text"/>
    <w:basedOn w:val="1"/>
    <w:link w:val="74"/>
    <w:semiHidden/>
    <w:qFormat/>
    <w:uiPriority w:val="99"/>
    <w:pPr>
      <w:jc w:val="left"/>
    </w:pPr>
  </w:style>
  <w:style w:type="paragraph" w:styleId="17">
    <w:name w:val="Body Text 3"/>
    <w:basedOn w:val="1"/>
    <w:link w:val="75"/>
    <w:qFormat/>
    <w:uiPriority w:val="99"/>
    <w:rPr>
      <w:rFonts w:ascii="宋体" w:cs="宋体"/>
      <w:sz w:val="24"/>
      <w:szCs w:val="24"/>
    </w:rPr>
  </w:style>
  <w:style w:type="paragraph" w:styleId="18">
    <w:name w:val="Body Text Indent"/>
    <w:basedOn w:val="1"/>
    <w:next w:val="19"/>
    <w:link w:val="77"/>
    <w:qFormat/>
    <w:uiPriority w:val="99"/>
    <w:pPr>
      <w:spacing w:line="500" w:lineRule="exact"/>
      <w:ind w:firstLine="538"/>
    </w:pPr>
    <w:rPr>
      <w:sz w:val="28"/>
      <w:szCs w:val="28"/>
    </w:rPr>
  </w:style>
  <w:style w:type="paragraph" w:styleId="19">
    <w:name w:val="envelope return"/>
    <w:basedOn w:val="1"/>
    <w:next w:val="12"/>
    <w:qFormat/>
    <w:uiPriority w:val="99"/>
    <w:pPr>
      <w:snapToGrid w:val="0"/>
    </w:pPr>
    <w:rPr>
      <w:rFonts w:ascii="Arial" w:hAnsi="Arial"/>
    </w:rPr>
  </w:style>
  <w:style w:type="paragraph" w:styleId="20">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1">
    <w:name w:val="index 4"/>
    <w:basedOn w:val="1"/>
    <w:next w:val="1"/>
    <w:semiHidden/>
    <w:qFormat/>
    <w:uiPriority w:val="99"/>
    <w:pPr>
      <w:ind w:left="600" w:leftChars="600"/>
    </w:pPr>
  </w:style>
  <w:style w:type="paragraph" w:styleId="22">
    <w:name w:val="toc 5"/>
    <w:basedOn w:val="1"/>
    <w:next w:val="1"/>
    <w:semiHidden/>
    <w:qFormat/>
    <w:uiPriority w:val="99"/>
    <w:pPr>
      <w:tabs>
        <w:tab w:val="right" w:leader="dot" w:pos="8296"/>
      </w:tabs>
      <w:ind w:left="1050" w:leftChars="500"/>
    </w:pPr>
    <w:rPr>
      <w:rFonts w:ascii="Calibri" w:hAnsi="Calibri" w:cs="Calibri"/>
    </w:rPr>
  </w:style>
  <w:style w:type="paragraph" w:styleId="23">
    <w:name w:val="toc 3"/>
    <w:basedOn w:val="1"/>
    <w:next w:val="1"/>
    <w:semiHidden/>
    <w:qFormat/>
    <w:uiPriority w:val="99"/>
    <w:pPr>
      <w:ind w:left="840" w:leftChars="400"/>
    </w:pPr>
    <w:rPr>
      <w:rFonts w:ascii="Calibri" w:hAnsi="Calibri" w:cs="Calibri"/>
    </w:rPr>
  </w:style>
  <w:style w:type="paragraph" w:styleId="24">
    <w:name w:val="Plain Text"/>
    <w:basedOn w:val="1"/>
    <w:next w:val="1"/>
    <w:link w:val="78"/>
    <w:qFormat/>
    <w:uiPriority w:val="99"/>
    <w:rPr>
      <w:rFonts w:ascii="宋体" w:hAnsi="Courier New" w:cs="宋体"/>
    </w:rPr>
  </w:style>
  <w:style w:type="paragraph" w:styleId="25">
    <w:name w:val="toc 8"/>
    <w:basedOn w:val="1"/>
    <w:next w:val="1"/>
    <w:semiHidden/>
    <w:qFormat/>
    <w:uiPriority w:val="99"/>
    <w:pPr>
      <w:ind w:left="2940" w:leftChars="1400"/>
    </w:pPr>
    <w:rPr>
      <w:rFonts w:ascii="Calibri" w:hAnsi="Calibri" w:cs="Calibri"/>
    </w:rPr>
  </w:style>
  <w:style w:type="paragraph" w:styleId="26">
    <w:name w:val="Date"/>
    <w:basedOn w:val="1"/>
    <w:next w:val="1"/>
    <w:link w:val="79"/>
    <w:qFormat/>
    <w:uiPriority w:val="99"/>
    <w:rPr>
      <w:rFonts w:ascii="仿宋_GB2312" w:eastAsia="仿宋_GB2312" w:cs="仿宋_GB2312"/>
      <w:sz w:val="30"/>
      <w:szCs w:val="30"/>
    </w:rPr>
  </w:style>
  <w:style w:type="paragraph" w:styleId="27">
    <w:name w:val="Body Text Indent 2"/>
    <w:basedOn w:val="1"/>
    <w:link w:val="80"/>
    <w:qFormat/>
    <w:uiPriority w:val="99"/>
    <w:pPr>
      <w:spacing w:line="360" w:lineRule="exact"/>
      <w:ind w:firstLine="600" w:firstLineChars="250"/>
      <w:jc w:val="left"/>
    </w:pPr>
    <w:rPr>
      <w:sz w:val="24"/>
      <w:szCs w:val="24"/>
    </w:rPr>
  </w:style>
  <w:style w:type="paragraph" w:styleId="28">
    <w:name w:val="Balloon Text"/>
    <w:basedOn w:val="1"/>
    <w:link w:val="81"/>
    <w:semiHidden/>
    <w:qFormat/>
    <w:uiPriority w:val="99"/>
    <w:rPr>
      <w:sz w:val="18"/>
      <w:szCs w:val="18"/>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2">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3">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4">
    <w:name w:val="footnote text"/>
    <w:basedOn w:val="1"/>
    <w:link w:val="85"/>
    <w:semiHidden/>
    <w:qFormat/>
    <w:uiPriority w:val="99"/>
    <w:rPr>
      <w:sz w:val="20"/>
      <w:szCs w:val="20"/>
    </w:rPr>
  </w:style>
  <w:style w:type="paragraph" w:styleId="35">
    <w:name w:val="toc 6"/>
    <w:basedOn w:val="1"/>
    <w:next w:val="1"/>
    <w:semiHidden/>
    <w:qFormat/>
    <w:uiPriority w:val="99"/>
    <w:pPr>
      <w:ind w:left="2100" w:leftChars="1000"/>
    </w:pPr>
    <w:rPr>
      <w:rFonts w:ascii="Calibri" w:hAnsi="Calibri" w:cs="Calibri"/>
    </w:rPr>
  </w:style>
  <w:style w:type="paragraph" w:styleId="36">
    <w:name w:val="Body Text Indent 3"/>
    <w:basedOn w:val="1"/>
    <w:link w:val="86"/>
    <w:qFormat/>
    <w:uiPriority w:val="99"/>
    <w:pPr>
      <w:spacing w:after="120"/>
      <w:ind w:left="420" w:leftChars="200"/>
    </w:pPr>
    <w:rPr>
      <w:sz w:val="16"/>
      <w:szCs w:val="16"/>
    </w:rPr>
  </w:style>
  <w:style w:type="paragraph" w:styleId="37">
    <w:name w:val="table of figures"/>
    <w:basedOn w:val="1"/>
    <w:next w:val="1"/>
    <w:semiHidden/>
    <w:qFormat/>
    <w:uiPriority w:val="99"/>
    <w:pPr>
      <w:ind w:left="200" w:leftChars="200" w:hanging="200" w:hangingChars="200"/>
    </w:pPr>
  </w:style>
  <w:style w:type="paragraph" w:styleId="38">
    <w:name w:val="toc 2"/>
    <w:basedOn w:val="1"/>
    <w:next w:val="1"/>
    <w:semiHidden/>
    <w:qFormat/>
    <w:uiPriority w:val="99"/>
    <w:pPr>
      <w:ind w:left="420" w:leftChars="200"/>
    </w:pPr>
    <w:rPr>
      <w:rFonts w:ascii="宋体" w:cs="宋体"/>
      <w:b/>
      <w:bCs/>
      <w:sz w:val="28"/>
      <w:szCs w:val="28"/>
    </w:rPr>
  </w:style>
  <w:style w:type="paragraph" w:styleId="39">
    <w:name w:val="toc 9"/>
    <w:basedOn w:val="1"/>
    <w:next w:val="1"/>
    <w:semiHidden/>
    <w:qFormat/>
    <w:uiPriority w:val="99"/>
    <w:pPr>
      <w:ind w:left="3360" w:leftChars="1600"/>
    </w:pPr>
    <w:rPr>
      <w:rFonts w:ascii="Calibri" w:hAnsi="Calibri" w:cs="Calibri"/>
    </w:rPr>
  </w:style>
  <w:style w:type="paragraph" w:styleId="40">
    <w:name w:val="Body Text 2"/>
    <w:basedOn w:val="1"/>
    <w:link w:val="87"/>
    <w:qFormat/>
    <w:uiPriority w:val="99"/>
    <w:pPr>
      <w:spacing w:line="440" w:lineRule="exact"/>
    </w:pPr>
    <w:rPr>
      <w:sz w:val="28"/>
      <w:szCs w:val="28"/>
    </w:rPr>
  </w:style>
  <w:style w:type="paragraph" w:styleId="41">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2">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3">
    <w:name w:val="annotation subject"/>
    <w:basedOn w:val="16"/>
    <w:next w:val="16"/>
    <w:link w:val="89"/>
    <w:semiHidden/>
    <w:qFormat/>
    <w:uiPriority w:val="99"/>
    <w:rPr>
      <w:rFonts w:ascii="宋体" w:cs="宋体"/>
      <w:b/>
      <w:bCs/>
      <w:kern w:val="0"/>
      <w:sz w:val="28"/>
      <w:szCs w:val="28"/>
    </w:rPr>
  </w:style>
  <w:style w:type="paragraph" w:styleId="44">
    <w:name w:val="Body Text First Indent 2"/>
    <w:basedOn w:val="1"/>
    <w:next w:val="1"/>
    <w:link w:val="90"/>
    <w:qFormat/>
    <w:uiPriority w:val="99"/>
    <w:pPr>
      <w:ind w:firstLine="420" w:firstLineChars="20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3"/>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4"/>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5"/>
    <w:qFormat/>
    <w:locked/>
    <w:uiPriority w:val="99"/>
    <w:rPr>
      <w:rFonts w:eastAsia="宋体" w:cs="Times New Roman"/>
      <w:b/>
      <w:bCs/>
      <w:kern w:val="2"/>
      <w:sz w:val="32"/>
      <w:szCs w:val="32"/>
      <w:lang w:val="en-US" w:eastAsia="zh-CN"/>
    </w:rPr>
  </w:style>
  <w:style w:type="character" w:customStyle="1" w:styleId="67">
    <w:name w:val="Heading 4 Char"/>
    <w:basedOn w:val="47"/>
    <w:link w:val="6"/>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7"/>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8"/>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9"/>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0"/>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1"/>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5"/>
    <w:qFormat/>
    <w:locked/>
    <w:uiPriority w:val="99"/>
    <w:rPr>
      <w:rFonts w:cs="Times New Roman"/>
      <w:sz w:val="24"/>
      <w:szCs w:val="24"/>
      <w:shd w:val="clear" w:color="auto" w:fill="000080"/>
    </w:rPr>
  </w:style>
  <w:style w:type="character" w:customStyle="1" w:styleId="74">
    <w:name w:val="Comment Text Char"/>
    <w:basedOn w:val="47"/>
    <w:link w:val="16"/>
    <w:qFormat/>
    <w:locked/>
    <w:uiPriority w:val="99"/>
    <w:rPr>
      <w:rFonts w:cs="Times New Roman"/>
      <w:kern w:val="2"/>
      <w:sz w:val="22"/>
      <w:szCs w:val="22"/>
    </w:rPr>
  </w:style>
  <w:style w:type="character" w:customStyle="1" w:styleId="75">
    <w:name w:val="Body Text 3 Char"/>
    <w:basedOn w:val="47"/>
    <w:link w:val="17"/>
    <w:semiHidden/>
    <w:qFormat/>
    <w:locked/>
    <w:uiPriority w:val="99"/>
    <w:rPr>
      <w:rFonts w:cs="Times New Roman"/>
      <w:sz w:val="16"/>
      <w:szCs w:val="16"/>
    </w:rPr>
  </w:style>
  <w:style w:type="character" w:customStyle="1" w:styleId="76">
    <w:name w:val="Body Text Char"/>
    <w:basedOn w:val="47"/>
    <w:link w:val="2"/>
    <w:qFormat/>
    <w:locked/>
    <w:uiPriority w:val="99"/>
    <w:rPr>
      <w:rFonts w:eastAsia="宋体" w:cs="Times New Roman"/>
      <w:b/>
      <w:bCs/>
      <w:kern w:val="2"/>
      <w:sz w:val="44"/>
      <w:szCs w:val="44"/>
      <w:lang w:val="en-US" w:eastAsia="zh-CN"/>
    </w:rPr>
  </w:style>
  <w:style w:type="character" w:customStyle="1" w:styleId="77">
    <w:name w:val="Body Text Indent Char"/>
    <w:basedOn w:val="47"/>
    <w:link w:val="18"/>
    <w:semiHidden/>
    <w:qFormat/>
    <w:locked/>
    <w:uiPriority w:val="99"/>
    <w:rPr>
      <w:rFonts w:cs="Times New Roman"/>
      <w:sz w:val="21"/>
      <w:szCs w:val="21"/>
    </w:rPr>
  </w:style>
  <w:style w:type="character" w:customStyle="1" w:styleId="78">
    <w:name w:val="Plain Text Char"/>
    <w:basedOn w:val="47"/>
    <w:link w:val="24"/>
    <w:semiHidden/>
    <w:qFormat/>
    <w:locked/>
    <w:uiPriority w:val="99"/>
    <w:rPr>
      <w:rFonts w:ascii="宋体" w:hAnsi="Courier New" w:cs="Courier New"/>
      <w:sz w:val="21"/>
      <w:szCs w:val="21"/>
    </w:rPr>
  </w:style>
  <w:style w:type="character" w:customStyle="1" w:styleId="79">
    <w:name w:val="Date Char"/>
    <w:basedOn w:val="47"/>
    <w:link w:val="26"/>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7"/>
    <w:semiHidden/>
    <w:qFormat/>
    <w:locked/>
    <w:uiPriority w:val="99"/>
    <w:rPr>
      <w:rFonts w:cs="Times New Roman"/>
      <w:sz w:val="21"/>
      <w:szCs w:val="21"/>
    </w:rPr>
  </w:style>
  <w:style w:type="character" w:customStyle="1" w:styleId="81">
    <w:name w:val="Balloon Text Char"/>
    <w:basedOn w:val="47"/>
    <w:link w:val="28"/>
    <w:semiHidden/>
    <w:qFormat/>
    <w:locked/>
    <w:uiPriority w:val="99"/>
    <w:rPr>
      <w:rFonts w:cs="Times New Roman"/>
      <w:sz w:val="2"/>
    </w:rPr>
  </w:style>
  <w:style w:type="character" w:customStyle="1" w:styleId="82">
    <w:name w:val="Footer Char"/>
    <w:basedOn w:val="47"/>
    <w:link w:val="29"/>
    <w:qFormat/>
    <w:locked/>
    <w:uiPriority w:val="99"/>
    <w:rPr>
      <w:rFonts w:eastAsia="宋体" w:cs="Times New Roman"/>
      <w:kern w:val="2"/>
      <w:sz w:val="18"/>
      <w:szCs w:val="18"/>
      <w:lang w:val="en-US" w:eastAsia="zh-CN"/>
    </w:rPr>
  </w:style>
  <w:style w:type="character" w:customStyle="1" w:styleId="83">
    <w:name w:val="Header Char"/>
    <w:basedOn w:val="47"/>
    <w:link w:val="30"/>
    <w:qFormat/>
    <w:locked/>
    <w:uiPriority w:val="99"/>
    <w:rPr>
      <w:rFonts w:eastAsia="宋体" w:cs="Times New Roman"/>
      <w:kern w:val="2"/>
      <w:sz w:val="18"/>
      <w:szCs w:val="18"/>
      <w:lang w:val="en-US" w:eastAsia="zh-CN"/>
    </w:rPr>
  </w:style>
  <w:style w:type="character" w:customStyle="1" w:styleId="84">
    <w:name w:val="Subtitle Char"/>
    <w:basedOn w:val="47"/>
    <w:link w:val="33"/>
    <w:qFormat/>
    <w:locked/>
    <w:uiPriority w:val="99"/>
    <w:rPr>
      <w:rFonts w:ascii="Cambria" w:hAnsi="Cambria" w:cs="Cambria"/>
      <w:b/>
      <w:bCs/>
      <w:kern w:val="28"/>
      <w:sz w:val="32"/>
      <w:szCs w:val="32"/>
    </w:rPr>
  </w:style>
  <w:style w:type="character" w:customStyle="1" w:styleId="85">
    <w:name w:val="Footnote Text Char"/>
    <w:basedOn w:val="47"/>
    <w:link w:val="34"/>
    <w:semiHidden/>
    <w:qFormat/>
    <w:locked/>
    <w:uiPriority w:val="99"/>
    <w:rPr>
      <w:rFonts w:cs="Times New Roman"/>
      <w:sz w:val="18"/>
      <w:szCs w:val="18"/>
    </w:rPr>
  </w:style>
  <w:style w:type="character" w:customStyle="1" w:styleId="86">
    <w:name w:val="Body Text Indent 3 Char"/>
    <w:basedOn w:val="47"/>
    <w:link w:val="36"/>
    <w:semiHidden/>
    <w:qFormat/>
    <w:locked/>
    <w:uiPriority w:val="99"/>
    <w:rPr>
      <w:rFonts w:cs="Times New Roman"/>
      <w:sz w:val="16"/>
      <w:szCs w:val="16"/>
    </w:rPr>
  </w:style>
  <w:style w:type="character" w:customStyle="1" w:styleId="87">
    <w:name w:val="Body Text 2 Char"/>
    <w:basedOn w:val="47"/>
    <w:link w:val="40"/>
    <w:semiHidden/>
    <w:qFormat/>
    <w:locked/>
    <w:uiPriority w:val="99"/>
    <w:rPr>
      <w:rFonts w:cs="Times New Roman"/>
      <w:sz w:val="21"/>
      <w:szCs w:val="21"/>
    </w:rPr>
  </w:style>
  <w:style w:type="character" w:customStyle="1" w:styleId="88">
    <w:name w:val="Title Char"/>
    <w:basedOn w:val="47"/>
    <w:link w:val="42"/>
    <w:qFormat/>
    <w:locked/>
    <w:uiPriority w:val="99"/>
    <w:rPr>
      <w:rFonts w:ascii="Cambria" w:hAnsi="Cambria" w:cs="Cambria"/>
      <w:b/>
      <w:bCs/>
      <w:kern w:val="2"/>
      <w:sz w:val="32"/>
      <w:szCs w:val="32"/>
    </w:rPr>
  </w:style>
  <w:style w:type="character" w:customStyle="1" w:styleId="89">
    <w:name w:val="Comment Subject Char"/>
    <w:basedOn w:val="74"/>
    <w:link w:val="43"/>
    <w:qFormat/>
    <w:locked/>
    <w:uiPriority w:val="99"/>
    <w:rPr>
      <w:rFonts w:ascii="宋体" w:cs="宋体"/>
      <w:b/>
      <w:bCs/>
      <w:sz w:val="28"/>
      <w:szCs w:val="28"/>
    </w:rPr>
  </w:style>
  <w:style w:type="character" w:customStyle="1" w:styleId="90">
    <w:name w:val="Body Text First Indent 2 Char"/>
    <w:basedOn w:val="77"/>
    <w:link w:val="44"/>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4"/>
    <w:next w:val="21"/>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5"/>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5"/>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5"/>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5"/>
    <w:qFormat/>
    <w:uiPriority w:val="99"/>
    <w:pPr>
      <w:spacing w:line="413" w:lineRule="auto"/>
    </w:pPr>
  </w:style>
  <w:style w:type="paragraph" w:customStyle="1" w:styleId="134">
    <w:name w:val="TOC 标题1"/>
    <w:basedOn w:val="3"/>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3"/>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5"/>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5"/>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time"/>
    <w:basedOn w:val="47"/>
    <w:qFormat/>
    <w:uiPriority w:val="0"/>
  </w:style>
  <w:style w:type="character" w:customStyle="1" w:styleId="159">
    <w:name w:val="status"/>
    <w:basedOn w:val="47"/>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35</Pages>
  <Words>6721</Words>
  <Characters>7809</Characters>
  <Lines>1</Lines>
  <Paragraphs>1</Paragraphs>
  <TotalTime>11</TotalTime>
  <ScaleCrop>false</ScaleCrop>
  <LinksUpToDate>false</LinksUpToDate>
  <CharactersWithSpaces>7993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这不科学</cp:lastModifiedBy>
  <cp:lastPrinted>2024-12-19T02:48:00Z</cp:lastPrinted>
  <dcterms:modified xsi:type="dcterms:W3CDTF">2025-04-09T03:10:24Z</dcterms:modified>
  <dc:title>创业园小区9#楼工程施工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86717CE9608D47DFB7D00BC0CB6E8D85_13</vt:lpwstr>
  </property>
  <property fmtid="{D5CDD505-2E9C-101B-9397-08002B2CF9AE}" pid="4" name="KSOTemplateDocerSaveRecord">
    <vt:lpwstr>eyJoZGlkIjoiZmI5ZDY5ZDNjMmE2ZDcxYTFkMDY0Zjg5Mjg3YTE0YTgiLCJ1c2VySWQiOiI1MDM3MjkwOTMifQ==</vt:lpwstr>
  </property>
</Properties>
</file>