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840F8">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52"/>
          <w:szCs w:val="52"/>
          <w:highlight w:val="none"/>
          <w:vertAlign w:val="superscript"/>
        </w:rPr>
      </w:pPr>
    </w:p>
    <w:p w14:paraId="3D844400">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52"/>
          <w:szCs w:val="52"/>
          <w:highlight w:val="none"/>
        </w:rPr>
      </w:pPr>
    </w:p>
    <w:p w14:paraId="480494F0">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52"/>
          <w:szCs w:val="52"/>
          <w:highlight w:val="none"/>
          <w:lang w:eastAsia="zh-CN"/>
        </w:rPr>
      </w:pPr>
      <w:bookmarkStart w:id="0" w:name="_Hlk9544796"/>
      <w:r>
        <w:rPr>
          <w:rFonts w:hint="eastAsia" w:ascii="宋体" w:hAnsi="宋体" w:eastAsia="宋体" w:cs="宋体"/>
          <w:b/>
          <w:bCs/>
          <w:color w:val="auto"/>
          <w:sz w:val="52"/>
          <w:szCs w:val="52"/>
          <w:highlight w:val="none"/>
          <w:lang w:val="en-US" w:eastAsia="zh-CN"/>
        </w:rPr>
        <w:t>安徽省</w:t>
      </w:r>
      <w:r>
        <w:rPr>
          <w:rFonts w:hint="eastAsia" w:ascii="宋体" w:hAnsi="宋体" w:eastAsia="宋体" w:cs="宋体"/>
          <w:b/>
          <w:bCs/>
          <w:color w:val="auto"/>
          <w:sz w:val="52"/>
          <w:szCs w:val="52"/>
          <w:highlight w:val="none"/>
        </w:rPr>
        <w:t>政府采购</w:t>
      </w:r>
      <w:r>
        <w:rPr>
          <w:rFonts w:hint="eastAsia" w:ascii="宋体" w:hAnsi="宋体" w:eastAsia="宋体" w:cs="宋体"/>
          <w:b/>
          <w:bCs/>
          <w:color w:val="auto"/>
          <w:sz w:val="52"/>
          <w:szCs w:val="52"/>
          <w:highlight w:val="none"/>
          <w:lang w:eastAsia="zh-CN"/>
        </w:rPr>
        <w:t>项目</w:t>
      </w:r>
    </w:p>
    <w:p w14:paraId="47D56FD8">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竞争性磋商文件示范文本（工程类）</w:t>
      </w:r>
    </w:p>
    <w:p w14:paraId="1B76B4F0">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52"/>
          <w:szCs w:val="52"/>
          <w:highlight w:val="none"/>
        </w:rPr>
      </w:pPr>
      <w:r>
        <w:rPr>
          <w:rFonts w:hint="eastAsia" w:ascii="宋体" w:hAnsi="宋体" w:eastAsia="宋体" w:cs="宋体"/>
          <w:b/>
          <w:bCs/>
          <w:color w:val="auto"/>
          <w:sz w:val="52"/>
          <w:szCs w:val="52"/>
          <w:highlight w:val="none"/>
        </w:rPr>
        <w:t>（</w:t>
      </w:r>
      <w:r>
        <w:rPr>
          <w:rFonts w:hint="eastAsia" w:ascii="宋体" w:hAnsi="宋体" w:eastAsia="宋体" w:cs="宋体"/>
          <w:b/>
          <w:bCs/>
          <w:color w:val="auto"/>
          <w:sz w:val="52"/>
          <w:szCs w:val="52"/>
          <w:highlight w:val="none"/>
          <w:lang w:val="en-US" w:eastAsia="zh-CN"/>
        </w:rPr>
        <w:t>2024版本</w:t>
      </w:r>
      <w:r>
        <w:rPr>
          <w:rFonts w:hint="eastAsia" w:ascii="宋体" w:hAnsi="宋体" w:eastAsia="宋体" w:cs="宋体"/>
          <w:b/>
          <w:bCs/>
          <w:color w:val="auto"/>
          <w:sz w:val="52"/>
          <w:szCs w:val="52"/>
          <w:highlight w:val="none"/>
        </w:rPr>
        <w:t>）</w:t>
      </w:r>
    </w:p>
    <w:bookmarkEnd w:id="0"/>
    <w:p w14:paraId="236846A6">
      <w:pPr>
        <w:tabs>
          <w:tab w:val="left" w:pos="315"/>
          <w:tab w:val="left" w:pos="8820"/>
        </w:tabs>
        <w:spacing w:before="240" w:beforeLines="100" w:after="120" w:afterLines="50" w:line="500" w:lineRule="exact"/>
        <w:ind w:right="254" w:rightChars="127"/>
        <w:jc w:val="center"/>
        <w:rPr>
          <w:rFonts w:hint="eastAsia" w:ascii="宋体" w:hAnsi="宋体" w:eastAsia="宋体" w:cs="宋体"/>
          <w:bCs/>
          <w:color w:val="auto"/>
          <w:sz w:val="44"/>
          <w:szCs w:val="44"/>
          <w:highlight w:val="none"/>
        </w:rPr>
      </w:pPr>
    </w:p>
    <w:p w14:paraId="0DD9D820">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5563DC4D">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45403703">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13CD0321">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70DF8EC3">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0A44170B">
      <w:pPr>
        <w:tabs>
          <w:tab w:val="left" w:pos="2410"/>
        </w:tabs>
        <w:autoSpaceDE w:val="0"/>
        <w:autoSpaceDN w:val="0"/>
        <w:adjustRightInd w:val="0"/>
        <w:snapToGrid w:val="0"/>
        <w:spacing w:line="360" w:lineRule="auto"/>
        <w:jc w:val="both"/>
        <w:rPr>
          <w:rFonts w:hint="eastAsia" w:ascii="宋体" w:hAnsi="宋体" w:eastAsia="宋体" w:cs="宋体"/>
          <w:b/>
          <w:color w:val="auto"/>
          <w:spacing w:val="20"/>
          <w:sz w:val="32"/>
          <w:szCs w:val="32"/>
          <w:highlight w:val="none"/>
          <w:lang w:val="en-US" w:eastAsia="zh-CN"/>
        </w:rPr>
      </w:pPr>
      <w:bookmarkStart w:id="188" w:name="_GoBack"/>
      <w:bookmarkEnd w:id="188"/>
      <w:r>
        <w:rPr>
          <w:rFonts w:hint="eastAsia" w:ascii="宋体" w:hAnsi="宋体" w:eastAsia="宋体" w:cs="宋体"/>
          <w:b/>
          <w:color w:val="auto"/>
          <w:spacing w:val="20"/>
          <w:sz w:val="32"/>
          <w:szCs w:val="32"/>
          <w:highlight w:val="none"/>
        </w:rPr>
        <w:t>项目名称：</w:t>
      </w:r>
      <w:r>
        <w:rPr>
          <w:rFonts w:hint="eastAsia" w:cs="宋体"/>
          <w:b/>
          <w:color w:val="auto"/>
          <w:spacing w:val="20"/>
          <w:sz w:val="32"/>
          <w:szCs w:val="32"/>
          <w:highlight w:val="none"/>
          <w:u w:val="single"/>
          <w:lang w:val="en-US" w:eastAsia="zh-CN"/>
        </w:rPr>
        <w:t>2025年市本级县乡道路日常养护项目</w:t>
      </w:r>
    </w:p>
    <w:p w14:paraId="4FC562F4">
      <w:pPr>
        <w:tabs>
          <w:tab w:val="left" w:pos="2410"/>
        </w:tabs>
        <w:autoSpaceDE w:val="0"/>
        <w:autoSpaceDN w:val="0"/>
        <w:adjustRightInd w:val="0"/>
        <w:snapToGrid w:val="0"/>
        <w:spacing w:line="360" w:lineRule="auto"/>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项目编号：</w:t>
      </w:r>
      <w:r>
        <w:rPr>
          <w:rFonts w:hint="eastAsia" w:ascii="宋体" w:hAnsi="宋体" w:eastAsia="宋体" w:cs="宋体"/>
          <w:b/>
          <w:color w:val="auto"/>
          <w:spacing w:val="20"/>
          <w:sz w:val="32"/>
          <w:szCs w:val="32"/>
          <w:highlight w:val="none"/>
          <w:u w:val="single"/>
          <w:lang w:val="en-US" w:eastAsia="zh-CN"/>
        </w:rPr>
        <w:t>czsjcg202504-024</w:t>
      </w:r>
    </w:p>
    <w:p w14:paraId="1739C8AF">
      <w:pPr>
        <w:tabs>
          <w:tab w:val="left" w:pos="2410"/>
        </w:tabs>
        <w:autoSpaceDE w:val="0"/>
        <w:autoSpaceDN w:val="0"/>
        <w:adjustRightInd w:val="0"/>
        <w:snapToGrid w:val="0"/>
        <w:spacing w:line="360" w:lineRule="auto"/>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采 购 人：</w:t>
      </w:r>
      <w:r>
        <w:rPr>
          <w:rFonts w:hint="eastAsia" w:ascii="宋体" w:hAnsi="宋体" w:eastAsia="宋体" w:cs="宋体"/>
          <w:b/>
          <w:color w:val="auto"/>
          <w:spacing w:val="20"/>
          <w:sz w:val="32"/>
          <w:szCs w:val="32"/>
          <w:highlight w:val="none"/>
          <w:u w:val="single"/>
          <w:lang w:val="en-US" w:eastAsia="zh-CN"/>
        </w:rPr>
        <w:t>滁州市公路管理服务中心</w:t>
      </w:r>
    </w:p>
    <w:p w14:paraId="47D5B624">
      <w:pPr>
        <w:tabs>
          <w:tab w:val="left" w:pos="2410"/>
        </w:tabs>
        <w:autoSpaceDE w:val="0"/>
        <w:autoSpaceDN w:val="0"/>
        <w:adjustRightInd w:val="0"/>
        <w:snapToGrid w:val="0"/>
        <w:spacing w:line="360" w:lineRule="auto"/>
        <w:rPr>
          <w:rFonts w:hint="eastAsia" w:ascii="宋体" w:hAnsi="宋体" w:eastAsia="宋体" w:cs="宋体"/>
          <w:b/>
          <w:color w:val="auto"/>
          <w:spacing w:val="20"/>
          <w:sz w:val="32"/>
          <w:szCs w:val="32"/>
          <w:highlight w:val="none"/>
        </w:rPr>
      </w:pPr>
      <w:r>
        <w:rPr>
          <w:rFonts w:hint="eastAsia" w:ascii="宋体" w:hAnsi="宋体" w:eastAsia="宋体" w:cs="宋体"/>
          <w:b/>
          <w:color w:val="auto"/>
          <w:spacing w:val="20"/>
          <w:sz w:val="32"/>
          <w:szCs w:val="32"/>
          <w:highlight w:val="none"/>
        </w:rPr>
        <w:t>采购代理机构：</w:t>
      </w:r>
      <w:r>
        <w:rPr>
          <w:rFonts w:hint="eastAsia" w:ascii="宋体" w:hAnsi="宋体" w:eastAsia="宋体" w:cs="宋体"/>
          <w:b/>
          <w:color w:val="auto"/>
          <w:spacing w:val="20"/>
          <w:sz w:val="32"/>
          <w:szCs w:val="32"/>
          <w:highlight w:val="none"/>
          <w:u w:val="single"/>
          <w:lang w:val="en-US" w:eastAsia="zh-CN"/>
        </w:rPr>
        <w:t>滁州市城投工程咨询管理有限公司</w:t>
      </w:r>
    </w:p>
    <w:p w14:paraId="0F06C09F">
      <w:pPr>
        <w:tabs>
          <w:tab w:val="left" w:pos="315"/>
          <w:tab w:val="left" w:pos="8820"/>
        </w:tabs>
        <w:spacing w:before="240" w:beforeLines="100" w:after="120" w:afterLines="50" w:line="500" w:lineRule="exact"/>
        <w:ind w:right="254" w:rightChars="127"/>
        <w:jc w:val="center"/>
        <w:rPr>
          <w:rFonts w:hint="eastAsia" w:ascii="宋体" w:hAnsi="宋体" w:eastAsia="宋体" w:cs="宋体"/>
          <w:b/>
          <w:bCs/>
          <w:color w:val="auto"/>
          <w:sz w:val="44"/>
          <w:szCs w:val="44"/>
          <w:highlight w:val="none"/>
        </w:rPr>
      </w:pPr>
    </w:p>
    <w:p w14:paraId="757EA093">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p>
    <w:p w14:paraId="4A01C107">
      <w:pPr>
        <w:tabs>
          <w:tab w:val="left" w:pos="2410"/>
        </w:tabs>
        <w:autoSpaceDE w:val="0"/>
        <w:autoSpaceDN w:val="0"/>
        <w:adjustRightInd w:val="0"/>
        <w:snapToGrid w:val="0"/>
        <w:spacing w:line="360" w:lineRule="auto"/>
        <w:jc w:val="center"/>
        <w:rPr>
          <w:rFonts w:hint="eastAsia" w:ascii="宋体" w:hAnsi="宋体" w:eastAsia="宋体" w:cs="宋体"/>
          <w:b/>
          <w:color w:val="auto"/>
          <w:sz w:val="36"/>
          <w:highlight w:val="none"/>
        </w:rPr>
      </w:pP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2025</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rPr>
        <w:t>年</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u w:val="single"/>
          <w:lang w:val="en-US" w:eastAsia="zh-CN"/>
        </w:rPr>
        <w:t>4</w:t>
      </w:r>
      <w:r>
        <w:rPr>
          <w:rFonts w:hint="eastAsia" w:ascii="宋体" w:hAnsi="宋体" w:eastAsia="宋体" w:cs="宋体"/>
          <w:b/>
          <w:color w:val="auto"/>
          <w:sz w:val="36"/>
          <w:highlight w:val="none"/>
          <w:u w:val="single"/>
        </w:rPr>
        <w:t xml:space="preserve"> </w:t>
      </w:r>
      <w:r>
        <w:rPr>
          <w:rFonts w:hint="eastAsia" w:ascii="宋体" w:hAnsi="宋体" w:eastAsia="宋体" w:cs="宋体"/>
          <w:b/>
          <w:color w:val="auto"/>
          <w:sz w:val="36"/>
          <w:highlight w:val="none"/>
        </w:rPr>
        <w:t>月</w:t>
      </w:r>
      <w:r>
        <w:rPr>
          <w:rFonts w:hint="eastAsia" w:ascii="宋体" w:hAnsi="宋体" w:eastAsia="宋体" w:cs="宋体"/>
          <w:b/>
          <w:color w:val="auto"/>
          <w:sz w:val="36"/>
          <w:highlight w:val="none"/>
        </w:rPr>
        <w:br w:type="page"/>
      </w:r>
    </w:p>
    <w:p w14:paraId="6D009807">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目  录</w:t>
      </w:r>
    </w:p>
    <w:p w14:paraId="449DEE61">
      <w:pPr>
        <w:tabs>
          <w:tab w:val="left" w:pos="2410"/>
        </w:tabs>
        <w:autoSpaceDE w:val="0"/>
        <w:autoSpaceDN w:val="0"/>
        <w:adjustRightInd w:val="0"/>
        <w:snapToGrid w:val="0"/>
        <w:spacing w:line="360" w:lineRule="auto"/>
        <w:jc w:val="center"/>
        <w:rPr>
          <w:rFonts w:hint="eastAsia" w:ascii="宋体" w:hAnsi="宋体" w:eastAsia="宋体" w:cs="宋体"/>
          <w:b/>
          <w:color w:val="auto"/>
          <w:sz w:val="28"/>
          <w:highlight w:val="none"/>
        </w:rPr>
      </w:pPr>
    </w:p>
    <w:p w14:paraId="22F44DFD">
      <w:pPr>
        <w:pStyle w:val="35"/>
        <w:tabs>
          <w:tab w:val="right" w:leader="dot" w:pos="8279"/>
        </w:tabs>
        <w:rPr>
          <w:rFonts w:hint="eastAsia" w:ascii="宋体" w:hAnsi="宋体" w:eastAsia="宋体" w:cs="宋体"/>
        </w:rPr>
      </w:pPr>
      <w:r>
        <w:rPr>
          <w:rFonts w:hint="eastAsia" w:ascii="宋体" w:hAnsi="宋体" w:eastAsia="宋体" w:cs="宋体"/>
          <w:b/>
          <w:color w:val="auto"/>
          <w:sz w:val="24"/>
          <w:szCs w:val="24"/>
          <w:highlight w:val="none"/>
        </w:rPr>
        <w:fldChar w:fldCharType="begin"/>
      </w:r>
      <w:r>
        <w:rPr>
          <w:rFonts w:hint="eastAsia" w:ascii="宋体" w:hAnsi="宋体" w:eastAsia="宋体" w:cs="宋体"/>
          <w:b/>
          <w:color w:val="auto"/>
          <w:sz w:val="24"/>
          <w:szCs w:val="24"/>
          <w:highlight w:val="none"/>
        </w:rPr>
        <w:instrText xml:space="preserve"> TOC \o "1-2" \h \z \u </w:instrText>
      </w:r>
      <w:r>
        <w:rPr>
          <w:rFonts w:hint="eastAsia" w:ascii="宋体" w:hAnsi="宋体" w:eastAsia="宋体" w:cs="宋体"/>
          <w:b/>
          <w:color w:val="auto"/>
          <w:sz w:val="24"/>
          <w:szCs w:val="24"/>
          <w:highlight w:val="none"/>
        </w:rPr>
        <w:fldChar w:fldCharType="separate"/>
      </w: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_Toc11403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第一章  磋商</w:t>
      </w:r>
      <w:r>
        <w:rPr>
          <w:rFonts w:hint="eastAsia" w:ascii="宋体" w:hAnsi="宋体" w:eastAsia="宋体" w:cs="宋体"/>
          <w:highlight w:val="none"/>
          <w:lang w:val="en-US" w:eastAsia="zh-CN"/>
        </w:rPr>
        <w:t>邀请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_Toc11403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D5C5775">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_Toc28080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第二章  供应商须知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_Toc28080 \h </w:instrText>
      </w:r>
      <w:r>
        <w:rPr>
          <w:rFonts w:hint="eastAsia" w:ascii="宋体" w:hAnsi="宋体" w:eastAsia="宋体" w:cs="宋体"/>
        </w:rPr>
        <w:fldChar w:fldCharType="separate"/>
      </w:r>
      <w:r>
        <w:rPr>
          <w:rFonts w:hint="eastAsia" w:ascii="宋体" w:hAnsi="宋体" w:eastAsia="宋体" w:cs="宋体"/>
        </w:rPr>
        <w:t>4</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6BD6308C">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_Toc30873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第三章  采购需求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_Toc30873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40963C53">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_Toc11353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第四章  评审方法和标准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_Toc11353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0E88C266">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_Toc31277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第五章  政府采购合同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_Toc31277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44D4430">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_Toc22734 </w:instrText>
      </w:r>
      <w:r>
        <w:rPr>
          <w:rFonts w:hint="eastAsia" w:ascii="宋体" w:hAnsi="宋体" w:eastAsia="宋体" w:cs="宋体"/>
          <w:szCs w:val="24"/>
          <w:highlight w:val="none"/>
        </w:rPr>
        <w:fldChar w:fldCharType="separate"/>
      </w:r>
      <w:r>
        <w:rPr>
          <w:rFonts w:hint="eastAsia" w:ascii="宋体" w:hAnsi="宋体" w:eastAsia="宋体" w:cs="宋体"/>
          <w:highlight w:val="none"/>
        </w:rPr>
        <w:t>第六章  响应文件格式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_Toc22734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D7C717C">
      <w:pPr>
        <w:pStyle w:val="35"/>
        <w:tabs>
          <w:tab w:val="right" w:leader="dot" w:pos="8279"/>
        </w:tabs>
        <w:rPr>
          <w:rFonts w:hint="eastAsia" w:ascii="宋体" w:hAnsi="宋体" w:eastAsia="宋体" w:cs="宋体"/>
        </w:rPr>
      </w:pPr>
      <w:r>
        <w:rPr>
          <w:rFonts w:hint="eastAsia" w:ascii="宋体" w:hAnsi="宋体" w:eastAsia="宋体" w:cs="宋体"/>
          <w:color w:val="auto"/>
          <w:szCs w:val="24"/>
          <w:highlight w:val="none"/>
        </w:rPr>
        <w:fldChar w:fldCharType="begin"/>
      </w:r>
      <w:r>
        <w:rPr>
          <w:rFonts w:hint="eastAsia" w:ascii="宋体" w:hAnsi="宋体" w:eastAsia="宋体" w:cs="宋体"/>
          <w:szCs w:val="24"/>
          <w:highlight w:val="none"/>
        </w:rPr>
        <w:instrText xml:space="preserve"> HYPERLINK \l _Toc24879 </w:instrText>
      </w:r>
      <w:r>
        <w:rPr>
          <w:rFonts w:hint="eastAsia" w:ascii="宋体" w:hAnsi="宋体" w:eastAsia="宋体" w:cs="宋体"/>
          <w:szCs w:val="24"/>
          <w:highlight w:val="none"/>
        </w:rPr>
        <w:fldChar w:fldCharType="separate"/>
      </w:r>
      <w:r>
        <w:rPr>
          <w:rFonts w:hint="eastAsia" w:ascii="宋体" w:hAnsi="宋体" w:eastAsia="宋体" w:cs="宋体"/>
          <w:bCs/>
          <w:highlight w:val="none"/>
        </w:rPr>
        <w:t>第</w:t>
      </w:r>
      <w:r>
        <w:rPr>
          <w:rFonts w:hint="eastAsia" w:ascii="宋体" w:hAnsi="宋体" w:eastAsia="宋体" w:cs="宋体"/>
          <w:bCs/>
          <w:highlight w:val="none"/>
          <w:lang w:val="en-US" w:eastAsia="zh-CN"/>
        </w:rPr>
        <w:t>七</w:t>
      </w:r>
      <w:r>
        <w:rPr>
          <w:rFonts w:hint="eastAsia" w:ascii="宋体" w:hAnsi="宋体" w:eastAsia="宋体" w:cs="宋体"/>
          <w:bCs/>
          <w:highlight w:val="none"/>
        </w:rPr>
        <w:t>章  政府采购</w:t>
      </w:r>
      <w:r>
        <w:rPr>
          <w:rFonts w:hint="eastAsia" w:ascii="宋体" w:hAnsi="宋体" w:eastAsia="宋体" w:cs="宋体"/>
          <w:highlight w:val="none"/>
        </w:rPr>
        <w:t>供应</w:t>
      </w:r>
      <w:r>
        <w:rPr>
          <w:rFonts w:hint="eastAsia" w:ascii="宋体" w:hAnsi="宋体" w:eastAsia="宋体" w:cs="宋体"/>
          <w:bCs/>
          <w:highlight w:val="none"/>
        </w:rPr>
        <w:t>商询问函和质疑函范本</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_Toc24879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color w:val="auto"/>
          <w:szCs w:val="24"/>
          <w:highlight w:val="none"/>
        </w:rPr>
        <w:fldChar w:fldCharType="end"/>
      </w:r>
    </w:p>
    <w:p w14:paraId="5BF1C233">
      <w:pPr>
        <w:pStyle w:val="45"/>
        <w:tabs>
          <w:tab w:val="right" w:leader="dot" w:pos="8296"/>
        </w:tabs>
        <w:rPr>
          <w:rFonts w:hint="eastAsia" w:ascii="宋体" w:hAnsi="宋体" w:eastAsia="宋体" w:cs="宋体"/>
          <w:b/>
          <w:color w:val="auto"/>
          <w:szCs w:val="24"/>
          <w:highlight w:val="none"/>
        </w:rPr>
      </w:pPr>
      <w:r>
        <w:rPr>
          <w:rFonts w:hint="eastAsia" w:ascii="宋体" w:hAnsi="宋体" w:eastAsia="宋体" w:cs="宋体"/>
          <w:color w:val="auto"/>
          <w:szCs w:val="24"/>
          <w:highlight w:val="none"/>
        </w:rPr>
        <w:fldChar w:fldCharType="end"/>
      </w:r>
    </w:p>
    <w:p w14:paraId="1053D48E">
      <w:pPr>
        <w:pStyle w:val="6"/>
        <w:rPr>
          <w:rFonts w:hint="eastAsia" w:ascii="宋体" w:hAnsi="宋体" w:eastAsia="宋体" w:cs="宋体"/>
        </w:rPr>
        <w:sectPr>
          <w:headerReference r:id="rId3" w:type="default"/>
          <w:footerReference r:id="rId4" w:type="default"/>
          <w:pgSz w:w="11907" w:h="16840"/>
          <w:pgMar w:top="1474" w:right="1814" w:bottom="1474" w:left="1814" w:header="851" w:footer="992" w:gutter="0"/>
          <w:cols w:space="720" w:num="1"/>
          <w:docGrid w:linePitch="462" w:charSpace="0"/>
        </w:sectPr>
      </w:pPr>
    </w:p>
    <w:p w14:paraId="3512CCCD">
      <w:pPr>
        <w:spacing w:line="360" w:lineRule="auto"/>
        <w:jc w:val="center"/>
        <w:outlineLvl w:val="0"/>
        <w:rPr>
          <w:rFonts w:hint="eastAsia" w:ascii="宋体" w:hAnsi="宋体" w:eastAsia="宋体" w:cs="宋体"/>
          <w:b/>
          <w:color w:val="auto"/>
          <w:sz w:val="28"/>
          <w:highlight w:val="none"/>
          <w:lang w:eastAsia="zh-CN"/>
        </w:rPr>
      </w:pPr>
      <w:bookmarkStart w:id="1" w:name="_Toc11403"/>
      <w:bookmarkStart w:id="2" w:name="_Toc13220"/>
      <w:r>
        <w:rPr>
          <w:rFonts w:hint="eastAsia" w:ascii="宋体" w:hAnsi="宋体" w:eastAsia="宋体" w:cs="宋体"/>
          <w:b/>
          <w:color w:val="auto"/>
          <w:sz w:val="28"/>
          <w:highlight w:val="none"/>
        </w:rPr>
        <w:t>第一章  磋商</w:t>
      </w:r>
      <w:bookmarkEnd w:id="1"/>
      <w:r>
        <w:rPr>
          <w:rFonts w:hint="eastAsia" w:ascii="宋体" w:hAnsi="宋体" w:eastAsia="宋体" w:cs="宋体"/>
          <w:b/>
          <w:color w:val="auto"/>
          <w:sz w:val="28"/>
          <w:highlight w:val="none"/>
          <w:lang w:val="en-US" w:eastAsia="zh-CN"/>
        </w:rPr>
        <w:t>邀请</w:t>
      </w:r>
    </w:p>
    <w:p w14:paraId="7E05702D">
      <w:pPr>
        <w:keepNext/>
        <w:keepLines/>
        <w:pageBreakBefore w:val="0"/>
        <w:widowControl w:val="0"/>
        <w:kinsoku/>
        <w:wordWrap/>
        <w:overflowPunct/>
        <w:topLinePunct w:val="0"/>
        <w:autoSpaceDE/>
        <w:autoSpaceDN/>
        <w:bidi w:val="0"/>
        <w:adjustRightInd/>
        <w:snapToGrid/>
        <w:spacing w:before="0" w:after="0" w:line="240" w:lineRule="auto"/>
        <w:ind w:firstLine="480" w:firstLineChars="200"/>
        <w:textAlignment w:val="auto"/>
        <w:outlineLvl w:val="9"/>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项目概况</w:t>
      </w:r>
    </w:p>
    <w:p w14:paraId="38DC3E48">
      <w:pPr>
        <w:keepNext/>
        <w:keepLines/>
        <w:pageBreakBefore w:val="0"/>
        <w:widowControl w:val="0"/>
        <w:kinsoku/>
        <w:wordWrap w:val="0"/>
        <w:overflowPunct/>
        <w:topLinePunct w:val="0"/>
        <w:autoSpaceDE/>
        <w:autoSpaceDN/>
        <w:bidi w:val="0"/>
        <w:adjustRightInd/>
        <w:snapToGrid/>
        <w:spacing w:before="0" w:after="0" w:line="240" w:lineRule="auto"/>
        <w:ind w:firstLine="480" w:firstLineChars="200"/>
        <w:textAlignment w:val="auto"/>
        <w:outlineLvl w:val="9"/>
        <w:rPr>
          <w:rFonts w:hint="eastAsia" w:ascii="宋体" w:hAnsi="宋体" w:eastAsia="宋体" w:cs="宋体"/>
          <w:b w:val="0"/>
          <w:color w:val="000000"/>
          <w:sz w:val="24"/>
          <w:szCs w:val="24"/>
          <w:highlight w:val="none"/>
        </w:rPr>
      </w:pPr>
      <w:r>
        <w:rPr>
          <w:rFonts w:hint="eastAsia" w:cs="宋体"/>
          <w:b w:val="0"/>
          <w:bCs w:val="0"/>
          <w:color w:val="000000"/>
          <w:kern w:val="2"/>
          <w:sz w:val="24"/>
          <w:szCs w:val="24"/>
          <w:highlight w:val="none"/>
          <w:u w:val="single"/>
          <w:lang w:val="en-US" w:eastAsia="zh-CN"/>
        </w:rPr>
        <w:t>2025年市本级县乡道路日常养护项目</w:t>
      </w:r>
      <w:r>
        <w:rPr>
          <w:rFonts w:hint="eastAsia" w:ascii="宋体" w:hAnsi="宋体" w:eastAsia="宋体" w:cs="宋体"/>
          <w:b w:val="0"/>
          <w:color w:val="000000"/>
          <w:sz w:val="24"/>
          <w:szCs w:val="24"/>
          <w:highlight w:val="none"/>
          <w:lang w:eastAsia="zh-CN"/>
        </w:rPr>
        <w:t>采购</w:t>
      </w:r>
      <w:r>
        <w:rPr>
          <w:rFonts w:hint="eastAsia" w:ascii="宋体" w:hAnsi="宋体" w:eastAsia="宋体" w:cs="宋体"/>
          <w:b w:val="0"/>
          <w:color w:val="000000"/>
          <w:sz w:val="24"/>
          <w:szCs w:val="24"/>
          <w:highlight w:val="none"/>
        </w:rPr>
        <w:t>项目的潜在</w:t>
      </w:r>
      <w:r>
        <w:rPr>
          <w:rFonts w:hint="eastAsia" w:ascii="宋体" w:hAnsi="宋体" w:eastAsia="宋体" w:cs="宋体"/>
          <w:b w:val="0"/>
          <w:color w:val="000000"/>
          <w:sz w:val="24"/>
          <w:szCs w:val="24"/>
          <w:highlight w:val="none"/>
          <w:lang w:eastAsia="zh-CN"/>
        </w:rPr>
        <w:t>供应商</w:t>
      </w:r>
      <w:r>
        <w:rPr>
          <w:rFonts w:hint="eastAsia" w:ascii="宋体" w:hAnsi="宋体" w:eastAsia="宋体" w:cs="宋体"/>
          <w:b w:val="0"/>
          <w:color w:val="000000"/>
          <w:sz w:val="24"/>
          <w:szCs w:val="24"/>
          <w:highlight w:val="none"/>
        </w:rPr>
        <w:t>应在</w:t>
      </w:r>
      <w:r>
        <w:rPr>
          <w:rFonts w:hint="eastAsia" w:ascii="宋体" w:hAnsi="宋体" w:eastAsia="宋体" w:cs="宋体"/>
          <w:b w:val="0"/>
          <w:color w:val="000000"/>
          <w:sz w:val="24"/>
          <w:szCs w:val="24"/>
          <w:highlight w:val="none"/>
          <w:u w:val="single"/>
        </w:rPr>
        <w:t>滁州市公共资源交易中心网（</w:t>
      </w:r>
      <w:r>
        <w:rPr>
          <w:rFonts w:hint="eastAsia" w:ascii="宋体" w:hAnsi="宋体" w:eastAsia="宋体" w:cs="宋体"/>
          <w:b w:val="0"/>
          <w:color w:val="000000"/>
          <w:sz w:val="24"/>
          <w:szCs w:val="24"/>
          <w:highlight w:val="none"/>
          <w:u w:val="single"/>
          <w:lang w:eastAsia="zh-CN"/>
        </w:rPr>
        <w:t>https://ggzy.chuzhou.gov.cn/</w:t>
      </w:r>
      <w:r>
        <w:rPr>
          <w:rFonts w:hint="eastAsia" w:ascii="宋体" w:hAnsi="宋体" w:eastAsia="宋体" w:cs="宋体"/>
          <w:b w:val="0"/>
          <w:color w:val="000000"/>
          <w:sz w:val="24"/>
          <w:szCs w:val="24"/>
          <w:highlight w:val="none"/>
          <w:u w:val="single"/>
        </w:rPr>
        <w:t>）</w:t>
      </w:r>
      <w:r>
        <w:rPr>
          <w:rFonts w:hint="eastAsia" w:ascii="宋体" w:hAnsi="宋体" w:eastAsia="宋体" w:cs="宋体"/>
          <w:b w:val="0"/>
          <w:color w:val="000000"/>
          <w:sz w:val="24"/>
          <w:szCs w:val="24"/>
          <w:highlight w:val="none"/>
        </w:rPr>
        <w:t>获取</w:t>
      </w:r>
      <w:r>
        <w:rPr>
          <w:rFonts w:hint="eastAsia" w:ascii="宋体" w:hAnsi="宋体" w:eastAsia="宋体" w:cs="宋体"/>
          <w:b w:val="0"/>
          <w:color w:val="000000"/>
          <w:sz w:val="24"/>
          <w:szCs w:val="24"/>
          <w:highlight w:val="none"/>
          <w:lang w:val="en-US" w:eastAsia="zh-CN"/>
        </w:rPr>
        <w:t>采购</w:t>
      </w:r>
      <w:r>
        <w:rPr>
          <w:rFonts w:hint="eastAsia" w:ascii="宋体" w:hAnsi="宋体" w:eastAsia="宋体" w:cs="宋体"/>
          <w:b w:val="0"/>
          <w:color w:val="000000"/>
          <w:sz w:val="24"/>
          <w:szCs w:val="24"/>
          <w:highlight w:val="none"/>
        </w:rPr>
        <w:t>文件，并于</w:t>
      </w:r>
      <w:r>
        <w:rPr>
          <w:rFonts w:hint="eastAsia" w:ascii="宋体" w:hAnsi="宋体" w:eastAsia="宋体" w:cs="宋体"/>
          <w:b w:val="0"/>
          <w:color w:val="000000"/>
          <w:sz w:val="24"/>
          <w:szCs w:val="24"/>
          <w:highlight w:val="none"/>
          <w:u w:val="single"/>
          <w:lang w:val="en-US" w:eastAsia="zh-CN"/>
        </w:rPr>
        <w:t>2025年5月6日8</w:t>
      </w:r>
      <w:r>
        <w:rPr>
          <w:rFonts w:hint="eastAsia" w:ascii="宋体" w:hAnsi="宋体" w:eastAsia="宋体" w:cs="宋体"/>
          <w:b w:val="0"/>
          <w:color w:val="000000"/>
          <w:sz w:val="24"/>
          <w:szCs w:val="24"/>
          <w:highlight w:val="none"/>
          <w:u w:val="single"/>
        </w:rPr>
        <w:t>点</w:t>
      </w:r>
      <w:r>
        <w:rPr>
          <w:rFonts w:hint="eastAsia" w:ascii="宋体" w:hAnsi="宋体" w:eastAsia="宋体" w:cs="宋体"/>
          <w:b w:val="0"/>
          <w:color w:val="000000"/>
          <w:sz w:val="24"/>
          <w:szCs w:val="24"/>
          <w:highlight w:val="none"/>
          <w:u w:val="single"/>
          <w:lang w:val="en-US" w:eastAsia="zh-CN"/>
        </w:rPr>
        <w:t>00</w:t>
      </w:r>
      <w:r>
        <w:rPr>
          <w:rFonts w:hint="eastAsia" w:ascii="宋体" w:hAnsi="宋体" w:eastAsia="宋体" w:cs="宋体"/>
          <w:b w:val="0"/>
          <w:color w:val="000000"/>
          <w:sz w:val="24"/>
          <w:szCs w:val="24"/>
          <w:highlight w:val="none"/>
          <w:u w:val="single"/>
        </w:rPr>
        <w:t>分</w:t>
      </w:r>
      <w:r>
        <w:rPr>
          <w:rFonts w:hint="eastAsia" w:ascii="宋体" w:hAnsi="宋体" w:eastAsia="宋体" w:cs="宋体"/>
          <w:b w:val="0"/>
          <w:color w:val="000000"/>
          <w:sz w:val="24"/>
          <w:szCs w:val="24"/>
          <w:highlight w:val="none"/>
        </w:rPr>
        <w:t>（北京时间）前递交</w:t>
      </w:r>
      <w:r>
        <w:rPr>
          <w:rFonts w:hint="eastAsia" w:ascii="宋体" w:hAnsi="宋体" w:eastAsia="宋体" w:cs="宋体"/>
          <w:b w:val="0"/>
          <w:color w:val="000000"/>
          <w:sz w:val="24"/>
          <w:szCs w:val="24"/>
          <w:highlight w:val="none"/>
          <w:lang w:eastAsia="zh-CN"/>
        </w:rPr>
        <w:t>响应</w:t>
      </w:r>
      <w:r>
        <w:rPr>
          <w:rFonts w:hint="eastAsia" w:ascii="宋体" w:hAnsi="宋体" w:eastAsia="宋体" w:cs="宋体"/>
          <w:b w:val="0"/>
          <w:color w:val="000000"/>
          <w:sz w:val="24"/>
          <w:szCs w:val="24"/>
          <w:highlight w:val="none"/>
        </w:rPr>
        <w:t>文件。</w:t>
      </w:r>
    </w:p>
    <w:p w14:paraId="141D677D">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一、项目基本情况</w:t>
      </w:r>
    </w:p>
    <w:p w14:paraId="3586EB9C">
      <w:pPr>
        <w:ind w:firstLine="480" w:firstLineChars="200"/>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项目编号：</w:t>
      </w:r>
      <w:r>
        <w:rPr>
          <w:rFonts w:hint="eastAsia" w:ascii="宋体" w:hAnsi="宋体" w:eastAsia="宋体" w:cs="宋体"/>
          <w:color w:val="000000"/>
          <w:sz w:val="24"/>
          <w:szCs w:val="24"/>
          <w:highlight w:val="none"/>
          <w:lang w:eastAsia="zh-CN"/>
        </w:rPr>
        <w:t xml:space="preserve">czsjcg202504-024    </w:t>
      </w:r>
      <w:r>
        <w:rPr>
          <w:rFonts w:hint="eastAsia" w:ascii="宋体" w:hAnsi="宋体" w:eastAsia="宋体" w:cs="宋体"/>
          <w:color w:val="000000"/>
          <w:sz w:val="24"/>
          <w:szCs w:val="24"/>
          <w:highlight w:val="none"/>
          <w:lang w:val="en-US" w:eastAsia="zh-CN"/>
        </w:rPr>
        <w:t xml:space="preserve"> </w:t>
      </w:r>
    </w:p>
    <w:p w14:paraId="6D8CE613">
      <w:pPr>
        <w:ind w:firstLine="480" w:firstLineChars="20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项目名称：</w:t>
      </w:r>
      <w:r>
        <w:rPr>
          <w:rFonts w:hint="eastAsia" w:cs="宋体"/>
          <w:color w:val="000000"/>
          <w:sz w:val="24"/>
          <w:szCs w:val="24"/>
          <w:highlight w:val="none"/>
          <w:lang w:val="en-US" w:eastAsia="zh-CN"/>
        </w:rPr>
        <w:t>2025年市本级县乡道路日常养护项目</w:t>
      </w:r>
      <w:r>
        <w:rPr>
          <w:rFonts w:hint="eastAsia" w:ascii="宋体" w:hAnsi="宋体" w:eastAsia="宋体" w:cs="宋体"/>
          <w:color w:val="000000"/>
          <w:sz w:val="24"/>
          <w:szCs w:val="24"/>
          <w:highlight w:val="none"/>
        </w:rPr>
        <w:t xml:space="preserve"> </w:t>
      </w:r>
    </w:p>
    <w:p w14:paraId="0091AEBC">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采购方式：竞争性磋商</w:t>
      </w:r>
    </w:p>
    <w:p w14:paraId="7CE40903">
      <w:pPr>
        <w:ind w:firstLine="480" w:firstLineChars="200"/>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预算金额：</w:t>
      </w:r>
      <w:r>
        <w:rPr>
          <w:rFonts w:hint="eastAsia" w:ascii="宋体" w:hAnsi="宋体" w:eastAsia="宋体" w:cs="宋体"/>
          <w:color w:val="000000"/>
          <w:sz w:val="24"/>
          <w:szCs w:val="24"/>
          <w:highlight w:val="none"/>
          <w:lang w:val="en-US" w:eastAsia="zh-CN"/>
        </w:rPr>
        <w:t>1376188.87元</w:t>
      </w:r>
    </w:p>
    <w:p w14:paraId="6C42B4F6">
      <w:pPr>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最高限价：</w:t>
      </w:r>
      <w:r>
        <w:rPr>
          <w:rFonts w:hint="eastAsia" w:ascii="宋体" w:hAnsi="宋体" w:eastAsia="宋体" w:cs="宋体"/>
          <w:color w:val="auto"/>
          <w:sz w:val="24"/>
          <w:szCs w:val="24"/>
          <w:highlight w:val="none"/>
          <w:lang w:eastAsia="zh-CN"/>
        </w:rPr>
        <w:t>1376188.87</w:t>
      </w:r>
      <w:r>
        <w:rPr>
          <w:rFonts w:hint="eastAsia" w:ascii="宋体" w:hAnsi="宋体" w:eastAsia="宋体" w:cs="宋体"/>
          <w:color w:val="auto"/>
          <w:sz w:val="24"/>
          <w:szCs w:val="24"/>
          <w:highlight w:val="none"/>
        </w:rPr>
        <w:t>元。本项目报价采用百分比报价，报价不得高于100%</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否则按无效处理。</w:t>
      </w:r>
    </w:p>
    <w:p w14:paraId="47004AE8">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采购需</w:t>
      </w:r>
      <w:r>
        <w:rPr>
          <w:rFonts w:hint="eastAsia" w:ascii="宋体" w:hAnsi="宋体" w:eastAsia="宋体" w:cs="宋体"/>
          <w:color w:val="auto"/>
          <w:sz w:val="24"/>
          <w:szCs w:val="24"/>
          <w:highlight w:val="none"/>
        </w:rPr>
        <w:t>求：日常养护。</w:t>
      </w:r>
    </w:p>
    <w:p w14:paraId="689C88C2">
      <w:pPr>
        <w:ind w:firstLine="480" w:firstLineChars="200"/>
        <w:rPr>
          <w:rFonts w:hint="eastAsia" w:ascii="宋体" w:hAnsi="宋体" w:eastAsia="宋体" w:cs="宋体"/>
          <w:color w:val="000000"/>
          <w:sz w:val="24"/>
          <w:szCs w:val="24"/>
          <w:highlight w:val="none"/>
          <w:u w:val="single"/>
          <w:lang w:val="en-US" w:eastAsia="zh-CN"/>
        </w:rPr>
      </w:pPr>
      <w:r>
        <w:rPr>
          <w:rFonts w:hint="eastAsia" w:ascii="宋体" w:hAnsi="宋体" w:eastAsia="宋体" w:cs="宋体"/>
          <w:color w:val="000000"/>
          <w:sz w:val="24"/>
          <w:szCs w:val="24"/>
          <w:highlight w:val="none"/>
        </w:rPr>
        <w:t>合同履行期限：</w:t>
      </w:r>
      <w:r>
        <w:rPr>
          <w:rFonts w:hint="eastAsia" w:ascii="宋体" w:hAnsi="宋体" w:eastAsia="宋体" w:cs="宋体"/>
          <w:color w:val="000000"/>
          <w:sz w:val="24"/>
          <w:szCs w:val="24"/>
          <w:highlight w:val="none"/>
          <w:lang w:val="en-US" w:eastAsia="zh-CN"/>
        </w:rPr>
        <w:t>合同签订之日起至2025年12月31日。</w:t>
      </w:r>
    </w:p>
    <w:p w14:paraId="116D53D9">
      <w:pPr>
        <w:spacing w:line="240" w:lineRule="auto"/>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本项目</w:t>
      </w:r>
      <w:r>
        <w:rPr>
          <w:rFonts w:hint="eastAsia" w:ascii="宋体" w:hAnsi="宋体" w:eastAsia="宋体" w:cs="宋体"/>
          <w:color w:val="000000"/>
          <w:sz w:val="24"/>
          <w:szCs w:val="24"/>
          <w:highlight w:val="none"/>
          <w:lang w:val="en-US" w:eastAsia="zh-CN"/>
        </w:rPr>
        <w:t>不</w:t>
      </w:r>
      <w:r>
        <w:rPr>
          <w:rFonts w:hint="eastAsia" w:ascii="宋体" w:hAnsi="宋体" w:eastAsia="宋体" w:cs="宋体"/>
          <w:color w:val="000000"/>
          <w:sz w:val="24"/>
          <w:szCs w:val="24"/>
          <w:highlight w:val="none"/>
        </w:rPr>
        <w:t>接受联合体。</w:t>
      </w:r>
    </w:p>
    <w:p w14:paraId="66218558">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rPr>
      </w:pPr>
      <w:bookmarkStart w:id="3" w:name="_Toc35393799"/>
      <w:bookmarkStart w:id="4" w:name="_Toc28359090"/>
      <w:bookmarkStart w:id="5" w:name="_Toc28359013"/>
      <w:bookmarkStart w:id="6" w:name="_Toc35393630"/>
      <w:r>
        <w:rPr>
          <w:rFonts w:hint="eastAsia" w:ascii="宋体" w:hAnsi="宋体" w:eastAsia="宋体" w:cs="宋体"/>
          <w:b w:val="0"/>
          <w:color w:val="000000"/>
          <w:sz w:val="24"/>
          <w:szCs w:val="24"/>
          <w:highlight w:val="none"/>
        </w:rPr>
        <w:t>二、申请人的资格要求</w:t>
      </w:r>
      <w:bookmarkEnd w:id="3"/>
      <w:bookmarkEnd w:id="4"/>
      <w:bookmarkEnd w:id="5"/>
      <w:bookmarkEnd w:id="6"/>
    </w:p>
    <w:p w14:paraId="7EC03C2A">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1.满足《中华人民共和国政府采购法》第二十二条规定；</w:t>
      </w:r>
    </w:p>
    <w:p w14:paraId="0D53844C">
      <w:pPr>
        <w:ind w:firstLine="480" w:firstLineChars="200"/>
        <w:rPr>
          <w:rFonts w:hint="eastAsia" w:ascii="宋体" w:hAnsi="宋体" w:eastAsia="宋体" w:cs="宋体"/>
          <w:color w:val="000000"/>
          <w:sz w:val="24"/>
          <w:szCs w:val="24"/>
          <w:highlight w:val="none"/>
          <w:u w:val="single"/>
          <w:lang w:eastAsia="zh-CN"/>
        </w:rPr>
      </w:pPr>
      <w:bookmarkStart w:id="7" w:name="_Toc28359091"/>
      <w:bookmarkStart w:id="8" w:name="_Toc28359014"/>
      <w:r>
        <w:rPr>
          <w:rFonts w:hint="eastAsia" w:ascii="宋体" w:hAnsi="宋体" w:eastAsia="宋体" w:cs="宋体"/>
          <w:color w:val="000000"/>
          <w:sz w:val="24"/>
          <w:szCs w:val="24"/>
          <w:highlight w:val="none"/>
        </w:rPr>
        <w:t>2.落实政府采购政策需满足的资格要求：</w:t>
      </w:r>
      <w:r>
        <w:rPr>
          <w:rFonts w:hint="eastAsia" w:ascii="宋体" w:hAnsi="宋体" w:eastAsia="宋体" w:cs="宋体"/>
          <w:color w:val="000000"/>
          <w:sz w:val="24"/>
          <w:szCs w:val="24"/>
          <w:highlight w:val="none"/>
          <w:u w:val="single"/>
        </w:rPr>
        <w:t>按照财政部、工业和信息化部制定的《政府采购促进中小企业发展管理办法》，本项目为专门面向中小企业采购项目。企业划型标准按照《关于印发中小企业划型标准规定的通知》（工信部联企业〔2011〕300号）规定执行</w:t>
      </w:r>
      <w:r>
        <w:rPr>
          <w:rFonts w:hint="eastAsia" w:ascii="宋体" w:hAnsi="宋体" w:eastAsia="宋体" w:cs="宋体"/>
          <w:color w:val="000000"/>
          <w:sz w:val="24"/>
          <w:szCs w:val="24"/>
          <w:highlight w:val="none"/>
          <w:u w:val="single"/>
          <w:lang w:eastAsia="zh-CN"/>
        </w:rPr>
        <w:t>。</w:t>
      </w:r>
    </w:p>
    <w:p w14:paraId="25F923A5">
      <w:pPr>
        <w:ind w:firstLine="480" w:firstLineChars="200"/>
        <w:rPr>
          <w:rFonts w:hint="eastAsia" w:ascii="宋体" w:hAnsi="宋体" w:eastAsia="宋体" w:cs="宋体"/>
          <w:color w:val="000000"/>
          <w:sz w:val="24"/>
          <w:szCs w:val="24"/>
          <w:highlight w:val="none"/>
          <w:u w:val="single"/>
          <w:lang w:eastAsia="zh-CN"/>
        </w:rPr>
      </w:pPr>
      <w:r>
        <w:rPr>
          <w:rFonts w:hint="eastAsia" w:ascii="宋体" w:hAnsi="宋体" w:eastAsia="宋体" w:cs="宋体"/>
          <w:color w:val="000000"/>
          <w:sz w:val="24"/>
          <w:szCs w:val="24"/>
          <w:highlight w:val="none"/>
        </w:rPr>
        <w:t>3.本项目的特定资格要求：</w:t>
      </w:r>
      <w:bookmarkStart w:id="9" w:name="_Toc35393631"/>
      <w:bookmarkStart w:id="10" w:name="_Toc35393800"/>
      <w:r>
        <w:rPr>
          <w:rFonts w:hint="eastAsia" w:ascii="宋体" w:hAnsi="宋体" w:eastAsia="宋体" w:cs="宋体"/>
          <w:color w:val="000000"/>
          <w:sz w:val="24"/>
          <w:szCs w:val="24"/>
          <w:highlight w:val="none"/>
          <w:u w:val="single"/>
        </w:rPr>
        <w:t>①供应商具有</w:t>
      </w:r>
      <w:r>
        <w:rPr>
          <w:rFonts w:hint="eastAsia" w:ascii="宋体" w:hAnsi="宋体" w:eastAsia="宋体" w:cs="宋体"/>
          <w:color w:val="000000"/>
          <w:sz w:val="24"/>
          <w:szCs w:val="24"/>
          <w:highlight w:val="none"/>
          <w:u w:val="single"/>
          <w:lang w:val="en-US" w:eastAsia="zh-CN"/>
        </w:rPr>
        <w:t>路基路面养护乙级及以上证书</w:t>
      </w:r>
      <w:r>
        <w:rPr>
          <w:rFonts w:hint="eastAsia" w:ascii="宋体" w:hAnsi="宋体" w:eastAsia="宋体" w:cs="宋体"/>
          <w:color w:val="000000"/>
          <w:sz w:val="24"/>
          <w:szCs w:val="24"/>
          <w:highlight w:val="none"/>
          <w:u w:val="single"/>
        </w:rPr>
        <w:t>；②拟任项目经理须具备公路工程专业二级及以上建造师资格。</w:t>
      </w:r>
    </w:p>
    <w:p w14:paraId="5C7A2CAC">
      <w:pPr>
        <w:ind w:firstLine="480" w:firstLineChars="20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w:t>
      </w:r>
      <w:r>
        <w:rPr>
          <w:rFonts w:hint="eastAsia" w:ascii="宋体" w:hAnsi="宋体" w:eastAsia="宋体" w:cs="宋体"/>
          <w:i w:val="0"/>
          <w:caps w:val="0"/>
          <w:color w:val="000000"/>
          <w:spacing w:val="0"/>
          <w:sz w:val="24"/>
          <w:szCs w:val="24"/>
          <w:highlight w:val="none"/>
          <w:shd w:val="clear" w:color="auto" w:fill="FFFFFF"/>
        </w:rPr>
        <w:t>信誉要求：</w:t>
      </w:r>
      <w:r>
        <w:rPr>
          <w:rFonts w:hint="eastAsia" w:ascii="宋体" w:hAnsi="宋体" w:eastAsia="宋体" w:cs="宋体"/>
          <w:i w:val="0"/>
          <w:caps w:val="0"/>
          <w:color w:val="000000"/>
          <w:spacing w:val="0"/>
          <w:sz w:val="24"/>
          <w:szCs w:val="24"/>
          <w:highlight w:val="none"/>
          <w:shd w:val="clear" w:color="auto" w:fill="FFFFFF"/>
          <w:lang w:eastAsia="zh-CN"/>
        </w:rPr>
        <w:t>供应商</w:t>
      </w:r>
      <w:r>
        <w:rPr>
          <w:rFonts w:hint="eastAsia" w:ascii="宋体" w:hAnsi="宋体" w:eastAsia="宋体" w:cs="宋体"/>
          <w:i w:val="0"/>
          <w:caps w:val="0"/>
          <w:color w:val="000000"/>
          <w:spacing w:val="0"/>
          <w:sz w:val="24"/>
          <w:szCs w:val="24"/>
          <w:highlight w:val="none"/>
          <w:shd w:val="clear" w:color="auto" w:fill="FFFFFF"/>
        </w:rPr>
        <w:t>不得存在以下情形</w:t>
      </w:r>
      <w:r>
        <w:rPr>
          <w:rFonts w:hint="eastAsia" w:ascii="宋体" w:hAnsi="宋体" w:eastAsia="宋体" w:cs="宋体"/>
          <w:color w:val="000000"/>
          <w:sz w:val="24"/>
          <w:szCs w:val="24"/>
          <w:highlight w:val="none"/>
        </w:rPr>
        <w:t>：</w:t>
      </w:r>
    </w:p>
    <w:p w14:paraId="112970EA">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①被列入“信用中国”网站“失信被执行人”的；</w:t>
      </w:r>
    </w:p>
    <w:p w14:paraId="051C7279">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②被列入“信用中国”网站“重大税收违法失信主体”的；</w:t>
      </w:r>
    </w:p>
    <w:p w14:paraId="2570515D">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③被列入“信用中国”网站 “严重失信主体名单”的；</w:t>
      </w:r>
    </w:p>
    <w:p w14:paraId="1677524D">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④在“信用中国”网站上披露的仍在公示期的严重失信行为(具体行为类别及判定依据见“信用中国”查询的严重失信行为类别及判定依据)的；</w:t>
      </w:r>
    </w:p>
    <w:p w14:paraId="434F87A1">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⑤被列入国家企业信用信息公示系统网站“经营异常名录”或者“严重违法失信名单”的。</w:t>
      </w:r>
    </w:p>
    <w:p w14:paraId="64BD798F">
      <w:pPr>
        <w:ind w:firstLine="480" w:firstLineChars="200"/>
        <w:rPr>
          <w:rFonts w:hint="eastAsia" w:ascii="宋体" w:hAnsi="宋体" w:eastAsia="宋体" w:cs="宋体"/>
          <w:i w:val="0"/>
          <w:caps w:val="0"/>
          <w:color w:val="000000"/>
          <w:spacing w:val="0"/>
          <w:sz w:val="24"/>
          <w:szCs w:val="24"/>
          <w:highlight w:val="none"/>
          <w:shd w:val="clear" w:color="auto" w:fill="FFFFFF"/>
        </w:rPr>
      </w:pPr>
      <w:r>
        <w:rPr>
          <w:rFonts w:hint="eastAsia" w:ascii="宋体" w:hAnsi="宋体" w:eastAsia="宋体" w:cs="宋体"/>
          <w:i w:val="0"/>
          <w:caps w:val="0"/>
          <w:color w:val="000000"/>
          <w:spacing w:val="0"/>
          <w:sz w:val="24"/>
          <w:szCs w:val="24"/>
          <w:highlight w:val="none"/>
          <w:shd w:val="clear" w:color="auto" w:fill="FFFFFF"/>
        </w:rPr>
        <w:t>⑥被列入中国政府采购网站“政府采购严重违法失信行为信息记录”的；</w:t>
      </w:r>
    </w:p>
    <w:p w14:paraId="028EF4C5">
      <w:pPr>
        <w:ind w:firstLine="480" w:firstLineChars="200"/>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rPr>
        <w:t>⑦前三年有行贿犯罪行为的单位和个人</w:t>
      </w:r>
      <w:r>
        <w:rPr>
          <w:rFonts w:hint="eastAsia" w:ascii="宋体" w:hAnsi="宋体" w:eastAsia="宋体" w:cs="宋体"/>
          <w:i w:val="0"/>
          <w:caps w:val="0"/>
          <w:color w:val="000000"/>
          <w:spacing w:val="0"/>
          <w:sz w:val="24"/>
          <w:szCs w:val="24"/>
          <w:highlight w:val="none"/>
          <w:shd w:val="clear" w:color="auto" w:fill="FFFFFF"/>
          <w:lang w:eastAsia="zh-CN"/>
        </w:rPr>
        <w:t>。</w:t>
      </w:r>
    </w:p>
    <w:p w14:paraId="5E212B36">
      <w:pPr>
        <w:pStyle w:val="50"/>
        <w:widowControl/>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firstLine="480" w:firstLineChars="200"/>
        <w:jc w:val="left"/>
        <w:rPr>
          <w:rFonts w:hint="eastAsia" w:ascii="宋体" w:hAnsi="宋体" w:eastAsia="宋体" w:cs="宋体"/>
          <w:i w:val="0"/>
          <w:caps w:val="0"/>
          <w:color w:val="000000"/>
          <w:spacing w:val="0"/>
          <w:sz w:val="24"/>
          <w:szCs w:val="24"/>
          <w:highlight w:val="none"/>
          <w:shd w:val="clear" w:color="auto" w:fill="FFFFFF"/>
          <w:lang w:eastAsia="zh-CN"/>
        </w:rPr>
      </w:pPr>
      <w:r>
        <w:rPr>
          <w:rFonts w:hint="eastAsia" w:ascii="宋体" w:hAnsi="宋体" w:eastAsia="宋体" w:cs="宋体"/>
          <w:i w:val="0"/>
          <w:caps w:val="0"/>
          <w:color w:val="000000"/>
          <w:spacing w:val="0"/>
          <w:sz w:val="24"/>
          <w:szCs w:val="24"/>
          <w:highlight w:val="none"/>
          <w:shd w:val="clear" w:color="auto" w:fill="FFFFFF"/>
          <w:lang w:val="en-US" w:eastAsia="zh-CN"/>
        </w:rPr>
        <w:t>5</w:t>
      </w:r>
      <w:r>
        <w:rPr>
          <w:rFonts w:hint="eastAsia" w:ascii="宋体" w:hAnsi="宋体" w:eastAsia="宋体" w:cs="宋体"/>
          <w:color w:val="000000"/>
          <w:sz w:val="24"/>
          <w:szCs w:val="24"/>
          <w:highlight w:val="none"/>
        </w:rPr>
        <w:t>.</w:t>
      </w:r>
      <w:r>
        <w:rPr>
          <w:rFonts w:hint="eastAsia" w:ascii="宋体" w:hAnsi="宋体" w:eastAsia="宋体" w:cs="宋体"/>
          <w:i w:val="0"/>
          <w:caps w:val="0"/>
          <w:color w:val="000000"/>
          <w:spacing w:val="0"/>
          <w:sz w:val="24"/>
          <w:szCs w:val="24"/>
          <w:highlight w:val="none"/>
          <w:shd w:val="clear" w:color="auto" w:fill="FFFFFF"/>
          <w:lang w:eastAsia="zh-CN"/>
        </w:rPr>
        <w:t>供应商</w:t>
      </w:r>
      <w:r>
        <w:rPr>
          <w:rFonts w:hint="eastAsia" w:ascii="宋体" w:hAnsi="宋体" w:eastAsia="宋体" w:cs="宋体"/>
          <w:i w:val="0"/>
          <w:caps w:val="0"/>
          <w:color w:val="000000"/>
          <w:spacing w:val="0"/>
          <w:sz w:val="24"/>
          <w:szCs w:val="24"/>
          <w:highlight w:val="none"/>
          <w:shd w:val="clear" w:color="auto" w:fill="FFFFFF"/>
        </w:rPr>
        <w:t>所属分公司、办事处等分支机构存在</w:t>
      </w:r>
      <w:r>
        <w:rPr>
          <w:rFonts w:hint="eastAsia" w:ascii="宋体" w:hAnsi="宋体" w:eastAsia="宋体" w:cs="宋体"/>
          <w:i w:val="0"/>
          <w:caps w:val="0"/>
          <w:color w:val="000000"/>
          <w:spacing w:val="0"/>
          <w:sz w:val="24"/>
          <w:szCs w:val="24"/>
          <w:highlight w:val="none"/>
          <w:shd w:val="clear" w:color="auto" w:fill="FFFFFF"/>
          <w:lang w:eastAsia="zh-CN"/>
        </w:rPr>
        <w:t>第</w:t>
      </w:r>
      <w:r>
        <w:rPr>
          <w:rFonts w:hint="eastAsia" w:ascii="宋体" w:hAnsi="宋体" w:eastAsia="宋体" w:cs="宋体"/>
          <w:i w:val="0"/>
          <w:caps w:val="0"/>
          <w:color w:val="000000"/>
          <w:spacing w:val="0"/>
          <w:sz w:val="24"/>
          <w:szCs w:val="24"/>
          <w:highlight w:val="none"/>
          <w:shd w:val="clear" w:color="auto" w:fill="FFFFFF"/>
          <w:lang w:val="en-US" w:eastAsia="zh-CN"/>
        </w:rPr>
        <w:t>4条信誉要求</w:t>
      </w:r>
      <w:r>
        <w:rPr>
          <w:rFonts w:hint="eastAsia" w:ascii="宋体" w:hAnsi="宋体" w:eastAsia="宋体" w:cs="宋体"/>
          <w:i w:val="0"/>
          <w:caps w:val="0"/>
          <w:color w:val="000000"/>
          <w:spacing w:val="0"/>
          <w:sz w:val="24"/>
          <w:szCs w:val="24"/>
          <w:highlight w:val="none"/>
          <w:shd w:val="clear" w:color="auto" w:fill="FFFFFF"/>
        </w:rPr>
        <w:t>①</w:t>
      </w:r>
      <w:r>
        <w:rPr>
          <w:rFonts w:hint="eastAsia" w:ascii="宋体" w:hAnsi="宋体" w:eastAsia="宋体" w:cs="宋体"/>
          <w:i w:val="0"/>
          <w:caps w:val="0"/>
          <w:color w:val="000000"/>
          <w:spacing w:val="0"/>
          <w:sz w:val="24"/>
          <w:szCs w:val="24"/>
          <w:highlight w:val="none"/>
          <w:shd w:val="clear" w:color="auto" w:fill="FFFFFF"/>
          <w:lang w:val="en-US" w:eastAsia="zh-CN"/>
        </w:rPr>
        <w:t>-⑦</w:t>
      </w:r>
      <w:r>
        <w:rPr>
          <w:rFonts w:hint="eastAsia" w:ascii="宋体" w:hAnsi="宋体" w:eastAsia="宋体" w:cs="宋体"/>
          <w:i w:val="0"/>
          <w:caps w:val="0"/>
          <w:color w:val="000000"/>
          <w:spacing w:val="0"/>
          <w:sz w:val="24"/>
          <w:szCs w:val="24"/>
          <w:highlight w:val="none"/>
          <w:shd w:val="clear" w:color="auto" w:fill="FFFFFF"/>
          <w:lang w:eastAsia="zh-CN"/>
        </w:rPr>
        <w:t>项情形之一的</w:t>
      </w:r>
      <w:r>
        <w:rPr>
          <w:rFonts w:hint="eastAsia" w:ascii="宋体" w:hAnsi="宋体" w:eastAsia="宋体" w:cs="宋体"/>
          <w:i w:val="0"/>
          <w:caps w:val="0"/>
          <w:color w:val="000000"/>
          <w:spacing w:val="0"/>
          <w:sz w:val="24"/>
          <w:szCs w:val="24"/>
          <w:highlight w:val="none"/>
          <w:shd w:val="clear" w:color="auto" w:fill="FFFFFF"/>
        </w:rPr>
        <w:t>，</w:t>
      </w:r>
      <w:r>
        <w:rPr>
          <w:rFonts w:hint="eastAsia" w:ascii="宋体" w:hAnsi="宋体" w:eastAsia="宋体" w:cs="宋体"/>
          <w:i w:val="0"/>
          <w:caps w:val="0"/>
          <w:color w:val="000000"/>
          <w:spacing w:val="0"/>
          <w:sz w:val="24"/>
          <w:szCs w:val="24"/>
          <w:highlight w:val="none"/>
          <w:u w:val="none" w:color="auto"/>
          <w:shd w:val="clear" w:color="auto" w:fill="FFFFFF"/>
        </w:rPr>
        <w:t>接受</w:t>
      </w:r>
      <w:r>
        <w:rPr>
          <w:rFonts w:hint="eastAsia" w:ascii="宋体" w:hAnsi="宋体" w:eastAsia="宋体" w:cs="宋体"/>
          <w:i w:val="0"/>
          <w:caps w:val="0"/>
          <w:color w:val="000000"/>
          <w:spacing w:val="0"/>
          <w:sz w:val="24"/>
          <w:szCs w:val="24"/>
          <w:highlight w:val="none"/>
          <w:shd w:val="clear" w:color="auto" w:fill="FFFFFF"/>
          <w:lang w:eastAsia="zh-CN"/>
        </w:rPr>
        <w:t>供应商参加本项目。</w:t>
      </w:r>
    </w:p>
    <w:p w14:paraId="71CDBA59">
      <w:pPr>
        <w:pStyle w:val="50"/>
        <w:widowControl/>
        <w:pBdr>
          <w:top w:val="none" w:color="auto" w:sz="0" w:space="0"/>
          <w:left w:val="none" w:color="auto" w:sz="0" w:space="0"/>
          <w:bottom w:val="none" w:color="auto" w:sz="0" w:space="0"/>
          <w:right w:val="none" w:color="auto" w:sz="0" w:space="0"/>
        </w:pBdr>
        <w:shd w:val="clear" w:color="auto" w:fill="FFFFFF"/>
        <w:spacing w:before="0" w:beforeLines="0" w:beforeAutospacing="0" w:after="0" w:afterLines="0" w:afterAutospacing="0" w:line="240" w:lineRule="auto"/>
        <w:ind w:firstLine="480" w:firstLineChars="200"/>
        <w:jc w:val="left"/>
        <w:rPr>
          <w:rFonts w:hint="eastAsia" w:ascii="宋体" w:hAnsi="宋体" w:eastAsia="宋体" w:cs="宋体"/>
          <w:i/>
          <w:iCs/>
          <w:color w:val="000000"/>
          <w:sz w:val="24"/>
          <w:szCs w:val="24"/>
          <w:highlight w:val="none"/>
          <w:u w:val="single"/>
        </w:rPr>
      </w:pPr>
      <w:r>
        <w:rPr>
          <w:rFonts w:hint="eastAsia" w:ascii="宋体" w:hAnsi="宋体" w:eastAsia="宋体" w:cs="宋体"/>
          <w:i w:val="0"/>
          <w:caps w:val="0"/>
          <w:color w:val="000000"/>
          <w:spacing w:val="0"/>
          <w:sz w:val="24"/>
          <w:szCs w:val="24"/>
          <w:highlight w:val="none"/>
          <w:shd w:val="clear" w:color="auto" w:fill="FFFFFF"/>
          <w:lang w:val="en-US" w:eastAsia="zh-CN"/>
        </w:rPr>
        <w:t>备注：</w:t>
      </w:r>
      <w:r>
        <w:rPr>
          <w:rFonts w:hint="eastAsia" w:ascii="宋体" w:hAnsi="宋体" w:eastAsia="宋体" w:cs="宋体"/>
          <w:color w:val="000000"/>
          <w:sz w:val="24"/>
          <w:szCs w:val="24"/>
          <w:highlight w:val="none"/>
          <w:lang w:val="en-US" w:eastAsia="zh-CN"/>
        </w:rPr>
        <w:t>按照“关于联合惩戒失信行为加强信用查询管理的通知”查询。</w:t>
      </w:r>
    </w:p>
    <w:p w14:paraId="5ABCAC72">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rPr>
      </w:pPr>
      <w:r>
        <w:rPr>
          <w:rFonts w:hint="eastAsia" w:ascii="宋体" w:hAnsi="宋体" w:eastAsia="宋体" w:cs="宋体"/>
          <w:b w:val="0"/>
          <w:color w:val="000000"/>
          <w:sz w:val="24"/>
          <w:szCs w:val="24"/>
          <w:highlight w:val="none"/>
        </w:rPr>
        <w:t>三、获取采购文件</w:t>
      </w:r>
      <w:bookmarkEnd w:id="7"/>
      <w:bookmarkEnd w:id="8"/>
      <w:bookmarkEnd w:id="9"/>
      <w:bookmarkEnd w:id="10"/>
    </w:p>
    <w:p w14:paraId="6F691FA6">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outlineLvl w:val="9"/>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u w:val="single"/>
          <w:lang w:val="en-US" w:eastAsia="zh-CN"/>
        </w:rPr>
        <w:t>2025年4月23日</w:t>
      </w:r>
      <w:r>
        <w:rPr>
          <w:rFonts w:hint="eastAsia" w:ascii="宋体" w:hAnsi="宋体" w:eastAsia="宋体" w:cs="宋体"/>
          <w:color w:val="000000"/>
          <w:sz w:val="24"/>
          <w:szCs w:val="24"/>
          <w:highlight w:val="none"/>
        </w:rPr>
        <w:t>至</w:t>
      </w:r>
      <w:r>
        <w:rPr>
          <w:rFonts w:hint="eastAsia" w:ascii="宋体" w:hAnsi="宋体" w:eastAsia="宋体" w:cs="宋体"/>
          <w:color w:val="000000"/>
          <w:sz w:val="24"/>
          <w:szCs w:val="24"/>
          <w:highlight w:val="none"/>
          <w:u w:val="single"/>
          <w:lang w:val="en-US" w:eastAsia="zh-CN"/>
        </w:rPr>
        <w:t>2025年5月6日</w:t>
      </w:r>
      <w:r>
        <w:rPr>
          <w:rFonts w:hint="eastAsia" w:ascii="宋体" w:hAnsi="宋体" w:eastAsia="宋体" w:cs="宋体"/>
          <w:color w:val="000000"/>
          <w:sz w:val="24"/>
          <w:szCs w:val="24"/>
          <w:highlight w:val="none"/>
          <w:lang w:val="en-US" w:eastAsia="zh-CN"/>
        </w:rPr>
        <w:t>（磋商文件的发售期限自开始之日起不得少于5个工作日）</w:t>
      </w:r>
    </w:p>
    <w:p w14:paraId="1C43C37B">
      <w:pPr>
        <w:spacing w:line="240" w:lineRule="auto"/>
        <w:ind w:firstLine="54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地点：滁州市公共资源交易中心网</w:t>
      </w:r>
    </w:p>
    <w:p w14:paraId="3FEB3A6E">
      <w:pPr>
        <w:spacing w:line="240" w:lineRule="auto"/>
        <w:ind w:firstLine="540"/>
        <w:rPr>
          <w:rFonts w:hint="eastAsia" w:ascii="宋体" w:hAnsi="宋体" w:eastAsia="宋体" w:cs="宋体"/>
          <w:color w:val="000000"/>
          <w:sz w:val="24"/>
          <w:szCs w:val="24"/>
          <w:highlight w:val="none"/>
          <w:u w:val="single"/>
        </w:rPr>
      </w:pPr>
      <w:r>
        <w:rPr>
          <w:rFonts w:hint="eastAsia" w:ascii="宋体" w:hAnsi="宋体" w:eastAsia="宋体" w:cs="宋体"/>
          <w:color w:val="000000"/>
          <w:sz w:val="24"/>
          <w:szCs w:val="24"/>
          <w:highlight w:val="none"/>
        </w:rPr>
        <w:t>方式：</w:t>
      </w:r>
      <w:r>
        <w:rPr>
          <w:rFonts w:hint="eastAsia" w:ascii="宋体" w:hAnsi="宋体" w:eastAsia="宋体" w:cs="宋体"/>
          <w:color w:val="000000"/>
          <w:sz w:val="24"/>
          <w:szCs w:val="24"/>
          <w:highlight w:val="none"/>
          <w:lang w:eastAsia="zh-CN"/>
        </w:rPr>
        <w:t>网上下载</w:t>
      </w:r>
    </w:p>
    <w:p w14:paraId="1958138C">
      <w:pPr>
        <w:spacing w:line="240" w:lineRule="auto"/>
        <w:ind w:firstLine="540"/>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售价：</w:t>
      </w:r>
      <w:r>
        <w:rPr>
          <w:rFonts w:hint="eastAsia" w:ascii="宋体" w:hAnsi="宋体" w:eastAsia="宋体" w:cs="宋体"/>
          <w:color w:val="000000"/>
          <w:sz w:val="24"/>
          <w:szCs w:val="24"/>
          <w:highlight w:val="none"/>
          <w:lang w:val="en-US" w:eastAsia="zh-CN"/>
        </w:rPr>
        <w:t>0元</w:t>
      </w:r>
    </w:p>
    <w:p w14:paraId="3D989C3B">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rPr>
      </w:pPr>
      <w:bookmarkStart w:id="11" w:name="_Toc35393801"/>
      <w:bookmarkStart w:id="12" w:name="_Toc35393632"/>
      <w:bookmarkStart w:id="13" w:name="_Toc28359015"/>
      <w:bookmarkStart w:id="14" w:name="_Toc28359092"/>
      <w:r>
        <w:rPr>
          <w:rFonts w:hint="eastAsia" w:ascii="宋体" w:hAnsi="宋体" w:eastAsia="宋体" w:cs="宋体"/>
          <w:b w:val="0"/>
          <w:color w:val="000000"/>
          <w:sz w:val="24"/>
          <w:szCs w:val="24"/>
          <w:highlight w:val="none"/>
        </w:rPr>
        <w:t>四、响应文件提交</w:t>
      </w:r>
      <w:bookmarkEnd w:id="11"/>
      <w:bookmarkEnd w:id="12"/>
      <w:bookmarkEnd w:id="13"/>
      <w:bookmarkEnd w:id="14"/>
    </w:p>
    <w:p w14:paraId="50A13A62">
      <w:pPr>
        <w:ind w:firstLine="480" w:firstLineChars="200"/>
        <w:rPr>
          <w:rFonts w:hint="eastAsia" w:ascii="宋体" w:hAnsi="宋体" w:eastAsia="宋体" w:cs="宋体"/>
          <w:bCs/>
          <w:color w:val="000000"/>
          <w:sz w:val="24"/>
          <w:szCs w:val="24"/>
          <w:highlight w:val="none"/>
        </w:rPr>
      </w:pPr>
      <w:r>
        <w:rPr>
          <w:rFonts w:hint="eastAsia" w:ascii="宋体" w:hAnsi="宋体" w:eastAsia="宋体" w:cs="宋体"/>
          <w:color w:val="000000"/>
          <w:sz w:val="24"/>
          <w:szCs w:val="24"/>
          <w:highlight w:val="none"/>
        </w:rPr>
        <w:t>截止时间：</w:t>
      </w:r>
      <w:r>
        <w:rPr>
          <w:rFonts w:hint="eastAsia" w:ascii="宋体" w:hAnsi="宋体" w:eastAsia="宋体" w:cs="宋体"/>
          <w:color w:val="000000"/>
          <w:sz w:val="24"/>
          <w:szCs w:val="24"/>
          <w:highlight w:val="none"/>
          <w:u w:val="single"/>
          <w:lang w:val="en-US" w:eastAsia="zh-CN"/>
        </w:rPr>
        <w:t>2025年5月6日</w:t>
      </w: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u w:val="single"/>
        </w:rPr>
        <w:t>点</w:t>
      </w:r>
      <w:r>
        <w:rPr>
          <w:rFonts w:hint="eastAsia" w:ascii="宋体" w:hAnsi="宋体" w:eastAsia="宋体" w:cs="宋体"/>
          <w:bCs/>
          <w:color w:val="000000"/>
          <w:sz w:val="24"/>
          <w:szCs w:val="24"/>
          <w:highlight w:val="none"/>
          <w:u w:val="single"/>
          <w:lang w:val="en-US" w:eastAsia="zh-CN"/>
        </w:rPr>
        <w:t>00</w:t>
      </w:r>
      <w:r>
        <w:rPr>
          <w:rFonts w:hint="eastAsia" w:ascii="宋体" w:hAnsi="宋体" w:eastAsia="宋体" w:cs="宋体"/>
          <w:bCs/>
          <w:color w:val="000000"/>
          <w:sz w:val="24"/>
          <w:szCs w:val="24"/>
          <w:highlight w:val="none"/>
          <w:u w:val="single"/>
        </w:rPr>
        <w:t>分</w:t>
      </w:r>
      <w:r>
        <w:rPr>
          <w:rFonts w:hint="eastAsia" w:ascii="宋体" w:hAnsi="宋体" w:eastAsia="宋体" w:cs="宋体"/>
          <w:bCs/>
          <w:color w:val="000000"/>
          <w:sz w:val="24"/>
          <w:szCs w:val="24"/>
          <w:highlight w:val="none"/>
        </w:rPr>
        <w:t>（北京时间）</w:t>
      </w:r>
    </w:p>
    <w:p w14:paraId="77646ADE">
      <w:pPr>
        <w:ind w:firstLine="480" w:firstLineChars="200"/>
        <w:rPr>
          <w:rFonts w:hint="eastAsia" w:ascii="宋体" w:hAnsi="宋体" w:eastAsia="宋体" w:cs="宋体"/>
          <w:bCs/>
          <w:color w:val="000000"/>
          <w:sz w:val="24"/>
          <w:szCs w:val="24"/>
          <w:highlight w:val="none"/>
          <w:u w:val="single"/>
        </w:rPr>
      </w:pPr>
      <w:r>
        <w:rPr>
          <w:rFonts w:hint="eastAsia" w:ascii="宋体" w:hAnsi="宋体" w:eastAsia="宋体" w:cs="宋体"/>
          <w:color w:val="000000"/>
          <w:sz w:val="24"/>
          <w:szCs w:val="24"/>
          <w:highlight w:val="none"/>
        </w:rPr>
        <w:t>地点：滁州市公共资源交易中心网</w:t>
      </w:r>
    </w:p>
    <w:p w14:paraId="65DDAEB7">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rPr>
      </w:pPr>
      <w:bookmarkStart w:id="15" w:name="_Toc35393633"/>
      <w:bookmarkStart w:id="16" w:name="_Toc35393802"/>
      <w:bookmarkStart w:id="17" w:name="_Toc28359016"/>
      <w:bookmarkStart w:id="18" w:name="_Toc28359093"/>
      <w:r>
        <w:rPr>
          <w:rFonts w:hint="eastAsia" w:ascii="宋体" w:hAnsi="宋体" w:eastAsia="宋体" w:cs="宋体"/>
          <w:b w:val="0"/>
          <w:color w:val="000000"/>
          <w:sz w:val="24"/>
          <w:szCs w:val="24"/>
          <w:highlight w:val="none"/>
        </w:rPr>
        <w:t>五、开启</w:t>
      </w:r>
      <w:bookmarkEnd w:id="15"/>
      <w:bookmarkEnd w:id="16"/>
      <w:bookmarkEnd w:id="17"/>
      <w:bookmarkEnd w:id="18"/>
    </w:p>
    <w:p w14:paraId="29D074CA">
      <w:pPr>
        <w:ind w:firstLine="480" w:firstLineChars="200"/>
        <w:rPr>
          <w:rFonts w:hint="eastAsia" w:ascii="宋体" w:hAnsi="宋体" w:eastAsia="宋体" w:cs="宋体"/>
          <w:bCs/>
          <w:color w:val="000000"/>
          <w:sz w:val="24"/>
          <w:szCs w:val="24"/>
          <w:highlight w:val="none"/>
          <w:u w:val="single"/>
        </w:rPr>
      </w:pPr>
      <w:r>
        <w:rPr>
          <w:rFonts w:hint="eastAsia" w:ascii="宋体" w:hAnsi="宋体" w:eastAsia="宋体" w:cs="宋体"/>
          <w:color w:val="000000"/>
          <w:sz w:val="24"/>
          <w:szCs w:val="24"/>
          <w:highlight w:val="none"/>
        </w:rPr>
        <w:t>时间：</w:t>
      </w:r>
      <w:r>
        <w:rPr>
          <w:rFonts w:hint="eastAsia" w:ascii="宋体" w:hAnsi="宋体" w:eastAsia="宋体" w:cs="宋体"/>
          <w:color w:val="000000"/>
          <w:sz w:val="24"/>
          <w:szCs w:val="24"/>
          <w:highlight w:val="none"/>
          <w:u w:val="single"/>
          <w:lang w:val="en-US" w:eastAsia="zh-CN"/>
        </w:rPr>
        <w:t>2025年5月6日</w:t>
      </w:r>
      <w:r>
        <w:rPr>
          <w:rFonts w:hint="eastAsia" w:ascii="宋体" w:hAnsi="宋体" w:eastAsia="宋体" w:cs="宋体"/>
          <w:bCs/>
          <w:color w:val="000000"/>
          <w:sz w:val="24"/>
          <w:szCs w:val="24"/>
          <w:highlight w:val="none"/>
          <w:u w:val="single"/>
          <w:lang w:val="en-US" w:eastAsia="zh-CN"/>
        </w:rPr>
        <w:t>8</w:t>
      </w:r>
      <w:r>
        <w:rPr>
          <w:rFonts w:hint="eastAsia" w:ascii="宋体" w:hAnsi="宋体" w:eastAsia="宋体" w:cs="宋体"/>
          <w:bCs/>
          <w:color w:val="000000"/>
          <w:sz w:val="24"/>
          <w:szCs w:val="24"/>
          <w:highlight w:val="none"/>
          <w:u w:val="single"/>
        </w:rPr>
        <w:t>点</w:t>
      </w:r>
      <w:r>
        <w:rPr>
          <w:rFonts w:hint="eastAsia" w:ascii="宋体" w:hAnsi="宋体" w:eastAsia="宋体" w:cs="宋体"/>
          <w:bCs/>
          <w:color w:val="000000"/>
          <w:sz w:val="24"/>
          <w:szCs w:val="24"/>
          <w:highlight w:val="none"/>
          <w:u w:val="single"/>
          <w:lang w:val="en-US" w:eastAsia="zh-CN"/>
        </w:rPr>
        <w:t>00</w:t>
      </w:r>
      <w:r>
        <w:rPr>
          <w:rFonts w:hint="eastAsia" w:ascii="宋体" w:hAnsi="宋体" w:eastAsia="宋体" w:cs="宋体"/>
          <w:bCs/>
          <w:color w:val="000000"/>
          <w:sz w:val="24"/>
          <w:szCs w:val="24"/>
          <w:highlight w:val="none"/>
          <w:u w:val="single"/>
        </w:rPr>
        <w:t>分</w:t>
      </w:r>
      <w:r>
        <w:rPr>
          <w:rFonts w:hint="eastAsia" w:ascii="宋体" w:hAnsi="宋体" w:eastAsia="宋体" w:cs="宋体"/>
          <w:bCs/>
          <w:color w:val="000000"/>
          <w:sz w:val="24"/>
          <w:szCs w:val="24"/>
          <w:highlight w:val="none"/>
        </w:rPr>
        <w:t>（北京时间）</w:t>
      </w:r>
    </w:p>
    <w:p w14:paraId="3BA8A348">
      <w:pPr>
        <w:keepNext w:val="0"/>
        <w:keepLines w:val="0"/>
        <w:pageBreakBefore w:val="0"/>
        <w:widowControl w:val="0"/>
        <w:kinsoku/>
        <w:wordWrap w:val="0"/>
        <w:overflowPunct/>
        <w:topLinePunct w:val="0"/>
        <w:autoSpaceDE/>
        <w:autoSpaceDN/>
        <w:bidi w:val="0"/>
        <w:adjustRightInd/>
        <w:snapToGrid/>
        <w:spacing w:line="240" w:lineRule="auto"/>
        <w:ind w:left="0" w:leftChars="0" w:firstLine="460" w:firstLineChars="192"/>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地点：网上</w:t>
      </w:r>
      <w:r>
        <w:rPr>
          <w:rFonts w:hint="eastAsia" w:ascii="宋体" w:hAnsi="宋体" w:eastAsia="宋体" w:cs="宋体"/>
          <w:color w:val="000000"/>
          <w:sz w:val="24"/>
          <w:szCs w:val="24"/>
          <w:highlight w:val="none"/>
          <w:lang w:val="en-US" w:eastAsia="zh-CN"/>
        </w:rPr>
        <w:t>开启</w:t>
      </w:r>
    </w:p>
    <w:p w14:paraId="763C4F28">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lang w:val="en-US" w:eastAsia="zh-CN"/>
        </w:rPr>
        <w:t>六、公告期限</w:t>
      </w:r>
    </w:p>
    <w:p w14:paraId="0805EF77">
      <w:pPr>
        <w:ind w:firstLine="480" w:firstLineChars="200"/>
        <w:rPr>
          <w:rFonts w:hint="eastAsia" w:ascii="宋体" w:hAnsi="宋体" w:eastAsia="宋体" w:cs="宋体"/>
          <w:color w:val="000000"/>
          <w:kern w:val="0"/>
          <w:sz w:val="24"/>
          <w:szCs w:val="24"/>
          <w:highlight w:val="none"/>
        </w:rPr>
      </w:pPr>
      <w:r>
        <w:rPr>
          <w:rFonts w:hint="eastAsia" w:ascii="宋体" w:hAnsi="宋体" w:eastAsia="宋体" w:cs="宋体"/>
          <w:color w:val="000000"/>
          <w:kern w:val="0"/>
          <w:sz w:val="24"/>
          <w:szCs w:val="24"/>
          <w:highlight w:val="none"/>
        </w:rPr>
        <w:t>自本公告发布之日起3个工作日。</w:t>
      </w:r>
    </w:p>
    <w:p w14:paraId="75DA3A77">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lang w:val="en-US" w:eastAsia="zh-CN"/>
        </w:rPr>
        <w:t>七、保证金金额及缴纳账户</w:t>
      </w:r>
    </w:p>
    <w:p w14:paraId="15184FEE">
      <w:pPr>
        <w:spacing w:line="240" w:lineRule="auto"/>
        <w:ind w:firstLine="560" w:firstLineChars="0"/>
        <w:jc w:val="left"/>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是否要求</w:t>
      </w:r>
      <w:r>
        <w:rPr>
          <w:rFonts w:hint="eastAsia" w:ascii="宋体" w:hAnsi="宋体" w:eastAsia="宋体" w:cs="宋体"/>
          <w:color w:val="000000"/>
          <w:sz w:val="24"/>
          <w:szCs w:val="24"/>
          <w:highlight w:val="none"/>
          <w:lang w:eastAsia="zh-CN"/>
        </w:rPr>
        <w:t>供应商</w:t>
      </w:r>
      <w:r>
        <w:rPr>
          <w:rFonts w:hint="eastAsia" w:ascii="宋体" w:hAnsi="宋体" w:eastAsia="宋体" w:cs="宋体"/>
          <w:color w:val="000000"/>
          <w:sz w:val="24"/>
          <w:szCs w:val="24"/>
          <w:highlight w:val="none"/>
        </w:rPr>
        <w:t>提交保证金：不要求。</w:t>
      </w:r>
    </w:p>
    <w:p w14:paraId="5D4FFCB4">
      <w:pPr>
        <w:keepNext/>
        <w:keepLines/>
        <w:pageBreakBefore w:val="0"/>
        <w:widowControl w:val="0"/>
        <w:kinsoku/>
        <w:wordWrap/>
        <w:overflowPunct/>
        <w:topLinePunct w:val="0"/>
        <w:autoSpaceDE/>
        <w:autoSpaceDN/>
        <w:bidi w:val="0"/>
        <w:adjustRightInd/>
        <w:snapToGrid/>
        <w:spacing w:before="260" w:after="260" w:line="240" w:lineRule="auto"/>
        <w:textAlignment w:val="auto"/>
        <w:outlineLvl w:val="9"/>
        <w:rPr>
          <w:rFonts w:hint="eastAsia" w:ascii="宋体" w:hAnsi="宋体" w:eastAsia="宋体" w:cs="宋体"/>
          <w:b w:val="0"/>
          <w:color w:val="000000"/>
          <w:sz w:val="24"/>
          <w:szCs w:val="24"/>
          <w:highlight w:val="none"/>
          <w:lang w:val="en-US" w:eastAsia="zh-CN"/>
        </w:rPr>
      </w:pPr>
      <w:r>
        <w:rPr>
          <w:rFonts w:hint="eastAsia" w:ascii="宋体" w:hAnsi="宋体" w:eastAsia="宋体" w:cs="宋体"/>
          <w:b w:val="0"/>
          <w:color w:val="000000"/>
          <w:sz w:val="24"/>
          <w:szCs w:val="24"/>
          <w:highlight w:val="none"/>
          <w:lang w:val="en-US" w:eastAsia="zh-CN"/>
        </w:rPr>
        <w:t>八、其他补充事宜</w:t>
      </w:r>
    </w:p>
    <w:p w14:paraId="7A7ECC65">
      <w:pPr>
        <w:pStyle w:val="3"/>
        <w:keepNext/>
        <w:keepLines/>
        <w:pageBreakBefore w:val="0"/>
        <w:widowControl w:val="0"/>
        <w:numPr>
          <w:ilvl w:val="0"/>
          <w:numId w:val="0"/>
        </w:numPr>
        <w:kinsoku/>
        <w:wordWrap w:val="0"/>
        <w:overflowPunct/>
        <w:topLinePunct w:val="0"/>
        <w:autoSpaceDE/>
        <w:autoSpaceDN/>
        <w:bidi w:val="0"/>
        <w:adjustRightInd/>
        <w:snapToGrid/>
        <w:spacing w:before="0" w:after="0" w:line="240" w:lineRule="auto"/>
        <w:ind w:left="0" w:leftChars="0" w:firstLine="547" w:firstLineChars="228"/>
        <w:textAlignment w:val="auto"/>
        <w:rPr>
          <w:rFonts w:hint="eastAsia" w:ascii="宋体" w:hAnsi="宋体" w:eastAsia="宋体" w:cs="宋体"/>
          <w:b w:val="0"/>
          <w:bCs w:val="0"/>
          <w:i w:val="0"/>
          <w:iCs w:val="0"/>
          <w:caps w:val="0"/>
          <w:color w:val="000000"/>
          <w:spacing w:val="0"/>
          <w:sz w:val="24"/>
          <w:szCs w:val="24"/>
          <w:shd w:val="clear" w:color="auto" w:fill="FFFFFF"/>
        </w:rPr>
      </w:pPr>
      <w:bookmarkStart w:id="19" w:name="_Toc15126"/>
      <w:r>
        <w:rPr>
          <w:rFonts w:hint="eastAsia" w:ascii="宋体" w:hAnsi="宋体" w:eastAsia="宋体" w:cs="宋体"/>
          <w:b w:val="0"/>
          <w:bCs w:val="0"/>
          <w:i w:val="0"/>
          <w:iCs w:val="0"/>
          <w:caps w:val="0"/>
          <w:color w:val="000000"/>
          <w:spacing w:val="0"/>
          <w:sz w:val="24"/>
          <w:szCs w:val="24"/>
          <w:shd w:val="clear" w:color="auto" w:fill="FFFFFF"/>
        </w:rPr>
        <w:t>1.本项目只接受在安徽省公共资源交易市场主体库（</w:t>
      </w:r>
      <w:r>
        <w:rPr>
          <w:rFonts w:hint="eastAsia" w:ascii="宋体" w:hAnsi="宋体" w:eastAsia="宋体" w:cs="宋体"/>
          <w:b w:val="0"/>
          <w:bCs w:val="0"/>
          <w:i w:val="0"/>
          <w:iCs w:val="0"/>
          <w:caps w:val="0"/>
          <w:color w:val="000000"/>
          <w:spacing w:val="0"/>
          <w:sz w:val="24"/>
          <w:szCs w:val="24"/>
          <w:shd w:val="clear" w:color="auto" w:fill="FFFFFF"/>
          <w:lang w:eastAsia="zh-CN"/>
        </w:rPr>
        <w:t>https://ggzy.ah.gov.cn/ahggfwpt-zhutiku/dengludenglu</w:t>
      </w:r>
      <w:r>
        <w:rPr>
          <w:rFonts w:hint="eastAsia" w:ascii="宋体" w:hAnsi="宋体" w:eastAsia="宋体" w:cs="宋体"/>
          <w:b w:val="0"/>
          <w:bCs w:val="0"/>
          <w:i w:val="0"/>
          <w:iCs w:val="0"/>
          <w:caps w:val="0"/>
          <w:color w:val="000000"/>
          <w:spacing w:val="0"/>
          <w:sz w:val="24"/>
          <w:szCs w:val="24"/>
          <w:shd w:val="clear" w:color="auto" w:fill="FFFFFF"/>
        </w:rPr>
        <w:t>）登记并进行信息确认提交的</w:t>
      </w:r>
      <w:r>
        <w:rPr>
          <w:rFonts w:hint="eastAsia" w:ascii="宋体" w:hAnsi="宋体" w:eastAsia="宋体" w:cs="宋体"/>
          <w:b w:val="0"/>
          <w:bCs w:val="0"/>
          <w:i w:val="0"/>
          <w:iCs w:val="0"/>
          <w:caps w:val="0"/>
          <w:color w:val="000000"/>
          <w:spacing w:val="0"/>
          <w:sz w:val="24"/>
          <w:szCs w:val="24"/>
          <w:shd w:val="clear" w:color="auto" w:fill="FFFFFF"/>
          <w:lang w:eastAsia="zh-CN"/>
        </w:rPr>
        <w:t>供应商参加</w:t>
      </w:r>
      <w:r>
        <w:rPr>
          <w:rFonts w:hint="eastAsia" w:ascii="宋体" w:hAnsi="宋体" w:eastAsia="宋体" w:cs="宋体"/>
          <w:b w:val="0"/>
          <w:bCs w:val="0"/>
          <w:i w:val="0"/>
          <w:iCs w:val="0"/>
          <w:caps w:val="0"/>
          <w:color w:val="000000"/>
          <w:spacing w:val="0"/>
          <w:sz w:val="24"/>
          <w:szCs w:val="24"/>
          <w:shd w:val="clear" w:color="auto" w:fill="FFFFFF"/>
        </w:rPr>
        <w:t>，未登记的</w:t>
      </w:r>
      <w:r>
        <w:rPr>
          <w:rFonts w:hint="eastAsia" w:ascii="宋体" w:hAnsi="宋体" w:eastAsia="宋体" w:cs="宋体"/>
          <w:b w:val="0"/>
          <w:bCs w:val="0"/>
          <w:i w:val="0"/>
          <w:iCs w:val="0"/>
          <w:caps w:val="0"/>
          <w:color w:val="000000"/>
          <w:spacing w:val="0"/>
          <w:sz w:val="24"/>
          <w:szCs w:val="24"/>
          <w:shd w:val="clear" w:color="auto" w:fill="FFFFFF"/>
          <w:lang w:eastAsia="zh-CN"/>
        </w:rPr>
        <w:t>供应商</w:t>
      </w:r>
      <w:r>
        <w:rPr>
          <w:rFonts w:hint="eastAsia" w:ascii="宋体" w:hAnsi="宋体" w:eastAsia="宋体" w:cs="宋体"/>
          <w:b w:val="0"/>
          <w:bCs w:val="0"/>
          <w:i w:val="0"/>
          <w:iCs w:val="0"/>
          <w:caps w:val="0"/>
          <w:color w:val="000000"/>
          <w:spacing w:val="0"/>
          <w:sz w:val="24"/>
          <w:szCs w:val="24"/>
          <w:shd w:val="clear" w:color="auto" w:fill="FFFFFF"/>
        </w:rPr>
        <w:t>请及时办理CA数字证书并登录安徽省公共资源交易市场主体库进行信息填写及确认提交；已办理过CA数字证书视为已在省库登记，进行信息更新及确认提交即可。办理流程为</w:t>
      </w:r>
      <w:r>
        <w:rPr>
          <w:rFonts w:hint="eastAsia" w:ascii="宋体" w:hAnsi="宋体" w:eastAsia="宋体" w:cs="宋体"/>
          <w:b w:val="0"/>
          <w:bCs w:val="0"/>
          <w:i w:val="0"/>
          <w:iCs w:val="0"/>
          <w:caps w:val="0"/>
          <w:color w:val="000000"/>
          <w:spacing w:val="0"/>
          <w:sz w:val="24"/>
          <w:szCs w:val="24"/>
          <w:shd w:val="clear" w:color="auto" w:fill="FFFFFF"/>
          <w:lang w:eastAsia="zh-CN"/>
        </w:rPr>
        <w:t>登录</w:t>
      </w:r>
      <w:r>
        <w:rPr>
          <w:rFonts w:hint="eastAsia" w:ascii="宋体" w:hAnsi="宋体" w:eastAsia="宋体" w:cs="宋体"/>
          <w:b w:val="0"/>
          <w:bCs w:val="0"/>
          <w:i w:val="0"/>
          <w:iCs w:val="0"/>
          <w:caps w:val="0"/>
          <w:color w:val="000000"/>
          <w:spacing w:val="0"/>
          <w:sz w:val="24"/>
          <w:szCs w:val="24"/>
          <w:shd w:val="clear" w:color="auto" w:fill="FFFFFF"/>
        </w:rPr>
        <w:t>滁州市公共资源交易中心网&gt;服务指南&gt;办事指南中的“CA数字证书和电子签章”及“市场主体登记”。相关服务电话：1.安徽省公共资源交易市场主体库使用相关问题（系统登录、信息登记、录入及提交、数字证书关联等）：010-86483801转5-2；2.CA数字证书有关问题：安徽CA客服400-880-4959、0550-3019013（工作日），CFCA客服025-66085508 、0550-3801669（工作日）；3.市场主体招标环节和投标环节系统使用问题：400-998-0000（8：00-21：00）、0550-3801701（工作日）。因未及时通过CA数字证书登录省主体库对相关信息进行补充完善并确认提交，导致无法</w:t>
      </w:r>
      <w:r>
        <w:rPr>
          <w:rFonts w:hint="eastAsia" w:ascii="宋体" w:hAnsi="宋体" w:eastAsia="宋体" w:cs="宋体"/>
          <w:b w:val="0"/>
          <w:bCs w:val="0"/>
          <w:i w:val="0"/>
          <w:iCs w:val="0"/>
          <w:caps w:val="0"/>
          <w:color w:val="000000"/>
          <w:spacing w:val="0"/>
          <w:sz w:val="24"/>
          <w:szCs w:val="24"/>
          <w:shd w:val="clear" w:color="auto" w:fill="FFFFFF"/>
          <w:lang w:eastAsia="zh-CN"/>
        </w:rPr>
        <w:t>参加本项目</w:t>
      </w:r>
      <w:r>
        <w:rPr>
          <w:rFonts w:hint="eastAsia" w:ascii="宋体" w:hAnsi="宋体" w:eastAsia="宋体" w:cs="宋体"/>
          <w:b w:val="0"/>
          <w:bCs w:val="0"/>
          <w:i w:val="0"/>
          <w:iCs w:val="0"/>
          <w:caps w:val="0"/>
          <w:color w:val="000000"/>
          <w:spacing w:val="0"/>
          <w:sz w:val="24"/>
          <w:szCs w:val="24"/>
          <w:shd w:val="clear" w:color="auto" w:fill="FFFFFF"/>
        </w:rPr>
        <w:t>的，责任自负。为保证系统使用过程中产生的问题能够及时得到解决，请各主体在工作时间进行主体信息登记、更新、</w:t>
      </w:r>
      <w:r>
        <w:rPr>
          <w:rFonts w:hint="eastAsia" w:ascii="宋体" w:hAnsi="宋体" w:eastAsia="宋体" w:cs="宋体"/>
          <w:b w:val="0"/>
          <w:bCs w:val="0"/>
          <w:i w:val="0"/>
          <w:iCs w:val="0"/>
          <w:caps w:val="0"/>
          <w:color w:val="000000"/>
          <w:spacing w:val="0"/>
          <w:sz w:val="24"/>
          <w:szCs w:val="24"/>
          <w:shd w:val="clear" w:color="auto" w:fill="FFFFFF"/>
          <w:lang w:eastAsia="zh-CN"/>
        </w:rPr>
        <w:t>响应</w:t>
      </w:r>
      <w:r>
        <w:rPr>
          <w:rFonts w:hint="eastAsia" w:ascii="宋体" w:hAnsi="宋体" w:eastAsia="宋体" w:cs="宋体"/>
          <w:b w:val="0"/>
          <w:bCs w:val="0"/>
          <w:i w:val="0"/>
          <w:iCs w:val="0"/>
          <w:caps w:val="0"/>
          <w:color w:val="000000"/>
          <w:spacing w:val="0"/>
          <w:sz w:val="24"/>
          <w:szCs w:val="24"/>
          <w:shd w:val="clear" w:color="auto" w:fill="FFFFFF"/>
        </w:rPr>
        <w:t>文件制作等相关操作。</w:t>
      </w:r>
      <w:bookmarkEnd w:id="19"/>
    </w:p>
    <w:p w14:paraId="00FE2B12">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leftChars="0" w:right="0" w:firstLine="547" w:firstLineChars="228"/>
        <w:textAlignment w:val="auto"/>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shd w:val="clear" w:color="auto" w:fill="FFFFFF"/>
        </w:rPr>
        <w:t>2.请</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登录滁州市公共资源交易中心网站查看参加本项</w:t>
      </w:r>
      <w:r>
        <w:rPr>
          <w:rFonts w:hint="eastAsia" w:ascii="宋体" w:hAnsi="宋体" w:eastAsia="宋体" w:cs="宋体"/>
          <w:i w:val="0"/>
          <w:iCs w:val="0"/>
          <w:caps w:val="0"/>
          <w:color w:val="000000"/>
          <w:spacing w:val="0"/>
          <w:sz w:val="24"/>
          <w:szCs w:val="24"/>
          <w:shd w:val="clear" w:color="auto" w:fill="FFFFFF"/>
          <w:lang w:eastAsia="zh-CN"/>
        </w:rPr>
        <w:t>目</w:t>
      </w:r>
      <w:r>
        <w:rPr>
          <w:rFonts w:hint="eastAsia" w:ascii="宋体" w:hAnsi="宋体" w:eastAsia="宋体" w:cs="宋体"/>
          <w:i w:val="0"/>
          <w:iCs w:val="0"/>
          <w:caps w:val="0"/>
          <w:color w:val="000000"/>
          <w:spacing w:val="0"/>
          <w:sz w:val="24"/>
          <w:szCs w:val="24"/>
          <w:shd w:val="clear" w:color="auto" w:fill="FFFFFF"/>
        </w:rPr>
        <w:t>的程序。（具体操作步骤和程序请参见服务指南&gt;交易须知&gt;</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填写投标信息、下载文件及网上提问操作手册）。</w:t>
      </w:r>
    </w:p>
    <w:p w14:paraId="36171013">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leftChars="0" w:right="0" w:firstLine="547" w:firstLineChars="228"/>
        <w:textAlignment w:val="auto"/>
        <w:rPr>
          <w:rFonts w:hint="eastAsia" w:ascii="宋体" w:hAnsi="宋体" w:eastAsia="宋体" w:cs="宋体"/>
          <w:i w:val="0"/>
          <w:iCs w:val="0"/>
          <w:caps w:val="0"/>
          <w:color w:val="000000"/>
          <w:spacing w:val="0"/>
          <w:sz w:val="24"/>
          <w:szCs w:val="24"/>
          <w:shd w:val="clear" w:color="auto" w:fill="FFFFFF"/>
          <w:lang w:eastAsia="zh-CN"/>
        </w:rPr>
      </w:pPr>
      <w:r>
        <w:rPr>
          <w:rFonts w:hint="eastAsia" w:ascii="宋体" w:hAnsi="宋体" w:eastAsia="宋体" w:cs="宋体"/>
          <w:i w:val="0"/>
          <w:iCs w:val="0"/>
          <w:caps w:val="0"/>
          <w:color w:val="000000"/>
          <w:spacing w:val="0"/>
          <w:sz w:val="24"/>
          <w:szCs w:val="24"/>
          <w:shd w:val="clear" w:color="auto" w:fill="FFFFFF"/>
        </w:rPr>
        <w:t>3.本项目采用不见面（远程解密)方式，开</w:t>
      </w:r>
      <w:r>
        <w:rPr>
          <w:rFonts w:hint="eastAsia" w:ascii="宋体" w:hAnsi="宋体" w:eastAsia="宋体" w:cs="宋体"/>
          <w:i w:val="0"/>
          <w:iCs w:val="0"/>
          <w:caps w:val="0"/>
          <w:color w:val="000000"/>
          <w:spacing w:val="0"/>
          <w:sz w:val="24"/>
          <w:szCs w:val="24"/>
          <w:shd w:val="clear" w:color="auto" w:fill="FFFFFF"/>
          <w:lang w:eastAsia="zh-CN"/>
        </w:rPr>
        <w:t>启</w:t>
      </w:r>
      <w:r>
        <w:rPr>
          <w:rFonts w:hint="eastAsia" w:ascii="宋体" w:hAnsi="宋体" w:eastAsia="宋体" w:cs="宋体"/>
          <w:i w:val="0"/>
          <w:iCs w:val="0"/>
          <w:caps w:val="0"/>
          <w:color w:val="000000"/>
          <w:spacing w:val="0"/>
          <w:sz w:val="24"/>
          <w:szCs w:val="24"/>
          <w:shd w:val="clear" w:color="auto" w:fill="FFFFFF"/>
        </w:rPr>
        <w:t>时</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无须至现场进行解密，采取远程解密方式解密</w:t>
      </w:r>
      <w:r>
        <w:rPr>
          <w:rFonts w:hint="eastAsia" w:ascii="宋体" w:hAnsi="宋体" w:eastAsia="宋体" w:cs="宋体"/>
          <w:i w:val="0"/>
          <w:iCs w:val="0"/>
          <w:caps w:val="0"/>
          <w:color w:val="000000"/>
          <w:spacing w:val="0"/>
          <w:sz w:val="24"/>
          <w:szCs w:val="24"/>
          <w:shd w:val="clear" w:color="auto" w:fill="FFFFFF"/>
          <w:lang w:eastAsia="zh-CN"/>
        </w:rPr>
        <w:t>响应</w:t>
      </w:r>
      <w:r>
        <w:rPr>
          <w:rFonts w:hint="eastAsia" w:ascii="宋体" w:hAnsi="宋体" w:eastAsia="宋体" w:cs="宋体"/>
          <w:i w:val="0"/>
          <w:iCs w:val="0"/>
          <w:caps w:val="0"/>
          <w:color w:val="000000"/>
          <w:spacing w:val="0"/>
          <w:sz w:val="24"/>
          <w:szCs w:val="24"/>
          <w:shd w:val="clear" w:color="auto" w:fill="FFFFFF"/>
        </w:rPr>
        <w:t>文件，解密方式</w:t>
      </w:r>
      <w:r>
        <w:rPr>
          <w:rFonts w:hint="eastAsia" w:ascii="宋体" w:hAnsi="宋体" w:eastAsia="宋体" w:cs="宋体"/>
          <w:i w:val="0"/>
          <w:iCs w:val="0"/>
          <w:caps w:val="0"/>
          <w:color w:val="000000"/>
          <w:spacing w:val="0"/>
          <w:sz w:val="24"/>
          <w:szCs w:val="24"/>
          <w:shd w:val="clear" w:color="auto" w:fill="FFFFFF"/>
          <w:lang w:eastAsia="zh-CN"/>
        </w:rPr>
        <w:t>为</w:t>
      </w:r>
      <w:r>
        <w:rPr>
          <w:rFonts w:hint="eastAsia" w:ascii="宋体" w:hAnsi="宋体" w:eastAsia="宋体" w:cs="宋体"/>
          <w:i w:val="0"/>
          <w:iCs w:val="0"/>
          <w:caps w:val="0"/>
          <w:color w:val="000000"/>
          <w:spacing w:val="0"/>
          <w:sz w:val="24"/>
          <w:szCs w:val="24"/>
          <w:shd w:val="clear" w:color="auto" w:fill="FFFFFF"/>
        </w:rPr>
        <w:t>：</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在开</w:t>
      </w:r>
      <w:r>
        <w:rPr>
          <w:rFonts w:hint="eastAsia" w:ascii="宋体" w:hAnsi="宋体" w:eastAsia="宋体" w:cs="宋体"/>
          <w:i w:val="0"/>
          <w:iCs w:val="0"/>
          <w:caps w:val="0"/>
          <w:color w:val="000000"/>
          <w:spacing w:val="0"/>
          <w:sz w:val="24"/>
          <w:szCs w:val="24"/>
          <w:shd w:val="clear" w:color="auto" w:fill="FFFFFF"/>
          <w:lang w:eastAsia="zh-CN"/>
        </w:rPr>
        <w:t>启</w:t>
      </w:r>
      <w:r>
        <w:rPr>
          <w:rFonts w:hint="eastAsia" w:ascii="宋体" w:hAnsi="宋体" w:eastAsia="宋体" w:cs="宋体"/>
          <w:i w:val="0"/>
          <w:iCs w:val="0"/>
          <w:caps w:val="0"/>
          <w:color w:val="000000"/>
          <w:spacing w:val="0"/>
          <w:sz w:val="24"/>
          <w:szCs w:val="24"/>
          <w:shd w:val="clear" w:color="auto" w:fill="FFFFFF"/>
        </w:rPr>
        <w:t>时间前使用CA数字证书登录滁州市“不见面开标系统”，网址为</w:t>
      </w:r>
      <w:r>
        <w:rPr>
          <w:rFonts w:hint="eastAsia" w:ascii="宋体" w:hAnsi="宋体" w:eastAsia="宋体" w:cs="宋体"/>
          <w:i w:val="0"/>
          <w:iCs w:val="0"/>
          <w:caps w:val="0"/>
          <w:color w:val="000000"/>
          <w:spacing w:val="0"/>
          <w:sz w:val="24"/>
          <w:szCs w:val="24"/>
          <w:u w:val="none"/>
          <w:shd w:val="clear" w:color="auto" w:fill="FFFFFF"/>
          <w:lang w:eastAsia="zh-CN"/>
        </w:rPr>
        <w:t>https://ggzy.chuzhou.gov.cn/BidOpening</w:t>
      </w:r>
      <w:r>
        <w:rPr>
          <w:rFonts w:hint="eastAsia" w:ascii="宋体" w:hAnsi="宋体" w:eastAsia="宋体" w:cs="宋体"/>
          <w:i w:val="0"/>
          <w:iCs w:val="0"/>
          <w:caps w:val="0"/>
          <w:color w:val="000000"/>
          <w:spacing w:val="0"/>
          <w:sz w:val="24"/>
          <w:szCs w:val="24"/>
          <w:u w:val="none"/>
          <w:shd w:val="clear" w:color="auto" w:fill="FFFFFF"/>
        </w:rPr>
        <w:t>,等待开</w:t>
      </w:r>
      <w:r>
        <w:rPr>
          <w:rFonts w:hint="eastAsia" w:ascii="宋体" w:hAnsi="宋体" w:eastAsia="宋体" w:cs="宋体"/>
          <w:i w:val="0"/>
          <w:iCs w:val="0"/>
          <w:caps w:val="0"/>
          <w:color w:val="000000"/>
          <w:spacing w:val="0"/>
          <w:sz w:val="24"/>
          <w:szCs w:val="24"/>
          <w:u w:val="none"/>
          <w:shd w:val="clear" w:color="auto" w:fill="FFFFFF"/>
          <w:lang w:eastAsia="zh-CN"/>
        </w:rPr>
        <w:t>启</w:t>
      </w:r>
      <w:r>
        <w:rPr>
          <w:rFonts w:hint="eastAsia" w:ascii="宋体" w:hAnsi="宋体" w:eastAsia="宋体" w:cs="宋体"/>
          <w:i w:val="0"/>
          <w:iCs w:val="0"/>
          <w:caps w:val="0"/>
          <w:color w:val="000000"/>
          <w:spacing w:val="0"/>
          <w:sz w:val="24"/>
          <w:szCs w:val="24"/>
          <w:u w:val="none"/>
          <w:shd w:val="clear" w:color="auto" w:fill="FFFFFF"/>
        </w:rPr>
        <w:t>并按系统</w:t>
      </w:r>
      <w:r>
        <w:rPr>
          <w:rFonts w:hint="eastAsia" w:ascii="宋体" w:hAnsi="宋体" w:eastAsia="宋体" w:cs="宋体"/>
          <w:i w:val="0"/>
          <w:iCs w:val="0"/>
          <w:caps w:val="0"/>
          <w:color w:val="000000"/>
          <w:spacing w:val="0"/>
          <w:sz w:val="24"/>
          <w:szCs w:val="24"/>
          <w:shd w:val="clear" w:color="auto" w:fill="FFFFFF"/>
        </w:rPr>
        <w:t>提示进行相应的</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解密等事项，无需到现场。采用本方式可以观看开</w:t>
      </w:r>
      <w:r>
        <w:rPr>
          <w:rFonts w:hint="eastAsia" w:ascii="宋体" w:hAnsi="宋体" w:eastAsia="宋体" w:cs="宋体"/>
          <w:i w:val="0"/>
          <w:iCs w:val="0"/>
          <w:caps w:val="0"/>
          <w:color w:val="000000"/>
          <w:spacing w:val="0"/>
          <w:sz w:val="24"/>
          <w:szCs w:val="24"/>
          <w:shd w:val="clear" w:color="auto" w:fill="FFFFFF"/>
          <w:lang w:eastAsia="zh-CN"/>
        </w:rPr>
        <w:t>启</w:t>
      </w:r>
      <w:r>
        <w:rPr>
          <w:rFonts w:hint="eastAsia" w:ascii="宋体" w:hAnsi="宋体" w:eastAsia="宋体" w:cs="宋体"/>
          <w:i w:val="0"/>
          <w:iCs w:val="0"/>
          <w:caps w:val="0"/>
          <w:color w:val="000000"/>
          <w:spacing w:val="0"/>
          <w:sz w:val="24"/>
          <w:szCs w:val="24"/>
          <w:shd w:val="clear" w:color="auto" w:fill="FFFFFF"/>
        </w:rPr>
        <w:t>现场音视频直播并进行互动交流。具体操作方法见中心网站&gt;服务指南&gt;交易须知中的《滁州市不见面开标系统操作手册》</w:t>
      </w:r>
      <w:r>
        <w:rPr>
          <w:rFonts w:hint="eastAsia" w:ascii="宋体" w:hAnsi="宋体" w:eastAsia="宋体" w:cs="宋体"/>
          <w:i w:val="0"/>
          <w:iCs w:val="0"/>
          <w:caps w:val="0"/>
          <w:color w:val="000000"/>
          <w:spacing w:val="0"/>
          <w:sz w:val="24"/>
          <w:szCs w:val="24"/>
          <w:shd w:val="clear" w:color="auto" w:fill="FFFFFF"/>
          <w:lang w:eastAsia="zh-CN"/>
        </w:rPr>
        <w:t>。</w:t>
      </w:r>
    </w:p>
    <w:p w14:paraId="678EB587">
      <w:pPr>
        <w:pStyle w:val="5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val="0"/>
        <w:overflowPunct/>
        <w:topLinePunct w:val="0"/>
        <w:autoSpaceDE/>
        <w:autoSpaceDN/>
        <w:bidi w:val="0"/>
        <w:adjustRightInd/>
        <w:snapToGrid/>
        <w:spacing w:before="0" w:beforeAutospacing="0" w:after="0" w:afterAutospacing="0"/>
        <w:ind w:left="0" w:leftChars="0" w:right="0" w:firstLine="547" w:firstLineChars="228"/>
        <w:textAlignment w:val="auto"/>
        <w:rPr>
          <w:rFonts w:hint="eastAsia" w:ascii="宋体" w:hAnsi="宋体" w:eastAsia="宋体" w:cs="宋体"/>
          <w:i w:val="0"/>
          <w:iCs w:val="0"/>
          <w:color w:val="000000"/>
          <w:sz w:val="24"/>
          <w:szCs w:val="24"/>
          <w:highlight w:val="none"/>
          <w:lang w:val="en-US" w:eastAsia="zh-CN"/>
        </w:rPr>
      </w:pPr>
      <w:r>
        <w:rPr>
          <w:rFonts w:hint="eastAsia" w:ascii="宋体" w:hAnsi="宋体" w:eastAsia="宋体" w:cs="宋体"/>
          <w:i w:val="0"/>
          <w:iCs w:val="0"/>
          <w:caps w:val="0"/>
          <w:color w:val="000000"/>
          <w:spacing w:val="0"/>
          <w:sz w:val="24"/>
          <w:szCs w:val="24"/>
          <w:shd w:val="clear" w:color="auto" w:fill="FFFFFF"/>
        </w:rPr>
        <w:t>4.</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接到远程解密指令后，须在规定时间内解密。因</w:t>
      </w:r>
      <w:r>
        <w:rPr>
          <w:rFonts w:hint="eastAsia" w:ascii="宋体" w:hAnsi="宋体" w:eastAsia="宋体" w:cs="宋体"/>
          <w:i w:val="0"/>
          <w:iCs w:val="0"/>
          <w:caps w:val="0"/>
          <w:color w:val="000000"/>
          <w:spacing w:val="0"/>
          <w:sz w:val="24"/>
          <w:szCs w:val="24"/>
          <w:shd w:val="clear" w:color="auto" w:fill="FFFFFF"/>
          <w:lang w:eastAsia="zh-CN"/>
        </w:rPr>
        <w:t>供应商</w:t>
      </w:r>
      <w:r>
        <w:rPr>
          <w:rFonts w:hint="eastAsia" w:ascii="宋体" w:hAnsi="宋体" w:eastAsia="宋体" w:cs="宋体"/>
          <w:i w:val="0"/>
          <w:iCs w:val="0"/>
          <w:caps w:val="0"/>
          <w:color w:val="000000"/>
          <w:spacing w:val="0"/>
          <w:sz w:val="24"/>
          <w:szCs w:val="24"/>
          <w:shd w:val="clear" w:color="auto" w:fill="FFFFFF"/>
        </w:rPr>
        <w:t>自身原因导致</w:t>
      </w:r>
      <w:r>
        <w:rPr>
          <w:rFonts w:hint="eastAsia" w:ascii="宋体" w:hAnsi="宋体" w:eastAsia="宋体" w:cs="宋体"/>
          <w:i w:val="0"/>
          <w:iCs w:val="0"/>
          <w:caps w:val="0"/>
          <w:color w:val="000000"/>
          <w:spacing w:val="0"/>
          <w:sz w:val="24"/>
          <w:szCs w:val="24"/>
          <w:shd w:val="clear" w:color="auto" w:fill="FFFFFF"/>
          <w:lang w:eastAsia="zh-CN"/>
        </w:rPr>
        <w:t>响应</w:t>
      </w:r>
      <w:r>
        <w:rPr>
          <w:rFonts w:hint="eastAsia" w:ascii="宋体" w:hAnsi="宋体" w:eastAsia="宋体" w:cs="宋体"/>
          <w:i w:val="0"/>
          <w:iCs w:val="0"/>
          <w:caps w:val="0"/>
          <w:color w:val="000000"/>
          <w:spacing w:val="0"/>
          <w:sz w:val="24"/>
          <w:szCs w:val="24"/>
          <w:shd w:val="clear" w:color="auto" w:fill="FFFFFF"/>
        </w:rPr>
        <w:t>文件在规定时间内未能解密、解密失败或解密超时，</w:t>
      </w:r>
      <w:r>
        <w:rPr>
          <w:rFonts w:hint="eastAsia" w:ascii="宋体" w:hAnsi="宋体" w:eastAsia="宋体" w:cs="宋体"/>
          <w:i w:val="0"/>
          <w:iCs w:val="0"/>
          <w:caps w:val="0"/>
          <w:color w:val="000000"/>
          <w:spacing w:val="0"/>
          <w:sz w:val="24"/>
          <w:szCs w:val="24"/>
          <w:shd w:val="clear" w:color="auto" w:fill="FFFFFF"/>
          <w:lang w:eastAsia="zh-CN"/>
        </w:rPr>
        <w:t>响应</w:t>
      </w:r>
      <w:r>
        <w:rPr>
          <w:rFonts w:hint="eastAsia" w:ascii="宋体" w:hAnsi="宋体" w:eastAsia="宋体" w:cs="宋体"/>
          <w:i w:val="0"/>
          <w:iCs w:val="0"/>
          <w:caps w:val="0"/>
          <w:color w:val="000000"/>
          <w:spacing w:val="0"/>
          <w:sz w:val="24"/>
          <w:szCs w:val="24"/>
          <w:shd w:val="clear" w:color="auto" w:fill="FFFFFF"/>
        </w:rPr>
        <w:t>文件无效；因采购代理机构原因或网上平台发生故障，导致无法按时完成</w:t>
      </w:r>
      <w:r>
        <w:rPr>
          <w:rFonts w:hint="eastAsia" w:ascii="宋体" w:hAnsi="宋体" w:eastAsia="宋体" w:cs="宋体"/>
          <w:i w:val="0"/>
          <w:iCs w:val="0"/>
          <w:caps w:val="0"/>
          <w:color w:val="000000"/>
          <w:spacing w:val="0"/>
          <w:sz w:val="24"/>
          <w:szCs w:val="24"/>
          <w:shd w:val="clear" w:color="auto" w:fill="FFFFFF"/>
          <w:lang w:eastAsia="zh-CN"/>
        </w:rPr>
        <w:t>响应</w:t>
      </w:r>
      <w:r>
        <w:rPr>
          <w:rFonts w:hint="eastAsia" w:ascii="宋体" w:hAnsi="宋体" w:eastAsia="宋体" w:cs="宋体"/>
          <w:i w:val="0"/>
          <w:iCs w:val="0"/>
          <w:caps w:val="0"/>
          <w:color w:val="000000"/>
          <w:spacing w:val="0"/>
          <w:sz w:val="24"/>
          <w:szCs w:val="24"/>
          <w:shd w:val="clear" w:color="auto" w:fill="FFFFFF"/>
        </w:rPr>
        <w:t>文件解密的，经采购代理机构申请后可延迟解密时间。</w:t>
      </w:r>
    </w:p>
    <w:p w14:paraId="0BE0DF0F">
      <w:pPr>
        <w:keepNext w:val="0"/>
        <w:keepLines w:val="0"/>
        <w:pageBreakBefore w:val="0"/>
        <w:widowControl w:val="0"/>
        <w:kinsoku/>
        <w:wordWrap w:val="0"/>
        <w:overflowPunct/>
        <w:topLinePunct w:val="0"/>
        <w:autoSpaceDE/>
        <w:autoSpaceDN/>
        <w:bidi w:val="0"/>
        <w:adjustRightInd/>
        <w:snapToGrid/>
        <w:spacing w:line="360" w:lineRule="auto"/>
        <w:ind w:firstLine="482" w:firstLineChars="200"/>
        <w:textAlignment w:val="auto"/>
        <w:outlineLvl w:val="9"/>
        <w:rPr>
          <w:rFonts w:hint="eastAsia" w:ascii="宋体" w:hAnsi="宋体" w:eastAsia="宋体" w:cs="宋体"/>
          <w:b/>
          <w:bCs/>
          <w:iCs/>
          <w:color w:val="auto"/>
          <w:sz w:val="24"/>
          <w:szCs w:val="24"/>
          <w:highlight w:val="none"/>
          <w:u w:val="none"/>
          <w:lang w:val="en-US" w:eastAsia="zh-CN" w:bidi="ar-SA"/>
        </w:rPr>
      </w:pPr>
      <w:r>
        <w:rPr>
          <w:rFonts w:hint="eastAsia" w:ascii="宋体" w:hAnsi="宋体" w:eastAsia="宋体" w:cs="宋体"/>
          <w:b/>
          <w:bCs/>
          <w:iCs/>
          <w:color w:val="auto"/>
          <w:sz w:val="24"/>
          <w:szCs w:val="24"/>
          <w:highlight w:val="none"/>
          <w:u w:val="none"/>
          <w:lang w:val="en-US" w:eastAsia="zh-CN" w:bidi="ar-SA"/>
        </w:rPr>
        <w:t>九、凡对本次采购提出询问，请按以下方式联系</w:t>
      </w:r>
    </w:p>
    <w:p w14:paraId="2F32F6B1">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bookmarkStart w:id="20" w:name="_Toc6559"/>
      <w:r>
        <w:rPr>
          <w:rFonts w:hint="eastAsia" w:ascii="宋体" w:hAnsi="宋体" w:eastAsia="宋体" w:cs="宋体"/>
          <w:iCs/>
          <w:color w:val="auto"/>
          <w:sz w:val="24"/>
          <w:szCs w:val="24"/>
          <w:highlight w:val="none"/>
          <w:u w:val="none"/>
          <w:lang w:val="en-US" w:eastAsia="zh-CN" w:bidi="ar-SA"/>
        </w:rPr>
        <w:t>1.采购人信息</w:t>
      </w:r>
      <w:bookmarkEnd w:id="20"/>
    </w:p>
    <w:p w14:paraId="5167D27C">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名    称：滁州市公路管理服务中心</w:t>
      </w:r>
    </w:p>
    <w:p w14:paraId="5523F12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地    址：滁州市龙蟠大道200号</w:t>
      </w:r>
    </w:p>
    <w:p w14:paraId="73D023A6">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联系人：李锦辉</w:t>
      </w:r>
    </w:p>
    <w:p w14:paraId="0775E80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联系方式：0550-3033370</w:t>
      </w:r>
    </w:p>
    <w:p w14:paraId="2636542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bookmarkStart w:id="21" w:name="_Toc20321"/>
      <w:r>
        <w:rPr>
          <w:rFonts w:hint="eastAsia" w:ascii="宋体" w:hAnsi="宋体" w:eastAsia="宋体" w:cs="宋体"/>
          <w:iCs/>
          <w:color w:val="auto"/>
          <w:sz w:val="24"/>
          <w:szCs w:val="24"/>
          <w:highlight w:val="none"/>
          <w:u w:val="none"/>
          <w:lang w:val="en-US" w:eastAsia="zh-CN" w:bidi="ar-SA"/>
        </w:rPr>
        <w:t>2.采购代理机构信息</w:t>
      </w:r>
      <w:bookmarkEnd w:id="21"/>
    </w:p>
    <w:p w14:paraId="2340FD15">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名    称：滁州市城投工程咨询管理有限公司</w:t>
      </w:r>
    </w:p>
    <w:p w14:paraId="6641ADA2">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地　　址：滁州市龙蟠大道109号房产商务大厦6楼</w:t>
      </w:r>
    </w:p>
    <w:p w14:paraId="7EB7263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联系人：曹思敏</w:t>
      </w:r>
    </w:p>
    <w:p w14:paraId="31C226C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iCs/>
          <w:color w:val="auto"/>
          <w:sz w:val="24"/>
          <w:szCs w:val="24"/>
          <w:highlight w:val="none"/>
          <w:u w:val="none"/>
          <w:lang w:val="en-US" w:eastAsia="zh-CN" w:bidi="ar-SA"/>
        </w:rPr>
      </w:pPr>
      <w:r>
        <w:rPr>
          <w:rFonts w:hint="eastAsia" w:ascii="宋体" w:hAnsi="宋体" w:eastAsia="宋体" w:cs="宋体"/>
          <w:iCs/>
          <w:color w:val="auto"/>
          <w:sz w:val="24"/>
          <w:szCs w:val="24"/>
          <w:highlight w:val="none"/>
          <w:u w:val="none"/>
          <w:lang w:val="en-US" w:eastAsia="zh-CN" w:bidi="ar-SA"/>
        </w:rPr>
        <w:t>联系方式：0550-3519516、18712012204</w:t>
      </w:r>
    </w:p>
    <w:p w14:paraId="289C81C3">
      <w:pPr>
        <w:spacing w:line="360" w:lineRule="auto"/>
        <w:ind w:firstLine="437"/>
        <w:outlineLvl w:val="2"/>
        <w:rPr>
          <w:rFonts w:hint="eastAsia" w:ascii="宋体" w:hAnsi="宋体" w:eastAsia="宋体" w:cs="宋体"/>
          <w:b/>
          <w:color w:val="auto"/>
          <w:sz w:val="24"/>
          <w:szCs w:val="18"/>
          <w:highlight w:val="none"/>
          <w:lang w:val="en-US" w:eastAsia="zh-CN"/>
        </w:rPr>
      </w:pPr>
      <w:r>
        <w:rPr>
          <w:rFonts w:hint="eastAsia" w:ascii="宋体" w:hAnsi="宋体" w:eastAsia="宋体" w:cs="宋体"/>
          <w:b w:val="0"/>
          <w:bCs/>
          <w:color w:val="auto"/>
          <w:sz w:val="24"/>
          <w:szCs w:val="18"/>
          <w:highlight w:val="none"/>
          <w:lang w:val="en-US" w:eastAsia="zh-CN"/>
        </w:rPr>
        <w:t>3</w:t>
      </w:r>
      <w:r>
        <w:rPr>
          <w:rFonts w:hint="eastAsia" w:ascii="宋体" w:hAnsi="宋体" w:eastAsia="宋体" w:cs="宋体"/>
          <w:b/>
          <w:color w:val="auto"/>
          <w:sz w:val="24"/>
          <w:szCs w:val="18"/>
          <w:highlight w:val="none"/>
        </w:rPr>
        <w:t>.</w:t>
      </w:r>
      <w:r>
        <w:rPr>
          <w:rFonts w:hint="eastAsia" w:ascii="宋体" w:hAnsi="宋体" w:eastAsia="宋体" w:cs="宋体"/>
          <w:color w:val="auto"/>
          <w:sz w:val="24"/>
          <w:szCs w:val="18"/>
          <w:highlight w:val="none"/>
        </w:rPr>
        <w:t>政府采购监督管理部门</w:t>
      </w:r>
      <w:r>
        <w:rPr>
          <w:rFonts w:hint="eastAsia" w:ascii="宋体" w:hAnsi="宋体" w:eastAsia="宋体" w:cs="宋体"/>
          <w:color w:val="auto"/>
          <w:sz w:val="24"/>
          <w:szCs w:val="18"/>
          <w:highlight w:val="none"/>
          <w:lang w:val="en-US" w:eastAsia="zh-CN"/>
        </w:rPr>
        <w:t>信息</w:t>
      </w:r>
    </w:p>
    <w:p w14:paraId="7FBB1BF1">
      <w:pPr>
        <w:spacing w:line="360" w:lineRule="auto"/>
        <w:ind w:firstLine="435"/>
        <w:rPr>
          <w:rFonts w:hint="eastAsia" w:ascii="宋体" w:hAnsi="宋体" w:eastAsia="宋体" w:cs="宋体"/>
          <w:color w:val="auto"/>
          <w:sz w:val="24"/>
          <w:szCs w:val="18"/>
          <w:highlight w:val="none"/>
          <w:lang w:val="en-US" w:eastAsia="zh-CN"/>
        </w:rPr>
      </w:pPr>
      <w:r>
        <w:rPr>
          <w:rFonts w:hint="eastAsia" w:ascii="宋体" w:hAnsi="宋体" w:eastAsia="宋体" w:cs="宋体"/>
          <w:color w:val="auto"/>
          <w:sz w:val="24"/>
          <w:szCs w:val="24"/>
          <w:highlight w:val="none"/>
          <w:lang w:val="en-US" w:eastAsia="zh-CN"/>
        </w:rPr>
        <w:t>名    称</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滁州市公共资源交易监督管理局</w:t>
      </w:r>
    </w:p>
    <w:p w14:paraId="3FC74A3F">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t>地</w:t>
      </w:r>
      <w:r>
        <w:rPr>
          <w:rFonts w:hint="eastAsia" w:ascii="宋体" w:hAnsi="宋体" w:eastAsia="宋体" w:cs="宋体"/>
          <w:color w:val="auto"/>
          <w:sz w:val="24"/>
          <w:szCs w:val="18"/>
          <w:highlight w:val="none"/>
          <w:lang w:val="en-US" w:eastAsia="zh-CN"/>
        </w:rPr>
        <w:t xml:space="preserve">    </w:t>
      </w:r>
      <w:r>
        <w:rPr>
          <w:rFonts w:hint="eastAsia" w:ascii="宋体" w:hAnsi="宋体" w:eastAsia="宋体" w:cs="宋体"/>
          <w:color w:val="auto"/>
          <w:sz w:val="24"/>
          <w:szCs w:val="18"/>
          <w:highlight w:val="none"/>
        </w:rPr>
        <w:t>址</w:t>
      </w:r>
      <w:r>
        <w:rPr>
          <w:rFonts w:hint="eastAsia" w:ascii="宋体" w:hAnsi="宋体" w:eastAsia="宋体" w:cs="宋体"/>
          <w:color w:val="auto"/>
          <w:sz w:val="24"/>
          <w:szCs w:val="18"/>
          <w:highlight w:val="none"/>
          <w:lang w:val="en-US" w:eastAsia="zh-CN"/>
        </w:rPr>
        <w:t>：</w:t>
      </w:r>
      <w:r>
        <w:rPr>
          <w:rFonts w:hint="eastAsia" w:ascii="宋体" w:hAnsi="宋体" w:eastAsia="宋体" w:cs="宋体"/>
          <w:color w:val="auto"/>
          <w:sz w:val="24"/>
          <w:szCs w:val="18"/>
          <w:highlight w:val="none"/>
        </w:rPr>
        <w:t>滁州市龙蟠大道109号房产大厦</w:t>
      </w:r>
      <w:r>
        <w:rPr>
          <w:rFonts w:hint="eastAsia" w:ascii="宋体" w:hAnsi="宋体" w:eastAsia="宋体" w:cs="宋体"/>
          <w:color w:val="auto"/>
          <w:sz w:val="24"/>
          <w:szCs w:val="18"/>
          <w:highlight w:val="none"/>
          <w:lang w:val="en-US" w:eastAsia="zh-CN"/>
        </w:rPr>
        <w:t>3</w:t>
      </w:r>
      <w:r>
        <w:rPr>
          <w:rFonts w:hint="eastAsia" w:ascii="宋体" w:hAnsi="宋体" w:eastAsia="宋体" w:cs="宋体"/>
          <w:color w:val="auto"/>
          <w:sz w:val="24"/>
          <w:szCs w:val="18"/>
          <w:highlight w:val="none"/>
        </w:rPr>
        <w:t>楼</w:t>
      </w:r>
    </w:p>
    <w:p w14:paraId="02CAC450">
      <w:pPr>
        <w:spacing w:line="360" w:lineRule="auto"/>
        <w:ind w:firstLine="435"/>
        <w:rPr>
          <w:rFonts w:hint="eastAsia" w:ascii="宋体" w:hAnsi="宋体" w:eastAsia="宋体" w:cs="宋体"/>
          <w:color w:val="auto"/>
          <w:sz w:val="24"/>
          <w:szCs w:val="18"/>
          <w:highlight w:val="none"/>
          <w:lang w:val="en-US"/>
        </w:rPr>
      </w:pPr>
      <w:r>
        <w:rPr>
          <w:rFonts w:hint="eastAsia" w:ascii="宋体" w:hAnsi="宋体" w:eastAsia="宋体" w:cs="宋体"/>
          <w:color w:val="auto"/>
          <w:sz w:val="24"/>
          <w:szCs w:val="18"/>
          <w:highlight w:val="none"/>
        </w:rPr>
        <w:t>联系</w:t>
      </w:r>
      <w:r>
        <w:rPr>
          <w:rFonts w:hint="eastAsia" w:ascii="宋体" w:hAnsi="宋体" w:eastAsia="宋体" w:cs="宋体"/>
          <w:color w:val="auto"/>
          <w:sz w:val="24"/>
          <w:szCs w:val="18"/>
          <w:highlight w:val="none"/>
          <w:lang w:val="en-US" w:eastAsia="zh-CN"/>
        </w:rPr>
        <w:t>方式</w:t>
      </w:r>
      <w:r>
        <w:rPr>
          <w:rFonts w:hint="eastAsia" w:ascii="宋体" w:hAnsi="宋体" w:eastAsia="宋体" w:cs="宋体"/>
          <w:color w:val="auto"/>
          <w:sz w:val="24"/>
          <w:szCs w:val="18"/>
          <w:highlight w:val="none"/>
        </w:rPr>
        <w:t>：</w:t>
      </w:r>
      <w:r>
        <w:rPr>
          <w:rFonts w:hint="eastAsia" w:ascii="宋体" w:hAnsi="宋体" w:eastAsia="宋体" w:cs="宋体"/>
          <w:color w:val="auto"/>
          <w:sz w:val="24"/>
          <w:szCs w:val="18"/>
          <w:highlight w:val="none"/>
          <w:lang w:val="en-US" w:eastAsia="zh-CN"/>
        </w:rPr>
        <w:t>0550-3801656</w:t>
      </w:r>
    </w:p>
    <w:p w14:paraId="7270BC6E">
      <w:pPr>
        <w:spacing w:line="360" w:lineRule="auto"/>
        <w:ind w:firstLine="435"/>
        <w:rPr>
          <w:rFonts w:hint="eastAsia" w:ascii="宋体" w:hAnsi="宋体" w:eastAsia="宋体" w:cs="宋体"/>
          <w:color w:val="auto"/>
          <w:sz w:val="24"/>
          <w:szCs w:val="18"/>
          <w:highlight w:val="none"/>
          <w:u w:val="single"/>
        </w:rPr>
      </w:pPr>
    </w:p>
    <w:bookmarkEnd w:id="2"/>
    <w:p w14:paraId="6D7A02D2">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color w:val="auto"/>
          <w:sz w:val="24"/>
          <w:szCs w:val="18"/>
          <w:highlight w:val="none"/>
        </w:rPr>
        <w:br w:type="page"/>
      </w:r>
    </w:p>
    <w:p w14:paraId="0706D320">
      <w:pPr>
        <w:spacing w:line="360" w:lineRule="auto"/>
        <w:jc w:val="center"/>
        <w:outlineLvl w:val="0"/>
        <w:rPr>
          <w:rFonts w:hint="eastAsia" w:ascii="宋体" w:hAnsi="宋体" w:eastAsia="宋体" w:cs="宋体"/>
          <w:b/>
          <w:color w:val="auto"/>
          <w:sz w:val="28"/>
          <w:highlight w:val="none"/>
        </w:rPr>
      </w:pPr>
      <w:bookmarkStart w:id="22" w:name="_Toc28080"/>
      <w:r>
        <w:rPr>
          <w:rFonts w:hint="eastAsia" w:ascii="宋体" w:hAnsi="宋体" w:eastAsia="宋体" w:cs="宋体"/>
          <w:b/>
          <w:color w:val="auto"/>
          <w:sz w:val="28"/>
          <w:highlight w:val="none"/>
        </w:rPr>
        <w:t>第二章  供应商须知</w:t>
      </w:r>
      <w:bookmarkEnd w:id="22"/>
    </w:p>
    <w:p w14:paraId="1220BD6F">
      <w:pPr>
        <w:spacing w:line="360" w:lineRule="auto"/>
        <w:jc w:val="center"/>
        <w:outlineLvl w:val="1"/>
        <w:rPr>
          <w:rFonts w:hint="eastAsia" w:ascii="宋体" w:hAnsi="宋体" w:eastAsia="宋体" w:cs="宋体"/>
          <w:b/>
          <w:color w:val="auto"/>
          <w:sz w:val="24"/>
          <w:highlight w:val="none"/>
        </w:rPr>
      </w:pPr>
      <w:bookmarkStart w:id="23" w:name="_Toc12027"/>
      <w:bookmarkStart w:id="24" w:name="_Toc18621"/>
      <w:r>
        <w:rPr>
          <w:rFonts w:hint="eastAsia" w:ascii="宋体" w:hAnsi="宋体" w:eastAsia="宋体" w:cs="宋体"/>
          <w:b/>
          <w:color w:val="auto"/>
          <w:sz w:val="24"/>
          <w:highlight w:val="none"/>
        </w:rPr>
        <w:t>一、供应商须知前附表</w:t>
      </w:r>
      <w:bookmarkEnd w:id="23"/>
      <w:bookmarkEnd w:id="24"/>
    </w:p>
    <w:p w14:paraId="632CE55C">
      <w:pPr>
        <w:spacing w:line="360" w:lineRule="auto"/>
        <w:ind w:firstLine="435"/>
        <w:rPr>
          <w:rFonts w:hint="eastAsia" w:ascii="宋体" w:hAnsi="宋体" w:eastAsia="宋体" w:cs="宋体"/>
          <w:color w:val="auto"/>
          <w:sz w:val="24"/>
          <w:szCs w:val="18"/>
          <w:highlight w:val="none"/>
        </w:rPr>
      </w:pPr>
      <w:r>
        <w:rPr>
          <w:rFonts w:hint="eastAsia" w:ascii="宋体" w:hAnsi="宋体" w:eastAsia="宋体" w:cs="宋体"/>
          <w:b/>
          <w:bCs/>
          <w:color w:val="auto"/>
          <w:sz w:val="24"/>
          <w:szCs w:val="18"/>
          <w:highlight w:val="none"/>
        </w:rPr>
        <w:t>注：</w:t>
      </w:r>
      <w:r>
        <w:rPr>
          <w:rFonts w:hint="eastAsia" w:ascii="宋体" w:hAnsi="宋体" w:eastAsia="宋体" w:cs="宋体"/>
          <w:color w:val="auto"/>
          <w:sz w:val="24"/>
          <w:szCs w:val="18"/>
          <w:highlight w:val="none"/>
        </w:rPr>
        <w:t>本表是本项目的具体要求，是对供应商须知的具体补充和修改，如有不一致，以本表为准。</w:t>
      </w:r>
    </w:p>
    <w:tbl>
      <w:tblPr>
        <w:tblStyle w:val="55"/>
        <w:tblW w:w="518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64"/>
        <w:gridCol w:w="1853"/>
        <w:gridCol w:w="6760"/>
      </w:tblGrid>
      <w:tr w14:paraId="0CA53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vAlign w:val="center"/>
          </w:tcPr>
          <w:p w14:paraId="5CCD62BF">
            <w:pPr>
              <w:pStyle w:val="75"/>
              <w:widowControl w:val="0"/>
              <w:spacing w:before="0" w:beforeAutospacing="0" w:after="0" w:afterAutospacing="0" w:line="360" w:lineRule="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条款号</w:t>
            </w:r>
          </w:p>
        </w:tc>
        <w:tc>
          <w:tcPr>
            <w:tcW w:w="967" w:type="pct"/>
            <w:vAlign w:val="center"/>
          </w:tcPr>
          <w:p w14:paraId="021ADC82">
            <w:pPr>
              <w:pStyle w:val="75"/>
              <w:widowControl w:val="0"/>
              <w:spacing w:before="0" w:beforeAutospacing="0" w:after="0" w:afterAutospacing="0" w:line="360" w:lineRule="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条款名称</w:t>
            </w:r>
          </w:p>
        </w:tc>
        <w:tc>
          <w:tcPr>
            <w:tcW w:w="3528" w:type="pct"/>
            <w:vAlign w:val="center"/>
          </w:tcPr>
          <w:p w14:paraId="7D55257B">
            <w:pPr>
              <w:pStyle w:val="75"/>
              <w:widowControl w:val="0"/>
              <w:spacing w:before="0" w:beforeAutospacing="0" w:after="0" w:afterAutospacing="0" w:line="360" w:lineRule="auto"/>
              <w:rPr>
                <w:rFonts w:hint="eastAsia" w:ascii="宋体" w:hAnsi="宋体" w:eastAsia="宋体" w:cs="宋体"/>
                <w:bCs w:val="0"/>
                <w:color w:val="auto"/>
                <w:kern w:val="2"/>
                <w:sz w:val="24"/>
                <w:szCs w:val="20"/>
                <w:highlight w:val="none"/>
              </w:rPr>
            </w:pPr>
            <w:r>
              <w:rPr>
                <w:rFonts w:hint="eastAsia" w:ascii="宋体" w:hAnsi="宋体" w:eastAsia="宋体" w:cs="宋体"/>
                <w:bCs w:val="0"/>
                <w:color w:val="auto"/>
                <w:kern w:val="2"/>
                <w:sz w:val="24"/>
                <w:szCs w:val="20"/>
                <w:highlight w:val="none"/>
              </w:rPr>
              <w:t>内容、说明与要求</w:t>
            </w:r>
          </w:p>
        </w:tc>
      </w:tr>
      <w:tr w14:paraId="13FFA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E9980E1">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5</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2</w:t>
            </w:r>
          </w:p>
        </w:tc>
        <w:tc>
          <w:tcPr>
            <w:tcW w:w="967" w:type="pct"/>
            <w:vAlign w:val="center"/>
          </w:tcPr>
          <w:p w14:paraId="68ABA3E1">
            <w:pPr>
              <w:pStyle w:val="75"/>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现场考察</w:t>
            </w:r>
            <w:r>
              <w:rPr>
                <w:rFonts w:hint="eastAsia" w:ascii="宋体" w:hAnsi="宋体" w:eastAsia="宋体" w:cs="宋体"/>
                <w:b w:val="0"/>
                <w:color w:val="auto"/>
                <w:sz w:val="24"/>
                <w:highlight w:val="none"/>
                <w:lang w:val="en-US" w:eastAsia="zh-CN"/>
              </w:rPr>
              <w:t>或标前答疑会</w:t>
            </w:r>
          </w:p>
        </w:tc>
        <w:tc>
          <w:tcPr>
            <w:tcW w:w="3528" w:type="pct"/>
            <w:vAlign w:val="center"/>
          </w:tcPr>
          <w:p w14:paraId="75321C6E">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rPr>
            </w:pPr>
            <w:r>
              <w:rPr>
                <w:rFonts w:hint="eastAsia" w:ascii="宋体" w:hAnsi="宋体" w:eastAsia="宋体" w:cs="宋体"/>
                <w:bCs/>
                <w:color w:val="auto"/>
                <w:sz w:val="24"/>
                <w:szCs w:val="24"/>
                <w:highlight w:val="none"/>
                <w:lang w:eastAsia="zh-CN"/>
              </w:rPr>
              <w:t>☑</w:t>
            </w:r>
            <w:r>
              <w:rPr>
                <w:rFonts w:hint="eastAsia" w:ascii="宋体" w:hAnsi="宋体" w:eastAsia="宋体" w:cs="宋体"/>
                <w:color w:val="auto"/>
                <w:sz w:val="24"/>
                <w:highlight w:val="none"/>
              </w:rPr>
              <w:t>不组织</w:t>
            </w:r>
            <w:r>
              <w:rPr>
                <w:rFonts w:hint="eastAsia" w:ascii="宋体" w:hAnsi="宋体" w:eastAsia="宋体" w:cs="宋体"/>
                <w:color w:val="auto"/>
                <w:sz w:val="24"/>
                <w:highlight w:val="none"/>
                <w:lang w:val="en-US" w:eastAsia="zh-CN"/>
              </w:rPr>
              <w:t>或不召开</w:t>
            </w:r>
          </w:p>
          <w:p w14:paraId="1FB5150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lang w:eastAsia="zh-CN"/>
              </w:rPr>
            </w:pPr>
            <w:r>
              <w:rPr>
                <w:rFonts w:hint="eastAsia" w:ascii="宋体" w:hAnsi="宋体" w:eastAsia="宋体" w:cs="宋体"/>
                <w:color w:val="auto"/>
                <w:sz w:val="24"/>
                <w:highlight w:val="none"/>
              </w:rPr>
              <w:t>□</w:t>
            </w:r>
            <w:r>
              <w:rPr>
                <w:rFonts w:hint="eastAsia" w:ascii="宋体" w:hAnsi="宋体" w:eastAsia="宋体" w:cs="宋体"/>
                <w:bCs/>
                <w:color w:val="auto"/>
                <w:sz w:val="24"/>
                <w:highlight w:val="none"/>
              </w:rPr>
              <w:t>统一组织</w:t>
            </w:r>
            <w:r>
              <w:rPr>
                <w:rFonts w:hint="eastAsia" w:ascii="宋体" w:hAnsi="宋体" w:eastAsia="宋体" w:cs="宋体"/>
                <w:bCs/>
                <w:color w:val="auto"/>
                <w:sz w:val="24"/>
                <w:highlight w:val="none"/>
                <w:lang w:val="en-US" w:eastAsia="zh-CN"/>
              </w:rPr>
              <w:t>或统一召开</w:t>
            </w:r>
          </w:p>
          <w:p w14:paraId="447D7845">
            <w:pPr>
              <w:spacing w:line="360" w:lineRule="auto"/>
              <w:rPr>
                <w:rFonts w:hint="eastAsia" w:ascii="宋体" w:hAnsi="宋体" w:eastAsia="宋体" w:cs="宋体"/>
                <w:bCs/>
                <w:color w:val="auto"/>
                <w:sz w:val="24"/>
                <w:highlight w:val="none"/>
                <w:u w:val="single"/>
              </w:rPr>
            </w:pPr>
            <w:r>
              <w:rPr>
                <w:rFonts w:hint="eastAsia" w:ascii="宋体" w:hAnsi="宋体" w:eastAsia="宋体" w:cs="宋体"/>
                <w:bCs/>
                <w:color w:val="auto"/>
                <w:sz w:val="24"/>
                <w:highlight w:val="none"/>
              </w:rPr>
              <w:t>时间：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年</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月</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日</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时</w:t>
            </w:r>
            <w:r>
              <w:rPr>
                <w:rFonts w:hint="eastAsia" w:ascii="宋体" w:hAnsi="宋体" w:eastAsia="宋体" w:cs="宋体"/>
                <w:bCs/>
                <w:color w:val="auto"/>
                <w:sz w:val="24"/>
                <w:highlight w:val="none"/>
                <w:u w:val="single"/>
                <w:lang w:val="en-US" w:eastAsia="zh-CN"/>
              </w:rPr>
              <w:t>/</w:t>
            </w:r>
            <w:r>
              <w:rPr>
                <w:rFonts w:hint="eastAsia" w:ascii="宋体" w:hAnsi="宋体" w:eastAsia="宋体" w:cs="宋体"/>
                <w:bCs/>
                <w:color w:val="auto"/>
                <w:sz w:val="24"/>
                <w:highlight w:val="none"/>
              </w:rPr>
              <w:t>分</w:t>
            </w:r>
          </w:p>
          <w:p w14:paraId="4BCCBACA">
            <w:pPr>
              <w:spacing w:line="360" w:lineRule="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地点：</w:t>
            </w:r>
            <w:r>
              <w:rPr>
                <w:rFonts w:hint="eastAsia" w:ascii="宋体" w:hAnsi="宋体" w:eastAsia="宋体" w:cs="宋体"/>
                <w:bCs/>
                <w:color w:val="auto"/>
                <w:sz w:val="24"/>
                <w:highlight w:val="none"/>
                <w:u w:val="single"/>
                <w:lang w:val="en-US" w:eastAsia="zh-CN"/>
              </w:rPr>
              <w:t>/</w:t>
            </w:r>
          </w:p>
          <w:p w14:paraId="0835783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Cs/>
                <w:color w:val="auto"/>
                <w:sz w:val="24"/>
                <w:highlight w:val="none"/>
                <w:u w:val="single"/>
                <w:lang w:eastAsia="zh-CN"/>
              </w:rPr>
            </w:pPr>
            <w:r>
              <w:rPr>
                <w:rFonts w:hint="eastAsia" w:ascii="宋体" w:hAnsi="宋体" w:eastAsia="宋体" w:cs="宋体"/>
                <w:bCs/>
                <w:color w:val="auto"/>
                <w:sz w:val="24"/>
                <w:highlight w:val="none"/>
              </w:rPr>
              <w:t>联系人及联系电话：</w:t>
            </w:r>
            <w:r>
              <w:rPr>
                <w:rFonts w:hint="eastAsia" w:ascii="宋体" w:hAnsi="宋体" w:eastAsia="宋体" w:cs="宋体"/>
                <w:bCs/>
                <w:color w:val="auto"/>
                <w:sz w:val="24"/>
                <w:highlight w:val="none"/>
                <w:u w:val="single"/>
                <w:lang w:val="en-US" w:eastAsia="zh-CN"/>
              </w:rPr>
              <w:t>/</w:t>
            </w:r>
          </w:p>
          <w:p w14:paraId="2C53D48A">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color w:val="auto"/>
                <w:sz w:val="24"/>
                <w:highlight w:val="none"/>
              </w:rPr>
            </w:pPr>
            <w:r>
              <w:rPr>
                <w:rFonts w:hint="eastAsia" w:ascii="宋体" w:hAnsi="宋体" w:eastAsia="宋体" w:cs="宋体"/>
                <w:bCs w:val="0"/>
                <w:color w:val="auto"/>
                <w:sz w:val="24"/>
                <w:highlight w:val="none"/>
                <w:lang w:eastAsia="zh-CN"/>
              </w:rPr>
              <w:t>注：</w:t>
            </w:r>
            <w:r>
              <w:rPr>
                <w:rFonts w:hint="eastAsia" w:ascii="宋体" w:hAnsi="宋体" w:eastAsia="宋体" w:cs="宋体"/>
                <w:bCs w:val="0"/>
                <w:color w:val="auto"/>
                <w:sz w:val="24"/>
                <w:highlight w:val="none"/>
              </w:rPr>
              <w:t>如</w:t>
            </w:r>
            <w:r>
              <w:rPr>
                <w:rFonts w:hint="eastAsia" w:ascii="宋体" w:hAnsi="宋体" w:eastAsia="宋体" w:cs="宋体"/>
                <w:bCs w:val="0"/>
                <w:color w:val="auto"/>
                <w:sz w:val="24"/>
                <w:highlight w:val="none"/>
                <w:lang w:val="en-US" w:eastAsia="zh-CN"/>
              </w:rPr>
              <w:t>供应商</w:t>
            </w:r>
            <w:r>
              <w:rPr>
                <w:rFonts w:hint="eastAsia" w:ascii="宋体" w:hAnsi="宋体" w:eastAsia="宋体" w:cs="宋体"/>
                <w:bCs w:val="0"/>
                <w:color w:val="auto"/>
                <w:sz w:val="24"/>
                <w:highlight w:val="none"/>
              </w:rPr>
              <w:t>未参加采购人统一组织的现场考察</w:t>
            </w:r>
            <w:r>
              <w:rPr>
                <w:rFonts w:hint="eastAsia" w:ascii="宋体" w:hAnsi="宋体" w:eastAsia="宋体" w:cs="宋体"/>
                <w:bCs w:val="0"/>
                <w:color w:val="auto"/>
                <w:sz w:val="24"/>
                <w:highlight w:val="none"/>
                <w:lang w:val="en-US" w:eastAsia="zh-CN"/>
              </w:rPr>
              <w:t>或采购人统一召开的标前答疑会</w:t>
            </w:r>
            <w:r>
              <w:rPr>
                <w:rFonts w:hint="eastAsia" w:ascii="宋体" w:hAnsi="宋体" w:eastAsia="宋体" w:cs="宋体"/>
                <w:bCs w:val="0"/>
                <w:color w:val="auto"/>
                <w:sz w:val="24"/>
                <w:highlight w:val="none"/>
              </w:rPr>
              <w:t>，视同放弃现场考察</w:t>
            </w:r>
            <w:r>
              <w:rPr>
                <w:rFonts w:hint="eastAsia" w:ascii="宋体" w:hAnsi="宋体" w:eastAsia="宋体" w:cs="宋体"/>
                <w:bCs w:val="0"/>
                <w:color w:val="auto"/>
                <w:sz w:val="24"/>
                <w:highlight w:val="none"/>
                <w:lang w:val="en-US" w:eastAsia="zh-CN"/>
              </w:rPr>
              <w:t>或标前答疑会</w:t>
            </w:r>
            <w:r>
              <w:rPr>
                <w:rFonts w:hint="eastAsia" w:ascii="宋体" w:hAnsi="宋体" w:eastAsia="宋体" w:cs="宋体"/>
                <w:bCs w:val="0"/>
                <w:color w:val="auto"/>
                <w:sz w:val="24"/>
                <w:highlight w:val="none"/>
              </w:rPr>
              <w:t>，由此引起的一切责任由</w:t>
            </w:r>
            <w:r>
              <w:rPr>
                <w:rFonts w:hint="eastAsia" w:ascii="宋体" w:hAnsi="宋体" w:eastAsia="宋体" w:cs="宋体"/>
                <w:bCs w:val="0"/>
                <w:color w:val="auto"/>
                <w:sz w:val="24"/>
                <w:highlight w:val="none"/>
                <w:lang w:val="en-US" w:eastAsia="zh-CN"/>
              </w:rPr>
              <w:t>供应商</w:t>
            </w:r>
            <w:r>
              <w:rPr>
                <w:rFonts w:hint="eastAsia" w:ascii="宋体" w:hAnsi="宋体" w:eastAsia="宋体" w:cs="宋体"/>
                <w:bCs w:val="0"/>
                <w:color w:val="auto"/>
                <w:sz w:val="24"/>
                <w:highlight w:val="none"/>
              </w:rPr>
              <w:t>自行承担。</w:t>
            </w:r>
          </w:p>
        </w:tc>
      </w:tr>
      <w:tr w14:paraId="02A84D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jc w:val="center"/>
        </w:trPr>
        <w:tc>
          <w:tcPr>
            <w:tcW w:w="503" w:type="pct"/>
            <w:vAlign w:val="center"/>
          </w:tcPr>
          <w:p w14:paraId="4238C37D">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6</w:t>
            </w:r>
            <w:r>
              <w:rPr>
                <w:rFonts w:hint="eastAsia" w:ascii="宋体" w:hAnsi="宋体" w:eastAsia="宋体" w:cs="宋体"/>
                <w:bCs/>
                <w:color w:val="auto"/>
                <w:kern w:val="2"/>
                <w:highlight w:val="none"/>
              </w:rPr>
              <w:t>.1</w:t>
            </w:r>
          </w:p>
        </w:tc>
        <w:tc>
          <w:tcPr>
            <w:tcW w:w="967" w:type="pct"/>
            <w:vAlign w:val="center"/>
          </w:tcPr>
          <w:p w14:paraId="1E7AD882">
            <w:pPr>
              <w:pStyle w:val="75"/>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网上询问截止时间</w:t>
            </w:r>
          </w:p>
        </w:tc>
        <w:tc>
          <w:tcPr>
            <w:tcW w:w="3528" w:type="pct"/>
            <w:vAlign w:val="center"/>
          </w:tcPr>
          <w:p w14:paraId="7A182596">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202</w:t>
            </w:r>
            <w:r>
              <w:rPr>
                <w:rFonts w:hint="eastAsia" w:ascii="宋体" w:hAnsi="宋体" w:eastAsia="宋体" w:cs="宋体"/>
                <w:b w:val="0"/>
                <w:color w:val="auto"/>
                <w:sz w:val="24"/>
                <w:highlight w:val="none"/>
                <w:lang w:val="en-US" w:eastAsia="zh-CN"/>
              </w:rPr>
              <w:t>5</w:t>
            </w:r>
            <w:r>
              <w:rPr>
                <w:rFonts w:hint="eastAsia" w:ascii="宋体" w:hAnsi="宋体" w:eastAsia="宋体" w:cs="宋体"/>
                <w:b w:val="0"/>
                <w:color w:val="auto"/>
                <w:sz w:val="24"/>
                <w:highlight w:val="none"/>
              </w:rPr>
              <w:t>年0</w:t>
            </w:r>
            <w:r>
              <w:rPr>
                <w:rFonts w:hint="eastAsia" w:ascii="宋体" w:hAnsi="宋体" w:eastAsia="宋体" w:cs="宋体"/>
                <w:b w:val="0"/>
                <w:color w:val="auto"/>
                <w:sz w:val="24"/>
                <w:highlight w:val="none"/>
                <w:lang w:val="en-US" w:eastAsia="zh-CN"/>
              </w:rPr>
              <w:t>4</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lang w:val="en-US" w:eastAsia="zh-CN"/>
              </w:rPr>
              <w:t>27</w:t>
            </w:r>
            <w:r>
              <w:rPr>
                <w:rFonts w:hint="eastAsia" w:ascii="宋体" w:hAnsi="宋体" w:eastAsia="宋体" w:cs="宋体"/>
                <w:b w:val="0"/>
                <w:color w:val="auto"/>
                <w:sz w:val="24"/>
                <w:highlight w:val="none"/>
              </w:rPr>
              <w:t>日</w:t>
            </w:r>
            <w:r>
              <w:rPr>
                <w:rFonts w:hint="eastAsia" w:ascii="宋体" w:hAnsi="宋体" w:eastAsia="宋体" w:cs="宋体"/>
                <w:b w:val="0"/>
                <w:color w:val="auto"/>
                <w:sz w:val="24"/>
                <w:highlight w:val="none"/>
                <w:lang w:val="en-US" w:eastAsia="zh-CN"/>
              </w:rPr>
              <w:t>17</w:t>
            </w:r>
            <w:r>
              <w:rPr>
                <w:rFonts w:hint="eastAsia" w:ascii="宋体" w:hAnsi="宋体" w:eastAsia="宋体" w:cs="宋体"/>
                <w:b w:val="0"/>
                <w:color w:val="auto"/>
                <w:sz w:val="24"/>
                <w:highlight w:val="none"/>
              </w:rPr>
              <w:t>时</w:t>
            </w:r>
            <w:r>
              <w:rPr>
                <w:rFonts w:hint="eastAsia" w:ascii="宋体" w:hAnsi="宋体" w:eastAsia="宋体" w:cs="宋体"/>
                <w:b w:val="0"/>
                <w:color w:val="auto"/>
                <w:sz w:val="24"/>
                <w:highlight w:val="none"/>
                <w:lang w:val="en-US" w:eastAsia="zh-CN"/>
              </w:rPr>
              <w:t>3</w:t>
            </w:r>
            <w:r>
              <w:rPr>
                <w:rFonts w:hint="eastAsia" w:ascii="宋体" w:hAnsi="宋体" w:eastAsia="宋体" w:cs="宋体"/>
                <w:b w:val="0"/>
                <w:color w:val="auto"/>
                <w:sz w:val="24"/>
                <w:highlight w:val="none"/>
              </w:rPr>
              <w:t>0分</w:t>
            </w:r>
          </w:p>
        </w:tc>
      </w:tr>
      <w:tr w14:paraId="1B38E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03" w:type="pct"/>
            <w:vAlign w:val="center"/>
          </w:tcPr>
          <w:p w14:paraId="5A6EF622">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7</w:t>
            </w:r>
            <w:r>
              <w:rPr>
                <w:rFonts w:hint="eastAsia" w:ascii="宋体" w:hAnsi="宋体" w:eastAsia="宋体" w:cs="宋体"/>
                <w:bCs/>
                <w:color w:val="auto"/>
                <w:kern w:val="2"/>
                <w:highlight w:val="none"/>
              </w:rPr>
              <w:t>.1</w:t>
            </w:r>
          </w:p>
        </w:tc>
        <w:tc>
          <w:tcPr>
            <w:tcW w:w="967" w:type="pct"/>
            <w:vAlign w:val="center"/>
          </w:tcPr>
          <w:p w14:paraId="7D2CE83B">
            <w:pPr>
              <w:pStyle w:val="75"/>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包别划分</w:t>
            </w:r>
          </w:p>
        </w:tc>
        <w:tc>
          <w:tcPr>
            <w:tcW w:w="3528" w:type="pct"/>
            <w:vAlign w:val="center"/>
          </w:tcPr>
          <w:p w14:paraId="185380D1">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lang w:eastAsia="zh-CN"/>
              </w:rPr>
              <w:t>☑</w:t>
            </w:r>
            <w:r>
              <w:rPr>
                <w:rFonts w:hint="eastAsia" w:ascii="宋体" w:hAnsi="宋体" w:eastAsia="宋体" w:cs="宋体"/>
                <w:b w:val="0"/>
                <w:color w:val="auto"/>
                <w:sz w:val="24"/>
                <w:highlight w:val="none"/>
              </w:rPr>
              <w:t>不分包     □分为  个包</w:t>
            </w:r>
          </w:p>
          <w:p w14:paraId="45D4B79E">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szCs w:val="24"/>
                <w:highlight w:val="none"/>
              </w:rPr>
              <w:t>供应商参加多个包磋商的成交包数规定：</w:t>
            </w:r>
            <w:r>
              <w:rPr>
                <w:rFonts w:hint="eastAsia" w:ascii="宋体" w:hAnsi="宋体" w:eastAsia="宋体" w:cs="宋体"/>
                <w:b w:val="0"/>
                <w:bCs w:val="0"/>
                <w:color w:val="auto"/>
                <w:sz w:val="24"/>
                <w:szCs w:val="18"/>
                <w:highlight w:val="none"/>
                <w:u w:val="single"/>
              </w:rPr>
              <w:t xml:space="preserve">  </w:t>
            </w:r>
            <w:r>
              <w:rPr>
                <w:rFonts w:hint="eastAsia" w:ascii="宋体" w:hAnsi="宋体" w:eastAsia="宋体" w:cs="宋体"/>
                <w:b w:val="0"/>
                <w:bCs w:val="0"/>
                <w:color w:val="auto"/>
                <w:sz w:val="24"/>
                <w:szCs w:val="18"/>
                <w:highlight w:val="none"/>
                <w:u w:val="single"/>
                <w:lang w:val="en-US" w:eastAsia="zh-CN"/>
              </w:rPr>
              <w:t>/</w:t>
            </w:r>
            <w:r>
              <w:rPr>
                <w:rFonts w:hint="eastAsia" w:ascii="宋体" w:hAnsi="宋体" w:eastAsia="宋体" w:cs="宋体"/>
                <w:b w:val="0"/>
                <w:bCs w:val="0"/>
                <w:color w:val="auto"/>
                <w:sz w:val="24"/>
                <w:szCs w:val="18"/>
                <w:highlight w:val="none"/>
                <w:u w:val="single"/>
              </w:rPr>
              <w:t xml:space="preserve">    </w:t>
            </w:r>
          </w:p>
        </w:tc>
      </w:tr>
      <w:tr w14:paraId="467CB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503" w:type="pct"/>
            <w:vAlign w:val="center"/>
          </w:tcPr>
          <w:p w14:paraId="0AAE1A6F">
            <w:pPr>
              <w:pStyle w:val="7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967" w:type="pct"/>
            <w:vAlign w:val="center"/>
          </w:tcPr>
          <w:p w14:paraId="6DBB7F90">
            <w:pPr>
              <w:pStyle w:val="75"/>
              <w:widowControl w:val="0"/>
              <w:spacing w:before="0" w:beforeAutospacing="0" w:after="0" w:afterAutospacing="0" w:line="360" w:lineRule="auto"/>
              <w:jc w:val="left"/>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磋商保证金</w:t>
            </w:r>
          </w:p>
        </w:tc>
        <w:tc>
          <w:tcPr>
            <w:tcW w:w="3528" w:type="pct"/>
            <w:vAlign w:val="center"/>
          </w:tcPr>
          <w:p w14:paraId="5B02D4ED">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不收取</w:t>
            </w:r>
          </w:p>
        </w:tc>
      </w:tr>
      <w:tr w14:paraId="5A2DD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09C3EDB">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1</w:t>
            </w:r>
            <w:r>
              <w:rPr>
                <w:rFonts w:hint="eastAsia" w:ascii="宋体" w:hAnsi="宋体" w:eastAsia="宋体" w:cs="宋体"/>
                <w:bCs/>
                <w:color w:val="auto"/>
                <w:kern w:val="2"/>
                <w:highlight w:val="none"/>
              </w:rPr>
              <w:t>.1</w:t>
            </w:r>
          </w:p>
        </w:tc>
        <w:tc>
          <w:tcPr>
            <w:tcW w:w="967" w:type="pct"/>
            <w:vAlign w:val="center"/>
          </w:tcPr>
          <w:p w14:paraId="481D1B4A">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磋商有效期</w:t>
            </w:r>
          </w:p>
        </w:tc>
        <w:tc>
          <w:tcPr>
            <w:tcW w:w="3528" w:type="pct"/>
            <w:vAlign w:val="center"/>
          </w:tcPr>
          <w:p w14:paraId="2B5E0625">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90</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日历日</w:t>
            </w:r>
          </w:p>
        </w:tc>
      </w:tr>
      <w:tr w14:paraId="037AF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50BCDF3">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2</w:t>
            </w:r>
            <w:r>
              <w:rPr>
                <w:rFonts w:hint="eastAsia" w:ascii="宋体" w:hAnsi="宋体" w:eastAsia="宋体" w:cs="宋体"/>
                <w:bCs/>
                <w:color w:val="auto"/>
                <w:kern w:val="2"/>
                <w:highlight w:val="none"/>
              </w:rPr>
              <w:t>.3</w:t>
            </w:r>
          </w:p>
        </w:tc>
        <w:tc>
          <w:tcPr>
            <w:tcW w:w="967" w:type="pct"/>
            <w:vAlign w:val="center"/>
          </w:tcPr>
          <w:p w14:paraId="57564E6E">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响应文件解密时间</w:t>
            </w:r>
          </w:p>
        </w:tc>
        <w:tc>
          <w:tcPr>
            <w:tcW w:w="3528" w:type="pct"/>
            <w:vAlign w:val="center"/>
          </w:tcPr>
          <w:p w14:paraId="3E9529B1">
            <w:pPr>
              <w:pStyle w:val="75"/>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u w:val="none"/>
              </w:rPr>
              <w:t>响应文件提交截止时间后</w:t>
            </w:r>
            <w:r>
              <w:rPr>
                <w:rFonts w:hint="eastAsia" w:ascii="宋体" w:hAnsi="宋体" w:eastAsia="宋体" w:cs="宋体"/>
                <w:b w:val="0"/>
                <w:color w:val="auto"/>
                <w:sz w:val="24"/>
                <w:highlight w:val="none"/>
                <w:u w:val="single"/>
                <w:lang w:val="en-US" w:eastAsia="zh-CN"/>
              </w:rPr>
              <w:t xml:space="preserve"> 60 </w:t>
            </w:r>
            <w:r>
              <w:rPr>
                <w:rFonts w:hint="eastAsia" w:ascii="宋体" w:hAnsi="宋体" w:eastAsia="宋体" w:cs="宋体"/>
                <w:b w:val="0"/>
                <w:color w:val="auto"/>
                <w:sz w:val="24"/>
                <w:highlight w:val="none"/>
                <w:u w:val="none"/>
              </w:rPr>
              <w:t>分钟内</w:t>
            </w:r>
          </w:p>
        </w:tc>
      </w:tr>
      <w:tr w14:paraId="6CBD07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1B45E08">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4</w:t>
            </w:r>
            <w:r>
              <w:rPr>
                <w:rFonts w:hint="eastAsia" w:ascii="宋体" w:hAnsi="宋体" w:eastAsia="宋体" w:cs="宋体"/>
                <w:bCs/>
                <w:color w:val="auto"/>
                <w:kern w:val="2"/>
                <w:highlight w:val="none"/>
              </w:rPr>
              <w:t>.3</w:t>
            </w:r>
          </w:p>
        </w:tc>
        <w:tc>
          <w:tcPr>
            <w:tcW w:w="967" w:type="pct"/>
            <w:vAlign w:val="center"/>
          </w:tcPr>
          <w:p w14:paraId="297E2C01">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评审方法</w:t>
            </w:r>
          </w:p>
        </w:tc>
        <w:tc>
          <w:tcPr>
            <w:tcW w:w="3528" w:type="pct"/>
            <w:vAlign w:val="center"/>
          </w:tcPr>
          <w:p w14:paraId="77F66FE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u w:val="none"/>
              </w:rPr>
              <w:t>综合评分法</w:t>
            </w:r>
          </w:p>
        </w:tc>
      </w:tr>
      <w:tr w14:paraId="3310D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C40E427">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17</w:t>
            </w:r>
            <w:r>
              <w:rPr>
                <w:rFonts w:hint="eastAsia" w:ascii="宋体" w:hAnsi="宋体" w:eastAsia="宋体" w:cs="宋体"/>
                <w:bCs/>
                <w:color w:val="auto"/>
                <w:kern w:val="2"/>
                <w:highlight w:val="none"/>
              </w:rPr>
              <w:t>.4</w:t>
            </w:r>
          </w:p>
        </w:tc>
        <w:tc>
          <w:tcPr>
            <w:tcW w:w="967" w:type="pct"/>
            <w:vAlign w:val="center"/>
          </w:tcPr>
          <w:p w14:paraId="5FB3D6F7">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最后报价扣除</w:t>
            </w:r>
          </w:p>
          <w:p w14:paraId="4D4924DF">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i/>
                <w:color w:val="auto"/>
                <w:sz w:val="24"/>
                <w:highlight w:val="none"/>
              </w:rPr>
              <w:t>（非专门面向中小企业采购项目适用）</w:t>
            </w:r>
          </w:p>
        </w:tc>
        <w:tc>
          <w:tcPr>
            <w:tcW w:w="3528" w:type="pct"/>
            <w:vAlign w:val="center"/>
          </w:tcPr>
          <w:p w14:paraId="4AEAE611">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（1）小型和微型企业价格扣除：</w:t>
            </w:r>
            <w:r>
              <w:rPr>
                <w:rFonts w:hint="eastAsia" w:ascii="宋体" w:hAnsi="宋体" w:eastAsia="宋体" w:cs="宋体"/>
                <w:b w:val="0"/>
                <w:color w:val="auto"/>
                <w:sz w:val="24"/>
                <w:highlight w:val="none"/>
                <w:u w:val="single"/>
                <w:lang w:val="en-US" w:eastAsia="zh-CN"/>
              </w:rPr>
              <w:t xml:space="preserve">   /  </w:t>
            </w:r>
            <w:r>
              <w:rPr>
                <w:rFonts w:hint="eastAsia" w:ascii="宋体" w:hAnsi="宋体" w:eastAsia="宋体" w:cs="宋体"/>
                <w:b w:val="0"/>
                <w:color w:val="auto"/>
                <w:sz w:val="24"/>
                <w:highlight w:val="none"/>
              </w:rPr>
              <w:t>。</w:t>
            </w:r>
          </w:p>
          <w:p w14:paraId="3CC16034">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（2）监狱企业价格扣除：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0A8592EB">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（3）残疾人福利性单位价格扣除：</w:t>
            </w:r>
            <w:r>
              <w:rPr>
                <w:rFonts w:hint="eastAsia" w:ascii="宋体" w:hAnsi="宋体" w:eastAsia="宋体" w:cs="宋体"/>
                <w:b w:val="0"/>
                <w:color w:val="auto"/>
                <w:sz w:val="24"/>
                <w:highlight w:val="none"/>
                <w:u w:val="none"/>
              </w:rPr>
              <w:t>同小型和微型企业</w:t>
            </w:r>
            <w:r>
              <w:rPr>
                <w:rFonts w:hint="eastAsia" w:ascii="宋体" w:hAnsi="宋体" w:eastAsia="宋体" w:cs="宋体"/>
                <w:b w:val="0"/>
                <w:color w:val="auto"/>
                <w:sz w:val="24"/>
                <w:highlight w:val="none"/>
              </w:rPr>
              <w:t>。</w:t>
            </w:r>
          </w:p>
          <w:p w14:paraId="5A50A026">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（4）符合条件的联合体价格扣除：</w:t>
            </w:r>
            <w:r>
              <w:rPr>
                <w:rFonts w:hint="eastAsia" w:ascii="宋体" w:hAnsi="宋体" w:eastAsia="宋体" w:cs="宋体"/>
                <w:b w:val="0"/>
                <w:color w:val="auto"/>
                <w:sz w:val="24"/>
                <w:highlight w:val="none"/>
                <w:u w:val="single"/>
                <w:lang w:val="en-US" w:eastAsia="zh-CN"/>
              </w:rPr>
              <w:t xml:space="preserve">  /  </w:t>
            </w:r>
            <w:r>
              <w:rPr>
                <w:rFonts w:hint="eastAsia" w:ascii="宋体" w:hAnsi="宋体" w:eastAsia="宋体" w:cs="宋体"/>
                <w:b w:val="0"/>
                <w:color w:val="auto"/>
                <w:sz w:val="24"/>
                <w:highlight w:val="none"/>
              </w:rPr>
              <w:t>。</w:t>
            </w:r>
          </w:p>
          <w:p w14:paraId="1DE950C5">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（5）符合条件的向小微企业分包的大中型企业价格扣除：</w:t>
            </w:r>
            <w:r>
              <w:rPr>
                <w:rFonts w:hint="eastAsia" w:ascii="宋体" w:hAnsi="宋体" w:eastAsia="宋体" w:cs="宋体"/>
                <w:b w:val="0"/>
                <w:color w:val="auto"/>
                <w:sz w:val="24"/>
                <w:highlight w:val="none"/>
                <w:u w:val="single"/>
                <w:lang w:val="en-US" w:eastAsia="zh-CN"/>
              </w:rPr>
              <w:t xml:space="preserve">  /   </w:t>
            </w:r>
            <w:r>
              <w:rPr>
                <w:rFonts w:hint="eastAsia" w:ascii="宋体" w:hAnsi="宋体" w:eastAsia="宋体" w:cs="宋体"/>
                <w:b w:val="0"/>
                <w:color w:val="auto"/>
                <w:sz w:val="24"/>
                <w:highlight w:val="none"/>
              </w:rPr>
              <w:t>。</w:t>
            </w:r>
            <w:r>
              <w:rPr>
                <w:rFonts w:hint="eastAsia" w:ascii="宋体" w:hAnsi="宋体" w:eastAsia="宋体" w:cs="宋体"/>
                <w:b w:val="0"/>
                <w:i/>
                <w:color w:val="auto"/>
                <w:sz w:val="24"/>
                <w:highlight w:val="none"/>
              </w:rPr>
              <w:t>（允许大中型企业向小微企业分包的项目适用）</w:t>
            </w:r>
          </w:p>
        </w:tc>
      </w:tr>
      <w:tr w14:paraId="7F07F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restart"/>
            <w:vAlign w:val="center"/>
          </w:tcPr>
          <w:p w14:paraId="14BC8BB8">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19</w:t>
            </w:r>
            <w:r>
              <w:rPr>
                <w:rFonts w:hint="eastAsia" w:ascii="宋体" w:hAnsi="宋体" w:eastAsia="宋体" w:cs="宋体"/>
                <w:bCs/>
                <w:color w:val="auto"/>
                <w:kern w:val="2"/>
                <w:highlight w:val="none"/>
              </w:rPr>
              <w:t>.1</w:t>
            </w:r>
          </w:p>
        </w:tc>
        <w:tc>
          <w:tcPr>
            <w:tcW w:w="967" w:type="pct"/>
            <w:vMerge w:val="restart"/>
            <w:vAlign w:val="center"/>
          </w:tcPr>
          <w:p w14:paraId="0609AB0A">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确定成交候选供应商和成交供应商</w:t>
            </w:r>
          </w:p>
        </w:tc>
        <w:tc>
          <w:tcPr>
            <w:tcW w:w="3528" w:type="pct"/>
            <w:vAlign w:val="center"/>
          </w:tcPr>
          <w:p w14:paraId="5070B63C">
            <w:pPr>
              <w:pStyle w:val="75"/>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磋商小组推荐成交候选供应商的数量：3家</w:t>
            </w:r>
          </w:p>
          <w:p w14:paraId="6FE38A8B">
            <w:pPr>
              <w:pStyle w:val="75"/>
              <w:widowControl w:val="0"/>
              <w:spacing w:before="0" w:beforeAutospacing="0" w:after="0" w:afterAutospacing="0" w:line="360" w:lineRule="auto"/>
              <w:jc w:val="both"/>
              <w:rPr>
                <w:rFonts w:hint="eastAsia" w:ascii="宋体" w:hAnsi="宋体" w:eastAsia="宋体" w:cs="宋体"/>
                <w:b w:val="0"/>
                <w:color w:val="auto"/>
                <w:sz w:val="24"/>
                <w:highlight w:val="none"/>
                <w:u w:val="single"/>
              </w:rPr>
            </w:pPr>
            <w:r>
              <w:rPr>
                <w:rFonts w:hint="eastAsia" w:ascii="宋体" w:hAnsi="宋体" w:eastAsia="宋体" w:cs="宋体"/>
                <w:b w:val="0"/>
                <w:color w:val="auto"/>
                <w:sz w:val="24"/>
                <w:highlight w:val="none"/>
                <w:lang w:val="en-US" w:eastAsia="zh-CN"/>
              </w:rPr>
              <w:t>注：法律、法规另有规定的，从其规定</w:t>
            </w:r>
          </w:p>
        </w:tc>
      </w:tr>
      <w:tr w14:paraId="4097A5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Merge w:val="continue"/>
            <w:vAlign w:val="center"/>
          </w:tcPr>
          <w:p w14:paraId="7E02BEF8">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p>
        </w:tc>
        <w:tc>
          <w:tcPr>
            <w:tcW w:w="967" w:type="pct"/>
            <w:vMerge w:val="continue"/>
            <w:vAlign w:val="center"/>
          </w:tcPr>
          <w:p w14:paraId="30327F49">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p>
        </w:tc>
        <w:tc>
          <w:tcPr>
            <w:tcW w:w="3528" w:type="pct"/>
            <w:vAlign w:val="center"/>
          </w:tcPr>
          <w:p w14:paraId="3EF92B72">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确定成交供应商：</w:t>
            </w:r>
          </w:p>
          <w:p w14:paraId="4EB0F162">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szCs w:val="24"/>
                <w:highlight w:val="none"/>
              </w:rPr>
              <w:sym w:font="Wingdings" w:char="00A8"/>
            </w:r>
            <w:r>
              <w:rPr>
                <w:rFonts w:hint="eastAsia" w:ascii="宋体" w:hAnsi="宋体" w:eastAsia="宋体" w:cs="宋体"/>
                <w:b w:val="0"/>
                <w:color w:val="auto"/>
                <w:sz w:val="24"/>
                <w:highlight w:val="none"/>
              </w:rPr>
              <w:t xml:space="preserve">采购人委托磋商小组确定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采购人确定</w:t>
            </w:r>
          </w:p>
        </w:tc>
      </w:tr>
      <w:tr w14:paraId="198D9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29D1F5FB">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2</w:t>
            </w:r>
            <w:r>
              <w:rPr>
                <w:rFonts w:hint="eastAsia" w:ascii="宋体" w:hAnsi="宋体" w:eastAsia="宋体" w:cs="宋体"/>
                <w:bCs/>
                <w:color w:val="auto"/>
                <w:kern w:val="2"/>
                <w:highlight w:val="none"/>
              </w:rPr>
              <w:t>.2</w:t>
            </w:r>
          </w:p>
        </w:tc>
        <w:tc>
          <w:tcPr>
            <w:tcW w:w="967" w:type="pct"/>
            <w:vAlign w:val="center"/>
          </w:tcPr>
          <w:p w14:paraId="540FA5B0">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随成交结果公告同时公告的内容</w:t>
            </w:r>
          </w:p>
        </w:tc>
        <w:tc>
          <w:tcPr>
            <w:tcW w:w="3528" w:type="pct"/>
            <w:vAlign w:val="center"/>
          </w:tcPr>
          <w:p w14:paraId="4771A20B">
            <w:pPr>
              <w:pStyle w:val="75"/>
              <w:widowControl w:val="0"/>
              <w:spacing w:before="0" w:beforeAutospacing="0" w:after="0" w:afterAutospacing="0" w:line="360" w:lineRule="auto"/>
              <w:jc w:val="both"/>
              <w:rPr>
                <w:rFonts w:hint="eastAsia" w:ascii="宋体" w:hAnsi="宋体" w:eastAsia="宋体" w:cs="宋体"/>
                <w:b w:val="0"/>
                <w:color w:val="auto"/>
                <w:sz w:val="24"/>
                <w:highlight w:val="none"/>
                <w:u w:val="none"/>
                <w:lang w:eastAsia="zh-CN"/>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1</w:t>
            </w:r>
            <w:r>
              <w:rPr>
                <w:rFonts w:hint="eastAsia" w:ascii="宋体" w:hAnsi="宋体" w:eastAsia="宋体" w:cs="宋体"/>
                <w:b w:val="0"/>
                <w:color w:val="auto"/>
                <w:sz w:val="24"/>
                <w:highlight w:val="none"/>
                <w:u w:val="none"/>
              </w:rPr>
              <w:t>）中小企业声明函；</w:t>
            </w:r>
          </w:p>
          <w:p w14:paraId="15A8E406">
            <w:pPr>
              <w:pStyle w:val="75"/>
              <w:widowControl w:val="0"/>
              <w:spacing w:before="0" w:beforeAutospacing="0" w:after="0" w:afterAutospacing="0" w:line="360" w:lineRule="auto"/>
              <w:jc w:val="both"/>
              <w:rPr>
                <w:rFonts w:hint="eastAsia" w:ascii="宋体" w:hAnsi="宋体" w:eastAsia="宋体" w:cs="宋体"/>
                <w:b w:val="0"/>
                <w:i/>
                <w:color w:val="auto"/>
                <w:sz w:val="24"/>
                <w:highlight w:val="none"/>
                <w:u w:val="none"/>
              </w:rPr>
            </w:pPr>
            <w:r>
              <w:rPr>
                <w:rFonts w:hint="eastAsia" w:ascii="宋体" w:hAnsi="宋体" w:eastAsia="宋体" w:cs="宋体"/>
                <w:b w:val="0"/>
                <w:color w:val="auto"/>
                <w:sz w:val="24"/>
                <w:highlight w:val="none"/>
                <w:u w:val="none"/>
              </w:rPr>
              <w:t>（</w:t>
            </w:r>
            <w:r>
              <w:rPr>
                <w:rFonts w:hint="eastAsia" w:ascii="宋体" w:hAnsi="宋体" w:eastAsia="宋体" w:cs="宋体"/>
                <w:b w:val="0"/>
                <w:color w:val="auto"/>
                <w:sz w:val="24"/>
                <w:highlight w:val="none"/>
                <w:u w:val="none"/>
                <w:lang w:val="en-US" w:eastAsia="zh-CN"/>
              </w:rPr>
              <w:t>2）</w:t>
            </w:r>
            <w:r>
              <w:rPr>
                <w:rFonts w:hint="eastAsia" w:ascii="宋体" w:hAnsi="宋体" w:eastAsia="宋体" w:cs="宋体"/>
                <w:b w:val="0"/>
                <w:color w:val="auto"/>
                <w:sz w:val="24"/>
                <w:highlight w:val="none"/>
                <w:u w:val="none"/>
              </w:rPr>
              <w:t>残疾人福利性单位声明函；</w:t>
            </w:r>
            <w:r>
              <w:rPr>
                <w:rFonts w:hint="eastAsia" w:ascii="宋体" w:hAnsi="宋体" w:eastAsia="宋体" w:cs="宋体"/>
                <w:b w:val="0"/>
                <w:i/>
                <w:iCs/>
                <w:color w:val="auto"/>
                <w:sz w:val="24"/>
                <w:highlight w:val="none"/>
                <w:u w:val="none"/>
              </w:rPr>
              <w:t>（如有）</w:t>
            </w:r>
          </w:p>
          <w:p w14:paraId="27D8EFE9">
            <w:pPr>
              <w:pStyle w:val="75"/>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lang w:val="en-US" w:eastAsia="zh-CN"/>
              </w:rPr>
              <w:t>3</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中标</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成交</w:t>
            </w:r>
            <w:r>
              <w:rPr>
                <w:rFonts w:hint="eastAsia" w:ascii="宋体" w:hAnsi="宋体" w:eastAsia="宋体" w:cs="宋体"/>
                <w:b w:val="0"/>
                <w:color w:val="auto"/>
                <w:sz w:val="24"/>
                <w:highlight w:val="none"/>
                <w:u w:val="none"/>
                <w:lang w:eastAsia="zh-CN"/>
              </w:rPr>
              <w:t>）</w:t>
            </w:r>
            <w:r>
              <w:rPr>
                <w:rFonts w:hint="eastAsia" w:ascii="宋体" w:hAnsi="宋体" w:eastAsia="宋体" w:cs="宋体"/>
                <w:b w:val="0"/>
                <w:color w:val="auto"/>
                <w:sz w:val="24"/>
                <w:highlight w:val="none"/>
                <w:u w:val="none"/>
              </w:rPr>
              <w:t>供应商的评审总得分</w:t>
            </w:r>
          </w:p>
        </w:tc>
      </w:tr>
      <w:tr w14:paraId="2C58C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921F4E5">
            <w:pPr>
              <w:pStyle w:val="7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2</w:t>
            </w:r>
            <w:r>
              <w:rPr>
                <w:rFonts w:hint="eastAsia" w:ascii="宋体" w:hAnsi="宋体" w:eastAsia="宋体" w:cs="宋体"/>
                <w:bCs/>
                <w:color w:val="auto"/>
                <w:kern w:val="2"/>
                <w:highlight w:val="none"/>
                <w:lang w:val="en-US" w:eastAsia="zh-CN"/>
              </w:rPr>
              <w:t>3</w:t>
            </w:r>
            <w:r>
              <w:rPr>
                <w:rFonts w:hint="eastAsia" w:ascii="宋体" w:hAnsi="宋体" w:eastAsia="宋体" w:cs="宋体"/>
                <w:bCs/>
                <w:color w:val="auto"/>
                <w:kern w:val="2"/>
                <w:highlight w:val="none"/>
              </w:rPr>
              <w:t>.1</w:t>
            </w:r>
          </w:p>
        </w:tc>
        <w:tc>
          <w:tcPr>
            <w:tcW w:w="967" w:type="pct"/>
            <w:vAlign w:val="center"/>
          </w:tcPr>
          <w:p w14:paraId="2B505380">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成交通知书发出的形式</w:t>
            </w:r>
          </w:p>
        </w:tc>
        <w:tc>
          <w:tcPr>
            <w:tcW w:w="3528" w:type="pct"/>
            <w:vAlign w:val="center"/>
          </w:tcPr>
          <w:p w14:paraId="09F246B0">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 xml:space="preserve">□书面     </w:t>
            </w:r>
            <w:r>
              <w:rPr>
                <w:rFonts w:hint="eastAsia" w:ascii="宋体" w:hAnsi="宋体" w:eastAsia="宋体" w:cs="宋体"/>
                <w:b w:val="0"/>
                <w:bCs w:val="0"/>
                <w:color w:val="auto"/>
                <w:sz w:val="24"/>
                <w:szCs w:val="24"/>
                <w:highlight w:val="none"/>
              </w:rPr>
              <w:sym w:font="Wingdings" w:char="00FE"/>
            </w:r>
            <w:r>
              <w:rPr>
                <w:rFonts w:hint="eastAsia" w:ascii="宋体" w:hAnsi="宋体" w:eastAsia="宋体" w:cs="宋体"/>
                <w:b w:val="0"/>
                <w:color w:val="auto"/>
                <w:sz w:val="24"/>
                <w:highlight w:val="none"/>
              </w:rPr>
              <w:t>数据电文</w:t>
            </w:r>
          </w:p>
        </w:tc>
      </w:tr>
      <w:tr w14:paraId="3E190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B5A1082">
            <w:pPr>
              <w:pStyle w:val="76"/>
              <w:pBdr>
                <w:bottom w:val="none" w:color="auto" w:sz="0" w:space="0"/>
              </w:pBdr>
              <w:tabs>
                <w:tab w:val="clear" w:pos="4153"/>
                <w:tab w:val="clear" w:pos="8306"/>
              </w:tabs>
              <w:adjustRightInd/>
              <w:spacing w:line="240" w:lineRule="auto"/>
              <w:textAlignment w:val="auto"/>
              <w:rPr>
                <w:rFonts w:hint="eastAsia" w:ascii="宋体" w:hAnsi="宋体" w:eastAsia="宋体" w:cs="宋体"/>
                <w:bCs/>
                <w:color w:val="auto"/>
                <w:kern w:val="2"/>
                <w:highlight w:val="none"/>
              </w:rPr>
            </w:pPr>
            <w:r>
              <w:rPr>
                <w:rFonts w:hint="eastAsia" w:ascii="宋体" w:hAnsi="宋体" w:eastAsia="宋体" w:cs="宋体"/>
                <w:b w:val="0"/>
                <w:bCs/>
                <w:color w:val="auto"/>
                <w:sz w:val="24"/>
                <w:szCs w:val="24"/>
                <w:lang w:val="en-US" w:eastAsia="zh-CN"/>
              </w:rPr>
              <w:t>24.1</w:t>
            </w:r>
          </w:p>
        </w:tc>
        <w:tc>
          <w:tcPr>
            <w:tcW w:w="967" w:type="pct"/>
            <w:vAlign w:val="center"/>
          </w:tcPr>
          <w:p w14:paraId="79F783F5">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告知磋商结果的形式</w:t>
            </w:r>
          </w:p>
        </w:tc>
        <w:tc>
          <w:tcPr>
            <w:tcW w:w="3528" w:type="pct"/>
            <w:vAlign w:val="center"/>
          </w:tcPr>
          <w:p w14:paraId="6A87E03F">
            <w:pPr>
              <w:pStyle w:val="75"/>
              <w:widowControl w:val="0"/>
              <w:spacing w:before="0" w:beforeAutospacing="0" w:after="0" w:afterAutospacing="0" w:line="360" w:lineRule="auto"/>
              <w:jc w:val="both"/>
              <w:rPr>
                <w:rFonts w:hint="eastAsia" w:ascii="宋体" w:hAnsi="宋体" w:eastAsia="宋体" w:cs="宋体"/>
                <w:b w:val="0"/>
                <w:bCs w:val="0"/>
                <w:color w:val="auto"/>
                <w:sz w:val="24"/>
                <w:szCs w:val="24"/>
                <w:highlight w:val="none"/>
              </w:rPr>
            </w:pPr>
            <w:r>
              <w:rPr>
                <w:rFonts w:hint="eastAsia" w:ascii="宋体" w:hAnsi="宋体" w:eastAsia="宋体" w:cs="宋体"/>
                <w:b w:val="0"/>
                <w:color w:val="auto"/>
                <w:sz w:val="24"/>
                <w:szCs w:val="24"/>
                <w:highlight w:val="none"/>
              </w:rPr>
              <w:sym w:font="Wingdings" w:char="00FE"/>
            </w:r>
            <w:r>
              <w:rPr>
                <w:rFonts w:hint="eastAsia" w:ascii="宋体" w:hAnsi="宋体" w:eastAsia="宋体" w:cs="宋体"/>
                <w:b w:val="0"/>
                <w:bCs w:val="0"/>
                <w:color w:val="auto"/>
                <w:sz w:val="24"/>
                <w:szCs w:val="24"/>
                <w:highlight w:val="none"/>
              </w:rPr>
              <w:t>供应商自行登录电子</w:t>
            </w:r>
            <w:r>
              <w:rPr>
                <w:rFonts w:hint="eastAsia" w:ascii="宋体" w:hAnsi="宋体" w:eastAsia="宋体" w:cs="宋体"/>
                <w:b w:val="0"/>
                <w:bCs w:val="0"/>
                <w:color w:val="auto"/>
                <w:sz w:val="24"/>
                <w:szCs w:val="24"/>
                <w:highlight w:val="none"/>
                <w:lang w:val="en-US" w:eastAsia="zh-CN"/>
              </w:rPr>
              <w:t>交易</w:t>
            </w:r>
            <w:r>
              <w:rPr>
                <w:rFonts w:hint="eastAsia" w:ascii="宋体" w:hAnsi="宋体" w:eastAsia="宋体" w:cs="宋体"/>
                <w:b w:val="0"/>
                <w:bCs w:val="0"/>
                <w:color w:val="auto"/>
                <w:sz w:val="24"/>
                <w:szCs w:val="24"/>
                <w:highlight w:val="none"/>
              </w:rPr>
              <w:t>系统查看</w:t>
            </w:r>
          </w:p>
          <w:p w14:paraId="0BF7DD0A">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□磋商现场告知</w:t>
            </w:r>
          </w:p>
        </w:tc>
      </w:tr>
      <w:tr w14:paraId="1B196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BB499F8">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25</w:t>
            </w:r>
            <w:r>
              <w:rPr>
                <w:rFonts w:hint="eastAsia" w:ascii="宋体" w:hAnsi="宋体" w:eastAsia="宋体" w:cs="宋体"/>
                <w:bCs/>
                <w:color w:val="auto"/>
                <w:kern w:val="2"/>
                <w:highlight w:val="none"/>
              </w:rPr>
              <w:t>.1</w:t>
            </w:r>
          </w:p>
        </w:tc>
        <w:tc>
          <w:tcPr>
            <w:tcW w:w="967" w:type="pct"/>
            <w:vAlign w:val="center"/>
          </w:tcPr>
          <w:p w14:paraId="0BF08C7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履约保证金</w:t>
            </w:r>
          </w:p>
        </w:tc>
        <w:tc>
          <w:tcPr>
            <w:tcW w:w="3528" w:type="pct"/>
          </w:tcPr>
          <w:p w14:paraId="687B554C">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（1）金额：</w:t>
            </w:r>
          </w:p>
          <w:p w14:paraId="01655870">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免收</w:t>
            </w:r>
          </w:p>
          <w:p w14:paraId="1FDB5037">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□合同价的</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u w:val="single"/>
                <w:lang w:val="en-US" w:eastAsia="zh-CN"/>
              </w:rPr>
              <w:t>/</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w:t>
            </w:r>
          </w:p>
          <w:p w14:paraId="5FC16948">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□定额收取：人民币</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u w:val="single"/>
                <w:lang w:val="en-US" w:eastAsia="zh-CN"/>
              </w:rPr>
              <w:t>/</w:t>
            </w:r>
            <w:r>
              <w:rPr>
                <w:rFonts w:hint="eastAsia" w:ascii="宋体" w:hAnsi="宋体" w:eastAsia="宋体" w:cs="宋体"/>
                <w:bCs/>
                <w:color w:val="auto"/>
                <w:sz w:val="24"/>
                <w:szCs w:val="28"/>
                <w:highlight w:val="none"/>
                <w:u w:val="single"/>
              </w:rPr>
              <w:t xml:space="preserve">   </w:t>
            </w:r>
            <w:r>
              <w:rPr>
                <w:rFonts w:hint="eastAsia" w:ascii="宋体" w:hAnsi="宋体" w:eastAsia="宋体" w:cs="宋体"/>
                <w:bCs/>
                <w:color w:val="auto"/>
                <w:sz w:val="24"/>
                <w:szCs w:val="28"/>
                <w:highlight w:val="none"/>
              </w:rPr>
              <w:t>元</w:t>
            </w:r>
          </w:p>
          <w:p w14:paraId="4886FCA5">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t>（2）支付方式：</w:t>
            </w:r>
          </w:p>
          <w:p w14:paraId="44520575">
            <w:pPr>
              <w:spacing w:line="360" w:lineRule="auto"/>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 xml:space="preserve">转账/电汇 </w:t>
            </w: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 xml:space="preserve">支票 </w:t>
            </w: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 xml:space="preserve">汇票 </w:t>
            </w: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 xml:space="preserve">本票 </w:t>
            </w: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 xml:space="preserve">保险 </w:t>
            </w:r>
            <w:r>
              <w:rPr>
                <w:rFonts w:hint="eastAsia" w:ascii="宋体" w:hAnsi="宋体" w:eastAsia="宋体" w:cs="宋体"/>
                <w:bCs/>
                <w:color w:val="auto"/>
                <w:sz w:val="24"/>
                <w:szCs w:val="28"/>
                <w:highlight w:val="none"/>
              </w:rPr>
              <w:sym w:font="Wingdings" w:char="00A8"/>
            </w:r>
            <w:r>
              <w:rPr>
                <w:rFonts w:hint="eastAsia" w:ascii="宋体" w:hAnsi="宋体" w:eastAsia="宋体" w:cs="宋体"/>
                <w:bCs/>
                <w:color w:val="auto"/>
                <w:sz w:val="24"/>
                <w:szCs w:val="28"/>
                <w:highlight w:val="none"/>
              </w:rPr>
              <w:t>保函</w:t>
            </w:r>
          </w:p>
          <w:p w14:paraId="718CDA00">
            <w:pPr>
              <w:numPr>
                <w:ilvl w:val="0"/>
                <w:numId w:val="0"/>
              </w:num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3</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收取单位：</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rPr>
              <w:t xml:space="preserve">              </w:t>
            </w:r>
          </w:p>
          <w:p w14:paraId="54107765">
            <w:pPr>
              <w:spacing w:line="360" w:lineRule="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lang w:val="en-US" w:eastAsia="zh-CN"/>
              </w:rPr>
              <w:t>（4）收取账号：</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w:t>
            </w:r>
            <w:r>
              <w:rPr>
                <w:rFonts w:hint="eastAsia" w:ascii="宋体" w:hAnsi="宋体" w:eastAsia="宋体" w:cs="宋体"/>
                <w:bCs/>
                <w:color w:val="auto"/>
                <w:kern w:val="0"/>
                <w:sz w:val="24"/>
                <w:szCs w:val="28"/>
                <w:highlight w:val="none"/>
                <w:u w:val="single"/>
              </w:rPr>
              <w:t xml:space="preserve">     </w:t>
            </w:r>
          </w:p>
          <w:p w14:paraId="219C50E6">
            <w:pPr>
              <w:spacing w:line="360" w:lineRule="auto"/>
              <w:rPr>
                <w:rFonts w:hint="eastAsia" w:ascii="宋体" w:hAnsi="宋体" w:eastAsia="宋体" w:cs="宋体"/>
                <w:color w:val="auto"/>
                <w:sz w:val="24"/>
                <w:highlight w:val="none"/>
              </w:rPr>
            </w:pPr>
            <w:r>
              <w:rPr>
                <w:rFonts w:hint="eastAsia" w:ascii="宋体" w:hAnsi="宋体" w:eastAsia="宋体" w:cs="宋体"/>
                <w:bCs/>
                <w:color w:val="auto"/>
                <w:kern w:val="0"/>
                <w:sz w:val="24"/>
                <w:szCs w:val="28"/>
                <w:highlight w:val="none"/>
              </w:rPr>
              <w:t>（</w:t>
            </w:r>
            <w:r>
              <w:rPr>
                <w:rFonts w:hint="eastAsia" w:ascii="宋体" w:hAnsi="宋体" w:eastAsia="宋体" w:cs="宋体"/>
                <w:bCs/>
                <w:color w:val="auto"/>
                <w:kern w:val="0"/>
                <w:sz w:val="24"/>
                <w:szCs w:val="28"/>
                <w:highlight w:val="none"/>
                <w:lang w:val="en-US" w:eastAsia="zh-CN"/>
              </w:rPr>
              <w:t>5</w:t>
            </w:r>
            <w:r>
              <w:rPr>
                <w:rFonts w:hint="eastAsia" w:ascii="宋体" w:hAnsi="宋体" w:eastAsia="宋体" w:cs="宋体"/>
                <w:bCs/>
                <w:color w:val="auto"/>
                <w:kern w:val="0"/>
                <w:sz w:val="24"/>
                <w:szCs w:val="28"/>
                <w:highlight w:val="none"/>
              </w:rPr>
              <w:t>）</w:t>
            </w:r>
            <w:r>
              <w:rPr>
                <w:rFonts w:hint="eastAsia" w:ascii="宋体" w:hAnsi="宋体" w:eastAsia="宋体" w:cs="宋体"/>
                <w:color w:val="auto"/>
                <w:sz w:val="24"/>
                <w:highlight w:val="none"/>
              </w:rPr>
              <w:t>退还时间：</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val="en-US" w:eastAsia="zh-CN"/>
              </w:rPr>
              <w:t>/</w:t>
            </w:r>
            <w:r>
              <w:rPr>
                <w:rFonts w:hint="eastAsia" w:ascii="宋体" w:hAnsi="宋体" w:eastAsia="宋体" w:cs="宋体"/>
                <w:bCs/>
                <w:color w:val="auto"/>
                <w:kern w:val="0"/>
                <w:sz w:val="24"/>
                <w:szCs w:val="28"/>
                <w:highlight w:val="none"/>
                <w:u w:val="single"/>
              </w:rPr>
              <w:t xml:space="preserve">     </w:t>
            </w:r>
          </w:p>
          <w:p w14:paraId="16E7985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注意事项：</w:t>
            </w:r>
          </w:p>
          <w:p w14:paraId="794C3929">
            <w:pPr>
              <w:spacing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（1）以上各类机构出具的以担保函、保证保险承担责任的方式均须满足无条件见索即付条件。</w:t>
            </w:r>
          </w:p>
          <w:p w14:paraId="21831004">
            <w:pPr>
              <w:pStyle w:val="75"/>
              <w:widowControl w:val="0"/>
              <w:spacing w:before="0" w:beforeAutospacing="0" w:after="0" w:afterAutospacing="0" w:line="360" w:lineRule="auto"/>
              <w:jc w:val="both"/>
              <w:rPr>
                <w:rFonts w:hint="eastAsia" w:ascii="宋体" w:hAnsi="宋体" w:eastAsia="宋体" w:cs="宋体"/>
                <w:color w:val="auto"/>
                <w:sz w:val="24"/>
                <w:highlight w:val="none"/>
              </w:rPr>
            </w:pPr>
            <w:r>
              <w:rPr>
                <w:rFonts w:hint="eastAsia" w:ascii="宋体" w:hAnsi="宋体" w:eastAsia="宋体" w:cs="宋体"/>
                <w:bCs w:val="0"/>
                <w:color w:val="auto"/>
                <w:sz w:val="24"/>
                <w:szCs w:val="24"/>
                <w:highlight w:val="none"/>
              </w:rPr>
              <w:t>（2）以担保函、保证保险形式缴纳履约保证金的，受益人和收取单位须为采购人。</w:t>
            </w:r>
          </w:p>
        </w:tc>
      </w:tr>
      <w:tr w14:paraId="57AA3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03" w:type="pct"/>
            <w:vAlign w:val="center"/>
          </w:tcPr>
          <w:p w14:paraId="077CC695">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lang w:val="en-US" w:eastAsia="zh-CN"/>
              </w:rPr>
              <w:t>26.1</w:t>
            </w:r>
          </w:p>
        </w:tc>
        <w:tc>
          <w:tcPr>
            <w:tcW w:w="967" w:type="pct"/>
            <w:vAlign w:val="center"/>
          </w:tcPr>
          <w:p w14:paraId="61E574AC">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val="en-US" w:eastAsia="zh-CN"/>
              </w:rPr>
              <w:t>代理费用</w:t>
            </w:r>
          </w:p>
        </w:tc>
        <w:tc>
          <w:tcPr>
            <w:tcW w:w="3528" w:type="pct"/>
            <w:vAlign w:val="center"/>
          </w:tcPr>
          <w:p w14:paraId="5FF51A50">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sz w:val="24"/>
                <w:szCs w:val="24"/>
                <w:lang w:val="en-US" w:eastAsia="zh-CN"/>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spacing w:val="-12"/>
                <w:sz w:val="24"/>
                <w:szCs w:val="24"/>
              </w:rPr>
              <w:t>：</w:t>
            </w:r>
            <w:r>
              <w:rPr>
                <w:rFonts w:hint="eastAsia" w:ascii="宋体" w:hAnsi="宋体" w:eastAsia="宋体" w:cs="宋体"/>
                <w:bCs/>
                <w:color w:val="auto"/>
                <w:kern w:val="0"/>
                <w:sz w:val="24"/>
                <w:szCs w:val="28"/>
                <w:highlight w:val="none"/>
              </w:rPr>
              <w:sym w:font="Wingdings" w:char="00A8"/>
            </w:r>
            <w:r>
              <w:rPr>
                <w:rFonts w:hint="eastAsia" w:ascii="宋体" w:hAnsi="宋体" w:eastAsia="宋体" w:cs="宋体"/>
                <w:spacing w:val="14"/>
                <w:sz w:val="24"/>
                <w:szCs w:val="24"/>
              </w:rPr>
              <w:t>采购人</w:t>
            </w:r>
            <w:r>
              <w:rPr>
                <w:rFonts w:hint="eastAsia" w:ascii="宋体" w:hAnsi="宋体" w:eastAsia="宋体" w:cs="宋体"/>
                <w:spacing w:val="14"/>
                <w:sz w:val="24"/>
                <w:szCs w:val="24"/>
                <w:lang w:val="en-US" w:eastAsia="zh-CN"/>
              </w:rPr>
              <w:t xml:space="preserve">   </w:t>
            </w:r>
            <w:r>
              <w:rPr>
                <w:rFonts w:hint="eastAsia" w:ascii="宋体" w:hAnsi="宋体" w:eastAsia="宋体" w:cs="宋体"/>
                <w:bCs/>
                <w:color w:val="auto"/>
                <w:kern w:val="0"/>
                <w:sz w:val="24"/>
                <w:szCs w:val="28"/>
                <w:highlight w:val="none"/>
              </w:rPr>
              <w:sym w:font="Wingdings" w:char="00FE"/>
            </w:r>
            <w:r>
              <w:rPr>
                <w:rFonts w:hint="eastAsia" w:ascii="宋体" w:hAnsi="宋体" w:eastAsia="宋体" w:cs="宋体"/>
                <w:spacing w:val="14"/>
                <w:sz w:val="24"/>
                <w:szCs w:val="24"/>
                <w:lang w:val="en-US" w:eastAsia="zh-CN"/>
              </w:rPr>
              <w:t>成交供应商</w:t>
            </w:r>
          </w:p>
          <w:p w14:paraId="23F75B3C">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rPr>
            </w:pPr>
            <w:r>
              <w:rPr>
                <w:rFonts w:hint="eastAsia" w:ascii="宋体" w:hAnsi="宋体" w:eastAsia="宋体" w:cs="宋体"/>
                <w:bCs/>
                <w:color w:val="auto"/>
                <w:kern w:val="0"/>
                <w:sz w:val="24"/>
                <w:szCs w:val="28"/>
                <w:highlight w:val="none"/>
              </w:rPr>
              <w:t>（2）收取方式</w:t>
            </w:r>
            <w:r>
              <w:rPr>
                <w:rFonts w:hint="eastAsia" w:ascii="宋体" w:hAnsi="宋体" w:eastAsia="宋体" w:cs="宋体"/>
                <w:sz w:val="24"/>
                <w:szCs w:val="24"/>
              </w:rPr>
              <w:t>：</w:t>
            </w:r>
            <w:r>
              <w:rPr>
                <w:rFonts w:hint="eastAsia" w:ascii="宋体" w:hAnsi="宋体" w:eastAsia="宋体" w:cs="宋体"/>
                <w:sz w:val="24"/>
                <w:szCs w:val="24"/>
                <w:u w:val="single" w:color="auto"/>
              </w:rPr>
              <w:t>成交</w:t>
            </w:r>
            <w:r>
              <w:rPr>
                <w:rFonts w:hint="eastAsia" w:ascii="宋体" w:hAnsi="宋体" w:eastAsia="宋体" w:cs="宋体"/>
                <w:sz w:val="24"/>
                <w:szCs w:val="24"/>
                <w:u w:val="single" w:color="auto"/>
                <w:lang w:val="en-US" w:eastAsia="zh-CN"/>
              </w:rPr>
              <w:t>供应商</w:t>
            </w:r>
            <w:r>
              <w:rPr>
                <w:rFonts w:hint="eastAsia" w:ascii="宋体" w:hAnsi="宋体" w:eastAsia="宋体" w:cs="宋体"/>
                <w:sz w:val="24"/>
                <w:szCs w:val="24"/>
                <w:u w:val="single" w:color="auto"/>
              </w:rPr>
              <w:t xml:space="preserve">在获取成交通知书时一次性支付给代理机构 </w:t>
            </w:r>
          </w:p>
          <w:p w14:paraId="611698CC">
            <w:pPr>
              <w:pStyle w:val="75"/>
              <w:keepNext w:val="0"/>
              <w:keepLines w:val="0"/>
              <w:pageBreakBefore w:val="0"/>
              <w:widowControl w:val="0"/>
              <w:kinsoku/>
              <w:wordWrap/>
              <w:overflowPunct/>
              <w:topLinePunct w:val="0"/>
              <w:autoSpaceDE/>
              <w:autoSpaceDN/>
              <w:bidi w:val="0"/>
              <w:adjustRightInd/>
              <w:snapToGrid/>
              <w:spacing w:before="0" w:beforeAutospacing="0" w:after="0" w:afterAutospacing="0" w:line="360" w:lineRule="auto"/>
              <w:jc w:val="both"/>
              <w:textAlignment w:val="auto"/>
              <w:rPr>
                <w:rFonts w:hint="eastAsia" w:ascii="宋体" w:hAnsi="宋体" w:eastAsia="宋体" w:cs="宋体"/>
                <w:bCs/>
                <w:color w:val="auto"/>
                <w:sz w:val="24"/>
                <w:szCs w:val="28"/>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color w:val="auto"/>
                <w:kern w:val="0"/>
                <w:sz w:val="24"/>
                <w:szCs w:val="28"/>
                <w:highlight w:val="none"/>
                <w:u w:val="single"/>
                <w:lang w:val="en-US" w:eastAsia="zh-CN" w:bidi="ar-SA"/>
              </w:rPr>
              <w:t>6330</w:t>
            </w:r>
            <w:r>
              <w:rPr>
                <w:rFonts w:hint="eastAsia" w:ascii="宋体" w:hAnsi="宋体" w:eastAsia="宋体" w:cs="宋体"/>
                <w:b w:val="0"/>
                <w:bCs/>
                <w:color w:val="auto"/>
                <w:kern w:val="0"/>
                <w:sz w:val="24"/>
                <w:szCs w:val="28"/>
                <w:highlight w:val="none"/>
                <w:u w:val="single" w:color="auto"/>
                <w:lang w:val="en-US" w:eastAsia="zh-CN" w:bidi="ar-SA"/>
              </w:rPr>
              <w:t>元，</w:t>
            </w:r>
            <w:r>
              <w:rPr>
                <w:rFonts w:hint="eastAsia" w:ascii="宋体" w:hAnsi="宋体" w:eastAsia="宋体" w:cs="宋体"/>
                <w:b w:val="0"/>
                <w:bCs w:val="0"/>
                <w:sz w:val="24"/>
                <w:szCs w:val="24"/>
                <w:u w:val="single" w:color="auto"/>
              </w:rPr>
              <w:t>具体按照滁公管〔202</w:t>
            </w:r>
            <w:r>
              <w:rPr>
                <w:rFonts w:hint="eastAsia" w:ascii="宋体" w:hAnsi="宋体" w:eastAsia="宋体" w:cs="宋体"/>
                <w:b w:val="0"/>
                <w:bCs w:val="0"/>
                <w:sz w:val="24"/>
                <w:szCs w:val="24"/>
                <w:u w:val="single" w:color="auto"/>
                <w:lang w:val="en-US" w:eastAsia="zh-CN"/>
              </w:rPr>
              <w:t>5</w:t>
            </w:r>
            <w:r>
              <w:rPr>
                <w:rFonts w:hint="eastAsia" w:ascii="宋体" w:hAnsi="宋体" w:eastAsia="宋体" w:cs="宋体"/>
                <w:b w:val="0"/>
                <w:bCs w:val="0"/>
                <w:sz w:val="24"/>
                <w:szCs w:val="24"/>
                <w:u w:val="single" w:color="auto"/>
              </w:rPr>
              <w:t>〕</w:t>
            </w:r>
            <w:r>
              <w:rPr>
                <w:rFonts w:hint="eastAsia" w:ascii="宋体" w:hAnsi="宋体" w:eastAsia="宋体" w:cs="宋体"/>
                <w:b w:val="0"/>
                <w:bCs w:val="0"/>
                <w:sz w:val="24"/>
                <w:szCs w:val="24"/>
                <w:u w:val="single" w:color="auto"/>
                <w:lang w:val="en-US" w:eastAsia="zh-CN"/>
              </w:rPr>
              <w:t>1</w:t>
            </w:r>
            <w:r>
              <w:rPr>
                <w:rFonts w:hint="eastAsia" w:ascii="宋体" w:hAnsi="宋体" w:eastAsia="宋体" w:cs="宋体"/>
                <w:b w:val="0"/>
                <w:bCs w:val="0"/>
                <w:sz w:val="24"/>
                <w:szCs w:val="24"/>
                <w:u w:val="single" w:color="auto"/>
              </w:rPr>
              <w:t>号计算。</w:t>
            </w:r>
          </w:p>
        </w:tc>
      </w:tr>
      <w:tr w14:paraId="479FD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EF09767">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sz w:val="24"/>
                <w:szCs w:val="20"/>
                <w:highlight w:val="none"/>
                <w:lang w:val="en-US" w:eastAsia="zh-CN" w:bidi="ar-SA"/>
              </w:rPr>
            </w:pPr>
            <w:r>
              <w:rPr>
                <w:rFonts w:hint="eastAsia" w:ascii="宋体" w:hAnsi="宋体" w:eastAsia="宋体" w:cs="宋体"/>
                <w:bCs/>
                <w:color w:val="auto"/>
                <w:kern w:val="2"/>
                <w:highlight w:val="none"/>
                <w:lang w:val="en-US" w:eastAsia="zh-CN"/>
              </w:rPr>
              <w:t>27.1</w:t>
            </w:r>
          </w:p>
        </w:tc>
        <w:tc>
          <w:tcPr>
            <w:tcW w:w="967" w:type="pct"/>
            <w:vAlign w:val="center"/>
          </w:tcPr>
          <w:p w14:paraId="388C7AA5">
            <w:pPr>
              <w:pStyle w:val="75"/>
              <w:widowControl w:val="0"/>
              <w:spacing w:before="0" w:beforeAutospacing="0" w:after="0" w:afterAutospacing="0" w:line="360" w:lineRule="auto"/>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color w:val="auto"/>
                <w:sz w:val="24"/>
                <w:highlight w:val="none"/>
                <w:lang w:val="en-US" w:eastAsia="zh-CN"/>
              </w:rPr>
              <w:t>签订合同和合同公告时间</w:t>
            </w:r>
          </w:p>
        </w:tc>
        <w:tc>
          <w:tcPr>
            <w:tcW w:w="3528" w:type="pct"/>
            <w:vAlign w:val="center"/>
          </w:tcPr>
          <w:p w14:paraId="51E072AB">
            <w:pPr>
              <w:pStyle w:val="50"/>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textAlignment w:val="auto"/>
              <w:rPr>
                <w:rFonts w:hint="eastAsia" w:ascii="宋体" w:hAnsi="宋体" w:eastAsia="宋体" w:cs="宋体"/>
                <w:b w:val="0"/>
                <w:bCs w:val="0"/>
                <w:color w:val="auto"/>
                <w:sz w:val="24"/>
                <w:szCs w:val="24"/>
                <w:highlight w:val="none"/>
                <w:lang w:val="en-US" w:eastAsia="zh-CN"/>
              </w:rPr>
            </w:pPr>
            <w:r>
              <w:rPr>
                <w:rFonts w:hint="eastAsia" w:ascii="宋体" w:hAnsi="宋体" w:eastAsia="宋体" w:cs="宋体"/>
                <w:b w:val="0"/>
                <w:bCs w:val="0"/>
                <w:color w:val="auto"/>
                <w:sz w:val="24"/>
                <w:szCs w:val="24"/>
                <w:highlight w:val="none"/>
                <w:lang w:val="en-US" w:eastAsia="zh-CN"/>
              </w:rPr>
              <w:t>（1）采购人与成交供应商应当自发出成交通知书之日起7个工作日内签订合同，采购合同签订之日起2个工作日内完成政府采购合同公开。</w:t>
            </w:r>
          </w:p>
          <w:p w14:paraId="33ABEBB7">
            <w:pPr>
              <w:pStyle w:val="75"/>
              <w:widowControl w:val="0"/>
              <w:spacing w:before="0" w:beforeAutospacing="0" w:after="0" w:afterAutospacing="0" w:line="360" w:lineRule="auto"/>
              <w:jc w:val="both"/>
              <w:rPr>
                <w:rFonts w:hint="eastAsia" w:ascii="宋体" w:hAnsi="宋体" w:eastAsia="宋体" w:cs="宋体"/>
                <w:b w:val="0"/>
                <w:bCs/>
                <w:color w:val="auto"/>
                <w:kern w:val="0"/>
                <w:sz w:val="24"/>
                <w:szCs w:val="28"/>
                <w:highlight w:val="none"/>
                <w:lang w:val="en-US" w:eastAsia="zh-CN" w:bidi="ar-SA"/>
              </w:rPr>
            </w:pPr>
            <w:r>
              <w:rPr>
                <w:rFonts w:hint="eastAsia" w:ascii="宋体" w:hAnsi="宋体" w:eastAsia="宋体" w:cs="宋体"/>
                <w:b w:val="0"/>
                <w:bCs w:val="0"/>
                <w:color w:val="auto"/>
                <w:sz w:val="24"/>
                <w:szCs w:val="24"/>
                <w:highlight w:val="none"/>
                <w:lang w:val="en-US" w:eastAsia="zh-CN"/>
              </w:rPr>
              <w:t>（2）采购人与成交供应商不得擅自变更合同，依照政府采购法确需变更政府采购合同内容的，采购人应当自合同变更之日起2个工作日内在安徽省政府采购网、滁州市公共资源交易中心网发布政府采购合同变更公告，但涉及国家秘密、商业秘密的信息和其他依法不得公开的信息除外。</w:t>
            </w:r>
          </w:p>
        </w:tc>
      </w:tr>
      <w:tr w14:paraId="142E7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50B22C3">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29.3</w:t>
            </w:r>
          </w:p>
        </w:tc>
        <w:tc>
          <w:tcPr>
            <w:tcW w:w="967" w:type="pct"/>
            <w:vAlign w:val="center"/>
          </w:tcPr>
          <w:p w14:paraId="13DBEC5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质疑函递交方式、接收部门、联系电话和通讯地址</w:t>
            </w:r>
          </w:p>
        </w:tc>
        <w:tc>
          <w:tcPr>
            <w:tcW w:w="3528" w:type="pct"/>
            <w:vAlign w:val="center"/>
          </w:tcPr>
          <w:p w14:paraId="3C24452A">
            <w:pPr>
              <w:pStyle w:val="75"/>
              <w:widowControl w:val="0"/>
              <w:spacing w:before="0" w:beforeAutospacing="0" w:after="0" w:afterAutospacing="0" w:line="360" w:lineRule="auto"/>
              <w:jc w:val="both"/>
              <w:rPr>
                <w:rFonts w:hint="eastAsia" w:ascii="宋体" w:hAnsi="宋体" w:eastAsia="宋体" w:cs="宋体"/>
                <w:b/>
                <w:bCs w:val="0"/>
                <w:color w:val="auto"/>
                <w:sz w:val="24"/>
                <w:highlight w:val="none"/>
                <w:u w:val="single"/>
                <w:lang w:val="en-US" w:eastAsia="zh-CN"/>
              </w:rPr>
            </w:pPr>
            <w:r>
              <w:rPr>
                <w:rFonts w:hint="eastAsia" w:ascii="宋体" w:hAnsi="宋体" w:eastAsia="宋体" w:cs="宋体"/>
                <w:b w:val="0"/>
                <w:color w:val="auto"/>
                <w:sz w:val="24"/>
                <w:highlight w:val="none"/>
              </w:rPr>
              <w:t>递交方式：</w:t>
            </w:r>
            <w:r>
              <w:rPr>
                <w:rFonts w:hint="eastAsia" w:ascii="宋体" w:hAnsi="宋体" w:eastAsia="宋体" w:cs="宋体"/>
                <w:b/>
                <w:bCs w:val="0"/>
                <w:color w:val="auto"/>
                <w:sz w:val="24"/>
                <w:highlight w:val="none"/>
                <w:u w:val="single"/>
                <w:lang w:val="en-US" w:eastAsia="zh-CN"/>
              </w:rPr>
              <w:t>如供应商对磋商文件有质疑，依据中华人民共和国财政部令第94号《政府采购质疑和投诉办法》规定提出质疑；</w:t>
            </w:r>
          </w:p>
          <w:p w14:paraId="62E0E170">
            <w:pPr>
              <w:pStyle w:val="75"/>
              <w:widowControl w:val="0"/>
              <w:spacing w:before="0" w:beforeAutospacing="0" w:after="0" w:afterAutospacing="0" w:line="360" w:lineRule="auto"/>
              <w:jc w:val="both"/>
              <w:rPr>
                <w:rFonts w:hint="eastAsia" w:ascii="宋体" w:hAnsi="宋体" w:eastAsia="宋体" w:cs="宋体"/>
                <w:b/>
                <w:bCs w:val="0"/>
                <w:color w:val="auto"/>
                <w:sz w:val="24"/>
                <w:highlight w:val="none"/>
                <w:u w:val="single"/>
              </w:rPr>
            </w:pPr>
            <w:r>
              <w:rPr>
                <w:rFonts w:hint="eastAsia" w:ascii="宋体" w:hAnsi="宋体" w:eastAsia="宋体" w:cs="宋体"/>
                <w:b/>
                <w:bCs w:val="0"/>
                <w:color w:val="auto"/>
                <w:sz w:val="24"/>
                <w:highlight w:val="none"/>
                <w:u w:val="single"/>
                <w:lang w:val="en-US" w:eastAsia="zh-CN"/>
              </w:rPr>
              <w:t>供应商</w:t>
            </w:r>
            <w:r>
              <w:rPr>
                <w:rFonts w:hint="eastAsia" w:ascii="宋体" w:hAnsi="宋体" w:eastAsia="宋体" w:cs="宋体"/>
                <w:b/>
                <w:bCs w:val="0"/>
                <w:color w:val="auto"/>
                <w:sz w:val="24"/>
                <w:highlight w:val="none"/>
                <w:u w:val="single"/>
              </w:rPr>
              <w:t>可以通过书面形式提出，也可以通过线上提出质疑</w:t>
            </w:r>
            <w:r>
              <w:rPr>
                <w:rFonts w:hint="eastAsia" w:ascii="宋体" w:hAnsi="宋体" w:eastAsia="宋体" w:cs="宋体"/>
                <w:b/>
                <w:bCs w:val="0"/>
                <w:color w:val="auto"/>
                <w:sz w:val="24"/>
                <w:highlight w:val="none"/>
                <w:u w:val="single"/>
                <w:lang w:eastAsia="zh-CN"/>
              </w:rPr>
              <w:t>【</w:t>
            </w:r>
            <w:r>
              <w:rPr>
                <w:rFonts w:hint="eastAsia" w:ascii="宋体" w:hAnsi="宋体" w:eastAsia="宋体" w:cs="宋体"/>
                <w:b/>
                <w:bCs w:val="0"/>
                <w:color w:val="auto"/>
                <w:sz w:val="24"/>
                <w:highlight w:val="none"/>
                <w:u w:val="single"/>
              </w:rPr>
              <w:t>通过线上向滁州市公共资源交易中心网电子交易系统提出质疑(具体操作步骤和程序请参见服务指南&gt;交易须知&gt;在线异议、质疑和投诉操作手册)</w:t>
            </w:r>
            <w:r>
              <w:rPr>
                <w:rFonts w:hint="eastAsia" w:ascii="宋体" w:hAnsi="宋体" w:eastAsia="宋体" w:cs="宋体"/>
                <w:b/>
                <w:bCs w:val="0"/>
                <w:color w:val="auto"/>
                <w:sz w:val="24"/>
                <w:highlight w:val="none"/>
                <w:u w:val="single"/>
                <w:lang w:eastAsia="zh-CN"/>
              </w:rPr>
              <w:t>】</w:t>
            </w:r>
            <w:r>
              <w:rPr>
                <w:rFonts w:hint="eastAsia" w:ascii="宋体" w:hAnsi="宋体" w:eastAsia="宋体" w:cs="宋体"/>
                <w:b/>
                <w:bCs w:val="0"/>
                <w:color w:val="auto"/>
                <w:sz w:val="24"/>
                <w:highlight w:val="none"/>
                <w:u w:val="single"/>
              </w:rPr>
              <w:t>。一份质疑函只能针对一个项目提出质疑，且针对同一采购程序环节的质疑应当</w:t>
            </w:r>
            <w:r>
              <w:rPr>
                <w:rFonts w:hint="eastAsia" w:ascii="宋体" w:hAnsi="宋体" w:eastAsia="宋体" w:cs="宋体"/>
                <w:b/>
                <w:bCs w:val="0"/>
                <w:color w:val="auto"/>
                <w:sz w:val="24"/>
                <w:highlight w:val="none"/>
                <w:u w:val="single"/>
                <w:lang w:val="en-US" w:eastAsia="zh-CN"/>
              </w:rPr>
              <w:t>一</w:t>
            </w:r>
            <w:r>
              <w:rPr>
                <w:rFonts w:hint="eastAsia" w:ascii="宋体" w:hAnsi="宋体" w:eastAsia="宋体" w:cs="宋体"/>
                <w:b/>
                <w:bCs w:val="0"/>
                <w:color w:val="auto"/>
                <w:sz w:val="24"/>
                <w:highlight w:val="none"/>
                <w:u w:val="single"/>
              </w:rPr>
              <w:t>次性提出</w:t>
            </w:r>
          </w:p>
          <w:p w14:paraId="4564AD80">
            <w:pPr>
              <w:pStyle w:val="75"/>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接收部门：</w:t>
            </w:r>
            <w:r>
              <w:rPr>
                <w:rFonts w:hint="eastAsia" w:ascii="宋体" w:hAnsi="宋体" w:eastAsia="宋体" w:cs="宋体"/>
                <w:bCs/>
                <w:color w:val="auto"/>
                <w:kern w:val="0"/>
                <w:sz w:val="24"/>
                <w:szCs w:val="28"/>
                <w:highlight w:val="none"/>
                <w:u w:val="single"/>
              </w:rPr>
              <w:t xml:space="preserve"> 滁州市公路管理服务中心</w:t>
            </w:r>
            <w:r>
              <w:rPr>
                <w:rFonts w:hint="eastAsia" w:ascii="宋体" w:hAnsi="宋体" w:eastAsia="宋体" w:cs="宋体"/>
                <w:bCs/>
                <w:color w:val="auto"/>
                <w:kern w:val="0"/>
                <w:sz w:val="24"/>
                <w:szCs w:val="28"/>
                <w:highlight w:val="none"/>
                <w:u w:val="single"/>
                <w:lang w:val="en-US" w:eastAsia="zh-CN"/>
              </w:rPr>
              <w:t>或滁州市城投工程咨询管理有限公司</w:t>
            </w:r>
            <w:r>
              <w:rPr>
                <w:rFonts w:hint="eastAsia" w:ascii="宋体" w:hAnsi="宋体" w:eastAsia="宋体" w:cs="宋体"/>
                <w:bCs/>
                <w:color w:val="auto"/>
                <w:kern w:val="0"/>
                <w:sz w:val="24"/>
                <w:szCs w:val="28"/>
                <w:highlight w:val="none"/>
                <w:u w:val="single"/>
              </w:rPr>
              <w:t xml:space="preserve">  </w:t>
            </w:r>
          </w:p>
          <w:p w14:paraId="054B9F94">
            <w:pPr>
              <w:pStyle w:val="75"/>
              <w:widowControl w:val="0"/>
              <w:spacing w:before="0" w:beforeAutospacing="0" w:after="0" w:afterAutospacing="0" w:line="360" w:lineRule="auto"/>
              <w:jc w:val="both"/>
              <w:rPr>
                <w:rFonts w:hint="eastAsia" w:ascii="宋体" w:hAnsi="宋体" w:eastAsia="宋体" w:cs="宋体"/>
                <w:b w:val="0"/>
                <w:bCs w:val="0"/>
                <w:color w:val="auto"/>
                <w:sz w:val="24"/>
                <w:szCs w:val="18"/>
                <w:highlight w:val="none"/>
              </w:rPr>
            </w:pPr>
            <w:r>
              <w:rPr>
                <w:rFonts w:hint="eastAsia" w:ascii="宋体" w:hAnsi="宋体" w:eastAsia="宋体" w:cs="宋体"/>
                <w:b w:val="0"/>
                <w:color w:val="auto"/>
                <w:sz w:val="24"/>
                <w:highlight w:val="none"/>
              </w:rPr>
              <w:t>联系电话：</w:t>
            </w:r>
            <w:r>
              <w:rPr>
                <w:rFonts w:hint="eastAsia" w:ascii="宋体" w:hAnsi="宋体" w:eastAsia="宋体" w:cs="宋体"/>
                <w:bCs/>
                <w:color w:val="auto"/>
                <w:kern w:val="0"/>
                <w:sz w:val="24"/>
                <w:szCs w:val="28"/>
                <w:highlight w:val="none"/>
                <w:u w:val="single"/>
              </w:rPr>
              <w:t xml:space="preserve"> </w:t>
            </w:r>
            <w:r>
              <w:rPr>
                <w:rFonts w:hint="eastAsia" w:ascii="宋体" w:hAnsi="宋体" w:eastAsia="宋体" w:cs="宋体"/>
                <w:bCs/>
                <w:color w:val="auto"/>
                <w:kern w:val="0"/>
                <w:sz w:val="24"/>
                <w:szCs w:val="28"/>
                <w:highlight w:val="none"/>
                <w:u w:val="single"/>
                <w:lang w:eastAsia="zh-CN"/>
              </w:rPr>
              <w:t>0550-3033370</w:t>
            </w:r>
            <w:r>
              <w:rPr>
                <w:rFonts w:hint="eastAsia" w:ascii="宋体" w:hAnsi="宋体" w:eastAsia="宋体" w:cs="宋体"/>
                <w:bCs/>
                <w:color w:val="auto"/>
                <w:kern w:val="0"/>
                <w:sz w:val="24"/>
                <w:szCs w:val="28"/>
                <w:highlight w:val="none"/>
                <w:u w:val="single"/>
              </w:rPr>
              <w:t xml:space="preserve">、0550-3519516、18712012204 </w:t>
            </w:r>
          </w:p>
          <w:p w14:paraId="60951494">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通讯地址：</w:t>
            </w:r>
            <w:r>
              <w:rPr>
                <w:rFonts w:hint="eastAsia" w:ascii="宋体" w:hAnsi="宋体" w:eastAsia="宋体" w:cs="宋体"/>
                <w:bCs/>
                <w:color w:val="auto"/>
                <w:kern w:val="0"/>
                <w:sz w:val="24"/>
                <w:szCs w:val="28"/>
                <w:highlight w:val="none"/>
                <w:u w:val="single"/>
              </w:rPr>
              <w:t xml:space="preserve"> 滁州市龙蟠大道200号</w:t>
            </w:r>
            <w:r>
              <w:rPr>
                <w:rFonts w:hint="eastAsia" w:ascii="宋体" w:hAnsi="宋体" w:eastAsia="宋体" w:cs="宋体"/>
                <w:bCs/>
                <w:color w:val="auto"/>
                <w:kern w:val="0"/>
                <w:sz w:val="24"/>
                <w:szCs w:val="28"/>
                <w:highlight w:val="none"/>
                <w:u w:val="single"/>
                <w:lang w:eastAsia="zh-CN"/>
              </w:rPr>
              <w:t>、滁州市龙蟠大道109号房产商务大厦6楼</w:t>
            </w:r>
            <w:r>
              <w:rPr>
                <w:rFonts w:hint="eastAsia" w:ascii="宋体" w:hAnsi="宋体" w:eastAsia="宋体" w:cs="宋体"/>
                <w:bCs/>
                <w:color w:val="auto"/>
                <w:kern w:val="0"/>
                <w:sz w:val="24"/>
                <w:szCs w:val="28"/>
                <w:highlight w:val="none"/>
                <w:u w:val="single"/>
              </w:rPr>
              <w:t xml:space="preserve"> </w:t>
            </w:r>
          </w:p>
        </w:tc>
      </w:tr>
      <w:tr w14:paraId="0F558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9" w:hRule="atLeast"/>
          <w:jc w:val="center"/>
        </w:trPr>
        <w:tc>
          <w:tcPr>
            <w:tcW w:w="503" w:type="pct"/>
            <w:vAlign w:val="center"/>
          </w:tcPr>
          <w:p w14:paraId="083D6A09">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p>
        </w:tc>
        <w:tc>
          <w:tcPr>
            <w:tcW w:w="967" w:type="pct"/>
            <w:vAlign w:val="center"/>
          </w:tcPr>
          <w:p w14:paraId="571DA97A">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其他内容</w:t>
            </w:r>
          </w:p>
        </w:tc>
        <w:tc>
          <w:tcPr>
            <w:tcW w:w="3528" w:type="pct"/>
            <w:vAlign w:val="center"/>
          </w:tcPr>
          <w:p w14:paraId="4E4DA286">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1、系统中提供的表格与磋商文件中不一致时，以磋商文件中提供的表格格式为准。</w:t>
            </w:r>
          </w:p>
          <w:p w14:paraId="02582418">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2、本磋商文件前后条款若有不一致之处，在澄清答疑时又未作出明确规定时，各供应商的响应文件只要满足其中任一条款，均视为对本磋商文件的响应。</w:t>
            </w:r>
          </w:p>
          <w:p w14:paraId="061DA317">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3、本项目竞争性磋商公告与本磋商文件不一致之处，以本磋商文件为准；如供应商须知前附表的规定与供应商须知的规定不一致，以供应商须知前附表为准。</w:t>
            </w:r>
          </w:p>
          <w:p w14:paraId="128B9F64">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4、本文件的最终解释权归采购人、采购代理机构所有。</w:t>
            </w:r>
          </w:p>
          <w:p w14:paraId="1535596B">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0173459">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7CF19A44">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p w14:paraId="57F202E1">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5.1质疑供应商对采购人、采购代理机构的答复不满意，或者采购人、采购代理机构未在规定的时间内答复的，可以在答复期满后十五个工作日内按有关规定，以书面形式（http://ggzy.chuzhou.gov.cn/fwzn/011001/011001001/011001001003/20200727/7fb88e17-63dd-4f17-b17c-290526c6eda8.html）向同级政府采购监督管理部门提出投诉或者线上提交投诉材料（http://ggzy.chuzhou.gov.cn/fwzn/011001/011001001/011001001003/20200221/b079d9ca-90f2-4cce-aa7c-94a444e7ac91.html）。</w:t>
            </w:r>
          </w:p>
          <w:p w14:paraId="2333D2AD">
            <w:pPr>
              <w:wordWrap w:val="0"/>
              <w:spacing w:line="400" w:lineRule="exact"/>
              <w:rPr>
                <w:rFonts w:hint="eastAsia" w:ascii="宋体" w:hAnsi="宋体" w:eastAsia="宋体" w:cs="宋体"/>
                <w:b w:val="0"/>
                <w:bCs/>
                <w:color w:val="auto"/>
                <w:sz w:val="24"/>
                <w:szCs w:val="28"/>
                <w:highlight w:val="none"/>
                <w:lang w:val="en-US" w:eastAsia="zh-CN" w:bidi="ar-SA"/>
              </w:rPr>
            </w:pPr>
            <w:r>
              <w:rPr>
                <w:rFonts w:hint="eastAsia" w:ascii="宋体" w:hAnsi="宋体" w:eastAsia="宋体" w:cs="宋体"/>
                <w:b w:val="0"/>
                <w:bCs/>
                <w:color w:val="auto"/>
                <w:sz w:val="24"/>
                <w:szCs w:val="28"/>
                <w:highlight w:val="none"/>
                <w:lang w:val="en-US" w:eastAsia="zh-CN" w:bidi="ar-SA"/>
              </w:rPr>
              <w:t>5.2政府采购监督管理部门应当在收到投诉后30个工作日内，对投诉事项作出处理决定，并以书面形式通知投诉人和与投诉事项有关的当事人，并在安徽省政府采购网公告。政府采购监督管理部门处理投诉事项，需要检验、检测、鉴定、专家评审以及需要投诉人补正材料的，所需时间不计算在投诉处理期限内。</w:t>
            </w:r>
          </w:p>
          <w:p w14:paraId="19CF7F63">
            <w:pPr>
              <w:wordWrap w:val="0"/>
              <w:spacing w:line="400" w:lineRule="exact"/>
              <w:rPr>
                <w:rFonts w:hint="eastAsia" w:ascii="宋体" w:hAnsi="宋体" w:eastAsia="宋体" w:cs="宋体"/>
                <w:b w:val="0"/>
                <w:color w:val="auto"/>
                <w:sz w:val="24"/>
                <w:highlight w:val="none"/>
              </w:rPr>
            </w:pPr>
            <w:r>
              <w:rPr>
                <w:rFonts w:hint="eastAsia" w:ascii="宋体" w:hAnsi="宋体" w:eastAsia="宋体" w:cs="宋体"/>
                <w:b w:val="0"/>
                <w:bCs/>
                <w:color w:val="auto"/>
                <w:sz w:val="24"/>
                <w:szCs w:val="28"/>
                <w:highlight w:val="none"/>
                <w:lang w:val="en-US" w:eastAsia="zh-CN" w:bidi="ar-SA"/>
              </w:rPr>
              <w:t>5.3政府采购监督管理部门在处理投诉事项期间，可以视具体情况书面通知采购人暂停采购活动，但暂停时间最长不得超过30日。</w:t>
            </w:r>
          </w:p>
        </w:tc>
      </w:tr>
      <w:tr w14:paraId="440AF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57BD81A">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p>
        </w:tc>
        <w:tc>
          <w:tcPr>
            <w:tcW w:w="967" w:type="pct"/>
            <w:vAlign w:val="center"/>
          </w:tcPr>
          <w:p w14:paraId="721BD353">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承包方式</w:t>
            </w:r>
          </w:p>
        </w:tc>
        <w:tc>
          <w:tcPr>
            <w:tcW w:w="3528" w:type="pct"/>
            <w:vAlign w:val="center"/>
          </w:tcPr>
          <w:p w14:paraId="67197611">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 xml:space="preserve">施工总承包  </w:t>
            </w: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专业承包</w:t>
            </w:r>
          </w:p>
        </w:tc>
      </w:tr>
      <w:tr w14:paraId="7CC49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04F2A9E">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.2</w:t>
            </w:r>
          </w:p>
        </w:tc>
        <w:tc>
          <w:tcPr>
            <w:tcW w:w="967" w:type="pct"/>
            <w:vAlign w:val="center"/>
          </w:tcPr>
          <w:p w14:paraId="6909961B">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计价方式</w:t>
            </w:r>
          </w:p>
        </w:tc>
        <w:tc>
          <w:tcPr>
            <w:tcW w:w="3528" w:type="pct"/>
            <w:vAlign w:val="center"/>
          </w:tcPr>
          <w:p w14:paraId="33DCDEC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lang w:eastAsia="zh-CN"/>
              </w:rPr>
              <w:t>☑</w:t>
            </w:r>
            <w:r>
              <w:rPr>
                <w:rFonts w:hint="eastAsia" w:ascii="宋体" w:hAnsi="宋体" w:eastAsia="宋体" w:cs="宋体"/>
                <w:b w:val="0"/>
                <w:color w:val="auto"/>
                <w:sz w:val="24"/>
                <w:highlight w:val="none"/>
              </w:rPr>
              <w:t>工程量清单综合单价报价法</w:t>
            </w:r>
          </w:p>
          <w:p w14:paraId="19CD6F6A">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□全费用综合单价报价法</w:t>
            </w:r>
          </w:p>
        </w:tc>
      </w:tr>
      <w:tr w14:paraId="205CB4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3DB71043">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.3</w:t>
            </w:r>
          </w:p>
        </w:tc>
        <w:tc>
          <w:tcPr>
            <w:tcW w:w="967" w:type="pct"/>
            <w:vAlign w:val="center"/>
          </w:tcPr>
          <w:p w14:paraId="5186A035">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计划工期</w:t>
            </w:r>
          </w:p>
        </w:tc>
        <w:tc>
          <w:tcPr>
            <w:tcW w:w="3528" w:type="pct"/>
            <w:vAlign w:val="center"/>
          </w:tcPr>
          <w:p w14:paraId="488CF96F">
            <w:pPr>
              <w:pStyle w:val="75"/>
              <w:widowControl w:val="0"/>
              <w:spacing w:before="0" w:beforeAutospacing="0" w:after="0" w:afterAutospacing="0" w:line="360" w:lineRule="auto"/>
              <w:jc w:val="both"/>
              <w:rPr>
                <w:rFonts w:hint="eastAsia" w:ascii="宋体" w:hAnsi="宋体" w:eastAsia="宋体" w:cs="宋体"/>
                <w:b w:val="0"/>
                <w:color w:val="auto"/>
                <w:sz w:val="24"/>
                <w:highlight w:val="none"/>
                <w:lang w:val="en-US" w:eastAsia="zh-CN"/>
              </w:rPr>
            </w:pPr>
            <w:r>
              <w:rPr>
                <w:rFonts w:hint="eastAsia" w:ascii="宋体" w:hAnsi="宋体" w:eastAsia="宋体" w:cs="宋体"/>
                <w:b w:val="0"/>
                <w:color w:val="auto"/>
                <w:sz w:val="24"/>
                <w:highlight w:val="none"/>
              </w:rPr>
              <w:t>计划工期：</w:t>
            </w:r>
            <w:r>
              <w:rPr>
                <w:rFonts w:hint="eastAsia" w:ascii="宋体" w:hAnsi="宋体" w:eastAsia="宋体" w:cs="宋体"/>
                <w:b w:val="0"/>
                <w:color w:val="auto"/>
                <w:sz w:val="24"/>
                <w:highlight w:val="none"/>
                <w:lang w:val="en-US" w:eastAsia="zh-CN"/>
              </w:rPr>
              <w:t>合同签订之日起至2025年12月31日</w:t>
            </w:r>
          </w:p>
          <w:p w14:paraId="73012D7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计划开工日期：</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2025</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年</w:t>
            </w:r>
            <w:r>
              <w:rPr>
                <w:rFonts w:hint="eastAsia" w:ascii="宋体" w:hAnsi="宋体" w:eastAsia="宋体" w:cs="宋体"/>
                <w:b w:val="0"/>
                <w:color w:val="auto"/>
                <w:sz w:val="24"/>
                <w:highlight w:val="none"/>
                <w:u w:val="single"/>
                <w:lang w:val="en-US" w:eastAsia="zh-CN"/>
              </w:rPr>
              <w:t>5</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月</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u w:val="single"/>
                <w:lang w:val="en-US" w:eastAsia="zh-CN"/>
              </w:rPr>
              <w:t>10</w:t>
            </w:r>
            <w:r>
              <w:rPr>
                <w:rFonts w:hint="eastAsia" w:ascii="宋体" w:hAnsi="宋体" w:eastAsia="宋体" w:cs="宋体"/>
                <w:b w:val="0"/>
                <w:color w:val="auto"/>
                <w:sz w:val="24"/>
                <w:highlight w:val="none"/>
                <w:u w:val="single"/>
              </w:rPr>
              <w:t xml:space="preserve"> </w:t>
            </w:r>
            <w:r>
              <w:rPr>
                <w:rFonts w:hint="eastAsia" w:ascii="宋体" w:hAnsi="宋体" w:eastAsia="宋体" w:cs="宋体"/>
                <w:b w:val="0"/>
                <w:color w:val="auto"/>
                <w:sz w:val="24"/>
                <w:highlight w:val="none"/>
              </w:rPr>
              <w:t>日，</w:t>
            </w:r>
            <w:bookmarkStart w:id="25" w:name="EB2a2e1a22d449405a860670c095486ab8"/>
            <w:r>
              <w:rPr>
                <w:rFonts w:hint="eastAsia" w:ascii="宋体" w:hAnsi="宋体" w:eastAsia="宋体" w:cs="宋体"/>
                <w:b w:val="0"/>
                <w:color w:val="auto"/>
                <w:sz w:val="24"/>
                <w:highlight w:val="none"/>
              </w:rPr>
              <w:t>具体开工时间以开工令为准。</w:t>
            </w:r>
            <w:bookmarkEnd w:id="25"/>
          </w:p>
        </w:tc>
      </w:tr>
      <w:tr w14:paraId="71E44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F23CCED">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.4</w:t>
            </w:r>
          </w:p>
        </w:tc>
        <w:tc>
          <w:tcPr>
            <w:tcW w:w="967" w:type="pct"/>
            <w:vAlign w:val="center"/>
          </w:tcPr>
          <w:p w14:paraId="07B62364">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质量标准要求</w:t>
            </w:r>
          </w:p>
        </w:tc>
        <w:tc>
          <w:tcPr>
            <w:tcW w:w="3528" w:type="pct"/>
            <w:vAlign w:val="center"/>
          </w:tcPr>
          <w:p w14:paraId="1F3A2DE2">
            <w:pPr>
              <w:pStyle w:val="102"/>
              <w:tabs>
                <w:tab w:val="left" w:pos="1152"/>
              </w:tabs>
              <w:spacing w:before="0" w:beforeAutospacing="0" w:after="0" w:afterAutospacing="0" w:line="360" w:lineRule="auto"/>
              <w:rPr>
                <w:rFonts w:hint="eastAsia" w:ascii="宋体" w:hAnsi="宋体" w:eastAsia="宋体" w:cs="宋体"/>
                <w:b/>
                <w:color w:val="auto"/>
                <w:highlight w:val="none"/>
              </w:rPr>
            </w:pPr>
            <w:r>
              <w:rPr>
                <w:rFonts w:hint="eastAsia" w:ascii="宋体" w:hAnsi="宋体" w:eastAsia="宋体" w:cs="宋体"/>
                <w:bCs/>
                <w:color w:val="auto"/>
                <w:szCs w:val="28"/>
                <w:highlight w:val="none"/>
              </w:rPr>
              <w:t>质量标准：合格</w:t>
            </w:r>
          </w:p>
        </w:tc>
      </w:tr>
      <w:tr w14:paraId="312DE9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5D733B16">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5</w:t>
            </w:r>
          </w:p>
        </w:tc>
        <w:tc>
          <w:tcPr>
            <w:tcW w:w="967" w:type="pct"/>
            <w:vAlign w:val="center"/>
          </w:tcPr>
          <w:p w14:paraId="48F0E7A3">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安全文明要求</w:t>
            </w:r>
          </w:p>
        </w:tc>
        <w:tc>
          <w:tcPr>
            <w:tcW w:w="3528" w:type="pct"/>
            <w:vAlign w:val="center"/>
          </w:tcPr>
          <w:p w14:paraId="64507D1F">
            <w:pPr>
              <w:pStyle w:val="75"/>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sz w:val="24"/>
                <w:highlight w:val="none"/>
              </w:rPr>
              <w:t>必须确保安全文明施工，符合国家和项目所在地现行相关规定</w:t>
            </w:r>
          </w:p>
        </w:tc>
      </w:tr>
      <w:tr w14:paraId="1E9F7D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371B889">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6</w:t>
            </w:r>
          </w:p>
        </w:tc>
        <w:tc>
          <w:tcPr>
            <w:tcW w:w="967" w:type="pct"/>
            <w:vAlign w:val="center"/>
          </w:tcPr>
          <w:p w14:paraId="78EAB56F">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总包及分包规定</w:t>
            </w:r>
          </w:p>
        </w:tc>
        <w:tc>
          <w:tcPr>
            <w:tcW w:w="3528" w:type="pct"/>
            <w:vAlign w:val="center"/>
          </w:tcPr>
          <w:p w14:paraId="477435D1">
            <w:pPr>
              <w:spacing w:line="360" w:lineRule="auto"/>
              <w:rPr>
                <w:rFonts w:hint="eastAsia" w:ascii="宋体" w:hAnsi="宋体" w:eastAsia="宋体" w:cs="宋体"/>
                <w:b w:val="0"/>
                <w:bCs w:val="0"/>
                <w:color w:val="auto"/>
                <w:kern w:val="2"/>
                <w:sz w:val="24"/>
                <w:szCs w:val="28"/>
                <w:highlight w:val="none"/>
              </w:rPr>
            </w:pPr>
            <w:r>
              <w:rPr>
                <w:rFonts w:hint="eastAsia" w:ascii="宋体" w:hAnsi="宋体" w:eastAsia="宋体" w:cs="宋体"/>
                <w:b w:val="0"/>
                <w:bCs w:val="0"/>
                <w:color w:val="auto"/>
                <w:kern w:val="2"/>
                <w:sz w:val="24"/>
                <w:szCs w:val="28"/>
                <w:highlight w:val="none"/>
              </w:rPr>
              <w:t>供应商不得在成交后将工程转包给其它施工单位。</w:t>
            </w:r>
          </w:p>
          <w:p w14:paraId="2EB531E0">
            <w:pPr>
              <w:spacing w:line="360" w:lineRule="auto"/>
              <w:jc w:val="left"/>
              <w:rPr>
                <w:rFonts w:hint="eastAsia" w:ascii="宋体" w:hAnsi="宋体" w:eastAsia="宋体" w:cs="宋体"/>
                <w:b w:val="0"/>
                <w:bCs w:val="0"/>
                <w:color w:val="auto"/>
                <w:kern w:val="2"/>
                <w:sz w:val="24"/>
                <w:szCs w:val="22"/>
                <w:highlight w:val="none"/>
              </w:rPr>
            </w:pPr>
            <w:r>
              <w:rPr>
                <w:rFonts w:hint="eastAsia" w:ascii="宋体" w:hAnsi="宋体" w:eastAsia="宋体" w:cs="宋体"/>
                <w:b w:val="0"/>
                <w:bCs w:val="0"/>
                <w:color w:val="auto"/>
                <w:kern w:val="2"/>
                <w:sz w:val="24"/>
                <w:szCs w:val="22"/>
                <w:highlight w:val="none"/>
              </w:rPr>
              <w:t>分包情况</w:t>
            </w:r>
          </w:p>
          <w:p w14:paraId="3A74781F">
            <w:pPr>
              <w:spacing w:line="360" w:lineRule="auto"/>
              <w:jc w:val="left"/>
              <w:rPr>
                <w:rFonts w:hint="eastAsia" w:ascii="宋体" w:hAnsi="宋体" w:eastAsia="宋体" w:cs="宋体"/>
                <w:b w:val="0"/>
                <w:bCs w:val="0"/>
                <w:color w:val="auto"/>
                <w:kern w:val="2"/>
                <w:sz w:val="24"/>
                <w:szCs w:val="22"/>
                <w:highlight w:val="none"/>
              </w:rPr>
            </w:pPr>
            <w:r>
              <w:rPr>
                <w:rFonts w:hint="eastAsia" w:ascii="宋体" w:hAnsi="宋体" w:eastAsia="宋体" w:cs="宋体"/>
                <w:b w:val="0"/>
                <w:bCs w:val="0"/>
                <w:color w:val="auto"/>
                <w:kern w:val="2"/>
                <w:sz w:val="24"/>
                <w:szCs w:val="22"/>
                <w:highlight w:val="none"/>
              </w:rPr>
              <w:t>□允许专业分包，分包项目、内容及分包商须经采购人及监理单位同意和认可</w:t>
            </w:r>
          </w:p>
          <w:p w14:paraId="340447CC">
            <w:pPr>
              <w:pStyle w:val="75"/>
              <w:widowControl w:val="0"/>
              <w:spacing w:before="0" w:beforeAutospacing="0" w:after="0" w:afterAutospacing="0" w:line="360" w:lineRule="auto"/>
              <w:jc w:val="both"/>
              <w:rPr>
                <w:rFonts w:hint="eastAsia" w:ascii="宋体" w:hAnsi="宋体" w:eastAsia="宋体" w:cs="宋体"/>
                <w:b w:val="0"/>
                <w:bCs w:val="0"/>
                <w:color w:val="auto"/>
                <w:sz w:val="24"/>
                <w:highlight w:val="none"/>
              </w:rPr>
            </w:pPr>
            <w:r>
              <w:rPr>
                <w:rFonts w:hint="eastAsia" w:ascii="宋体" w:hAnsi="宋体" w:eastAsia="宋体" w:cs="宋体"/>
                <w:b w:val="0"/>
                <w:bCs w:val="0"/>
                <w:color w:val="auto"/>
                <w:kern w:val="2"/>
                <w:sz w:val="24"/>
                <w:szCs w:val="22"/>
                <w:highlight w:val="none"/>
                <w:lang w:eastAsia="zh-CN"/>
              </w:rPr>
              <w:t>☑</w:t>
            </w:r>
            <w:r>
              <w:rPr>
                <w:rFonts w:hint="eastAsia" w:ascii="宋体" w:hAnsi="宋体" w:eastAsia="宋体" w:cs="宋体"/>
                <w:b w:val="0"/>
                <w:bCs w:val="0"/>
                <w:color w:val="auto"/>
                <w:kern w:val="2"/>
                <w:sz w:val="24"/>
                <w:szCs w:val="22"/>
                <w:highlight w:val="none"/>
              </w:rPr>
              <w:t>不允许</w:t>
            </w:r>
          </w:p>
        </w:tc>
      </w:tr>
      <w:tr w14:paraId="0684E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2A01113">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7</w:t>
            </w:r>
          </w:p>
        </w:tc>
        <w:tc>
          <w:tcPr>
            <w:tcW w:w="967" w:type="pct"/>
            <w:vAlign w:val="center"/>
          </w:tcPr>
          <w:p w14:paraId="06B0F6B6">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现场条件</w:t>
            </w:r>
          </w:p>
        </w:tc>
        <w:tc>
          <w:tcPr>
            <w:tcW w:w="3528" w:type="pct"/>
            <w:vAlign w:val="center"/>
          </w:tcPr>
          <w:p w14:paraId="577D5C69">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highlight w:val="none"/>
              </w:rPr>
              <w:t>具备开工条件</w:t>
            </w:r>
          </w:p>
        </w:tc>
      </w:tr>
      <w:tr w14:paraId="1E48E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1D8E5455">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8</w:t>
            </w:r>
          </w:p>
        </w:tc>
        <w:tc>
          <w:tcPr>
            <w:tcW w:w="967" w:type="pct"/>
            <w:vAlign w:val="center"/>
          </w:tcPr>
          <w:p w14:paraId="18549B2D">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highlight w:val="none"/>
              </w:rPr>
              <w:t>采购人提供的资料</w:t>
            </w:r>
          </w:p>
        </w:tc>
        <w:tc>
          <w:tcPr>
            <w:tcW w:w="3528" w:type="pct"/>
            <w:vAlign w:val="center"/>
          </w:tcPr>
          <w:p w14:paraId="2FF02C3E">
            <w:pPr>
              <w:adjustRightInd w:val="0"/>
              <w:snapToGrid w:val="0"/>
              <w:spacing w:line="360" w:lineRule="auto"/>
              <w:jc w:val="left"/>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磋商文件</w:t>
            </w:r>
          </w:p>
          <w:p w14:paraId="3D7AB253">
            <w:pPr>
              <w:adjustRightInd w:val="0"/>
              <w:snapToGrid w:val="0"/>
              <w:spacing w:line="360" w:lineRule="auto"/>
              <w:jc w:val="left"/>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工程量清单</w:t>
            </w:r>
          </w:p>
          <w:p w14:paraId="7C5BBFE6">
            <w:pPr>
              <w:adjustRightInd w:val="0"/>
              <w:snapToGrid w:val="0"/>
              <w:spacing w:line="360" w:lineRule="auto"/>
              <w:jc w:val="left"/>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最高投标限价</w:t>
            </w:r>
          </w:p>
          <w:p w14:paraId="682CEB42">
            <w:pPr>
              <w:adjustRightInd w:val="0"/>
              <w:snapToGrid w:val="0"/>
              <w:spacing w:line="360" w:lineRule="auto"/>
              <w:jc w:val="left"/>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eastAsia="zh-CN"/>
              </w:rPr>
              <w:t>☑</w:t>
            </w:r>
            <w:r>
              <w:rPr>
                <w:rFonts w:hint="eastAsia" w:ascii="宋体" w:hAnsi="宋体" w:eastAsia="宋体" w:cs="宋体"/>
                <w:bCs/>
                <w:color w:val="auto"/>
                <w:sz w:val="24"/>
                <w:szCs w:val="28"/>
                <w:highlight w:val="none"/>
              </w:rPr>
              <w:t>电子版图纸</w:t>
            </w:r>
          </w:p>
          <w:p w14:paraId="7F75B4BA">
            <w:pPr>
              <w:adjustRightInd w:val="0"/>
              <w:snapToGrid w:val="0"/>
              <w:spacing w:line="360" w:lineRule="auto"/>
              <w:jc w:val="left"/>
              <w:rPr>
                <w:rFonts w:hint="eastAsia" w:ascii="宋体" w:hAnsi="宋体" w:eastAsia="宋体" w:cs="宋体"/>
                <w:bCs/>
                <w:color w:val="auto"/>
                <w:sz w:val="24"/>
                <w:szCs w:val="28"/>
                <w:highlight w:val="none"/>
                <w:lang w:val="en-US" w:eastAsia="zh-CN"/>
              </w:rPr>
            </w:pPr>
            <w:r>
              <w:rPr>
                <w:rFonts w:hint="eastAsia" w:ascii="宋体" w:hAnsi="宋体" w:eastAsia="宋体" w:cs="宋体"/>
                <w:bCs/>
                <w:color w:val="auto"/>
                <w:sz w:val="24"/>
                <w:szCs w:val="28"/>
                <w:highlight w:val="none"/>
              </w:rPr>
              <w:t>获得方式：</w:t>
            </w:r>
            <w:r>
              <w:rPr>
                <w:rFonts w:hint="eastAsia" w:ascii="宋体" w:hAnsi="宋体" w:eastAsia="宋体" w:cs="宋体"/>
                <w:bCs/>
                <w:color w:val="auto"/>
                <w:sz w:val="24"/>
                <w:szCs w:val="28"/>
                <w:highlight w:val="none"/>
                <w:lang w:val="en-US" w:eastAsia="zh-CN"/>
              </w:rPr>
              <w:t>网上下载</w:t>
            </w:r>
          </w:p>
          <w:p w14:paraId="6F343500">
            <w:pPr>
              <w:adjustRightInd w:val="0"/>
              <w:snapToGrid w:val="0"/>
              <w:spacing w:line="360" w:lineRule="auto"/>
              <w:jc w:val="left"/>
              <w:rPr>
                <w:rFonts w:hint="eastAsia" w:ascii="宋体" w:hAnsi="宋体" w:eastAsia="宋体" w:cs="宋体"/>
                <w:b w:val="0"/>
                <w:color w:val="auto"/>
                <w:sz w:val="24"/>
                <w:highlight w:val="none"/>
              </w:rPr>
            </w:pPr>
            <w:r>
              <w:rPr>
                <w:rFonts w:hint="eastAsia" w:ascii="宋体" w:hAnsi="宋体" w:eastAsia="宋体" w:cs="宋体"/>
                <w:color w:val="auto"/>
                <w:sz w:val="24"/>
                <w:highlight w:val="none"/>
              </w:rPr>
              <w:t>上述资料请供应商在获取磋商文件后，自行登录电子交易系统下载本项目附件。</w:t>
            </w:r>
          </w:p>
        </w:tc>
      </w:tr>
      <w:tr w14:paraId="2B519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73C5A2A6">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lang w:val="en-US" w:eastAsia="zh-CN"/>
              </w:rPr>
              <w:t>30</w:t>
            </w:r>
            <w:r>
              <w:rPr>
                <w:rFonts w:hint="eastAsia" w:ascii="宋体" w:hAnsi="宋体" w:eastAsia="宋体" w:cs="宋体"/>
                <w:bCs/>
                <w:color w:val="auto"/>
                <w:kern w:val="2"/>
                <w:highlight w:val="none"/>
              </w:rPr>
              <w:t>.</w:t>
            </w:r>
            <w:r>
              <w:rPr>
                <w:rFonts w:hint="eastAsia" w:ascii="宋体" w:hAnsi="宋体" w:eastAsia="宋体" w:cs="宋体"/>
                <w:bCs/>
                <w:color w:val="auto"/>
                <w:kern w:val="2"/>
                <w:highlight w:val="none"/>
                <w:lang w:val="en-US" w:eastAsia="zh-CN"/>
              </w:rPr>
              <w:t>9</w:t>
            </w:r>
          </w:p>
        </w:tc>
        <w:tc>
          <w:tcPr>
            <w:tcW w:w="967" w:type="pct"/>
            <w:vAlign w:val="center"/>
          </w:tcPr>
          <w:p w14:paraId="6539DCD8">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sz w:val="24"/>
                <w:highlight w:val="none"/>
              </w:rPr>
              <w:t>工程量清单和最高投标限价编制费</w:t>
            </w:r>
          </w:p>
        </w:tc>
        <w:tc>
          <w:tcPr>
            <w:tcW w:w="3528" w:type="pct"/>
            <w:vAlign w:val="center"/>
          </w:tcPr>
          <w:p w14:paraId="3F698571">
            <w:pPr>
              <w:keepNext w:val="0"/>
              <w:keepLines w:val="0"/>
              <w:pageBreakBefore w:val="0"/>
              <w:widowControl w:val="0"/>
              <w:kinsoku/>
              <w:wordWrap/>
              <w:overflowPunct/>
              <w:topLinePunct w:val="0"/>
              <w:autoSpaceDE/>
              <w:autoSpaceDN/>
              <w:bidi w:val="0"/>
              <w:adjustRightInd/>
              <w:snapToGrid/>
              <w:spacing w:before="39"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lang w:val="en-US" w:eastAsia="zh-CN"/>
              </w:rPr>
              <w:t>1</w:t>
            </w:r>
            <w:r>
              <w:rPr>
                <w:rFonts w:hint="eastAsia" w:ascii="宋体" w:hAnsi="宋体" w:eastAsia="宋体" w:cs="宋体"/>
                <w:bCs/>
                <w:color w:val="auto"/>
                <w:kern w:val="0"/>
                <w:sz w:val="24"/>
                <w:szCs w:val="28"/>
                <w:highlight w:val="none"/>
                <w:lang w:eastAsia="zh-CN"/>
              </w:rPr>
              <w:t>）</w:t>
            </w:r>
            <w:r>
              <w:rPr>
                <w:rFonts w:hint="eastAsia" w:ascii="宋体" w:hAnsi="宋体" w:eastAsia="宋体" w:cs="宋体"/>
                <w:bCs/>
                <w:color w:val="auto"/>
                <w:kern w:val="0"/>
                <w:sz w:val="24"/>
                <w:szCs w:val="28"/>
                <w:highlight w:val="none"/>
              </w:rPr>
              <w:t>收费对象</w:t>
            </w:r>
            <w:r>
              <w:rPr>
                <w:rFonts w:hint="eastAsia" w:ascii="宋体" w:hAnsi="宋体" w:eastAsia="宋体" w:cs="宋体"/>
                <w:color w:val="auto"/>
                <w:spacing w:val="-12"/>
                <w:sz w:val="24"/>
                <w:szCs w:val="24"/>
                <w:highlight w:val="none"/>
              </w:rPr>
              <w:t>：</w:t>
            </w:r>
            <w:r>
              <w:rPr>
                <w:rFonts w:hint="eastAsia" w:ascii="宋体" w:hAnsi="宋体" w:eastAsia="宋体" w:cs="宋体"/>
                <w:color w:val="auto"/>
                <w:spacing w:val="-12"/>
                <w:sz w:val="24"/>
                <w:szCs w:val="24"/>
                <w:highlight w:val="none"/>
                <w:lang w:val="en-US" w:eastAsia="zh-CN"/>
              </w:rPr>
              <w:t>采购人</w:t>
            </w:r>
          </w:p>
          <w:p w14:paraId="3FDD9B46">
            <w:pPr>
              <w:keepNext w:val="0"/>
              <w:keepLines w:val="0"/>
              <w:pageBreakBefore w:val="0"/>
              <w:widowControl w:val="0"/>
              <w:kinsoku/>
              <w:wordWrap/>
              <w:overflowPunct/>
              <w:topLinePunct w:val="0"/>
              <w:autoSpaceDE/>
              <w:autoSpaceDN/>
              <w:bidi w:val="0"/>
              <w:adjustRightInd/>
              <w:snapToGrid/>
              <w:spacing w:before="24" w:line="360" w:lineRule="auto"/>
              <w:textAlignment w:val="auto"/>
              <w:rPr>
                <w:rFonts w:hint="eastAsia" w:ascii="宋体" w:hAnsi="宋体" w:eastAsia="宋体" w:cs="宋体"/>
                <w:bCs/>
                <w:color w:val="auto"/>
                <w:kern w:val="0"/>
                <w:sz w:val="24"/>
                <w:szCs w:val="28"/>
                <w:highlight w:val="none"/>
                <w:lang w:val="en-US" w:eastAsia="zh-CN"/>
              </w:rPr>
            </w:pPr>
            <w:r>
              <w:rPr>
                <w:rFonts w:hint="eastAsia" w:ascii="宋体" w:hAnsi="宋体" w:eastAsia="宋体" w:cs="宋体"/>
                <w:bCs/>
                <w:color w:val="auto"/>
                <w:kern w:val="0"/>
                <w:sz w:val="24"/>
                <w:szCs w:val="28"/>
                <w:highlight w:val="none"/>
              </w:rPr>
              <w:t>（2）收取方式</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转账</w:t>
            </w:r>
          </w:p>
          <w:p w14:paraId="5F0C371F">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bCs w:val="0"/>
                <w:color w:val="auto"/>
                <w:kern w:val="0"/>
                <w:sz w:val="24"/>
                <w:szCs w:val="28"/>
                <w:highlight w:val="none"/>
              </w:rPr>
              <w:t>（3）</w:t>
            </w:r>
            <w:r>
              <w:rPr>
                <w:rFonts w:hint="eastAsia" w:ascii="宋体" w:hAnsi="宋体" w:eastAsia="宋体" w:cs="宋体"/>
                <w:b w:val="0"/>
                <w:bCs/>
                <w:color w:val="auto"/>
                <w:kern w:val="0"/>
                <w:sz w:val="24"/>
                <w:szCs w:val="28"/>
                <w:highlight w:val="none"/>
                <w:lang w:val="en-US" w:eastAsia="zh-CN" w:bidi="ar-SA"/>
              </w:rPr>
              <w:t>收费标准：</w:t>
            </w:r>
            <w:r>
              <w:rPr>
                <w:rFonts w:hint="eastAsia" w:ascii="宋体" w:hAnsi="宋体" w:eastAsia="宋体" w:cs="宋体"/>
                <w:b w:val="0"/>
                <w:bCs w:val="0"/>
                <w:color w:val="auto"/>
                <w:sz w:val="24"/>
                <w:szCs w:val="24"/>
                <w:highlight w:val="none"/>
                <w:u w:val="none" w:color="auto"/>
                <w:lang w:val="en-US" w:eastAsia="zh-CN"/>
              </w:rPr>
              <w:t>双方约定为准</w:t>
            </w:r>
          </w:p>
        </w:tc>
      </w:tr>
      <w:tr w14:paraId="363DB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68E8BB7F">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lang w:val="en-US" w:eastAsia="zh-CN"/>
              </w:rPr>
            </w:pPr>
            <w:r>
              <w:rPr>
                <w:rFonts w:hint="eastAsia" w:ascii="宋体" w:hAnsi="宋体" w:eastAsia="宋体" w:cs="宋体"/>
                <w:bCs/>
                <w:color w:val="auto"/>
                <w:kern w:val="2"/>
                <w:highlight w:val="none"/>
              </w:rPr>
              <w:t>3</w:t>
            </w:r>
            <w:r>
              <w:rPr>
                <w:rFonts w:hint="eastAsia" w:ascii="宋体" w:hAnsi="宋体" w:eastAsia="宋体" w:cs="宋体"/>
                <w:bCs/>
                <w:color w:val="auto"/>
                <w:kern w:val="2"/>
                <w:highlight w:val="none"/>
                <w:lang w:val="en-US" w:eastAsia="zh-CN"/>
              </w:rPr>
              <w:t>0</w:t>
            </w:r>
            <w:r>
              <w:rPr>
                <w:rFonts w:hint="eastAsia" w:ascii="宋体" w:hAnsi="宋体" w:eastAsia="宋体" w:cs="宋体"/>
                <w:bCs/>
                <w:color w:val="auto"/>
                <w:kern w:val="2"/>
                <w:highlight w:val="none"/>
              </w:rPr>
              <w:t>.1</w:t>
            </w:r>
            <w:r>
              <w:rPr>
                <w:rFonts w:hint="eastAsia" w:ascii="宋体" w:hAnsi="宋体" w:eastAsia="宋体" w:cs="宋体"/>
                <w:bCs/>
                <w:color w:val="auto"/>
                <w:kern w:val="2"/>
                <w:highlight w:val="none"/>
                <w:lang w:val="en-US" w:eastAsia="zh-CN"/>
              </w:rPr>
              <w:t>0</w:t>
            </w:r>
          </w:p>
        </w:tc>
        <w:tc>
          <w:tcPr>
            <w:tcW w:w="967" w:type="pct"/>
            <w:vAlign w:val="center"/>
          </w:tcPr>
          <w:p w14:paraId="07ABCAE2">
            <w:pPr>
              <w:pStyle w:val="75"/>
              <w:widowControl w:val="0"/>
              <w:spacing w:before="0" w:beforeAutospacing="0" w:after="0" w:afterAutospacing="0" w:line="360" w:lineRule="auto"/>
              <w:jc w:val="both"/>
              <w:rPr>
                <w:rFonts w:hint="eastAsia" w:ascii="宋体" w:hAnsi="宋体" w:eastAsia="宋体" w:cs="宋体"/>
                <w:b w:val="0"/>
                <w:color w:val="auto"/>
                <w:sz w:val="24"/>
                <w:highlight w:val="none"/>
              </w:rPr>
            </w:pPr>
            <w:r>
              <w:rPr>
                <w:rFonts w:hint="eastAsia" w:ascii="宋体" w:hAnsi="宋体" w:eastAsia="宋体" w:cs="宋体"/>
                <w:b w:val="0"/>
                <w:color w:val="auto"/>
                <w:sz w:val="24"/>
                <w:highlight w:val="none"/>
              </w:rPr>
              <w:t>其他补充说明</w:t>
            </w:r>
          </w:p>
        </w:tc>
        <w:tc>
          <w:tcPr>
            <w:tcW w:w="3528" w:type="pct"/>
            <w:vAlign w:val="center"/>
          </w:tcPr>
          <w:p w14:paraId="0693A1CF">
            <w:pPr>
              <w:numPr>
                <w:ilvl w:val="0"/>
                <w:numId w:val="0"/>
              </w:numPr>
              <w:spacing w:line="360" w:lineRule="auto"/>
              <w:rPr>
                <w:rFonts w:hint="eastAsia" w:ascii="宋体" w:hAnsi="宋体" w:eastAsia="宋体" w:cs="宋体"/>
                <w:bCs/>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1、解释权：</w:t>
            </w:r>
          </w:p>
          <w:p w14:paraId="08BA5E5B">
            <w:pPr>
              <w:numPr>
                <w:ilvl w:val="0"/>
                <w:numId w:val="0"/>
              </w:num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（1）构成本磋商文件的各个组成文件应互为解释，互为说明；</w:t>
            </w:r>
          </w:p>
          <w:p w14:paraId="5C200D7B">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（2）同一组成文件中就同一事项的规定或约定不一致的，以编排顺序在后者为准；</w:t>
            </w:r>
          </w:p>
          <w:p w14:paraId="370DF231">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（3）如有不明确或不一致，构成合同文件组成内容的，以合同文件约定内容为准，且以专用合同条款约定的合同文件优先顺序解释；</w:t>
            </w:r>
          </w:p>
          <w:p w14:paraId="5C5D768D">
            <w:pPr>
              <w:spacing w:line="360" w:lineRule="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（4）除磋商文件中有特别规定外，仅适用于磋商及响应文件提交阶段的规定，按竞争性磋商公告、磋商邀请、供应商须知、评审方法和标准、响应文件格式的先后顺序解释；</w:t>
            </w:r>
          </w:p>
          <w:p w14:paraId="2BA98691">
            <w:pPr>
              <w:pStyle w:val="75"/>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color w:val="auto"/>
                <w:sz w:val="24"/>
                <w:szCs w:val="24"/>
                <w:highlight w:val="none"/>
              </w:rPr>
              <w:t>（5）按本款前述规定仍不能形成结论的，由采购人负责解释。</w:t>
            </w:r>
          </w:p>
          <w:p w14:paraId="4E068714">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政采贷”融资指引：有融资需求的供应商在取得政府采购中标或成交通知书后，可访问安徽省政府采购网“政采贷”栏目，查看和联系第三方平台或者金融机构，商洽融资事项，确定融资意向。供应商签署政府采购中标（成交）合同后，登录“徽采云”金融服务模块，选择意向产品进行申请，并填写相关信息，“徽采云”金融服务模块将中标人融资申请信息推送第三方平台、意向金融机构。</w:t>
            </w:r>
          </w:p>
          <w:p w14:paraId="6FEFA1D8">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3、电子保函指引：成交供应商可访问安徽省政府采购网“融资/保函”栏目，申请办理电子保函（包括：履约保函、预付款保函）。”</w:t>
            </w:r>
          </w:p>
          <w:p w14:paraId="44DE5133">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4、部分可提供线下政采贷的金融机构</w:t>
            </w:r>
          </w:p>
          <w:p w14:paraId="13ADF6DD">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市本级</w:t>
            </w:r>
          </w:p>
          <w:p w14:paraId="27C30BD5">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金融机构名称：兴业银行滁州分行</w:t>
            </w:r>
          </w:p>
          <w:p w14:paraId="2200500E">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安徽省滁州市琅琊区丰乐大道1090号</w:t>
            </w:r>
          </w:p>
          <w:p w14:paraId="21D87F38">
            <w:pPr>
              <w:pStyle w:val="75"/>
              <w:widowControl w:val="0"/>
              <w:spacing w:before="0" w:beforeAutospacing="0" w:after="0" w:afterAutospacing="0" w:line="360" w:lineRule="auto"/>
              <w:jc w:val="both"/>
              <w:rPr>
                <w:rFonts w:hint="eastAsia" w:ascii="宋体" w:hAnsi="宋体" w:eastAsia="宋体" w:cs="宋体"/>
                <w:b w:val="0"/>
                <w:color w:val="auto"/>
                <w:sz w:val="24"/>
                <w:szCs w:val="24"/>
                <w:highlight w:val="none"/>
              </w:rPr>
            </w:pPr>
            <w:r>
              <w:rPr>
                <w:rFonts w:hint="eastAsia" w:ascii="宋体" w:hAnsi="宋体" w:eastAsia="宋体" w:cs="宋体"/>
                <w:b w:val="0"/>
                <w:bCs/>
                <w:color w:val="auto"/>
                <w:sz w:val="24"/>
                <w:szCs w:val="24"/>
                <w:highlight w:val="none"/>
                <w:lang w:val="en-US" w:eastAsia="zh-CN" w:bidi="ar-SA"/>
              </w:rPr>
              <w:t>伏庚：17755080811</w:t>
            </w:r>
          </w:p>
        </w:tc>
      </w:tr>
      <w:tr w14:paraId="01C29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42CCD123">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Cs/>
                <w:color w:val="auto"/>
                <w:kern w:val="2"/>
                <w:highlight w:val="none"/>
              </w:rPr>
            </w:pPr>
            <w:r>
              <w:rPr>
                <w:rFonts w:hint="eastAsia" w:ascii="宋体" w:hAnsi="宋体" w:eastAsia="宋体" w:cs="宋体"/>
                <w:bCs/>
                <w:color w:val="auto"/>
                <w:kern w:val="2"/>
                <w:sz w:val="24"/>
                <w:szCs w:val="24"/>
                <w:highlight w:val="none"/>
                <w:lang w:val="en-US" w:eastAsia="zh-CN"/>
              </w:rPr>
              <w:t>30.11</w:t>
            </w:r>
          </w:p>
        </w:tc>
        <w:tc>
          <w:tcPr>
            <w:tcW w:w="967" w:type="pct"/>
            <w:vAlign w:val="center"/>
          </w:tcPr>
          <w:p w14:paraId="57B7519C">
            <w:pPr>
              <w:pStyle w:val="75"/>
              <w:widowControl w:val="0"/>
              <w:spacing w:before="0" w:beforeAutospacing="0" w:after="0" w:afterAutospacing="0" w:line="360" w:lineRule="auto"/>
              <w:jc w:val="center"/>
              <w:rPr>
                <w:rFonts w:hint="eastAsia" w:ascii="宋体" w:hAnsi="宋体" w:eastAsia="宋体" w:cs="宋体"/>
                <w:b w:val="0"/>
                <w:color w:val="auto"/>
                <w:sz w:val="24"/>
                <w:highlight w:val="none"/>
              </w:rPr>
            </w:pPr>
            <w:r>
              <w:rPr>
                <w:rFonts w:hint="eastAsia" w:ascii="宋体" w:hAnsi="宋体" w:eastAsia="宋体" w:cs="宋体"/>
                <w:b w:val="0"/>
                <w:color w:val="auto"/>
                <w:sz w:val="24"/>
                <w:szCs w:val="24"/>
                <w:highlight w:val="none"/>
              </w:rPr>
              <w:t>特别提示</w:t>
            </w:r>
          </w:p>
        </w:tc>
        <w:tc>
          <w:tcPr>
            <w:tcW w:w="3528" w:type="pct"/>
            <w:vAlign w:val="center"/>
          </w:tcPr>
          <w:p w14:paraId="7D981E73">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供应商应填写投标信息并下载磋商文件，否则无法上传响应文件。</w:t>
            </w:r>
          </w:p>
          <w:p w14:paraId="2B17639A">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2.本项目采用电子磋商，请供应商在滁州市公共资源交易中心网&gt;服务指南&gt;软件下载栏目点击下载响应文件制作工具。供应商需采用最新版响应文件制作工具。软件运行需在国际互联网络通畅状态，供应商需注意更新，以免造成响应文件制作错误，如因此导致评审委员会否决其磋商资格，责任自负。如有技术问题请联系0550-3801701，4009980000。</w:t>
            </w:r>
          </w:p>
          <w:p w14:paraId="05E48196">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3.如果过程中出现磋商文件更改，应以最后发布的招标答疑澄清文件中的模板制作本项目最新响应文件。</w:t>
            </w:r>
          </w:p>
          <w:p w14:paraId="55A7F373">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 xml:space="preserve">4.供应商应当用本单位CA数字证书制作响应文件，制作成功后进行响应文件上传。 </w:t>
            </w:r>
          </w:p>
          <w:p w14:paraId="18AC0563">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5.供应商须用CA数字证书盖章和加密响应文件，建议使用主锁。（如未办理CA数字证书请及时办理，网上办理和窗口办理均可。查看办理所需资料请登录滁州市公共资源交易中心网&gt;服务指南&gt;办事指南&gt;CA数字证书和电子签章。因未及时办理CA数字证书手续导致无法投标的，责任自负。</w:t>
            </w:r>
          </w:p>
          <w:p w14:paraId="3A0BF0E5">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6.请供应商注意加密响应文件CA数字证书的有效期，不在有效期的CA数字证书无法解密响应文件。</w:t>
            </w:r>
          </w:p>
          <w:p w14:paraId="2A164F16">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7.供应商响应MAC地址或供应商联系人或联系电话相同的，否决其响应，并报告监管部门作不良行为处理和进一步调查。</w:t>
            </w:r>
          </w:p>
          <w:p w14:paraId="296A7239">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8.供应商单方面出现其他供应商材料的，否决其磋商资格。</w:t>
            </w:r>
          </w:p>
          <w:p w14:paraId="0556D72F">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9.评审时查询响应文件制作机器码、文件创建标识码及造价软件加密锁号。若存在响应文件制作机器码或创建标识码或造价软件加密锁号信息与其他供应商雷同的，否决其磋商资格，保证金不予退还，依法依规予以处理。</w:t>
            </w:r>
          </w:p>
          <w:p w14:paraId="084BE2ED">
            <w:pPr>
              <w:pStyle w:val="75"/>
              <w:widowControl w:val="0"/>
              <w:spacing w:before="0" w:beforeAutospacing="0" w:after="0" w:afterAutospacing="0" w:line="360" w:lineRule="auto"/>
              <w:jc w:val="both"/>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10.电子加密响应文件上传到系统后，需要供应商和代理公司到磋商截止时间后共同解锁，不存在商务报价等信息通过系统泄密的风险；磋商截止时间前，已上传的响应文件也可以撤回修改。集中到磋商截止时间前上传电子加密响应文件，可能出现由于供应商制作电子响应文件不熟练、网络拥堵等不可预知的情况而且无法及时解决，丧失磋商机会，请各供应商提前制作、上传电子加密响应文件，否则由于无法及时上传电子加密响应文件而无效响应的情况，责任自负！</w:t>
            </w:r>
          </w:p>
        </w:tc>
      </w:tr>
      <w:tr w14:paraId="10B5E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03" w:type="pct"/>
            <w:vAlign w:val="center"/>
          </w:tcPr>
          <w:p w14:paraId="042FFBC2">
            <w:pPr>
              <w:pStyle w:val="76"/>
              <w:pBdr>
                <w:bottom w:val="none" w:color="auto" w:sz="0" w:space="0"/>
              </w:pBdr>
              <w:tabs>
                <w:tab w:val="clear" w:pos="4153"/>
                <w:tab w:val="clear" w:pos="8306"/>
              </w:tabs>
              <w:adjustRightInd/>
              <w:spacing w:line="360" w:lineRule="auto"/>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30.12</w:t>
            </w:r>
          </w:p>
        </w:tc>
        <w:tc>
          <w:tcPr>
            <w:tcW w:w="967" w:type="pct"/>
            <w:vAlign w:val="center"/>
          </w:tcPr>
          <w:p w14:paraId="3CBF41B3">
            <w:pPr>
              <w:keepNext w:val="0"/>
              <w:keepLines w:val="0"/>
              <w:pageBreakBefore w:val="0"/>
              <w:kinsoku/>
              <w:overflowPunct/>
              <w:autoSpaceDE/>
              <w:autoSpaceDN/>
              <w:bidi w:val="0"/>
              <w:adjustRightInd/>
              <w:snapToGrid/>
              <w:spacing w:line="360" w:lineRule="exact"/>
              <w:jc w:val="center"/>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重要要求</w:t>
            </w:r>
          </w:p>
        </w:tc>
        <w:tc>
          <w:tcPr>
            <w:tcW w:w="3528" w:type="pct"/>
            <w:vAlign w:val="top"/>
          </w:tcPr>
          <w:p w14:paraId="20D43EB7">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b w:val="0"/>
                <w:bCs/>
                <w:color w:val="auto"/>
                <w:sz w:val="24"/>
                <w:szCs w:val="24"/>
                <w:highlight w:val="none"/>
                <w:lang w:val="en-US" w:eastAsia="zh-CN" w:bidi="ar-SA"/>
              </w:rPr>
            </w:pPr>
            <w:r>
              <w:rPr>
                <w:rFonts w:hint="eastAsia" w:ascii="宋体" w:hAnsi="宋体" w:eastAsia="宋体" w:cs="宋体"/>
                <w:b w:val="0"/>
                <w:bCs/>
                <w:color w:val="auto"/>
                <w:sz w:val="24"/>
                <w:szCs w:val="24"/>
                <w:highlight w:val="none"/>
                <w:lang w:val="en-US" w:eastAsia="zh-CN" w:bidi="ar-SA"/>
              </w:rPr>
              <w:t>1.本项目为面向中小企业预留份额的采购包，专门面向中小企业采购。专门面向中小企业采购的项目或者采购包，不再执行价格评审优惠的扶持政策。</w:t>
            </w:r>
          </w:p>
          <w:p w14:paraId="0D7D8769">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宋体" w:hAnsi="宋体" w:eastAsia="宋体" w:cs="宋体"/>
                <w:lang w:val="en-US" w:eastAsia="zh-CN"/>
              </w:rPr>
            </w:pPr>
            <w:r>
              <w:rPr>
                <w:rFonts w:hint="eastAsia" w:ascii="宋体" w:hAnsi="宋体" w:eastAsia="宋体" w:cs="宋体"/>
                <w:b w:val="0"/>
                <w:bCs/>
                <w:color w:val="auto"/>
                <w:sz w:val="24"/>
                <w:szCs w:val="24"/>
                <w:highlight w:val="none"/>
                <w:lang w:val="en-US" w:eastAsia="zh-CN" w:bidi="ar-SA"/>
              </w:rPr>
              <w:t>2.采购标的对应的中小企业划分标准所属行业：建筑业。</w:t>
            </w:r>
          </w:p>
        </w:tc>
      </w:tr>
    </w:tbl>
    <w:p w14:paraId="4F78008F">
      <w:pPr>
        <w:spacing w:line="360" w:lineRule="auto"/>
        <w:jc w:val="center"/>
        <w:outlineLvl w:val="1"/>
        <w:rPr>
          <w:rFonts w:hint="eastAsia" w:ascii="宋体" w:hAnsi="宋体" w:eastAsia="宋体" w:cs="宋体"/>
          <w:b/>
          <w:color w:val="auto"/>
          <w:sz w:val="24"/>
          <w:highlight w:val="none"/>
        </w:rPr>
      </w:pPr>
      <w:r>
        <w:rPr>
          <w:rFonts w:hint="eastAsia" w:ascii="宋体" w:hAnsi="宋体" w:eastAsia="宋体" w:cs="宋体"/>
          <w:b/>
          <w:color w:val="auto"/>
          <w:sz w:val="28"/>
          <w:highlight w:val="none"/>
        </w:rPr>
        <w:br w:type="page"/>
      </w:r>
      <w:bookmarkStart w:id="26" w:name="_Toc26858"/>
      <w:bookmarkStart w:id="27" w:name="_Toc18784"/>
      <w:r>
        <w:rPr>
          <w:rFonts w:hint="eastAsia" w:ascii="宋体" w:hAnsi="宋体" w:eastAsia="宋体" w:cs="宋体"/>
          <w:b/>
          <w:color w:val="auto"/>
          <w:sz w:val="24"/>
          <w:highlight w:val="none"/>
        </w:rPr>
        <w:t>二、供应商须知正文</w:t>
      </w:r>
      <w:bookmarkEnd w:id="26"/>
      <w:bookmarkEnd w:id="27"/>
    </w:p>
    <w:p w14:paraId="1148CC8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.采购人、采购代理机构及供应商</w:t>
      </w:r>
    </w:p>
    <w:p w14:paraId="53D82BB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.1采购人：是指依法开展政府采购活动的国家机关、事业单位、团体组织。</w:t>
      </w:r>
    </w:p>
    <w:p w14:paraId="2CFE5C1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.3政府采购监督管理部门：各级人民政府指定的有关部门依法履行与政府采购活动有关的监督管理职责。</w:t>
      </w:r>
    </w:p>
    <w:p w14:paraId="73078DF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.4供应商：是指向采购人提供货物、工程或者服务的法人、</w:t>
      </w:r>
      <w:r>
        <w:rPr>
          <w:rFonts w:hint="eastAsia" w:ascii="宋体" w:hAnsi="宋体" w:eastAsia="宋体" w:cs="宋体"/>
          <w:color w:val="auto"/>
          <w:sz w:val="24"/>
          <w:highlight w:val="none"/>
          <w:lang w:val="en-US" w:eastAsia="zh-CN"/>
        </w:rPr>
        <w:t>其他</w:t>
      </w:r>
      <w:r>
        <w:rPr>
          <w:rFonts w:hint="eastAsia" w:ascii="宋体" w:hAnsi="宋体" w:eastAsia="宋体" w:cs="宋体"/>
          <w:color w:val="auto"/>
          <w:sz w:val="24"/>
          <w:highlight w:val="none"/>
        </w:rPr>
        <w:t>组织或者自然人。分支机构不得参加政府采购活动，但银行、保险、石油石化、电力、电信等特殊行业除外。本项目的供应商须满足以下条件：</w:t>
      </w:r>
    </w:p>
    <w:p w14:paraId="32FECF9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具备《中华人民共和国政府采购法》第二十二条关于供应商条件的规定，遵守本项目采购人本级和上级财政部门政府采购的有关规定。</w:t>
      </w:r>
    </w:p>
    <w:p w14:paraId="20989F9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.4.</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以采购代理机构认可的方式获得了本项目的磋商文件。</w:t>
      </w:r>
    </w:p>
    <w:p w14:paraId="3277D8B1">
      <w:pPr>
        <w:spacing w:line="360" w:lineRule="auto"/>
        <w:ind w:firstLine="435"/>
        <w:rPr>
          <w:rFonts w:hint="eastAsia" w:ascii="宋体" w:hAnsi="宋体" w:eastAsia="宋体" w:cs="宋体"/>
          <w:color w:val="auto"/>
          <w:sz w:val="24"/>
          <w:highlight w:val="none"/>
        </w:rPr>
      </w:pPr>
      <w:r>
        <w:rPr>
          <w:rFonts w:hint="eastAsia" w:ascii="宋体" w:hAnsi="宋体" w:eastAsia="宋体" w:cs="宋体"/>
          <w:bCs/>
          <w:color w:val="auto"/>
          <w:sz w:val="24"/>
          <w:szCs w:val="28"/>
          <w:highlight w:val="none"/>
          <w:lang w:val="en-US" w:eastAsia="zh-CN"/>
        </w:rPr>
        <w:t>1</w:t>
      </w:r>
      <w:r>
        <w:rPr>
          <w:rFonts w:hint="eastAsia" w:ascii="宋体" w:hAnsi="宋体" w:eastAsia="宋体" w:cs="宋体"/>
          <w:bCs/>
          <w:color w:val="auto"/>
          <w:sz w:val="24"/>
          <w:szCs w:val="28"/>
          <w:highlight w:val="none"/>
        </w:rPr>
        <w:t>.5若竞争性磋商公告中允许联合体参加磋商，对联合体规定如下：</w:t>
      </w:r>
    </w:p>
    <w:p w14:paraId="4443706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.5.1两个以上供应商可以组成一个磋商联合体，以一个供应商的身份磋商。</w:t>
      </w:r>
      <w:r>
        <w:rPr>
          <w:rFonts w:hint="eastAsia" w:ascii="宋体" w:hAnsi="宋体" w:eastAsia="宋体" w:cs="宋体"/>
          <w:b w:val="0"/>
          <w:sz w:val="24"/>
        </w:rPr>
        <w:t>联合体参加磋商的，磋商文件获取手续由联合体中任一成员单位办理均可。</w:t>
      </w:r>
    </w:p>
    <w:p w14:paraId="0189459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.5.2联合体各方均应符合《中华人民共和国政府采购法》第二十二条规定的条件。</w:t>
      </w:r>
    </w:p>
    <w:p w14:paraId="3400687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.5.3采购人根据采购项目对供应商的特殊要求，联合体中至少应当有一方符合相关规定。</w:t>
      </w:r>
    </w:p>
    <w:p w14:paraId="275CC06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.5.4联合体各方应签订联合协议，明确约定联合体各方承担的工作和相应的责任，并将联合协议作为响应文件的一部分提交。</w:t>
      </w:r>
    </w:p>
    <w:p w14:paraId="50EFDDD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.5.5大中型企业、其他自然人、法人或者非法人组织与小型、微型企业组成联合体共同参加磋商，联合协议中应写明小型、微型企业的协议合同金额占到联合协议合同总金额的比例。</w:t>
      </w:r>
    </w:p>
    <w:p w14:paraId="6FD828E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.5.6联合体中有同类资质的供应商按照联合体分工承担相同工作的，应当按照资质等级较低的供应商确定资质等级。</w:t>
      </w:r>
    </w:p>
    <w:p w14:paraId="222CFDB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.5.7以联合体形式参加政府采购活动的，联合体各方不得再单独参加或者与其他供应商另外组成联合体参加本项目磋商，否则相关响应文件将被认定为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4748E6F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.5.8对联合体参加磋商的其他资格要求见</w:t>
      </w:r>
      <w:r>
        <w:rPr>
          <w:rFonts w:hint="eastAsia" w:ascii="宋体" w:hAnsi="宋体" w:eastAsia="宋体" w:cs="宋体"/>
          <w:color w:val="auto"/>
          <w:sz w:val="24"/>
          <w:highlight w:val="none"/>
          <w:lang w:val="en-US" w:eastAsia="zh-CN"/>
        </w:rPr>
        <w:t>申请人的</w:t>
      </w:r>
      <w:r>
        <w:rPr>
          <w:rFonts w:hint="eastAsia" w:ascii="宋体" w:hAnsi="宋体" w:eastAsia="宋体" w:cs="宋体"/>
          <w:color w:val="auto"/>
          <w:sz w:val="24"/>
          <w:highlight w:val="none"/>
        </w:rPr>
        <w:t>资格</w:t>
      </w:r>
      <w:r>
        <w:rPr>
          <w:rFonts w:hint="eastAsia" w:ascii="宋体" w:hAnsi="宋体" w:eastAsia="宋体" w:cs="宋体"/>
          <w:color w:val="auto"/>
          <w:sz w:val="24"/>
          <w:highlight w:val="none"/>
          <w:lang w:val="en-US" w:eastAsia="zh-CN"/>
        </w:rPr>
        <w:t>要求</w:t>
      </w:r>
      <w:r>
        <w:rPr>
          <w:rFonts w:hint="eastAsia" w:ascii="宋体" w:hAnsi="宋体" w:eastAsia="宋体" w:cs="宋体"/>
          <w:color w:val="auto"/>
          <w:sz w:val="24"/>
          <w:highlight w:val="none"/>
        </w:rPr>
        <w:t>。</w:t>
      </w:r>
    </w:p>
    <w:p w14:paraId="10EB60AF">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.资金</w:t>
      </w:r>
      <w:r>
        <w:rPr>
          <w:rFonts w:hint="eastAsia" w:ascii="宋体" w:hAnsi="宋体" w:eastAsia="宋体" w:cs="宋体"/>
          <w:b/>
          <w:color w:val="auto"/>
          <w:sz w:val="24"/>
          <w:highlight w:val="none"/>
          <w:lang w:val="en-US" w:eastAsia="zh-CN"/>
        </w:rPr>
        <w:t>落实情况</w:t>
      </w:r>
    </w:p>
    <w:p w14:paraId="369B713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.1本项目的采购人已获得足以支付本次磋商后所签订的合同项下的资金。</w:t>
      </w:r>
    </w:p>
    <w:p w14:paraId="4494BC4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3</w:t>
      </w:r>
      <w:r>
        <w:rPr>
          <w:rFonts w:hint="eastAsia" w:ascii="宋体" w:hAnsi="宋体" w:eastAsia="宋体" w:cs="宋体"/>
          <w:b/>
          <w:color w:val="auto"/>
          <w:sz w:val="24"/>
          <w:highlight w:val="none"/>
        </w:rPr>
        <w:t>.磋商费用</w:t>
      </w:r>
    </w:p>
    <w:p w14:paraId="79D94F38">
      <w:pPr>
        <w:spacing w:line="360" w:lineRule="auto"/>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rPr>
        <w:t>不论磋商的结果如何，供应商应承担其所有与准备和参加磋商有关的费用。</w:t>
      </w:r>
    </w:p>
    <w:p w14:paraId="65D78D1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.适用法律</w:t>
      </w:r>
    </w:p>
    <w:p w14:paraId="6EF4C48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采购人、采购代理机构、供应商、磋商小组的相关行为均受《中华人民共和国政府采购法》、《中华人民共和国政府采购法实施条例》及本项目本级和上级财政部门、政府采购监督管理部门的政府采购有关规定的约束，其权利受到上述法律法规的保护。</w:t>
      </w:r>
    </w:p>
    <w:p w14:paraId="38A620F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5</w:t>
      </w:r>
      <w:r>
        <w:rPr>
          <w:rFonts w:hint="eastAsia" w:ascii="宋体" w:hAnsi="宋体" w:eastAsia="宋体" w:cs="宋体"/>
          <w:b/>
          <w:color w:val="auto"/>
          <w:sz w:val="24"/>
          <w:highlight w:val="none"/>
        </w:rPr>
        <w:t>.磋商文件构成</w:t>
      </w:r>
    </w:p>
    <w:p w14:paraId="48EE829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.1磋商文件包括下列内容：</w:t>
      </w:r>
    </w:p>
    <w:p w14:paraId="6FB916E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第一章  磋商邀请</w:t>
      </w:r>
    </w:p>
    <w:p w14:paraId="73F87EB0">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第二章  供应商须知</w:t>
      </w:r>
    </w:p>
    <w:p w14:paraId="1F27BC13">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第三章  采购需求</w:t>
      </w:r>
    </w:p>
    <w:p w14:paraId="7279AB0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第四章  评审方法和标准</w:t>
      </w:r>
    </w:p>
    <w:p w14:paraId="57FC0099">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第五章  政府采购合同</w:t>
      </w:r>
    </w:p>
    <w:p w14:paraId="12C06AEF">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第六章  响应文件格式</w:t>
      </w:r>
    </w:p>
    <w:p w14:paraId="73B194FC">
      <w:pPr>
        <w:spacing w:line="360" w:lineRule="auto"/>
        <w:ind w:firstLine="840" w:firstLineChars="350"/>
        <w:rPr>
          <w:rFonts w:hint="eastAsia" w:ascii="宋体" w:hAnsi="宋体" w:eastAsia="宋体" w:cs="宋体"/>
          <w:color w:val="auto"/>
          <w:sz w:val="24"/>
          <w:highlight w:val="none"/>
        </w:rPr>
      </w:pPr>
      <w:r>
        <w:rPr>
          <w:rFonts w:hint="eastAsia" w:ascii="宋体" w:hAnsi="宋体" w:eastAsia="宋体" w:cs="宋体"/>
          <w:color w:val="auto"/>
          <w:sz w:val="24"/>
          <w:highlight w:val="none"/>
        </w:rPr>
        <w:t>第</w:t>
      </w:r>
      <w:r>
        <w:rPr>
          <w:rFonts w:hint="eastAsia" w:ascii="宋体" w:hAnsi="宋体" w:eastAsia="宋体" w:cs="宋体"/>
          <w:color w:val="auto"/>
          <w:sz w:val="24"/>
          <w:highlight w:val="none"/>
          <w:lang w:val="en-US" w:eastAsia="zh-CN"/>
        </w:rPr>
        <w:t>七</w:t>
      </w:r>
      <w:r>
        <w:rPr>
          <w:rFonts w:hint="eastAsia" w:ascii="宋体" w:hAnsi="宋体" w:eastAsia="宋体" w:cs="宋体"/>
          <w:color w:val="auto"/>
          <w:sz w:val="24"/>
          <w:highlight w:val="none"/>
        </w:rPr>
        <w:t>章  政府采购供应商询问函和质疑函范本</w:t>
      </w:r>
    </w:p>
    <w:p w14:paraId="350B152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现场考察</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标前答疑会</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及相关事项见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4160D3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供应商应认真阅读磋商文件所有的事项、格式、条款和技术规范等。</w:t>
      </w:r>
    </w:p>
    <w:p w14:paraId="29FB55A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6</w:t>
      </w:r>
      <w:r>
        <w:rPr>
          <w:rFonts w:hint="eastAsia" w:ascii="宋体" w:hAnsi="宋体" w:eastAsia="宋体" w:cs="宋体"/>
          <w:b/>
          <w:color w:val="auto"/>
          <w:sz w:val="24"/>
          <w:highlight w:val="none"/>
        </w:rPr>
        <w:t>.磋商文件的澄清与修改</w:t>
      </w:r>
    </w:p>
    <w:p w14:paraId="02EC20C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.1供应商如对磋商文件内容有疑问，必须在</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规定的网上询问截止时间前以网上提问形式（电子交易系统）提交给采购代理机构。</w:t>
      </w:r>
    </w:p>
    <w:p w14:paraId="6F7FD04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.2采购人可主动地或在</w:t>
      </w:r>
      <w:r>
        <w:rPr>
          <w:rFonts w:hint="eastAsia" w:ascii="宋体" w:hAnsi="宋体" w:eastAsia="宋体" w:cs="宋体"/>
          <w:color w:val="auto"/>
          <w:sz w:val="24"/>
          <w:highlight w:val="none"/>
          <w:lang w:val="en-US" w:eastAsia="zh-CN"/>
        </w:rPr>
        <w:t>答复供应商</w:t>
      </w:r>
      <w:r>
        <w:rPr>
          <w:rFonts w:hint="eastAsia" w:ascii="宋体" w:hAnsi="宋体" w:eastAsia="宋体" w:cs="宋体"/>
          <w:color w:val="auto"/>
          <w:sz w:val="24"/>
          <w:highlight w:val="none"/>
        </w:rPr>
        <w:t>提出的</w:t>
      </w:r>
      <w:r>
        <w:rPr>
          <w:rFonts w:hint="eastAsia" w:ascii="宋体" w:hAnsi="宋体" w:eastAsia="宋体" w:cs="宋体"/>
          <w:color w:val="auto"/>
          <w:sz w:val="24"/>
          <w:highlight w:val="none"/>
          <w:lang w:val="en-US" w:eastAsia="zh-CN"/>
        </w:rPr>
        <w:t>询问</w:t>
      </w:r>
      <w:r>
        <w:rPr>
          <w:rFonts w:hint="eastAsia" w:ascii="宋体" w:hAnsi="宋体" w:eastAsia="宋体" w:cs="宋体"/>
          <w:color w:val="auto"/>
          <w:sz w:val="24"/>
          <w:highlight w:val="none"/>
        </w:rPr>
        <w:t>时对</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文件进行澄清与修改。采购代理机构将在</w:t>
      </w:r>
      <w:r>
        <w:rPr>
          <w:rFonts w:hint="eastAsia" w:ascii="宋体" w:hAnsi="宋体" w:eastAsia="宋体" w:cs="宋体"/>
          <w:color w:val="auto"/>
          <w:sz w:val="24"/>
          <w:szCs w:val="24"/>
          <w:highlight w:val="none"/>
        </w:rPr>
        <w:t>安徽省政府采购网</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18"/>
          <w:highlight w:val="none"/>
          <w:lang w:eastAsia="zh-CN"/>
        </w:rPr>
        <w:t>滁州市公共资源交易</w:t>
      </w:r>
      <w:r>
        <w:rPr>
          <w:rFonts w:hint="eastAsia" w:ascii="宋体" w:hAnsi="宋体" w:eastAsia="宋体" w:cs="宋体"/>
          <w:color w:val="auto"/>
          <w:sz w:val="24"/>
          <w:szCs w:val="18"/>
          <w:highlight w:val="none"/>
          <w:lang w:val="en-US" w:eastAsia="zh-CN"/>
        </w:rPr>
        <w:t>中心</w:t>
      </w:r>
      <w:r>
        <w:rPr>
          <w:rFonts w:hint="eastAsia" w:ascii="宋体" w:hAnsi="宋体" w:eastAsia="宋体" w:cs="宋体"/>
          <w:color w:val="auto"/>
          <w:sz w:val="24"/>
          <w:szCs w:val="18"/>
          <w:highlight w:val="none"/>
          <w:lang w:eastAsia="zh-CN"/>
        </w:rPr>
        <w:t>网</w:t>
      </w:r>
      <w:r>
        <w:rPr>
          <w:rFonts w:hint="eastAsia" w:ascii="宋体" w:hAnsi="宋体" w:eastAsia="宋体" w:cs="宋体"/>
          <w:color w:val="auto"/>
          <w:sz w:val="24"/>
          <w:highlight w:val="none"/>
        </w:rPr>
        <w:t>发布更正公告的方式澄清或者修改磋商文件，更正公告的内容作为磋商文件的组成部分，对供应商起约束作用。供应商应主动上网查询。采购代理机构不承担供应商未及时关注相关信息引发的相关责任。</w:t>
      </w:r>
    </w:p>
    <w:p w14:paraId="0F12E0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392CA0D9">
      <w:pPr>
        <w:spacing w:line="360" w:lineRule="auto"/>
        <w:ind w:firstLine="435"/>
        <w:rPr>
          <w:rFonts w:hint="eastAsia" w:ascii="宋体" w:hAnsi="宋体" w:eastAsia="宋体" w:cs="宋体"/>
          <w:iCs/>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.4对于没有提出询问又参与了本项目磋商的供应商将被视为完全认同本磋商文件（含更正公告的内容）</w:t>
      </w:r>
      <w:r>
        <w:rPr>
          <w:rFonts w:hint="eastAsia" w:ascii="宋体" w:hAnsi="宋体" w:eastAsia="宋体" w:cs="宋体"/>
          <w:i/>
          <w:color w:val="auto"/>
          <w:sz w:val="24"/>
          <w:highlight w:val="none"/>
        </w:rPr>
        <w:t>。</w:t>
      </w:r>
    </w:p>
    <w:p w14:paraId="5C59DBA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7</w:t>
      </w:r>
      <w:r>
        <w:rPr>
          <w:rFonts w:hint="eastAsia" w:ascii="宋体" w:hAnsi="宋体" w:eastAsia="宋体" w:cs="宋体"/>
          <w:b/>
          <w:color w:val="auto"/>
          <w:sz w:val="24"/>
          <w:highlight w:val="none"/>
        </w:rPr>
        <w:t>.磋商范围及响应文件中标准和计量单位的使用</w:t>
      </w:r>
    </w:p>
    <w:p w14:paraId="0E1BD22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.1项目有分包的，供应商可参与其中某一个或多个分包的磋商，成交包数详见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w:t>
      </w:r>
    </w:p>
    <w:p w14:paraId="1D6171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.2无论磋商文件中是否要求，供应商所承担工程及伴随的货物和服务均应符合国家强制性标准。</w:t>
      </w:r>
    </w:p>
    <w:p w14:paraId="7DDCC53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3供应商与采购代理机构之间与磋商有关的所有往来通知、函件和响应文件均用中文表述。供应商随响应文件提供的证明文件和资料可以为其他语言，但必须附中文译文。翻译的中文资料与外文资料如果出现差异时，以中文为准。</w:t>
      </w:r>
    </w:p>
    <w:p w14:paraId="4BB0469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7</w:t>
      </w:r>
      <w:r>
        <w:rPr>
          <w:rFonts w:hint="eastAsia" w:ascii="宋体" w:hAnsi="宋体" w:eastAsia="宋体" w:cs="宋体"/>
          <w:color w:val="auto"/>
          <w:sz w:val="24"/>
          <w:highlight w:val="none"/>
        </w:rPr>
        <w:t>.4除磋商文件中有特殊要求外，响应文件中所使用的计量单位，应采用中华人民共和国法定计量单位。</w:t>
      </w:r>
    </w:p>
    <w:p w14:paraId="083E875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8</w:t>
      </w:r>
      <w:r>
        <w:rPr>
          <w:rFonts w:hint="eastAsia" w:ascii="宋体" w:hAnsi="宋体" w:eastAsia="宋体" w:cs="宋体"/>
          <w:b/>
          <w:color w:val="auto"/>
          <w:sz w:val="24"/>
          <w:highlight w:val="none"/>
        </w:rPr>
        <w:t>.响应文件构成</w:t>
      </w:r>
    </w:p>
    <w:p w14:paraId="40E9BEA0">
      <w:pPr>
        <w:spacing w:line="360" w:lineRule="auto"/>
        <w:ind w:firstLine="437"/>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.1供应商应完整地按磋商文件提供的响应文件格式及要求编写响应文件，具体内容详见第六章响应文件格式的相关内容。</w:t>
      </w:r>
    </w:p>
    <w:p w14:paraId="68F64D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8.2</w:t>
      </w:r>
      <w:r>
        <w:rPr>
          <w:rFonts w:hint="eastAsia" w:ascii="宋体" w:hAnsi="宋体" w:eastAsia="宋体" w:cs="宋体"/>
          <w:color w:val="auto"/>
          <w:sz w:val="24"/>
          <w:highlight w:val="none"/>
        </w:rPr>
        <w:t>供应商应提交磋商文件要求的证明文件，证明其响应内容符合磋商文件规定。该证明文件是响应文件的一部分。证明文件</w:t>
      </w:r>
      <w:r>
        <w:rPr>
          <w:rFonts w:hint="eastAsia" w:ascii="宋体" w:hAnsi="宋体" w:eastAsia="宋体" w:cs="宋体"/>
          <w:color w:val="auto"/>
          <w:sz w:val="24"/>
          <w:highlight w:val="none"/>
          <w:lang w:val="en-US" w:eastAsia="zh-CN"/>
        </w:rPr>
        <w:t>形式</w:t>
      </w:r>
      <w:r>
        <w:rPr>
          <w:rFonts w:hint="eastAsia" w:ascii="宋体" w:hAnsi="宋体" w:eastAsia="宋体" w:cs="宋体"/>
          <w:color w:val="auto"/>
          <w:sz w:val="24"/>
          <w:highlight w:val="none"/>
        </w:rPr>
        <w:t>可以是文字资料、图纸和数据</w:t>
      </w:r>
      <w:bookmarkStart w:id="28" w:name="_Hlk11703583"/>
      <w:r>
        <w:rPr>
          <w:rFonts w:hint="eastAsia" w:ascii="宋体" w:hAnsi="宋体" w:eastAsia="宋体" w:cs="宋体"/>
          <w:color w:val="auto"/>
          <w:sz w:val="24"/>
          <w:highlight w:val="none"/>
        </w:rPr>
        <w:t>。</w:t>
      </w:r>
      <w:bookmarkEnd w:id="28"/>
    </w:p>
    <w:p w14:paraId="43BA6CB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8</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为保证公平公正，除非磋商文件另有规定或说明，供应商对同一项目磋商时，不得同时提供备选磋商方案。</w:t>
      </w:r>
    </w:p>
    <w:p w14:paraId="79F71C33">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9</w:t>
      </w:r>
      <w:r>
        <w:rPr>
          <w:rFonts w:hint="eastAsia" w:ascii="宋体" w:hAnsi="宋体" w:eastAsia="宋体" w:cs="宋体"/>
          <w:b/>
          <w:color w:val="auto"/>
          <w:sz w:val="24"/>
          <w:highlight w:val="none"/>
        </w:rPr>
        <w:t>.报价</w:t>
      </w:r>
    </w:p>
    <w:p w14:paraId="48C2C0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.1供应商的报价应当包括满足本次磋商全部内容。所有报价均应以人民币报价，供应商的磋商报价应遵守《中华人民共和国价格法》。</w:t>
      </w:r>
    </w:p>
    <w:p w14:paraId="305980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最后报价均不得高于磋商文件（公告）列明的项目预算、最高投标限价，否则其响应文件将被认定为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44C900F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报价在合同履行过程中是固定不变的，不得以任何理由予以变更。任何包含价格调整要求的报价，其响应文件将被认定为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2831DD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采购人不接受具有附加条件的报价。</w:t>
      </w:r>
    </w:p>
    <w:p w14:paraId="74FF7BF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10</w:t>
      </w:r>
      <w:r>
        <w:rPr>
          <w:rFonts w:hint="eastAsia" w:ascii="宋体" w:hAnsi="宋体" w:eastAsia="宋体" w:cs="宋体"/>
          <w:b/>
          <w:color w:val="auto"/>
          <w:sz w:val="24"/>
          <w:highlight w:val="none"/>
        </w:rPr>
        <w:t>.磋商保证金</w:t>
      </w:r>
    </w:p>
    <w:p w14:paraId="37C90A1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10</w:t>
      </w:r>
      <w:r>
        <w:rPr>
          <w:rFonts w:hint="eastAsia" w:ascii="宋体" w:hAnsi="宋体" w:eastAsia="宋体" w:cs="宋体"/>
          <w:color w:val="auto"/>
          <w:sz w:val="24"/>
          <w:highlight w:val="none"/>
        </w:rPr>
        <w:t>.1本项目不收取磋商保证金。</w:t>
      </w:r>
    </w:p>
    <w:p w14:paraId="7DFCCC9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11</w:t>
      </w:r>
      <w:r>
        <w:rPr>
          <w:rFonts w:hint="eastAsia" w:ascii="宋体" w:hAnsi="宋体" w:eastAsia="宋体" w:cs="宋体"/>
          <w:b/>
          <w:color w:val="auto"/>
          <w:sz w:val="24"/>
          <w:highlight w:val="none"/>
        </w:rPr>
        <w:t>.磋商有效期</w:t>
      </w:r>
    </w:p>
    <w:p w14:paraId="1F15EA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.1磋商有效期为从响应文件提交截止之日算起的日历天数，磋商有效期详见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6600E94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.2在磋商有效期内，供应商的磋商保持有效，供应商不得要求撤销或修改其响应文件。磋商有效期不满足要求的响应，其响应文件将被认定为</w:t>
      </w:r>
      <w:r>
        <w:rPr>
          <w:rFonts w:hint="eastAsia" w:ascii="宋体" w:hAnsi="宋体" w:eastAsia="宋体" w:cs="宋体"/>
          <w:b/>
          <w:color w:val="auto"/>
          <w:sz w:val="24"/>
          <w:highlight w:val="none"/>
        </w:rPr>
        <w:t>响应无效</w:t>
      </w:r>
      <w:r>
        <w:rPr>
          <w:rFonts w:hint="eastAsia" w:ascii="宋体" w:hAnsi="宋体" w:eastAsia="宋体" w:cs="宋体"/>
          <w:color w:val="auto"/>
          <w:sz w:val="24"/>
          <w:highlight w:val="none"/>
        </w:rPr>
        <w:t>。</w:t>
      </w:r>
    </w:p>
    <w:p w14:paraId="597AEA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7F12EBC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.响应文件的提交、修改与撤回</w:t>
      </w:r>
    </w:p>
    <w:p w14:paraId="07514E8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在滁州市公共资源交易中心网，利用用户名或CA锁登录下载磋商文件(.czzf格式)后，在下载“响应文件制作工具”安装后，在线制作响应文件，制作好的响应文件格式有2种:第一种.cztf格式加密响应文件；第二种.ncztf格式是非加密响应文件。请供应商将第一种响应文件通过系统“上传响应文件”上传到系统中。</w:t>
      </w:r>
    </w:p>
    <w:p w14:paraId="73BA51D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（2）如果一个项目有多个标段，则需按标段下载对应标段磋商文件分别生成对应的响应文件，通过系统“上传响应文件”按标段分别上传到系统中。</w:t>
      </w:r>
    </w:p>
    <w:p w14:paraId="1EB9098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（3）请供应商通过系统下载“响应文件制作工具”制作响应文件，并利用CA锁进行上传响应文件，上传已加密的响应文件，务必通过此方式上传响应文件。</w:t>
      </w:r>
    </w:p>
    <w:p w14:paraId="29D2BAF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（4）供应商在响应文件编制、签章、上传过程中如有任何操作的疑问请及时联系技术支持，电话：0550-3801701。</w:t>
      </w:r>
    </w:p>
    <w:p w14:paraId="5A9A818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如果因供应商自身原因导致响应文件在规定时间内未能解密、解密失败或解密超时，响应文件无效；因采购代理机构原因或网上平台发生故障，导致无法按时完成响应文件解密的，经采购代理机构申请后可延迟解密时间。</w:t>
      </w:r>
    </w:p>
    <w:p w14:paraId="7EDC98E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12.2供应商应当在响应文件提交截止时间前完成响应文件的传输提交，并可以补充、修改或者撤回响应文件。响应文件提交截止时间前未完成响应文件传输的，视为撤回响应文件。未按规定加密或响应文件提交截止时间后送达的响应文件，电子交易系统应当拒收。</w:t>
      </w:r>
    </w:p>
    <w:p w14:paraId="5F93C51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12.3供应商应在供应商须知前附表规定的解密时间前对其响应文件进行解密，未在规定时间内进行解密的，响应无效。</w:t>
      </w:r>
    </w:p>
    <w:p w14:paraId="1D85BEB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12.4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20FB2CC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13</w:t>
      </w:r>
      <w:r>
        <w:rPr>
          <w:rFonts w:hint="eastAsia" w:ascii="宋体" w:hAnsi="宋体" w:eastAsia="宋体" w:cs="宋体"/>
          <w:b/>
          <w:color w:val="auto"/>
          <w:sz w:val="24"/>
          <w:highlight w:val="none"/>
        </w:rPr>
        <w:t>.磋商小组</w:t>
      </w:r>
    </w:p>
    <w:p w14:paraId="3BEB085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.1本项目将依法组建磋商小组，磋商小组成员由3人以上单数组成，磋商小组及其成员应当依照政府采购的有关规定履行相关职责和义务。</w:t>
      </w:r>
    </w:p>
    <w:p w14:paraId="0FE0AB3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.2磋商小组依法对响应文件进行评审，并根据磋商文件规定的程序、评定成交的标准等事项与实质性响应磋商文件要求的供应商进行磋商。</w:t>
      </w:r>
    </w:p>
    <w:p w14:paraId="3A446D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.3磋商小组应当从质量和服务均能满足磋商文件实质性响应要求的供应商中，按照评审方法和标准推荐成交候选供应商，并编写评审报告。</w:t>
      </w:r>
    </w:p>
    <w:p w14:paraId="217B96C1">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1</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.响应文件的评审与磋商</w:t>
      </w:r>
    </w:p>
    <w:p w14:paraId="6C50E9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.1采购人和采购代理机构将在</w:t>
      </w:r>
      <w:r>
        <w:rPr>
          <w:rFonts w:hint="eastAsia" w:ascii="宋体" w:hAnsi="宋体" w:eastAsia="宋体" w:cs="宋体"/>
          <w:color w:val="auto"/>
          <w:kern w:val="2"/>
          <w:sz w:val="24"/>
          <w:highlight w:val="none"/>
          <w:u w:val="none"/>
          <w:lang w:val="en-US" w:eastAsia="zh-CN"/>
        </w:rPr>
        <w:t>竞争性磋商公告</w:t>
      </w:r>
      <w:r>
        <w:rPr>
          <w:rFonts w:hint="eastAsia" w:ascii="宋体" w:hAnsi="宋体" w:eastAsia="宋体" w:cs="宋体"/>
          <w:color w:val="auto"/>
          <w:sz w:val="24"/>
          <w:highlight w:val="none"/>
        </w:rPr>
        <w:t>规定的时间和地点组织磋商。</w:t>
      </w:r>
    </w:p>
    <w:p w14:paraId="2DFEB2A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.2竞争性磋商活动采用综合评分法评审。</w:t>
      </w:r>
    </w:p>
    <w:p w14:paraId="1F4540A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综合评分法，是指响应文件满足磋商文件全部实质性要求且按评审因素的量化指标评审得分最高的供应商为成交候选供应商的评审方法。</w:t>
      </w:r>
    </w:p>
    <w:p w14:paraId="19BC3EA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.3磋商小组将按照磋商文件规定的评审方法和标准对供应商独立进行评审。评审程序如下：</w:t>
      </w:r>
    </w:p>
    <w:p w14:paraId="4482F96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.3.1</w:t>
      </w:r>
      <w:r>
        <w:rPr>
          <w:rFonts w:hint="eastAsia" w:ascii="宋体" w:hAnsi="宋体" w:eastAsia="宋体" w:cs="宋体"/>
          <w:b/>
          <w:color w:val="auto"/>
          <w:sz w:val="24"/>
          <w:highlight w:val="none"/>
        </w:rPr>
        <w:t>初审</w:t>
      </w:r>
      <w:r>
        <w:rPr>
          <w:rFonts w:hint="eastAsia" w:ascii="宋体" w:hAnsi="宋体" w:eastAsia="宋体" w:cs="宋体"/>
          <w:color w:val="auto"/>
          <w:sz w:val="24"/>
          <w:highlight w:val="none"/>
        </w:rPr>
        <w:t>。磋商小组对供应商必须满足和实质性响应的内容进行评审，供应商未实质性响应磋商文件要求导致响应无效的，磋商小组将以书面询标的方式告知有关供应商。</w:t>
      </w:r>
    </w:p>
    <w:p w14:paraId="7FC97184">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采购人或采购代理机构将在响应文件提交截止时间后至评审结束前通过“信用中国”网站(www.creditchina.gov.cn)、中国政府采购网(www.ccgp.gov.cn)查询相关</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color w:val="auto"/>
          <w:sz w:val="24"/>
          <w:szCs w:val="24"/>
          <w:highlight w:val="none"/>
        </w:rPr>
        <w:t>响应无效</w:t>
      </w:r>
      <w:r>
        <w:rPr>
          <w:rFonts w:hint="eastAsia" w:ascii="宋体" w:hAnsi="宋体" w:eastAsia="宋体" w:cs="宋体"/>
          <w:color w:val="auto"/>
          <w:sz w:val="24"/>
          <w:szCs w:val="24"/>
          <w:highlight w:val="none"/>
        </w:rPr>
        <w:t>。</w:t>
      </w:r>
    </w:p>
    <w:p w14:paraId="13A6B587">
      <w:pPr>
        <w:spacing w:line="360" w:lineRule="auto"/>
        <w:ind w:firstLine="43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的，联合体成员存在以上不良信用记录的，联合体</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将被认定为</w:t>
      </w:r>
      <w:r>
        <w:rPr>
          <w:rFonts w:hint="eastAsia" w:ascii="宋体" w:hAnsi="宋体" w:eastAsia="宋体" w:cs="宋体"/>
          <w:b/>
          <w:color w:val="auto"/>
          <w:sz w:val="24"/>
          <w:szCs w:val="24"/>
          <w:highlight w:val="none"/>
          <w:lang w:val="en-US" w:eastAsia="zh-CN"/>
        </w:rPr>
        <w:t>响应</w:t>
      </w:r>
      <w:r>
        <w:rPr>
          <w:rFonts w:hint="eastAsia" w:ascii="宋体" w:hAnsi="宋体" w:eastAsia="宋体" w:cs="宋体"/>
          <w:b/>
          <w:color w:val="auto"/>
          <w:sz w:val="24"/>
          <w:szCs w:val="24"/>
          <w:highlight w:val="none"/>
        </w:rPr>
        <w:t>无效</w:t>
      </w:r>
      <w:r>
        <w:rPr>
          <w:rFonts w:hint="eastAsia" w:ascii="宋体" w:hAnsi="宋体" w:eastAsia="宋体" w:cs="宋体"/>
          <w:color w:val="auto"/>
          <w:sz w:val="24"/>
          <w:szCs w:val="24"/>
          <w:highlight w:val="none"/>
        </w:rPr>
        <w:t>。</w:t>
      </w:r>
    </w:p>
    <w:p w14:paraId="7AF17FB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szCs w:val="24"/>
          <w:highlight w:val="none"/>
        </w:rPr>
        <w:t>以上信用查询记录，采购人或采购代理机构将下载查询结果页面后与其他采购文件一并保存。</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不良信用记录以采购人或采购代理机构查询结果为准。在本</w:t>
      </w:r>
      <w:r>
        <w:rPr>
          <w:rFonts w:hint="eastAsia" w:ascii="宋体" w:hAnsi="宋体" w:eastAsia="宋体" w:cs="宋体"/>
          <w:color w:val="auto"/>
          <w:sz w:val="24"/>
          <w:szCs w:val="24"/>
          <w:highlight w:val="none"/>
          <w:lang w:val="en-US" w:eastAsia="zh-CN"/>
        </w:rPr>
        <w:t>采购</w:t>
      </w:r>
      <w:r>
        <w:rPr>
          <w:rFonts w:hint="eastAsia" w:ascii="宋体" w:hAnsi="宋体" w:eastAsia="宋体" w:cs="宋体"/>
          <w:color w:val="auto"/>
          <w:sz w:val="24"/>
          <w:szCs w:val="24"/>
          <w:highlight w:val="none"/>
        </w:rPr>
        <w:t>文件规定的查询时间之外，网站信息发生的任何变更均不作为初审依据。</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自行提供的与网站信息不一致的其他证明材料亦不作为</w:t>
      </w:r>
      <w:r>
        <w:rPr>
          <w:rFonts w:hint="eastAsia" w:ascii="宋体" w:hAnsi="宋体" w:eastAsia="宋体" w:cs="宋体"/>
          <w:color w:val="auto"/>
          <w:sz w:val="24"/>
          <w:szCs w:val="24"/>
          <w:highlight w:val="none"/>
          <w:lang w:val="en-US" w:eastAsia="zh-CN"/>
        </w:rPr>
        <w:t>初审</w:t>
      </w:r>
      <w:r>
        <w:rPr>
          <w:rFonts w:hint="eastAsia" w:ascii="宋体" w:hAnsi="宋体" w:eastAsia="宋体" w:cs="宋体"/>
          <w:color w:val="auto"/>
          <w:sz w:val="24"/>
          <w:szCs w:val="24"/>
          <w:highlight w:val="none"/>
        </w:rPr>
        <w:t>依据。</w:t>
      </w:r>
    </w:p>
    <w:p w14:paraId="759548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.3.2</w:t>
      </w:r>
      <w:r>
        <w:rPr>
          <w:rFonts w:hint="eastAsia" w:ascii="宋体" w:hAnsi="宋体" w:eastAsia="宋体" w:cs="宋体"/>
          <w:b/>
          <w:color w:val="auto"/>
          <w:sz w:val="24"/>
          <w:highlight w:val="none"/>
        </w:rPr>
        <w:t>磋商</w:t>
      </w:r>
      <w:r>
        <w:rPr>
          <w:rFonts w:hint="eastAsia" w:ascii="宋体" w:hAnsi="宋体" w:eastAsia="宋体" w:cs="宋体"/>
          <w:color w:val="auto"/>
          <w:sz w:val="24"/>
          <w:highlight w:val="none"/>
        </w:rPr>
        <w:t>。初审合格后，磋商小组将按网上加密电子响应文件提交顺序集中与单一供应商分别进行磋商，并给予所有参加磋商的供应商平等的磋商机会。</w:t>
      </w:r>
    </w:p>
    <w:p w14:paraId="2B26807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.3.3</w:t>
      </w:r>
      <w:r>
        <w:rPr>
          <w:rFonts w:hint="eastAsia" w:ascii="宋体" w:hAnsi="宋体" w:eastAsia="宋体" w:cs="宋体"/>
          <w:b/>
          <w:color w:val="auto"/>
          <w:sz w:val="24"/>
          <w:highlight w:val="none"/>
        </w:rPr>
        <w:t>报价</w:t>
      </w:r>
      <w:r>
        <w:rPr>
          <w:rFonts w:hint="eastAsia" w:ascii="宋体" w:hAnsi="宋体" w:eastAsia="宋体" w:cs="宋体"/>
          <w:color w:val="auto"/>
          <w:sz w:val="24"/>
          <w:highlight w:val="none"/>
        </w:rPr>
        <w:t>。磋商结束后，磋商小组应当要求所有实质性响应的供应商在规定时间内提交最后报价。</w:t>
      </w:r>
    </w:p>
    <w:p w14:paraId="64B190A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.3.4</w:t>
      </w:r>
      <w:r>
        <w:rPr>
          <w:rFonts w:hint="eastAsia" w:ascii="宋体" w:hAnsi="宋体" w:eastAsia="宋体" w:cs="宋体"/>
          <w:b/>
          <w:color w:val="auto"/>
          <w:sz w:val="24"/>
          <w:highlight w:val="none"/>
        </w:rPr>
        <w:t>综合评分</w:t>
      </w:r>
      <w:r>
        <w:rPr>
          <w:rFonts w:hint="eastAsia" w:ascii="宋体" w:hAnsi="宋体" w:eastAsia="宋体" w:cs="宋体"/>
          <w:color w:val="auto"/>
          <w:sz w:val="24"/>
          <w:highlight w:val="none"/>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0FE8D60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.4相关说明。</w:t>
      </w:r>
    </w:p>
    <w:p w14:paraId="46E7C92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.4.1为保证磋商活动顺利进行，供应商可派相关技术人员进行网上答疑； </w:t>
      </w:r>
    </w:p>
    <w:p w14:paraId="50740FC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4.2磋商小组根据与供应商磋商情况可能实质性变动磋商文件的内容，包括采购需求中的技术、服务要求以及合同草案条款。磋商文件有实质性变动的，经采购人代表确认作为磋商文件的有效组成部分，磋商小组将以书面形式通知所有参加磋商的供应商。</w:t>
      </w:r>
    </w:p>
    <w:p w14:paraId="145BD9A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宋体" w:hAnsi="宋体" w:eastAsia="宋体" w:cs="宋体"/>
          <w:b/>
          <w:color w:val="auto"/>
          <w:sz w:val="24"/>
          <w:highlight w:val="none"/>
        </w:rPr>
        <w:t>响应无效。</w:t>
      </w:r>
    </w:p>
    <w:p w14:paraId="1900173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.4.4无论何种原因，即使供应商磋商时携带了证书材料的原件，但响应文件中未提供与之内容完全一致的扫描件的，磋商小组可以视同其未提供。</w:t>
      </w:r>
    </w:p>
    <w:p w14:paraId="05AF554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.4.5磋商小组决定响应文件的响应性及符合性只根据响应文件本身的内容，而不寻求其他外部证据。</w:t>
      </w:r>
    </w:p>
    <w:p w14:paraId="61C2A9A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 xml:space="preserve">.5供应商授权代表对磋商过程有疑义，以及认为采购人、采购代理机构相关工作人员有需要回避的情形的，应当场提出询问或者回避申请，并说明理由。 </w:t>
      </w:r>
    </w:p>
    <w:p w14:paraId="487A7CBF">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15</w:t>
      </w:r>
      <w:r>
        <w:rPr>
          <w:rFonts w:hint="eastAsia" w:ascii="宋体" w:hAnsi="宋体" w:eastAsia="宋体" w:cs="宋体"/>
          <w:b/>
          <w:color w:val="auto"/>
          <w:sz w:val="24"/>
          <w:highlight w:val="none"/>
        </w:rPr>
        <w:t>.终止竞争性磋商</w:t>
      </w:r>
    </w:p>
    <w:p w14:paraId="4C526E5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15</w:t>
      </w:r>
      <w:r>
        <w:rPr>
          <w:rFonts w:hint="eastAsia" w:ascii="宋体" w:hAnsi="宋体" w:eastAsia="宋体" w:cs="宋体"/>
          <w:color w:val="auto"/>
          <w:sz w:val="24"/>
          <w:highlight w:val="none"/>
        </w:rPr>
        <w:t>.1出现下列情况之一时，采购人和采购代理机构有权宣布终止竞争性磋商采购，并将理由通知所有供应商：</w:t>
      </w:r>
    </w:p>
    <w:p w14:paraId="6018D29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（1）有效供应商数量不足，导致本次磋商缺乏竞争的；</w:t>
      </w:r>
    </w:p>
    <w:p w14:paraId="1E14B81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（2）出现影响采购公正的违法、违规行为的；</w:t>
      </w:r>
    </w:p>
    <w:p w14:paraId="1A0F368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（3）因重大变故，采购任务取消的；</w:t>
      </w:r>
    </w:p>
    <w:p w14:paraId="4E6FA28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（4）政府采购法律法规规定的其他情形。</w:t>
      </w:r>
    </w:p>
    <w:p w14:paraId="56BE0A42">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16</w:t>
      </w:r>
      <w:r>
        <w:rPr>
          <w:rFonts w:hint="eastAsia" w:ascii="宋体" w:hAnsi="宋体" w:eastAsia="宋体" w:cs="宋体"/>
          <w:b/>
          <w:color w:val="auto"/>
          <w:sz w:val="24"/>
          <w:highlight w:val="none"/>
        </w:rPr>
        <w:t>.响应文件的澄清、说明或更正</w:t>
      </w:r>
    </w:p>
    <w:p w14:paraId="192D5DF9">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51089BFA">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16</w:t>
      </w:r>
      <w:r>
        <w:rPr>
          <w:rFonts w:hint="eastAsia" w:ascii="宋体" w:hAnsi="宋体" w:eastAsia="宋体" w:cs="宋体"/>
          <w:color w:val="auto"/>
          <w:sz w:val="24"/>
          <w:highlight w:val="none"/>
        </w:rPr>
        <w:t>.2磋商小组要求供应商澄清、说明或者更正响应文件应当以书面形式（询标）作出。供应商的澄清、说明或者更正应当由法定代表人或其授权代表签字或者加盖公章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电子签章</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rPr>
        <w:t>。</w:t>
      </w:r>
    </w:p>
    <w:p w14:paraId="3A5699D8">
      <w:pPr>
        <w:spacing w:line="360" w:lineRule="auto"/>
        <w:ind w:firstLine="435"/>
        <w:rPr>
          <w:rFonts w:hint="eastAsia" w:ascii="宋体" w:hAnsi="宋体" w:eastAsia="宋体" w:cs="宋体"/>
          <w:color w:val="auto"/>
          <w:sz w:val="24"/>
          <w:highlight w:val="none"/>
        </w:rPr>
      </w:pPr>
      <w:r>
        <w:rPr>
          <w:rFonts w:hint="eastAsia" w:ascii="宋体" w:hAnsi="宋体" w:eastAsia="宋体" w:cs="宋体"/>
          <w:b/>
          <w:color w:val="auto"/>
          <w:sz w:val="24"/>
          <w:highlight w:val="none"/>
        </w:rPr>
        <w:t>如有询标，授权代表（或法定代表人）可通过远程登录的方式接受网上询标，也可凭本人有效身份证明参加询标。因授权代表联系不上</w:t>
      </w:r>
      <w:r>
        <w:rPr>
          <w:rFonts w:hint="eastAsia" w:ascii="宋体" w:hAnsi="宋体" w:eastAsia="宋体" w:cs="宋体"/>
          <w:b/>
          <w:bCs/>
          <w:color w:val="auto"/>
          <w:sz w:val="24"/>
          <w:highlight w:val="none"/>
        </w:rPr>
        <w:t>、没有及时登录系统等情形</w:t>
      </w:r>
      <w:r>
        <w:rPr>
          <w:rFonts w:hint="eastAsia" w:ascii="宋体" w:hAnsi="宋体" w:eastAsia="宋体" w:cs="宋体"/>
          <w:b/>
          <w:color w:val="auto"/>
          <w:sz w:val="24"/>
          <w:highlight w:val="none"/>
        </w:rPr>
        <w:t>而无法接受磋商小组询标的，供应商自行承担相关风险。</w:t>
      </w:r>
    </w:p>
    <w:p w14:paraId="4FDA00C9">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17</w:t>
      </w:r>
      <w:r>
        <w:rPr>
          <w:rFonts w:hint="eastAsia" w:ascii="宋体" w:hAnsi="宋体" w:eastAsia="宋体" w:cs="宋体"/>
          <w:b/>
          <w:color w:val="auto"/>
          <w:sz w:val="24"/>
          <w:highlight w:val="none"/>
        </w:rPr>
        <w:t>.最后报价</w:t>
      </w:r>
    </w:p>
    <w:p w14:paraId="71700F9C">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lang w:eastAsia="zh-CN"/>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.1磋商并不限定只进行二轮报价，如果磋商小组认为有必要，可以要求供应商进行多轮报价。</w:t>
      </w:r>
      <w:r>
        <w:rPr>
          <w:rFonts w:hint="eastAsia" w:ascii="宋体" w:hAnsi="宋体" w:eastAsia="宋体" w:cs="宋体"/>
          <w:color w:val="auto"/>
          <w:sz w:val="24"/>
          <w:highlight w:val="none"/>
          <w:lang w:eastAsia="zh-CN"/>
        </w:rPr>
        <w:t>（</w:t>
      </w:r>
      <w:r>
        <w:rPr>
          <w:rFonts w:hint="eastAsia" w:ascii="宋体" w:hAnsi="宋体" w:eastAsia="宋体" w:cs="宋体"/>
          <w:color w:val="auto"/>
          <w:sz w:val="24"/>
          <w:highlight w:val="none"/>
          <w:lang w:val="en-US" w:eastAsia="zh-CN"/>
        </w:rPr>
        <w:t>本项目约定为两次报价</w:t>
      </w:r>
      <w:r>
        <w:rPr>
          <w:rFonts w:hint="eastAsia" w:ascii="宋体" w:hAnsi="宋体" w:eastAsia="宋体" w:cs="宋体"/>
          <w:color w:val="auto"/>
          <w:sz w:val="24"/>
          <w:highlight w:val="none"/>
          <w:lang w:eastAsia="zh-CN"/>
        </w:rPr>
        <w:t>）</w:t>
      </w:r>
    </w:p>
    <w:p w14:paraId="6373B6E0">
      <w:pPr>
        <w:keepNext w:val="0"/>
        <w:keepLines w:val="0"/>
        <w:pageBreakBefore w:val="0"/>
        <w:widowControl w:val="0"/>
        <w:kinsoku/>
        <w:wordWrap/>
        <w:overflowPunct/>
        <w:topLinePunct w:val="0"/>
        <w:autoSpaceDE/>
        <w:autoSpaceDN/>
        <w:bidi w:val="0"/>
        <w:adjustRightInd/>
        <w:snapToGrid/>
        <w:spacing w:line="360" w:lineRule="auto"/>
        <w:ind w:firstLine="435"/>
        <w:textAlignment w:val="auto"/>
        <w:rPr>
          <w:rFonts w:hint="eastAsia" w:ascii="宋体" w:hAnsi="宋体" w:eastAsia="宋体" w:cs="宋体"/>
          <w:color w:val="auto"/>
          <w:sz w:val="24"/>
          <w:highlight w:val="none"/>
        </w:rPr>
      </w:pPr>
      <w:r>
        <w:rPr>
          <w:rFonts w:hint="eastAsia" w:ascii="宋体" w:hAnsi="宋体" w:eastAsia="宋体" w:cs="宋体"/>
          <w:b/>
          <w:color w:val="auto"/>
          <w:kern w:val="0"/>
          <w:sz w:val="24"/>
          <w:szCs w:val="20"/>
          <w:highlight w:val="none"/>
          <w:lang w:val="en-US" w:eastAsia="zh-CN" w:bidi="ar-SA"/>
        </w:rPr>
        <w:t>本次磋商实行两次报价。第一次报价为供应商在响应文件中填报的报价，第二次报价在响应文件通过评审后，由磋商小组通过评标系统以询标方式，向响应文件评审有效的各供应商进行询标，各供应商应在评标系统询标规定的时间内，通过“评标澄清回复”进行二次报价。各供应商应及时查看系统质询问题并及时进行二次报价，第二次报价即为最后报价，若供应商未在系统询标规定的时间内进行二次报价（最后报价）或二次报价被磋商小组认为不符合要求的，磋商小组默认其响应文件中填报的价格为供应商的最后报价，磋商价格分以供应商的最后报价为准，即满足磋商文件要求且最后报价最低的供应商的价格为磋商基准价，其价格分为满分。二次报价（最后报价）不得高于其一次报价，否则取消其磋商资格。望各供应商务必全程在线，及时进行回复，否则，因此给其造成相关后果，自行承担。采用分项报价的项目，最后报价的各分项结合一次报价中的各项单价按总价同比例下浮，价款结算时按成交下浮比率进行调整。</w:t>
      </w:r>
    </w:p>
    <w:p w14:paraId="12B6D96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.2在磋商内容不做实质性变更或重大调整的前提下，供应商下轮报价不得高于上一轮报价。</w:t>
      </w:r>
    </w:p>
    <w:p w14:paraId="678100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.3最后报价是供应商响应文件的有效组成部分，最后报价也是签订合同的依据。</w:t>
      </w:r>
    </w:p>
    <w:p w14:paraId="7F1F970D">
      <w:pPr>
        <w:spacing w:line="360" w:lineRule="auto"/>
        <w:ind w:firstLine="435"/>
        <w:rPr>
          <w:rFonts w:hint="eastAsia" w:ascii="宋体" w:hAnsi="宋体" w:eastAsia="宋体" w:cs="宋体"/>
          <w:color w:val="auto"/>
          <w:sz w:val="24"/>
          <w:highlight w:val="none"/>
        </w:rPr>
      </w:pPr>
      <w:bookmarkStart w:id="29" w:name="_Hlk60607655"/>
      <w:r>
        <w:rPr>
          <w:rFonts w:hint="eastAsia" w:ascii="宋体" w:hAnsi="宋体" w:eastAsia="宋体" w:cs="宋体"/>
          <w:color w:val="auto"/>
          <w:sz w:val="24"/>
          <w:highlight w:val="none"/>
          <w:lang w:val="en-US" w:eastAsia="zh-CN"/>
        </w:rPr>
        <w:t>17</w:t>
      </w:r>
      <w:r>
        <w:rPr>
          <w:rFonts w:hint="eastAsia" w:ascii="宋体" w:hAnsi="宋体" w:eastAsia="宋体" w:cs="宋体"/>
          <w:color w:val="auto"/>
          <w:sz w:val="24"/>
          <w:highlight w:val="none"/>
        </w:rPr>
        <w:t>.4根据《政府采购促进中小企业发展管理办法》（财库〔2020〕46号）、《三部门联合发布关于促进残疾人就业政府采购政策的通知》（财库〔2017〕141号）和《财政部司法部关于政府采购支持监狱企业发展有关问题的通知》（财库〔2014〕68号）的规定，对满足价格扣除条件且在响应文件中提交了《中小企业声明函》、《残疾人福利性单位声明函》或省级以上监狱管理局、戒毒管理局（含新疆生产建设兵团）出具的属于监狱企业的证明文件的供应商，其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中规定的标准扣除后的价格参与评审。对于同时属于小微企业、监狱企业或残疾人福利性单位的，不重复进行最后报价扣除。</w:t>
      </w:r>
    </w:p>
    <w:p w14:paraId="2A374F23">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接受大中型企业与小微企业组成联合体或者允许大中型企业向一家或者多家小微企业分包的，对于联合协议或者分包意向协议约定小微企业的合同份额占到合同总金额30%以上的，可给予联合体或者大中型企业的最后报价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中规定的标准扣除后的价格参与评审。组成联合体或者接受分包的小微企业与联合体内其他企业、分包企业之间存在直接控股、管理关系的，不享受价格扣除优惠政策。</w:t>
      </w:r>
    </w:p>
    <w:p w14:paraId="17D03E8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以联合体形式参加政府采购活动，联合体各方均为中小企业的，联合体视同中小企业。其中，联合体各方均为小微企业的，联合体视同小微企业。</w:t>
      </w:r>
      <w:bookmarkEnd w:id="29"/>
    </w:p>
    <w:p w14:paraId="32E331CC">
      <w:pPr>
        <w:spacing w:line="360" w:lineRule="auto"/>
        <w:ind w:firstLine="435"/>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lang w:val="en-US" w:eastAsia="zh-CN"/>
        </w:rPr>
        <w:t>17</w:t>
      </w:r>
      <w:r>
        <w:rPr>
          <w:rFonts w:hint="eastAsia" w:ascii="宋体" w:hAnsi="宋体" w:eastAsia="宋体" w:cs="宋体"/>
          <w:color w:val="auto"/>
          <w:kern w:val="2"/>
          <w:sz w:val="24"/>
          <w:szCs w:val="22"/>
          <w:highlight w:val="none"/>
        </w:rPr>
        <w:t>.</w:t>
      </w:r>
      <w:r>
        <w:rPr>
          <w:rFonts w:hint="eastAsia" w:ascii="宋体" w:hAnsi="宋体" w:eastAsia="宋体" w:cs="宋体"/>
          <w:color w:val="auto"/>
          <w:kern w:val="2"/>
          <w:sz w:val="24"/>
          <w:szCs w:val="22"/>
          <w:highlight w:val="none"/>
          <w:lang w:val="en-US" w:eastAsia="zh-CN"/>
        </w:rPr>
        <w:t>5</w:t>
      </w:r>
      <w:r>
        <w:rPr>
          <w:rFonts w:hint="eastAsia" w:ascii="宋体" w:hAnsi="宋体" w:eastAsia="宋体" w:cs="宋体"/>
          <w:color w:val="auto"/>
          <w:kern w:val="2"/>
          <w:sz w:val="24"/>
          <w:szCs w:val="22"/>
          <w:highlight w:val="none"/>
        </w:rPr>
        <w:t>供应商应当按照企业定额或项目所在地最新建设工程计价依据以及材料市场价格信息等，结合自身实力、施工经验、现场环境以及磋商文件的要求自主报价。</w:t>
      </w:r>
    </w:p>
    <w:p w14:paraId="56BDAA40">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6</w:t>
      </w:r>
      <w:r>
        <w:rPr>
          <w:rFonts w:hint="eastAsia" w:ascii="宋体" w:hAnsi="宋体" w:eastAsia="宋体" w:cs="宋体"/>
          <w:color w:val="auto"/>
          <w:kern w:val="2"/>
          <w:sz w:val="24"/>
          <w:highlight w:val="none"/>
        </w:rPr>
        <w:t>除非采购人对磋商文件予以澄清、修改，否则供应商应按采购人提供的工程量清单中列出的工程项目和工程量逐项填报综合单价和合价。供应商不得在工程量清单中任意增删、修改清单项目与工程量及项目排列顺序。</w:t>
      </w:r>
    </w:p>
    <w:p w14:paraId="2800A838">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7</w:t>
      </w:r>
      <w:r>
        <w:rPr>
          <w:rFonts w:hint="eastAsia" w:ascii="宋体" w:hAnsi="宋体" w:eastAsia="宋体" w:cs="宋体"/>
          <w:color w:val="auto"/>
          <w:kern w:val="2"/>
          <w:sz w:val="24"/>
          <w:highlight w:val="none"/>
        </w:rPr>
        <w:t>除非合同中另有规定，供应商在工程量清单报价书中所报的价格包括完成磋商文件规定的全部工程内容及为达到质量和工期目标、安全文明、环境保护等要求的分部分项工程费，措施项目费，不可竞争费，其他项目费，税金等所有费用。为满足工程建设标准和技术规范要求所发生的费用应包括在报价中。报价为供应商在响应文件中提出的各项支付金额的总和。每一清单项目只允许有一个报价，任何有选择的报价将不予接受。供应商未填综合单价或合价的清单项目，将被视为该项费用已包括在其他有价款的综合单价或合价以及总价内，供应商必须按合同要求完成工程量清单中未填综合单价或合价的工程项目，任何与未填综合单价或合价的工程项目有关的工程价款，采购人将不再另行支付。</w:t>
      </w:r>
    </w:p>
    <w:p w14:paraId="3F4B9B20">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8</w:t>
      </w:r>
      <w:r>
        <w:rPr>
          <w:rFonts w:hint="eastAsia" w:ascii="宋体" w:hAnsi="宋体" w:eastAsia="宋体" w:cs="宋体"/>
          <w:color w:val="auto"/>
          <w:kern w:val="2"/>
          <w:sz w:val="24"/>
          <w:highlight w:val="none"/>
        </w:rPr>
        <w:t>本项目的施工地点为本须知前附表所述，供应商可到施工现场踏勘以充分了解工地位置、情况、道路、储存空间、装卸限制及任何其它足以影响磋商报价的情况，任何因忽视或误解施工场地情况而导致的索赔或工期延长申请将不被批准。对于受施工现场场地限制，如需要另外寻找场地解决临时住宿、材料及设备堆放，由此所产生的费用应包含在磋商报价范围内，采购人不再承担该费用。</w:t>
      </w:r>
    </w:p>
    <w:p w14:paraId="39726F9C">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工程造价的确定与控制</w:t>
      </w:r>
    </w:p>
    <w:p w14:paraId="3FF3876A">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.1本工程确定成交供应商后，工程总造价在磋商范围内包定，除经批准的设计变更、经济签证外，其它工程造价增减均不予签证计价。</w:t>
      </w:r>
    </w:p>
    <w:p w14:paraId="3C591347">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2磋商前，供应商应认真对照施工设计图纸等文件核对采购人提供的工程量清单，发现工程量存在项目划分误差、计量单位误差、数量误差、遗漏项目的，必须在网上询问截止时间前向采购人提出疑问，否则采购人可不予答复。</w:t>
      </w:r>
    </w:p>
    <w:p w14:paraId="4BF7C645">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3</w:t>
      </w:r>
      <w:r>
        <w:rPr>
          <w:rFonts w:hint="eastAsia" w:ascii="宋体" w:hAnsi="宋体" w:eastAsia="宋体" w:cs="宋体"/>
          <w:b w:val="0"/>
          <w:bCs w:val="0"/>
          <w:color w:val="auto"/>
          <w:kern w:val="2"/>
          <w:sz w:val="24"/>
          <w:szCs w:val="24"/>
          <w:highlight w:val="none"/>
        </w:rPr>
        <w:t>采购人对疑问应进行核实，确认工程量单项子目误差在±3%（含±3%）以内的，采购人可不予调整工程量，供应商应将其误差考虑在综合单价内；若有遗漏项目或单项子目工程量误差超过±3%的，采购人应进行修正并重新公布准确的工程量清单。</w:t>
      </w:r>
    </w:p>
    <w:p w14:paraId="15AFA2E7">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17.9</w:t>
      </w:r>
      <w:r>
        <w:rPr>
          <w:rFonts w:hint="eastAsia" w:ascii="宋体" w:hAnsi="宋体" w:eastAsia="宋体" w:cs="宋体"/>
          <w:color w:val="auto"/>
          <w:kern w:val="2"/>
          <w:sz w:val="24"/>
          <w:highlight w:val="none"/>
        </w:rPr>
        <w:t>.</w:t>
      </w:r>
      <w:r>
        <w:rPr>
          <w:rFonts w:hint="eastAsia" w:ascii="宋体" w:hAnsi="宋体" w:eastAsia="宋体" w:cs="宋体"/>
          <w:color w:val="auto"/>
          <w:kern w:val="2"/>
          <w:sz w:val="24"/>
          <w:highlight w:val="none"/>
          <w:lang w:val="en-US" w:eastAsia="zh-CN"/>
        </w:rPr>
        <w:t>4</w:t>
      </w:r>
      <w:r>
        <w:rPr>
          <w:rFonts w:hint="eastAsia" w:ascii="宋体" w:hAnsi="宋体" w:eastAsia="宋体" w:cs="宋体"/>
          <w:color w:val="auto"/>
          <w:kern w:val="2"/>
          <w:sz w:val="24"/>
          <w:highlight w:val="none"/>
        </w:rPr>
        <w:t>供应商在规定时间内未对工程量清单提出疑问的，成交后，采购人不再对工程量清单的项目和数量进行校对调整。供应商必须按其报价完成竞争性磋商文件规定范围内的设计图纸规定的所有工程项目。</w:t>
      </w:r>
    </w:p>
    <w:p w14:paraId="62B9C222">
      <w:pPr>
        <w:spacing w:line="360" w:lineRule="auto"/>
        <w:ind w:firstLine="435"/>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lang w:val="en-US" w:eastAsia="zh-CN"/>
        </w:rPr>
        <w:t>17.10</w:t>
      </w:r>
      <w:r>
        <w:rPr>
          <w:rFonts w:hint="eastAsia" w:ascii="宋体" w:hAnsi="宋体" w:eastAsia="宋体" w:cs="宋体"/>
          <w:color w:val="auto"/>
          <w:kern w:val="2"/>
          <w:sz w:val="24"/>
          <w:highlight w:val="none"/>
        </w:rPr>
        <w:t>成交供应商在工程量清单报价书中所报的综合单价一律不予调整。</w:t>
      </w:r>
    </w:p>
    <w:p w14:paraId="189ADC0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kern w:val="2"/>
          <w:sz w:val="24"/>
          <w:highlight w:val="none"/>
          <w:lang w:val="en-US" w:eastAsia="zh-CN"/>
        </w:rPr>
        <w:t>17.11</w:t>
      </w:r>
      <w:r>
        <w:rPr>
          <w:rFonts w:hint="eastAsia" w:ascii="宋体" w:hAnsi="宋体" w:eastAsia="宋体" w:cs="宋体"/>
          <w:color w:val="auto"/>
          <w:kern w:val="2"/>
          <w:sz w:val="24"/>
          <w:highlight w:val="none"/>
        </w:rPr>
        <w:t>本工程不接受恶意不平衡报价，不保证最低价成交。</w:t>
      </w:r>
    </w:p>
    <w:p w14:paraId="12BA2050">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18</w:t>
      </w:r>
      <w:r>
        <w:rPr>
          <w:rFonts w:hint="eastAsia" w:ascii="宋体" w:hAnsi="宋体" w:eastAsia="宋体" w:cs="宋体"/>
          <w:b/>
          <w:color w:val="auto"/>
          <w:sz w:val="24"/>
          <w:highlight w:val="none"/>
        </w:rPr>
        <w:t>.成交候选供应商的推荐原则及标准</w:t>
      </w:r>
    </w:p>
    <w:p w14:paraId="79DB84B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18</w:t>
      </w:r>
      <w:r>
        <w:rPr>
          <w:rFonts w:hint="eastAsia" w:ascii="宋体" w:hAnsi="宋体" w:eastAsia="宋体" w:cs="宋体"/>
          <w:color w:val="auto"/>
          <w:sz w:val="24"/>
          <w:highlight w:val="none"/>
        </w:rPr>
        <w:t>.1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按照技术指标优劣顺序推荐成交候选供应商。</w:t>
      </w:r>
    </w:p>
    <w:p w14:paraId="093B323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19</w:t>
      </w:r>
      <w:r>
        <w:rPr>
          <w:rFonts w:hint="eastAsia" w:ascii="宋体" w:hAnsi="宋体" w:eastAsia="宋体" w:cs="宋体"/>
          <w:b/>
          <w:color w:val="auto"/>
          <w:sz w:val="24"/>
          <w:highlight w:val="none"/>
        </w:rPr>
        <w:t>.确定成交候选供应商和成交供应商</w:t>
      </w:r>
    </w:p>
    <w:p w14:paraId="45AD904B">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19</w:t>
      </w:r>
      <w:r>
        <w:rPr>
          <w:rFonts w:hint="eastAsia" w:ascii="宋体" w:hAnsi="宋体" w:eastAsia="宋体" w:cs="宋体"/>
          <w:color w:val="auto"/>
          <w:sz w:val="24"/>
          <w:highlight w:val="none"/>
        </w:rPr>
        <w:t>.1磋商小组根据综合评分的结果和</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中规定确定成交候选供应商，并标明排列顺序。按</w:t>
      </w:r>
      <w:r>
        <w:rPr>
          <w:rFonts w:hint="eastAsia" w:ascii="宋体" w:hAnsi="宋体" w:eastAsia="宋体" w:cs="宋体"/>
          <w:color w:val="auto"/>
          <w:sz w:val="24"/>
          <w:highlight w:val="none"/>
          <w:u w:val="single"/>
          <w:lang w:val="en-US" w:eastAsia="zh-CN"/>
        </w:rPr>
        <w:t>供应商</w:t>
      </w:r>
      <w:r>
        <w:rPr>
          <w:rFonts w:hint="eastAsia" w:ascii="宋体" w:hAnsi="宋体" w:eastAsia="宋体" w:cs="宋体"/>
          <w:color w:val="auto"/>
          <w:sz w:val="24"/>
          <w:highlight w:val="none"/>
          <w:u w:val="single"/>
        </w:rPr>
        <w:t>须知前附表</w:t>
      </w:r>
      <w:r>
        <w:rPr>
          <w:rFonts w:hint="eastAsia" w:ascii="宋体" w:hAnsi="宋体" w:eastAsia="宋体" w:cs="宋体"/>
          <w:color w:val="auto"/>
          <w:sz w:val="24"/>
          <w:highlight w:val="none"/>
        </w:rPr>
        <w:t>中规定，由</w:t>
      </w:r>
      <w:r>
        <w:rPr>
          <w:rFonts w:hint="eastAsia" w:ascii="宋体" w:hAnsi="宋体" w:eastAsia="宋体" w:cs="宋体"/>
          <w:color w:val="auto"/>
          <w:sz w:val="24"/>
          <w:highlight w:val="none"/>
          <w:lang w:val="en-US" w:eastAsia="zh-CN"/>
        </w:rPr>
        <w:t>磋商小组</w:t>
      </w:r>
      <w:r>
        <w:rPr>
          <w:rFonts w:hint="eastAsia" w:ascii="宋体" w:hAnsi="宋体" w:eastAsia="宋体" w:cs="宋体"/>
          <w:color w:val="auto"/>
          <w:sz w:val="24"/>
          <w:highlight w:val="none"/>
        </w:rPr>
        <w:t>或采购人确定</w:t>
      </w:r>
      <w:r>
        <w:rPr>
          <w:rFonts w:hint="eastAsia" w:ascii="宋体" w:hAnsi="宋体" w:eastAsia="宋体" w:cs="宋体"/>
          <w:color w:val="auto"/>
          <w:sz w:val="24"/>
          <w:highlight w:val="none"/>
          <w:lang w:val="en-US" w:eastAsia="zh-CN"/>
        </w:rPr>
        <w:t>成交供应商</w:t>
      </w:r>
      <w:r>
        <w:rPr>
          <w:rFonts w:hint="eastAsia" w:ascii="宋体" w:hAnsi="宋体" w:eastAsia="宋体" w:cs="宋体"/>
          <w:color w:val="auto"/>
          <w:sz w:val="24"/>
          <w:highlight w:val="none"/>
        </w:rPr>
        <w:t>。</w:t>
      </w:r>
    </w:p>
    <w:p w14:paraId="561C3E0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20</w:t>
      </w:r>
      <w:r>
        <w:rPr>
          <w:rFonts w:hint="eastAsia" w:ascii="宋体" w:hAnsi="宋体" w:eastAsia="宋体" w:cs="宋体"/>
          <w:b/>
          <w:color w:val="auto"/>
          <w:sz w:val="24"/>
          <w:highlight w:val="none"/>
        </w:rPr>
        <w:t>.编写评审报告</w:t>
      </w:r>
    </w:p>
    <w:p w14:paraId="011EB041">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20</w:t>
      </w:r>
      <w:r>
        <w:rPr>
          <w:rFonts w:hint="eastAsia" w:ascii="宋体" w:hAnsi="宋体" w:eastAsia="宋体" w:cs="宋体"/>
          <w:color w:val="auto"/>
          <w:sz w:val="24"/>
          <w:highlight w:val="none"/>
        </w:rPr>
        <w:t>.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EDD65A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1</w:t>
      </w:r>
      <w:r>
        <w:rPr>
          <w:rFonts w:hint="eastAsia" w:ascii="宋体" w:hAnsi="宋体" w:eastAsia="宋体" w:cs="宋体"/>
          <w:b/>
          <w:color w:val="auto"/>
          <w:sz w:val="24"/>
          <w:highlight w:val="none"/>
        </w:rPr>
        <w:t>.保密要求</w:t>
      </w:r>
    </w:p>
    <w:p w14:paraId="2EAA4D5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.1评审将在严格保密的情况下进行。</w:t>
      </w:r>
    </w:p>
    <w:p w14:paraId="01DA026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1</w:t>
      </w:r>
      <w:r>
        <w:rPr>
          <w:rFonts w:hint="eastAsia" w:ascii="宋体" w:hAnsi="宋体" w:eastAsia="宋体" w:cs="宋体"/>
          <w:color w:val="auto"/>
          <w:sz w:val="24"/>
          <w:highlight w:val="none"/>
        </w:rPr>
        <w:t>.2有关人员应当遵守评审工作纪律，不得泄露评审文件、评审情况和评审中获悉的国家秘密、商业秘密。</w:t>
      </w:r>
    </w:p>
    <w:p w14:paraId="14D19CB4">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2</w:t>
      </w:r>
      <w:r>
        <w:rPr>
          <w:rFonts w:hint="eastAsia" w:ascii="宋体" w:hAnsi="宋体" w:eastAsia="宋体" w:cs="宋体"/>
          <w:b/>
          <w:color w:val="auto"/>
          <w:sz w:val="24"/>
          <w:highlight w:val="none"/>
        </w:rPr>
        <w:t>.成交结果公告</w:t>
      </w:r>
    </w:p>
    <w:p w14:paraId="1B8341B6">
      <w:pPr>
        <w:keepNext w:val="0"/>
        <w:keepLines w:val="0"/>
        <w:pageBreakBefore w:val="0"/>
        <w:widowControl w:val="0"/>
        <w:kinsoku/>
        <w:wordWrap w:val="0"/>
        <w:overflowPunct/>
        <w:topLinePunct w:val="0"/>
        <w:autoSpaceDE/>
        <w:autoSpaceDN/>
        <w:bidi w:val="0"/>
        <w:adjustRightInd/>
        <w:snapToGrid/>
        <w:spacing w:line="360" w:lineRule="auto"/>
        <w:ind w:firstLine="437"/>
        <w:textAlignment w:val="auto"/>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.1为体现“公开、公平、公正”的原则，磋商结束后，采购代理机构将</w:t>
      </w:r>
      <w:r>
        <w:rPr>
          <w:rFonts w:hint="eastAsia" w:ascii="宋体" w:hAnsi="宋体" w:eastAsia="宋体" w:cs="宋体"/>
          <w:color w:val="auto"/>
          <w:sz w:val="24"/>
          <w:szCs w:val="18"/>
          <w:highlight w:val="none"/>
        </w:rPr>
        <w:t>在安徽省政府采购网（www.ccgp-anhui.gov.cn）</w:t>
      </w:r>
      <w:r>
        <w:rPr>
          <w:rFonts w:hint="eastAsia" w:ascii="宋体" w:hAnsi="宋体" w:eastAsia="宋体" w:cs="宋体"/>
          <w:color w:val="auto"/>
          <w:sz w:val="24"/>
          <w:szCs w:val="18"/>
          <w:highlight w:val="none"/>
          <w:lang w:eastAsia="zh-CN"/>
        </w:rPr>
        <w:t>、滁州市公共资源交易中心（https://ggzy.chuzhou.gov.cn/）</w:t>
      </w:r>
      <w:r>
        <w:rPr>
          <w:rFonts w:hint="eastAsia" w:ascii="宋体" w:hAnsi="宋体" w:eastAsia="宋体" w:cs="宋体"/>
          <w:color w:val="auto"/>
          <w:sz w:val="24"/>
          <w:szCs w:val="18"/>
          <w:highlight w:val="none"/>
        </w:rPr>
        <w:t>上</w:t>
      </w:r>
      <w:r>
        <w:rPr>
          <w:rFonts w:hint="eastAsia" w:ascii="宋体" w:hAnsi="宋体" w:eastAsia="宋体" w:cs="宋体"/>
          <w:color w:val="auto"/>
          <w:sz w:val="24"/>
          <w:highlight w:val="none"/>
        </w:rPr>
        <w:t>发布成交结果公告。</w:t>
      </w:r>
    </w:p>
    <w:p w14:paraId="41C7B4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中约定进行公告的内容。</w:t>
      </w:r>
    </w:p>
    <w:p w14:paraId="2C1CA47C">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23</w:t>
      </w:r>
      <w:r>
        <w:rPr>
          <w:rFonts w:hint="eastAsia" w:ascii="宋体" w:hAnsi="宋体" w:eastAsia="宋体" w:cs="宋体"/>
          <w:b/>
          <w:color w:val="auto"/>
          <w:sz w:val="24"/>
          <w:highlight w:val="none"/>
        </w:rPr>
        <w:t>.成交通知书</w:t>
      </w:r>
    </w:p>
    <w:p w14:paraId="56BBE0C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.1采购代理机构发布成交结果公告的同时以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规定的形式向成交供应商发出成交通知书。</w:t>
      </w:r>
    </w:p>
    <w:p w14:paraId="24C5BF6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.2成交通知书对采购人和成交供应商具有同等法律效力。成交通知书发出以后，采购人改变成交结果或者成交供应商放弃成交资格，应当承担相应的法律责任。</w:t>
      </w:r>
    </w:p>
    <w:p w14:paraId="6C26B52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.3成交通知书是合同的组成部分。</w:t>
      </w:r>
    </w:p>
    <w:p w14:paraId="76C0A445">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w:t>
      </w:r>
      <w:r>
        <w:rPr>
          <w:rFonts w:hint="eastAsia" w:ascii="宋体" w:hAnsi="宋体" w:eastAsia="宋体" w:cs="宋体"/>
          <w:b/>
          <w:color w:val="auto"/>
          <w:sz w:val="24"/>
          <w:highlight w:val="none"/>
          <w:lang w:val="en-US" w:eastAsia="zh-CN"/>
        </w:rPr>
        <w:t>4</w:t>
      </w:r>
      <w:r>
        <w:rPr>
          <w:rFonts w:hint="eastAsia" w:ascii="宋体" w:hAnsi="宋体" w:eastAsia="宋体" w:cs="宋体"/>
          <w:b/>
          <w:color w:val="auto"/>
          <w:sz w:val="24"/>
          <w:highlight w:val="none"/>
        </w:rPr>
        <w:t>.告知磋商结果</w:t>
      </w:r>
    </w:p>
    <w:p w14:paraId="237B700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.1在公告成交结果的同时，采购代理机构同时以</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规定的形式告知未成交供应商本人的评审得分和排序。</w:t>
      </w:r>
    </w:p>
    <w:p w14:paraId="3E80759C">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val="en-US" w:eastAsia="zh-CN"/>
        </w:rPr>
        <w:t>4</w:t>
      </w:r>
      <w:r>
        <w:rPr>
          <w:rFonts w:hint="eastAsia" w:ascii="宋体" w:hAnsi="宋体" w:eastAsia="宋体" w:cs="宋体"/>
          <w:color w:val="auto"/>
          <w:sz w:val="24"/>
          <w:highlight w:val="none"/>
        </w:rPr>
        <w:t>.2采购代理机构对未成交的供应商不做未成交原因的解释。</w:t>
      </w:r>
    </w:p>
    <w:p w14:paraId="06197AD6">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25</w:t>
      </w:r>
      <w:r>
        <w:rPr>
          <w:rFonts w:hint="eastAsia" w:ascii="宋体" w:hAnsi="宋体" w:eastAsia="宋体" w:cs="宋体"/>
          <w:b/>
          <w:color w:val="auto"/>
          <w:sz w:val="24"/>
          <w:highlight w:val="none"/>
        </w:rPr>
        <w:t>.履约保证金</w:t>
      </w:r>
    </w:p>
    <w:p w14:paraId="6D9953A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.1成交供应商应按照</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规定缴纳履约保证金。</w:t>
      </w:r>
    </w:p>
    <w:p w14:paraId="647A279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25</w:t>
      </w:r>
      <w:r>
        <w:rPr>
          <w:rFonts w:hint="eastAsia" w:ascii="宋体" w:hAnsi="宋体" w:eastAsia="宋体" w:cs="宋体"/>
          <w:color w:val="auto"/>
          <w:sz w:val="24"/>
          <w:highlight w:val="none"/>
        </w:rPr>
        <w:t>.2如果成交供应商没有按照上述履约保证金的规定执行，将视为放弃成交资格。在此情况下，采购人可确定下一成交候选供应商为成交供应商，也可以重新开展采购活动。</w:t>
      </w:r>
    </w:p>
    <w:p w14:paraId="7F876A93">
      <w:pPr>
        <w:spacing w:line="360" w:lineRule="auto"/>
        <w:ind w:firstLine="437"/>
        <w:outlineLvl w:val="2"/>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26</w:t>
      </w:r>
      <w:r>
        <w:rPr>
          <w:rFonts w:hint="eastAsia" w:ascii="宋体" w:hAnsi="宋体" w:eastAsia="宋体" w:cs="宋体"/>
          <w:b/>
          <w:color w:val="auto"/>
          <w:sz w:val="24"/>
          <w:highlight w:val="none"/>
        </w:rPr>
        <w:t>.</w:t>
      </w:r>
      <w:r>
        <w:rPr>
          <w:rFonts w:hint="eastAsia" w:ascii="宋体" w:hAnsi="宋体" w:eastAsia="宋体" w:cs="宋体"/>
          <w:b/>
          <w:color w:val="auto"/>
          <w:sz w:val="24"/>
          <w:highlight w:val="none"/>
          <w:lang w:val="en-US" w:eastAsia="zh-CN"/>
        </w:rPr>
        <w:t>代理费用</w:t>
      </w:r>
    </w:p>
    <w:p w14:paraId="5A1A3D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26</w:t>
      </w:r>
      <w:r>
        <w:rPr>
          <w:rFonts w:hint="eastAsia" w:ascii="宋体" w:hAnsi="宋体" w:eastAsia="宋体" w:cs="宋体"/>
          <w:color w:val="auto"/>
          <w:sz w:val="24"/>
          <w:highlight w:val="none"/>
        </w:rPr>
        <w:t>.1本项目</w:t>
      </w:r>
      <w:r>
        <w:rPr>
          <w:rFonts w:hint="eastAsia" w:ascii="宋体" w:hAnsi="宋体" w:eastAsia="宋体" w:cs="宋体"/>
          <w:color w:val="auto"/>
          <w:sz w:val="24"/>
          <w:highlight w:val="none"/>
          <w:lang w:val="en-US" w:eastAsia="zh-CN"/>
        </w:rPr>
        <w:t>代理费用</w:t>
      </w:r>
      <w:r>
        <w:rPr>
          <w:rFonts w:hint="eastAsia" w:ascii="宋体" w:hAnsi="宋体" w:eastAsia="宋体" w:cs="宋体"/>
          <w:color w:val="auto"/>
          <w:sz w:val="24"/>
          <w:highlight w:val="none"/>
        </w:rPr>
        <w:t>的收取按</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的规定执行。</w:t>
      </w:r>
    </w:p>
    <w:p w14:paraId="4AEDD41A">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27</w:t>
      </w:r>
      <w:r>
        <w:rPr>
          <w:rFonts w:hint="eastAsia" w:ascii="宋体" w:hAnsi="宋体" w:eastAsia="宋体" w:cs="宋体"/>
          <w:b/>
          <w:color w:val="auto"/>
          <w:sz w:val="24"/>
          <w:highlight w:val="none"/>
        </w:rPr>
        <w:t>.签订合同</w:t>
      </w:r>
    </w:p>
    <w:p w14:paraId="6452CBDC">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.1</w:t>
      </w:r>
      <w:r>
        <w:rPr>
          <w:rFonts w:hint="eastAsia" w:ascii="宋体" w:hAnsi="宋体" w:eastAsia="宋体" w:cs="宋体"/>
          <w:color w:val="auto"/>
          <w:sz w:val="24"/>
          <w:szCs w:val="24"/>
          <w:highlight w:val="none"/>
          <w:u w:val="none"/>
          <w:lang w:val="en-US" w:eastAsia="zh-CN"/>
        </w:rPr>
        <w:t>采购人与成交供应商应当按照</w:t>
      </w:r>
      <w:r>
        <w:rPr>
          <w:rFonts w:hint="eastAsia" w:ascii="宋体" w:hAnsi="宋体" w:eastAsia="宋体" w:cs="宋体"/>
          <w:color w:val="auto"/>
          <w:sz w:val="24"/>
          <w:szCs w:val="24"/>
          <w:highlight w:val="none"/>
          <w:u w:val="single"/>
          <w:lang w:val="en-US" w:eastAsia="zh-CN"/>
        </w:rPr>
        <w:t>供应商</w:t>
      </w:r>
      <w:r>
        <w:rPr>
          <w:rFonts w:hint="eastAsia" w:ascii="宋体" w:hAnsi="宋体" w:eastAsia="宋体" w:cs="宋体"/>
          <w:color w:val="auto"/>
          <w:sz w:val="24"/>
          <w:szCs w:val="24"/>
          <w:highlight w:val="none"/>
          <w:u w:val="single"/>
        </w:rPr>
        <w:t>须知前附表</w:t>
      </w:r>
      <w:r>
        <w:rPr>
          <w:rFonts w:hint="eastAsia" w:ascii="宋体" w:hAnsi="宋体" w:eastAsia="宋体" w:cs="宋体"/>
          <w:color w:val="auto"/>
          <w:sz w:val="24"/>
          <w:szCs w:val="24"/>
          <w:highlight w:val="none"/>
          <w:u w:val="none"/>
        </w:rPr>
        <w:t>规定</w:t>
      </w:r>
      <w:r>
        <w:rPr>
          <w:rFonts w:hint="eastAsia" w:ascii="宋体" w:hAnsi="宋体" w:eastAsia="宋体" w:cs="宋体"/>
          <w:color w:val="auto"/>
          <w:sz w:val="24"/>
          <w:szCs w:val="24"/>
          <w:highlight w:val="none"/>
          <w:lang w:val="en-US" w:eastAsia="zh-CN"/>
        </w:rPr>
        <w:t>的时间内完成政府采购合同签订及合同公告。</w:t>
      </w:r>
    </w:p>
    <w:p w14:paraId="1E7DE3D5">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.2磋商文件、成交供应商的响应文件及其澄清文件等，均为签订合同的依据。</w:t>
      </w:r>
    </w:p>
    <w:p w14:paraId="497FCAB2">
      <w:pPr>
        <w:spacing w:line="360" w:lineRule="auto"/>
        <w:ind w:firstLine="470" w:firstLineChars="196"/>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27</w:t>
      </w:r>
      <w:r>
        <w:rPr>
          <w:rFonts w:hint="eastAsia" w:ascii="宋体" w:hAnsi="宋体" w:eastAsia="宋体" w:cs="宋体"/>
          <w:color w:val="auto"/>
          <w:sz w:val="24"/>
          <w:highlight w:val="none"/>
        </w:rPr>
        <w:t>.3成交供应商拒绝与采购人签订合同的，采购人可以按照评审报告推荐的成交候选供应商名单排序，确定下一成交候选供应商为成交供应商，也可以重新开展采购活动。成交供应商拒绝签订政府采购合同的不得参加对该项目重新开展的采购活动。</w:t>
      </w:r>
    </w:p>
    <w:p w14:paraId="75408170">
      <w:pPr>
        <w:spacing w:line="360" w:lineRule="auto"/>
        <w:ind w:firstLine="470" w:firstLineChars="196"/>
        <w:rPr>
          <w:rFonts w:hint="eastAsia" w:ascii="宋体" w:hAnsi="宋体" w:eastAsia="宋体" w:cs="宋体"/>
          <w:color w:val="auto"/>
          <w:sz w:val="24"/>
          <w:highlight w:val="none"/>
        </w:rPr>
      </w:pPr>
      <w:bookmarkStart w:id="30" w:name="_Hlk60264926"/>
      <w:r>
        <w:rPr>
          <w:rFonts w:hint="eastAsia" w:ascii="宋体" w:hAnsi="宋体" w:eastAsia="宋体" w:cs="宋体"/>
          <w:color w:val="auto"/>
          <w:sz w:val="24"/>
          <w:highlight w:val="none"/>
          <w:lang w:val="en-US" w:eastAsia="zh-CN"/>
        </w:rPr>
        <w:t>27.4</w:t>
      </w:r>
      <w:r>
        <w:rPr>
          <w:rFonts w:hint="eastAsia" w:ascii="宋体" w:hAnsi="宋体" w:eastAsia="宋体" w:cs="宋体"/>
          <w:color w:val="auto"/>
          <w:sz w:val="24"/>
          <w:highlight w:val="none"/>
        </w:rPr>
        <w:t>依据《政府采购促进中小企业发展管理办法》（财库〔2020〕46号）规定享受扶持政策获得政府采购合同的，小微企业不得将合同分包给大中型企业，中型企业不得将合同分包给大型企业。</w:t>
      </w:r>
      <w:bookmarkEnd w:id="30"/>
    </w:p>
    <w:p w14:paraId="1975E99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28</w:t>
      </w:r>
      <w:r>
        <w:rPr>
          <w:rFonts w:hint="eastAsia" w:ascii="宋体" w:hAnsi="宋体" w:eastAsia="宋体" w:cs="宋体"/>
          <w:b/>
          <w:color w:val="auto"/>
          <w:sz w:val="24"/>
          <w:highlight w:val="none"/>
        </w:rPr>
        <w:t>.廉洁自律规定</w:t>
      </w:r>
    </w:p>
    <w:p w14:paraId="0736E4E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.1采购代理机构工作人员不得以不正当手段获取政府采购代理业务，不得与采购人、供应商恶意串通。</w:t>
      </w:r>
    </w:p>
    <w:p w14:paraId="5CCA89FA">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28</w:t>
      </w:r>
      <w:r>
        <w:rPr>
          <w:rFonts w:hint="eastAsia" w:ascii="宋体" w:hAnsi="宋体" w:eastAsia="宋体" w:cs="宋体"/>
          <w:color w:val="auto"/>
          <w:sz w:val="24"/>
          <w:highlight w:val="none"/>
        </w:rPr>
        <w:t>.2采购代理机构工作人员不得接受采购人或者供应商组织的宴请、旅游、娱乐，不得收受礼品、现金、有价证券等，不得向采购人或者供应商报销应当由个人承担的费用。</w:t>
      </w:r>
    </w:p>
    <w:p w14:paraId="298AC5F8">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lang w:val="en-US" w:eastAsia="zh-CN"/>
        </w:rPr>
        <w:t>29</w:t>
      </w:r>
      <w:r>
        <w:rPr>
          <w:rFonts w:hint="eastAsia" w:ascii="宋体" w:hAnsi="宋体" w:eastAsia="宋体" w:cs="宋体"/>
          <w:b/>
          <w:color w:val="auto"/>
          <w:sz w:val="24"/>
          <w:highlight w:val="none"/>
        </w:rPr>
        <w:t>.质疑的提出与接收</w:t>
      </w:r>
    </w:p>
    <w:p w14:paraId="38E8BFD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.1供应商认为磋商文件、采购过程和成交结果使自己的权益受到损害的，可以在知道或者应知其权益受到损害之日起七个工作日内，以书面形式向采购人或其委托的采购代理机构提出质疑。</w:t>
      </w:r>
    </w:p>
    <w:p w14:paraId="2843C1C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2</w:t>
      </w:r>
      <w:r>
        <w:rPr>
          <w:rFonts w:hint="eastAsia" w:ascii="宋体" w:hAnsi="宋体" w:eastAsia="宋体" w:cs="宋体"/>
          <w:color w:val="auto"/>
          <w:sz w:val="24"/>
          <w:highlight w:val="none"/>
        </w:rPr>
        <w:t>质疑供应商应按照财政部制定的《政府采购质疑函范本》格式（详见磋商文件第八章）和《政府采购质疑和投诉办法》的要求，在法定质疑期内以书面形式提出质疑，超出法定质疑期提交的质疑将被拒绝。针对同一采购程序环节的质疑应一次性提出。</w:t>
      </w:r>
    </w:p>
    <w:p w14:paraId="33DD24D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29</w:t>
      </w:r>
      <w:r>
        <w:rPr>
          <w:rFonts w:hint="eastAsia" w:ascii="宋体" w:hAnsi="宋体" w:eastAsia="宋体" w:cs="宋体"/>
          <w:color w:val="auto"/>
          <w:sz w:val="24"/>
          <w:highlight w:val="none"/>
        </w:rPr>
        <w:t>.</w:t>
      </w:r>
      <w:r>
        <w:rPr>
          <w:rFonts w:hint="eastAsia" w:ascii="宋体" w:hAnsi="宋体" w:eastAsia="宋体" w:cs="宋体"/>
          <w:color w:val="auto"/>
          <w:sz w:val="24"/>
          <w:highlight w:val="none"/>
          <w:lang w:val="en-US" w:eastAsia="zh-CN"/>
        </w:rPr>
        <w:t>3</w:t>
      </w:r>
      <w:r>
        <w:rPr>
          <w:rFonts w:hint="eastAsia" w:ascii="宋体" w:hAnsi="宋体" w:eastAsia="宋体" w:cs="宋体"/>
          <w:color w:val="auto"/>
          <w:sz w:val="24"/>
          <w:highlight w:val="none"/>
        </w:rPr>
        <w:t>采购代理机构质疑函接收部门、联系电话和通讯地址，见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0E65F53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注：上述条款中所要求的书面形式包含通过电子交易系统递交方式。</w:t>
      </w:r>
    </w:p>
    <w:p w14:paraId="0ADCE93B">
      <w:pPr>
        <w:spacing w:line="360" w:lineRule="auto"/>
        <w:ind w:firstLine="437"/>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3</w:t>
      </w:r>
      <w:r>
        <w:rPr>
          <w:rFonts w:hint="eastAsia" w:ascii="宋体" w:hAnsi="宋体" w:eastAsia="宋体" w:cs="宋体"/>
          <w:b/>
          <w:color w:val="auto"/>
          <w:sz w:val="24"/>
          <w:highlight w:val="none"/>
          <w:lang w:val="en-US" w:eastAsia="zh-CN"/>
        </w:rPr>
        <w:t>0</w:t>
      </w:r>
      <w:r>
        <w:rPr>
          <w:rFonts w:hint="eastAsia" w:ascii="宋体" w:hAnsi="宋体" w:eastAsia="宋体" w:cs="宋体"/>
          <w:b/>
          <w:color w:val="auto"/>
          <w:sz w:val="24"/>
          <w:highlight w:val="none"/>
        </w:rPr>
        <w:t>.需要补充的其他内容</w:t>
      </w:r>
    </w:p>
    <w:p w14:paraId="0942FE9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需要补充的其他内容，见</w:t>
      </w:r>
      <w:r>
        <w:rPr>
          <w:rFonts w:hint="eastAsia" w:ascii="宋体" w:hAnsi="宋体" w:eastAsia="宋体" w:cs="宋体"/>
          <w:color w:val="auto"/>
          <w:sz w:val="24"/>
          <w:highlight w:val="none"/>
          <w:u w:val="single"/>
        </w:rPr>
        <w:t>供应商须知前附表</w:t>
      </w:r>
      <w:r>
        <w:rPr>
          <w:rFonts w:hint="eastAsia" w:ascii="宋体" w:hAnsi="宋体" w:eastAsia="宋体" w:cs="宋体"/>
          <w:color w:val="auto"/>
          <w:sz w:val="24"/>
          <w:highlight w:val="none"/>
        </w:rPr>
        <w:t>。</w:t>
      </w:r>
    </w:p>
    <w:p w14:paraId="76B43DBA">
      <w:pPr>
        <w:widowControl/>
        <w:jc w:val="left"/>
        <w:rPr>
          <w:rFonts w:hint="eastAsia" w:ascii="宋体" w:hAnsi="宋体" w:eastAsia="宋体" w:cs="宋体"/>
          <w:b/>
          <w:color w:val="auto"/>
          <w:sz w:val="28"/>
          <w:highlight w:val="none"/>
        </w:rPr>
      </w:pPr>
      <w:r>
        <w:rPr>
          <w:rFonts w:hint="eastAsia" w:ascii="宋体" w:hAnsi="宋体" w:eastAsia="宋体" w:cs="宋体"/>
          <w:color w:val="auto"/>
          <w:sz w:val="24"/>
          <w:highlight w:val="none"/>
        </w:rPr>
        <w:br w:type="page"/>
      </w:r>
    </w:p>
    <w:p w14:paraId="123961D3">
      <w:pPr>
        <w:spacing w:line="360" w:lineRule="auto"/>
        <w:jc w:val="center"/>
        <w:outlineLvl w:val="0"/>
        <w:rPr>
          <w:rFonts w:hint="eastAsia" w:ascii="宋体" w:hAnsi="宋体" w:eastAsia="宋体" w:cs="宋体"/>
          <w:b/>
          <w:color w:val="auto"/>
          <w:sz w:val="28"/>
          <w:highlight w:val="none"/>
        </w:rPr>
      </w:pPr>
      <w:bookmarkStart w:id="31" w:name="_Toc30873"/>
      <w:r>
        <w:rPr>
          <w:rFonts w:hint="eastAsia" w:ascii="宋体" w:hAnsi="宋体" w:eastAsia="宋体" w:cs="宋体"/>
          <w:b/>
          <w:color w:val="auto"/>
          <w:sz w:val="28"/>
          <w:highlight w:val="none"/>
        </w:rPr>
        <w:t>第三章  采购需求</w:t>
      </w:r>
      <w:bookmarkEnd w:id="31"/>
    </w:p>
    <w:tbl>
      <w:tblPr>
        <w:tblStyle w:val="10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9"/>
        <w:gridCol w:w="1385"/>
        <w:gridCol w:w="6818"/>
      </w:tblGrid>
      <w:tr w14:paraId="2FEFE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3A91168C">
            <w:pPr>
              <w:spacing w:line="360" w:lineRule="auto"/>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序号</w:t>
            </w:r>
          </w:p>
        </w:tc>
        <w:tc>
          <w:tcPr>
            <w:tcW w:w="749" w:type="pct"/>
            <w:vAlign w:val="center"/>
          </w:tcPr>
          <w:p w14:paraId="4A5FB3A9">
            <w:pPr>
              <w:spacing w:line="360" w:lineRule="auto"/>
              <w:ind w:firstLine="435"/>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内容</w:t>
            </w:r>
          </w:p>
        </w:tc>
        <w:tc>
          <w:tcPr>
            <w:tcW w:w="3688" w:type="pct"/>
            <w:vAlign w:val="center"/>
          </w:tcPr>
          <w:p w14:paraId="2716FA64">
            <w:pPr>
              <w:spacing w:line="360" w:lineRule="auto"/>
              <w:ind w:firstLine="435"/>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说明和要求</w:t>
            </w:r>
          </w:p>
        </w:tc>
      </w:tr>
      <w:tr w14:paraId="1636BE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DB57132">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1</w:t>
            </w:r>
          </w:p>
        </w:tc>
        <w:tc>
          <w:tcPr>
            <w:tcW w:w="749" w:type="pct"/>
            <w:vAlign w:val="center"/>
          </w:tcPr>
          <w:p w14:paraId="13C323DB">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人员到岗及履约要求</w:t>
            </w:r>
          </w:p>
        </w:tc>
        <w:tc>
          <w:tcPr>
            <w:tcW w:w="3688" w:type="pct"/>
            <w:vAlign w:val="center"/>
          </w:tcPr>
          <w:p w14:paraId="293ECF95">
            <w:pPr>
              <w:spacing w:line="360" w:lineRule="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人员必须按照施工需要及采购人要求按时到岗</w:t>
            </w:r>
          </w:p>
        </w:tc>
      </w:tr>
      <w:tr w14:paraId="53066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1274AA4B">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2</w:t>
            </w:r>
          </w:p>
        </w:tc>
        <w:tc>
          <w:tcPr>
            <w:tcW w:w="749" w:type="pct"/>
            <w:vAlign w:val="center"/>
          </w:tcPr>
          <w:p w14:paraId="4514173D">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材料要求</w:t>
            </w:r>
          </w:p>
        </w:tc>
        <w:tc>
          <w:tcPr>
            <w:tcW w:w="3688" w:type="pct"/>
            <w:vAlign w:val="center"/>
          </w:tcPr>
          <w:p w14:paraId="6FB275E7">
            <w:pPr>
              <w:spacing w:line="360" w:lineRule="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成交供应商自行采购</w:t>
            </w:r>
          </w:p>
        </w:tc>
      </w:tr>
      <w:tr w14:paraId="0CAD3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4463ABFF">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3</w:t>
            </w:r>
          </w:p>
        </w:tc>
        <w:tc>
          <w:tcPr>
            <w:tcW w:w="749" w:type="pct"/>
            <w:vAlign w:val="center"/>
          </w:tcPr>
          <w:p w14:paraId="04EEA150">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工程施工重点难点</w:t>
            </w:r>
          </w:p>
        </w:tc>
        <w:tc>
          <w:tcPr>
            <w:tcW w:w="3688" w:type="pct"/>
            <w:vAlign w:val="center"/>
          </w:tcPr>
          <w:p w14:paraId="7985AE08">
            <w:pPr>
              <w:spacing w:line="360" w:lineRule="auto"/>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供应商结合图纸和现场情况自行考虑</w:t>
            </w:r>
          </w:p>
        </w:tc>
      </w:tr>
      <w:tr w14:paraId="5B3E38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EA6BAC9">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4</w:t>
            </w:r>
          </w:p>
        </w:tc>
        <w:tc>
          <w:tcPr>
            <w:tcW w:w="749" w:type="pct"/>
            <w:vAlign w:val="center"/>
          </w:tcPr>
          <w:p w14:paraId="72DDAE5C">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报价须知</w:t>
            </w:r>
          </w:p>
        </w:tc>
        <w:tc>
          <w:tcPr>
            <w:tcW w:w="3688" w:type="pct"/>
            <w:vAlign w:val="center"/>
          </w:tcPr>
          <w:p w14:paraId="73629AFE">
            <w:pPr>
              <w:numPr>
                <w:ilvl w:val="0"/>
                <w:numId w:val="0"/>
              </w:numPr>
              <w:spacing w:line="360" w:lineRule="auto"/>
              <w:rPr>
                <w:rFonts w:hint="eastAsia" w:ascii="宋体" w:hAnsi="宋体" w:eastAsia="宋体" w:cs="宋体"/>
                <w:kern w:val="2"/>
                <w:sz w:val="21"/>
                <w:szCs w:val="22"/>
                <w:lang w:eastAsia="zh-CN"/>
              </w:rPr>
            </w:pPr>
            <w:r>
              <w:rPr>
                <w:rFonts w:hint="eastAsia" w:ascii="宋体" w:hAnsi="宋体" w:eastAsia="宋体" w:cs="宋体"/>
                <w:color w:val="auto"/>
                <w:kern w:val="2"/>
                <w:sz w:val="24"/>
                <w:szCs w:val="22"/>
                <w:highlight w:val="none"/>
              </w:rPr>
              <w:t>供应商最后报价均不得高于磋商文件（公告）列明的项目预算、最高投标限价，否则其响应文件将被认定为响应无效。</w:t>
            </w:r>
          </w:p>
        </w:tc>
      </w:tr>
      <w:tr w14:paraId="736A4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05F5580D">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5</w:t>
            </w:r>
          </w:p>
        </w:tc>
        <w:tc>
          <w:tcPr>
            <w:tcW w:w="749" w:type="pct"/>
            <w:vAlign w:val="center"/>
          </w:tcPr>
          <w:p w14:paraId="0705F6DC">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重要说明</w:t>
            </w:r>
          </w:p>
        </w:tc>
        <w:tc>
          <w:tcPr>
            <w:tcW w:w="3688" w:type="pct"/>
            <w:vAlign w:val="center"/>
          </w:tcPr>
          <w:p w14:paraId="101C32F8">
            <w:pPr>
              <w:spacing w:line="360" w:lineRule="auto"/>
              <w:rPr>
                <w:rFonts w:hint="eastAsia" w:ascii="宋体" w:hAnsi="宋体" w:eastAsia="宋体" w:cs="宋体"/>
                <w:color w:val="auto"/>
                <w:kern w:val="2"/>
                <w:sz w:val="24"/>
                <w:szCs w:val="18"/>
                <w:highlight w:val="none"/>
              </w:rPr>
            </w:pPr>
            <w:r>
              <w:rPr>
                <w:rFonts w:hint="eastAsia" w:ascii="宋体" w:hAnsi="宋体" w:eastAsia="宋体" w:cs="宋体"/>
                <w:kern w:val="2"/>
                <w:sz w:val="24"/>
                <w:szCs w:val="24"/>
                <w:highlight w:val="none"/>
                <w:lang w:val="en-US" w:eastAsia="zh-CN"/>
              </w:rPr>
              <w:t>1、</w:t>
            </w:r>
            <w:r>
              <w:rPr>
                <w:rFonts w:hint="eastAsia" w:ascii="宋体" w:hAnsi="宋体" w:eastAsia="宋体" w:cs="宋体"/>
                <w:kern w:val="2"/>
                <w:sz w:val="24"/>
                <w:szCs w:val="24"/>
                <w:highlight w:val="none"/>
              </w:rPr>
              <w:t>政府采购政策（包括但不限于下列具体政策要求</w:t>
            </w:r>
            <w:r>
              <w:rPr>
                <w:rFonts w:hint="eastAsia" w:ascii="宋体" w:hAnsi="宋体" w:eastAsia="宋体" w:cs="宋体"/>
                <w:kern w:val="2"/>
                <w:sz w:val="24"/>
                <w:szCs w:val="24"/>
                <w:highlight w:val="none"/>
                <w:lang w:eastAsia="zh-CN"/>
              </w:rPr>
              <w:t>）</w:t>
            </w:r>
            <w:r>
              <w:rPr>
                <w:rFonts w:hint="eastAsia" w:ascii="宋体" w:hAnsi="宋体" w:eastAsia="宋体" w:cs="宋体"/>
                <w:color w:val="auto"/>
                <w:kern w:val="2"/>
                <w:sz w:val="24"/>
                <w:szCs w:val="18"/>
                <w:highlight w:val="none"/>
              </w:rPr>
              <w:t>：</w:t>
            </w:r>
          </w:p>
          <w:p w14:paraId="6D508EF6">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（1）如属于《节能产品政府采购品目清单》中政府强制采购的节能产品，则</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所投产品须具有市场监管总局公布的《参与实施政府采购节能产品认证机构目录》中的认证机构出具的、处于有效期内的节能产品认证证书。</w:t>
            </w:r>
          </w:p>
          <w:p w14:paraId="188DF9AB">
            <w:pPr>
              <w:spacing w:line="360" w:lineRule="auto"/>
              <w:rPr>
                <w:rFonts w:hint="eastAsia" w:ascii="宋体" w:hAnsi="宋体" w:eastAsia="宋体" w:cs="宋体"/>
                <w:color w:val="auto"/>
                <w:kern w:val="2"/>
                <w:sz w:val="24"/>
                <w:szCs w:val="22"/>
                <w:highlight w:val="none"/>
                <w:lang w:val="en-US"/>
              </w:rPr>
            </w:pPr>
            <w:r>
              <w:rPr>
                <w:rFonts w:hint="eastAsia" w:ascii="宋体" w:hAnsi="宋体" w:eastAsia="宋体" w:cs="宋体"/>
                <w:color w:val="auto"/>
                <w:kern w:val="2"/>
                <w:sz w:val="24"/>
                <w:szCs w:val="24"/>
                <w:highlight w:val="none"/>
              </w:rPr>
              <w:t>（2）如涉及商品包装和快递包装，</w:t>
            </w:r>
            <w:r>
              <w:rPr>
                <w:rFonts w:hint="eastAsia" w:ascii="宋体" w:hAnsi="宋体" w:eastAsia="宋体" w:cs="宋体"/>
                <w:color w:val="auto"/>
                <w:kern w:val="2"/>
                <w:sz w:val="24"/>
                <w:szCs w:val="24"/>
                <w:highlight w:val="none"/>
                <w:lang w:val="en-US" w:eastAsia="zh-CN"/>
              </w:rPr>
              <w:t>供应商</w:t>
            </w:r>
            <w:r>
              <w:rPr>
                <w:rFonts w:hint="eastAsia" w:ascii="宋体" w:hAnsi="宋体" w:eastAsia="宋体" w:cs="宋体"/>
                <w:color w:val="auto"/>
                <w:kern w:val="2"/>
                <w:sz w:val="24"/>
                <w:szCs w:val="24"/>
                <w:highlight w:val="none"/>
              </w:rPr>
              <w:t>应当执行《关于印发〈商品包装政府采购需求标准（试行）〉、〈快递包装政府采购需求标准（试行）〉的通知》（财办库〔2020〕123号）、《安徽省财政厅关于贯彻落实政府绿色采购有关政策的通知》（皖财购〔2023〕853号）的要求，提供符合需求标准的绿色包装、绿色运输，同时，采购人将对包装材料和运输环节作为履约验收条款进行验收。</w:t>
            </w:r>
          </w:p>
        </w:tc>
      </w:tr>
      <w:tr w14:paraId="23783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2" w:type="pct"/>
            <w:vAlign w:val="center"/>
          </w:tcPr>
          <w:p w14:paraId="2E91A354">
            <w:pPr>
              <w:spacing w:line="360" w:lineRule="auto"/>
              <w:jc w:val="center"/>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6</w:t>
            </w:r>
          </w:p>
        </w:tc>
        <w:tc>
          <w:tcPr>
            <w:tcW w:w="749" w:type="pct"/>
            <w:vAlign w:val="center"/>
          </w:tcPr>
          <w:p w14:paraId="659CB190">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项目经理</w:t>
            </w:r>
          </w:p>
        </w:tc>
        <w:tc>
          <w:tcPr>
            <w:tcW w:w="3688" w:type="pct"/>
            <w:vAlign w:val="center"/>
          </w:tcPr>
          <w:p w14:paraId="1FB8B7B1">
            <w:pPr>
              <w:spacing w:line="360" w:lineRule="auto"/>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具备公路工程专业二级及以上建造师资格</w:t>
            </w:r>
          </w:p>
        </w:tc>
      </w:tr>
      <w:tr w14:paraId="05DA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trPr>
        <w:tc>
          <w:tcPr>
            <w:tcW w:w="562" w:type="pct"/>
            <w:vAlign w:val="center"/>
          </w:tcPr>
          <w:p w14:paraId="63D4AB3E">
            <w:pPr>
              <w:spacing w:line="360" w:lineRule="auto"/>
              <w:jc w:val="center"/>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lang w:val="en-US" w:eastAsia="zh-CN"/>
              </w:rPr>
              <w:t>7</w:t>
            </w:r>
          </w:p>
        </w:tc>
        <w:tc>
          <w:tcPr>
            <w:tcW w:w="749" w:type="pct"/>
            <w:vAlign w:val="center"/>
          </w:tcPr>
          <w:p w14:paraId="745D0162">
            <w:pPr>
              <w:pStyle w:val="75"/>
              <w:widowControl w:val="0"/>
              <w:spacing w:before="0" w:beforeAutospacing="0" w:after="0" w:afterAutospacing="0" w:line="360" w:lineRule="auto"/>
              <w:rPr>
                <w:rFonts w:hint="eastAsia" w:ascii="宋体" w:hAnsi="宋体" w:eastAsia="宋体" w:cs="宋体"/>
                <w:color w:val="auto"/>
                <w:kern w:val="2"/>
                <w:sz w:val="24"/>
                <w:highlight w:val="none"/>
              </w:rPr>
            </w:pPr>
            <w:r>
              <w:rPr>
                <w:rFonts w:hint="eastAsia" w:ascii="宋体" w:hAnsi="宋体" w:eastAsia="宋体" w:cs="宋体"/>
                <w:b w:val="0"/>
                <w:color w:val="auto"/>
                <w:kern w:val="2"/>
                <w:sz w:val="24"/>
                <w:highlight w:val="none"/>
              </w:rPr>
              <w:t>本项目采购标的名称及所属行业</w:t>
            </w:r>
          </w:p>
        </w:tc>
        <w:tc>
          <w:tcPr>
            <w:tcW w:w="3688" w:type="pct"/>
            <w:vAlign w:val="center"/>
          </w:tcPr>
          <w:p w14:paraId="510E772E">
            <w:pPr>
              <w:spacing w:line="360" w:lineRule="auto"/>
              <w:jc w:val="left"/>
              <w:rPr>
                <w:rFonts w:hint="eastAsia" w:ascii="宋体" w:hAnsi="宋体" w:eastAsia="宋体" w:cs="宋体"/>
                <w:color w:val="auto"/>
                <w:kern w:val="2"/>
                <w:sz w:val="24"/>
                <w:szCs w:val="22"/>
                <w:highlight w:val="none"/>
                <w:lang w:eastAsia="zh-CN"/>
              </w:rPr>
            </w:pPr>
            <w:r>
              <w:rPr>
                <w:rFonts w:hint="eastAsia" w:ascii="宋体" w:hAnsi="宋体" w:eastAsia="宋体" w:cs="宋体"/>
                <w:color w:val="auto"/>
                <w:kern w:val="2"/>
                <w:sz w:val="24"/>
                <w:szCs w:val="22"/>
                <w:highlight w:val="none"/>
              </w:rPr>
              <w:t>标的名称：</w:t>
            </w:r>
            <w:r>
              <w:rPr>
                <w:rFonts w:hint="eastAsia" w:cs="宋体"/>
                <w:color w:val="auto"/>
                <w:kern w:val="2"/>
                <w:sz w:val="24"/>
                <w:szCs w:val="22"/>
                <w:highlight w:val="none"/>
                <w:lang w:eastAsia="zh-CN"/>
              </w:rPr>
              <w:t>2025年市本级县乡道路日常养护项目</w:t>
            </w:r>
          </w:p>
          <w:p w14:paraId="72AF87C7">
            <w:pPr>
              <w:rPr>
                <w:rFonts w:hint="eastAsia" w:ascii="宋体" w:hAnsi="宋体" w:eastAsia="宋体" w:cs="宋体"/>
                <w:color w:val="auto"/>
                <w:kern w:val="2"/>
                <w:sz w:val="24"/>
                <w:szCs w:val="22"/>
                <w:highlight w:val="none"/>
                <w:lang w:val="en-US" w:eastAsia="zh-CN"/>
              </w:rPr>
            </w:pPr>
            <w:r>
              <w:rPr>
                <w:rFonts w:hint="eastAsia" w:ascii="宋体" w:hAnsi="宋体" w:eastAsia="宋体" w:cs="宋体"/>
                <w:color w:val="auto"/>
                <w:kern w:val="2"/>
                <w:sz w:val="24"/>
                <w:szCs w:val="22"/>
                <w:highlight w:val="none"/>
              </w:rPr>
              <w:t>所属行业：</w:t>
            </w:r>
            <w:r>
              <w:rPr>
                <w:rFonts w:hint="eastAsia" w:ascii="宋体" w:hAnsi="宋体" w:eastAsia="宋体" w:cs="宋体"/>
                <w:color w:val="auto"/>
                <w:kern w:val="2"/>
                <w:sz w:val="24"/>
                <w:szCs w:val="22"/>
                <w:highlight w:val="none"/>
                <w:lang w:val="en-US" w:eastAsia="zh-CN"/>
              </w:rPr>
              <w:t>建筑业</w:t>
            </w:r>
          </w:p>
        </w:tc>
      </w:tr>
    </w:tbl>
    <w:p w14:paraId="129BD1ED">
      <w:pPr>
        <w:spacing w:line="360" w:lineRule="auto"/>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330ADE89">
      <w:pPr>
        <w:spacing w:line="360" w:lineRule="auto"/>
        <w:jc w:val="center"/>
        <w:outlineLvl w:val="0"/>
        <w:rPr>
          <w:rFonts w:hint="eastAsia" w:ascii="宋体" w:hAnsi="宋体" w:eastAsia="宋体" w:cs="宋体"/>
          <w:b/>
          <w:color w:val="auto"/>
          <w:sz w:val="28"/>
          <w:highlight w:val="none"/>
        </w:rPr>
      </w:pPr>
      <w:bookmarkStart w:id="32" w:name="_Toc11353"/>
      <w:r>
        <w:rPr>
          <w:rFonts w:hint="eastAsia" w:ascii="宋体" w:hAnsi="宋体" w:eastAsia="宋体" w:cs="宋体"/>
          <w:b/>
          <w:color w:val="auto"/>
          <w:sz w:val="28"/>
          <w:highlight w:val="none"/>
        </w:rPr>
        <w:t>第四章  评审方法和标准</w:t>
      </w:r>
      <w:bookmarkEnd w:id="32"/>
    </w:p>
    <w:p w14:paraId="7E3506A5">
      <w:pPr>
        <w:spacing w:line="360" w:lineRule="auto"/>
        <w:ind w:firstLine="437"/>
        <w:outlineLvl w:val="1"/>
        <w:rPr>
          <w:rFonts w:hint="eastAsia" w:ascii="宋体" w:hAnsi="宋体" w:eastAsia="宋体" w:cs="宋体"/>
          <w:b/>
          <w:color w:val="auto"/>
          <w:sz w:val="24"/>
          <w:highlight w:val="none"/>
        </w:rPr>
      </w:pPr>
      <w:bookmarkStart w:id="33" w:name="_Toc3679"/>
      <w:bookmarkStart w:id="34" w:name="_Toc31533"/>
      <w:r>
        <w:rPr>
          <w:rFonts w:hint="eastAsia" w:ascii="宋体" w:hAnsi="宋体" w:eastAsia="宋体" w:cs="宋体"/>
          <w:b/>
          <w:color w:val="auto"/>
          <w:sz w:val="24"/>
          <w:highlight w:val="none"/>
        </w:rPr>
        <w:t>一、总则</w:t>
      </w:r>
      <w:bookmarkEnd w:id="33"/>
      <w:bookmarkEnd w:id="34"/>
    </w:p>
    <w:p w14:paraId="3AF510DB">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本项目将按照磋商文件第二章供应商须知的相关要求及本章的规定评审。</w:t>
      </w:r>
    </w:p>
    <w:p w14:paraId="1569495D">
      <w:pPr>
        <w:spacing w:line="360" w:lineRule="auto"/>
        <w:ind w:firstLine="437"/>
        <w:outlineLvl w:val="1"/>
        <w:rPr>
          <w:rFonts w:hint="eastAsia" w:ascii="宋体" w:hAnsi="宋体" w:eastAsia="宋体" w:cs="宋体"/>
          <w:b/>
          <w:color w:val="auto"/>
          <w:sz w:val="24"/>
          <w:highlight w:val="none"/>
        </w:rPr>
      </w:pPr>
      <w:bookmarkStart w:id="35" w:name="_Toc16232"/>
      <w:bookmarkStart w:id="36" w:name="_Toc13405"/>
      <w:r>
        <w:rPr>
          <w:rFonts w:hint="eastAsia" w:ascii="宋体" w:hAnsi="宋体" w:eastAsia="宋体" w:cs="宋体"/>
          <w:b/>
          <w:color w:val="auto"/>
          <w:sz w:val="24"/>
          <w:highlight w:val="none"/>
        </w:rPr>
        <w:t>二、评审方法</w:t>
      </w:r>
      <w:bookmarkEnd w:id="35"/>
      <w:bookmarkEnd w:id="36"/>
    </w:p>
    <w:p w14:paraId="5D264EC5">
      <w:pPr>
        <w:spacing w:line="360" w:lineRule="auto"/>
        <w:ind w:firstLine="435"/>
        <w:outlineLvl w:val="2"/>
        <w:rPr>
          <w:rFonts w:hint="eastAsia" w:ascii="宋体" w:hAnsi="宋体" w:eastAsia="宋体" w:cs="宋体"/>
          <w:color w:val="auto"/>
          <w:sz w:val="24"/>
          <w:highlight w:val="none"/>
        </w:rPr>
      </w:pPr>
      <w:r>
        <w:rPr>
          <w:rFonts w:hint="eastAsia" w:ascii="宋体" w:hAnsi="宋体" w:eastAsia="宋体" w:cs="宋体"/>
          <w:color w:val="auto"/>
          <w:sz w:val="24"/>
          <w:highlight w:val="none"/>
        </w:rPr>
        <w:t>2.1初审</w:t>
      </w:r>
    </w:p>
    <w:p w14:paraId="3939221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磋商小组对供应商的响应文件进行初审，以确定其是否满足磋商文件的实质性要求。初审表如下：</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471"/>
        <w:gridCol w:w="4194"/>
        <w:gridCol w:w="2819"/>
      </w:tblGrid>
      <w:tr w14:paraId="40822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05DD76C8">
            <w:pPr>
              <w:adjustRightInd w:val="0"/>
              <w:snapToGrid w:val="0"/>
              <w:ind w:right="-10"/>
              <w:jc w:val="center"/>
              <w:rPr>
                <w:rFonts w:hint="eastAsia" w:ascii="宋体" w:hAnsi="宋体" w:eastAsia="宋体" w:cs="宋体"/>
                <w:b/>
                <w:color w:val="auto"/>
                <w:kern w:val="2"/>
                <w:sz w:val="24"/>
                <w:szCs w:val="22"/>
                <w:highlight w:val="none"/>
              </w:rPr>
            </w:pPr>
            <w:r>
              <w:rPr>
                <w:rFonts w:hint="eastAsia" w:ascii="宋体" w:hAnsi="宋体" w:eastAsia="宋体" w:cs="宋体"/>
                <w:b/>
                <w:color w:val="auto"/>
                <w:kern w:val="2"/>
                <w:sz w:val="24"/>
                <w:szCs w:val="22"/>
                <w:highlight w:val="none"/>
              </w:rPr>
              <w:t>初审表</w:t>
            </w:r>
          </w:p>
        </w:tc>
      </w:tr>
      <w:tr w14:paraId="5BE874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410" w:type="pct"/>
            <w:tcBorders>
              <w:bottom w:val="single" w:color="auto" w:sz="4" w:space="0"/>
            </w:tcBorders>
            <w:vAlign w:val="center"/>
          </w:tcPr>
          <w:p w14:paraId="63517DE0">
            <w:pPr>
              <w:adjustRightInd w:val="0"/>
              <w:snapToGrid w:val="0"/>
              <w:spacing w:line="360" w:lineRule="auto"/>
              <w:ind w:right="-10" w:rightChars="0"/>
              <w:jc w:val="center"/>
              <w:rPr>
                <w:rFonts w:hint="eastAsia" w:ascii="宋体" w:hAnsi="宋体" w:eastAsia="宋体" w:cs="宋体"/>
                <w:b/>
                <w:bCs/>
                <w:color w:val="auto"/>
                <w:kern w:val="2"/>
                <w:sz w:val="24"/>
                <w:szCs w:val="22"/>
                <w:highlight w:val="none"/>
              </w:rPr>
            </w:pPr>
            <w:r>
              <w:rPr>
                <w:rFonts w:hint="eastAsia" w:ascii="宋体" w:hAnsi="宋体" w:eastAsia="宋体" w:cs="宋体"/>
                <w:b/>
                <w:bCs/>
                <w:color w:val="auto"/>
                <w:sz w:val="24"/>
                <w:highlight w:val="none"/>
              </w:rPr>
              <w:t>序号</w:t>
            </w:r>
          </w:p>
        </w:tc>
        <w:tc>
          <w:tcPr>
            <w:tcW w:w="796" w:type="pct"/>
            <w:tcBorders>
              <w:bottom w:val="single" w:color="auto" w:sz="4" w:space="0"/>
            </w:tcBorders>
            <w:vAlign w:val="center"/>
          </w:tcPr>
          <w:p w14:paraId="70FB83D9">
            <w:pPr>
              <w:pStyle w:val="76"/>
              <w:pBdr>
                <w:bottom w:val="none" w:color="auto" w:sz="0" w:space="0"/>
              </w:pBdr>
              <w:tabs>
                <w:tab w:val="clear" w:pos="4153"/>
                <w:tab w:val="clear" w:pos="8306"/>
              </w:tabs>
              <w:snapToGrid w:val="0"/>
              <w:spacing w:line="360" w:lineRule="auto"/>
              <w:ind w:right="-10" w:rightChars="0"/>
              <w:textAlignment w:val="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Cs w:val="24"/>
                <w:highlight w:val="none"/>
                <w:lang w:val="en-US" w:eastAsia="zh-CN"/>
              </w:rPr>
              <w:t>审查因素</w:t>
            </w:r>
          </w:p>
        </w:tc>
        <w:tc>
          <w:tcPr>
            <w:tcW w:w="2268" w:type="pct"/>
            <w:tcBorders>
              <w:bottom w:val="single" w:color="auto" w:sz="4" w:space="0"/>
            </w:tcBorders>
            <w:vAlign w:val="center"/>
          </w:tcPr>
          <w:p w14:paraId="28080939">
            <w:pPr>
              <w:adjustRightInd w:val="0"/>
              <w:snapToGrid w:val="0"/>
              <w:spacing w:line="360" w:lineRule="auto"/>
              <w:ind w:right="-10" w:rightChars="0"/>
              <w:jc w:val="center"/>
              <w:rPr>
                <w:rFonts w:hint="eastAsia" w:ascii="宋体" w:hAnsi="宋体" w:eastAsia="宋体" w:cs="宋体"/>
                <w:b/>
                <w:bCs/>
                <w:color w:val="auto"/>
                <w:kern w:val="2"/>
                <w:sz w:val="24"/>
                <w:szCs w:val="22"/>
                <w:highlight w:val="none"/>
              </w:rPr>
            </w:pPr>
            <w:r>
              <w:rPr>
                <w:rFonts w:hint="eastAsia" w:ascii="宋体" w:hAnsi="宋体" w:eastAsia="宋体" w:cs="宋体"/>
                <w:b/>
                <w:bCs/>
                <w:color w:val="auto"/>
                <w:sz w:val="24"/>
                <w:highlight w:val="none"/>
                <w:lang w:val="en-US" w:eastAsia="zh-CN"/>
              </w:rPr>
              <w:t>审查内容</w:t>
            </w:r>
          </w:p>
        </w:tc>
        <w:tc>
          <w:tcPr>
            <w:tcW w:w="1524" w:type="pct"/>
            <w:tcBorders>
              <w:bottom w:val="single" w:color="auto" w:sz="4" w:space="0"/>
            </w:tcBorders>
            <w:vAlign w:val="center"/>
          </w:tcPr>
          <w:p w14:paraId="671F5F0F">
            <w:pPr>
              <w:adjustRightInd w:val="0"/>
              <w:snapToGrid w:val="0"/>
              <w:spacing w:line="360" w:lineRule="auto"/>
              <w:ind w:right="-10" w:rightChars="0"/>
              <w:jc w:val="center"/>
              <w:rPr>
                <w:rFonts w:hint="eastAsia" w:ascii="宋体" w:hAnsi="宋体" w:eastAsia="宋体" w:cs="宋体"/>
                <w:b/>
                <w:bCs/>
                <w:color w:val="auto"/>
                <w:kern w:val="2"/>
                <w:sz w:val="24"/>
                <w:szCs w:val="22"/>
                <w:highlight w:val="none"/>
              </w:rPr>
            </w:pPr>
            <w:r>
              <w:rPr>
                <w:rFonts w:hint="eastAsia" w:ascii="宋体" w:hAnsi="宋体" w:eastAsia="宋体" w:cs="宋体"/>
                <w:b/>
                <w:bCs/>
                <w:color w:val="auto"/>
                <w:sz w:val="24"/>
                <w:highlight w:val="none"/>
              </w:rPr>
              <w:t>格式要求</w:t>
            </w:r>
          </w:p>
        </w:tc>
      </w:tr>
      <w:tr w14:paraId="3B690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4" w:hRule="atLeast"/>
          <w:jc w:val="center"/>
        </w:trPr>
        <w:tc>
          <w:tcPr>
            <w:tcW w:w="410" w:type="pct"/>
            <w:tcBorders>
              <w:bottom w:val="single" w:color="auto" w:sz="4" w:space="0"/>
            </w:tcBorders>
            <w:vAlign w:val="center"/>
          </w:tcPr>
          <w:p w14:paraId="09F8E2D6">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1</w:t>
            </w:r>
          </w:p>
        </w:tc>
        <w:tc>
          <w:tcPr>
            <w:tcW w:w="796" w:type="pct"/>
            <w:tcBorders>
              <w:bottom w:val="single" w:color="auto" w:sz="4" w:space="0"/>
            </w:tcBorders>
            <w:vAlign w:val="center"/>
          </w:tcPr>
          <w:p w14:paraId="279D8E56">
            <w:pPr>
              <w:spacing w:after="50"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spacing w:val="9"/>
                <w:sz w:val="24"/>
                <w:szCs w:val="24"/>
              </w:rPr>
              <w:t>营业执照等证明</w:t>
            </w:r>
            <w:r>
              <w:rPr>
                <w:rFonts w:hint="eastAsia" w:ascii="宋体" w:hAnsi="宋体" w:eastAsia="宋体" w:cs="宋体"/>
                <w:spacing w:val="-3"/>
                <w:sz w:val="24"/>
                <w:szCs w:val="24"/>
              </w:rPr>
              <w:t>文件</w:t>
            </w:r>
          </w:p>
        </w:tc>
        <w:tc>
          <w:tcPr>
            <w:tcW w:w="2268" w:type="pct"/>
            <w:tcBorders>
              <w:bottom w:val="single" w:color="auto" w:sz="4" w:space="0"/>
            </w:tcBorders>
            <w:vAlign w:val="center"/>
          </w:tcPr>
          <w:p w14:paraId="5F8A7B1D">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为企业（包括合伙企业）的，应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供有效的营业执照；</w:t>
            </w:r>
          </w:p>
          <w:p w14:paraId="4B34C2C2">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为事业单位的，应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供有效的事业单位法人证书；</w:t>
            </w:r>
          </w:p>
          <w:p w14:paraId="46C77806">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是非企业机构的，应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供有效的执业许可证</w:t>
            </w:r>
            <w:r>
              <w:rPr>
                <w:rFonts w:hint="eastAsia" w:ascii="宋体" w:hAnsi="宋体" w:eastAsia="宋体" w:cs="宋体"/>
                <w:sz w:val="24"/>
                <w:szCs w:val="24"/>
                <w:lang w:val="en-US" w:eastAsia="zh-CN"/>
              </w:rPr>
              <w:t>或</w:t>
            </w:r>
            <w:r>
              <w:rPr>
                <w:rFonts w:hint="eastAsia" w:ascii="宋体" w:hAnsi="宋体" w:eastAsia="宋体" w:cs="宋体"/>
                <w:sz w:val="24"/>
                <w:szCs w:val="24"/>
              </w:rPr>
              <w:t>登记证书等证明文件；</w:t>
            </w:r>
          </w:p>
          <w:p w14:paraId="48371543">
            <w:pPr>
              <w:spacing w:after="50" w:line="360" w:lineRule="auto"/>
              <w:ind w:right="-10" w:rightChars="0"/>
              <w:jc w:val="left"/>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是个体工商户的，应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供有效的个体工商户营业执照；</w:t>
            </w:r>
          </w:p>
          <w:p w14:paraId="1C6D3FBD">
            <w:pPr>
              <w:spacing w:after="50"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5</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供应商</w:t>
            </w:r>
            <w:r>
              <w:rPr>
                <w:rFonts w:hint="eastAsia" w:ascii="宋体" w:hAnsi="宋体" w:eastAsia="宋体" w:cs="宋体"/>
                <w:sz w:val="24"/>
                <w:szCs w:val="24"/>
              </w:rPr>
              <w:t>是自然人的，应</w:t>
            </w:r>
            <w:r>
              <w:rPr>
                <w:rFonts w:hint="eastAsia" w:ascii="宋体" w:hAnsi="宋体" w:eastAsia="宋体" w:cs="宋体"/>
                <w:sz w:val="24"/>
                <w:szCs w:val="24"/>
                <w:lang w:val="en-US" w:eastAsia="zh-CN"/>
              </w:rPr>
              <w:t>提</w:t>
            </w:r>
            <w:r>
              <w:rPr>
                <w:rFonts w:hint="eastAsia" w:ascii="宋体" w:hAnsi="宋体" w:eastAsia="宋体" w:cs="宋体"/>
                <w:sz w:val="24"/>
                <w:szCs w:val="24"/>
              </w:rPr>
              <w:t>供有效的自然人身份证明。</w:t>
            </w:r>
          </w:p>
        </w:tc>
        <w:tc>
          <w:tcPr>
            <w:tcW w:w="1524" w:type="pct"/>
            <w:tcBorders>
              <w:bottom w:val="single" w:color="auto" w:sz="4" w:space="0"/>
            </w:tcBorders>
            <w:vAlign w:val="center"/>
          </w:tcPr>
          <w:p w14:paraId="5284DE26">
            <w:pPr>
              <w:spacing w:line="360" w:lineRule="auto"/>
              <w:jc w:val="left"/>
              <w:rPr>
                <w:rFonts w:hint="eastAsia" w:ascii="宋体" w:hAnsi="宋体" w:eastAsia="宋体" w:cs="宋体"/>
                <w:color w:val="auto"/>
                <w:kern w:val="2"/>
                <w:sz w:val="24"/>
                <w:szCs w:val="22"/>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全部内容。联合体</w:t>
            </w:r>
            <w:r>
              <w:rPr>
                <w:rFonts w:hint="eastAsia" w:ascii="宋体" w:hAnsi="宋体" w:eastAsia="宋体" w:cs="宋体"/>
                <w:b w:val="0"/>
                <w:bCs w:val="0"/>
                <w:color w:val="auto"/>
                <w:sz w:val="24"/>
                <w:szCs w:val="24"/>
                <w:highlight w:val="none"/>
                <w:lang w:val="en-US" w:eastAsia="zh-CN"/>
              </w:rPr>
              <w:t>磋商</w:t>
            </w:r>
            <w:r>
              <w:rPr>
                <w:rFonts w:hint="eastAsia" w:ascii="宋体" w:hAnsi="宋体" w:eastAsia="宋体" w:cs="宋体"/>
                <w:b w:val="0"/>
                <w:bCs w:val="0"/>
                <w:color w:val="auto"/>
                <w:sz w:val="24"/>
                <w:szCs w:val="24"/>
                <w:highlight w:val="none"/>
              </w:rPr>
              <w:t>的联合体各方均须提供。</w:t>
            </w:r>
          </w:p>
        </w:tc>
      </w:tr>
      <w:tr w14:paraId="53CA8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097C685">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lang w:val="en-US" w:eastAsia="zh-CN"/>
              </w:rPr>
              <w:t>2</w:t>
            </w:r>
          </w:p>
        </w:tc>
        <w:tc>
          <w:tcPr>
            <w:tcW w:w="796" w:type="pct"/>
            <w:vAlign w:val="center"/>
          </w:tcPr>
          <w:p w14:paraId="086A337D">
            <w:pPr>
              <w:spacing w:after="50"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18"/>
                <w:highlight w:val="none"/>
                <w:lang w:val="en-US" w:eastAsia="zh-CN"/>
              </w:rPr>
              <w:t>供应商资格声明书</w:t>
            </w:r>
          </w:p>
        </w:tc>
        <w:tc>
          <w:tcPr>
            <w:tcW w:w="2268" w:type="pct"/>
            <w:vAlign w:val="center"/>
          </w:tcPr>
          <w:p w14:paraId="69D2DA86">
            <w:pPr>
              <w:spacing w:after="50"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sz w:val="24"/>
                <w:szCs w:val="24"/>
                <w:lang w:val="en-US" w:eastAsia="zh-CN"/>
              </w:rPr>
              <w:t>提</w:t>
            </w:r>
            <w:r>
              <w:rPr>
                <w:rFonts w:hint="eastAsia" w:ascii="宋体" w:hAnsi="宋体" w:eastAsia="宋体" w:cs="宋体"/>
                <w:sz w:val="24"/>
                <w:szCs w:val="24"/>
              </w:rPr>
              <w:t>供符合</w:t>
            </w:r>
            <w:r>
              <w:rPr>
                <w:rFonts w:hint="eastAsia" w:ascii="宋体" w:hAnsi="宋体" w:eastAsia="宋体" w:cs="宋体"/>
                <w:sz w:val="24"/>
                <w:szCs w:val="24"/>
                <w:lang w:val="en-US" w:eastAsia="zh-CN"/>
              </w:rPr>
              <w:t>磋商</w:t>
            </w:r>
            <w:r>
              <w:rPr>
                <w:rFonts w:hint="eastAsia" w:ascii="宋体" w:hAnsi="宋体" w:eastAsia="宋体" w:cs="宋体"/>
                <w:sz w:val="24"/>
                <w:szCs w:val="24"/>
              </w:rPr>
              <w:t>文件要求的《</w:t>
            </w:r>
            <w:r>
              <w:rPr>
                <w:rFonts w:hint="eastAsia" w:ascii="宋体" w:hAnsi="宋体" w:eastAsia="宋体" w:cs="宋体"/>
                <w:sz w:val="24"/>
                <w:szCs w:val="24"/>
                <w:lang w:val="en-US" w:eastAsia="zh-CN"/>
              </w:rPr>
              <w:t>供应商</w:t>
            </w:r>
            <w:r>
              <w:rPr>
                <w:rFonts w:hint="eastAsia" w:ascii="宋体" w:hAnsi="宋体" w:eastAsia="宋体" w:cs="宋体"/>
                <w:sz w:val="24"/>
                <w:szCs w:val="24"/>
              </w:rPr>
              <w:t>资格声明书》</w:t>
            </w:r>
            <w:r>
              <w:rPr>
                <w:rFonts w:hint="eastAsia" w:ascii="宋体" w:hAnsi="宋体" w:eastAsia="宋体" w:cs="宋体"/>
                <w:sz w:val="24"/>
                <w:szCs w:val="24"/>
                <w:lang w:eastAsia="zh-CN"/>
              </w:rPr>
              <w:t>。</w:t>
            </w:r>
          </w:p>
        </w:tc>
        <w:tc>
          <w:tcPr>
            <w:tcW w:w="1524" w:type="pct"/>
            <w:vAlign w:val="center"/>
          </w:tcPr>
          <w:p w14:paraId="6BA551C3">
            <w:pPr>
              <w:spacing w:line="360" w:lineRule="auto"/>
              <w:jc w:val="left"/>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详见第六章</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文件格式</w:t>
            </w:r>
            <w:r>
              <w:rPr>
                <w:rFonts w:hint="eastAsia" w:ascii="宋体" w:hAnsi="宋体" w:eastAsia="宋体" w:cs="宋体"/>
                <w:color w:val="auto"/>
                <w:sz w:val="24"/>
                <w:highlight w:val="none"/>
                <w:lang w:eastAsia="zh-CN"/>
              </w:rPr>
              <w:t>。</w:t>
            </w:r>
          </w:p>
        </w:tc>
      </w:tr>
      <w:tr w14:paraId="0895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6AC37F8A">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lang w:val="en-US" w:eastAsia="zh-CN"/>
              </w:rPr>
              <w:t>3</w:t>
            </w:r>
          </w:p>
        </w:tc>
        <w:tc>
          <w:tcPr>
            <w:tcW w:w="796" w:type="pct"/>
            <w:vAlign w:val="center"/>
          </w:tcPr>
          <w:p w14:paraId="3B77E92F">
            <w:pPr>
              <w:spacing w:after="50"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18"/>
                <w:highlight w:val="none"/>
                <w:lang w:val="en-US" w:eastAsia="zh-CN"/>
              </w:rPr>
              <w:t>供应商</w:t>
            </w:r>
            <w:r>
              <w:rPr>
                <w:rFonts w:hint="eastAsia" w:ascii="宋体" w:hAnsi="宋体" w:eastAsia="宋体" w:cs="宋体"/>
                <w:color w:val="auto"/>
                <w:sz w:val="24"/>
                <w:szCs w:val="24"/>
                <w:highlight w:val="none"/>
              </w:rPr>
              <w:t>信用记录</w:t>
            </w:r>
          </w:p>
        </w:tc>
        <w:tc>
          <w:tcPr>
            <w:tcW w:w="2268" w:type="pct"/>
            <w:vAlign w:val="center"/>
          </w:tcPr>
          <w:p w14:paraId="291EC3CF">
            <w:pPr>
              <w:spacing w:after="50"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不得存在</w:t>
            </w:r>
            <w:r>
              <w:rPr>
                <w:rFonts w:hint="eastAsia" w:ascii="宋体" w:hAnsi="宋体" w:eastAsia="宋体" w:cs="宋体"/>
                <w:sz w:val="24"/>
                <w:szCs w:val="24"/>
                <w:lang w:val="en-US" w:eastAsia="zh-CN"/>
              </w:rPr>
              <w:t>供应商</w:t>
            </w:r>
            <w:r>
              <w:rPr>
                <w:rFonts w:hint="eastAsia" w:ascii="宋体" w:hAnsi="宋体" w:eastAsia="宋体" w:cs="宋体"/>
                <w:sz w:val="24"/>
                <w:szCs w:val="24"/>
                <w:lang w:val="zh-CN" w:eastAsia="zh-CN"/>
              </w:rPr>
              <w:t>须</w:t>
            </w:r>
            <w:r>
              <w:rPr>
                <w:rFonts w:hint="eastAsia" w:ascii="宋体" w:hAnsi="宋体" w:eastAsia="宋体" w:cs="宋体"/>
                <w:sz w:val="24"/>
                <w:szCs w:val="24"/>
                <w:highlight w:val="none"/>
                <w:lang w:val="zh-CN" w:eastAsia="zh-CN"/>
              </w:rPr>
              <w:t>知正文第1</w:t>
            </w:r>
            <w:r>
              <w:rPr>
                <w:rFonts w:hint="eastAsia" w:ascii="宋体" w:hAnsi="宋体" w:eastAsia="宋体" w:cs="宋体"/>
                <w:sz w:val="24"/>
                <w:szCs w:val="24"/>
                <w:highlight w:val="none"/>
                <w:lang w:val="en-US" w:eastAsia="zh-CN"/>
              </w:rPr>
              <w:t>4</w:t>
            </w:r>
            <w:r>
              <w:rPr>
                <w:rFonts w:hint="eastAsia" w:ascii="宋体" w:hAnsi="宋体" w:eastAsia="宋体" w:cs="宋体"/>
                <w:sz w:val="24"/>
                <w:szCs w:val="24"/>
                <w:highlight w:val="none"/>
                <w:lang w:val="zh-CN" w:eastAsia="zh-CN"/>
              </w:rPr>
              <w:t>.</w:t>
            </w:r>
            <w:r>
              <w:rPr>
                <w:rFonts w:hint="eastAsia" w:ascii="宋体" w:hAnsi="宋体" w:eastAsia="宋体" w:cs="宋体"/>
                <w:sz w:val="24"/>
                <w:szCs w:val="24"/>
                <w:highlight w:val="none"/>
                <w:lang w:val="en-US" w:eastAsia="zh-CN"/>
              </w:rPr>
              <w:t>3条中</w:t>
            </w:r>
            <w:r>
              <w:rPr>
                <w:rFonts w:hint="eastAsia" w:ascii="宋体" w:hAnsi="宋体" w:eastAsia="宋体" w:cs="宋体"/>
                <w:color w:val="auto"/>
                <w:sz w:val="24"/>
                <w:szCs w:val="28"/>
                <w:highlight w:val="none"/>
              </w:rPr>
              <w:t>的</w:t>
            </w:r>
            <w:r>
              <w:rPr>
                <w:rFonts w:hint="eastAsia" w:ascii="宋体" w:hAnsi="宋体" w:eastAsia="宋体" w:cs="宋体"/>
                <w:color w:val="auto"/>
                <w:sz w:val="24"/>
                <w:szCs w:val="18"/>
                <w:highlight w:val="none"/>
              </w:rPr>
              <w:t>不良信用记录情形</w:t>
            </w:r>
          </w:p>
        </w:tc>
        <w:tc>
          <w:tcPr>
            <w:tcW w:w="1524" w:type="pct"/>
            <w:vAlign w:val="center"/>
          </w:tcPr>
          <w:p w14:paraId="2A6391D9">
            <w:pPr>
              <w:spacing w:line="360" w:lineRule="auto"/>
              <w:jc w:val="left"/>
              <w:rPr>
                <w:rFonts w:hint="eastAsia" w:ascii="宋体" w:hAnsi="宋体" w:eastAsia="宋体" w:cs="宋体"/>
                <w:color w:val="auto"/>
                <w:kern w:val="2"/>
                <w:sz w:val="24"/>
                <w:szCs w:val="22"/>
                <w:highlight w:val="none"/>
              </w:rPr>
            </w:pPr>
            <w:r>
              <w:rPr>
                <w:rFonts w:hint="eastAsia" w:ascii="宋体" w:hAnsi="宋体" w:eastAsia="宋体" w:cs="宋体"/>
                <w:sz w:val="24"/>
                <w:szCs w:val="24"/>
              </w:rPr>
              <w:t>无须</w:t>
            </w:r>
            <w:r>
              <w:rPr>
                <w:rFonts w:hint="eastAsia" w:ascii="宋体" w:hAnsi="宋体" w:eastAsia="宋体" w:cs="宋体"/>
                <w:sz w:val="24"/>
                <w:szCs w:val="24"/>
                <w:lang w:val="en-US" w:eastAsia="zh-CN"/>
              </w:rPr>
              <w:t>供应商提</w:t>
            </w:r>
            <w:r>
              <w:rPr>
                <w:rFonts w:hint="eastAsia" w:ascii="宋体" w:hAnsi="宋体" w:eastAsia="宋体" w:cs="宋体"/>
                <w:sz w:val="24"/>
                <w:szCs w:val="24"/>
              </w:rPr>
              <w:t>供，由采购人或采购代理机构查询。</w:t>
            </w:r>
          </w:p>
        </w:tc>
      </w:tr>
      <w:tr w14:paraId="32794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788786E5">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lang w:val="en-US" w:eastAsia="zh-CN"/>
              </w:rPr>
              <w:t>4</w:t>
            </w:r>
          </w:p>
        </w:tc>
        <w:tc>
          <w:tcPr>
            <w:tcW w:w="796" w:type="pct"/>
            <w:vAlign w:val="center"/>
          </w:tcPr>
          <w:p w14:paraId="44E24CD4">
            <w:pPr>
              <w:spacing w:after="50"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4"/>
                <w:highlight w:val="none"/>
              </w:rPr>
              <w:t>中小企业证明文件（</w:t>
            </w:r>
            <w:r>
              <w:rPr>
                <w:rFonts w:hint="eastAsia" w:ascii="宋体" w:hAnsi="宋体" w:eastAsia="宋体" w:cs="宋体"/>
                <w:i/>
                <w:iCs/>
                <w:color w:val="auto"/>
                <w:sz w:val="24"/>
                <w:szCs w:val="24"/>
                <w:highlight w:val="none"/>
                <w:lang w:val="en-US" w:eastAsia="zh-CN"/>
              </w:rPr>
              <w:t>适用于</w:t>
            </w:r>
            <w:r>
              <w:rPr>
                <w:rFonts w:hint="eastAsia" w:ascii="宋体" w:hAnsi="宋体" w:eastAsia="宋体" w:cs="宋体"/>
                <w:i/>
                <w:iCs/>
                <w:color w:val="auto"/>
                <w:sz w:val="24"/>
                <w:szCs w:val="24"/>
                <w:highlight w:val="none"/>
              </w:rPr>
              <w:t>专门面向中小企业采购项目</w:t>
            </w:r>
            <w:r>
              <w:rPr>
                <w:rFonts w:hint="eastAsia" w:ascii="宋体" w:hAnsi="宋体" w:eastAsia="宋体" w:cs="宋体"/>
                <w:i/>
                <w:iCs/>
                <w:color w:val="auto"/>
                <w:sz w:val="24"/>
                <w:szCs w:val="24"/>
                <w:highlight w:val="none"/>
                <w:lang w:val="en-US" w:eastAsia="zh-CN"/>
              </w:rPr>
              <w:t>或预留中小企业采购份额项目</w:t>
            </w:r>
            <w:r>
              <w:rPr>
                <w:rFonts w:hint="eastAsia" w:ascii="宋体" w:hAnsi="宋体" w:eastAsia="宋体" w:cs="宋体"/>
                <w:color w:val="auto"/>
                <w:sz w:val="24"/>
                <w:szCs w:val="24"/>
                <w:highlight w:val="none"/>
              </w:rPr>
              <w:t>）</w:t>
            </w:r>
          </w:p>
        </w:tc>
        <w:tc>
          <w:tcPr>
            <w:tcW w:w="2268" w:type="pct"/>
            <w:vAlign w:val="top"/>
          </w:tcPr>
          <w:p w14:paraId="37518248">
            <w:pPr>
              <w:spacing w:after="50" w:line="360" w:lineRule="auto"/>
              <w:ind w:right="-10"/>
              <w:jc w:val="left"/>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8"/>
                <w:highlight w:val="none"/>
              </w:rPr>
              <w:t>符合</w:t>
            </w:r>
            <w:r>
              <w:rPr>
                <w:rFonts w:hint="eastAsia" w:ascii="宋体" w:hAnsi="宋体" w:eastAsia="宋体" w:cs="宋体"/>
                <w:color w:val="auto"/>
                <w:sz w:val="24"/>
                <w:szCs w:val="28"/>
                <w:highlight w:val="none"/>
                <w:lang w:val="en-US" w:eastAsia="zh-CN"/>
              </w:rPr>
              <w:t>申请人的</w:t>
            </w:r>
            <w:r>
              <w:rPr>
                <w:rFonts w:hint="eastAsia" w:ascii="宋体" w:hAnsi="宋体" w:eastAsia="宋体" w:cs="宋体"/>
                <w:color w:val="auto"/>
                <w:sz w:val="24"/>
                <w:szCs w:val="28"/>
                <w:highlight w:val="none"/>
              </w:rPr>
              <w:t>资格</w:t>
            </w:r>
            <w:r>
              <w:rPr>
                <w:rFonts w:hint="eastAsia" w:ascii="宋体" w:hAnsi="宋体" w:eastAsia="宋体" w:cs="宋体"/>
                <w:color w:val="auto"/>
                <w:sz w:val="24"/>
                <w:szCs w:val="28"/>
                <w:highlight w:val="none"/>
                <w:lang w:val="en-US" w:eastAsia="zh-CN"/>
              </w:rPr>
              <w:t>要求</w:t>
            </w:r>
            <w:r>
              <w:rPr>
                <w:rFonts w:hint="eastAsia" w:ascii="宋体" w:hAnsi="宋体" w:eastAsia="宋体" w:cs="宋体"/>
                <w:color w:val="auto"/>
                <w:sz w:val="24"/>
                <w:szCs w:val="28"/>
                <w:highlight w:val="none"/>
              </w:rPr>
              <w:t>中落实政府采购政策需满足的资格要求</w:t>
            </w:r>
            <w:r>
              <w:rPr>
                <w:rFonts w:hint="eastAsia" w:ascii="宋体" w:hAnsi="宋体" w:eastAsia="宋体" w:cs="宋体"/>
                <w:color w:val="auto"/>
                <w:sz w:val="24"/>
                <w:szCs w:val="28"/>
                <w:highlight w:val="none"/>
                <w:lang w:eastAsia="zh-CN"/>
              </w:rPr>
              <w:t>：</w:t>
            </w:r>
          </w:p>
          <w:p w14:paraId="73024C61">
            <w:pPr>
              <w:spacing w:after="50" w:line="360" w:lineRule="auto"/>
              <w:ind w:right="-1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专门面向中小企业采购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应</w:t>
            </w:r>
            <w:r>
              <w:rPr>
                <w:rFonts w:hint="eastAsia" w:ascii="宋体" w:hAnsi="宋体" w:eastAsia="宋体" w:cs="宋体"/>
                <w:color w:val="auto"/>
                <w:sz w:val="24"/>
                <w:szCs w:val="24"/>
                <w:highlight w:val="none"/>
                <w:lang w:val="en-US" w:eastAsia="zh-CN"/>
              </w:rPr>
              <w:t>提</w:t>
            </w:r>
            <w:r>
              <w:rPr>
                <w:rFonts w:hint="eastAsia" w:ascii="宋体" w:hAnsi="宋体" w:eastAsia="宋体" w:cs="宋体"/>
                <w:color w:val="auto"/>
                <w:sz w:val="24"/>
                <w:szCs w:val="24"/>
                <w:highlight w:val="none"/>
              </w:rPr>
              <w:t>供《中小企业声明函》或《残疾人福利性单位声明函》或由省级以上监狱管理局、戒毒管理局（含新疆 生产建设兵团）出具的属于监狱企业的证明文件。</w:t>
            </w:r>
          </w:p>
          <w:p w14:paraId="457998D4">
            <w:pPr>
              <w:spacing w:after="50"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如</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文件要求以联合体形式参加或者要求合同分包的，且</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w:t>
            </w:r>
            <w:r>
              <w:rPr>
                <w:rFonts w:hint="eastAsia" w:ascii="宋体" w:hAnsi="宋体" w:eastAsia="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文件关于预留份额的要求。</w:t>
            </w:r>
          </w:p>
        </w:tc>
        <w:tc>
          <w:tcPr>
            <w:tcW w:w="1524" w:type="pct"/>
            <w:vAlign w:val="center"/>
          </w:tcPr>
          <w:p w14:paraId="1765D637">
            <w:pPr>
              <w:spacing w:after="50"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详见第六章</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文件格式</w:t>
            </w:r>
            <w:r>
              <w:rPr>
                <w:rFonts w:hint="eastAsia" w:ascii="宋体" w:hAnsi="宋体" w:eastAsia="宋体" w:cs="宋体"/>
                <w:color w:val="auto"/>
                <w:sz w:val="24"/>
                <w:highlight w:val="none"/>
                <w:lang w:eastAsia="zh-CN"/>
              </w:rPr>
              <w:t>。</w:t>
            </w:r>
          </w:p>
        </w:tc>
      </w:tr>
      <w:tr w14:paraId="1EB3C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1" w:hRule="atLeast"/>
          <w:jc w:val="center"/>
        </w:trPr>
        <w:tc>
          <w:tcPr>
            <w:tcW w:w="410" w:type="pct"/>
            <w:vAlign w:val="center"/>
          </w:tcPr>
          <w:p w14:paraId="49E029FE">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lang w:val="en-US" w:eastAsia="zh-CN"/>
              </w:rPr>
              <w:t>5</w:t>
            </w:r>
          </w:p>
        </w:tc>
        <w:tc>
          <w:tcPr>
            <w:tcW w:w="796" w:type="pct"/>
            <w:vAlign w:val="center"/>
          </w:tcPr>
          <w:p w14:paraId="587ABEB9">
            <w:pPr>
              <w:spacing w:after="50" w:line="360" w:lineRule="auto"/>
              <w:ind w:right="-10" w:rightChars="0"/>
              <w:jc w:val="both"/>
              <w:rPr>
                <w:rFonts w:hint="eastAsia" w:ascii="宋体" w:hAnsi="宋体" w:eastAsia="宋体" w:cs="宋体"/>
                <w:color w:val="auto"/>
                <w:kern w:val="2"/>
                <w:sz w:val="24"/>
                <w:szCs w:val="24"/>
                <w:highlight w:val="none"/>
              </w:rPr>
            </w:pPr>
            <w:r>
              <w:rPr>
                <w:rFonts w:hint="eastAsia" w:ascii="宋体" w:hAnsi="宋体" w:eastAsia="宋体" w:cs="宋体"/>
                <w:spacing w:val="10"/>
                <w:sz w:val="24"/>
                <w:szCs w:val="24"/>
              </w:rPr>
              <w:t>其他特定资格要求</w:t>
            </w:r>
          </w:p>
        </w:tc>
        <w:tc>
          <w:tcPr>
            <w:tcW w:w="2268" w:type="pct"/>
            <w:vAlign w:val="center"/>
          </w:tcPr>
          <w:p w14:paraId="4C3D87F0">
            <w:pPr>
              <w:spacing w:after="50" w:line="360" w:lineRule="auto"/>
              <w:ind w:right="-10" w:rightChars="0"/>
              <w:jc w:val="both"/>
              <w:rPr>
                <w:rFonts w:hint="eastAsia" w:ascii="宋体" w:hAnsi="宋体" w:eastAsia="宋体" w:cs="宋体"/>
                <w:color w:val="auto"/>
                <w:kern w:val="2"/>
                <w:sz w:val="24"/>
                <w:szCs w:val="22"/>
                <w:highlight w:val="none"/>
              </w:rPr>
            </w:pPr>
            <w:r>
              <w:rPr>
                <w:rFonts w:hint="eastAsia" w:ascii="宋体" w:hAnsi="宋体" w:eastAsia="宋体" w:cs="宋体"/>
                <w:spacing w:val="10"/>
                <w:sz w:val="24"/>
                <w:szCs w:val="24"/>
                <w:lang w:val="en-US" w:eastAsia="zh-CN"/>
              </w:rPr>
              <w:t>详</w:t>
            </w:r>
            <w:r>
              <w:rPr>
                <w:rFonts w:hint="eastAsia" w:ascii="宋体" w:hAnsi="宋体" w:eastAsia="宋体" w:cs="宋体"/>
                <w:spacing w:val="10"/>
                <w:sz w:val="24"/>
                <w:szCs w:val="24"/>
              </w:rPr>
              <w:t>见第一章《</w:t>
            </w:r>
            <w:r>
              <w:rPr>
                <w:rFonts w:hint="eastAsia" w:ascii="宋体" w:hAnsi="宋体" w:eastAsia="宋体" w:cs="宋体"/>
                <w:spacing w:val="10"/>
                <w:sz w:val="24"/>
                <w:szCs w:val="24"/>
                <w:lang w:val="en-US" w:eastAsia="zh-CN"/>
              </w:rPr>
              <w:t>磋商邀请</w:t>
            </w:r>
            <w:r>
              <w:rPr>
                <w:rFonts w:hint="eastAsia" w:ascii="宋体" w:hAnsi="宋体" w:eastAsia="宋体" w:cs="宋体"/>
                <w:spacing w:val="10"/>
                <w:sz w:val="24"/>
                <w:szCs w:val="24"/>
              </w:rPr>
              <w:t>》</w:t>
            </w:r>
          </w:p>
        </w:tc>
        <w:tc>
          <w:tcPr>
            <w:tcW w:w="1524" w:type="pct"/>
            <w:vAlign w:val="center"/>
          </w:tcPr>
          <w:p w14:paraId="6EE7DEEB">
            <w:pPr>
              <w:spacing w:after="50" w:line="360" w:lineRule="auto"/>
              <w:ind w:right="-10" w:rightChars="0"/>
              <w:jc w:val="both"/>
              <w:rPr>
                <w:rFonts w:hint="eastAsia" w:ascii="宋体" w:hAnsi="宋体" w:eastAsia="宋体" w:cs="宋体"/>
                <w:color w:val="auto"/>
                <w:kern w:val="2"/>
                <w:sz w:val="24"/>
                <w:szCs w:val="28"/>
                <w:highlight w:val="none"/>
              </w:rPr>
            </w:pPr>
            <w:r>
              <w:rPr>
                <w:rFonts w:hint="eastAsia" w:ascii="宋体" w:hAnsi="宋体" w:eastAsia="宋体" w:cs="宋体"/>
                <w:b w:val="0"/>
                <w:bCs w:val="0"/>
                <w:color w:val="auto"/>
                <w:sz w:val="24"/>
                <w:szCs w:val="24"/>
                <w:highlight w:val="none"/>
              </w:rPr>
              <w:t>提供</w:t>
            </w:r>
            <w:r>
              <w:rPr>
                <w:rFonts w:hint="eastAsia" w:ascii="宋体" w:hAnsi="宋体" w:eastAsia="宋体" w:cs="宋体"/>
                <w:b w:val="0"/>
                <w:bCs w:val="0"/>
                <w:color w:val="auto"/>
                <w:sz w:val="24"/>
                <w:szCs w:val="24"/>
                <w:highlight w:val="none"/>
                <w:lang w:val="en-US" w:eastAsia="zh-CN"/>
              </w:rPr>
              <w:t>材料</w:t>
            </w:r>
            <w:r>
              <w:rPr>
                <w:rFonts w:hint="eastAsia" w:ascii="宋体" w:hAnsi="宋体" w:eastAsia="宋体" w:cs="宋体"/>
                <w:b w:val="0"/>
                <w:bCs w:val="0"/>
                <w:color w:val="auto"/>
                <w:sz w:val="24"/>
                <w:szCs w:val="24"/>
                <w:highlight w:val="none"/>
              </w:rPr>
              <w:t>扫描件</w:t>
            </w:r>
            <w:r>
              <w:rPr>
                <w:rFonts w:hint="eastAsia" w:ascii="宋体" w:hAnsi="宋体" w:eastAsia="宋体" w:cs="宋体"/>
                <w:b w:val="0"/>
                <w:bCs w:val="0"/>
                <w:color w:val="auto"/>
                <w:sz w:val="24"/>
                <w:szCs w:val="24"/>
                <w:highlight w:val="none"/>
                <w:lang w:val="en-US" w:eastAsia="zh-CN"/>
              </w:rPr>
              <w:t>或电子证照</w:t>
            </w:r>
            <w:r>
              <w:rPr>
                <w:rFonts w:hint="eastAsia" w:ascii="宋体" w:hAnsi="宋体" w:eastAsia="宋体" w:cs="宋体"/>
                <w:b w:val="0"/>
                <w:bCs w:val="0"/>
                <w:color w:val="auto"/>
                <w:sz w:val="24"/>
                <w:szCs w:val="24"/>
                <w:highlight w:val="none"/>
              </w:rPr>
              <w:t>，应完整的体现出</w:t>
            </w:r>
            <w:r>
              <w:rPr>
                <w:rFonts w:hint="eastAsia" w:ascii="宋体" w:hAnsi="宋体" w:eastAsia="宋体" w:cs="宋体"/>
                <w:b w:val="0"/>
                <w:bCs w:val="0"/>
                <w:color w:val="auto"/>
                <w:sz w:val="24"/>
                <w:szCs w:val="24"/>
                <w:highlight w:val="none"/>
                <w:lang w:val="en-US" w:eastAsia="zh-CN"/>
              </w:rPr>
              <w:t>材料或电子证照</w:t>
            </w:r>
            <w:r>
              <w:rPr>
                <w:rFonts w:hint="eastAsia" w:ascii="宋体" w:hAnsi="宋体" w:eastAsia="宋体" w:cs="宋体"/>
                <w:b w:val="0"/>
                <w:bCs w:val="0"/>
                <w:color w:val="auto"/>
                <w:sz w:val="24"/>
                <w:szCs w:val="24"/>
                <w:highlight w:val="none"/>
              </w:rPr>
              <w:t>全部内容。</w:t>
            </w:r>
          </w:p>
        </w:tc>
      </w:tr>
      <w:tr w14:paraId="406A5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25F8E259">
            <w:pPr>
              <w:adjustRightInd w:val="0"/>
              <w:snapToGrid w:val="0"/>
              <w:spacing w:line="360" w:lineRule="auto"/>
              <w:ind w:right="-10" w:rightChars="0"/>
              <w:jc w:val="center"/>
              <w:rPr>
                <w:rFonts w:hint="eastAsia" w:ascii="宋体" w:hAnsi="宋体" w:eastAsia="宋体" w:cs="宋体"/>
                <w:color w:val="auto"/>
                <w:kern w:val="2"/>
                <w:sz w:val="24"/>
                <w:szCs w:val="22"/>
                <w:highlight w:val="none"/>
                <w:lang w:eastAsia="zh-CN"/>
              </w:rPr>
            </w:pPr>
            <w:r>
              <w:rPr>
                <w:rFonts w:hint="eastAsia" w:ascii="宋体" w:hAnsi="宋体" w:eastAsia="宋体" w:cs="宋体"/>
                <w:color w:val="auto"/>
                <w:kern w:val="2"/>
                <w:sz w:val="24"/>
                <w:szCs w:val="22"/>
                <w:highlight w:val="none"/>
                <w:lang w:val="en-US" w:eastAsia="zh-CN"/>
              </w:rPr>
              <w:t>6</w:t>
            </w:r>
          </w:p>
        </w:tc>
        <w:tc>
          <w:tcPr>
            <w:tcW w:w="796" w:type="pct"/>
            <w:vAlign w:val="center"/>
          </w:tcPr>
          <w:p w14:paraId="0C5FBD5A">
            <w:pPr>
              <w:adjustRightInd w:val="0"/>
              <w:snapToGrid w:val="0"/>
              <w:spacing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rPr>
              <w:t>授权书</w:t>
            </w:r>
          </w:p>
        </w:tc>
        <w:tc>
          <w:tcPr>
            <w:tcW w:w="2268" w:type="pct"/>
            <w:vAlign w:val="center"/>
          </w:tcPr>
          <w:p w14:paraId="2DD101E9">
            <w:pPr>
              <w:adjustRightInd w:val="0"/>
              <w:snapToGrid w:val="0"/>
              <w:spacing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符合</w:t>
            </w:r>
            <w:r>
              <w:rPr>
                <w:rFonts w:hint="eastAsia" w:ascii="宋体" w:hAnsi="宋体" w:eastAsia="宋体" w:cs="宋体"/>
                <w:color w:val="auto"/>
                <w:kern w:val="2"/>
                <w:sz w:val="24"/>
                <w:szCs w:val="22"/>
                <w:highlight w:val="none"/>
                <w:lang w:val="en-US" w:eastAsia="zh-CN"/>
              </w:rPr>
              <w:t>磋商</w:t>
            </w:r>
            <w:r>
              <w:rPr>
                <w:rFonts w:hint="eastAsia" w:ascii="宋体" w:hAnsi="宋体" w:eastAsia="宋体" w:cs="宋体"/>
                <w:color w:val="auto"/>
                <w:kern w:val="2"/>
                <w:sz w:val="24"/>
                <w:szCs w:val="22"/>
                <w:highlight w:val="none"/>
              </w:rPr>
              <w:t>文件要求。</w:t>
            </w:r>
          </w:p>
        </w:tc>
        <w:tc>
          <w:tcPr>
            <w:tcW w:w="1524" w:type="pct"/>
            <w:vAlign w:val="center"/>
          </w:tcPr>
          <w:p w14:paraId="36820D66">
            <w:pPr>
              <w:adjustRightInd w:val="0"/>
              <w:snapToGrid w:val="0"/>
              <w:spacing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详见第六章</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文件格式</w:t>
            </w:r>
            <w:r>
              <w:rPr>
                <w:rFonts w:hint="eastAsia" w:ascii="宋体" w:hAnsi="宋体" w:eastAsia="宋体" w:cs="宋体"/>
                <w:color w:val="auto"/>
                <w:sz w:val="24"/>
                <w:highlight w:val="none"/>
                <w:lang w:eastAsia="zh-CN"/>
              </w:rPr>
              <w:t>。</w:t>
            </w:r>
          </w:p>
        </w:tc>
      </w:tr>
      <w:tr w14:paraId="4385C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4EB269D2">
            <w:pPr>
              <w:adjustRightInd w:val="0"/>
              <w:snapToGrid w:val="0"/>
              <w:spacing w:line="360" w:lineRule="auto"/>
              <w:ind w:right="-10" w:rightChars="0"/>
              <w:jc w:val="center"/>
              <w:rPr>
                <w:rFonts w:hint="eastAsia" w:ascii="宋体" w:hAnsi="宋体" w:eastAsia="宋体" w:cs="宋体"/>
                <w:color w:val="auto"/>
                <w:kern w:val="2"/>
                <w:sz w:val="24"/>
                <w:szCs w:val="22"/>
                <w:highlight w:val="none"/>
                <w:lang w:eastAsia="zh-CN"/>
              </w:rPr>
            </w:pPr>
            <w:r>
              <w:rPr>
                <w:rFonts w:hint="eastAsia" w:ascii="宋体" w:hAnsi="宋体" w:eastAsia="宋体" w:cs="宋体"/>
                <w:color w:val="auto"/>
                <w:kern w:val="2"/>
                <w:sz w:val="24"/>
                <w:szCs w:val="22"/>
                <w:highlight w:val="none"/>
                <w:lang w:val="en-US" w:eastAsia="zh-CN"/>
              </w:rPr>
              <w:t>7</w:t>
            </w:r>
          </w:p>
        </w:tc>
        <w:tc>
          <w:tcPr>
            <w:tcW w:w="796" w:type="pct"/>
            <w:vAlign w:val="center"/>
          </w:tcPr>
          <w:p w14:paraId="07C722DC">
            <w:pPr>
              <w:adjustRightInd w:val="0"/>
              <w:snapToGrid w:val="0"/>
              <w:spacing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highlight w:val="none"/>
                <w:lang w:val="en-US" w:eastAsia="zh-CN"/>
              </w:rPr>
              <w:t>磋商</w:t>
            </w:r>
            <w:r>
              <w:rPr>
                <w:rFonts w:hint="eastAsia" w:ascii="宋体" w:hAnsi="宋体" w:eastAsia="宋体" w:cs="宋体"/>
                <w:color w:val="auto"/>
                <w:kern w:val="2"/>
                <w:sz w:val="24"/>
                <w:highlight w:val="none"/>
              </w:rPr>
              <w:t>响应函</w:t>
            </w:r>
          </w:p>
        </w:tc>
        <w:tc>
          <w:tcPr>
            <w:tcW w:w="2268" w:type="pct"/>
            <w:vAlign w:val="center"/>
          </w:tcPr>
          <w:p w14:paraId="711DDBA5">
            <w:pPr>
              <w:adjustRightInd w:val="0"/>
              <w:snapToGrid w:val="0"/>
              <w:spacing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符合</w:t>
            </w:r>
            <w:r>
              <w:rPr>
                <w:rFonts w:hint="eastAsia" w:ascii="宋体" w:hAnsi="宋体" w:eastAsia="宋体" w:cs="宋体"/>
                <w:color w:val="auto"/>
                <w:kern w:val="2"/>
                <w:sz w:val="24"/>
                <w:szCs w:val="22"/>
                <w:highlight w:val="none"/>
                <w:lang w:val="en-US" w:eastAsia="zh-CN"/>
              </w:rPr>
              <w:t>磋商</w:t>
            </w:r>
            <w:r>
              <w:rPr>
                <w:rFonts w:hint="eastAsia" w:ascii="宋体" w:hAnsi="宋体" w:eastAsia="宋体" w:cs="宋体"/>
                <w:color w:val="auto"/>
                <w:kern w:val="2"/>
                <w:sz w:val="24"/>
                <w:szCs w:val="22"/>
                <w:highlight w:val="none"/>
              </w:rPr>
              <w:t>文件要求。</w:t>
            </w:r>
          </w:p>
        </w:tc>
        <w:tc>
          <w:tcPr>
            <w:tcW w:w="1524" w:type="pct"/>
            <w:vAlign w:val="center"/>
          </w:tcPr>
          <w:p w14:paraId="3D3AE282">
            <w:pPr>
              <w:adjustRightInd w:val="0"/>
              <w:snapToGrid w:val="0"/>
              <w:spacing w:line="360" w:lineRule="auto"/>
              <w:ind w:right="-10" w:rightChars="0"/>
              <w:jc w:val="left"/>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详见第六章</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文件格式</w:t>
            </w:r>
            <w:r>
              <w:rPr>
                <w:rFonts w:hint="eastAsia" w:ascii="宋体" w:hAnsi="宋体" w:eastAsia="宋体" w:cs="宋体"/>
                <w:color w:val="auto"/>
                <w:sz w:val="24"/>
                <w:highlight w:val="none"/>
                <w:lang w:eastAsia="zh-CN"/>
              </w:rPr>
              <w:t>。</w:t>
            </w:r>
          </w:p>
        </w:tc>
      </w:tr>
      <w:tr w14:paraId="37E82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10" w:type="pct"/>
            <w:vAlign w:val="center"/>
          </w:tcPr>
          <w:p w14:paraId="11DE765F">
            <w:pPr>
              <w:adjustRightInd w:val="0"/>
              <w:snapToGrid w:val="0"/>
              <w:spacing w:line="360" w:lineRule="auto"/>
              <w:ind w:right="-10" w:rightChars="0"/>
              <w:jc w:val="center"/>
              <w:rPr>
                <w:rFonts w:hint="eastAsia" w:ascii="宋体" w:hAnsi="宋体" w:eastAsia="宋体" w:cs="宋体"/>
                <w:color w:val="auto"/>
                <w:kern w:val="2"/>
                <w:sz w:val="24"/>
                <w:szCs w:val="22"/>
                <w:highlight w:val="none"/>
                <w:lang w:eastAsia="zh-CN"/>
              </w:rPr>
            </w:pPr>
            <w:r>
              <w:rPr>
                <w:rFonts w:hint="eastAsia" w:ascii="宋体" w:hAnsi="宋体" w:eastAsia="宋体" w:cs="宋体"/>
                <w:color w:val="auto"/>
                <w:sz w:val="24"/>
                <w:highlight w:val="none"/>
                <w:lang w:val="en-US" w:eastAsia="zh-CN"/>
              </w:rPr>
              <w:t>8</w:t>
            </w:r>
          </w:p>
        </w:tc>
        <w:tc>
          <w:tcPr>
            <w:tcW w:w="796" w:type="pct"/>
            <w:vAlign w:val="center"/>
          </w:tcPr>
          <w:p w14:paraId="6B073850">
            <w:pPr>
              <w:spacing w:after="50" w:line="360" w:lineRule="auto"/>
              <w:ind w:right="-10" w:rightChars="0"/>
              <w:jc w:val="center"/>
              <w:rPr>
                <w:rFonts w:hint="eastAsia" w:ascii="宋体" w:hAnsi="宋体" w:eastAsia="宋体" w:cs="宋体"/>
                <w:color w:val="auto"/>
                <w:kern w:val="2"/>
                <w:sz w:val="24"/>
                <w:szCs w:val="24"/>
                <w:highlight w:val="none"/>
              </w:rPr>
            </w:pPr>
            <w:r>
              <w:rPr>
                <w:rFonts w:hint="eastAsia" w:ascii="宋体" w:hAnsi="宋体" w:eastAsia="宋体" w:cs="宋体"/>
                <w:color w:val="auto"/>
                <w:sz w:val="24"/>
                <w:szCs w:val="28"/>
                <w:highlight w:val="none"/>
                <w:lang w:val="en-US" w:eastAsia="zh-CN"/>
              </w:rPr>
              <w:t>磋商</w:t>
            </w:r>
            <w:r>
              <w:rPr>
                <w:rFonts w:hint="eastAsia" w:ascii="宋体" w:hAnsi="宋体" w:eastAsia="宋体" w:cs="宋体"/>
                <w:color w:val="auto"/>
                <w:sz w:val="24"/>
                <w:szCs w:val="28"/>
                <w:highlight w:val="none"/>
              </w:rPr>
              <w:t>报价</w:t>
            </w:r>
          </w:p>
        </w:tc>
        <w:tc>
          <w:tcPr>
            <w:tcW w:w="2268" w:type="pct"/>
            <w:vAlign w:val="center"/>
          </w:tcPr>
          <w:p w14:paraId="5B5403B6">
            <w:pPr>
              <w:spacing w:after="50" w:line="360" w:lineRule="auto"/>
              <w:ind w:right="-10" w:rightChars="0"/>
              <w:jc w:val="both"/>
              <w:rPr>
                <w:rFonts w:hint="eastAsia" w:ascii="宋体" w:hAnsi="宋体" w:eastAsia="宋体" w:cs="宋体"/>
                <w:color w:val="auto"/>
                <w:kern w:val="2"/>
                <w:sz w:val="24"/>
                <w:szCs w:val="22"/>
                <w:highlight w:val="none"/>
              </w:rPr>
            </w:pPr>
            <w:r>
              <w:rPr>
                <w:rFonts w:hint="eastAsia" w:ascii="宋体" w:hAnsi="宋体" w:eastAsia="宋体" w:cs="宋体"/>
                <w:color w:val="auto"/>
                <w:sz w:val="24"/>
                <w:szCs w:val="28"/>
                <w:highlight w:val="none"/>
              </w:rPr>
              <w:t>符合</w:t>
            </w:r>
            <w:r>
              <w:rPr>
                <w:rFonts w:hint="eastAsia" w:ascii="宋体" w:hAnsi="宋体" w:eastAsia="宋体" w:cs="宋体"/>
                <w:color w:val="auto"/>
                <w:kern w:val="2"/>
                <w:sz w:val="24"/>
                <w:szCs w:val="22"/>
                <w:highlight w:val="none"/>
                <w:lang w:val="en-US" w:eastAsia="zh-CN"/>
              </w:rPr>
              <w:t>磋商</w:t>
            </w:r>
            <w:r>
              <w:rPr>
                <w:rFonts w:hint="eastAsia" w:ascii="宋体" w:hAnsi="宋体" w:eastAsia="宋体" w:cs="宋体"/>
                <w:color w:val="auto"/>
                <w:sz w:val="24"/>
                <w:highlight w:val="none"/>
              </w:rPr>
              <w:t>文件</w:t>
            </w:r>
            <w:r>
              <w:rPr>
                <w:rFonts w:hint="eastAsia" w:ascii="宋体" w:hAnsi="宋体" w:eastAsia="宋体" w:cs="宋体"/>
                <w:color w:val="auto"/>
                <w:sz w:val="24"/>
                <w:highlight w:val="none"/>
                <w:lang w:val="en-US" w:eastAsia="zh-CN"/>
              </w:rPr>
              <w:t>要求</w:t>
            </w:r>
          </w:p>
        </w:tc>
        <w:tc>
          <w:tcPr>
            <w:tcW w:w="1524" w:type="pct"/>
            <w:vAlign w:val="center"/>
          </w:tcPr>
          <w:p w14:paraId="000BAA6A">
            <w:pPr>
              <w:adjustRightInd w:val="0"/>
              <w:snapToGrid w:val="0"/>
              <w:spacing w:line="360" w:lineRule="auto"/>
              <w:ind w:right="-10" w:rightChars="0"/>
              <w:jc w:val="center"/>
              <w:rPr>
                <w:rFonts w:hint="eastAsia" w:ascii="宋体" w:hAnsi="宋体" w:eastAsia="宋体" w:cs="宋体"/>
                <w:color w:val="auto"/>
                <w:kern w:val="2"/>
                <w:sz w:val="24"/>
                <w:szCs w:val="22"/>
                <w:highlight w:val="none"/>
              </w:rPr>
            </w:pPr>
            <w:r>
              <w:rPr>
                <w:rFonts w:hint="eastAsia" w:ascii="宋体" w:hAnsi="宋体" w:eastAsia="宋体" w:cs="宋体"/>
                <w:color w:val="auto"/>
                <w:sz w:val="24"/>
                <w:highlight w:val="none"/>
              </w:rPr>
              <w:t>详见第六章</w:t>
            </w:r>
            <w:r>
              <w:rPr>
                <w:rFonts w:hint="eastAsia" w:ascii="宋体" w:hAnsi="宋体" w:eastAsia="宋体" w:cs="宋体"/>
                <w:color w:val="auto"/>
                <w:sz w:val="24"/>
                <w:highlight w:val="none"/>
                <w:lang w:val="en-US" w:eastAsia="zh-CN"/>
              </w:rPr>
              <w:t>响应</w:t>
            </w:r>
            <w:r>
              <w:rPr>
                <w:rFonts w:hint="eastAsia" w:ascii="宋体" w:hAnsi="宋体" w:eastAsia="宋体" w:cs="宋体"/>
                <w:color w:val="auto"/>
                <w:sz w:val="24"/>
                <w:highlight w:val="none"/>
              </w:rPr>
              <w:t>文件格式</w:t>
            </w:r>
            <w:r>
              <w:rPr>
                <w:rFonts w:hint="eastAsia" w:ascii="宋体" w:hAnsi="宋体" w:eastAsia="宋体" w:cs="宋体"/>
                <w:color w:val="auto"/>
                <w:sz w:val="24"/>
                <w:highlight w:val="none"/>
                <w:lang w:eastAsia="zh-CN"/>
              </w:rPr>
              <w:t>。</w:t>
            </w:r>
          </w:p>
        </w:tc>
      </w:tr>
      <w:tr w14:paraId="19252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3475" w:type="pct"/>
            <w:gridSpan w:val="3"/>
            <w:tcBorders>
              <w:bottom w:val="single" w:color="auto" w:sz="4" w:space="0"/>
            </w:tcBorders>
            <w:vAlign w:val="center"/>
          </w:tcPr>
          <w:p w14:paraId="55A04379">
            <w:pPr>
              <w:adjustRightInd w:val="0"/>
              <w:snapToGrid w:val="0"/>
              <w:ind w:right="-10"/>
              <w:jc w:val="left"/>
              <w:rPr>
                <w:rFonts w:hint="eastAsia" w:ascii="宋体" w:hAnsi="宋体" w:eastAsia="宋体" w:cs="宋体"/>
                <w:color w:val="auto"/>
                <w:kern w:val="2"/>
                <w:sz w:val="24"/>
                <w:szCs w:val="22"/>
                <w:highlight w:val="none"/>
              </w:rPr>
            </w:pPr>
            <w:r>
              <w:rPr>
                <w:rFonts w:hint="eastAsia" w:ascii="宋体" w:hAnsi="宋体" w:eastAsia="宋体" w:cs="宋体"/>
                <w:color w:val="auto"/>
                <w:kern w:val="2"/>
                <w:sz w:val="24"/>
                <w:szCs w:val="22"/>
                <w:highlight w:val="none"/>
              </w:rPr>
              <w:t>评审指标通过标准：供应商必须通过上述全部指标。</w:t>
            </w:r>
          </w:p>
        </w:tc>
        <w:tc>
          <w:tcPr>
            <w:tcW w:w="1524" w:type="pct"/>
            <w:tcBorders>
              <w:bottom w:val="single" w:color="auto" w:sz="4" w:space="0"/>
            </w:tcBorders>
            <w:vAlign w:val="center"/>
          </w:tcPr>
          <w:p w14:paraId="03AD7070">
            <w:pPr>
              <w:adjustRightInd w:val="0"/>
              <w:snapToGrid w:val="0"/>
              <w:ind w:right="-10"/>
              <w:jc w:val="left"/>
              <w:rPr>
                <w:rFonts w:hint="eastAsia" w:ascii="宋体" w:hAnsi="宋体" w:eastAsia="宋体" w:cs="宋体"/>
                <w:color w:val="auto"/>
                <w:kern w:val="2"/>
                <w:sz w:val="24"/>
                <w:szCs w:val="22"/>
                <w:highlight w:val="none"/>
              </w:rPr>
            </w:pPr>
          </w:p>
        </w:tc>
      </w:tr>
    </w:tbl>
    <w:p w14:paraId="739F7C49">
      <w:pPr>
        <w:spacing w:line="360" w:lineRule="auto"/>
        <w:ind w:firstLine="435"/>
        <w:rPr>
          <w:rFonts w:hint="eastAsia" w:ascii="宋体" w:hAnsi="宋体" w:eastAsia="宋体" w:cs="宋体"/>
          <w:color w:val="auto"/>
          <w:sz w:val="24"/>
          <w:highlight w:val="none"/>
        </w:rPr>
      </w:pPr>
      <w:r>
        <w:rPr>
          <w:rFonts w:hint="eastAsia" w:ascii="宋体" w:hAnsi="宋体" w:eastAsia="宋体" w:cs="宋体"/>
          <w:b/>
          <w:bCs/>
          <w:color w:val="auto"/>
          <w:sz w:val="24"/>
          <w:highlight w:val="none"/>
        </w:rPr>
        <w:t>初审指标通过标准：</w:t>
      </w:r>
      <w:r>
        <w:rPr>
          <w:rFonts w:hint="eastAsia" w:ascii="宋体" w:hAnsi="宋体" w:eastAsia="宋体" w:cs="宋体"/>
          <w:color w:val="auto"/>
          <w:sz w:val="24"/>
          <w:highlight w:val="none"/>
        </w:rPr>
        <w:t>供应商必须通过初审表中的全部评审指标。</w:t>
      </w:r>
    </w:p>
    <w:p w14:paraId="5B4994CC">
      <w:pPr>
        <w:spacing w:line="360" w:lineRule="auto"/>
        <w:ind w:firstLine="435"/>
        <w:outlineLvl w:val="2"/>
        <w:rPr>
          <w:rFonts w:hint="eastAsia" w:ascii="宋体" w:hAnsi="宋体" w:eastAsia="宋体" w:cs="宋体"/>
          <w:b/>
          <w:color w:val="auto"/>
          <w:sz w:val="24"/>
          <w:highlight w:val="none"/>
        </w:rPr>
      </w:pPr>
      <w:r>
        <w:rPr>
          <w:rFonts w:hint="eastAsia" w:ascii="宋体" w:hAnsi="宋体" w:eastAsia="宋体" w:cs="宋体"/>
          <w:b/>
          <w:color w:val="auto"/>
          <w:sz w:val="24"/>
          <w:highlight w:val="none"/>
        </w:rPr>
        <w:t>2.2综合评分</w:t>
      </w:r>
    </w:p>
    <w:p w14:paraId="72FEFA07">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2.2.1磋商小组按照下表对进入综合评分的所有供应商的响应文件进行综合评分。</w:t>
      </w:r>
    </w:p>
    <w:p w14:paraId="3EF9D341">
      <w:pPr>
        <w:tabs>
          <w:tab w:val="left" w:pos="1080"/>
        </w:tabs>
        <w:spacing w:line="440" w:lineRule="exact"/>
        <w:ind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rPr>
        <w:t>2.2.2本项目综合评分满分为100分，其中：技术资信分值占总分值的权重为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%，价格分值占总分值的权重为</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%。具体评分细则如下：</w:t>
      </w:r>
    </w:p>
    <w:tbl>
      <w:tblPr>
        <w:tblStyle w:val="55"/>
        <w:tblpPr w:leftFromText="180" w:rightFromText="180" w:vertAnchor="text" w:horzAnchor="page" w:tblpX="1094" w:tblpY="47"/>
        <w:tblOverlap w:val="never"/>
        <w:tblW w:w="99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7"/>
        <w:gridCol w:w="1313"/>
        <w:gridCol w:w="7800"/>
      </w:tblGrid>
      <w:tr w14:paraId="650889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7" w:type="dxa"/>
            <w:noWrap w:val="0"/>
            <w:vAlign w:val="center"/>
          </w:tcPr>
          <w:p w14:paraId="6F650819">
            <w:pPr>
              <w:spacing w:line="360" w:lineRule="auto"/>
              <w:jc w:val="center"/>
              <w:rPr>
                <w:rFonts w:hint="eastAsia" w:ascii="宋体" w:hAnsi="宋体" w:eastAsia="宋体" w:cs="宋体"/>
                <w:b/>
                <w:color w:val="auto"/>
                <w:szCs w:val="21"/>
                <w:highlight w:val="none"/>
              </w:rPr>
            </w:pPr>
            <w:r>
              <w:rPr>
                <w:rFonts w:hint="eastAsia" w:ascii="宋体" w:hAnsi="宋体" w:eastAsia="宋体" w:cs="宋体"/>
                <w:b/>
                <w:bCs/>
                <w:color w:val="auto"/>
                <w:sz w:val="24"/>
                <w:highlight w:val="none"/>
              </w:rPr>
              <w:t>类别</w:t>
            </w:r>
          </w:p>
        </w:tc>
        <w:tc>
          <w:tcPr>
            <w:tcW w:w="1313" w:type="dxa"/>
            <w:noWrap w:val="0"/>
            <w:vAlign w:val="center"/>
          </w:tcPr>
          <w:p w14:paraId="0D50C394">
            <w:pPr>
              <w:spacing w:line="360" w:lineRule="auto"/>
              <w:jc w:val="center"/>
              <w:rPr>
                <w:rFonts w:hint="eastAsia" w:ascii="宋体" w:hAnsi="宋体" w:eastAsia="宋体" w:cs="宋体"/>
                <w:bCs/>
                <w:szCs w:val="21"/>
                <w:lang w:val="en-US" w:eastAsia="zh-CN"/>
              </w:rPr>
            </w:pPr>
            <w:r>
              <w:rPr>
                <w:rFonts w:hint="eastAsia" w:ascii="宋体" w:hAnsi="宋体" w:eastAsia="宋体" w:cs="宋体"/>
                <w:b/>
                <w:bCs/>
                <w:color w:val="auto"/>
                <w:sz w:val="24"/>
                <w:highlight w:val="none"/>
              </w:rPr>
              <w:t>评分内容</w:t>
            </w:r>
          </w:p>
        </w:tc>
        <w:tc>
          <w:tcPr>
            <w:tcW w:w="7800" w:type="dxa"/>
            <w:noWrap w:val="0"/>
            <w:vAlign w:val="center"/>
          </w:tcPr>
          <w:p w14:paraId="3F3B491C">
            <w:pPr>
              <w:spacing w:line="360" w:lineRule="auto"/>
              <w:jc w:val="center"/>
              <w:rPr>
                <w:rFonts w:hint="eastAsia" w:ascii="宋体" w:hAnsi="宋体" w:eastAsia="宋体" w:cs="宋体"/>
                <w:bCs/>
                <w:szCs w:val="21"/>
                <w:lang w:val="en-US" w:eastAsia="zh-CN"/>
              </w:rPr>
            </w:pPr>
            <w:r>
              <w:rPr>
                <w:rFonts w:hint="eastAsia" w:ascii="宋体" w:hAnsi="宋体" w:eastAsia="宋体" w:cs="宋体"/>
                <w:b/>
                <w:bCs/>
                <w:color w:val="auto"/>
                <w:sz w:val="24"/>
                <w:highlight w:val="none"/>
              </w:rPr>
              <w:t>评分标准</w:t>
            </w:r>
          </w:p>
        </w:tc>
      </w:tr>
      <w:tr w14:paraId="10CC9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7" w:type="dxa"/>
            <w:vMerge w:val="restart"/>
            <w:noWrap w:val="0"/>
            <w:vAlign w:val="center"/>
          </w:tcPr>
          <w:p w14:paraId="1E905834">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技术资信分</w:t>
            </w:r>
          </w:p>
          <w:p w14:paraId="2FFD91B2">
            <w:pPr>
              <w:spacing w:line="440" w:lineRule="exact"/>
              <w:jc w:val="center"/>
              <w:rPr>
                <w:rFonts w:hint="eastAsia" w:ascii="宋体" w:hAnsi="宋体" w:eastAsia="宋体" w:cs="宋体"/>
                <w:bCs/>
                <w:color w:val="auto"/>
                <w:szCs w:val="21"/>
                <w:highlight w:val="none"/>
                <w:lang w:val="en-US" w:eastAsia="zh-CN"/>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90</w:t>
            </w:r>
            <w:r>
              <w:rPr>
                <w:rFonts w:hint="eastAsia" w:ascii="宋体" w:hAnsi="宋体" w:eastAsia="宋体" w:cs="宋体"/>
                <w:color w:val="auto"/>
                <w:sz w:val="24"/>
                <w:highlight w:val="none"/>
              </w:rPr>
              <w:t>分）</w:t>
            </w:r>
          </w:p>
        </w:tc>
        <w:tc>
          <w:tcPr>
            <w:tcW w:w="1313" w:type="dxa"/>
            <w:noWrap w:val="0"/>
            <w:vAlign w:val="center"/>
          </w:tcPr>
          <w:p w14:paraId="0ECE27BC">
            <w:pPr>
              <w:pStyle w:val="20"/>
              <w:spacing w:line="440" w:lineRule="exact"/>
              <w:ind w:left="0" w:lef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供应商业绩（4分）</w:t>
            </w:r>
          </w:p>
        </w:tc>
        <w:tc>
          <w:tcPr>
            <w:tcW w:w="7800" w:type="dxa"/>
            <w:noWrap w:val="0"/>
            <w:vAlign w:val="center"/>
          </w:tcPr>
          <w:p w14:paraId="31EF3B27">
            <w:pPr>
              <w:pStyle w:val="20"/>
              <w:spacing w:line="440" w:lineRule="exact"/>
              <w:ind w:left="0" w:leftChars="0" w:right="-10" w:rightChars="0"/>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供应商自2021年1月1日至今每提供1个公路养护业绩的，得2分，本项满分4分。提供合同扫描件，时间以合同签订时间为准。</w:t>
            </w:r>
          </w:p>
        </w:tc>
      </w:tr>
      <w:tr w14:paraId="0E753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7" w:type="dxa"/>
            <w:vMerge w:val="continue"/>
            <w:noWrap w:val="0"/>
            <w:vAlign w:val="center"/>
          </w:tcPr>
          <w:p w14:paraId="42AE91AB">
            <w:pPr>
              <w:spacing w:line="440" w:lineRule="exact"/>
              <w:jc w:val="center"/>
              <w:rPr>
                <w:rFonts w:hint="eastAsia" w:ascii="宋体" w:hAnsi="宋体" w:eastAsia="宋体" w:cs="宋体"/>
                <w:b/>
                <w:color w:val="auto"/>
                <w:szCs w:val="21"/>
                <w:highlight w:val="none"/>
              </w:rPr>
            </w:pPr>
          </w:p>
        </w:tc>
        <w:tc>
          <w:tcPr>
            <w:tcW w:w="1313" w:type="dxa"/>
            <w:noWrap w:val="0"/>
            <w:vAlign w:val="center"/>
          </w:tcPr>
          <w:p w14:paraId="1DEB8552">
            <w:pPr>
              <w:pStyle w:val="20"/>
              <w:spacing w:line="440" w:lineRule="exact"/>
              <w:ind w:left="0" w:leftChars="0"/>
              <w:jc w:val="center"/>
              <w:rPr>
                <w:rFonts w:hint="eastAsia" w:ascii="宋体" w:hAnsi="宋体" w:eastAsia="宋体" w:cs="宋体"/>
                <w:bCs/>
                <w:kern w:val="2"/>
                <w:sz w:val="24"/>
                <w:szCs w:val="24"/>
                <w:lang w:val="en-US" w:eastAsia="zh-CN" w:bidi="ar-SA"/>
              </w:rPr>
            </w:pPr>
            <w:r>
              <w:rPr>
                <w:rFonts w:hint="eastAsia" w:ascii="宋体" w:hAnsi="宋体" w:eastAsia="宋体" w:cs="宋体"/>
                <w:bCs/>
                <w:sz w:val="24"/>
                <w:szCs w:val="24"/>
                <w:lang w:val="en-US" w:eastAsia="zh-CN"/>
              </w:rPr>
              <w:t>人员证书（6分）</w:t>
            </w:r>
          </w:p>
        </w:tc>
        <w:tc>
          <w:tcPr>
            <w:tcW w:w="7800" w:type="dxa"/>
            <w:noWrap w:val="0"/>
            <w:vAlign w:val="center"/>
          </w:tcPr>
          <w:p w14:paraId="12D48072">
            <w:pPr>
              <w:pStyle w:val="20"/>
              <w:spacing w:line="440" w:lineRule="exact"/>
              <w:ind w:left="0" w:leftChars="0" w:right="-10" w:rightChars="0"/>
              <w:rPr>
                <w:rFonts w:hint="eastAsia" w:ascii="宋体" w:hAnsi="宋体" w:eastAsia="宋体" w:cs="宋体"/>
                <w:kern w:val="2"/>
                <w:sz w:val="24"/>
                <w:szCs w:val="24"/>
                <w:lang w:val="en-US" w:eastAsia="zh-CN" w:bidi="ar-SA"/>
              </w:rPr>
            </w:pPr>
            <w:r>
              <w:rPr>
                <w:rFonts w:hint="eastAsia" w:ascii="宋体" w:hAnsi="宋体" w:eastAsia="宋体" w:cs="宋体"/>
                <w:bCs/>
                <w:sz w:val="24"/>
                <w:szCs w:val="24"/>
                <w:lang w:val="en-US" w:eastAsia="zh-CN"/>
              </w:rPr>
              <w:t>供应商拟派人员（含项目负责人）中每具有一个公路工程或公路与桥梁工程或交通工程中级及以上职称的得2分，满分6分；</w:t>
            </w:r>
            <w:r>
              <w:rPr>
                <w:rFonts w:hint="eastAsia" w:ascii="宋体" w:hAnsi="宋体" w:eastAsia="宋体" w:cs="宋体"/>
                <w:b w:val="0"/>
                <w:bCs w:val="0"/>
                <w:color w:val="auto"/>
                <w:sz w:val="24"/>
                <w:szCs w:val="24"/>
                <w:highlight w:val="none"/>
                <w:lang w:val="en-US" w:eastAsia="en-US"/>
              </w:rPr>
              <w:t>提供证书</w:t>
            </w:r>
            <w:r>
              <w:rPr>
                <w:rFonts w:hint="eastAsia" w:ascii="宋体" w:hAnsi="宋体" w:eastAsia="宋体" w:cs="宋体"/>
                <w:b w:val="0"/>
                <w:bCs w:val="0"/>
                <w:color w:val="auto"/>
                <w:sz w:val="24"/>
                <w:szCs w:val="24"/>
                <w:highlight w:val="none"/>
                <w:lang w:val="en-US" w:eastAsia="zh-CN"/>
              </w:rPr>
              <w:t>扫描件</w:t>
            </w:r>
            <w:r>
              <w:rPr>
                <w:rFonts w:hint="eastAsia" w:ascii="宋体" w:hAnsi="宋体" w:eastAsia="宋体" w:cs="宋体"/>
                <w:b w:val="0"/>
                <w:bCs w:val="0"/>
                <w:color w:val="auto"/>
                <w:sz w:val="24"/>
                <w:szCs w:val="24"/>
                <w:highlight w:val="none"/>
                <w:lang w:val="en-US" w:eastAsia="en-US"/>
              </w:rPr>
              <w:t>。</w:t>
            </w:r>
          </w:p>
        </w:tc>
      </w:tr>
      <w:tr w14:paraId="6CB13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787" w:type="dxa"/>
            <w:vMerge w:val="continue"/>
            <w:noWrap w:val="0"/>
            <w:vAlign w:val="center"/>
          </w:tcPr>
          <w:p w14:paraId="292C4CCD">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0B70772E">
            <w:pPr>
              <w:spacing w:line="440" w:lineRule="exact"/>
              <w:jc w:val="center"/>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77327E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①根据工程特点和各种影响因素，以方便、合理、经济、施工总体要求和适合施工需要为原则，进行施工区域划分和施工现场总体布置。布置的主要临时设施包括材料场、水、电、生活区、办公区等</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规划方案</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val="en-US" w:eastAsia="zh-CN"/>
              </w:rPr>
              <w:t>有针对性的得5分；</w:t>
            </w:r>
          </w:p>
          <w:p w14:paraId="7B8D45E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②根据工程特点和各种影响因素，以方便、合理、经济、施工总体要求和适合施工需要为原则，进行施工区域划分和施工现场总体布置，</w:t>
            </w:r>
            <w:r>
              <w:rPr>
                <w:rFonts w:hint="eastAsia" w:ascii="宋体" w:hAnsi="宋体" w:eastAsia="宋体" w:cs="宋体"/>
                <w:color w:val="auto"/>
                <w:sz w:val="24"/>
                <w:szCs w:val="24"/>
                <w:highlight w:val="none"/>
                <w:lang w:eastAsia="zh-CN"/>
              </w:rPr>
              <w:t>总体</w:t>
            </w:r>
            <w:r>
              <w:rPr>
                <w:rFonts w:hint="eastAsia" w:ascii="宋体" w:hAnsi="宋体" w:eastAsia="宋体" w:cs="宋体"/>
                <w:color w:val="auto"/>
                <w:sz w:val="24"/>
                <w:szCs w:val="24"/>
                <w:highlight w:val="none"/>
                <w:lang w:val="en-US" w:eastAsia="zh-CN"/>
              </w:rPr>
              <w:t>规划</w:t>
            </w:r>
            <w:r>
              <w:rPr>
                <w:rFonts w:hint="eastAsia" w:ascii="宋体" w:hAnsi="宋体" w:eastAsia="宋体" w:cs="宋体"/>
                <w:color w:val="auto"/>
                <w:sz w:val="24"/>
                <w:szCs w:val="24"/>
                <w:highlight w:val="none"/>
              </w:rPr>
              <w:t>方案</w:t>
            </w:r>
            <w:r>
              <w:rPr>
                <w:rFonts w:hint="eastAsia" w:ascii="宋体" w:hAnsi="宋体" w:eastAsia="宋体" w:cs="宋体"/>
                <w:color w:val="auto"/>
                <w:sz w:val="24"/>
                <w:szCs w:val="24"/>
                <w:highlight w:val="none"/>
                <w:lang w:val="en-US" w:eastAsia="zh-CN"/>
              </w:rPr>
              <w:t>能够满足施工需求的得4分；</w:t>
            </w:r>
          </w:p>
          <w:p w14:paraId="764C6B5E">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方案清晰，</w:t>
            </w:r>
            <w:r>
              <w:rPr>
                <w:rFonts w:hint="eastAsia" w:ascii="宋体" w:hAnsi="宋体" w:eastAsia="宋体" w:cs="宋体"/>
                <w:color w:val="auto"/>
                <w:sz w:val="24"/>
                <w:szCs w:val="24"/>
                <w:highlight w:val="none"/>
              </w:rPr>
              <w:t>但缺项或关键点缺失</w:t>
            </w:r>
            <w:r>
              <w:rPr>
                <w:rFonts w:hint="eastAsia" w:ascii="宋体" w:hAnsi="宋体" w:eastAsia="宋体" w:cs="宋体"/>
                <w:color w:val="auto"/>
                <w:sz w:val="24"/>
                <w:szCs w:val="24"/>
                <w:highlight w:val="none"/>
                <w:lang w:val="en-US" w:eastAsia="zh-CN"/>
              </w:rPr>
              <w:t>或</w:t>
            </w:r>
            <w:r>
              <w:rPr>
                <w:rFonts w:hint="eastAsia" w:ascii="宋体" w:hAnsi="宋体" w:eastAsia="宋体" w:cs="宋体"/>
                <w:color w:val="auto"/>
                <w:sz w:val="24"/>
                <w:szCs w:val="24"/>
                <w:highlight w:val="none"/>
              </w:rPr>
              <w:t>出现非专门针对本项目特性内容的得3分；</w:t>
            </w:r>
          </w:p>
          <w:p w14:paraId="2AC3504D">
            <w:pPr>
              <w:spacing w:line="44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④方案不能满足项目实施要求或未提供的不得分。</w:t>
            </w:r>
          </w:p>
        </w:tc>
      </w:tr>
      <w:tr w14:paraId="500846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5D5C2DA0">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3C85477C">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主要施工</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67B46B7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①各主要分部施工</w:t>
            </w:r>
            <w:r>
              <w:rPr>
                <w:rFonts w:hint="eastAsia" w:ascii="宋体" w:hAnsi="宋体" w:eastAsia="宋体" w:cs="宋体"/>
                <w:color w:val="auto"/>
                <w:sz w:val="24"/>
                <w:szCs w:val="24"/>
                <w:highlight w:val="none"/>
                <w:lang w:val="en-US" w:eastAsia="zh-CN"/>
              </w:rPr>
              <w:t>方案贴合项目实际</w:t>
            </w:r>
            <w:r>
              <w:rPr>
                <w:rFonts w:hint="eastAsia" w:ascii="宋体" w:hAnsi="宋体" w:eastAsia="宋体" w:cs="宋体"/>
                <w:color w:val="auto"/>
                <w:sz w:val="24"/>
                <w:szCs w:val="24"/>
                <w:highlight w:val="none"/>
              </w:rPr>
              <w:t>，施工技术方案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方法</w:t>
            </w:r>
            <w:r>
              <w:rPr>
                <w:rFonts w:hint="eastAsia" w:ascii="宋体" w:hAnsi="宋体" w:eastAsia="宋体" w:cs="宋体"/>
                <w:color w:val="auto"/>
                <w:sz w:val="24"/>
                <w:szCs w:val="24"/>
                <w:highlight w:val="none"/>
              </w:rPr>
              <w:t>详尽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结合目前先进</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施工实施</w:t>
            </w:r>
            <w:r>
              <w:rPr>
                <w:rFonts w:hint="eastAsia" w:ascii="宋体" w:hAnsi="宋体" w:eastAsia="宋体" w:cs="宋体"/>
                <w:color w:val="auto"/>
                <w:sz w:val="24"/>
                <w:szCs w:val="24"/>
                <w:highlight w:val="none"/>
              </w:rPr>
              <w:t>方法</w:t>
            </w:r>
            <w:r>
              <w:rPr>
                <w:rFonts w:hint="eastAsia" w:ascii="宋体" w:hAnsi="宋体" w:eastAsia="宋体" w:cs="宋体"/>
                <w:color w:val="auto"/>
                <w:sz w:val="24"/>
                <w:szCs w:val="24"/>
                <w:highlight w:val="none"/>
                <w:lang w:val="en-US" w:eastAsia="zh-CN"/>
              </w:rPr>
              <w:t>有针对性</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施工方案高质高效</w:t>
            </w:r>
            <w:r>
              <w:rPr>
                <w:rFonts w:hint="eastAsia" w:ascii="宋体" w:hAnsi="宋体" w:eastAsia="宋体" w:cs="宋体"/>
                <w:color w:val="auto"/>
                <w:sz w:val="24"/>
                <w:szCs w:val="24"/>
                <w:highlight w:val="none"/>
              </w:rPr>
              <w:t>并确保安全</w:t>
            </w:r>
            <w:r>
              <w:rPr>
                <w:rFonts w:hint="eastAsia" w:ascii="宋体" w:hAnsi="宋体" w:eastAsia="宋体" w:cs="宋体"/>
                <w:color w:val="auto"/>
                <w:sz w:val="24"/>
                <w:szCs w:val="24"/>
                <w:highlight w:val="none"/>
                <w:lang w:val="en-US" w:eastAsia="zh-CN"/>
              </w:rPr>
              <w:t>得5分；</w:t>
            </w:r>
          </w:p>
          <w:p w14:paraId="1DD6284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②各主要分部施工</w:t>
            </w:r>
            <w:r>
              <w:rPr>
                <w:rFonts w:hint="eastAsia" w:ascii="宋体" w:hAnsi="宋体" w:eastAsia="宋体" w:cs="宋体"/>
                <w:color w:val="auto"/>
                <w:sz w:val="24"/>
                <w:szCs w:val="24"/>
                <w:highlight w:val="none"/>
                <w:lang w:val="en-US" w:eastAsia="zh-CN"/>
              </w:rPr>
              <w:t>方案</w:t>
            </w:r>
            <w:r>
              <w:rPr>
                <w:rFonts w:hint="eastAsia" w:ascii="宋体" w:hAnsi="宋体" w:eastAsia="宋体" w:cs="宋体"/>
                <w:color w:val="auto"/>
                <w:sz w:val="24"/>
                <w:szCs w:val="24"/>
                <w:highlight w:val="none"/>
              </w:rPr>
              <w:t>符合项目实际，施工技术方案</w:t>
            </w:r>
            <w:r>
              <w:rPr>
                <w:rFonts w:hint="eastAsia"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rPr>
              <w:t>，</w:t>
            </w:r>
            <w:r>
              <w:rPr>
                <w:rFonts w:hint="eastAsia" w:ascii="宋体" w:hAnsi="宋体" w:eastAsia="宋体" w:cs="宋体"/>
                <w:color w:val="auto"/>
                <w:sz w:val="24"/>
                <w:szCs w:val="24"/>
                <w:highlight w:val="none"/>
                <w:lang w:val="en-US" w:eastAsia="zh-CN"/>
              </w:rPr>
              <w:t>对项目实施流程有相关把控，施工方案中的</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符合施工需求得4分；</w:t>
            </w:r>
          </w:p>
          <w:p w14:paraId="48E0866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③各主要分部施工</w:t>
            </w:r>
            <w:r>
              <w:rPr>
                <w:rFonts w:hint="eastAsia" w:ascii="宋体" w:hAnsi="宋体" w:eastAsia="宋体" w:cs="宋体"/>
                <w:color w:val="auto"/>
                <w:sz w:val="24"/>
                <w:szCs w:val="24"/>
                <w:highlight w:val="none"/>
                <w:lang w:val="en-US" w:eastAsia="zh-CN"/>
              </w:rPr>
              <w:t>方案清晰，但</w:t>
            </w:r>
            <w:r>
              <w:rPr>
                <w:rFonts w:hint="eastAsia" w:ascii="宋体" w:hAnsi="宋体" w:eastAsia="宋体" w:cs="宋体"/>
                <w:color w:val="auto"/>
                <w:sz w:val="24"/>
                <w:szCs w:val="24"/>
                <w:highlight w:val="none"/>
              </w:rPr>
              <w:t>施工技术方案</w:t>
            </w:r>
            <w:r>
              <w:rPr>
                <w:rFonts w:hint="eastAsia" w:ascii="宋体" w:hAnsi="宋体" w:eastAsia="宋体" w:cs="宋体"/>
                <w:color w:val="auto"/>
                <w:sz w:val="24"/>
                <w:szCs w:val="24"/>
                <w:highlight w:val="none"/>
                <w:lang w:val="en-US" w:eastAsia="zh-CN"/>
              </w:rPr>
              <w:t>中的实施步骤混乱欠缺或出现非专门针对本项目特性内容</w:t>
            </w:r>
            <w:r>
              <w:rPr>
                <w:rFonts w:hint="eastAsia" w:ascii="宋体" w:hAnsi="宋体" w:eastAsia="宋体" w:cs="宋体"/>
                <w:color w:val="auto"/>
                <w:sz w:val="24"/>
                <w:szCs w:val="24"/>
                <w:highlight w:val="none"/>
              </w:rPr>
              <w:t>，工艺</w:t>
            </w:r>
            <w:r>
              <w:rPr>
                <w:rFonts w:hint="eastAsia" w:ascii="宋体" w:hAnsi="宋体" w:eastAsia="宋体" w:cs="宋体"/>
                <w:color w:val="auto"/>
                <w:sz w:val="24"/>
                <w:szCs w:val="24"/>
                <w:highlight w:val="none"/>
                <w:lang w:val="en-US" w:eastAsia="zh-CN"/>
              </w:rPr>
              <w:t>描述为落后得3分；</w:t>
            </w:r>
          </w:p>
          <w:p w14:paraId="4AE3239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④方案不能满足项目实施要求或未提供的不得分。</w:t>
            </w:r>
          </w:p>
        </w:tc>
      </w:tr>
      <w:tr w14:paraId="24ECB5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290AB770">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3543649A">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拟投入的主要施工机械、设备计划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10EB59B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①投入的施工机械、设备、机具有详细计划且计划周密，设备数量、选型配置、进场数量、时间合理、满足施工需要</w:t>
            </w:r>
            <w:r>
              <w:rPr>
                <w:rFonts w:hint="eastAsia" w:ascii="宋体" w:hAnsi="宋体" w:eastAsia="宋体" w:cs="宋体"/>
                <w:color w:val="auto"/>
                <w:sz w:val="24"/>
                <w:szCs w:val="24"/>
                <w:highlight w:val="none"/>
                <w:lang w:val="en-US" w:eastAsia="zh-CN"/>
              </w:rPr>
              <w:t>得5分；</w:t>
            </w:r>
          </w:p>
          <w:p w14:paraId="11F0211F">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②投入的施工机械、设备、机具有计划且计划</w:t>
            </w:r>
            <w:r>
              <w:rPr>
                <w:rFonts w:hint="eastAsia" w:ascii="宋体" w:hAnsi="宋体" w:eastAsia="宋体" w:cs="宋体"/>
                <w:color w:val="auto"/>
                <w:sz w:val="24"/>
                <w:szCs w:val="24"/>
                <w:highlight w:val="none"/>
                <w:lang w:val="en-US" w:eastAsia="zh-CN"/>
              </w:rPr>
              <w:t>完整</w:t>
            </w:r>
            <w:r>
              <w:rPr>
                <w:rFonts w:hint="eastAsia" w:ascii="宋体" w:hAnsi="宋体" w:eastAsia="宋体" w:cs="宋体"/>
                <w:color w:val="auto"/>
                <w:sz w:val="24"/>
                <w:szCs w:val="24"/>
                <w:highlight w:val="none"/>
              </w:rPr>
              <w:t>，设备数量、选型配置、进场数量、时间合理</w:t>
            </w:r>
            <w:r>
              <w:rPr>
                <w:rFonts w:hint="eastAsia" w:ascii="宋体" w:hAnsi="宋体" w:eastAsia="宋体" w:cs="宋体"/>
                <w:color w:val="auto"/>
                <w:sz w:val="24"/>
                <w:szCs w:val="24"/>
                <w:highlight w:val="none"/>
                <w:lang w:val="en-US" w:eastAsia="zh-CN"/>
              </w:rPr>
              <w:t>得4分；</w:t>
            </w:r>
          </w:p>
          <w:p w14:paraId="5EDB488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投入的施工机械、设备、机具设备描述不清、缺项，</w:t>
            </w:r>
            <w:r>
              <w:rPr>
                <w:rFonts w:hint="eastAsia" w:ascii="宋体" w:hAnsi="宋体" w:eastAsia="宋体" w:cs="宋体"/>
                <w:color w:val="auto"/>
                <w:sz w:val="24"/>
                <w:szCs w:val="24"/>
                <w:highlight w:val="none"/>
              </w:rPr>
              <w:t>选型配置、进场数量、时间</w:t>
            </w:r>
            <w:r>
              <w:rPr>
                <w:rFonts w:hint="eastAsia" w:ascii="宋体" w:hAnsi="宋体" w:eastAsia="宋体" w:cs="宋体"/>
                <w:color w:val="auto"/>
                <w:sz w:val="24"/>
                <w:szCs w:val="24"/>
                <w:highlight w:val="none"/>
                <w:lang w:val="en-US" w:eastAsia="zh-CN"/>
              </w:rPr>
              <w:t>、关键点混乱欠缺的得3分。</w:t>
            </w:r>
          </w:p>
          <w:p w14:paraId="5F6B563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④不能满足项目实施要求或未提供的不得分。</w:t>
            </w:r>
          </w:p>
        </w:tc>
      </w:tr>
      <w:tr w14:paraId="07DB5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06888638">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509CD738">
            <w:pPr>
              <w:adjustRightInd w:val="0"/>
              <w:snapToGrid w:val="0"/>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rPr>
              <w:t>劳动力安排计划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156B727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①各主要施工工序应有详细周密的劳动力安排计划明细，有各工种劳动力安排计划，计划完整周密，劳动力投入经济高效，</w:t>
            </w:r>
            <w:r>
              <w:rPr>
                <w:rFonts w:hint="eastAsia" w:ascii="宋体" w:hAnsi="宋体" w:eastAsia="宋体" w:cs="宋体"/>
                <w:color w:val="auto"/>
                <w:sz w:val="24"/>
                <w:szCs w:val="24"/>
                <w:highlight w:val="none"/>
                <w:lang w:val="en-US" w:eastAsia="zh-CN"/>
              </w:rPr>
              <w:t>贴合实际</w:t>
            </w:r>
            <w:r>
              <w:rPr>
                <w:rFonts w:hint="eastAsia" w:ascii="宋体" w:hAnsi="宋体" w:eastAsia="宋体" w:cs="宋体"/>
                <w:color w:val="auto"/>
                <w:sz w:val="24"/>
                <w:szCs w:val="24"/>
                <w:highlight w:val="none"/>
              </w:rPr>
              <w:t>施工需要</w:t>
            </w:r>
            <w:r>
              <w:rPr>
                <w:rFonts w:hint="eastAsia" w:ascii="宋体" w:hAnsi="宋体" w:eastAsia="宋体" w:cs="宋体"/>
                <w:color w:val="auto"/>
                <w:sz w:val="24"/>
                <w:szCs w:val="24"/>
                <w:highlight w:val="none"/>
                <w:lang w:val="en-US" w:eastAsia="zh-CN"/>
              </w:rPr>
              <w:t>得5分；</w:t>
            </w:r>
          </w:p>
          <w:p w14:paraId="1AD5630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②各主要施工工序应有劳动力安排计划，有各工种劳动力安排计划</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计划完整周密</w:t>
            </w:r>
            <w:r>
              <w:rPr>
                <w:rFonts w:hint="eastAsia" w:ascii="宋体" w:hAnsi="宋体" w:eastAsia="宋体" w:cs="宋体"/>
                <w:color w:val="auto"/>
                <w:sz w:val="24"/>
                <w:szCs w:val="24"/>
                <w:highlight w:val="none"/>
              </w:rPr>
              <w:t>。劳动力投入合理，</w:t>
            </w:r>
            <w:r>
              <w:rPr>
                <w:rFonts w:hint="eastAsia" w:ascii="宋体" w:hAnsi="宋体" w:eastAsia="宋体" w:cs="宋体"/>
                <w:color w:val="auto"/>
                <w:sz w:val="24"/>
                <w:szCs w:val="24"/>
                <w:highlight w:val="none"/>
                <w:lang w:val="en-US" w:eastAsia="zh-CN"/>
              </w:rPr>
              <w:t>符合</w:t>
            </w:r>
            <w:r>
              <w:rPr>
                <w:rFonts w:hint="eastAsia" w:ascii="宋体" w:hAnsi="宋体" w:eastAsia="宋体" w:cs="宋体"/>
                <w:color w:val="auto"/>
                <w:sz w:val="24"/>
                <w:szCs w:val="24"/>
                <w:highlight w:val="none"/>
              </w:rPr>
              <w:t>施工需要</w:t>
            </w:r>
            <w:r>
              <w:rPr>
                <w:rFonts w:hint="eastAsia" w:ascii="宋体" w:hAnsi="宋体" w:eastAsia="宋体" w:cs="宋体"/>
                <w:color w:val="auto"/>
                <w:sz w:val="24"/>
                <w:szCs w:val="24"/>
                <w:highlight w:val="none"/>
                <w:lang w:val="en-US" w:eastAsia="zh-CN"/>
              </w:rPr>
              <w:t>得4分；</w:t>
            </w:r>
          </w:p>
          <w:p w14:paraId="3501FEF9">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③各主要施工工序</w:t>
            </w:r>
            <w:r>
              <w:rPr>
                <w:rFonts w:hint="eastAsia" w:ascii="宋体" w:hAnsi="宋体" w:eastAsia="宋体" w:cs="宋体"/>
                <w:color w:val="auto"/>
                <w:sz w:val="24"/>
                <w:szCs w:val="24"/>
                <w:highlight w:val="none"/>
                <w:lang w:val="en-US" w:eastAsia="zh-CN"/>
              </w:rPr>
              <w:t>有基础的</w:t>
            </w:r>
            <w:r>
              <w:rPr>
                <w:rFonts w:hint="eastAsia" w:ascii="宋体" w:hAnsi="宋体" w:eastAsia="宋体" w:cs="宋体"/>
                <w:color w:val="auto"/>
                <w:sz w:val="24"/>
                <w:szCs w:val="24"/>
                <w:highlight w:val="none"/>
              </w:rPr>
              <w:t>劳动力安排计划，有</w:t>
            </w:r>
            <w:r>
              <w:rPr>
                <w:rFonts w:hint="eastAsia" w:ascii="宋体" w:hAnsi="宋体" w:eastAsia="宋体" w:cs="宋体"/>
                <w:color w:val="auto"/>
                <w:sz w:val="24"/>
                <w:szCs w:val="24"/>
                <w:highlight w:val="none"/>
                <w:lang w:val="en-US" w:eastAsia="zh-CN"/>
              </w:rPr>
              <w:t>基础的</w:t>
            </w:r>
            <w:r>
              <w:rPr>
                <w:rFonts w:hint="eastAsia" w:ascii="宋体" w:hAnsi="宋体" w:eastAsia="宋体" w:cs="宋体"/>
                <w:color w:val="auto"/>
                <w:sz w:val="24"/>
                <w:szCs w:val="24"/>
                <w:highlight w:val="none"/>
              </w:rPr>
              <w:t>各工种劳动力安排计划</w:t>
            </w:r>
            <w:r>
              <w:rPr>
                <w:rFonts w:hint="eastAsia" w:ascii="宋体" w:hAnsi="宋体" w:eastAsia="宋体" w:cs="宋体"/>
                <w:color w:val="auto"/>
                <w:sz w:val="24"/>
                <w:szCs w:val="24"/>
                <w:highlight w:val="none"/>
                <w:lang w:val="en-US" w:eastAsia="zh-CN"/>
              </w:rPr>
              <w:t>能满足施工需要但有待完善的得3分。</w:t>
            </w:r>
          </w:p>
          <w:p w14:paraId="2BFC826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④不能满足项目实施要求或未提供的不得分。</w:t>
            </w:r>
          </w:p>
        </w:tc>
      </w:tr>
      <w:tr w14:paraId="08750A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33BE9D4A">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1CAC9475">
            <w:pPr>
              <w:adjustRightInd w:val="0"/>
              <w:snapToGrid w:val="0"/>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质量保证措施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6B437954">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①施工项目应有专门的质量技术管理班子和制度，且人员配备合理，制度健全，主要工序应有质量技术保证措施和手段，自控体系完整，能有效的保证技术质量，达到承诺的质量标准</w:t>
            </w:r>
            <w:r>
              <w:rPr>
                <w:rFonts w:hint="eastAsia" w:ascii="宋体" w:hAnsi="宋体" w:eastAsia="宋体" w:cs="宋体"/>
                <w:color w:val="auto"/>
                <w:sz w:val="24"/>
                <w:szCs w:val="24"/>
                <w:highlight w:val="none"/>
                <w:lang w:val="en-US" w:eastAsia="zh-CN"/>
              </w:rPr>
              <w:t>的能贴合实际施工需要得5分；</w:t>
            </w:r>
          </w:p>
          <w:p w14:paraId="7EEB10CE">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②施工项目</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专门的质量技术管理班子和制度，主要工序应有质量技术保证措施和手段，自控体系完整，能</w:t>
            </w:r>
            <w:r>
              <w:rPr>
                <w:rFonts w:hint="eastAsia" w:ascii="宋体" w:hAnsi="宋体" w:eastAsia="宋体" w:cs="宋体"/>
                <w:color w:val="auto"/>
                <w:sz w:val="24"/>
                <w:szCs w:val="24"/>
                <w:highlight w:val="none"/>
                <w:lang w:val="en-US" w:eastAsia="zh-CN"/>
              </w:rPr>
              <w:t>够</w:t>
            </w:r>
            <w:r>
              <w:rPr>
                <w:rFonts w:hint="eastAsia" w:ascii="宋体" w:hAnsi="宋体" w:eastAsia="宋体" w:cs="宋体"/>
                <w:color w:val="auto"/>
                <w:sz w:val="24"/>
                <w:szCs w:val="24"/>
                <w:highlight w:val="none"/>
              </w:rPr>
              <w:t>保证技术质量，达到承诺的质量标准</w:t>
            </w:r>
            <w:r>
              <w:rPr>
                <w:rFonts w:hint="eastAsia" w:ascii="宋体" w:hAnsi="宋体" w:eastAsia="宋体" w:cs="宋体"/>
                <w:color w:val="auto"/>
                <w:sz w:val="24"/>
                <w:szCs w:val="24"/>
                <w:highlight w:val="none"/>
                <w:lang w:val="en-US" w:eastAsia="zh-CN"/>
              </w:rPr>
              <w:t>得4分；</w:t>
            </w:r>
          </w:p>
          <w:p w14:paraId="7E983181">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③施工项目</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专门的质量技术管理班子和制度，</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人员配备，</w:t>
            </w:r>
            <w:r>
              <w:rPr>
                <w:rFonts w:hint="eastAsia" w:ascii="宋体" w:hAnsi="宋体" w:eastAsia="宋体" w:cs="宋体"/>
                <w:color w:val="auto"/>
                <w:sz w:val="24"/>
                <w:szCs w:val="24"/>
                <w:highlight w:val="none"/>
                <w:lang w:val="en-US" w:eastAsia="zh-CN"/>
              </w:rPr>
              <w:t>有</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val="en-US" w:eastAsia="zh-CN"/>
              </w:rPr>
              <w:t>但缺项或关键点缺失、出现非专门针对本项目特性内容的得3分；</w:t>
            </w:r>
          </w:p>
          <w:p w14:paraId="527FE4A7">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④不能满足项目实施要求或未提供的不得分。</w:t>
            </w:r>
          </w:p>
        </w:tc>
      </w:tr>
      <w:tr w14:paraId="411F2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2308185D">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69AA43E6">
            <w:pPr>
              <w:adjustRightInd w:val="0"/>
              <w:snapToGrid w:val="0"/>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安全生产保障措施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2DFABBD9">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①施工项目应有专门的安全管理人员和制度，且人员配备合理，制度</w:t>
            </w:r>
            <w:r>
              <w:rPr>
                <w:rFonts w:hint="eastAsia" w:ascii="宋体" w:hAnsi="宋体" w:eastAsia="宋体" w:cs="宋体"/>
                <w:color w:val="auto"/>
                <w:sz w:val="24"/>
                <w:szCs w:val="24"/>
                <w:highlight w:val="none"/>
                <w:lang w:val="en-US" w:eastAsia="zh-CN"/>
              </w:rPr>
              <w:t>清晰、</w:t>
            </w:r>
            <w:r>
              <w:rPr>
                <w:rFonts w:hint="eastAsia" w:ascii="宋体" w:hAnsi="宋体" w:eastAsia="宋体" w:cs="宋体"/>
                <w:color w:val="auto"/>
                <w:sz w:val="24"/>
                <w:szCs w:val="24"/>
                <w:highlight w:val="none"/>
              </w:rPr>
              <w:t>健全，各道工序安全技术措施针对性强，符合实际且满足有关安全技术标准要求。现场防火、社会治安安全措施得力</w:t>
            </w:r>
            <w:r>
              <w:rPr>
                <w:rFonts w:hint="eastAsia" w:ascii="宋体" w:hAnsi="宋体" w:eastAsia="宋体" w:cs="宋体"/>
                <w:color w:val="auto"/>
                <w:sz w:val="24"/>
                <w:szCs w:val="24"/>
                <w:highlight w:val="none"/>
                <w:lang w:val="en-US" w:eastAsia="zh-CN"/>
              </w:rPr>
              <w:t>满足施工需求得5分；</w:t>
            </w:r>
          </w:p>
          <w:p w14:paraId="27A39BCD">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②施工项目有专门的安全管理人员和制度，且人员配备适中，制度完整，各道工序安全技术措施完善，能够满足项目需求得 4 分；</w:t>
            </w:r>
          </w:p>
          <w:p w14:paraId="72D84975">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③施工项目有专门的安全管理人员和制度，</w:t>
            </w:r>
            <w:r>
              <w:rPr>
                <w:rFonts w:hint="eastAsia" w:ascii="宋体" w:hAnsi="宋体" w:eastAsia="宋体" w:cs="宋体"/>
                <w:color w:val="auto"/>
                <w:sz w:val="24"/>
                <w:szCs w:val="24"/>
                <w:highlight w:val="none"/>
                <w:lang w:val="en-US" w:eastAsia="zh-CN"/>
              </w:rPr>
              <w:t>但</w:t>
            </w:r>
            <w:r>
              <w:rPr>
                <w:rFonts w:hint="eastAsia" w:ascii="宋体" w:hAnsi="宋体" w:eastAsia="宋体" w:cs="宋体"/>
                <w:color w:val="auto"/>
                <w:sz w:val="24"/>
                <w:szCs w:val="24"/>
                <w:highlight w:val="none"/>
              </w:rPr>
              <w:t>制度</w:t>
            </w:r>
            <w:r>
              <w:rPr>
                <w:rFonts w:hint="eastAsia" w:ascii="宋体" w:hAnsi="宋体" w:eastAsia="宋体" w:cs="宋体"/>
                <w:color w:val="auto"/>
                <w:sz w:val="24"/>
                <w:szCs w:val="24"/>
                <w:highlight w:val="none"/>
                <w:lang w:val="en-US" w:eastAsia="zh-CN"/>
              </w:rPr>
              <w:t>及</w:t>
            </w:r>
            <w:r>
              <w:rPr>
                <w:rFonts w:hint="eastAsia" w:ascii="宋体" w:hAnsi="宋体" w:eastAsia="宋体" w:cs="宋体"/>
                <w:color w:val="auto"/>
                <w:sz w:val="24"/>
                <w:szCs w:val="24"/>
                <w:highlight w:val="none"/>
              </w:rPr>
              <w:t>各道工序安全技术措施</w:t>
            </w:r>
            <w:r>
              <w:rPr>
                <w:rFonts w:hint="eastAsia" w:ascii="宋体" w:hAnsi="宋体" w:eastAsia="宋体" w:cs="宋体"/>
                <w:color w:val="auto"/>
                <w:sz w:val="24"/>
                <w:szCs w:val="24"/>
                <w:highlight w:val="none"/>
                <w:lang w:val="en-US" w:eastAsia="zh-CN"/>
              </w:rPr>
              <w:t>缺项或关键点缺失或出现非专门针对本项目特性内容的得3分；</w:t>
            </w:r>
          </w:p>
          <w:p w14:paraId="6FEF52B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④不能满足项目实施要求或未提供的不得分。</w:t>
            </w:r>
          </w:p>
        </w:tc>
      </w:tr>
      <w:tr w14:paraId="4FC9E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39176D31">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42E3C7E3">
            <w:pPr>
              <w:adjustRightInd w:val="0"/>
              <w:snapToGrid w:val="0"/>
              <w:spacing w:line="560" w:lineRule="exact"/>
              <w:jc w:val="left"/>
              <w:rPr>
                <w:rFonts w:hint="eastAsia" w:ascii="宋体" w:hAnsi="宋体" w:eastAsia="宋体" w:cs="宋体"/>
                <w:b/>
                <w:color w:val="auto"/>
                <w:sz w:val="24"/>
                <w:szCs w:val="24"/>
                <w:highlight w:val="none"/>
              </w:rPr>
            </w:pPr>
            <w:r>
              <w:rPr>
                <w:rFonts w:hint="eastAsia" w:ascii="宋体" w:hAnsi="宋体" w:eastAsia="宋体" w:cs="宋体"/>
                <w:color w:val="auto"/>
                <w:sz w:val="24"/>
                <w:szCs w:val="24"/>
                <w:highlight w:val="none"/>
                <w:lang w:val="en-US" w:eastAsia="zh-CN"/>
              </w:rPr>
              <w:t>施工进度控制</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019B781B">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在施工工艺、施工方法、材料选用、劳动力安排、技术等方面有保证工期的具体措施且措施得当。有控制工期的施工进度计划。应有施工总进度表或施工网络图，各项计划图表编制完善，安排合理，符合本项目施工实际要求</w:t>
            </w:r>
            <w:r>
              <w:rPr>
                <w:rFonts w:hint="eastAsia" w:ascii="宋体" w:hAnsi="宋体" w:eastAsia="宋体" w:cs="宋体"/>
                <w:color w:val="auto"/>
                <w:sz w:val="24"/>
                <w:szCs w:val="24"/>
                <w:highlight w:val="none"/>
                <w:lang w:val="en-US" w:eastAsia="zh-CN"/>
              </w:rPr>
              <w:t>得5分；</w:t>
            </w:r>
          </w:p>
          <w:p w14:paraId="6D5112BD">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②在施工工艺、施工方法、材料选用、劳动力安排、技术等方面有保证工期的措施且措施</w:t>
            </w:r>
            <w:r>
              <w:rPr>
                <w:rFonts w:hint="eastAsia" w:ascii="宋体" w:hAnsi="宋体" w:eastAsia="宋体" w:cs="宋体"/>
                <w:color w:val="auto"/>
                <w:sz w:val="24"/>
                <w:szCs w:val="24"/>
                <w:highlight w:val="none"/>
                <w:lang w:val="en-US" w:eastAsia="zh-CN"/>
              </w:rPr>
              <w:t>得当</w:t>
            </w:r>
            <w:r>
              <w:rPr>
                <w:rFonts w:hint="eastAsia" w:ascii="宋体" w:hAnsi="宋体" w:eastAsia="宋体" w:cs="宋体"/>
                <w:color w:val="auto"/>
                <w:sz w:val="24"/>
                <w:szCs w:val="24"/>
                <w:highlight w:val="none"/>
              </w:rPr>
              <w:t>。符合本项目施工实际要求</w:t>
            </w:r>
            <w:r>
              <w:rPr>
                <w:rFonts w:hint="eastAsia" w:ascii="宋体" w:hAnsi="宋体" w:eastAsia="宋体" w:cs="宋体"/>
                <w:color w:val="auto"/>
                <w:sz w:val="24"/>
                <w:szCs w:val="24"/>
                <w:highlight w:val="none"/>
                <w:lang w:val="en-US" w:eastAsia="zh-CN"/>
              </w:rPr>
              <w:t>得4分；</w:t>
            </w:r>
          </w:p>
          <w:p w14:paraId="583FAE1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③在施工工艺、施工方法、材料选用、劳动力安排、技术等方面有保证工期的措施。有控制工期的施工进度计划。有施工总进度表或施工网络图，</w:t>
            </w:r>
            <w:r>
              <w:rPr>
                <w:rFonts w:hint="eastAsia" w:ascii="宋体" w:hAnsi="宋体" w:eastAsia="宋体" w:cs="宋体"/>
                <w:color w:val="auto"/>
                <w:sz w:val="24"/>
                <w:szCs w:val="24"/>
                <w:highlight w:val="none"/>
                <w:lang w:val="en-US" w:eastAsia="zh-CN"/>
              </w:rPr>
              <w:t>但缺项或关键点缺失，措施有待完善的得3分；</w:t>
            </w:r>
          </w:p>
          <w:p w14:paraId="36D308E5">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④不能满足项目实施要求或未提供的不得分。</w:t>
            </w:r>
          </w:p>
        </w:tc>
      </w:tr>
      <w:tr w14:paraId="414DF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1206AEF6">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1D34AC96">
            <w:pPr>
              <w:adjustRightInd w:val="0"/>
              <w:snapToGrid w:val="0"/>
              <w:spacing w:line="560" w:lineRule="exact"/>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施工文明组织措施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5BFF6C7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特点，应有现场文明施工计划，环境保护措施，且计划措施内容应达到“安全文明示范工地”标准。各项措施周全、具体、有效。有具体实现现场文明施工目标的承诺</w:t>
            </w:r>
            <w:r>
              <w:rPr>
                <w:rFonts w:hint="eastAsia" w:ascii="宋体" w:hAnsi="宋体" w:eastAsia="宋体" w:cs="宋体"/>
                <w:color w:val="auto"/>
                <w:sz w:val="24"/>
                <w:szCs w:val="24"/>
                <w:highlight w:val="none"/>
                <w:lang w:val="en-US" w:eastAsia="zh-CN"/>
              </w:rPr>
              <w:t>得5分；</w:t>
            </w:r>
          </w:p>
          <w:p w14:paraId="4720CE5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特点，有现场文明施工计划，环境保护措施，且计划措施内容</w:t>
            </w:r>
            <w:r>
              <w:rPr>
                <w:rFonts w:hint="eastAsia" w:ascii="宋体" w:hAnsi="宋体" w:eastAsia="宋体" w:cs="宋体"/>
                <w:color w:val="auto"/>
                <w:sz w:val="24"/>
                <w:szCs w:val="24"/>
                <w:highlight w:val="none"/>
                <w:lang w:val="en-US" w:eastAsia="zh-CN"/>
              </w:rPr>
              <w:t>完善</w:t>
            </w:r>
            <w:r>
              <w:rPr>
                <w:rFonts w:hint="eastAsia" w:ascii="宋体" w:hAnsi="宋体" w:eastAsia="宋体" w:cs="宋体"/>
                <w:color w:val="auto"/>
                <w:sz w:val="24"/>
                <w:szCs w:val="24"/>
                <w:highlight w:val="none"/>
              </w:rPr>
              <w:t>。各项措施周全、具体、有效</w:t>
            </w:r>
            <w:r>
              <w:rPr>
                <w:rFonts w:hint="eastAsia" w:ascii="宋体" w:hAnsi="宋体" w:eastAsia="宋体" w:cs="宋体"/>
                <w:color w:val="auto"/>
                <w:sz w:val="24"/>
                <w:szCs w:val="24"/>
                <w:highlight w:val="none"/>
                <w:lang w:val="en-US" w:eastAsia="zh-CN"/>
              </w:rPr>
              <w:t>的得4分；</w:t>
            </w:r>
          </w:p>
          <w:p w14:paraId="0EFB7B4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特点，有现场文明施工计划，环境保护措施。</w:t>
            </w:r>
            <w:r>
              <w:rPr>
                <w:rFonts w:hint="eastAsia" w:ascii="宋体" w:hAnsi="宋体" w:eastAsia="宋体" w:cs="宋体"/>
                <w:color w:val="auto"/>
                <w:sz w:val="24"/>
                <w:szCs w:val="24"/>
                <w:highlight w:val="none"/>
                <w:lang w:val="en-US" w:eastAsia="zh-CN"/>
              </w:rPr>
              <w:t>但措施缺项或关键点缺失或出现非专门针对本项目特性内容的得3分；</w:t>
            </w:r>
          </w:p>
          <w:p w14:paraId="636AF31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428CF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787" w:type="dxa"/>
            <w:vMerge w:val="continue"/>
            <w:noWrap w:val="0"/>
            <w:vAlign w:val="center"/>
          </w:tcPr>
          <w:p w14:paraId="120859E7">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2B59A8F1">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环保措施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71F96EA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特点，应有现场</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施工计划，</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措施。各项措施周全、具体、</w:t>
            </w:r>
            <w:r>
              <w:rPr>
                <w:rFonts w:hint="eastAsia" w:ascii="宋体" w:hAnsi="宋体" w:eastAsia="宋体" w:cs="宋体"/>
                <w:color w:val="auto"/>
                <w:sz w:val="24"/>
                <w:szCs w:val="24"/>
                <w:highlight w:val="none"/>
                <w:lang w:val="en-US" w:eastAsia="zh-CN"/>
              </w:rPr>
              <w:t>有针对性的得5分；</w:t>
            </w:r>
          </w:p>
          <w:p w14:paraId="15D53B0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特点，应有现场</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施工计划，</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措施。各项措施周全、具体</w:t>
            </w:r>
            <w:r>
              <w:rPr>
                <w:rFonts w:hint="eastAsia" w:ascii="宋体" w:hAnsi="宋体" w:eastAsia="宋体" w:cs="宋体"/>
                <w:color w:val="auto"/>
                <w:sz w:val="24"/>
                <w:szCs w:val="24"/>
                <w:highlight w:val="none"/>
                <w:lang w:val="en-US" w:eastAsia="zh-CN"/>
              </w:rPr>
              <w:t>但有待完善的得4分；</w:t>
            </w:r>
          </w:p>
          <w:p w14:paraId="3EF7242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③针对本</w:t>
            </w:r>
            <w:r>
              <w:rPr>
                <w:rFonts w:hint="eastAsia" w:ascii="宋体" w:hAnsi="宋体" w:eastAsia="宋体" w:cs="宋体"/>
                <w:color w:val="auto"/>
                <w:sz w:val="24"/>
                <w:szCs w:val="24"/>
                <w:highlight w:val="none"/>
                <w:lang w:val="en-US" w:eastAsia="zh-CN"/>
              </w:rPr>
              <w:t>项目</w:t>
            </w:r>
            <w:r>
              <w:rPr>
                <w:rFonts w:hint="eastAsia" w:ascii="宋体" w:hAnsi="宋体" w:eastAsia="宋体" w:cs="宋体"/>
                <w:color w:val="auto"/>
                <w:sz w:val="24"/>
                <w:szCs w:val="24"/>
                <w:highlight w:val="none"/>
              </w:rPr>
              <w:t>特点，有现场</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施工计划，</w:t>
            </w:r>
            <w:r>
              <w:rPr>
                <w:rFonts w:hint="eastAsia" w:ascii="宋体" w:hAnsi="宋体" w:eastAsia="宋体" w:cs="宋体"/>
                <w:color w:val="auto"/>
                <w:sz w:val="24"/>
                <w:szCs w:val="24"/>
                <w:highlight w:val="none"/>
                <w:lang w:val="en-US" w:eastAsia="zh-CN"/>
              </w:rPr>
              <w:t>环保</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但缺项或关键点缺失的得3分；</w:t>
            </w:r>
          </w:p>
          <w:p w14:paraId="19829CCD">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17A66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87" w:type="dxa"/>
            <w:vMerge w:val="continue"/>
            <w:noWrap w:val="0"/>
            <w:vAlign w:val="center"/>
          </w:tcPr>
          <w:p w14:paraId="7B3F93A6">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7660C758">
            <w:pPr>
              <w:adjustRightInd w:val="0"/>
              <w:snapToGrid w:val="0"/>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重点及保证措施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29482B0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①针对本工程特点，列出本工程的重点，并且有具体的保证措施。</w:t>
            </w:r>
            <w:r>
              <w:rPr>
                <w:rFonts w:hint="eastAsia" w:ascii="宋体" w:hAnsi="宋体" w:eastAsia="宋体" w:cs="宋体"/>
                <w:color w:val="auto"/>
                <w:sz w:val="24"/>
                <w:szCs w:val="24"/>
                <w:highlight w:val="none"/>
              </w:rPr>
              <w:t>各项措施周全、具体、有效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有针对性的得5分；</w:t>
            </w:r>
          </w:p>
          <w:p w14:paraId="1650486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②针对本工程特点，列出本工程的重点，并且有具体的保证措施。</w:t>
            </w:r>
            <w:r>
              <w:rPr>
                <w:rFonts w:hint="eastAsia" w:ascii="宋体" w:hAnsi="宋体" w:eastAsia="宋体" w:cs="宋体"/>
                <w:color w:val="auto"/>
                <w:sz w:val="24"/>
                <w:szCs w:val="24"/>
                <w:highlight w:val="none"/>
              </w:rPr>
              <w:t>各项措施内容</w:t>
            </w:r>
            <w:r>
              <w:rPr>
                <w:rFonts w:hint="eastAsia" w:ascii="宋体" w:hAnsi="宋体" w:eastAsia="宋体" w:cs="宋体"/>
                <w:color w:val="auto"/>
                <w:sz w:val="24"/>
                <w:szCs w:val="24"/>
                <w:highlight w:val="none"/>
                <w:lang w:val="en-US" w:eastAsia="zh-CN"/>
              </w:rPr>
              <w:t>清晰、完善的得4分；</w:t>
            </w:r>
          </w:p>
          <w:p w14:paraId="2A65D4E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③针对本工程特点，列出本工程的重点，并且有具体的保证措施。但措施缺项或关键点缺失的得3分；</w:t>
            </w:r>
          </w:p>
          <w:p w14:paraId="1CFA9C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61EBD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0" w:hRule="atLeast"/>
        </w:trPr>
        <w:tc>
          <w:tcPr>
            <w:tcW w:w="787" w:type="dxa"/>
            <w:vMerge w:val="continue"/>
            <w:noWrap w:val="0"/>
            <w:vAlign w:val="center"/>
          </w:tcPr>
          <w:p w14:paraId="4CDFE325">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065FF3B1">
            <w:pPr>
              <w:adjustRightInd w:val="0"/>
              <w:snapToGrid w:val="0"/>
              <w:spacing w:line="560" w:lineRule="exact"/>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难点及保证措施</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5分</w:t>
            </w:r>
            <w:r>
              <w:rPr>
                <w:rFonts w:hint="eastAsia" w:ascii="宋体" w:hAnsi="宋体" w:eastAsia="宋体" w:cs="宋体"/>
                <w:color w:val="auto"/>
                <w:sz w:val="24"/>
                <w:szCs w:val="24"/>
                <w:highlight w:val="none"/>
                <w:lang w:eastAsia="zh-CN"/>
              </w:rPr>
              <w:t>）</w:t>
            </w:r>
          </w:p>
        </w:tc>
        <w:tc>
          <w:tcPr>
            <w:tcW w:w="7800" w:type="dxa"/>
            <w:noWrap w:val="0"/>
            <w:vAlign w:val="center"/>
          </w:tcPr>
          <w:p w14:paraId="276214AF">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①对本项目工作难点分析透彻、准确，并有针对性的实施策略和切实可行的解决方案的，得5分；</w:t>
            </w:r>
          </w:p>
          <w:p w14:paraId="27F7113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②针对本工程特点，列出本工程的难点，并且有具体的保证措施。</w:t>
            </w:r>
            <w:r>
              <w:rPr>
                <w:rFonts w:hint="eastAsia" w:ascii="宋体" w:hAnsi="宋体" w:eastAsia="宋体" w:cs="宋体"/>
                <w:color w:val="auto"/>
                <w:sz w:val="24"/>
                <w:szCs w:val="24"/>
                <w:highlight w:val="none"/>
              </w:rPr>
              <w:t>各项措施内容</w:t>
            </w:r>
            <w:r>
              <w:rPr>
                <w:rFonts w:hint="eastAsia" w:ascii="宋体" w:hAnsi="宋体" w:eastAsia="宋体" w:cs="宋体"/>
                <w:color w:val="auto"/>
                <w:sz w:val="24"/>
                <w:szCs w:val="24"/>
                <w:highlight w:val="none"/>
                <w:lang w:val="en-US" w:eastAsia="zh-CN"/>
              </w:rPr>
              <w:t>清晰、完善的得4分；</w:t>
            </w:r>
          </w:p>
          <w:p w14:paraId="631A06A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③对本项目工作难点分析不准确，缺乏理解的，得3分；</w:t>
            </w:r>
          </w:p>
          <w:p w14:paraId="64DAD12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481E69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87" w:type="dxa"/>
            <w:vMerge w:val="continue"/>
            <w:noWrap w:val="0"/>
            <w:vAlign w:val="center"/>
          </w:tcPr>
          <w:p w14:paraId="71227356">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489F6A90">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新技术、新工艺、新方法（5分）</w:t>
            </w:r>
          </w:p>
        </w:tc>
        <w:tc>
          <w:tcPr>
            <w:tcW w:w="7800" w:type="dxa"/>
            <w:noWrap w:val="0"/>
            <w:vAlign w:val="center"/>
          </w:tcPr>
          <w:p w14:paraId="53FE1AD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①根据本项目实际情况和性质，对施工中可能会产生的新技术、新产品、新工艺、新材料应用进行分析梳理，并有相应的各项保证措施，合理有效、能节省资金且保证项目质量的得 5 分</w:t>
            </w:r>
          </w:p>
          <w:p w14:paraId="0E652551">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②针对本工程特点，能提出新技术、新工艺、新方法，</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清晰、完善的得4分；</w:t>
            </w:r>
          </w:p>
          <w:p w14:paraId="3F916B70">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③针对本工程特点，能提出新技术、新工艺、新方法但缺项或关键点缺失或出现非专门针对本项目特性内容的得3分；</w:t>
            </w:r>
          </w:p>
          <w:p w14:paraId="0C044F1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4C474E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787" w:type="dxa"/>
            <w:vMerge w:val="continue"/>
            <w:noWrap w:val="0"/>
            <w:vAlign w:val="center"/>
          </w:tcPr>
          <w:p w14:paraId="63A3A8C8">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4EA973BE">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成本控制措施（5分）</w:t>
            </w:r>
          </w:p>
        </w:tc>
        <w:tc>
          <w:tcPr>
            <w:tcW w:w="7800" w:type="dxa"/>
            <w:noWrap w:val="0"/>
            <w:vAlign w:val="center"/>
          </w:tcPr>
          <w:p w14:paraId="559F4DA8">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①</w:t>
            </w:r>
            <w:r>
              <w:rPr>
                <w:rFonts w:hint="eastAsia" w:ascii="宋体" w:hAnsi="宋体" w:eastAsia="宋体" w:cs="宋体"/>
                <w:color w:val="auto"/>
                <w:sz w:val="24"/>
                <w:szCs w:val="24"/>
                <w:highlight w:val="none"/>
                <w:lang w:val="en-US" w:eastAsia="zh-CN"/>
              </w:rPr>
              <w:t>有详细的成本控制</w:t>
            </w:r>
            <w:r>
              <w:rPr>
                <w:rFonts w:hint="eastAsia" w:ascii="宋体" w:hAnsi="宋体" w:eastAsia="宋体" w:cs="宋体"/>
                <w:color w:val="auto"/>
                <w:sz w:val="24"/>
                <w:szCs w:val="24"/>
                <w:highlight w:val="none"/>
              </w:rPr>
              <w:t>措施，在施工过程中,对影响施工</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各种因素增强管理并采用各种有效举措,将施工中实际发生</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各种消耗和支出严格控制在范围内,随时揭示并及时反应,严格审查各项费用是否符合标准消除施工中</w:t>
            </w:r>
            <w:r>
              <w:rPr>
                <w:rFonts w:hint="eastAsia" w:ascii="宋体" w:hAnsi="宋体" w:eastAsia="宋体" w:cs="宋体"/>
                <w:color w:val="auto"/>
                <w:sz w:val="24"/>
                <w:szCs w:val="24"/>
                <w:highlight w:val="none"/>
                <w:lang w:val="en-US" w:eastAsia="zh-CN"/>
              </w:rPr>
              <w:t>的</w:t>
            </w:r>
            <w:r>
              <w:rPr>
                <w:rFonts w:hint="eastAsia" w:ascii="宋体" w:hAnsi="宋体" w:eastAsia="宋体" w:cs="宋体"/>
                <w:color w:val="auto"/>
                <w:sz w:val="24"/>
                <w:szCs w:val="24"/>
                <w:highlight w:val="none"/>
              </w:rPr>
              <w:t>损失浪费现象并尽可能地将实际</w:t>
            </w:r>
            <w:r>
              <w:rPr>
                <w:rFonts w:hint="eastAsia" w:ascii="宋体" w:hAnsi="宋体" w:eastAsia="宋体" w:cs="宋体"/>
                <w:color w:val="auto"/>
                <w:sz w:val="24"/>
                <w:szCs w:val="24"/>
                <w:highlight w:val="none"/>
                <w:lang w:val="en-US" w:eastAsia="zh-CN"/>
              </w:rPr>
              <w:t>成本</w:t>
            </w:r>
            <w:r>
              <w:rPr>
                <w:rFonts w:hint="eastAsia" w:ascii="宋体" w:hAnsi="宋体" w:eastAsia="宋体" w:cs="宋体"/>
                <w:color w:val="auto"/>
                <w:sz w:val="24"/>
                <w:szCs w:val="24"/>
                <w:highlight w:val="none"/>
              </w:rPr>
              <w:t>降到最低</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方案有针对性</w:t>
            </w:r>
            <w:r>
              <w:rPr>
                <w:rFonts w:hint="eastAsia" w:ascii="宋体" w:hAnsi="宋体" w:eastAsia="宋体" w:cs="宋体"/>
                <w:color w:val="auto"/>
                <w:sz w:val="24"/>
                <w:szCs w:val="24"/>
                <w:highlight w:val="none"/>
              </w:rPr>
              <w:t>合理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满足施工需要</w:t>
            </w:r>
            <w:r>
              <w:rPr>
                <w:rFonts w:hint="eastAsia" w:ascii="宋体" w:hAnsi="宋体" w:eastAsia="宋体" w:cs="宋体"/>
                <w:color w:val="auto"/>
                <w:sz w:val="24"/>
                <w:szCs w:val="24"/>
                <w:highlight w:val="none"/>
                <w:lang w:val="en-US" w:eastAsia="zh-CN"/>
              </w:rPr>
              <w:t>且对施工有利的得5分；</w:t>
            </w:r>
          </w:p>
          <w:p w14:paraId="237AA77C">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②</w:t>
            </w:r>
            <w:r>
              <w:rPr>
                <w:rFonts w:hint="eastAsia" w:ascii="宋体" w:hAnsi="宋体" w:eastAsia="宋体" w:cs="宋体"/>
                <w:color w:val="auto"/>
                <w:sz w:val="24"/>
                <w:szCs w:val="24"/>
                <w:highlight w:val="none"/>
                <w:lang w:val="en-US" w:eastAsia="zh-CN"/>
              </w:rPr>
              <w:t>有详细的成本控制</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成本控制</w:t>
            </w:r>
            <w:r>
              <w:rPr>
                <w:rFonts w:hint="eastAsia" w:ascii="宋体" w:hAnsi="宋体" w:eastAsia="宋体" w:cs="宋体"/>
                <w:color w:val="auto"/>
                <w:sz w:val="24"/>
                <w:szCs w:val="24"/>
                <w:highlight w:val="none"/>
              </w:rPr>
              <w:t>措施合理，</w:t>
            </w:r>
            <w:r>
              <w:rPr>
                <w:rFonts w:hint="eastAsia" w:ascii="宋体" w:hAnsi="宋体" w:eastAsia="宋体" w:cs="宋体"/>
                <w:color w:val="auto"/>
                <w:sz w:val="24"/>
                <w:szCs w:val="24"/>
                <w:highlight w:val="none"/>
                <w:lang w:val="en-US" w:eastAsia="zh-CN"/>
              </w:rPr>
              <w:t>能</w:t>
            </w:r>
            <w:r>
              <w:rPr>
                <w:rFonts w:hint="eastAsia" w:ascii="宋体" w:hAnsi="宋体" w:eastAsia="宋体" w:cs="宋体"/>
                <w:color w:val="auto"/>
                <w:sz w:val="24"/>
                <w:szCs w:val="24"/>
                <w:highlight w:val="none"/>
              </w:rPr>
              <w:t>满足施工需要</w:t>
            </w:r>
            <w:r>
              <w:rPr>
                <w:rFonts w:hint="eastAsia" w:ascii="宋体" w:hAnsi="宋体" w:eastAsia="宋体" w:cs="宋体"/>
                <w:color w:val="auto"/>
                <w:sz w:val="24"/>
                <w:szCs w:val="24"/>
                <w:highlight w:val="none"/>
                <w:lang w:val="en-US" w:eastAsia="zh-CN"/>
              </w:rPr>
              <w:t>得4分；</w:t>
            </w:r>
          </w:p>
          <w:p w14:paraId="1A99CA70">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③</w:t>
            </w:r>
            <w:r>
              <w:rPr>
                <w:rFonts w:hint="eastAsia" w:ascii="宋体" w:hAnsi="宋体" w:eastAsia="宋体" w:cs="宋体"/>
                <w:color w:val="auto"/>
                <w:sz w:val="24"/>
                <w:szCs w:val="24"/>
                <w:highlight w:val="none"/>
                <w:lang w:val="en-US" w:eastAsia="zh-CN"/>
              </w:rPr>
              <w:t>有详细的成本控制</w:t>
            </w:r>
            <w:r>
              <w:rPr>
                <w:rFonts w:hint="eastAsia" w:ascii="宋体" w:hAnsi="宋体" w:eastAsia="宋体" w:cs="宋体"/>
                <w:color w:val="auto"/>
                <w:sz w:val="24"/>
                <w:szCs w:val="24"/>
                <w:highlight w:val="none"/>
              </w:rPr>
              <w:t>措施，</w:t>
            </w:r>
            <w:r>
              <w:rPr>
                <w:rFonts w:hint="eastAsia" w:ascii="宋体" w:hAnsi="宋体" w:eastAsia="宋体" w:cs="宋体"/>
                <w:color w:val="auto"/>
                <w:sz w:val="24"/>
                <w:szCs w:val="24"/>
                <w:highlight w:val="none"/>
                <w:lang w:val="en-US" w:eastAsia="zh-CN"/>
              </w:rPr>
              <w:t>但措施缺项有待完善的得3分。</w:t>
            </w:r>
          </w:p>
          <w:p w14:paraId="6FD14E1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w:t>
            </w:r>
            <w:r>
              <w:rPr>
                <w:rFonts w:hint="eastAsia" w:ascii="宋体" w:hAnsi="宋体" w:eastAsia="宋体" w:cs="宋体"/>
                <w:b w:val="0"/>
                <w:bCs w:val="0"/>
                <w:color w:val="auto"/>
                <w:sz w:val="24"/>
                <w:szCs w:val="24"/>
                <w:highlight w:val="none"/>
                <w:lang w:val="en-US" w:eastAsia="zh-CN"/>
              </w:rPr>
              <w:t>工作内容偏离项目需求、偏离客观现实或未提供的不得分。</w:t>
            </w:r>
          </w:p>
        </w:tc>
      </w:tr>
      <w:tr w14:paraId="223C9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7" w:hRule="atLeast"/>
        </w:trPr>
        <w:tc>
          <w:tcPr>
            <w:tcW w:w="787" w:type="dxa"/>
            <w:vMerge w:val="continue"/>
            <w:noWrap w:val="0"/>
            <w:vAlign w:val="center"/>
          </w:tcPr>
          <w:p w14:paraId="60FBDE28">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49027A48">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合同管理（5分）</w:t>
            </w:r>
          </w:p>
        </w:tc>
        <w:tc>
          <w:tcPr>
            <w:tcW w:w="7800" w:type="dxa"/>
            <w:noWrap w:val="0"/>
            <w:vAlign w:val="center"/>
          </w:tcPr>
          <w:p w14:paraId="3914C88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①有详细的合同管理方案或措施，合同管理方案或措施和项目实际需要适应度高，</w:t>
            </w:r>
            <w:r>
              <w:rPr>
                <w:rFonts w:hint="eastAsia" w:ascii="宋体" w:hAnsi="宋体" w:eastAsia="宋体" w:cs="宋体"/>
                <w:color w:val="auto"/>
                <w:sz w:val="24"/>
                <w:szCs w:val="24"/>
                <w:highlight w:val="none"/>
              </w:rPr>
              <w:t>周全、具体、有效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有针对性的得5分；</w:t>
            </w:r>
          </w:p>
          <w:p w14:paraId="6A2368E2">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②合同管理方案或措施</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清晰、完善的得4分；</w:t>
            </w:r>
          </w:p>
          <w:p w14:paraId="3B2B93F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③有合同管理方案或措施，但缺项或关键点缺失或出现非专门针对本项目特性内容的得3分；</w:t>
            </w:r>
          </w:p>
          <w:p w14:paraId="1738E0FC">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0FF771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3" w:hRule="atLeast"/>
        </w:trPr>
        <w:tc>
          <w:tcPr>
            <w:tcW w:w="787" w:type="dxa"/>
            <w:vMerge w:val="continue"/>
            <w:noWrap w:val="0"/>
            <w:vAlign w:val="center"/>
          </w:tcPr>
          <w:p w14:paraId="7DD984A6">
            <w:pPr>
              <w:spacing w:line="440" w:lineRule="exact"/>
              <w:jc w:val="center"/>
              <w:rPr>
                <w:rFonts w:hint="eastAsia" w:ascii="宋体" w:hAnsi="宋体" w:eastAsia="宋体" w:cs="宋体"/>
                <w:bCs/>
                <w:color w:val="auto"/>
                <w:kern w:val="2"/>
                <w:sz w:val="21"/>
                <w:szCs w:val="21"/>
                <w:highlight w:val="none"/>
                <w:lang w:val="en-US" w:eastAsia="zh-CN" w:bidi="ar-SA"/>
              </w:rPr>
            </w:pPr>
          </w:p>
        </w:tc>
        <w:tc>
          <w:tcPr>
            <w:tcW w:w="1313" w:type="dxa"/>
            <w:noWrap w:val="0"/>
            <w:vAlign w:val="center"/>
          </w:tcPr>
          <w:p w14:paraId="18A2D530">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合理化建议（5分）</w:t>
            </w:r>
          </w:p>
        </w:tc>
        <w:tc>
          <w:tcPr>
            <w:tcW w:w="7800" w:type="dxa"/>
            <w:noWrap w:val="0"/>
            <w:vAlign w:val="center"/>
          </w:tcPr>
          <w:p w14:paraId="6185597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①针对本工程特点，列出对本工程的建议，建议合理并且有具体的保证措施。</w:t>
            </w:r>
            <w:r>
              <w:rPr>
                <w:rFonts w:hint="eastAsia" w:ascii="宋体" w:hAnsi="宋体" w:eastAsia="宋体" w:cs="宋体"/>
                <w:color w:val="auto"/>
                <w:sz w:val="24"/>
                <w:szCs w:val="24"/>
                <w:highlight w:val="none"/>
              </w:rPr>
              <w:t>各项措施周全、具体、有效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有针对性的得5分；</w:t>
            </w:r>
          </w:p>
          <w:p w14:paraId="0965800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②针对本工程特点，列出本工程的建议，且有具体的保证措施。</w:t>
            </w:r>
            <w:r>
              <w:rPr>
                <w:rFonts w:hint="eastAsia" w:ascii="宋体" w:hAnsi="宋体" w:eastAsia="宋体" w:cs="宋体"/>
                <w:color w:val="auto"/>
                <w:sz w:val="24"/>
                <w:szCs w:val="24"/>
                <w:highlight w:val="none"/>
              </w:rPr>
              <w:t>各项措施内容</w:t>
            </w:r>
            <w:r>
              <w:rPr>
                <w:rFonts w:hint="eastAsia" w:ascii="宋体" w:hAnsi="宋体" w:eastAsia="宋体" w:cs="宋体"/>
                <w:color w:val="auto"/>
                <w:sz w:val="24"/>
                <w:szCs w:val="24"/>
                <w:highlight w:val="none"/>
                <w:lang w:val="en-US" w:eastAsia="zh-CN"/>
              </w:rPr>
              <w:t>清晰、完善的得4分；</w:t>
            </w:r>
          </w:p>
          <w:p w14:paraId="1330196A">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③对本项目建议分析不准确，缺乏理解的，得3分；</w:t>
            </w:r>
          </w:p>
          <w:p w14:paraId="7907540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4C9C8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8" w:hRule="atLeast"/>
        </w:trPr>
        <w:tc>
          <w:tcPr>
            <w:tcW w:w="787" w:type="dxa"/>
            <w:vMerge w:val="continue"/>
            <w:noWrap w:val="0"/>
            <w:vAlign w:val="center"/>
          </w:tcPr>
          <w:p w14:paraId="43C40B29">
            <w:pPr>
              <w:spacing w:line="440" w:lineRule="exact"/>
              <w:jc w:val="center"/>
              <w:rPr>
                <w:rFonts w:hint="eastAsia" w:ascii="宋体" w:hAnsi="宋体" w:eastAsia="宋体" w:cs="宋体"/>
                <w:bCs/>
                <w:color w:val="auto"/>
                <w:szCs w:val="21"/>
                <w:highlight w:val="none"/>
                <w:lang w:val="en-US" w:eastAsia="zh-CN"/>
              </w:rPr>
            </w:pPr>
          </w:p>
        </w:tc>
        <w:tc>
          <w:tcPr>
            <w:tcW w:w="1313" w:type="dxa"/>
            <w:noWrap w:val="0"/>
            <w:vAlign w:val="center"/>
          </w:tcPr>
          <w:p w14:paraId="6CCA6770">
            <w:pPr>
              <w:adjustRightInd w:val="0"/>
              <w:snapToGrid w:val="0"/>
              <w:spacing w:line="560" w:lineRule="exact"/>
              <w:jc w:val="left"/>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缺陷期服务（5分）</w:t>
            </w:r>
          </w:p>
        </w:tc>
        <w:tc>
          <w:tcPr>
            <w:tcW w:w="7800" w:type="dxa"/>
            <w:noWrap w:val="0"/>
            <w:vAlign w:val="center"/>
          </w:tcPr>
          <w:p w14:paraId="5AFE7669">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①有详细的施工缺陷责任期服务计划，包括但不限于维修、响应时间、人员安排等。</w:t>
            </w:r>
            <w:r>
              <w:rPr>
                <w:rFonts w:hint="eastAsia" w:ascii="宋体" w:hAnsi="宋体" w:eastAsia="宋体" w:cs="宋体"/>
                <w:color w:val="auto"/>
                <w:sz w:val="24"/>
                <w:szCs w:val="24"/>
                <w:highlight w:val="none"/>
              </w:rPr>
              <w:t>各项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周全、具体、有效</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有针对性的得5分；</w:t>
            </w:r>
          </w:p>
          <w:p w14:paraId="44A9C96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②有详细的施工缺陷责任期服务计划，</w:t>
            </w:r>
            <w:r>
              <w:rPr>
                <w:rFonts w:hint="eastAsia" w:ascii="宋体" w:hAnsi="宋体" w:eastAsia="宋体" w:cs="宋体"/>
                <w:color w:val="auto"/>
                <w:sz w:val="24"/>
                <w:szCs w:val="24"/>
                <w:highlight w:val="none"/>
              </w:rPr>
              <w:t>各项</w:t>
            </w:r>
            <w:r>
              <w:rPr>
                <w:rFonts w:hint="eastAsia" w:ascii="宋体" w:hAnsi="宋体" w:eastAsia="宋体" w:cs="宋体"/>
                <w:color w:val="auto"/>
                <w:sz w:val="24"/>
                <w:szCs w:val="24"/>
                <w:highlight w:val="none"/>
                <w:lang w:val="en-US" w:eastAsia="zh-CN"/>
              </w:rPr>
              <w:t>服务</w:t>
            </w:r>
            <w:r>
              <w:rPr>
                <w:rFonts w:hint="eastAsia" w:ascii="宋体" w:hAnsi="宋体" w:eastAsia="宋体" w:cs="宋体"/>
                <w:color w:val="auto"/>
                <w:sz w:val="24"/>
                <w:szCs w:val="24"/>
                <w:highlight w:val="none"/>
              </w:rPr>
              <w:t>内容</w:t>
            </w:r>
            <w:r>
              <w:rPr>
                <w:rFonts w:hint="eastAsia" w:ascii="宋体" w:hAnsi="宋体" w:eastAsia="宋体" w:cs="宋体"/>
                <w:color w:val="auto"/>
                <w:sz w:val="24"/>
                <w:szCs w:val="24"/>
                <w:highlight w:val="none"/>
                <w:lang w:val="en-US" w:eastAsia="zh-CN"/>
              </w:rPr>
              <w:t>清晰、完善的得4分；</w:t>
            </w:r>
          </w:p>
          <w:p w14:paraId="0DB2F163">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③有详细的施工缺陷责任期服务计划，但明显缺项或关键点缺失的得3分；</w:t>
            </w:r>
          </w:p>
          <w:p w14:paraId="5BF6C0E6">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④不能满足项目实施要求或未提供的不得分。</w:t>
            </w:r>
          </w:p>
        </w:tc>
      </w:tr>
      <w:tr w14:paraId="78348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3" w:hRule="atLeast"/>
        </w:trPr>
        <w:tc>
          <w:tcPr>
            <w:tcW w:w="787" w:type="dxa"/>
            <w:noWrap w:val="0"/>
            <w:vAlign w:val="center"/>
          </w:tcPr>
          <w:p w14:paraId="271CEBAE">
            <w:pPr>
              <w:spacing w:line="360" w:lineRule="auto"/>
              <w:jc w:val="center"/>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w:t>
            </w:r>
          </w:p>
          <w:p w14:paraId="5293678B">
            <w:pPr>
              <w:spacing w:line="360" w:lineRule="auto"/>
              <w:jc w:val="center"/>
              <w:rPr>
                <w:rFonts w:hint="eastAsia" w:ascii="宋体" w:hAnsi="宋体" w:eastAsia="宋体" w:cs="宋体"/>
                <w:b/>
                <w:bCs/>
                <w:color w:val="auto"/>
                <w:sz w:val="24"/>
                <w:highlight w:val="none"/>
                <w:lang w:val="en-US" w:eastAsia="zh-CN" w:bidi="ar-SA"/>
              </w:rPr>
            </w:pPr>
            <w:r>
              <w:rPr>
                <w:rFonts w:hint="eastAsia" w:ascii="宋体" w:hAnsi="宋体" w:eastAsia="宋体" w:cs="宋体"/>
                <w:color w:val="auto"/>
                <w:sz w:val="24"/>
                <w:highlight w:val="none"/>
              </w:rPr>
              <w:t>（</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分）</w:t>
            </w:r>
          </w:p>
        </w:tc>
        <w:tc>
          <w:tcPr>
            <w:tcW w:w="9113" w:type="dxa"/>
            <w:gridSpan w:val="2"/>
            <w:noWrap w:val="0"/>
            <w:vAlign w:val="center"/>
          </w:tcPr>
          <w:p w14:paraId="7192F1C1">
            <w:pPr>
              <w:spacing w:line="360" w:lineRule="auto"/>
              <w:rPr>
                <w:rFonts w:hint="eastAsia" w:ascii="宋体" w:hAnsi="宋体" w:eastAsia="宋体" w:cs="宋体"/>
                <w:color w:val="auto"/>
                <w:sz w:val="24"/>
                <w:highlight w:val="none"/>
              </w:rPr>
            </w:pPr>
            <w:r>
              <w:rPr>
                <w:rFonts w:hint="eastAsia" w:ascii="宋体" w:hAnsi="宋体" w:eastAsia="宋体" w:cs="宋体"/>
                <w:color w:val="auto"/>
                <w:sz w:val="24"/>
                <w:highlight w:val="none"/>
              </w:rPr>
              <w:t>价格分统一采用低价优先法，即满足磋商文件要求且最后报价最低的供应商的价格为磋商基准价，其价格分为满分</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分。其他供应商的价格分统一按照下列公式计算：</w:t>
            </w:r>
          </w:p>
          <w:p w14:paraId="3229D44F">
            <w:pPr>
              <w:spacing w:line="360" w:lineRule="auto"/>
              <w:rPr>
                <w:rFonts w:hint="eastAsia" w:ascii="宋体" w:hAnsi="宋体" w:eastAsia="宋体" w:cs="宋体"/>
                <w:b/>
                <w:bCs/>
                <w:color w:val="auto"/>
                <w:sz w:val="24"/>
                <w:highlight w:val="none"/>
                <w:lang w:val="en-US" w:eastAsia="zh-CN" w:bidi="ar-SA"/>
              </w:rPr>
            </w:pPr>
            <w:r>
              <w:rPr>
                <w:rFonts w:hint="eastAsia" w:ascii="宋体" w:hAnsi="宋体" w:eastAsia="宋体" w:cs="宋体"/>
                <w:color w:val="auto"/>
                <w:sz w:val="24"/>
                <w:highlight w:val="none"/>
              </w:rPr>
              <w:t>磋商报价得分＝（磋商基准价/最后磋商报价）×</w:t>
            </w:r>
            <w:r>
              <w:rPr>
                <w:rFonts w:hint="eastAsia" w:ascii="宋体" w:hAnsi="宋体" w:eastAsia="宋体" w:cs="宋体"/>
                <w:color w:val="auto"/>
                <w:sz w:val="24"/>
                <w:highlight w:val="none"/>
                <w:u w:val="single"/>
                <w:lang w:val="en-US" w:eastAsia="zh-CN"/>
              </w:rPr>
              <w:t>10</w:t>
            </w:r>
            <w:r>
              <w:rPr>
                <w:rFonts w:hint="eastAsia" w:ascii="宋体" w:hAnsi="宋体" w:eastAsia="宋体" w:cs="宋体"/>
                <w:color w:val="auto"/>
                <w:sz w:val="24"/>
                <w:highlight w:val="none"/>
              </w:rPr>
              <w:t>％×100</w:t>
            </w:r>
          </w:p>
        </w:tc>
      </w:tr>
    </w:tbl>
    <w:p w14:paraId="40A735BA">
      <w:pPr>
        <w:spacing w:line="360" w:lineRule="auto"/>
        <w:ind w:firstLine="435"/>
        <w:rPr>
          <w:rFonts w:hint="eastAsia" w:ascii="宋体" w:hAnsi="宋体" w:eastAsia="宋体" w:cs="宋体"/>
          <w:color w:val="auto"/>
          <w:sz w:val="24"/>
          <w:highlight w:val="none"/>
        </w:rPr>
      </w:pPr>
    </w:p>
    <w:p w14:paraId="484B3FC4">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2.2.3分值汇总</w:t>
      </w:r>
    </w:p>
    <w:p w14:paraId="7DD273BE">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（1）磋商小组各成员应当独立对每个有效响应的文件进行评价、打分，然后汇总每个供应商每项评分因素的得分，再取各位评委评分之平均值，四舍五入保留至小数点后两位数，得到该供应商的技术资信分。</w:t>
      </w:r>
    </w:p>
    <w:p w14:paraId="5F205B56">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（2）将每个供应商的技术资信分加上根据上述标准计算出的价格分，即为该供应商的综合总得分。</w:t>
      </w:r>
    </w:p>
    <w:p w14:paraId="09ED3382">
      <w:pPr>
        <w:spacing w:line="360" w:lineRule="auto"/>
        <w:ind w:firstLine="435"/>
        <w:rPr>
          <w:rFonts w:hint="eastAsia" w:ascii="宋体" w:hAnsi="宋体" w:eastAsia="宋体" w:cs="宋体"/>
          <w:b/>
          <w:bCs/>
          <w:color w:val="auto"/>
          <w:sz w:val="24"/>
          <w:highlight w:val="none"/>
          <w:lang w:val="en-US" w:eastAsia="zh-CN"/>
        </w:rPr>
      </w:pPr>
      <w:r>
        <w:rPr>
          <w:rFonts w:hint="eastAsia" w:ascii="宋体" w:hAnsi="宋体" w:eastAsia="宋体" w:cs="宋体"/>
          <w:b/>
          <w:bCs/>
          <w:color w:val="auto"/>
          <w:sz w:val="24"/>
          <w:highlight w:val="none"/>
          <w:lang w:val="en-US" w:eastAsia="zh-CN"/>
        </w:rPr>
        <w:t>三、无效条款</w:t>
      </w:r>
    </w:p>
    <w:p w14:paraId="2A3316F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3.1响应文件有下列情形之一的,其响应文件拒收:</w:t>
      </w:r>
    </w:p>
    <w:p w14:paraId="1037CBA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（1）未在提交首次响应文件截止时间前通过网上招标投标系统递交有效电子响应文件的，网上开标系统不予接收。出现上述情况的，响应将被拒绝。</w:t>
      </w:r>
    </w:p>
    <w:p w14:paraId="77658FD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接到远程解密指令后，须在规定时间内解密。因供应商自身原因导致响应文件在规定时间内未能解密、解密失败或解密超时，响应文件无效；解密时间：从本项目响应文件提交截止时间开始计时，至完成响应文件解密时间，不得超过60分钟，否则响应文件将被拒绝。</w:t>
      </w:r>
    </w:p>
    <w:p w14:paraId="0AFFA5D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8.2供应商有下列情形之一的,资格审查后其投标作无效响应处理：</w:t>
      </w:r>
    </w:p>
    <w:p w14:paraId="074C0D7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（1）为本项目提供采购代理服务的；</w:t>
      </w:r>
    </w:p>
    <w:p w14:paraId="3526D53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（2）供应商与在本项目代理机构存在相互任职或工作的；</w:t>
      </w:r>
    </w:p>
    <w:p w14:paraId="4E2E6F9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（3）磋商公告写明专门面向中小企业采购，供应商提供的服务非中小企业承接的；</w:t>
      </w:r>
    </w:p>
    <w:p w14:paraId="21AA6C73">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（4）要求供应商以联合体形式参加采购活动，供应商非联合体或者联合协议中中小企业合同金额未达到应当达到的比例；</w:t>
      </w:r>
    </w:p>
    <w:p w14:paraId="23DDC10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(5)要求获得采购合同的供应商向中小企业分包，供应商未提供分包意向协议或者分包意向协议中中小企业合同金额未达到应当达到的比例；</w:t>
      </w:r>
    </w:p>
    <w:p w14:paraId="057739A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(6)评标专家无法查看并检验电子响应文件中相关资料的；</w:t>
      </w:r>
    </w:p>
    <w:p w14:paraId="7CCFC13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(7)联合体投标未提交联合体协议的；</w:t>
      </w:r>
    </w:p>
    <w:p w14:paraId="1BFAF14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(8)被责令停产停业的；</w:t>
      </w:r>
    </w:p>
    <w:p w14:paraId="34D1276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(9)被暂停或取消参与政府采购项目资格的；</w:t>
      </w:r>
    </w:p>
    <w:p w14:paraId="6DB8966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(10)供应商单位负责人为同一人或者存在直接控股、管理关系的不同单位的；</w:t>
      </w:r>
    </w:p>
    <w:p w14:paraId="1F3A40A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(11)供应商基本资格条件和特定资格条件中有一项及以上不符合要求的；</w:t>
      </w:r>
    </w:p>
    <w:p w14:paraId="0515BA4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(12)评审时查询响应文件制作机器码、文件创建标识码及造价软件加密锁号。若存在响应文件制作机器码或创建标识码或造价软件加密锁号信息与其他供应商雷同的，响应无效、进行信用信息披露，行政监管部门将依据线索依法查处； </w:t>
      </w:r>
    </w:p>
    <w:p w14:paraId="6BD52D4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(13)供应商投标MAC地址或供应商联系人或联系电话相同的，由磋商小组否决其响应，并报告监管部门作不良行为处理和进一步调查； </w:t>
      </w:r>
    </w:p>
    <w:p w14:paraId="7CB1BF6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 xml:space="preserve">(14)供应商单方面出现其他供应商材料的； </w:t>
      </w:r>
    </w:p>
    <w:p w14:paraId="07F8D4A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(15)其它情形，经磋商小组提出按无效响应处理，并经公共资源交易监督部门核准的；</w:t>
      </w:r>
    </w:p>
    <w:p w14:paraId="4D5C683E">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(16)磋商文件规定的其它无效响应情形。</w:t>
      </w:r>
    </w:p>
    <w:p w14:paraId="61AC0E4D">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8.3 供应商有下列情形之一的,符合性审查后其投标按无效响应处理：</w:t>
      </w:r>
    </w:p>
    <w:p w14:paraId="501D038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（1）响应文件签章不全，经磋商小组一致认定对开评标内容有实质性影响并经公共资源交易监督部门核准的；</w:t>
      </w:r>
    </w:p>
    <w:p w14:paraId="1DAE103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（2）未按规定的格式填写导致实质性内容不全以及实质上不响应，或者关键字迹模糊、无法辨认； 经公共资源交易监督部门核准的；</w:t>
      </w:r>
    </w:p>
    <w:p w14:paraId="1E8EFBFC">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（3）同一供应商提交两个以上不同的响应文件或者响应报价，但磋商文件规定提交备选方案的除外；</w:t>
      </w:r>
    </w:p>
    <w:p w14:paraId="63101E2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（4）响应文件没有对磋商文件的实质性要求和条件作出响应；</w:t>
      </w:r>
    </w:p>
    <w:p w14:paraId="0E7C8DD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（5）报价超出规定的最高限价或公布的采购预算的或供应商的报价各项单价高于磋商文件给定的单价最高限价；</w:t>
      </w:r>
    </w:p>
    <w:p w14:paraId="6594FE0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（6）不按磋商小组要求澄清、说明或补正的，或者磋商小组根据磋商文件的规定对响应文件的计算错误进行修正后，供应商不接受修正的报价的。</w:t>
      </w:r>
    </w:p>
    <w:p w14:paraId="536D13E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（7）其它情形，经磋商小组委提出按无效响应处理，并经公共资源交易监督部门核准的；</w:t>
      </w:r>
    </w:p>
    <w:p w14:paraId="74806EF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（8）响应文件含有采购人不能接受的附加条件的；</w:t>
      </w:r>
    </w:p>
    <w:p w14:paraId="3B5BF0CA">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（9）磋商文件规定的其它无效响应情形。</w:t>
      </w:r>
    </w:p>
    <w:p w14:paraId="191AF831">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8.4 供应商有下列情形之一的, 详细评审后其投标按无效响应处理：</w:t>
      </w:r>
    </w:p>
    <w:p w14:paraId="110AF277">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（1）产品不符合必须强制执行的国家标准的；</w:t>
      </w:r>
    </w:p>
    <w:p w14:paraId="0D510C59">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（2）供应商有串通投标、弄虚作假、行贿等违法行为；</w:t>
      </w:r>
    </w:p>
    <w:p w14:paraId="23D68F5F">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（3）响应文件含有违反国家法律、法规的内容，或附有采购人不能接受的条件的；</w:t>
      </w:r>
    </w:p>
    <w:p w14:paraId="776E55F4">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（4）报价明显低于其他供应商，且不能证明报价合理性的响应无效；</w:t>
      </w:r>
    </w:p>
    <w:p w14:paraId="2AB71FD5">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（5）拒不确认磋商小组评审修正的投标无效；</w:t>
      </w:r>
    </w:p>
    <w:p w14:paraId="6A07067B">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（6）其它情形，经磋商小组提出按无效响应处理，并经公共资源交易监督部门核准的；</w:t>
      </w:r>
    </w:p>
    <w:p w14:paraId="5D139D28">
      <w:pPr>
        <w:spacing w:line="360" w:lineRule="auto"/>
        <w:ind w:firstLine="435"/>
        <w:rPr>
          <w:rFonts w:hint="eastAsia" w:ascii="宋体" w:hAnsi="宋体" w:eastAsia="宋体" w:cs="宋体"/>
          <w:color w:val="auto"/>
          <w:sz w:val="24"/>
          <w:highlight w:val="none"/>
          <w:lang w:val="en-US" w:eastAsia="zh-CN"/>
        </w:rPr>
      </w:pPr>
      <w:r>
        <w:rPr>
          <w:rFonts w:hint="eastAsia" w:ascii="宋体" w:hAnsi="宋体" w:eastAsia="宋体" w:cs="宋体"/>
          <w:color w:val="auto"/>
          <w:sz w:val="24"/>
          <w:highlight w:val="none"/>
          <w:lang w:val="en-US" w:eastAsia="zh-CN"/>
        </w:rPr>
        <w:t>（7）磋商文件规定的其它无效响应情形。</w:t>
      </w:r>
    </w:p>
    <w:p w14:paraId="5EC59EB0">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6D7FCD05">
      <w:pPr>
        <w:widowControl/>
        <w:jc w:val="center"/>
        <w:rPr>
          <w:rFonts w:hint="eastAsia" w:ascii="宋体" w:hAnsi="宋体" w:eastAsia="宋体" w:cs="宋体"/>
          <w:b/>
          <w:sz w:val="32"/>
        </w:rPr>
      </w:pPr>
      <w:bookmarkStart w:id="37" w:name="_Toc31277"/>
      <w:r>
        <w:rPr>
          <w:rFonts w:hint="eastAsia" w:ascii="宋体" w:hAnsi="宋体" w:eastAsia="宋体" w:cs="宋体"/>
          <w:b/>
          <w:color w:val="auto"/>
          <w:sz w:val="28"/>
          <w:highlight w:val="none"/>
        </w:rPr>
        <w:t>第五章  政府采购合同</w:t>
      </w:r>
      <w:bookmarkEnd w:id="37"/>
      <w:bookmarkStart w:id="38" w:name="_Toc470528208"/>
      <w:bookmarkStart w:id="39" w:name="_Toc29918569"/>
      <w:bookmarkStart w:id="40" w:name="_Toc247085768"/>
      <w:bookmarkStart w:id="41" w:name="_Toc152045610"/>
      <w:bookmarkStart w:id="42" w:name="_Toc152042388"/>
      <w:bookmarkStart w:id="43" w:name="_Toc179632628"/>
      <w:bookmarkStart w:id="44" w:name="_Toc144974578"/>
      <w:bookmarkStart w:id="45" w:name="_Toc246996996"/>
      <w:bookmarkStart w:id="46" w:name="_Toc246996253"/>
    </w:p>
    <w:p w14:paraId="7B0E0F4A">
      <w:pPr>
        <w:spacing w:line="480" w:lineRule="auto"/>
        <w:jc w:val="center"/>
        <w:rPr>
          <w:rFonts w:hint="eastAsia" w:ascii="宋体" w:hAnsi="宋体" w:eastAsia="宋体" w:cs="宋体"/>
          <w:b/>
          <w:sz w:val="32"/>
        </w:rPr>
      </w:pPr>
      <w:r>
        <w:rPr>
          <w:rFonts w:hint="eastAsia" w:ascii="宋体" w:hAnsi="宋体" w:eastAsia="宋体" w:cs="宋体"/>
          <w:b/>
          <w:sz w:val="32"/>
        </w:rPr>
        <w:t>第一节 合同协议书</w:t>
      </w:r>
      <w:bookmarkEnd w:id="38"/>
      <w:bookmarkEnd w:id="39"/>
    </w:p>
    <w:bookmarkEnd w:id="40"/>
    <w:bookmarkEnd w:id="41"/>
    <w:bookmarkEnd w:id="42"/>
    <w:bookmarkEnd w:id="43"/>
    <w:bookmarkEnd w:id="44"/>
    <w:bookmarkEnd w:id="45"/>
    <w:bookmarkEnd w:id="46"/>
    <w:p w14:paraId="5B6C6E2B">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_____________</w:t>
      </w:r>
      <w:r>
        <w:rPr>
          <w:rStyle w:val="95"/>
          <w:rFonts w:hint="eastAsia" w:ascii="宋体" w:hAnsi="宋体" w:eastAsia="宋体" w:cs="宋体"/>
          <w:szCs w:val="28"/>
        </w:rPr>
        <w:t>（发包人名称，以下简称</w:t>
      </w:r>
      <w:r>
        <w:rPr>
          <w:rStyle w:val="278"/>
          <w:rFonts w:hint="eastAsia" w:ascii="宋体" w:hAnsi="宋体" w:eastAsia="宋体" w:cs="宋体"/>
          <w:szCs w:val="28"/>
        </w:rPr>
        <w:t>“</w:t>
      </w:r>
      <w:r>
        <w:rPr>
          <w:rStyle w:val="95"/>
          <w:rFonts w:hint="eastAsia" w:ascii="宋体" w:hAnsi="宋体" w:eastAsia="宋体" w:cs="宋体"/>
          <w:szCs w:val="28"/>
        </w:rPr>
        <w:t>发包人</w:t>
      </w:r>
      <w:r>
        <w:rPr>
          <w:rStyle w:val="278"/>
          <w:rFonts w:hint="eastAsia" w:ascii="宋体" w:hAnsi="宋体" w:eastAsia="宋体" w:cs="宋体"/>
          <w:szCs w:val="28"/>
        </w:rPr>
        <w:t>”</w:t>
      </w:r>
      <w:r>
        <w:rPr>
          <w:rStyle w:val="95"/>
          <w:rFonts w:hint="eastAsia" w:ascii="宋体" w:hAnsi="宋体" w:eastAsia="宋体" w:cs="宋体"/>
          <w:szCs w:val="28"/>
        </w:rPr>
        <w:t>） 为实施__________（项目名称），已接受_____________（承包人名称，以下简称</w:t>
      </w:r>
      <w:r>
        <w:rPr>
          <w:rStyle w:val="278"/>
          <w:rFonts w:hint="eastAsia" w:ascii="宋体" w:hAnsi="宋体" w:eastAsia="宋体" w:cs="宋体"/>
          <w:szCs w:val="28"/>
        </w:rPr>
        <w:t>“</w:t>
      </w:r>
      <w:r>
        <w:rPr>
          <w:rStyle w:val="95"/>
          <w:rFonts w:hint="eastAsia" w:ascii="宋体" w:hAnsi="宋体" w:eastAsia="宋体" w:cs="宋体"/>
          <w:szCs w:val="28"/>
        </w:rPr>
        <w:t>承包人</w:t>
      </w:r>
      <w:r>
        <w:rPr>
          <w:rStyle w:val="278"/>
          <w:rFonts w:hint="eastAsia" w:ascii="宋体" w:hAnsi="宋体" w:eastAsia="宋体" w:cs="宋体"/>
          <w:szCs w:val="28"/>
        </w:rPr>
        <w:t>”</w:t>
      </w:r>
      <w:r>
        <w:rPr>
          <w:rStyle w:val="95"/>
          <w:rFonts w:hint="eastAsia" w:ascii="宋体" w:hAnsi="宋体" w:eastAsia="宋体" w:cs="宋体"/>
          <w:szCs w:val="28"/>
        </w:rPr>
        <w:t>）对该项目__</w:t>
      </w:r>
      <w:r>
        <w:rPr>
          <w:rStyle w:val="95"/>
          <w:rFonts w:hint="eastAsia" w:ascii="宋体" w:hAnsi="宋体" w:eastAsia="宋体" w:cs="宋体"/>
          <w:szCs w:val="28"/>
          <w:u w:val="single"/>
        </w:rPr>
        <w:t xml:space="preserve">   </w:t>
      </w:r>
      <w:r>
        <w:rPr>
          <w:rStyle w:val="95"/>
          <w:rFonts w:hint="eastAsia" w:ascii="宋体" w:hAnsi="宋体" w:eastAsia="宋体" w:cs="宋体"/>
          <w:szCs w:val="28"/>
        </w:rPr>
        <w:t>__施工的投标。发包人和承包人共同达成如下协议。</w:t>
      </w:r>
    </w:p>
    <w:p w14:paraId="6BCFD5AB">
      <w:pPr>
        <w:spacing w:line="480" w:lineRule="exact"/>
        <w:ind w:firstLine="480" w:firstLineChars="200"/>
        <w:rPr>
          <w:rStyle w:val="278"/>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1.项目概况：</w:t>
      </w:r>
    </w:p>
    <w:p w14:paraId="0B053C57">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2.</w:t>
      </w:r>
      <w:r>
        <w:rPr>
          <w:rStyle w:val="95"/>
          <w:rFonts w:hint="eastAsia" w:ascii="宋体" w:hAnsi="宋体" w:eastAsia="宋体" w:cs="宋体"/>
          <w:szCs w:val="28"/>
        </w:rPr>
        <w:t>下列文件应视为构成合同文件的组成部分：</w:t>
      </w:r>
    </w:p>
    <w:p w14:paraId="4EB22BC8">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95"/>
          <w:rFonts w:hint="eastAsia" w:ascii="宋体" w:hAnsi="宋体" w:eastAsia="宋体" w:cs="宋体"/>
          <w:szCs w:val="28"/>
        </w:rPr>
        <w:t>（</w:t>
      </w:r>
      <w:r>
        <w:rPr>
          <w:rStyle w:val="278"/>
          <w:rFonts w:hint="eastAsia" w:ascii="宋体" w:hAnsi="宋体" w:eastAsia="宋体" w:cs="宋体"/>
          <w:szCs w:val="28"/>
        </w:rPr>
        <w:t>1</w:t>
      </w:r>
      <w:r>
        <w:rPr>
          <w:rStyle w:val="95"/>
          <w:rFonts w:hint="eastAsia" w:ascii="宋体" w:hAnsi="宋体" w:eastAsia="宋体" w:cs="宋体"/>
          <w:szCs w:val="28"/>
        </w:rPr>
        <w:t>）本协议书及各种合同附件（ 含评标期间和合同谈判过程中的澄清文件和补充资料）；</w:t>
      </w:r>
    </w:p>
    <w:p w14:paraId="7C9F698F">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95"/>
          <w:rFonts w:hint="eastAsia" w:ascii="宋体" w:hAnsi="宋体" w:eastAsia="宋体" w:cs="宋体"/>
          <w:szCs w:val="28"/>
        </w:rPr>
        <w:t>（</w:t>
      </w:r>
      <w:r>
        <w:rPr>
          <w:rStyle w:val="278"/>
          <w:rFonts w:hint="eastAsia" w:ascii="宋体" w:hAnsi="宋体" w:eastAsia="宋体" w:cs="宋体"/>
          <w:szCs w:val="28"/>
        </w:rPr>
        <w:t>2</w:t>
      </w:r>
      <w:r>
        <w:rPr>
          <w:rStyle w:val="95"/>
          <w:rFonts w:hint="eastAsia" w:ascii="宋体" w:hAnsi="宋体" w:eastAsia="宋体" w:cs="宋体"/>
          <w:szCs w:val="28"/>
        </w:rPr>
        <w:t>）</w:t>
      </w:r>
      <w:r>
        <w:rPr>
          <w:rStyle w:val="95"/>
          <w:rFonts w:hint="eastAsia" w:ascii="宋体" w:hAnsi="宋体" w:eastAsia="宋体" w:cs="宋体"/>
          <w:szCs w:val="28"/>
          <w:lang w:val="en-US" w:eastAsia="zh-CN"/>
        </w:rPr>
        <w:t>成交</w:t>
      </w:r>
      <w:r>
        <w:rPr>
          <w:rStyle w:val="95"/>
          <w:rFonts w:hint="eastAsia" w:ascii="宋体" w:hAnsi="宋体" w:eastAsia="宋体" w:cs="宋体"/>
          <w:szCs w:val="28"/>
        </w:rPr>
        <w:t>通知书；</w:t>
      </w:r>
    </w:p>
    <w:p w14:paraId="392FAD94">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95"/>
          <w:rFonts w:hint="eastAsia" w:ascii="宋体" w:hAnsi="宋体" w:eastAsia="宋体" w:cs="宋体"/>
          <w:szCs w:val="28"/>
        </w:rPr>
        <w:t>（</w:t>
      </w:r>
      <w:r>
        <w:rPr>
          <w:rStyle w:val="278"/>
          <w:rFonts w:hint="eastAsia" w:ascii="宋体" w:hAnsi="宋体" w:eastAsia="宋体" w:cs="宋体"/>
          <w:szCs w:val="28"/>
        </w:rPr>
        <w:t>3</w:t>
      </w:r>
      <w:r>
        <w:rPr>
          <w:rStyle w:val="95"/>
          <w:rFonts w:hint="eastAsia" w:ascii="宋体" w:hAnsi="宋体" w:eastAsia="宋体" w:cs="宋体"/>
          <w:szCs w:val="28"/>
        </w:rPr>
        <w:t>）</w:t>
      </w:r>
      <w:r>
        <w:rPr>
          <w:rStyle w:val="95"/>
          <w:rFonts w:hint="eastAsia" w:ascii="宋体" w:hAnsi="宋体" w:eastAsia="宋体" w:cs="宋体"/>
          <w:szCs w:val="28"/>
          <w:lang w:val="en-US" w:eastAsia="zh-CN"/>
        </w:rPr>
        <w:t>响应函</w:t>
      </w:r>
      <w:r>
        <w:rPr>
          <w:rStyle w:val="95"/>
          <w:rFonts w:hint="eastAsia" w:ascii="宋体" w:hAnsi="宋体" w:eastAsia="宋体" w:cs="宋体"/>
          <w:szCs w:val="28"/>
        </w:rPr>
        <w:t>；</w:t>
      </w:r>
    </w:p>
    <w:p w14:paraId="39FE8D61">
      <w:pPr>
        <w:spacing w:line="480" w:lineRule="exact"/>
        <w:ind w:firstLine="480" w:firstLineChars="200"/>
        <w:rPr>
          <w:rFonts w:hint="eastAsia" w:ascii="宋体" w:hAnsi="宋体" w:eastAsia="宋体" w:cs="宋体"/>
          <w:color w:val="000000"/>
          <w:sz w:val="24"/>
          <w:szCs w:val="28"/>
        </w:rPr>
      </w:pPr>
      <w:r>
        <w:rPr>
          <w:rFonts w:hint="eastAsia" w:ascii="宋体" w:hAnsi="宋体" w:eastAsia="宋体" w:cs="宋体"/>
          <w:color w:val="000000"/>
          <w:sz w:val="24"/>
          <w:szCs w:val="28"/>
        </w:rPr>
        <w:t xml:space="preserve">   </w:t>
      </w:r>
      <w:r>
        <w:rPr>
          <w:rStyle w:val="95"/>
          <w:rFonts w:hint="eastAsia" w:ascii="宋体" w:hAnsi="宋体" w:eastAsia="宋体" w:cs="宋体"/>
          <w:szCs w:val="28"/>
        </w:rPr>
        <w:t>（</w:t>
      </w:r>
      <w:r>
        <w:rPr>
          <w:rStyle w:val="278"/>
          <w:rFonts w:hint="eastAsia" w:ascii="宋体" w:hAnsi="宋体" w:eastAsia="宋体" w:cs="宋体"/>
          <w:szCs w:val="28"/>
        </w:rPr>
        <w:t>4</w:t>
      </w:r>
      <w:r>
        <w:rPr>
          <w:rStyle w:val="95"/>
          <w:rFonts w:hint="eastAsia" w:ascii="宋体" w:hAnsi="宋体" w:eastAsia="宋体" w:cs="宋体"/>
          <w:szCs w:val="28"/>
        </w:rPr>
        <w:t>）项目专用合同条款；</w:t>
      </w:r>
    </w:p>
    <w:p w14:paraId="7C7E33C6">
      <w:pPr>
        <w:spacing w:line="480" w:lineRule="exact"/>
        <w:ind w:firstLine="330" w:firstLineChars="150"/>
        <w:rPr>
          <w:rFonts w:hint="eastAsia" w:ascii="宋体" w:hAnsi="宋体" w:eastAsia="宋体" w:cs="宋体"/>
          <w:color w:val="000000"/>
          <w:sz w:val="24"/>
          <w:szCs w:val="28"/>
        </w:rPr>
      </w:pPr>
      <w:r>
        <w:rPr>
          <w:rStyle w:val="95"/>
          <w:rFonts w:hint="eastAsia" w:ascii="宋体" w:hAnsi="宋体" w:eastAsia="宋体" w:cs="宋体"/>
          <w:szCs w:val="28"/>
        </w:rPr>
        <w:t>（</w:t>
      </w:r>
      <w:r>
        <w:rPr>
          <w:rStyle w:val="278"/>
          <w:rFonts w:hint="eastAsia" w:ascii="宋体" w:hAnsi="宋体" w:eastAsia="宋体" w:cs="宋体"/>
          <w:szCs w:val="28"/>
        </w:rPr>
        <w:t>5</w:t>
      </w:r>
      <w:r>
        <w:rPr>
          <w:rStyle w:val="95"/>
          <w:rFonts w:hint="eastAsia" w:ascii="宋体" w:hAnsi="宋体" w:eastAsia="宋体" w:cs="宋体"/>
          <w:szCs w:val="28"/>
        </w:rPr>
        <w:t>）公路工程专用合同条款；</w:t>
      </w:r>
    </w:p>
    <w:p w14:paraId="140C162E">
      <w:pPr>
        <w:spacing w:line="480" w:lineRule="exact"/>
        <w:ind w:left="400" w:leftChars="200"/>
        <w:rPr>
          <w:rStyle w:val="95"/>
          <w:rFonts w:hint="eastAsia" w:ascii="宋体" w:hAnsi="宋体" w:eastAsia="宋体" w:cs="宋体"/>
          <w:szCs w:val="28"/>
          <w:lang w:eastAsia="zh-CN"/>
        </w:rPr>
      </w:pPr>
      <w:r>
        <w:rPr>
          <w:rStyle w:val="95"/>
          <w:rFonts w:hint="eastAsia" w:ascii="宋体" w:hAnsi="宋体" w:eastAsia="宋体" w:cs="宋体"/>
          <w:szCs w:val="28"/>
        </w:rPr>
        <w:t>（</w:t>
      </w:r>
      <w:r>
        <w:rPr>
          <w:rStyle w:val="278"/>
          <w:rFonts w:hint="eastAsia" w:ascii="宋体" w:hAnsi="宋体" w:eastAsia="宋体" w:cs="宋体"/>
          <w:szCs w:val="28"/>
        </w:rPr>
        <w:t>6</w:t>
      </w:r>
      <w:r>
        <w:rPr>
          <w:rStyle w:val="95"/>
          <w:rFonts w:hint="eastAsia" w:ascii="宋体" w:hAnsi="宋体" w:eastAsia="宋体" w:cs="宋体"/>
          <w:szCs w:val="28"/>
        </w:rPr>
        <w:t>）通用合同条款；</w:t>
      </w:r>
    </w:p>
    <w:p w14:paraId="596B133C">
      <w:pPr>
        <w:spacing w:line="480" w:lineRule="exact"/>
        <w:ind w:left="400" w:leftChars="200"/>
        <w:rPr>
          <w:rStyle w:val="95"/>
          <w:rFonts w:hint="eastAsia" w:ascii="宋体" w:hAnsi="宋体" w:eastAsia="宋体" w:cs="宋体"/>
          <w:szCs w:val="28"/>
          <w:lang w:eastAsia="zh-CN"/>
        </w:rPr>
      </w:pPr>
      <w:r>
        <w:rPr>
          <w:rStyle w:val="95"/>
          <w:rFonts w:hint="eastAsia" w:ascii="宋体" w:hAnsi="宋体" w:eastAsia="宋体" w:cs="宋体"/>
          <w:szCs w:val="28"/>
        </w:rPr>
        <w:t>（</w:t>
      </w:r>
      <w:r>
        <w:rPr>
          <w:rStyle w:val="278"/>
          <w:rFonts w:hint="eastAsia" w:ascii="宋体" w:hAnsi="宋体" w:eastAsia="宋体" w:cs="宋体"/>
          <w:szCs w:val="28"/>
        </w:rPr>
        <w:t>7</w:t>
      </w:r>
      <w:r>
        <w:rPr>
          <w:rStyle w:val="95"/>
          <w:rFonts w:hint="eastAsia" w:ascii="宋体" w:hAnsi="宋体" w:eastAsia="宋体" w:cs="宋体"/>
          <w:szCs w:val="28"/>
        </w:rPr>
        <w:t>）工程量清单计量规则；</w:t>
      </w:r>
    </w:p>
    <w:p w14:paraId="15526F6C">
      <w:pPr>
        <w:spacing w:line="480" w:lineRule="exact"/>
        <w:ind w:left="400" w:leftChars="200"/>
        <w:rPr>
          <w:rStyle w:val="95"/>
          <w:rFonts w:hint="eastAsia" w:ascii="宋体" w:hAnsi="宋体" w:eastAsia="宋体" w:cs="宋体"/>
          <w:szCs w:val="28"/>
          <w:lang w:eastAsia="zh-CN"/>
        </w:rPr>
      </w:pPr>
      <w:r>
        <w:rPr>
          <w:rStyle w:val="95"/>
          <w:rFonts w:hint="eastAsia" w:ascii="宋体" w:hAnsi="宋体" w:eastAsia="宋体" w:cs="宋体"/>
          <w:szCs w:val="28"/>
        </w:rPr>
        <w:t>（</w:t>
      </w:r>
      <w:r>
        <w:rPr>
          <w:rStyle w:val="278"/>
          <w:rFonts w:hint="eastAsia" w:ascii="宋体" w:hAnsi="宋体" w:eastAsia="宋体" w:cs="宋体"/>
          <w:szCs w:val="28"/>
        </w:rPr>
        <w:t>8</w:t>
      </w:r>
      <w:r>
        <w:rPr>
          <w:rStyle w:val="95"/>
          <w:rFonts w:hint="eastAsia" w:ascii="宋体" w:hAnsi="宋体" w:eastAsia="宋体" w:cs="宋体"/>
          <w:szCs w:val="28"/>
        </w:rPr>
        <w:t>）技术规范；</w:t>
      </w:r>
    </w:p>
    <w:p w14:paraId="31D1F52D">
      <w:pPr>
        <w:spacing w:line="480" w:lineRule="exact"/>
        <w:ind w:left="400" w:leftChars="200"/>
        <w:rPr>
          <w:rStyle w:val="95"/>
          <w:rFonts w:hint="eastAsia" w:ascii="宋体" w:hAnsi="宋体" w:eastAsia="宋体" w:cs="宋体"/>
          <w:szCs w:val="28"/>
          <w:lang w:eastAsia="zh-CN"/>
        </w:rPr>
      </w:pPr>
      <w:r>
        <w:rPr>
          <w:rStyle w:val="95"/>
          <w:rFonts w:hint="eastAsia" w:ascii="宋体" w:hAnsi="宋体" w:eastAsia="宋体" w:cs="宋体"/>
          <w:szCs w:val="28"/>
        </w:rPr>
        <w:t>（</w:t>
      </w:r>
      <w:r>
        <w:rPr>
          <w:rStyle w:val="278"/>
          <w:rFonts w:hint="eastAsia" w:ascii="宋体" w:hAnsi="宋体" w:eastAsia="宋体" w:cs="宋体"/>
          <w:szCs w:val="28"/>
        </w:rPr>
        <w:t>9</w:t>
      </w:r>
      <w:r>
        <w:rPr>
          <w:rStyle w:val="95"/>
          <w:rFonts w:hint="eastAsia" w:ascii="宋体" w:hAnsi="宋体" w:eastAsia="宋体" w:cs="宋体"/>
          <w:szCs w:val="28"/>
        </w:rPr>
        <w:t>）图纸；</w:t>
      </w:r>
    </w:p>
    <w:p w14:paraId="2C03350C">
      <w:pPr>
        <w:spacing w:line="480" w:lineRule="exact"/>
        <w:ind w:left="400" w:leftChars="200"/>
        <w:rPr>
          <w:rStyle w:val="95"/>
          <w:rFonts w:hint="eastAsia" w:ascii="宋体" w:hAnsi="宋体" w:eastAsia="宋体" w:cs="宋体"/>
          <w:szCs w:val="28"/>
          <w:lang w:eastAsia="zh-CN"/>
        </w:rPr>
      </w:pPr>
      <w:r>
        <w:rPr>
          <w:rStyle w:val="95"/>
          <w:rFonts w:hint="eastAsia" w:ascii="宋体" w:hAnsi="宋体" w:eastAsia="宋体" w:cs="宋体"/>
          <w:szCs w:val="28"/>
        </w:rPr>
        <w:t>（</w:t>
      </w:r>
      <w:r>
        <w:rPr>
          <w:rStyle w:val="278"/>
          <w:rFonts w:hint="eastAsia" w:ascii="宋体" w:hAnsi="宋体" w:eastAsia="宋体" w:cs="宋体"/>
          <w:szCs w:val="28"/>
        </w:rPr>
        <w:t>10</w:t>
      </w:r>
      <w:r>
        <w:rPr>
          <w:rStyle w:val="95"/>
          <w:rFonts w:hint="eastAsia" w:ascii="宋体" w:hAnsi="宋体" w:eastAsia="宋体" w:cs="宋体"/>
          <w:szCs w:val="28"/>
        </w:rPr>
        <w:t>）已标价工程量清单；</w:t>
      </w:r>
    </w:p>
    <w:p w14:paraId="274B9806">
      <w:pPr>
        <w:spacing w:line="480" w:lineRule="exact"/>
        <w:ind w:left="400" w:leftChars="200"/>
        <w:rPr>
          <w:rFonts w:hint="eastAsia" w:ascii="宋体" w:hAnsi="宋体" w:eastAsia="宋体" w:cs="宋体"/>
          <w:color w:val="000000"/>
          <w:sz w:val="24"/>
          <w:szCs w:val="28"/>
        </w:rPr>
      </w:pPr>
      <w:r>
        <w:rPr>
          <w:rStyle w:val="95"/>
          <w:rFonts w:hint="eastAsia" w:ascii="宋体" w:hAnsi="宋体" w:eastAsia="宋体" w:cs="宋体"/>
          <w:szCs w:val="28"/>
        </w:rPr>
        <w:t>（</w:t>
      </w:r>
      <w:r>
        <w:rPr>
          <w:rStyle w:val="278"/>
          <w:rFonts w:hint="eastAsia" w:ascii="宋体" w:hAnsi="宋体" w:eastAsia="宋体" w:cs="宋体"/>
          <w:szCs w:val="28"/>
        </w:rPr>
        <w:t>11</w:t>
      </w:r>
      <w:r>
        <w:rPr>
          <w:rStyle w:val="95"/>
          <w:rFonts w:hint="eastAsia" w:ascii="宋体" w:hAnsi="宋体" w:eastAsia="宋体" w:cs="宋体"/>
          <w:szCs w:val="28"/>
        </w:rPr>
        <w:t>）承包人有关人员、设备投入的承诺及投标文件中的施工组织设计；</w:t>
      </w:r>
    </w:p>
    <w:p w14:paraId="72EC0E7F">
      <w:pPr>
        <w:spacing w:line="480" w:lineRule="exact"/>
        <w:ind w:firstLine="440" w:firstLineChars="200"/>
        <w:rPr>
          <w:rFonts w:hint="eastAsia" w:ascii="宋体" w:hAnsi="宋体" w:eastAsia="宋体" w:cs="宋体"/>
          <w:color w:val="000000"/>
          <w:sz w:val="24"/>
          <w:szCs w:val="28"/>
        </w:rPr>
      </w:pPr>
      <w:r>
        <w:rPr>
          <w:rStyle w:val="95"/>
          <w:rFonts w:hint="eastAsia" w:ascii="宋体" w:hAnsi="宋体" w:eastAsia="宋体" w:cs="宋体"/>
          <w:szCs w:val="28"/>
        </w:rPr>
        <w:t>（</w:t>
      </w:r>
      <w:r>
        <w:rPr>
          <w:rStyle w:val="278"/>
          <w:rFonts w:hint="eastAsia" w:ascii="宋体" w:hAnsi="宋体" w:eastAsia="宋体" w:cs="宋体"/>
          <w:szCs w:val="28"/>
        </w:rPr>
        <w:t>12</w:t>
      </w:r>
      <w:r>
        <w:rPr>
          <w:rStyle w:val="95"/>
          <w:rFonts w:hint="eastAsia" w:ascii="宋体" w:hAnsi="宋体" w:eastAsia="宋体" w:cs="宋体"/>
          <w:szCs w:val="28"/>
        </w:rPr>
        <w:t>）其他合同文件。</w:t>
      </w:r>
    </w:p>
    <w:p w14:paraId="5AD558FD">
      <w:pPr>
        <w:spacing w:line="480" w:lineRule="exact"/>
        <w:ind w:firstLine="440" w:firstLineChars="200"/>
        <w:rPr>
          <w:rStyle w:val="95"/>
          <w:rFonts w:hint="eastAsia" w:ascii="宋体" w:hAnsi="宋体" w:eastAsia="宋体" w:cs="宋体"/>
          <w:szCs w:val="28"/>
          <w:lang w:eastAsia="zh-CN"/>
        </w:rPr>
      </w:pPr>
      <w:r>
        <w:rPr>
          <w:rStyle w:val="95"/>
          <w:rFonts w:hint="eastAsia" w:ascii="宋体" w:hAnsi="宋体" w:eastAsia="宋体" w:cs="宋体"/>
          <w:szCs w:val="28"/>
        </w:rPr>
        <w:t>上述合同文件互相补充和解释。如果合同文件之间存在矛盾或不一致之处，以上述文件的排列顺序在先者为准。</w:t>
      </w:r>
    </w:p>
    <w:p w14:paraId="223C8653">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3.</w:t>
      </w:r>
      <w:r>
        <w:rPr>
          <w:rStyle w:val="95"/>
          <w:rFonts w:hint="eastAsia" w:ascii="宋体" w:hAnsi="宋体" w:eastAsia="宋体" w:cs="宋体"/>
          <w:szCs w:val="28"/>
        </w:rPr>
        <w:t>签约合同价：人民币（大写</w:t>
      </w:r>
      <w:r>
        <w:rPr>
          <w:rStyle w:val="95"/>
          <w:rFonts w:hint="eastAsia" w:ascii="宋体" w:hAnsi="宋体" w:eastAsia="宋体" w:cs="宋体"/>
          <w:szCs w:val="28"/>
          <w:u w:val="single"/>
        </w:rPr>
        <w:t xml:space="preserve">）                  </w:t>
      </w:r>
      <w:r>
        <w:rPr>
          <w:rStyle w:val="278"/>
          <w:rFonts w:hint="eastAsia" w:ascii="宋体" w:hAnsi="宋体" w:eastAsia="宋体" w:cs="宋体"/>
          <w:szCs w:val="28"/>
          <w:u w:val="single"/>
        </w:rPr>
        <w:t xml:space="preserve">   </w:t>
      </w:r>
      <w:r>
        <w:rPr>
          <w:rStyle w:val="95"/>
          <w:rFonts w:hint="eastAsia" w:ascii="宋体" w:hAnsi="宋体" w:eastAsia="宋体" w:cs="宋体"/>
          <w:szCs w:val="28"/>
        </w:rPr>
        <w:t>元（</w:t>
      </w:r>
      <w:r>
        <w:rPr>
          <w:rStyle w:val="278"/>
          <w:rFonts w:hint="eastAsia" w:ascii="宋体" w:hAnsi="宋体" w:eastAsia="宋体" w:cs="宋体"/>
          <w:szCs w:val="28"/>
        </w:rPr>
        <w:t>¥</w:t>
      </w:r>
      <w:r>
        <w:rPr>
          <w:rStyle w:val="278"/>
          <w:rFonts w:hint="eastAsia" w:ascii="宋体" w:hAnsi="宋体" w:eastAsia="宋体" w:cs="宋体"/>
          <w:szCs w:val="28"/>
          <w:u w:val="single"/>
        </w:rPr>
        <w:t xml:space="preserve">                </w:t>
      </w:r>
      <w:r>
        <w:rPr>
          <w:rStyle w:val="95"/>
          <w:rFonts w:hint="eastAsia" w:ascii="宋体" w:hAnsi="宋体" w:eastAsia="宋体" w:cs="宋体"/>
          <w:szCs w:val="28"/>
        </w:rPr>
        <w:t>）。</w:t>
      </w:r>
    </w:p>
    <w:p w14:paraId="7CF46616">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4.</w:t>
      </w:r>
      <w:r>
        <w:rPr>
          <w:rStyle w:val="95"/>
          <w:rFonts w:hint="eastAsia" w:ascii="宋体" w:hAnsi="宋体" w:eastAsia="宋体" w:cs="宋体"/>
          <w:szCs w:val="28"/>
        </w:rPr>
        <w:t>承包人项目经理：________。承包人项目总工：________。</w:t>
      </w:r>
    </w:p>
    <w:p w14:paraId="42F830E1">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5.</w:t>
      </w:r>
      <w:r>
        <w:rPr>
          <w:rStyle w:val="95"/>
          <w:rFonts w:hint="eastAsia" w:ascii="宋体" w:hAnsi="宋体" w:eastAsia="宋体" w:cs="宋体"/>
          <w:szCs w:val="28"/>
        </w:rPr>
        <w:t>工程质量符合________标准。工程安全目标：__</w:t>
      </w:r>
      <w:r>
        <w:rPr>
          <w:rStyle w:val="95"/>
          <w:rFonts w:hint="eastAsia" w:ascii="宋体" w:hAnsi="宋体" w:eastAsia="宋体" w:cs="宋体"/>
          <w:szCs w:val="28"/>
          <w:u w:val="single"/>
        </w:rPr>
        <w:t xml:space="preserve">  </w:t>
      </w:r>
      <w:r>
        <w:rPr>
          <w:rStyle w:val="95"/>
          <w:rFonts w:hint="eastAsia" w:ascii="宋体" w:hAnsi="宋体" w:eastAsia="宋体" w:cs="宋体"/>
          <w:szCs w:val="28"/>
        </w:rPr>
        <w:t>______。</w:t>
      </w:r>
    </w:p>
    <w:p w14:paraId="3626216B">
      <w:pPr>
        <w:spacing w:line="480" w:lineRule="exact"/>
        <w:ind w:firstLine="480" w:firstLineChars="200"/>
        <w:rPr>
          <w:rStyle w:val="95"/>
          <w:rFonts w:hint="eastAsia" w:ascii="宋体" w:hAnsi="宋体" w:eastAsia="宋体" w:cs="宋体"/>
          <w:szCs w:val="28"/>
          <w:lang w:eastAsia="zh-CN"/>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6.</w:t>
      </w:r>
      <w:r>
        <w:rPr>
          <w:rStyle w:val="95"/>
          <w:rFonts w:hint="eastAsia" w:ascii="宋体" w:hAnsi="宋体" w:eastAsia="宋体" w:cs="宋体"/>
          <w:szCs w:val="28"/>
        </w:rPr>
        <w:t>承包人承诺按合同约定承担工程的实施、完成及缺陷修复。</w:t>
      </w:r>
    </w:p>
    <w:p w14:paraId="704BF446">
      <w:pPr>
        <w:spacing w:line="480" w:lineRule="exact"/>
        <w:ind w:firstLine="480" w:firstLineChars="200"/>
        <w:rPr>
          <w:rStyle w:val="94"/>
          <w:rFonts w:hint="eastAsia" w:ascii="宋体" w:hAnsi="宋体" w:eastAsia="宋体" w:cs="宋体"/>
          <w:sz w:val="24"/>
        </w:rPr>
      </w:pPr>
      <w:r>
        <w:rPr>
          <w:rFonts w:hint="eastAsia" w:ascii="宋体" w:hAnsi="宋体" w:eastAsia="宋体" w:cs="宋体"/>
          <w:color w:val="000000"/>
          <w:sz w:val="24"/>
          <w:szCs w:val="28"/>
        </w:rPr>
        <w:t xml:space="preserve">    </w:t>
      </w:r>
      <w:r>
        <w:rPr>
          <w:rStyle w:val="278"/>
          <w:rFonts w:hint="eastAsia" w:ascii="宋体" w:hAnsi="宋体" w:eastAsia="宋体" w:cs="宋体"/>
          <w:szCs w:val="28"/>
        </w:rPr>
        <w:t>7.</w:t>
      </w:r>
      <w:r>
        <w:rPr>
          <w:rStyle w:val="95"/>
          <w:rFonts w:hint="eastAsia" w:ascii="宋体" w:hAnsi="宋体" w:eastAsia="宋体" w:cs="宋体"/>
          <w:szCs w:val="28"/>
        </w:rPr>
        <w:t>发包人承诺按合同约定的条件、时间和方式向承包人支付合同价款。</w:t>
      </w:r>
    </w:p>
    <w:p w14:paraId="175110A1">
      <w:pPr>
        <w:spacing w:line="480" w:lineRule="exact"/>
        <w:ind w:left="534" w:leftChars="267" w:firstLine="480" w:firstLineChars="200"/>
        <w:rPr>
          <w:rStyle w:val="95"/>
          <w:rFonts w:hint="eastAsia" w:ascii="宋体" w:hAnsi="宋体" w:eastAsia="宋体" w:cs="宋体"/>
          <w:szCs w:val="28"/>
          <w:lang w:eastAsia="zh-CN"/>
        </w:rPr>
      </w:pPr>
      <w:r>
        <w:rPr>
          <w:rStyle w:val="278"/>
          <w:rFonts w:hint="eastAsia" w:ascii="宋体" w:hAnsi="宋体" w:eastAsia="宋体" w:cs="宋体"/>
          <w:szCs w:val="28"/>
        </w:rPr>
        <w:t>8.</w:t>
      </w:r>
      <w:r>
        <w:rPr>
          <w:rStyle w:val="95"/>
          <w:rFonts w:hint="eastAsia" w:ascii="宋体" w:hAnsi="宋体" w:eastAsia="宋体" w:cs="宋体"/>
          <w:szCs w:val="28"/>
        </w:rPr>
        <w:t xml:space="preserve">承包人应按照监理人指示开工，工期为 </w:t>
      </w:r>
      <w:r>
        <w:rPr>
          <w:rStyle w:val="95"/>
          <w:rFonts w:hint="eastAsia" w:ascii="宋体" w:hAnsi="宋体" w:eastAsia="宋体" w:cs="宋体"/>
          <w:szCs w:val="28"/>
          <w:lang w:val="en-US" w:eastAsia="zh-CN"/>
        </w:rPr>
        <w:t xml:space="preserve">  </w:t>
      </w:r>
      <w:r>
        <w:rPr>
          <w:rStyle w:val="95"/>
          <w:rFonts w:hint="eastAsia" w:ascii="宋体" w:hAnsi="宋体" w:eastAsia="宋体" w:cs="宋体"/>
          <w:szCs w:val="28"/>
        </w:rPr>
        <w:t>日历天。</w:t>
      </w:r>
    </w:p>
    <w:p w14:paraId="4AAC8489">
      <w:pPr>
        <w:spacing w:line="480" w:lineRule="exact"/>
        <w:ind w:left="534" w:leftChars="267"/>
        <w:rPr>
          <w:rFonts w:hint="eastAsia" w:ascii="宋体" w:hAnsi="宋体" w:eastAsia="宋体" w:cs="宋体"/>
          <w:color w:val="000000"/>
          <w:sz w:val="24"/>
          <w:szCs w:val="28"/>
        </w:rPr>
      </w:pPr>
      <w:r>
        <w:rPr>
          <w:rStyle w:val="278"/>
          <w:rFonts w:hint="eastAsia" w:ascii="宋体" w:hAnsi="宋体" w:eastAsia="宋体" w:cs="宋体"/>
          <w:szCs w:val="28"/>
        </w:rPr>
        <w:t>9.</w:t>
      </w:r>
      <w:r>
        <w:rPr>
          <w:rStyle w:val="95"/>
          <w:rFonts w:hint="eastAsia" w:ascii="宋体" w:hAnsi="宋体" w:eastAsia="宋体" w:cs="宋体"/>
          <w:szCs w:val="28"/>
        </w:rPr>
        <w:t>本协议书由双方法定代表人或其委托代理人签署并加盖单位章后生效。全部工程完工后经交工验收合格、缺陷责任期满签发缺陷责任终止证书后失效。</w:t>
      </w:r>
    </w:p>
    <w:p w14:paraId="493EFB3E">
      <w:pPr>
        <w:spacing w:line="480" w:lineRule="exact"/>
        <w:ind w:left="480" w:leftChars="240" w:firstLine="0" w:firstLineChars="0"/>
        <w:rPr>
          <w:rFonts w:hint="eastAsia" w:ascii="宋体" w:hAnsi="宋体" w:eastAsia="宋体" w:cs="宋体"/>
          <w:bCs/>
          <w:color w:val="000000"/>
          <w:sz w:val="24"/>
          <w:szCs w:val="28"/>
          <w:lang w:eastAsia="zh-CN"/>
        </w:rPr>
      </w:pPr>
      <w:r>
        <w:rPr>
          <w:rStyle w:val="278"/>
          <w:rFonts w:hint="eastAsia" w:ascii="宋体" w:hAnsi="宋体" w:eastAsia="宋体" w:cs="宋体"/>
          <w:szCs w:val="28"/>
        </w:rPr>
        <w:t>10.</w:t>
      </w:r>
      <w:r>
        <w:rPr>
          <w:rFonts w:hint="eastAsia" w:ascii="宋体" w:hAnsi="宋体" w:eastAsia="宋体" w:cs="宋体"/>
          <w:bCs/>
          <w:color w:val="000000"/>
          <w:sz w:val="24"/>
          <w:szCs w:val="28"/>
        </w:rPr>
        <w:t xml:space="preserve"> 本合同一式</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u w:val="single"/>
          <w:lang w:val="en-US" w:eastAsia="zh-CN"/>
        </w:rPr>
        <w:t>肆</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rPr>
        <w:t>份，均具有同等法律效力，发包人执</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u w:val="single"/>
          <w:lang w:val="en-US" w:eastAsia="zh-CN"/>
        </w:rPr>
        <w:t>贰</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rPr>
        <w:t>份，承包人执</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u w:val="single"/>
          <w:lang w:val="en-US" w:eastAsia="zh-CN"/>
        </w:rPr>
        <w:t>贰</w:t>
      </w:r>
      <w:r>
        <w:rPr>
          <w:rFonts w:hint="eastAsia" w:ascii="宋体" w:hAnsi="宋体" w:eastAsia="宋体" w:cs="宋体"/>
          <w:bCs/>
          <w:color w:val="000000"/>
          <w:sz w:val="24"/>
          <w:szCs w:val="28"/>
          <w:u w:val="single"/>
        </w:rPr>
        <w:t xml:space="preserve"> </w:t>
      </w:r>
      <w:r>
        <w:rPr>
          <w:rFonts w:hint="eastAsia" w:ascii="宋体" w:hAnsi="宋体" w:eastAsia="宋体" w:cs="宋体"/>
          <w:bCs/>
          <w:color w:val="000000"/>
          <w:sz w:val="24"/>
          <w:szCs w:val="28"/>
        </w:rPr>
        <w:t>份。</w:t>
      </w:r>
    </w:p>
    <w:p w14:paraId="6E95F4B3">
      <w:pPr>
        <w:spacing w:line="480" w:lineRule="exact"/>
        <w:ind w:left="480" w:leftChars="240" w:firstLine="0" w:firstLineChars="0"/>
        <w:rPr>
          <w:rStyle w:val="95"/>
          <w:rFonts w:hint="eastAsia" w:ascii="宋体" w:hAnsi="宋体" w:eastAsia="宋体" w:cs="宋体"/>
          <w:szCs w:val="28"/>
          <w:lang w:eastAsia="zh-CN"/>
        </w:rPr>
      </w:pPr>
      <w:r>
        <w:rPr>
          <w:rStyle w:val="278"/>
          <w:rFonts w:hint="eastAsia" w:ascii="宋体" w:hAnsi="宋体" w:eastAsia="宋体" w:cs="宋体"/>
          <w:szCs w:val="28"/>
        </w:rPr>
        <w:t>11.</w:t>
      </w:r>
      <w:r>
        <w:rPr>
          <w:rStyle w:val="95"/>
          <w:rFonts w:hint="eastAsia" w:ascii="宋体" w:hAnsi="宋体" w:eastAsia="宋体" w:cs="宋体"/>
          <w:szCs w:val="28"/>
        </w:rPr>
        <w:t>合同未尽事宜，双方另行签订补充协议。补充协议是合同的组成部分。</w:t>
      </w:r>
    </w:p>
    <w:p w14:paraId="678E6F7D">
      <w:pPr>
        <w:pStyle w:val="54"/>
        <w:rPr>
          <w:rFonts w:hint="eastAsia" w:ascii="宋体" w:hAnsi="宋体" w:eastAsia="宋体" w:cs="宋体"/>
          <w:lang w:eastAsia="zh-CN"/>
        </w:rPr>
      </w:pPr>
    </w:p>
    <w:p w14:paraId="2D4D049F">
      <w:pPr>
        <w:spacing w:line="480" w:lineRule="exact"/>
        <w:rPr>
          <w:rStyle w:val="95"/>
          <w:rFonts w:hint="eastAsia" w:ascii="宋体" w:hAnsi="宋体" w:eastAsia="宋体" w:cs="宋体"/>
          <w:szCs w:val="28"/>
          <w:lang w:eastAsia="zh-CN"/>
        </w:rPr>
      </w:pPr>
      <w:r>
        <w:rPr>
          <w:rStyle w:val="95"/>
          <w:rFonts w:hint="eastAsia" w:ascii="宋体" w:hAnsi="宋体" w:eastAsia="宋体" w:cs="宋体"/>
          <w:szCs w:val="28"/>
        </w:rPr>
        <w:t>发包人：      （盖单位章）           承包人：      （盖单位章）</w:t>
      </w:r>
    </w:p>
    <w:p w14:paraId="075B4D22">
      <w:pPr>
        <w:spacing w:line="480" w:lineRule="exact"/>
        <w:rPr>
          <w:rStyle w:val="95"/>
          <w:rFonts w:hint="eastAsia" w:ascii="宋体" w:hAnsi="宋体" w:eastAsia="宋体" w:cs="宋体"/>
          <w:szCs w:val="28"/>
          <w:lang w:eastAsia="zh-CN"/>
        </w:rPr>
      </w:pPr>
      <w:r>
        <w:rPr>
          <w:rStyle w:val="95"/>
          <w:rFonts w:hint="eastAsia" w:ascii="宋体" w:hAnsi="宋体" w:eastAsia="宋体" w:cs="宋体"/>
          <w:szCs w:val="28"/>
        </w:rPr>
        <w:t xml:space="preserve">法定代表人或其委托代理人（签字）：    法定代表人或其委托代理人  （签字）：                               </w:t>
      </w:r>
    </w:p>
    <w:p w14:paraId="0C6999E9">
      <w:pPr>
        <w:spacing w:line="480" w:lineRule="exact"/>
        <w:rPr>
          <w:rFonts w:hint="eastAsia" w:ascii="宋体" w:hAnsi="宋体" w:eastAsia="宋体" w:cs="宋体"/>
          <w:color w:val="000000"/>
          <w:sz w:val="24"/>
          <w:szCs w:val="28"/>
        </w:rPr>
      </w:pPr>
      <w:r>
        <w:rPr>
          <w:rStyle w:val="95"/>
          <w:rFonts w:hint="eastAsia" w:ascii="宋体" w:hAnsi="宋体" w:eastAsia="宋体" w:cs="宋体"/>
          <w:szCs w:val="28"/>
        </w:rPr>
        <w:t>年  月  日                                年  月  日</w:t>
      </w:r>
    </w:p>
    <w:p w14:paraId="3E27E5F9">
      <w:pPr>
        <w:pStyle w:val="279"/>
        <w:spacing w:line="480" w:lineRule="exact"/>
        <w:rPr>
          <w:rFonts w:hint="eastAsia" w:ascii="宋体" w:hAnsi="宋体" w:eastAsia="宋体" w:cs="宋体"/>
          <w:color w:val="000000"/>
          <w:sz w:val="24"/>
          <w:szCs w:val="28"/>
        </w:rPr>
      </w:pPr>
    </w:p>
    <w:p w14:paraId="3FAE7D15">
      <w:pPr>
        <w:pStyle w:val="279"/>
        <w:spacing w:line="480" w:lineRule="exact"/>
        <w:rPr>
          <w:rFonts w:hint="eastAsia" w:ascii="宋体" w:hAnsi="宋体" w:eastAsia="宋体" w:cs="宋体"/>
          <w:color w:val="000000"/>
          <w:sz w:val="24"/>
          <w:szCs w:val="28"/>
        </w:rPr>
      </w:pPr>
    </w:p>
    <w:p w14:paraId="78F7360C">
      <w:pPr>
        <w:spacing w:line="360" w:lineRule="exact"/>
        <w:rPr>
          <w:rFonts w:hint="eastAsia" w:ascii="宋体" w:hAnsi="宋体" w:eastAsia="宋体" w:cs="宋体"/>
          <w:b/>
          <w:bCs/>
          <w:color w:val="000000"/>
          <w:sz w:val="24"/>
          <w:szCs w:val="28"/>
        </w:rPr>
      </w:pPr>
    </w:p>
    <w:p w14:paraId="5F5620A3">
      <w:pPr>
        <w:spacing w:line="360" w:lineRule="exact"/>
        <w:ind w:firstLine="482" w:firstLineChars="200"/>
        <w:jc w:val="center"/>
        <w:rPr>
          <w:rFonts w:hint="eastAsia" w:ascii="宋体" w:hAnsi="宋体" w:eastAsia="宋体" w:cs="宋体"/>
          <w:b/>
          <w:bCs/>
          <w:color w:val="000000"/>
          <w:sz w:val="24"/>
          <w:szCs w:val="28"/>
        </w:rPr>
      </w:pPr>
    </w:p>
    <w:p w14:paraId="0C841812">
      <w:pPr>
        <w:spacing w:line="480" w:lineRule="auto"/>
        <w:ind w:firstLine="482" w:firstLineChars="200"/>
        <w:jc w:val="center"/>
        <w:rPr>
          <w:rFonts w:hint="eastAsia" w:ascii="宋体" w:hAnsi="宋体" w:eastAsia="宋体" w:cs="宋体"/>
          <w:b/>
          <w:bCs/>
          <w:color w:val="000000"/>
          <w:sz w:val="24"/>
        </w:rPr>
      </w:pPr>
      <w:r>
        <w:rPr>
          <w:rFonts w:hint="eastAsia" w:ascii="宋体" w:hAnsi="宋体" w:eastAsia="宋体" w:cs="宋体"/>
          <w:b/>
          <w:bCs/>
          <w:color w:val="000000"/>
          <w:sz w:val="24"/>
        </w:rPr>
        <w:t>第二节  通用合同条款</w:t>
      </w:r>
    </w:p>
    <w:p w14:paraId="2F6505FD">
      <w:pPr>
        <w:spacing w:line="480" w:lineRule="auto"/>
        <w:ind w:firstLine="480" w:firstLineChars="200"/>
        <w:jc w:val="left"/>
        <w:rPr>
          <w:rFonts w:hint="eastAsia" w:ascii="宋体" w:hAnsi="宋体" w:eastAsia="宋体" w:cs="宋体"/>
          <w:bCs/>
          <w:color w:val="000000"/>
          <w:sz w:val="24"/>
        </w:rPr>
      </w:pPr>
      <w:r>
        <w:rPr>
          <w:rFonts w:hint="eastAsia" w:ascii="宋体" w:hAnsi="宋体" w:eastAsia="宋体" w:cs="宋体"/>
          <w:bCs/>
          <w:color w:val="000000"/>
          <w:sz w:val="24"/>
        </w:rPr>
        <w:t>“通用合同条款”采用《</w:t>
      </w:r>
      <w:r>
        <w:rPr>
          <w:rFonts w:hint="eastAsia" w:ascii="宋体" w:hAnsi="宋体" w:eastAsia="宋体" w:cs="宋体"/>
          <w:bCs/>
          <w:color w:val="000000"/>
          <w:sz w:val="24"/>
          <w:lang w:val="en-US" w:eastAsia="zh-CN"/>
        </w:rPr>
        <w:t>安徽省公路养护工程施工招标指南</w:t>
      </w:r>
      <w:r>
        <w:rPr>
          <w:rFonts w:hint="eastAsia" w:ascii="宋体" w:hAnsi="宋体" w:eastAsia="宋体" w:cs="宋体"/>
          <w:bCs/>
          <w:color w:val="000000"/>
          <w:sz w:val="24"/>
        </w:rPr>
        <w:t>》的“通用合同条款”。</w:t>
      </w:r>
    </w:p>
    <w:p w14:paraId="5CD46026">
      <w:pPr>
        <w:spacing w:line="480" w:lineRule="auto"/>
        <w:jc w:val="both"/>
        <w:rPr>
          <w:rFonts w:hint="eastAsia" w:ascii="宋体" w:hAnsi="宋体" w:eastAsia="宋体" w:cs="宋体"/>
          <w:b/>
          <w:bCs/>
          <w:color w:val="000000"/>
          <w:sz w:val="24"/>
        </w:rPr>
      </w:pPr>
    </w:p>
    <w:p w14:paraId="5B3880C5">
      <w:pPr>
        <w:spacing w:line="480" w:lineRule="auto"/>
        <w:jc w:val="both"/>
        <w:rPr>
          <w:rFonts w:hint="eastAsia" w:ascii="宋体" w:hAnsi="宋体" w:eastAsia="宋体" w:cs="宋体"/>
          <w:b/>
          <w:bCs/>
          <w:color w:val="000000"/>
          <w:sz w:val="24"/>
        </w:rPr>
      </w:pPr>
    </w:p>
    <w:p w14:paraId="2F9BC253">
      <w:pPr>
        <w:spacing w:line="480" w:lineRule="auto"/>
        <w:ind w:firstLine="482" w:firstLineChars="200"/>
        <w:jc w:val="center"/>
        <w:rPr>
          <w:rFonts w:hint="eastAsia" w:ascii="宋体" w:hAnsi="宋体" w:eastAsia="宋体" w:cs="宋体"/>
          <w:b/>
          <w:bCs/>
          <w:color w:val="000000"/>
          <w:sz w:val="24"/>
        </w:rPr>
      </w:pPr>
      <w:r>
        <w:rPr>
          <w:rFonts w:hint="eastAsia" w:ascii="宋体" w:hAnsi="宋体" w:eastAsia="宋体" w:cs="宋体"/>
          <w:b/>
          <w:bCs/>
          <w:color w:val="000000"/>
          <w:sz w:val="24"/>
        </w:rPr>
        <w:t xml:space="preserve">第三节  </w:t>
      </w:r>
      <w:r>
        <w:rPr>
          <w:rFonts w:hint="eastAsia" w:ascii="宋体" w:hAnsi="宋体" w:eastAsia="宋体" w:cs="宋体"/>
          <w:b/>
          <w:bCs/>
          <w:color w:val="000000"/>
          <w:sz w:val="24"/>
        </w:rPr>
        <w:tab/>
      </w:r>
      <w:r>
        <w:rPr>
          <w:rFonts w:hint="eastAsia" w:ascii="宋体" w:hAnsi="宋体" w:eastAsia="宋体" w:cs="宋体"/>
          <w:b/>
          <w:bCs/>
          <w:color w:val="000000"/>
          <w:sz w:val="24"/>
        </w:rPr>
        <w:t>专用合同条款</w:t>
      </w:r>
    </w:p>
    <w:p w14:paraId="4D9147E1">
      <w:pPr>
        <w:spacing w:line="480" w:lineRule="auto"/>
        <w:ind w:firstLine="482" w:firstLineChars="200"/>
        <w:jc w:val="left"/>
        <w:rPr>
          <w:rFonts w:hint="eastAsia" w:ascii="宋体" w:hAnsi="宋体" w:eastAsia="宋体" w:cs="宋体"/>
          <w:b/>
          <w:bCs/>
          <w:color w:val="000000"/>
          <w:sz w:val="24"/>
        </w:rPr>
      </w:pPr>
      <w:r>
        <w:rPr>
          <w:rFonts w:hint="eastAsia" w:ascii="宋体" w:hAnsi="宋体" w:eastAsia="宋体" w:cs="宋体"/>
          <w:b/>
          <w:bCs/>
          <w:color w:val="000000"/>
          <w:sz w:val="24"/>
        </w:rPr>
        <w:t>说 明：</w:t>
      </w:r>
    </w:p>
    <w:p w14:paraId="4D1C5251">
      <w:pPr>
        <w:spacing w:line="480" w:lineRule="auto"/>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rPr>
        <w:t>1.</w:t>
      </w:r>
      <w:r>
        <w:rPr>
          <w:rFonts w:hint="eastAsia" w:ascii="宋体" w:hAnsi="宋体" w:eastAsia="宋体" w:cs="宋体"/>
          <w:b w:val="0"/>
          <w:bCs w:val="0"/>
          <w:color w:val="000000"/>
          <w:sz w:val="24"/>
          <w:lang w:eastAsia="zh-CN"/>
        </w:rPr>
        <w:t>采购人</w:t>
      </w:r>
      <w:r>
        <w:rPr>
          <w:rFonts w:hint="eastAsia" w:ascii="宋体" w:hAnsi="宋体" w:eastAsia="宋体" w:cs="宋体"/>
          <w:b w:val="0"/>
          <w:bCs w:val="0"/>
          <w:color w:val="000000"/>
          <w:sz w:val="24"/>
        </w:rPr>
        <w:t>在根据《安徽省公路养护工程施工招标指南》编制项目</w:t>
      </w:r>
      <w:r>
        <w:rPr>
          <w:rFonts w:hint="eastAsia" w:ascii="宋体" w:hAnsi="宋体" w:eastAsia="宋体" w:cs="宋体"/>
          <w:b w:val="0"/>
          <w:bCs w:val="0"/>
          <w:color w:val="000000"/>
          <w:sz w:val="24"/>
          <w:lang w:eastAsia="zh-CN"/>
        </w:rPr>
        <w:t>磋商文件</w:t>
      </w:r>
      <w:r>
        <w:rPr>
          <w:rFonts w:hint="eastAsia" w:ascii="宋体" w:hAnsi="宋体" w:eastAsia="宋体" w:cs="宋体"/>
          <w:b w:val="0"/>
          <w:bCs w:val="0"/>
          <w:color w:val="000000"/>
          <w:sz w:val="24"/>
        </w:rPr>
        <w:t>中的“项目专用合同条款”时，可根据招标项目的具体特点和实际需要，对“通用合同条款”进行补充和细化，除“通用合同条款”明确“专用合同条款”可作出不同约定可作出不同约定外，补充和细化的内容不得与“通用合同条款”及“公路工程专用合同条款”强制性规定相抵触。同时，补充、细化或约定的内容，不得违反法律、行政法规的强制性规定和平等、自愿、公平和诚实信用原则。</w:t>
      </w:r>
    </w:p>
    <w:p w14:paraId="289521DA">
      <w:pPr>
        <w:spacing w:line="480" w:lineRule="auto"/>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rPr>
        <w:t>2.项目专用合同条款的编号应与通用合同条款和</w:t>
      </w:r>
      <w:r>
        <w:rPr>
          <w:rFonts w:hint="eastAsia" w:ascii="宋体" w:hAnsi="宋体" w:eastAsia="宋体" w:cs="宋体"/>
          <w:b w:val="0"/>
          <w:bCs w:val="0"/>
          <w:color w:val="000000"/>
          <w:sz w:val="24"/>
          <w:lang w:val="en-US" w:eastAsia="zh-CN"/>
        </w:rPr>
        <w:t>养护工程合同</w:t>
      </w:r>
      <w:r>
        <w:rPr>
          <w:rFonts w:hint="eastAsia" w:ascii="宋体" w:hAnsi="宋体" w:eastAsia="宋体" w:cs="宋体"/>
          <w:b w:val="0"/>
          <w:bCs w:val="0"/>
          <w:color w:val="000000"/>
          <w:sz w:val="24"/>
        </w:rPr>
        <w:t>专用合同条款一致。</w:t>
      </w:r>
    </w:p>
    <w:p w14:paraId="55CA8224">
      <w:pPr>
        <w:spacing w:line="480" w:lineRule="auto"/>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rPr>
        <w:t>3.项目专用合同条款可对下列内容进行补充和细化：</w:t>
      </w:r>
    </w:p>
    <w:p w14:paraId="0AA35D66">
      <w:pPr>
        <w:spacing w:line="480" w:lineRule="auto"/>
        <w:ind w:firstLine="480" w:firstLineChars="200"/>
        <w:jc w:val="left"/>
        <w:rPr>
          <w:rFonts w:hint="eastAsia" w:ascii="宋体" w:hAnsi="宋体" w:eastAsia="宋体" w:cs="宋体"/>
          <w:b w:val="0"/>
          <w:bCs w:val="0"/>
          <w:color w:val="000000"/>
          <w:sz w:val="24"/>
        </w:rPr>
      </w:pPr>
      <w:r>
        <w:rPr>
          <w:rFonts w:hint="eastAsia" w:ascii="宋体" w:hAnsi="宋体" w:eastAsia="宋体" w:cs="宋体"/>
          <w:b w:val="0"/>
          <w:bCs w:val="0"/>
          <w:color w:val="000000"/>
          <w:sz w:val="24"/>
        </w:rPr>
        <w:t>（1）“通用合同条款”中明确指出“专用合同条款”可对“通用合同条款”进行修改的内容（在“通用合同条款”中用“应按合同约定”“应按专用合同条款约定”“除合同另有约定外”“除专用合同条款另有约定外”“在专用合同条款中约定”等多种文字形式表达）；</w:t>
      </w:r>
    </w:p>
    <w:p w14:paraId="04AB1428">
      <w:pPr>
        <w:spacing w:line="480" w:lineRule="auto"/>
        <w:ind w:firstLine="480" w:firstLineChars="200"/>
        <w:jc w:val="left"/>
        <w:rPr>
          <w:rFonts w:hint="eastAsia" w:ascii="宋体" w:hAnsi="宋体" w:eastAsia="宋体" w:cs="宋体"/>
          <w:b/>
          <w:color w:val="000000"/>
          <w:sz w:val="24"/>
        </w:rPr>
      </w:pPr>
      <w:r>
        <w:rPr>
          <w:rFonts w:hint="eastAsia" w:ascii="宋体" w:hAnsi="宋体" w:eastAsia="宋体" w:cs="宋体"/>
          <w:b w:val="0"/>
          <w:bCs w:val="0"/>
          <w:color w:val="000000"/>
          <w:sz w:val="24"/>
        </w:rPr>
        <w:t>（</w:t>
      </w:r>
      <w:r>
        <w:rPr>
          <w:rFonts w:hint="eastAsia" w:ascii="宋体" w:hAnsi="宋体" w:eastAsia="宋体" w:cs="宋体"/>
          <w:b w:val="0"/>
          <w:bCs w:val="0"/>
          <w:color w:val="000000"/>
          <w:sz w:val="24"/>
          <w:lang w:val="en-US" w:eastAsia="zh-CN"/>
        </w:rPr>
        <w:t>2</w:t>
      </w:r>
      <w:r>
        <w:rPr>
          <w:rFonts w:hint="eastAsia" w:ascii="宋体" w:hAnsi="宋体" w:eastAsia="宋体" w:cs="宋体"/>
          <w:b w:val="0"/>
          <w:bCs w:val="0"/>
          <w:color w:val="000000"/>
          <w:sz w:val="24"/>
        </w:rPr>
        <w:t>）其他需要</w:t>
      </w:r>
      <w:r>
        <w:rPr>
          <w:rFonts w:hint="eastAsia" w:ascii="宋体" w:hAnsi="宋体" w:eastAsia="宋体" w:cs="宋体"/>
          <w:b w:val="0"/>
          <w:bCs w:val="0"/>
          <w:color w:val="000000"/>
          <w:sz w:val="24"/>
          <w:lang w:val="en-US" w:eastAsia="zh-CN"/>
        </w:rPr>
        <w:t>约定、</w:t>
      </w:r>
      <w:r>
        <w:rPr>
          <w:rFonts w:hint="eastAsia" w:ascii="宋体" w:hAnsi="宋体" w:eastAsia="宋体" w:cs="宋体"/>
          <w:b w:val="0"/>
          <w:bCs w:val="0"/>
          <w:color w:val="000000"/>
          <w:sz w:val="24"/>
        </w:rPr>
        <w:t>补充、细化的内容</w:t>
      </w:r>
    </w:p>
    <w:p w14:paraId="6019AB20">
      <w:pPr>
        <w:spacing w:before="240" w:after="240" w:line="400" w:lineRule="exact"/>
        <w:jc w:val="center"/>
        <w:rPr>
          <w:rFonts w:hint="eastAsia" w:ascii="宋体" w:hAnsi="宋体" w:eastAsia="宋体" w:cs="宋体"/>
          <w:b/>
          <w:bCs/>
          <w:color w:val="000000"/>
          <w:sz w:val="24"/>
        </w:rPr>
      </w:pPr>
      <w:r>
        <w:rPr>
          <w:rFonts w:hint="eastAsia" w:ascii="宋体" w:hAnsi="宋体" w:eastAsia="宋体" w:cs="宋体"/>
          <w:b/>
          <w:bCs/>
          <w:color w:val="000000"/>
          <w:sz w:val="24"/>
        </w:rPr>
        <w:t xml:space="preserve"> 项目专用条款数据表</w:t>
      </w:r>
    </w:p>
    <w:p w14:paraId="5F413193">
      <w:pPr>
        <w:spacing w:line="400" w:lineRule="exact"/>
        <w:ind w:firstLine="480" w:firstLineChars="200"/>
        <w:rPr>
          <w:rFonts w:hint="eastAsia" w:ascii="宋体" w:hAnsi="宋体" w:eastAsia="宋体" w:cs="宋体"/>
          <w:sz w:val="24"/>
        </w:rPr>
      </w:pPr>
      <w:r>
        <w:rPr>
          <w:rFonts w:hint="eastAsia" w:ascii="宋体" w:hAnsi="宋体" w:eastAsia="宋体" w:cs="宋体"/>
          <w:sz w:val="24"/>
        </w:rPr>
        <w:t>说明：本数据表是项目专用合同条款中适用于本项目的信息和数据的归纳与提示，是项目专用合同条款的组成部分。“</w:t>
      </w:r>
      <w:r>
        <w:rPr>
          <w:rFonts w:hint="eastAsia" w:ascii="宋体" w:hAnsi="宋体" w:eastAsia="宋体" w:cs="宋体"/>
          <w:sz w:val="24"/>
          <w:lang w:val="en-US" w:eastAsia="zh-CN"/>
        </w:rPr>
        <w:t>响应</w:t>
      </w:r>
      <w:r>
        <w:rPr>
          <w:rFonts w:hint="eastAsia" w:ascii="宋体" w:hAnsi="宋体" w:eastAsia="宋体" w:cs="宋体"/>
          <w:sz w:val="24"/>
        </w:rPr>
        <w:t>文件格式”的</w:t>
      </w:r>
      <w:r>
        <w:rPr>
          <w:rFonts w:hint="eastAsia" w:ascii="宋体" w:hAnsi="宋体" w:eastAsia="宋体" w:cs="宋体"/>
          <w:sz w:val="24"/>
          <w:lang w:val="en-US" w:eastAsia="zh-CN"/>
        </w:rPr>
        <w:t>响应</w:t>
      </w:r>
      <w:r>
        <w:rPr>
          <w:rFonts w:hint="eastAsia" w:ascii="宋体" w:hAnsi="宋体" w:eastAsia="宋体" w:cs="宋体"/>
          <w:sz w:val="24"/>
        </w:rPr>
        <w:t>函附录中的数据（供</w:t>
      </w:r>
      <w:r>
        <w:rPr>
          <w:rFonts w:hint="eastAsia" w:ascii="宋体" w:hAnsi="宋体" w:eastAsia="宋体" w:cs="宋体"/>
          <w:sz w:val="24"/>
          <w:lang w:val="en-US" w:eastAsia="zh-CN"/>
        </w:rPr>
        <w:t>供应商</w:t>
      </w:r>
      <w:r>
        <w:rPr>
          <w:rFonts w:hint="eastAsia" w:ascii="宋体" w:hAnsi="宋体" w:eastAsia="宋体" w:cs="宋体"/>
          <w:sz w:val="24"/>
        </w:rPr>
        <w:t>确认）与本表所列有重复。</w:t>
      </w:r>
    </w:p>
    <w:tbl>
      <w:tblPr>
        <w:tblStyle w:val="55"/>
        <w:tblW w:w="10620" w:type="dxa"/>
        <w:tblInd w:w="-7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079"/>
        <w:gridCol w:w="8821"/>
      </w:tblGrid>
      <w:tr w14:paraId="60C96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5" w:hRule="atLeast"/>
          <w:tblHeader/>
        </w:trPr>
        <w:tc>
          <w:tcPr>
            <w:tcW w:w="720" w:type="dxa"/>
            <w:noWrap w:val="0"/>
            <w:vAlign w:val="center"/>
          </w:tcPr>
          <w:p w14:paraId="09C857B3">
            <w:pPr>
              <w:snapToGrid w:val="0"/>
              <w:jc w:val="center"/>
              <w:rPr>
                <w:rFonts w:hint="eastAsia" w:ascii="宋体" w:hAnsi="宋体" w:eastAsia="宋体" w:cs="宋体"/>
                <w:b/>
                <w:szCs w:val="21"/>
              </w:rPr>
            </w:pPr>
            <w:r>
              <w:rPr>
                <w:rFonts w:hint="eastAsia" w:ascii="宋体" w:hAnsi="宋体" w:eastAsia="宋体" w:cs="宋体"/>
                <w:b/>
                <w:szCs w:val="21"/>
              </w:rPr>
              <w:t>序号</w:t>
            </w:r>
          </w:p>
        </w:tc>
        <w:tc>
          <w:tcPr>
            <w:tcW w:w="1079" w:type="dxa"/>
            <w:noWrap w:val="0"/>
            <w:vAlign w:val="center"/>
          </w:tcPr>
          <w:p w14:paraId="47D8C059">
            <w:pPr>
              <w:snapToGrid w:val="0"/>
              <w:ind w:left="-100" w:leftChars="-50" w:right="-100" w:rightChars="-50"/>
              <w:jc w:val="center"/>
              <w:rPr>
                <w:rFonts w:hint="eastAsia" w:ascii="宋体" w:hAnsi="宋体" w:eastAsia="宋体" w:cs="宋体"/>
                <w:b/>
                <w:szCs w:val="21"/>
              </w:rPr>
            </w:pPr>
            <w:r>
              <w:rPr>
                <w:rFonts w:hint="eastAsia" w:ascii="宋体" w:hAnsi="宋体" w:eastAsia="宋体" w:cs="宋体"/>
                <w:b/>
                <w:szCs w:val="21"/>
              </w:rPr>
              <w:t>条目号</w:t>
            </w:r>
          </w:p>
        </w:tc>
        <w:tc>
          <w:tcPr>
            <w:tcW w:w="8821" w:type="dxa"/>
            <w:noWrap w:val="0"/>
            <w:vAlign w:val="center"/>
          </w:tcPr>
          <w:p w14:paraId="3BB2B4B7">
            <w:pPr>
              <w:snapToGrid w:val="0"/>
              <w:jc w:val="center"/>
              <w:rPr>
                <w:rFonts w:hint="eastAsia" w:ascii="宋体" w:hAnsi="宋体" w:eastAsia="宋体" w:cs="宋体"/>
                <w:b/>
                <w:szCs w:val="21"/>
              </w:rPr>
            </w:pPr>
            <w:r>
              <w:rPr>
                <w:rFonts w:hint="eastAsia" w:ascii="宋体" w:hAnsi="宋体" w:eastAsia="宋体" w:cs="宋体"/>
                <w:b/>
                <w:szCs w:val="21"/>
              </w:rPr>
              <w:t>信息或数据</w:t>
            </w:r>
          </w:p>
        </w:tc>
      </w:tr>
      <w:tr w14:paraId="39B57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14929087">
            <w:pPr>
              <w:snapToGrid w:val="0"/>
              <w:jc w:val="center"/>
              <w:rPr>
                <w:rFonts w:hint="eastAsia" w:ascii="宋体" w:hAnsi="宋体" w:eastAsia="宋体" w:cs="宋体"/>
                <w:szCs w:val="21"/>
              </w:rPr>
            </w:pPr>
            <w:r>
              <w:rPr>
                <w:rFonts w:hint="eastAsia" w:ascii="宋体" w:hAnsi="宋体" w:eastAsia="宋体" w:cs="宋体"/>
                <w:szCs w:val="21"/>
              </w:rPr>
              <w:t>1</w:t>
            </w:r>
          </w:p>
        </w:tc>
        <w:tc>
          <w:tcPr>
            <w:tcW w:w="1079" w:type="dxa"/>
            <w:noWrap w:val="0"/>
            <w:vAlign w:val="center"/>
          </w:tcPr>
          <w:p w14:paraId="53A9A433">
            <w:pPr>
              <w:snapToGrid w:val="0"/>
              <w:jc w:val="center"/>
              <w:rPr>
                <w:rFonts w:hint="eastAsia" w:ascii="宋体" w:hAnsi="宋体" w:eastAsia="宋体" w:cs="宋体"/>
                <w:szCs w:val="21"/>
              </w:rPr>
            </w:pPr>
            <w:r>
              <w:rPr>
                <w:rFonts w:hint="eastAsia" w:ascii="宋体" w:hAnsi="宋体" w:eastAsia="宋体" w:cs="宋体"/>
                <w:szCs w:val="21"/>
              </w:rPr>
              <w:t>1.1.2.2</w:t>
            </w:r>
          </w:p>
        </w:tc>
        <w:tc>
          <w:tcPr>
            <w:tcW w:w="8821" w:type="dxa"/>
            <w:noWrap w:val="0"/>
            <w:vAlign w:val="center"/>
          </w:tcPr>
          <w:p w14:paraId="7ECE63D9">
            <w:pPr>
              <w:snapToGrid w:val="0"/>
              <w:rPr>
                <w:rFonts w:hint="eastAsia" w:ascii="宋体" w:hAnsi="宋体" w:eastAsia="宋体" w:cs="宋体"/>
                <w:szCs w:val="21"/>
              </w:rPr>
            </w:pPr>
            <w:r>
              <w:rPr>
                <w:rFonts w:hint="eastAsia" w:ascii="宋体" w:hAnsi="宋体" w:eastAsia="宋体" w:cs="宋体"/>
                <w:szCs w:val="21"/>
              </w:rPr>
              <w:t>发包人：滁州市公路管理服务中心</w:t>
            </w:r>
          </w:p>
          <w:p w14:paraId="2C4F6681">
            <w:pPr>
              <w:snapToGrid w:val="0"/>
              <w:rPr>
                <w:rFonts w:hint="eastAsia" w:ascii="宋体" w:hAnsi="宋体" w:eastAsia="宋体" w:cs="宋体"/>
                <w:szCs w:val="21"/>
              </w:rPr>
            </w:pPr>
            <w:r>
              <w:rPr>
                <w:rFonts w:hint="eastAsia" w:ascii="宋体" w:hAnsi="宋体" w:eastAsia="宋体" w:cs="宋体"/>
                <w:szCs w:val="21"/>
              </w:rPr>
              <w:t>地  址：安徽省滁州市龙蟠大道200号</w:t>
            </w:r>
          </w:p>
        </w:tc>
      </w:tr>
      <w:tr w14:paraId="2A71E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34F1ABB2">
            <w:pPr>
              <w:snapToGrid w:val="0"/>
              <w:jc w:val="center"/>
              <w:rPr>
                <w:rFonts w:hint="eastAsia" w:ascii="宋体" w:hAnsi="宋体" w:eastAsia="宋体" w:cs="宋体"/>
                <w:szCs w:val="21"/>
              </w:rPr>
            </w:pPr>
            <w:r>
              <w:rPr>
                <w:rFonts w:hint="eastAsia" w:ascii="宋体" w:hAnsi="宋体" w:eastAsia="宋体" w:cs="宋体"/>
                <w:szCs w:val="21"/>
              </w:rPr>
              <w:t>2</w:t>
            </w:r>
          </w:p>
        </w:tc>
        <w:tc>
          <w:tcPr>
            <w:tcW w:w="1079" w:type="dxa"/>
            <w:noWrap w:val="0"/>
            <w:vAlign w:val="center"/>
          </w:tcPr>
          <w:p w14:paraId="552E7762">
            <w:pPr>
              <w:snapToGrid w:val="0"/>
              <w:jc w:val="center"/>
              <w:rPr>
                <w:rFonts w:hint="eastAsia" w:ascii="宋体" w:hAnsi="宋体" w:eastAsia="宋体" w:cs="宋体"/>
                <w:szCs w:val="21"/>
              </w:rPr>
            </w:pPr>
            <w:r>
              <w:rPr>
                <w:rFonts w:hint="eastAsia" w:ascii="宋体" w:hAnsi="宋体" w:eastAsia="宋体" w:cs="宋体"/>
                <w:szCs w:val="21"/>
              </w:rPr>
              <w:t>1.1.2.6</w:t>
            </w:r>
          </w:p>
        </w:tc>
        <w:tc>
          <w:tcPr>
            <w:tcW w:w="8821" w:type="dxa"/>
            <w:noWrap w:val="0"/>
            <w:vAlign w:val="center"/>
          </w:tcPr>
          <w:p w14:paraId="2E0C7071">
            <w:pPr>
              <w:snapToGrid w:val="0"/>
              <w:rPr>
                <w:rFonts w:hint="eastAsia" w:ascii="宋体" w:hAnsi="宋体" w:eastAsia="宋体" w:cs="宋体"/>
                <w:szCs w:val="21"/>
              </w:rPr>
            </w:pPr>
            <w:r>
              <w:rPr>
                <w:rFonts w:hint="eastAsia" w:ascii="宋体" w:hAnsi="宋体" w:eastAsia="宋体" w:cs="宋体"/>
                <w:szCs w:val="21"/>
              </w:rPr>
              <w:t>监理人：根据项目具体情况确定</w:t>
            </w:r>
          </w:p>
        </w:tc>
      </w:tr>
      <w:tr w14:paraId="2F413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7B07A9FA">
            <w:pPr>
              <w:snapToGrid w:val="0"/>
              <w:jc w:val="center"/>
              <w:rPr>
                <w:rFonts w:hint="eastAsia" w:ascii="宋体" w:hAnsi="宋体" w:eastAsia="宋体" w:cs="宋体"/>
                <w:szCs w:val="21"/>
              </w:rPr>
            </w:pPr>
            <w:r>
              <w:rPr>
                <w:rFonts w:hint="eastAsia" w:ascii="宋体" w:hAnsi="宋体" w:eastAsia="宋体" w:cs="宋体"/>
                <w:szCs w:val="21"/>
              </w:rPr>
              <w:t>3</w:t>
            </w:r>
          </w:p>
        </w:tc>
        <w:tc>
          <w:tcPr>
            <w:tcW w:w="1079" w:type="dxa"/>
            <w:noWrap w:val="0"/>
            <w:vAlign w:val="center"/>
          </w:tcPr>
          <w:p w14:paraId="54E5225E">
            <w:pPr>
              <w:snapToGrid w:val="0"/>
              <w:jc w:val="center"/>
              <w:rPr>
                <w:rFonts w:hint="eastAsia" w:ascii="宋体" w:hAnsi="宋体" w:eastAsia="宋体" w:cs="宋体"/>
                <w:szCs w:val="21"/>
              </w:rPr>
            </w:pPr>
            <w:r>
              <w:rPr>
                <w:rFonts w:hint="eastAsia" w:ascii="宋体" w:hAnsi="宋体" w:eastAsia="宋体" w:cs="宋体"/>
                <w:szCs w:val="21"/>
              </w:rPr>
              <w:t>1.1.4.5</w:t>
            </w:r>
          </w:p>
        </w:tc>
        <w:tc>
          <w:tcPr>
            <w:tcW w:w="8821" w:type="dxa"/>
            <w:noWrap w:val="0"/>
            <w:vAlign w:val="center"/>
          </w:tcPr>
          <w:p w14:paraId="7B9B6189">
            <w:pPr>
              <w:snapToGrid w:val="0"/>
              <w:rPr>
                <w:rFonts w:hint="eastAsia" w:ascii="宋体" w:hAnsi="宋体" w:eastAsia="宋体" w:cs="宋体"/>
                <w:szCs w:val="21"/>
              </w:rPr>
            </w:pPr>
            <w:r>
              <w:rPr>
                <w:rFonts w:hint="eastAsia" w:ascii="宋体" w:hAnsi="宋体" w:eastAsia="宋体" w:cs="宋体"/>
                <w:szCs w:val="21"/>
              </w:rPr>
              <w:t>缺陷责任期：年末对当年完成的小修养护和专项养护工程进行年度验收.</w:t>
            </w:r>
          </w:p>
        </w:tc>
      </w:tr>
      <w:tr w14:paraId="729E16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6E343785">
            <w:pPr>
              <w:snapToGrid w:val="0"/>
              <w:jc w:val="center"/>
              <w:rPr>
                <w:rFonts w:hint="eastAsia" w:ascii="宋体" w:hAnsi="宋体" w:eastAsia="宋体" w:cs="宋体"/>
                <w:szCs w:val="21"/>
              </w:rPr>
            </w:pPr>
            <w:r>
              <w:rPr>
                <w:rFonts w:hint="eastAsia" w:ascii="宋体" w:hAnsi="宋体" w:eastAsia="宋体" w:cs="宋体"/>
                <w:szCs w:val="21"/>
              </w:rPr>
              <w:t>4</w:t>
            </w:r>
          </w:p>
        </w:tc>
        <w:tc>
          <w:tcPr>
            <w:tcW w:w="1079" w:type="dxa"/>
            <w:noWrap w:val="0"/>
            <w:vAlign w:val="center"/>
          </w:tcPr>
          <w:p w14:paraId="53D39F99">
            <w:pPr>
              <w:snapToGrid w:val="0"/>
              <w:jc w:val="center"/>
              <w:rPr>
                <w:rFonts w:hint="eastAsia" w:ascii="宋体" w:hAnsi="宋体" w:eastAsia="宋体" w:cs="宋体"/>
                <w:szCs w:val="21"/>
              </w:rPr>
            </w:pPr>
            <w:r>
              <w:rPr>
                <w:rFonts w:hint="eastAsia" w:ascii="宋体" w:hAnsi="宋体" w:eastAsia="宋体" w:cs="宋体"/>
                <w:szCs w:val="21"/>
              </w:rPr>
              <w:t>5.2.1</w:t>
            </w:r>
          </w:p>
        </w:tc>
        <w:tc>
          <w:tcPr>
            <w:tcW w:w="8821" w:type="dxa"/>
            <w:noWrap w:val="0"/>
            <w:vAlign w:val="center"/>
          </w:tcPr>
          <w:p w14:paraId="1A8250F1">
            <w:pPr>
              <w:snapToGrid w:val="0"/>
              <w:rPr>
                <w:rFonts w:hint="eastAsia" w:ascii="宋体" w:hAnsi="宋体" w:eastAsia="宋体" w:cs="宋体"/>
                <w:szCs w:val="21"/>
              </w:rPr>
            </w:pPr>
            <w:r>
              <w:rPr>
                <w:rFonts w:hint="eastAsia" w:ascii="宋体" w:hAnsi="宋体" w:eastAsia="宋体" w:cs="宋体"/>
                <w:szCs w:val="21"/>
              </w:rPr>
              <w:t>发包人是否提供材料或工程设备：否</w:t>
            </w:r>
          </w:p>
        </w:tc>
      </w:tr>
      <w:tr w14:paraId="65718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0E26A37B">
            <w:pPr>
              <w:snapToGrid w:val="0"/>
              <w:jc w:val="center"/>
              <w:rPr>
                <w:rFonts w:hint="eastAsia" w:ascii="宋体" w:hAnsi="宋体" w:eastAsia="宋体" w:cs="宋体"/>
                <w:szCs w:val="21"/>
              </w:rPr>
            </w:pPr>
            <w:r>
              <w:rPr>
                <w:rFonts w:hint="eastAsia" w:ascii="宋体" w:hAnsi="宋体" w:eastAsia="宋体" w:cs="宋体"/>
                <w:szCs w:val="21"/>
              </w:rPr>
              <w:t>5</w:t>
            </w:r>
          </w:p>
        </w:tc>
        <w:tc>
          <w:tcPr>
            <w:tcW w:w="1079" w:type="dxa"/>
            <w:noWrap w:val="0"/>
            <w:vAlign w:val="center"/>
          </w:tcPr>
          <w:p w14:paraId="27F471E1">
            <w:pPr>
              <w:snapToGrid w:val="0"/>
              <w:jc w:val="center"/>
              <w:rPr>
                <w:rFonts w:hint="eastAsia" w:ascii="宋体" w:hAnsi="宋体" w:eastAsia="宋体" w:cs="宋体"/>
                <w:szCs w:val="21"/>
              </w:rPr>
            </w:pPr>
            <w:r>
              <w:rPr>
                <w:rFonts w:hint="eastAsia" w:ascii="宋体" w:hAnsi="宋体" w:eastAsia="宋体" w:cs="宋体"/>
                <w:szCs w:val="21"/>
              </w:rPr>
              <w:t>6.2</w:t>
            </w:r>
          </w:p>
        </w:tc>
        <w:tc>
          <w:tcPr>
            <w:tcW w:w="8821" w:type="dxa"/>
            <w:noWrap w:val="0"/>
            <w:vAlign w:val="center"/>
          </w:tcPr>
          <w:p w14:paraId="7826DCA8">
            <w:pPr>
              <w:rPr>
                <w:rFonts w:hint="eastAsia" w:ascii="宋体" w:hAnsi="宋体" w:eastAsia="宋体" w:cs="宋体"/>
                <w:szCs w:val="21"/>
              </w:rPr>
            </w:pPr>
            <w:r>
              <w:rPr>
                <w:rFonts w:hint="eastAsia" w:ascii="宋体" w:hAnsi="宋体" w:eastAsia="宋体" w:cs="宋体"/>
                <w:szCs w:val="21"/>
              </w:rPr>
              <w:t>发包人是否提供施工设备和临时设施：发包人为承包人提供办公和住宿场所。水、电、日常房屋维修等由承包方自行承担。</w:t>
            </w:r>
          </w:p>
        </w:tc>
      </w:tr>
      <w:tr w14:paraId="42DB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66F4FA44">
            <w:pPr>
              <w:snapToGrid w:val="0"/>
              <w:jc w:val="center"/>
              <w:rPr>
                <w:rFonts w:hint="eastAsia" w:ascii="宋体" w:hAnsi="宋体" w:eastAsia="宋体" w:cs="宋体"/>
                <w:szCs w:val="21"/>
              </w:rPr>
            </w:pPr>
            <w:r>
              <w:rPr>
                <w:rFonts w:hint="eastAsia" w:ascii="宋体" w:hAnsi="宋体" w:eastAsia="宋体" w:cs="宋体"/>
                <w:szCs w:val="21"/>
              </w:rPr>
              <w:t>6</w:t>
            </w:r>
          </w:p>
        </w:tc>
        <w:tc>
          <w:tcPr>
            <w:tcW w:w="1079" w:type="dxa"/>
            <w:noWrap w:val="0"/>
            <w:vAlign w:val="center"/>
          </w:tcPr>
          <w:p w14:paraId="33B4E79B">
            <w:pPr>
              <w:snapToGrid w:val="0"/>
              <w:jc w:val="center"/>
              <w:rPr>
                <w:rFonts w:hint="eastAsia" w:ascii="宋体" w:hAnsi="宋体" w:eastAsia="宋体" w:cs="宋体"/>
                <w:szCs w:val="21"/>
              </w:rPr>
            </w:pPr>
            <w:r>
              <w:rPr>
                <w:rFonts w:hint="eastAsia" w:ascii="宋体" w:hAnsi="宋体" w:eastAsia="宋体" w:cs="宋体"/>
                <w:szCs w:val="21"/>
              </w:rPr>
              <w:t>8.1.1</w:t>
            </w:r>
          </w:p>
        </w:tc>
        <w:tc>
          <w:tcPr>
            <w:tcW w:w="8821" w:type="dxa"/>
            <w:tcBorders>
              <w:bottom w:val="single" w:color="auto" w:sz="4" w:space="0"/>
            </w:tcBorders>
            <w:noWrap w:val="0"/>
            <w:vAlign w:val="center"/>
          </w:tcPr>
          <w:p w14:paraId="4BCAF36A">
            <w:pPr>
              <w:snapToGrid w:val="0"/>
              <w:rPr>
                <w:rFonts w:hint="eastAsia" w:ascii="宋体" w:hAnsi="宋体" w:eastAsia="宋体" w:cs="宋体"/>
                <w:szCs w:val="21"/>
              </w:rPr>
            </w:pPr>
            <w:r>
              <w:rPr>
                <w:rFonts w:hint="eastAsia" w:ascii="宋体" w:hAnsi="宋体" w:eastAsia="宋体" w:cs="宋体"/>
                <w:szCs w:val="21"/>
              </w:rPr>
              <w:t xml:space="preserve">发包人提供测量基准点、基准线和水准点及其书面资料的期限：不适用 </w:t>
            </w:r>
          </w:p>
          <w:p w14:paraId="12E4DB81">
            <w:pPr>
              <w:snapToGrid w:val="0"/>
              <w:rPr>
                <w:rFonts w:hint="eastAsia" w:ascii="宋体" w:hAnsi="宋体" w:eastAsia="宋体" w:cs="宋体"/>
                <w:szCs w:val="21"/>
                <w:highlight w:val="yellow"/>
                <w:u w:val="single"/>
              </w:rPr>
            </w:pPr>
            <w:r>
              <w:rPr>
                <w:rFonts w:hint="eastAsia" w:ascii="宋体" w:hAnsi="宋体" w:eastAsia="宋体" w:cs="宋体"/>
                <w:szCs w:val="21"/>
              </w:rPr>
              <w:t>承包人将施工控制网资料报送监理人审批的期限：不适用</w:t>
            </w:r>
          </w:p>
        </w:tc>
      </w:tr>
      <w:tr w14:paraId="2D951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778D47AB">
            <w:pPr>
              <w:snapToGrid w:val="0"/>
              <w:jc w:val="center"/>
              <w:rPr>
                <w:rFonts w:hint="eastAsia" w:ascii="宋体" w:hAnsi="宋体" w:eastAsia="宋体" w:cs="宋体"/>
                <w:szCs w:val="21"/>
              </w:rPr>
            </w:pPr>
            <w:r>
              <w:rPr>
                <w:rFonts w:hint="eastAsia" w:ascii="宋体" w:hAnsi="宋体" w:eastAsia="宋体" w:cs="宋体"/>
                <w:szCs w:val="21"/>
              </w:rPr>
              <w:t>8</w:t>
            </w:r>
          </w:p>
        </w:tc>
        <w:tc>
          <w:tcPr>
            <w:tcW w:w="1079" w:type="dxa"/>
            <w:noWrap w:val="0"/>
            <w:vAlign w:val="center"/>
          </w:tcPr>
          <w:p w14:paraId="4E4F5901">
            <w:pPr>
              <w:snapToGrid w:val="0"/>
              <w:jc w:val="center"/>
              <w:rPr>
                <w:rFonts w:hint="eastAsia" w:ascii="宋体" w:hAnsi="宋体" w:eastAsia="宋体" w:cs="宋体"/>
                <w:szCs w:val="21"/>
              </w:rPr>
            </w:pPr>
            <w:r>
              <w:rPr>
                <w:rFonts w:hint="eastAsia" w:ascii="宋体" w:hAnsi="宋体" w:eastAsia="宋体" w:cs="宋体"/>
                <w:szCs w:val="21"/>
              </w:rPr>
              <w:t>15.5.2</w:t>
            </w:r>
          </w:p>
        </w:tc>
        <w:tc>
          <w:tcPr>
            <w:tcW w:w="8821" w:type="dxa"/>
            <w:noWrap w:val="0"/>
            <w:vAlign w:val="center"/>
          </w:tcPr>
          <w:p w14:paraId="6A82D1A2">
            <w:pPr>
              <w:snapToGrid w:val="0"/>
              <w:rPr>
                <w:rFonts w:hint="eastAsia" w:ascii="宋体" w:hAnsi="宋体" w:eastAsia="宋体" w:cs="宋体"/>
                <w:szCs w:val="21"/>
              </w:rPr>
            </w:pPr>
            <w:r>
              <w:rPr>
                <w:rFonts w:hint="eastAsia" w:ascii="宋体" w:hAnsi="宋体" w:eastAsia="宋体" w:cs="宋体"/>
                <w:szCs w:val="21"/>
              </w:rPr>
              <w:t>承包人提出的合理化建议降低了合同价格或者提高了工程经济效益的，发包人按所节约成本的</w:t>
            </w:r>
            <w:r>
              <w:rPr>
                <w:rFonts w:hint="eastAsia" w:ascii="宋体" w:hAnsi="宋体" w:eastAsia="宋体" w:cs="宋体"/>
                <w:szCs w:val="21"/>
                <w:u w:val="single"/>
              </w:rPr>
              <w:t>0</w:t>
            </w:r>
            <w:r>
              <w:rPr>
                <w:rFonts w:hint="eastAsia" w:ascii="宋体" w:hAnsi="宋体" w:eastAsia="宋体" w:cs="宋体"/>
                <w:szCs w:val="21"/>
              </w:rPr>
              <w:t>%或增加收益的</w:t>
            </w:r>
            <w:r>
              <w:rPr>
                <w:rFonts w:hint="eastAsia" w:ascii="宋体" w:hAnsi="宋体" w:eastAsia="宋体" w:cs="宋体"/>
                <w:szCs w:val="21"/>
                <w:u w:val="single"/>
              </w:rPr>
              <w:t>0</w:t>
            </w:r>
            <w:r>
              <w:rPr>
                <w:rFonts w:hint="eastAsia" w:ascii="宋体" w:hAnsi="宋体" w:eastAsia="宋体" w:cs="宋体"/>
                <w:szCs w:val="21"/>
              </w:rPr>
              <w:t>%给予奖励</w:t>
            </w:r>
          </w:p>
        </w:tc>
      </w:tr>
      <w:tr w14:paraId="4AB62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2EDC4C11">
            <w:pPr>
              <w:snapToGrid w:val="0"/>
              <w:jc w:val="center"/>
              <w:rPr>
                <w:rFonts w:hint="eastAsia" w:ascii="宋体" w:hAnsi="宋体" w:eastAsia="宋体" w:cs="宋体"/>
                <w:szCs w:val="21"/>
              </w:rPr>
            </w:pPr>
            <w:r>
              <w:rPr>
                <w:rFonts w:hint="eastAsia" w:ascii="宋体" w:hAnsi="宋体" w:eastAsia="宋体" w:cs="宋体"/>
                <w:szCs w:val="21"/>
              </w:rPr>
              <w:t>9</w:t>
            </w:r>
          </w:p>
        </w:tc>
        <w:tc>
          <w:tcPr>
            <w:tcW w:w="1079" w:type="dxa"/>
            <w:noWrap w:val="0"/>
            <w:vAlign w:val="center"/>
          </w:tcPr>
          <w:p w14:paraId="1F9C120B">
            <w:pPr>
              <w:snapToGrid w:val="0"/>
              <w:jc w:val="center"/>
              <w:rPr>
                <w:rFonts w:hint="eastAsia" w:ascii="宋体" w:hAnsi="宋体" w:eastAsia="宋体" w:cs="宋体"/>
                <w:szCs w:val="21"/>
              </w:rPr>
            </w:pPr>
            <w:r>
              <w:rPr>
                <w:rFonts w:hint="eastAsia" w:ascii="宋体" w:hAnsi="宋体" w:eastAsia="宋体" w:cs="宋体"/>
                <w:szCs w:val="21"/>
              </w:rPr>
              <w:t>11.5</w:t>
            </w:r>
          </w:p>
        </w:tc>
        <w:tc>
          <w:tcPr>
            <w:tcW w:w="8821" w:type="dxa"/>
            <w:noWrap w:val="0"/>
            <w:vAlign w:val="center"/>
          </w:tcPr>
          <w:p w14:paraId="6AAD2AEB">
            <w:pPr>
              <w:snapToGrid w:val="0"/>
              <w:rPr>
                <w:rFonts w:hint="eastAsia" w:ascii="宋体" w:hAnsi="宋体" w:eastAsia="宋体" w:cs="宋体"/>
                <w:szCs w:val="21"/>
              </w:rPr>
            </w:pPr>
            <w:r>
              <w:rPr>
                <w:rFonts w:hint="eastAsia" w:ascii="宋体" w:hAnsi="宋体" w:eastAsia="宋体" w:cs="宋体"/>
                <w:szCs w:val="21"/>
              </w:rPr>
              <w:t>逾期交工违约金：不适用</w:t>
            </w:r>
          </w:p>
        </w:tc>
      </w:tr>
      <w:tr w14:paraId="0497BA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546A50EC">
            <w:pPr>
              <w:snapToGrid w:val="0"/>
              <w:jc w:val="center"/>
              <w:rPr>
                <w:rFonts w:hint="eastAsia" w:ascii="宋体" w:hAnsi="宋体" w:eastAsia="宋体" w:cs="宋体"/>
                <w:szCs w:val="21"/>
              </w:rPr>
            </w:pPr>
            <w:r>
              <w:rPr>
                <w:rFonts w:hint="eastAsia" w:ascii="宋体" w:hAnsi="宋体" w:eastAsia="宋体" w:cs="宋体"/>
                <w:szCs w:val="21"/>
              </w:rPr>
              <w:t>10</w:t>
            </w:r>
          </w:p>
        </w:tc>
        <w:tc>
          <w:tcPr>
            <w:tcW w:w="1079" w:type="dxa"/>
            <w:noWrap w:val="0"/>
            <w:vAlign w:val="center"/>
          </w:tcPr>
          <w:p w14:paraId="131F802B">
            <w:pPr>
              <w:snapToGrid w:val="0"/>
              <w:jc w:val="center"/>
              <w:rPr>
                <w:rFonts w:hint="eastAsia" w:ascii="宋体" w:hAnsi="宋体" w:eastAsia="宋体" w:cs="宋体"/>
                <w:szCs w:val="21"/>
              </w:rPr>
            </w:pPr>
            <w:r>
              <w:rPr>
                <w:rFonts w:hint="eastAsia" w:ascii="宋体" w:hAnsi="宋体" w:eastAsia="宋体" w:cs="宋体"/>
                <w:szCs w:val="21"/>
              </w:rPr>
              <w:t>11.5</w:t>
            </w:r>
          </w:p>
        </w:tc>
        <w:tc>
          <w:tcPr>
            <w:tcW w:w="8821" w:type="dxa"/>
            <w:noWrap w:val="0"/>
            <w:vAlign w:val="center"/>
          </w:tcPr>
          <w:p w14:paraId="6767BEA9">
            <w:pPr>
              <w:snapToGrid w:val="0"/>
              <w:rPr>
                <w:rFonts w:hint="eastAsia" w:ascii="宋体" w:hAnsi="宋体" w:eastAsia="宋体" w:cs="宋体"/>
                <w:szCs w:val="21"/>
              </w:rPr>
            </w:pPr>
            <w:r>
              <w:rPr>
                <w:rFonts w:hint="eastAsia" w:ascii="宋体" w:hAnsi="宋体" w:eastAsia="宋体" w:cs="宋体"/>
                <w:szCs w:val="21"/>
              </w:rPr>
              <w:t>逾期交工违约金限额：不适用</w:t>
            </w:r>
          </w:p>
        </w:tc>
      </w:tr>
      <w:tr w14:paraId="791E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65C883B2">
            <w:pPr>
              <w:snapToGrid w:val="0"/>
              <w:jc w:val="center"/>
              <w:rPr>
                <w:rFonts w:hint="eastAsia" w:ascii="宋体" w:hAnsi="宋体" w:eastAsia="宋体" w:cs="宋体"/>
                <w:szCs w:val="21"/>
              </w:rPr>
            </w:pPr>
            <w:r>
              <w:rPr>
                <w:rFonts w:hint="eastAsia" w:ascii="宋体" w:hAnsi="宋体" w:eastAsia="宋体" w:cs="宋体"/>
                <w:szCs w:val="21"/>
              </w:rPr>
              <w:t>11</w:t>
            </w:r>
          </w:p>
        </w:tc>
        <w:tc>
          <w:tcPr>
            <w:tcW w:w="1079" w:type="dxa"/>
            <w:noWrap w:val="0"/>
            <w:vAlign w:val="center"/>
          </w:tcPr>
          <w:p w14:paraId="0DFEABD9">
            <w:pPr>
              <w:snapToGrid w:val="0"/>
              <w:jc w:val="center"/>
              <w:rPr>
                <w:rFonts w:hint="eastAsia" w:ascii="宋体" w:hAnsi="宋体" w:eastAsia="宋体" w:cs="宋体"/>
                <w:szCs w:val="21"/>
              </w:rPr>
            </w:pPr>
            <w:r>
              <w:rPr>
                <w:rFonts w:hint="eastAsia" w:ascii="宋体" w:hAnsi="宋体" w:eastAsia="宋体" w:cs="宋体"/>
                <w:szCs w:val="21"/>
              </w:rPr>
              <w:t>11.6</w:t>
            </w:r>
          </w:p>
        </w:tc>
        <w:tc>
          <w:tcPr>
            <w:tcW w:w="8821" w:type="dxa"/>
            <w:noWrap w:val="0"/>
            <w:vAlign w:val="center"/>
          </w:tcPr>
          <w:p w14:paraId="3E768D90">
            <w:pPr>
              <w:snapToGrid w:val="0"/>
              <w:rPr>
                <w:rFonts w:hint="eastAsia" w:ascii="宋体" w:hAnsi="宋体" w:eastAsia="宋体" w:cs="宋体"/>
                <w:szCs w:val="21"/>
              </w:rPr>
            </w:pPr>
            <w:r>
              <w:rPr>
                <w:rFonts w:hint="eastAsia" w:ascii="宋体" w:hAnsi="宋体" w:eastAsia="宋体" w:cs="宋体"/>
                <w:szCs w:val="21"/>
              </w:rPr>
              <w:t>提前交工的奖金：不适用</w:t>
            </w:r>
          </w:p>
        </w:tc>
      </w:tr>
      <w:tr w14:paraId="0A44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19E39CCE">
            <w:pPr>
              <w:snapToGrid w:val="0"/>
              <w:jc w:val="center"/>
              <w:rPr>
                <w:rFonts w:hint="eastAsia" w:ascii="宋体" w:hAnsi="宋体" w:eastAsia="宋体" w:cs="宋体"/>
                <w:szCs w:val="21"/>
              </w:rPr>
            </w:pPr>
            <w:r>
              <w:rPr>
                <w:rFonts w:hint="eastAsia" w:ascii="宋体" w:hAnsi="宋体" w:eastAsia="宋体" w:cs="宋体"/>
                <w:szCs w:val="21"/>
              </w:rPr>
              <w:t>12</w:t>
            </w:r>
          </w:p>
        </w:tc>
        <w:tc>
          <w:tcPr>
            <w:tcW w:w="1079" w:type="dxa"/>
            <w:noWrap w:val="0"/>
            <w:vAlign w:val="center"/>
          </w:tcPr>
          <w:p w14:paraId="6375AE22">
            <w:pPr>
              <w:snapToGrid w:val="0"/>
              <w:jc w:val="center"/>
              <w:rPr>
                <w:rFonts w:hint="eastAsia" w:ascii="宋体" w:hAnsi="宋体" w:eastAsia="宋体" w:cs="宋体"/>
                <w:szCs w:val="21"/>
              </w:rPr>
            </w:pPr>
            <w:r>
              <w:rPr>
                <w:rFonts w:hint="eastAsia" w:ascii="宋体" w:hAnsi="宋体" w:eastAsia="宋体" w:cs="宋体"/>
                <w:szCs w:val="21"/>
              </w:rPr>
              <w:t>11.6</w:t>
            </w:r>
          </w:p>
        </w:tc>
        <w:tc>
          <w:tcPr>
            <w:tcW w:w="8821" w:type="dxa"/>
            <w:noWrap w:val="0"/>
            <w:vAlign w:val="center"/>
          </w:tcPr>
          <w:p w14:paraId="13866215">
            <w:pPr>
              <w:snapToGrid w:val="0"/>
              <w:rPr>
                <w:rFonts w:hint="eastAsia" w:ascii="宋体" w:hAnsi="宋体" w:eastAsia="宋体" w:cs="宋体"/>
                <w:szCs w:val="21"/>
              </w:rPr>
            </w:pPr>
            <w:r>
              <w:rPr>
                <w:rFonts w:hint="eastAsia" w:ascii="宋体" w:hAnsi="宋体" w:eastAsia="宋体" w:cs="宋体"/>
                <w:szCs w:val="21"/>
              </w:rPr>
              <w:t>提前交工的奖金限额：不适用</w:t>
            </w:r>
          </w:p>
        </w:tc>
      </w:tr>
      <w:tr w14:paraId="12796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70A63DBD">
            <w:pPr>
              <w:snapToGrid w:val="0"/>
              <w:jc w:val="center"/>
              <w:rPr>
                <w:rFonts w:hint="eastAsia" w:ascii="宋体" w:hAnsi="宋体" w:eastAsia="宋体" w:cs="宋体"/>
                <w:szCs w:val="21"/>
              </w:rPr>
            </w:pPr>
            <w:r>
              <w:rPr>
                <w:rFonts w:hint="eastAsia" w:ascii="宋体" w:hAnsi="宋体" w:eastAsia="宋体" w:cs="宋体"/>
                <w:szCs w:val="21"/>
              </w:rPr>
              <w:t>13</w:t>
            </w:r>
          </w:p>
        </w:tc>
        <w:tc>
          <w:tcPr>
            <w:tcW w:w="1079" w:type="dxa"/>
            <w:noWrap w:val="0"/>
            <w:vAlign w:val="center"/>
          </w:tcPr>
          <w:p w14:paraId="68EC9AF2">
            <w:pPr>
              <w:snapToGrid w:val="0"/>
              <w:jc w:val="center"/>
              <w:rPr>
                <w:rFonts w:hint="eastAsia" w:ascii="宋体" w:hAnsi="宋体" w:eastAsia="宋体" w:cs="宋体"/>
                <w:szCs w:val="21"/>
              </w:rPr>
            </w:pPr>
            <w:r>
              <w:rPr>
                <w:rFonts w:hint="eastAsia" w:ascii="宋体" w:hAnsi="宋体" w:eastAsia="宋体" w:cs="宋体"/>
                <w:szCs w:val="21"/>
              </w:rPr>
              <w:t>16.1</w:t>
            </w:r>
          </w:p>
        </w:tc>
        <w:tc>
          <w:tcPr>
            <w:tcW w:w="8821" w:type="dxa"/>
            <w:noWrap w:val="0"/>
            <w:vAlign w:val="center"/>
          </w:tcPr>
          <w:p w14:paraId="6D2AF7E0">
            <w:pPr>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t>□因物价波动引起的价格调整按照第16.1.1项约定的原则处理，每年按价格调整公式进行一次调整</w:t>
            </w:r>
          </w:p>
          <w:p w14:paraId="0CB3D40C">
            <w:pPr>
              <w:snapToGrid w:val="0"/>
              <w:rPr>
                <w:rFonts w:hint="eastAsia" w:ascii="宋体" w:hAnsi="宋体" w:eastAsia="宋体" w:cs="宋体"/>
                <w:szCs w:val="21"/>
                <w:lang w:val="en-US" w:eastAsia="zh-CN"/>
              </w:rPr>
            </w:pPr>
            <w:r>
              <w:rPr>
                <w:rFonts w:hint="eastAsia" w:ascii="宋体" w:hAnsi="宋体" w:eastAsia="宋体" w:cs="宋体"/>
                <w:szCs w:val="21"/>
                <w:lang w:val="en-US" w:eastAsia="zh-CN"/>
              </w:rPr>
              <w:sym w:font="Wingdings 2" w:char="0052"/>
            </w:r>
            <w:r>
              <w:rPr>
                <w:rFonts w:hint="eastAsia" w:ascii="宋体" w:hAnsi="宋体" w:eastAsia="宋体" w:cs="宋体"/>
                <w:szCs w:val="21"/>
                <w:lang w:val="en-US" w:eastAsia="zh-CN"/>
              </w:rPr>
              <w:t>合同期内不调价</w:t>
            </w:r>
          </w:p>
        </w:tc>
      </w:tr>
      <w:tr w14:paraId="1515B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2ABA17A2">
            <w:pPr>
              <w:snapToGrid w:val="0"/>
              <w:jc w:val="center"/>
              <w:rPr>
                <w:rFonts w:hint="eastAsia" w:ascii="宋体" w:hAnsi="宋体" w:eastAsia="宋体" w:cs="宋体"/>
                <w:szCs w:val="21"/>
              </w:rPr>
            </w:pPr>
            <w:r>
              <w:rPr>
                <w:rFonts w:hint="eastAsia" w:ascii="宋体" w:hAnsi="宋体" w:eastAsia="宋体" w:cs="宋体"/>
                <w:szCs w:val="21"/>
              </w:rPr>
              <w:t>14</w:t>
            </w:r>
          </w:p>
        </w:tc>
        <w:tc>
          <w:tcPr>
            <w:tcW w:w="1079" w:type="dxa"/>
            <w:noWrap w:val="0"/>
            <w:vAlign w:val="center"/>
          </w:tcPr>
          <w:p w14:paraId="0C2208A8">
            <w:pPr>
              <w:snapToGrid w:val="0"/>
              <w:jc w:val="center"/>
              <w:rPr>
                <w:rFonts w:hint="eastAsia" w:ascii="宋体" w:hAnsi="宋体" w:eastAsia="宋体" w:cs="宋体"/>
                <w:szCs w:val="21"/>
              </w:rPr>
            </w:pPr>
            <w:r>
              <w:rPr>
                <w:rFonts w:hint="eastAsia" w:ascii="宋体" w:hAnsi="宋体" w:eastAsia="宋体" w:cs="宋体"/>
                <w:szCs w:val="21"/>
              </w:rPr>
              <w:t>17.2.1</w:t>
            </w:r>
          </w:p>
        </w:tc>
        <w:tc>
          <w:tcPr>
            <w:tcW w:w="8821" w:type="dxa"/>
            <w:noWrap w:val="0"/>
            <w:vAlign w:val="center"/>
          </w:tcPr>
          <w:p w14:paraId="50518D44">
            <w:pPr>
              <w:snapToGrid w:val="0"/>
              <w:rPr>
                <w:rFonts w:hint="eastAsia" w:ascii="宋体" w:hAnsi="宋体" w:eastAsia="宋体" w:cs="宋体"/>
                <w:szCs w:val="21"/>
              </w:rPr>
            </w:pPr>
            <w:r>
              <w:rPr>
                <w:rFonts w:hint="eastAsia" w:ascii="宋体" w:hAnsi="宋体" w:eastAsia="宋体" w:cs="宋体"/>
                <w:szCs w:val="21"/>
              </w:rPr>
              <w:t>开工预付款金额：</w:t>
            </w:r>
            <w:r>
              <w:rPr>
                <w:rFonts w:hint="eastAsia" w:ascii="宋体" w:hAnsi="宋体" w:eastAsia="宋体" w:cs="宋体"/>
                <w:szCs w:val="21"/>
                <w:u w:val="single"/>
              </w:rPr>
              <w:t>0</w:t>
            </w:r>
            <w:r>
              <w:rPr>
                <w:rFonts w:hint="eastAsia" w:ascii="宋体" w:hAnsi="宋体" w:eastAsia="宋体" w:cs="宋体"/>
                <w:szCs w:val="21"/>
              </w:rPr>
              <w:t>%签约合同价</w:t>
            </w:r>
          </w:p>
        </w:tc>
      </w:tr>
      <w:tr w14:paraId="1B4DB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58079FE3">
            <w:pPr>
              <w:snapToGrid w:val="0"/>
              <w:jc w:val="center"/>
              <w:rPr>
                <w:rFonts w:hint="eastAsia" w:ascii="宋体" w:hAnsi="宋体" w:eastAsia="宋体" w:cs="宋体"/>
                <w:szCs w:val="21"/>
              </w:rPr>
            </w:pPr>
            <w:r>
              <w:rPr>
                <w:rFonts w:hint="eastAsia" w:ascii="宋体" w:hAnsi="宋体" w:eastAsia="宋体" w:cs="宋体"/>
                <w:szCs w:val="21"/>
              </w:rPr>
              <w:t>15</w:t>
            </w:r>
          </w:p>
        </w:tc>
        <w:tc>
          <w:tcPr>
            <w:tcW w:w="1079" w:type="dxa"/>
            <w:noWrap w:val="0"/>
            <w:vAlign w:val="center"/>
          </w:tcPr>
          <w:p w14:paraId="6D37CEB8">
            <w:pPr>
              <w:snapToGrid w:val="0"/>
              <w:jc w:val="center"/>
              <w:rPr>
                <w:rFonts w:hint="eastAsia" w:ascii="宋体" w:hAnsi="宋体" w:eastAsia="宋体" w:cs="宋体"/>
                <w:szCs w:val="21"/>
              </w:rPr>
            </w:pPr>
            <w:r>
              <w:rPr>
                <w:rFonts w:hint="eastAsia" w:ascii="宋体" w:hAnsi="宋体" w:eastAsia="宋体" w:cs="宋体"/>
                <w:szCs w:val="21"/>
              </w:rPr>
              <w:t>17.2.1</w:t>
            </w:r>
          </w:p>
        </w:tc>
        <w:tc>
          <w:tcPr>
            <w:tcW w:w="8821" w:type="dxa"/>
            <w:noWrap w:val="0"/>
            <w:vAlign w:val="center"/>
          </w:tcPr>
          <w:p w14:paraId="39D8F534">
            <w:pPr>
              <w:snapToGrid w:val="0"/>
              <w:rPr>
                <w:rFonts w:hint="eastAsia" w:ascii="宋体" w:hAnsi="宋体" w:eastAsia="宋体" w:cs="宋体"/>
                <w:szCs w:val="21"/>
              </w:rPr>
            </w:pPr>
            <w:r>
              <w:rPr>
                <w:rFonts w:hint="eastAsia" w:ascii="宋体" w:hAnsi="宋体" w:eastAsia="宋体" w:cs="宋体"/>
                <w:szCs w:val="21"/>
              </w:rPr>
              <w:t>材料、设备预付款比例：</w:t>
            </w:r>
            <w:r>
              <w:rPr>
                <w:rFonts w:hint="eastAsia" w:ascii="宋体" w:hAnsi="宋体" w:eastAsia="宋体" w:cs="宋体"/>
                <w:kern w:val="0"/>
                <w:u w:val="single"/>
              </w:rPr>
              <w:t xml:space="preserve">0% </w:t>
            </w:r>
          </w:p>
        </w:tc>
      </w:tr>
      <w:tr w14:paraId="7AAF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6EB3B4E0">
            <w:pPr>
              <w:snapToGrid w:val="0"/>
              <w:jc w:val="center"/>
              <w:rPr>
                <w:rFonts w:hint="eastAsia" w:ascii="宋体" w:hAnsi="宋体" w:eastAsia="宋体" w:cs="宋体"/>
                <w:szCs w:val="21"/>
              </w:rPr>
            </w:pPr>
            <w:r>
              <w:rPr>
                <w:rFonts w:hint="eastAsia" w:ascii="宋体" w:hAnsi="宋体" w:eastAsia="宋体" w:cs="宋体"/>
                <w:szCs w:val="21"/>
              </w:rPr>
              <w:t>16</w:t>
            </w:r>
          </w:p>
        </w:tc>
        <w:tc>
          <w:tcPr>
            <w:tcW w:w="1079" w:type="dxa"/>
            <w:noWrap w:val="0"/>
            <w:vAlign w:val="center"/>
          </w:tcPr>
          <w:p w14:paraId="6C14E613">
            <w:pPr>
              <w:snapToGrid w:val="0"/>
              <w:jc w:val="center"/>
              <w:rPr>
                <w:rFonts w:hint="eastAsia" w:ascii="宋体" w:hAnsi="宋体" w:eastAsia="宋体" w:cs="宋体"/>
                <w:szCs w:val="21"/>
              </w:rPr>
            </w:pPr>
            <w:r>
              <w:rPr>
                <w:rFonts w:hint="eastAsia" w:ascii="宋体" w:hAnsi="宋体" w:eastAsia="宋体" w:cs="宋体"/>
                <w:szCs w:val="21"/>
              </w:rPr>
              <w:t>17.3.2</w:t>
            </w:r>
          </w:p>
        </w:tc>
        <w:tc>
          <w:tcPr>
            <w:tcW w:w="8821" w:type="dxa"/>
            <w:noWrap w:val="0"/>
            <w:vAlign w:val="center"/>
          </w:tcPr>
          <w:p w14:paraId="31C3B533">
            <w:pPr>
              <w:snapToGrid w:val="0"/>
              <w:rPr>
                <w:rFonts w:hint="eastAsia" w:ascii="宋体" w:hAnsi="宋体" w:eastAsia="宋体" w:cs="宋体"/>
                <w:szCs w:val="21"/>
              </w:rPr>
            </w:pPr>
            <w:r>
              <w:rPr>
                <w:rFonts w:hint="eastAsia" w:ascii="宋体" w:hAnsi="宋体" w:eastAsia="宋体" w:cs="宋体"/>
                <w:spacing w:val="-2"/>
                <w:szCs w:val="21"/>
              </w:rPr>
              <w:t>承包人在每个付款周期末向发包人提交进度付款申请单的份数：</w:t>
            </w:r>
            <w:r>
              <w:rPr>
                <w:rFonts w:hint="eastAsia" w:ascii="宋体" w:hAnsi="宋体" w:eastAsia="宋体" w:cs="宋体"/>
                <w:spacing w:val="-2"/>
                <w:szCs w:val="21"/>
                <w:u w:val="single"/>
              </w:rPr>
              <w:t>2</w:t>
            </w:r>
            <w:r>
              <w:rPr>
                <w:rFonts w:hint="eastAsia" w:ascii="宋体" w:hAnsi="宋体" w:eastAsia="宋体" w:cs="宋体"/>
                <w:spacing w:val="-2"/>
                <w:szCs w:val="21"/>
              </w:rPr>
              <w:t>份</w:t>
            </w:r>
          </w:p>
        </w:tc>
      </w:tr>
      <w:tr w14:paraId="27A2D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1760A42B">
            <w:pPr>
              <w:snapToGrid w:val="0"/>
              <w:jc w:val="center"/>
              <w:rPr>
                <w:rFonts w:hint="eastAsia" w:ascii="宋体" w:hAnsi="宋体" w:eastAsia="宋体" w:cs="宋体"/>
                <w:szCs w:val="21"/>
              </w:rPr>
            </w:pPr>
            <w:r>
              <w:rPr>
                <w:rFonts w:hint="eastAsia" w:ascii="宋体" w:hAnsi="宋体" w:eastAsia="宋体" w:cs="宋体"/>
                <w:szCs w:val="21"/>
              </w:rPr>
              <w:t>17</w:t>
            </w:r>
          </w:p>
        </w:tc>
        <w:tc>
          <w:tcPr>
            <w:tcW w:w="1079" w:type="dxa"/>
            <w:noWrap w:val="0"/>
            <w:vAlign w:val="center"/>
          </w:tcPr>
          <w:p w14:paraId="0A0F5568">
            <w:pPr>
              <w:snapToGrid w:val="0"/>
              <w:jc w:val="center"/>
              <w:rPr>
                <w:rFonts w:hint="eastAsia" w:ascii="宋体" w:hAnsi="宋体" w:eastAsia="宋体" w:cs="宋体"/>
                <w:szCs w:val="21"/>
              </w:rPr>
            </w:pPr>
            <w:r>
              <w:rPr>
                <w:rFonts w:hint="eastAsia" w:ascii="宋体" w:hAnsi="宋体" w:eastAsia="宋体" w:cs="宋体"/>
                <w:szCs w:val="21"/>
              </w:rPr>
              <w:t>17.3.3(1)</w:t>
            </w:r>
          </w:p>
        </w:tc>
        <w:tc>
          <w:tcPr>
            <w:tcW w:w="8821" w:type="dxa"/>
            <w:noWrap w:val="0"/>
            <w:vAlign w:val="center"/>
          </w:tcPr>
          <w:p w14:paraId="798277A7">
            <w:pPr>
              <w:snapToGrid w:val="0"/>
              <w:rPr>
                <w:rFonts w:hint="eastAsia" w:ascii="宋体" w:hAnsi="宋体" w:eastAsia="宋体" w:cs="宋体"/>
                <w:spacing w:val="-2"/>
                <w:szCs w:val="21"/>
              </w:rPr>
            </w:pPr>
            <w:r>
              <w:rPr>
                <w:rFonts w:hint="eastAsia" w:ascii="宋体" w:hAnsi="宋体" w:eastAsia="宋体" w:cs="宋体"/>
                <w:szCs w:val="21"/>
              </w:rPr>
              <w:t>进度付款证书最低限额：</w:t>
            </w:r>
            <w:r>
              <w:rPr>
                <w:rFonts w:hint="eastAsia" w:ascii="宋体" w:hAnsi="宋体" w:eastAsia="宋体" w:cs="宋体"/>
                <w:szCs w:val="21"/>
                <w:u w:val="single"/>
              </w:rPr>
              <w:t>无</w:t>
            </w:r>
          </w:p>
        </w:tc>
      </w:tr>
      <w:tr w14:paraId="27B89A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5D183088">
            <w:pPr>
              <w:snapToGrid w:val="0"/>
              <w:jc w:val="center"/>
              <w:rPr>
                <w:rFonts w:hint="eastAsia" w:ascii="宋体" w:hAnsi="宋体" w:eastAsia="宋体" w:cs="宋体"/>
                <w:szCs w:val="21"/>
              </w:rPr>
            </w:pPr>
            <w:r>
              <w:rPr>
                <w:rFonts w:hint="eastAsia" w:ascii="宋体" w:hAnsi="宋体" w:eastAsia="宋体" w:cs="宋体"/>
                <w:szCs w:val="21"/>
              </w:rPr>
              <w:t>18</w:t>
            </w:r>
          </w:p>
        </w:tc>
        <w:tc>
          <w:tcPr>
            <w:tcW w:w="1079" w:type="dxa"/>
            <w:noWrap w:val="0"/>
            <w:vAlign w:val="center"/>
          </w:tcPr>
          <w:p w14:paraId="171B9E34">
            <w:pPr>
              <w:snapToGrid w:val="0"/>
              <w:jc w:val="center"/>
              <w:rPr>
                <w:rFonts w:hint="eastAsia" w:ascii="宋体" w:hAnsi="宋体" w:eastAsia="宋体" w:cs="宋体"/>
                <w:szCs w:val="21"/>
              </w:rPr>
            </w:pPr>
            <w:r>
              <w:rPr>
                <w:rFonts w:hint="eastAsia" w:ascii="宋体" w:hAnsi="宋体" w:eastAsia="宋体" w:cs="宋体"/>
                <w:szCs w:val="21"/>
              </w:rPr>
              <w:t>17.3.3(2)</w:t>
            </w:r>
          </w:p>
        </w:tc>
        <w:tc>
          <w:tcPr>
            <w:tcW w:w="8821" w:type="dxa"/>
            <w:noWrap w:val="0"/>
            <w:vAlign w:val="center"/>
          </w:tcPr>
          <w:p w14:paraId="5D3E6462">
            <w:pPr>
              <w:snapToGrid w:val="0"/>
              <w:rPr>
                <w:rFonts w:hint="eastAsia" w:ascii="宋体" w:hAnsi="宋体" w:eastAsia="宋体" w:cs="宋体"/>
                <w:szCs w:val="21"/>
              </w:rPr>
            </w:pPr>
            <w:r>
              <w:rPr>
                <w:rFonts w:hint="eastAsia" w:ascii="宋体" w:hAnsi="宋体" w:eastAsia="宋体" w:cs="宋体"/>
                <w:szCs w:val="21"/>
              </w:rPr>
              <w:t>逾期付款违约金的利率：中国人民银行短期贷款利率</w:t>
            </w:r>
          </w:p>
        </w:tc>
      </w:tr>
      <w:tr w14:paraId="0EAF0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1307BAEF">
            <w:pPr>
              <w:snapToGrid w:val="0"/>
              <w:jc w:val="center"/>
              <w:rPr>
                <w:rFonts w:hint="eastAsia" w:ascii="宋体" w:hAnsi="宋体" w:eastAsia="宋体" w:cs="宋体"/>
                <w:szCs w:val="21"/>
              </w:rPr>
            </w:pPr>
            <w:r>
              <w:rPr>
                <w:rFonts w:hint="eastAsia" w:ascii="宋体" w:hAnsi="宋体" w:eastAsia="宋体" w:cs="宋体"/>
                <w:szCs w:val="21"/>
              </w:rPr>
              <w:t>19</w:t>
            </w:r>
          </w:p>
        </w:tc>
        <w:tc>
          <w:tcPr>
            <w:tcW w:w="1079" w:type="dxa"/>
            <w:noWrap w:val="0"/>
            <w:vAlign w:val="center"/>
          </w:tcPr>
          <w:p w14:paraId="599A1A97">
            <w:pPr>
              <w:snapToGrid w:val="0"/>
              <w:jc w:val="center"/>
              <w:rPr>
                <w:rFonts w:hint="eastAsia" w:ascii="宋体" w:hAnsi="宋体" w:eastAsia="宋体" w:cs="宋体"/>
                <w:szCs w:val="21"/>
              </w:rPr>
            </w:pPr>
            <w:r>
              <w:rPr>
                <w:rFonts w:hint="eastAsia" w:ascii="宋体" w:hAnsi="宋体" w:eastAsia="宋体" w:cs="宋体"/>
                <w:szCs w:val="21"/>
              </w:rPr>
              <w:t>17.4.1</w:t>
            </w:r>
          </w:p>
        </w:tc>
        <w:tc>
          <w:tcPr>
            <w:tcW w:w="8821" w:type="dxa"/>
            <w:noWrap w:val="0"/>
            <w:vAlign w:val="center"/>
          </w:tcPr>
          <w:p w14:paraId="6F9F8F0C">
            <w:pPr>
              <w:snapToGrid w:val="0"/>
              <w:rPr>
                <w:rFonts w:hint="eastAsia" w:ascii="宋体" w:hAnsi="宋体" w:eastAsia="宋体" w:cs="宋体"/>
                <w:szCs w:val="21"/>
              </w:rPr>
            </w:pPr>
            <w:r>
              <w:rPr>
                <w:rFonts w:hint="eastAsia" w:ascii="宋体" w:hAnsi="宋体" w:eastAsia="宋体" w:cs="宋体"/>
                <w:szCs w:val="21"/>
              </w:rPr>
              <w:t>质量保证金金额：</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%合同价格。质量保证金百分比：当期计量额的</w:t>
            </w:r>
            <w:r>
              <w:rPr>
                <w:rFonts w:hint="eastAsia" w:ascii="宋体" w:hAnsi="宋体" w:eastAsia="宋体" w:cs="宋体"/>
                <w:szCs w:val="21"/>
                <w:u w:val="single"/>
              </w:rPr>
              <w:t xml:space="preserve">  </w:t>
            </w:r>
            <w:r>
              <w:rPr>
                <w:rFonts w:hint="eastAsia" w:ascii="宋体" w:hAnsi="宋体" w:eastAsia="宋体" w:cs="宋体"/>
                <w:szCs w:val="21"/>
              </w:rPr>
              <w:t>%。</w:t>
            </w:r>
          </w:p>
          <w:p w14:paraId="46E2628B">
            <w:pPr>
              <w:snapToGrid w:val="0"/>
              <w:rPr>
                <w:rFonts w:hint="eastAsia" w:ascii="宋体" w:hAnsi="宋体" w:eastAsia="宋体" w:cs="宋体"/>
                <w:sz w:val="24"/>
                <w:u w:val="single"/>
              </w:rPr>
            </w:pPr>
            <w:r>
              <w:rPr>
                <w:rFonts w:hint="eastAsia" w:ascii="宋体" w:hAnsi="宋体" w:eastAsia="宋体" w:cs="宋体"/>
                <w:szCs w:val="21"/>
              </w:rPr>
              <w:t>质量保证金是否计付利息：</w:t>
            </w:r>
            <w:r>
              <w:rPr>
                <w:rFonts w:hint="eastAsia" w:ascii="宋体" w:hAnsi="宋体" w:eastAsia="宋体" w:cs="宋体"/>
                <w:szCs w:val="21"/>
                <w:u w:val="single"/>
              </w:rPr>
              <w:t xml:space="preserve"> 否</w:t>
            </w:r>
          </w:p>
        </w:tc>
      </w:tr>
      <w:tr w14:paraId="0E6E3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2CA8C143">
            <w:pPr>
              <w:snapToGrid w:val="0"/>
              <w:jc w:val="center"/>
              <w:rPr>
                <w:rFonts w:hint="eastAsia" w:ascii="宋体" w:hAnsi="宋体" w:eastAsia="宋体" w:cs="宋体"/>
                <w:szCs w:val="21"/>
              </w:rPr>
            </w:pPr>
            <w:r>
              <w:rPr>
                <w:rFonts w:hint="eastAsia" w:ascii="宋体" w:hAnsi="宋体" w:eastAsia="宋体" w:cs="宋体"/>
                <w:szCs w:val="21"/>
              </w:rPr>
              <w:t>20</w:t>
            </w:r>
          </w:p>
        </w:tc>
        <w:tc>
          <w:tcPr>
            <w:tcW w:w="1079" w:type="dxa"/>
            <w:noWrap w:val="0"/>
            <w:vAlign w:val="center"/>
          </w:tcPr>
          <w:p w14:paraId="1D079907">
            <w:pPr>
              <w:snapToGrid w:val="0"/>
              <w:jc w:val="center"/>
              <w:rPr>
                <w:rFonts w:hint="eastAsia" w:ascii="宋体" w:hAnsi="宋体" w:eastAsia="宋体" w:cs="宋体"/>
                <w:szCs w:val="21"/>
              </w:rPr>
            </w:pPr>
            <w:r>
              <w:rPr>
                <w:rFonts w:hint="eastAsia" w:ascii="宋体" w:hAnsi="宋体" w:eastAsia="宋体" w:cs="宋体"/>
                <w:szCs w:val="21"/>
              </w:rPr>
              <w:t>17.5.1</w:t>
            </w:r>
          </w:p>
        </w:tc>
        <w:tc>
          <w:tcPr>
            <w:tcW w:w="8821" w:type="dxa"/>
            <w:noWrap w:val="0"/>
            <w:vAlign w:val="center"/>
          </w:tcPr>
          <w:p w14:paraId="38932488">
            <w:pPr>
              <w:snapToGrid w:val="0"/>
              <w:rPr>
                <w:rFonts w:hint="eastAsia" w:ascii="宋体" w:hAnsi="宋体" w:eastAsia="宋体" w:cs="宋体"/>
                <w:szCs w:val="21"/>
              </w:rPr>
            </w:pPr>
            <w:r>
              <w:rPr>
                <w:rFonts w:hint="eastAsia" w:ascii="宋体" w:hAnsi="宋体" w:eastAsia="宋体" w:cs="宋体"/>
                <w:szCs w:val="21"/>
              </w:rPr>
              <w:t>承包人向发包人提交付款申请单(包括相关证明材料)的份数：</w:t>
            </w:r>
            <w:r>
              <w:rPr>
                <w:rFonts w:hint="eastAsia" w:ascii="宋体" w:hAnsi="宋体" w:eastAsia="宋体" w:cs="宋体"/>
                <w:szCs w:val="21"/>
                <w:u w:val="single"/>
              </w:rPr>
              <w:t>3</w:t>
            </w:r>
            <w:r>
              <w:rPr>
                <w:rFonts w:hint="eastAsia" w:ascii="宋体" w:hAnsi="宋体" w:eastAsia="宋体" w:cs="宋体"/>
                <w:szCs w:val="21"/>
              </w:rPr>
              <w:t>份</w:t>
            </w:r>
          </w:p>
        </w:tc>
      </w:tr>
      <w:tr w14:paraId="21F76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42D6889A">
            <w:pPr>
              <w:jc w:val="center"/>
              <w:rPr>
                <w:rFonts w:hint="eastAsia" w:ascii="宋体" w:hAnsi="宋体" w:eastAsia="宋体" w:cs="宋体"/>
                <w:szCs w:val="21"/>
              </w:rPr>
            </w:pPr>
            <w:r>
              <w:rPr>
                <w:rFonts w:hint="eastAsia" w:ascii="宋体" w:hAnsi="宋体" w:eastAsia="宋体" w:cs="宋体"/>
                <w:szCs w:val="21"/>
              </w:rPr>
              <w:t>21</w:t>
            </w:r>
          </w:p>
        </w:tc>
        <w:tc>
          <w:tcPr>
            <w:tcW w:w="1079" w:type="dxa"/>
            <w:noWrap w:val="0"/>
            <w:vAlign w:val="center"/>
          </w:tcPr>
          <w:p w14:paraId="3D5B426C">
            <w:pPr>
              <w:snapToGrid w:val="0"/>
              <w:jc w:val="center"/>
              <w:rPr>
                <w:rFonts w:hint="eastAsia" w:ascii="宋体" w:hAnsi="宋体" w:eastAsia="宋体" w:cs="宋体"/>
                <w:szCs w:val="21"/>
              </w:rPr>
            </w:pPr>
            <w:r>
              <w:rPr>
                <w:rFonts w:hint="eastAsia" w:ascii="宋体" w:hAnsi="宋体" w:eastAsia="宋体" w:cs="宋体"/>
                <w:szCs w:val="21"/>
              </w:rPr>
              <w:t>17.6.1</w:t>
            </w:r>
          </w:p>
        </w:tc>
        <w:tc>
          <w:tcPr>
            <w:tcW w:w="8821" w:type="dxa"/>
            <w:noWrap w:val="0"/>
            <w:vAlign w:val="center"/>
          </w:tcPr>
          <w:p w14:paraId="78889DBB">
            <w:pPr>
              <w:snapToGrid w:val="0"/>
              <w:rPr>
                <w:rFonts w:hint="eastAsia" w:ascii="宋体" w:hAnsi="宋体" w:eastAsia="宋体" w:cs="宋体"/>
                <w:szCs w:val="21"/>
              </w:rPr>
            </w:pPr>
            <w:r>
              <w:rPr>
                <w:rFonts w:hint="eastAsia" w:ascii="宋体" w:hAnsi="宋体" w:eastAsia="宋体" w:cs="宋体"/>
                <w:szCs w:val="21"/>
              </w:rPr>
              <w:t>承包人向发包人提交最终结清申请单(包括相关证明材料)的份数：</w:t>
            </w:r>
            <w:r>
              <w:rPr>
                <w:rFonts w:hint="eastAsia" w:ascii="宋体" w:hAnsi="宋体" w:eastAsia="宋体" w:cs="宋体"/>
                <w:szCs w:val="21"/>
                <w:u w:val="single"/>
              </w:rPr>
              <w:t>3</w:t>
            </w:r>
            <w:r>
              <w:rPr>
                <w:rFonts w:hint="eastAsia" w:ascii="宋体" w:hAnsi="宋体" w:eastAsia="宋体" w:cs="宋体"/>
                <w:szCs w:val="21"/>
              </w:rPr>
              <w:t>份</w:t>
            </w:r>
          </w:p>
        </w:tc>
      </w:tr>
      <w:tr w14:paraId="2DD15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0664BE48">
            <w:pPr>
              <w:snapToGrid w:val="0"/>
              <w:jc w:val="center"/>
              <w:rPr>
                <w:rFonts w:hint="eastAsia" w:ascii="宋体" w:hAnsi="宋体" w:eastAsia="宋体" w:cs="宋体"/>
                <w:szCs w:val="21"/>
              </w:rPr>
            </w:pPr>
            <w:r>
              <w:rPr>
                <w:rFonts w:hint="eastAsia" w:ascii="宋体" w:hAnsi="宋体" w:eastAsia="宋体" w:cs="宋体"/>
                <w:szCs w:val="21"/>
              </w:rPr>
              <w:t>22</w:t>
            </w:r>
          </w:p>
        </w:tc>
        <w:tc>
          <w:tcPr>
            <w:tcW w:w="1079" w:type="dxa"/>
            <w:tcBorders>
              <w:bottom w:val="single" w:color="auto" w:sz="4" w:space="0"/>
            </w:tcBorders>
            <w:noWrap w:val="0"/>
            <w:vAlign w:val="center"/>
          </w:tcPr>
          <w:p w14:paraId="6F50AC91">
            <w:pPr>
              <w:snapToGrid w:val="0"/>
              <w:jc w:val="center"/>
              <w:rPr>
                <w:rFonts w:hint="eastAsia" w:ascii="宋体" w:hAnsi="宋体" w:eastAsia="宋体" w:cs="宋体"/>
                <w:szCs w:val="21"/>
              </w:rPr>
            </w:pPr>
            <w:r>
              <w:rPr>
                <w:rFonts w:hint="eastAsia" w:ascii="宋体" w:hAnsi="宋体" w:eastAsia="宋体" w:cs="宋体"/>
                <w:szCs w:val="21"/>
              </w:rPr>
              <w:t>18.2</w:t>
            </w:r>
          </w:p>
        </w:tc>
        <w:tc>
          <w:tcPr>
            <w:tcW w:w="8821" w:type="dxa"/>
            <w:tcBorders>
              <w:bottom w:val="single" w:color="auto" w:sz="4" w:space="0"/>
            </w:tcBorders>
            <w:noWrap w:val="0"/>
            <w:vAlign w:val="center"/>
          </w:tcPr>
          <w:p w14:paraId="3BCFAFDE">
            <w:pPr>
              <w:snapToGrid w:val="0"/>
              <w:rPr>
                <w:rFonts w:hint="eastAsia" w:ascii="宋体" w:hAnsi="宋体" w:eastAsia="宋体" w:cs="宋体"/>
                <w:szCs w:val="21"/>
              </w:rPr>
            </w:pPr>
            <w:r>
              <w:rPr>
                <w:rFonts w:hint="eastAsia" w:ascii="宋体" w:hAnsi="宋体" w:eastAsia="宋体" w:cs="宋体"/>
              </w:rPr>
              <w:t>竣工资料的份数：</w:t>
            </w:r>
            <w:r>
              <w:rPr>
                <w:rFonts w:hint="eastAsia" w:ascii="宋体" w:hAnsi="宋体" w:eastAsia="宋体" w:cs="宋体"/>
                <w:u w:val="single"/>
              </w:rPr>
              <w:t>4</w:t>
            </w:r>
            <w:r>
              <w:rPr>
                <w:rFonts w:hint="eastAsia" w:ascii="宋体" w:hAnsi="宋体" w:eastAsia="宋体" w:cs="宋体"/>
              </w:rPr>
              <w:t>份，以及电子文档</w:t>
            </w:r>
            <w:r>
              <w:rPr>
                <w:rFonts w:hint="eastAsia" w:ascii="宋体" w:hAnsi="宋体" w:eastAsia="宋体" w:cs="宋体"/>
                <w:u w:val="single"/>
              </w:rPr>
              <w:t xml:space="preserve"> 1 </w:t>
            </w:r>
            <w:r>
              <w:rPr>
                <w:rFonts w:hint="eastAsia" w:ascii="宋体" w:hAnsi="宋体" w:eastAsia="宋体" w:cs="宋体"/>
              </w:rPr>
              <w:t>套</w:t>
            </w:r>
          </w:p>
        </w:tc>
      </w:tr>
      <w:tr w14:paraId="54A5B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bottom w:val="single" w:color="auto" w:sz="4" w:space="0"/>
            </w:tcBorders>
            <w:noWrap w:val="0"/>
            <w:vAlign w:val="center"/>
          </w:tcPr>
          <w:p w14:paraId="4413AAAE">
            <w:pPr>
              <w:snapToGrid w:val="0"/>
              <w:jc w:val="center"/>
              <w:rPr>
                <w:rFonts w:hint="eastAsia" w:ascii="宋体" w:hAnsi="宋体" w:eastAsia="宋体" w:cs="宋体"/>
                <w:szCs w:val="21"/>
              </w:rPr>
            </w:pPr>
            <w:r>
              <w:rPr>
                <w:rFonts w:hint="eastAsia" w:ascii="宋体" w:hAnsi="宋体" w:eastAsia="宋体" w:cs="宋体"/>
                <w:szCs w:val="21"/>
              </w:rPr>
              <w:t>23</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6F7476EF">
            <w:pPr>
              <w:snapToGrid w:val="0"/>
              <w:jc w:val="center"/>
              <w:rPr>
                <w:rFonts w:hint="eastAsia" w:ascii="宋体" w:hAnsi="宋体" w:eastAsia="宋体" w:cs="宋体"/>
                <w:szCs w:val="21"/>
              </w:rPr>
            </w:pPr>
            <w:r>
              <w:rPr>
                <w:rFonts w:hint="eastAsia" w:ascii="宋体" w:hAnsi="宋体" w:eastAsia="宋体" w:cs="宋体"/>
                <w:szCs w:val="21"/>
              </w:rPr>
              <w:t>18.5.1</w:t>
            </w:r>
          </w:p>
        </w:tc>
        <w:tc>
          <w:tcPr>
            <w:tcW w:w="8821" w:type="dxa"/>
            <w:tcBorders>
              <w:top w:val="single" w:color="auto" w:sz="4" w:space="0"/>
              <w:left w:val="single" w:color="auto" w:sz="4" w:space="0"/>
              <w:bottom w:val="single" w:color="auto" w:sz="4" w:space="0"/>
              <w:right w:val="single" w:color="auto" w:sz="4" w:space="0"/>
            </w:tcBorders>
            <w:noWrap w:val="0"/>
            <w:vAlign w:val="center"/>
          </w:tcPr>
          <w:p w14:paraId="5F98210B">
            <w:pPr>
              <w:rPr>
                <w:rFonts w:hint="eastAsia" w:ascii="宋体" w:hAnsi="宋体" w:eastAsia="宋体" w:cs="宋体"/>
                <w:szCs w:val="21"/>
              </w:rPr>
            </w:pPr>
            <w:r>
              <w:rPr>
                <w:rFonts w:hint="eastAsia" w:ascii="宋体" w:hAnsi="宋体" w:eastAsia="宋体" w:cs="宋体"/>
                <w:szCs w:val="21"/>
              </w:rPr>
              <w:t>单位工程或工程设备是否需投入施工期运行：</w:t>
            </w:r>
            <w:r>
              <w:rPr>
                <w:rFonts w:hint="eastAsia" w:ascii="宋体" w:hAnsi="宋体" w:eastAsia="宋体" w:cs="宋体"/>
                <w:szCs w:val="21"/>
                <w:u w:val="single"/>
              </w:rPr>
              <w:t xml:space="preserve">否 </w:t>
            </w:r>
          </w:p>
        </w:tc>
      </w:tr>
      <w:tr w14:paraId="3B3A8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4BB7698D">
            <w:pPr>
              <w:snapToGrid w:val="0"/>
              <w:jc w:val="center"/>
              <w:rPr>
                <w:rFonts w:hint="eastAsia" w:ascii="宋体" w:hAnsi="宋体" w:eastAsia="宋体" w:cs="宋体"/>
                <w:szCs w:val="21"/>
              </w:rPr>
            </w:pPr>
            <w:r>
              <w:rPr>
                <w:rFonts w:hint="eastAsia" w:ascii="宋体" w:hAnsi="宋体" w:eastAsia="宋体" w:cs="宋体"/>
                <w:szCs w:val="21"/>
              </w:rPr>
              <w:t>24</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7F2CBC3C">
            <w:pPr>
              <w:snapToGrid w:val="0"/>
              <w:jc w:val="center"/>
              <w:rPr>
                <w:rFonts w:hint="eastAsia" w:ascii="宋体" w:hAnsi="宋体" w:eastAsia="宋体" w:cs="宋体"/>
                <w:szCs w:val="21"/>
              </w:rPr>
            </w:pPr>
            <w:r>
              <w:rPr>
                <w:rFonts w:hint="eastAsia" w:ascii="宋体" w:hAnsi="宋体" w:eastAsia="宋体" w:cs="宋体"/>
                <w:szCs w:val="21"/>
              </w:rPr>
              <w:t>18.6.1</w:t>
            </w:r>
          </w:p>
        </w:tc>
        <w:tc>
          <w:tcPr>
            <w:tcW w:w="8821" w:type="dxa"/>
            <w:tcBorders>
              <w:top w:val="single" w:color="auto" w:sz="4" w:space="0"/>
              <w:left w:val="single" w:color="auto" w:sz="4" w:space="0"/>
              <w:bottom w:val="single" w:color="auto" w:sz="4" w:space="0"/>
              <w:right w:val="single" w:color="auto" w:sz="4" w:space="0"/>
            </w:tcBorders>
            <w:noWrap w:val="0"/>
            <w:vAlign w:val="center"/>
          </w:tcPr>
          <w:p w14:paraId="2760FDFF">
            <w:pPr>
              <w:rPr>
                <w:rFonts w:hint="eastAsia" w:ascii="宋体" w:hAnsi="宋体" w:eastAsia="宋体" w:cs="宋体"/>
                <w:szCs w:val="21"/>
              </w:rPr>
            </w:pPr>
            <w:r>
              <w:rPr>
                <w:rFonts w:hint="eastAsia" w:ascii="宋体" w:hAnsi="宋体" w:eastAsia="宋体" w:cs="宋体"/>
                <w:szCs w:val="21"/>
              </w:rPr>
              <w:t>本工程及工程设备是否进行试运行：</w:t>
            </w:r>
            <w:r>
              <w:rPr>
                <w:rFonts w:hint="eastAsia" w:ascii="宋体" w:hAnsi="宋体" w:eastAsia="宋体" w:cs="宋体"/>
                <w:szCs w:val="21"/>
                <w:u w:val="single"/>
              </w:rPr>
              <w:t xml:space="preserve">否 </w:t>
            </w:r>
          </w:p>
        </w:tc>
      </w:tr>
      <w:tr w14:paraId="14555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74D2D19D">
            <w:pPr>
              <w:snapToGrid w:val="0"/>
              <w:jc w:val="center"/>
              <w:rPr>
                <w:rFonts w:hint="eastAsia" w:ascii="宋体" w:hAnsi="宋体" w:eastAsia="宋体" w:cs="宋体"/>
                <w:szCs w:val="21"/>
              </w:rPr>
            </w:pPr>
            <w:r>
              <w:rPr>
                <w:rFonts w:hint="eastAsia" w:ascii="宋体" w:hAnsi="宋体" w:eastAsia="宋体" w:cs="宋体"/>
                <w:szCs w:val="21"/>
              </w:rPr>
              <w:t>25</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20096630">
            <w:pPr>
              <w:jc w:val="center"/>
              <w:rPr>
                <w:rFonts w:hint="eastAsia" w:ascii="宋体" w:hAnsi="宋体" w:eastAsia="宋体" w:cs="宋体"/>
                <w:szCs w:val="21"/>
              </w:rPr>
            </w:pPr>
            <w:r>
              <w:rPr>
                <w:rFonts w:hint="eastAsia" w:ascii="宋体" w:hAnsi="宋体" w:eastAsia="宋体" w:cs="宋体"/>
                <w:szCs w:val="21"/>
              </w:rPr>
              <w:t>20.1</w:t>
            </w:r>
          </w:p>
        </w:tc>
        <w:tc>
          <w:tcPr>
            <w:tcW w:w="8821" w:type="dxa"/>
            <w:tcBorders>
              <w:top w:val="single" w:color="auto" w:sz="4" w:space="0"/>
              <w:left w:val="single" w:color="auto" w:sz="4" w:space="0"/>
              <w:bottom w:val="single" w:color="auto" w:sz="4" w:space="0"/>
              <w:right w:val="single" w:color="auto" w:sz="4" w:space="0"/>
            </w:tcBorders>
            <w:noWrap w:val="0"/>
            <w:vAlign w:val="center"/>
          </w:tcPr>
          <w:p w14:paraId="275AA6F6">
            <w:pPr>
              <w:rPr>
                <w:rFonts w:hint="eastAsia" w:ascii="宋体" w:hAnsi="宋体" w:eastAsia="宋体" w:cs="宋体"/>
                <w:szCs w:val="21"/>
              </w:rPr>
            </w:pPr>
            <w:r>
              <w:rPr>
                <w:rFonts w:hint="eastAsia" w:ascii="宋体" w:hAnsi="宋体" w:eastAsia="宋体" w:cs="宋体"/>
                <w:szCs w:val="21"/>
              </w:rPr>
              <w:t>建筑工程一切险的保险费率：详见清单控制价。</w:t>
            </w:r>
          </w:p>
        </w:tc>
      </w:tr>
      <w:tr w14:paraId="2E58D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2283E6A8">
            <w:pPr>
              <w:snapToGrid w:val="0"/>
              <w:jc w:val="center"/>
              <w:rPr>
                <w:rFonts w:hint="eastAsia" w:ascii="宋体" w:hAnsi="宋体" w:eastAsia="宋体" w:cs="宋体"/>
                <w:szCs w:val="21"/>
              </w:rPr>
            </w:pPr>
            <w:r>
              <w:rPr>
                <w:rFonts w:hint="eastAsia" w:ascii="宋体" w:hAnsi="宋体" w:eastAsia="宋体" w:cs="宋体"/>
                <w:szCs w:val="21"/>
              </w:rPr>
              <w:t>26</w:t>
            </w:r>
          </w:p>
        </w:tc>
        <w:tc>
          <w:tcPr>
            <w:tcW w:w="1079" w:type="dxa"/>
            <w:tcBorders>
              <w:top w:val="single" w:color="auto" w:sz="4" w:space="0"/>
              <w:left w:val="single" w:color="auto" w:sz="4" w:space="0"/>
              <w:bottom w:val="single" w:color="auto" w:sz="4" w:space="0"/>
              <w:right w:val="single" w:color="auto" w:sz="4" w:space="0"/>
            </w:tcBorders>
            <w:noWrap w:val="0"/>
            <w:vAlign w:val="center"/>
          </w:tcPr>
          <w:p w14:paraId="56F117AE">
            <w:pPr>
              <w:jc w:val="center"/>
              <w:rPr>
                <w:rFonts w:hint="eastAsia" w:ascii="宋体" w:hAnsi="宋体" w:eastAsia="宋体" w:cs="宋体"/>
                <w:szCs w:val="21"/>
              </w:rPr>
            </w:pPr>
            <w:r>
              <w:rPr>
                <w:rFonts w:hint="eastAsia" w:ascii="宋体" w:hAnsi="宋体" w:eastAsia="宋体" w:cs="宋体"/>
                <w:szCs w:val="21"/>
              </w:rPr>
              <w:t>20.3</w:t>
            </w:r>
          </w:p>
        </w:tc>
        <w:tc>
          <w:tcPr>
            <w:tcW w:w="8821" w:type="dxa"/>
            <w:tcBorders>
              <w:top w:val="single" w:color="auto" w:sz="4" w:space="0"/>
              <w:left w:val="single" w:color="auto" w:sz="4" w:space="0"/>
              <w:bottom w:val="single" w:color="auto" w:sz="4" w:space="0"/>
              <w:right w:val="single" w:color="auto" w:sz="4" w:space="0"/>
            </w:tcBorders>
            <w:noWrap w:val="0"/>
            <w:vAlign w:val="center"/>
          </w:tcPr>
          <w:p w14:paraId="4A6EAFE8">
            <w:pPr>
              <w:rPr>
                <w:rFonts w:hint="eastAsia" w:ascii="宋体" w:hAnsi="宋体" w:eastAsia="宋体" w:cs="宋体"/>
                <w:sz w:val="24"/>
              </w:rPr>
            </w:pPr>
            <w:r>
              <w:rPr>
                <w:rFonts w:hint="eastAsia" w:ascii="宋体" w:hAnsi="宋体" w:eastAsia="宋体" w:cs="宋体"/>
              </w:rPr>
              <w:t>承包人职工的人身意外伤害险投保金额为（最低赔付限</w:t>
            </w:r>
            <w:r>
              <w:rPr>
                <w:rFonts w:hint="eastAsia" w:ascii="宋体" w:hAnsi="宋体" w:eastAsia="宋体" w:cs="宋体"/>
                <w:szCs w:val="21"/>
              </w:rPr>
              <w:t>额为不少于）100万元/人</w:t>
            </w:r>
          </w:p>
        </w:tc>
      </w:tr>
      <w:tr w14:paraId="4AC2A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tcBorders>
              <w:top w:val="single" w:color="auto" w:sz="4" w:space="0"/>
              <w:left w:val="single" w:color="auto" w:sz="4" w:space="0"/>
              <w:bottom w:val="single" w:color="auto" w:sz="4" w:space="0"/>
              <w:right w:val="single" w:color="auto" w:sz="4" w:space="0"/>
            </w:tcBorders>
            <w:noWrap w:val="0"/>
            <w:vAlign w:val="center"/>
          </w:tcPr>
          <w:p w14:paraId="5B278275">
            <w:pPr>
              <w:snapToGrid w:val="0"/>
              <w:jc w:val="center"/>
              <w:rPr>
                <w:rFonts w:hint="eastAsia" w:ascii="宋体" w:hAnsi="宋体" w:eastAsia="宋体" w:cs="宋体"/>
                <w:szCs w:val="21"/>
              </w:rPr>
            </w:pPr>
            <w:r>
              <w:rPr>
                <w:rFonts w:hint="eastAsia" w:ascii="宋体" w:hAnsi="宋体" w:eastAsia="宋体" w:cs="宋体"/>
                <w:szCs w:val="21"/>
              </w:rPr>
              <w:t>27</w:t>
            </w:r>
          </w:p>
        </w:tc>
        <w:tc>
          <w:tcPr>
            <w:tcW w:w="1079" w:type="dxa"/>
            <w:noWrap w:val="0"/>
            <w:vAlign w:val="center"/>
          </w:tcPr>
          <w:p w14:paraId="6FFDCD04">
            <w:pPr>
              <w:snapToGrid w:val="0"/>
              <w:jc w:val="center"/>
              <w:rPr>
                <w:rFonts w:hint="eastAsia" w:ascii="宋体" w:hAnsi="宋体" w:eastAsia="宋体" w:cs="宋体"/>
                <w:szCs w:val="21"/>
              </w:rPr>
            </w:pPr>
            <w:r>
              <w:rPr>
                <w:rFonts w:hint="eastAsia" w:ascii="宋体" w:hAnsi="宋体" w:eastAsia="宋体" w:cs="宋体"/>
                <w:szCs w:val="21"/>
              </w:rPr>
              <w:t>20.4.2</w:t>
            </w:r>
          </w:p>
        </w:tc>
        <w:tc>
          <w:tcPr>
            <w:tcW w:w="8821" w:type="dxa"/>
            <w:noWrap w:val="0"/>
            <w:vAlign w:val="center"/>
          </w:tcPr>
          <w:p w14:paraId="1431C80C">
            <w:pPr>
              <w:snapToGrid w:val="0"/>
              <w:rPr>
                <w:rFonts w:hint="eastAsia" w:ascii="宋体" w:hAnsi="宋体" w:eastAsia="宋体" w:cs="宋体"/>
                <w:szCs w:val="21"/>
              </w:rPr>
            </w:pPr>
            <w:r>
              <w:rPr>
                <w:rFonts w:hint="eastAsia" w:ascii="宋体" w:hAnsi="宋体" w:eastAsia="宋体" w:cs="宋体"/>
                <w:szCs w:val="21"/>
              </w:rPr>
              <w:t>第三者责任险的最低投保金额：</w:t>
            </w:r>
            <w:r>
              <w:rPr>
                <w:rFonts w:hint="eastAsia" w:ascii="宋体" w:hAnsi="宋体" w:eastAsia="宋体" w:cs="宋体"/>
                <w:szCs w:val="21"/>
                <w:u w:val="single"/>
              </w:rPr>
              <w:t>100</w:t>
            </w:r>
            <w:r>
              <w:rPr>
                <w:rFonts w:hint="eastAsia" w:ascii="宋体" w:hAnsi="宋体" w:eastAsia="宋体" w:cs="宋体"/>
                <w:szCs w:val="21"/>
              </w:rPr>
              <w:t>万元，事故次数不限(不计免赔额)</w:t>
            </w:r>
          </w:p>
          <w:p w14:paraId="313D799E">
            <w:pPr>
              <w:snapToGrid w:val="0"/>
              <w:rPr>
                <w:rFonts w:hint="eastAsia" w:ascii="宋体" w:hAnsi="宋体" w:eastAsia="宋体" w:cs="宋体"/>
              </w:rPr>
            </w:pPr>
            <w:r>
              <w:rPr>
                <w:rFonts w:hint="eastAsia" w:ascii="宋体" w:hAnsi="宋体" w:eastAsia="宋体" w:cs="宋体"/>
                <w:szCs w:val="21"/>
              </w:rPr>
              <w:t>保险费率：详见清单控制价。</w:t>
            </w:r>
          </w:p>
        </w:tc>
      </w:tr>
      <w:tr w14:paraId="4F4C8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00B73A1B">
            <w:pPr>
              <w:jc w:val="center"/>
              <w:rPr>
                <w:rFonts w:hint="eastAsia" w:ascii="宋体" w:hAnsi="宋体" w:eastAsia="宋体" w:cs="宋体"/>
                <w:szCs w:val="21"/>
              </w:rPr>
            </w:pPr>
            <w:r>
              <w:rPr>
                <w:rFonts w:hint="eastAsia" w:ascii="宋体" w:hAnsi="宋体" w:eastAsia="宋体" w:cs="宋体"/>
                <w:szCs w:val="21"/>
              </w:rPr>
              <w:t>28</w:t>
            </w:r>
          </w:p>
        </w:tc>
        <w:tc>
          <w:tcPr>
            <w:tcW w:w="1079" w:type="dxa"/>
            <w:noWrap w:val="0"/>
            <w:vAlign w:val="center"/>
          </w:tcPr>
          <w:p w14:paraId="27097908">
            <w:pPr>
              <w:snapToGrid w:val="0"/>
              <w:jc w:val="center"/>
              <w:rPr>
                <w:rFonts w:hint="eastAsia" w:ascii="宋体" w:hAnsi="宋体" w:eastAsia="宋体" w:cs="宋体"/>
                <w:szCs w:val="21"/>
              </w:rPr>
            </w:pPr>
            <w:r>
              <w:rPr>
                <w:rFonts w:hint="eastAsia" w:ascii="宋体" w:hAnsi="宋体" w:eastAsia="宋体" w:cs="宋体"/>
                <w:szCs w:val="21"/>
              </w:rPr>
              <w:t>24.1</w:t>
            </w:r>
          </w:p>
        </w:tc>
        <w:tc>
          <w:tcPr>
            <w:tcW w:w="8821" w:type="dxa"/>
            <w:noWrap w:val="0"/>
            <w:vAlign w:val="center"/>
          </w:tcPr>
          <w:p w14:paraId="776EC6D0">
            <w:pPr>
              <w:snapToGrid w:val="0"/>
              <w:rPr>
                <w:rFonts w:hint="eastAsia" w:ascii="宋体" w:hAnsi="宋体" w:eastAsia="宋体" w:cs="宋体"/>
                <w:szCs w:val="21"/>
              </w:rPr>
            </w:pPr>
            <w:r>
              <w:rPr>
                <w:rFonts w:hint="eastAsia" w:ascii="宋体" w:hAnsi="宋体" w:eastAsia="宋体" w:cs="宋体"/>
                <w:szCs w:val="21"/>
              </w:rPr>
              <w:t>争议的最终解决方式：</w:t>
            </w:r>
            <w:r>
              <w:rPr>
                <w:rFonts w:hint="eastAsia" w:ascii="宋体" w:hAnsi="宋体" w:eastAsia="宋体" w:cs="宋体"/>
                <w:color w:val="auto"/>
                <w:sz w:val="24"/>
              </w:rPr>
              <w:t>具有管辖权的人民法院诉讼</w:t>
            </w:r>
          </w:p>
        </w:tc>
      </w:tr>
      <w:tr w14:paraId="636F66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0" w:type="dxa"/>
            <w:noWrap w:val="0"/>
            <w:vAlign w:val="center"/>
          </w:tcPr>
          <w:p w14:paraId="4F07492B">
            <w:pPr>
              <w:jc w:val="center"/>
              <w:rPr>
                <w:rFonts w:hint="eastAsia" w:ascii="宋体" w:hAnsi="宋体" w:eastAsia="宋体" w:cs="宋体"/>
                <w:szCs w:val="21"/>
                <w:lang w:val="en-US" w:eastAsia="zh-CN"/>
              </w:rPr>
            </w:pPr>
            <w:r>
              <w:rPr>
                <w:rFonts w:hint="eastAsia" w:ascii="宋体" w:hAnsi="宋体" w:eastAsia="宋体" w:cs="宋体"/>
                <w:szCs w:val="21"/>
                <w:lang w:val="en-US" w:eastAsia="zh-CN"/>
              </w:rPr>
              <w:t>29</w:t>
            </w:r>
          </w:p>
        </w:tc>
        <w:tc>
          <w:tcPr>
            <w:tcW w:w="1079" w:type="dxa"/>
            <w:noWrap w:val="0"/>
            <w:vAlign w:val="center"/>
          </w:tcPr>
          <w:p w14:paraId="1E97ECA4">
            <w:pPr>
              <w:snapToGrid w:val="0"/>
              <w:jc w:val="center"/>
              <w:rPr>
                <w:rFonts w:hint="eastAsia" w:ascii="宋体" w:hAnsi="宋体" w:eastAsia="宋体" w:cs="宋体"/>
                <w:szCs w:val="21"/>
                <w:lang w:val="en-US" w:eastAsia="zh-CN"/>
              </w:rPr>
            </w:pPr>
            <w:r>
              <w:rPr>
                <w:rFonts w:hint="eastAsia" w:ascii="宋体" w:hAnsi="宋体" w:eastAsia="宋体" w:cs="宋体"/>
                <w:szCs w:val="21"/>
                <w:lang w:val="en-US" w:eastAsia="zh-CN"/>
              </w:rPr>
              <w:t>25</w:t>
            </w:r>
          </w:p>
        </w:tc>
        <w:tc>
          <w:tcPr>
            <w:tcW w:w="8821" w:type="dxa"/>
            <w:noWrap w:val="0"/>
            <w:vAlign w:val="center"/>
          </w:tcPr>
          <w:p w14:paraId="25151503">
            <w:pPr>
              <w:snapToGrid w:val="0"/>
              <w:rPr>
                <w:rFonts w:hint="eastAsia" w:ascii="宋体" w:hAnsi="宋体" w:eastAsia="宋体" w:cs="宋体"/>
                <w:szCs w:val="21"/>
              </w:rPr>
            </w:pPr>
            <w:r>
              <w:rPr>
                <w:rFonts w:hint="eastAsia" w:ascii="宋体" w:hAnsi="宋体" w:eastAsia="宋体" w:cs="宋体"/>
                <w:szCs w:val="21"/>
              </w:rPr>
              <w:t>按季度支付，根据季度养护产生并经核实的实际工作量结合中标综合单价，按实际结算，最后一季养护费用在合同终止并经检查核定后支付。</w:t>
            </w:r>
          </w:p>
        </w:tc>
      </w:tr>
    </w:tbl>
    <w:p w14:paraId="34757F18">
      <w:pPr>
        <w:spacing w:line="400" w:lineRule="exact"/>
        <w:ind w:right="1080"/>
        <w:jc w:val="right"/>
        <w:rPr>
          <w:rFonts w:hint="eastAsia" w:ascii="宋体" w:hAnsi="宋体" w:eastAsia="宋体" w:cs="宋体"/>
          <w:b/>
          <w:sz w:val="24"/>
        </w:rPr>
        <w:sectPr>
          <w:footerReference r:id="rId6" w:type="first"/>
          <w:footerReference r:id="rId5" w:type="default"/>
          <w:footnotePr>
            <w:numFmt w:val="decimalEnclosedCircleChinese"/>
            <w:numRestart w:val="eachPage"/>
          </w:footnotePr>
          <w:pgSz w:w="11906" w:h="16838"/>
          <w:pgMar w:top="1440" w:right="1440" w:bottom="1440" w:left="1440" w:header="851" w:footer="992" w:gutter="0"/>
          <w:pgNumType w:fmt="decimal" w:start="1"/>
          <w:cols w:space="720" w:num="1"/>
          <w:titlePg/>
          <w:docGrid w:linePitch="312" w:charSpace="0"/>
        </w:sectPr>
      </w:pPr>
    </w:p>
    <w:p w14:paraId="7CBC53F9">
      <w:pPr>
        <w:spacing w:before="240" w:after="240" w:line="420" w:lineRule="atLeast"/>
        <w:jc w:val="center"/>
        <w:rPr>
          <w:rFonts w:hint="eastAsia" w:ascii="宋体" w:hAnsi="宋体" w:eastAsia="宋体" w:cs="宋体"/>
          <w:b/>
          <w:sz w:val="24"/>
        </w:rPr>
      </w:pPr>
      <w:r>
        <w:rPr>
          <w:rFonts w:hint="eastAsia" w:ascii="宋体" w:hAnsi="宋体" w:eastAsia="宋体" w:cs="宋体"/>
          <w:b/>
          <w:sz w:val="24"/>
        </w:rPr>
        <w:t>项目专用合同条款</w:t>
      </w:r>
    </w:p>
    <w:p w14:paraId="16A00927">
      <w:pPr>
        <w:spacing w:line="380" w:lineRule="exact"/>
        <w:ind w:firstLine="420"/>
        <w:rPr>
          <w:rFonts w:hint="eastAsia" w:ascii="宋体" w:hAnsi="宋体" w:eastAsia="宋体" w:cs="宋体"/>
          <w:szCs w:val="21"/>
        </w:rPr>
      </w:pPr>
      <w:bookmarkStart w:id="47" w:name="_Toc22734"/>
      <w:r>
        <w:rPr>
          <w:rFonts w:hint="eastAsia" w:ascii="宋体" w:hAnsi="宋体" w:eastAsia="宋体" w:cs="宋体"/>
          <w:szCs w:val="21"/>
        </w:rPr>
        <w:t>1 一般约定</w:t>
      </w:r>
    </w:p>
    <w:p w14:paraId="6AF005F0">
      <w:pPr>
        <w:spacing w:line="380" w:lineRule="exact"/>
        <w:ind w:firstLine="420"/>
        <w:rPr>
          <w:rFonts w:hint="eastAsia" w:ascii="宋体" w:hAnsi="宋体" w:eastAsia="宋体" w:cs="宋体"/>
          <w:szCs w:val="21"/>
        </w:rPr>
      </w:pPr>
      <w:r>
        <w:rPr>
          <w:rFonts w:hint="eastAsia" w:ascii="宋体" w:hAnsi="宋体" w:eastAsia="宋体" w:cs="宋体"/>
          <w:szCs w:val="21"/>
        </w:rPr>
        <w:t>增加1.1.1.10条：</w:t>
      </w:r>
      <w:r>
        <w:rPr>
          <w:rFonts w:hint="eastAsia" w:ascii="宋体" w:hAnsi="宋体" w:eastAsia="宋体" w:cs="宋体"/>
          <w:kern w:val="0"/>
          <w:szCs w:val="21"/>
        </w:rPr>
        <w:t>本项目工程量清单所列数量和总额均以合同</w:t>
      </w:r>
      <w:r>
        <w:rPr>
          <w:rFonts w:hint="eastAsia" w:ascii="宋体" w:hAnsi="宋体" w:eastAsia="宋体" w:cs="宋体"/>
          <w:szCs w:val="21"/>
        </w:rPr>
        <w:t>期为一年期作为基准</w:t>
      </w:r>
      <w:r>
        <w:rPr>
          <w:rFonts w:hint="eastAsia" w:ascii="宋体" w:hAnsi="宋体" w:eastAsia="宋体" w:cs="宋体"/>
          <w:kern w:val="0"/>
          <w:szCs w:val="21"/>
        </w:rPr>
        <w:t>，</w:t>
      </w:r>
      <w:r>
        <w:rPr>
          <w:rFonts w:hint="eastAsia" w:ascii="宋体" w:hAnsi="宋体" w:eastAsia="宋体" w:cs="宋体"/>
          <w:szCs w:val="21"/>
        </w:rPr>
        <w:t>工程量清单数量仅为暂定工程量，不作为实际养护和计量工程量的依据，实际养护和计量工程量按照发包人现场下发的指令和经发包人验收合格的工程量进行结算。</w:t>
      </w:r>
    </w:p>
    <w:p w14:paraId="3F0FE8A0">
      <w:pPr>
        <w:spacing w:line="460" w:lineRule="exact"/>
        <w:ind w:firstLine="420"/>
        <w:rPr>
          <w:rFonts w:hint="eastAsia" w:ascii="宋体" w:hAnsi="宋体" w:eastAsia="宋体" w:cs="宋体"/>
          <w:szCs w:val="21"/>
        </w:rPr>
      </w:pPr>
      <w:r>
        <w:rPr>
          <w:rFonts w:hint="eastAsia" w:ascii="宋体" w:hAnsi="宋体" w:eastAsia="宋体" w:cs="宋体"/>
          <w:szCs w:val="21"/>
        </w:rPr>
        <w:t>1. 1.4 日期</w:t>
      </w:r>
    </w:p>
    <w:p w14:paraId="61CE6F58">
      <w:pPr>
        <w:spacing w:line="380" w:lineRule="exact"/>
        <w:ind w:firstLine="420"/>
        <w:rPr>
          <w:rFonts w:hint="eastAsia" w:ascii="宋体" w:hAnsi="宋体" w:eastAsia="宋体" w:cs="宋体"/>
          <w:szCs w:val="21"/>
        </w:rPr>
      </w:pPr>
      <w:r>
        <w:rPr>
          <w:rFonts w:hint="eastAsia" w:ascii="宋体" w:hAnsi="宋体" w:eastAsia="宋体" w:cs="宋体"/>
          <w:szCs w:val="21"/>
        </w:rPr>
        <w:t>1.1.4.3细化为本项目养护工期为</w:t>
      </w:r>
      <w:r>
        <w:rPr>
          <w:rFonts w:hint="eastAsia" w:ascii="宋体" w:hAnsi="宋体" w:eastAsia="宋体" w:cs="宋体"/>
          <w:szCs w:val="21"/>
          <w:lang w:val="en-US" w:eastAsia="zh-CN"/>
        </w:rPr>
        <w:t>自合同签订之日起至2025年12月31日</w:t>
      </w:r>
      <w:r>
        <w:rPr>
          <w:rFonts w:hint="eastAsia" w:ascii="宋体" w:hAnsi="宋体" w:eastAsia="宋体" w:cs="宋体"/>
          <w:szCs w:val="21"/>
        </w:rPr>
        <w:t>。</w:t>
      </w:r>
    </w:p>
    <w:p w14:paraId="6581CEE5">
      <w:pPr>
        <w:spacing w:line="460" w:lineRule="exact"/>
        <w:ind w:firstLine="420"/>
        <w:rPr>
          <w:rFonts w:hint="eastAsia" w:ascii="宋体" w:hAnsi="宋体" w:eastAsia="宋体" w:cs="宋体"/>
          <w:szCs w:val="21"/>
        </w:rPr>
      </w:pPr>
      <w:r>
        <w:rPr>
          <w:rFonts w:hint="eastAsia" w:ascii="宋体" w:hAnsi="宋体" w:eastAsia="宋体" w:cs="宋体"/>
          <w:szCs w:val="21"/>
        </w:rPr>
        <w:t xml:space="preserve">补充：1.10、1.11款 </w:t>
      </w:r>
    </w:p>
    <w:p w14:paraId="08DC282D">
      <w:pPr>
        <w:spacing w:line="460" w:lineRule="exact"/>
        <w:ind w:firstLine="420"/>
        <w:rPr>
          <w:rFonts w:hint="eastAsia" w:ascii="宋体" w:hAnsi="宋体" w:eastAsia="宋体" w:cs="宋体"/>
          <w:szCs w:val="21"/>
        </w:rPr>
      </w:pPr>
      <w:r>
        <w:rPr>
          <w:rFonts w:hint="eastAsia" w:ascii="宋体" w:hAnsi="宋体" w:eastAsia="宋体" w:cs="宋体"/>
          <w:szCs w:val="21"/>
        </w:rPr>
        <w:t>1. 10 合同类型</w:t>
      </w:r>
    </w:p>
    <w:p w14:paraId="3A1BEB21">
      <w:pPr>
        <w:spacing w:line="460" w:lineRule="exact"/>
        <w:ind w:firstLine="420"/>
        <w:rPr>
          <w:rFonts w:hint="eastAsia" w:ascii="宋体" w:hAnsi="宋体" w:eastAsia="宋体" w:cs="宋体"/>
          <w:szCs w:val="21"/>
        </w:rPr>
      </w:pPr>
      <w:r>
        <w:rPr>
          <w:rFonts w:hint="eastAsia" w:ascii="宋体" w:hAnsi="宋体" w:eastAsia="宋体" w:cs="宋体"/>
          <w:szCs w:val="21"/>
        </w:rPr>
        <w:t>本合同是以各分项工程计量单价乘以实际完成工程量为结算金额的计量结算合同。计量结算的最终结算总金额以最终完成工程量计算，其结算总金额随最终实际完成工程量的增减而增减，结算总金额不受合同初始金额限制。</w:t>
      </w:r>
    </w:p>
    <w:p w14:paraId="28F42D7A">
      <w:pPr>
        <w:spacing w:line="460" w:lineRule="exact"/>
        <w:ind w:firstLine="420"/>
        <w:rPr>
          <w:rFonts w:hint="eastAsia" w:ascii="宋体" w:hAnsi="宋体" w:eastAsia="宋体" w:cs="宋体"/>
          <w:szCs w:val="21"/>
        </w:rPr>
      </w:pPr>
      <w:r>
        <w:rPr>
          <w:rFonts w:hint="eastAsia" w:ascii="宋体" w:hAnsi="宋体" w:eastAsia="宋体" w:cs="宋体"/>
          <w:szCs w:val="21"/>
        </w:rPr>
        <w:t>1. 11 计量单价</w:t>
      </w:r>
    </w:p>
    <w:p w14:paraId="51CD3F1C">
      <w:pPr>
        <w:spacing w:line="460" w:lineRule="exact"/>
        <w:ind w:firstLine="420"/>
        <w:rPr>
          <w:rFonts w:hint="eastAsia" w:ascii="宋体" w:hAnsi="宋体" w:eastAsia="宋体" w:cs="宋体"/>
          <w:szCs w:val="21"/>
        </w:rPr>
      </w:pPr>
      <w:r>
        <w:rPr>
          <w:rFonts w:hint="eastAsia" w:ascii="宋体" w:hAnsi="宋体" w:eastAsia="宋体" w:cs="宋体"/>
          <w:szCs w:val="21"/>
        </w:rPr>
        <w:t>各分项工程计量的单价，是承包人为完成各分项工程单位全部工作所需的一切费用，包括它的附加费用和单价表中工作内容未说明而又必须的工作。</w:t>
      </w:r>
    </w:p>
    <w:p w14:paraId="5B6EA609">
      <w:pPr>
        <w:spacing w:line="460" w:lineRule="exact"/>
        <w:ind w:firstLine="420"/>
        <w:rPr>
          <w:rFonts w:hint="eastAsia" w:ascii="宋体" w:hAnsi="宋体" w:eastAsia="宋体" w:cs="宋体"/>
          <w:szCs w:val="21"/>
        </w:rPr>
      </w:pPr>
      <w:r>
        <w:rPr>
          <w:rFonts w:hint="eastAsia" w:ascii="宋体" w:hAnsi="宋体" w:eastAsia="宋体" w:cs="宋体"/>
          <w:szCs w:val="21"/>
        </w:rPr>
        <w:t>4.1 承包人的一般义务</w:t>
      </w:r>
    </w:p>
    <w:p w14:paraId="41ED31FC">
      <w:pPr>
        <w:spacing w:line="460" w:lineRule="exact"/>
        <w:ind w:firstLine="392" w:firstLineChars="196"/>
        <w:rPr>
          <w:rFonts w:hint="eastAsia" w:ascii="宋体" w:hAnsi="宋体" w:eastAsia="宋体" w:cs="宋体"/>
          <w:szCs w:val="21"/>
        </w:rPr>
      </w:pPr>
      <w:r>
        <w:rPr>
          <w:rFonts w:hint="eastAsia" w:ascii="宋体" w:hAnsi="宋体" w:eastAsia="宋体" w:cs="宋体"/>
          <w:szCs w:val="21"/>
        </w:rPr>
        <w:t>4.1.10（4）其他义务 细化为</w:t>
      </w:r>
    </w:p>
    <w:p w14:paraId="1620D667">
      <w:pPr>
        <w:spacing w:line="460" w:lineRule="exact"/>
        <w:ind w:firstLine="420"/>
        <w:rPr>
          <w:rFonts w:hint="eastAsia" w:ascii="宋体" w:hAnsi="宋体" w:eastAsia="宋体" w:cs="宋体"/>
          <w:szCs w:val="21"/>
        </w:rPr>
      </w:pPr>
      <w:r>
        <w:rPr>
          <w:rFonts w:hint="eastAsia" w:ascii="宋体" w:hAnsi="宋体" w:eastAsia="宋体" w:cs="宋体"/>
          <w:szCs w:val="21"/>
        </w:rPr>
        <w:t>承包人应履行的其他义务：承包人应由专职人员负责处理地方关系。当承包人遇到地方问题或与地方群众发生矛盾、纠纷时，首先应主动与地方政府取得联系，以求问题解决。</w:t>
      </w:r>
    </w:p>
    <w:p w14:paraId="7B288FEB">
      <w:pPr>
        <w:spacing w:line="460" w:lineRule="exact"/>
        <w:ind w:firstLine="392" w:firstLineChars="196"/>
        <w:rPr>
          <w:rFonts w:hint="eastAsia" w:ascii="宋体" w:hAnsi="宋体" w:eastAsia="宋体" w:cs="宋体"/>
          <w:szCs w:val="21"/>
        </w:rPr>
      </w:pPr>
      <w:r>
        <w:rPr>
          <w:rFonts w:hint="eastAsia" w:ascii="宋体" w:hAnsi="宋体" w:eastAsia="宋体" w:cs="宋体"/>
          <w:szCs w:val="21"/>
        </w:rPr>
        <w:t>增加4.1.10（5）：</w:t>
      </w:r>
    </w:p>
    <w:p w14:paraId="51CD0260">
      <w:pPr>
        <w:spacing w:line="460" w:lineRule="exact"/>
        <w:ind w:firstLine="420"/>
        <w:rPr>
          <w:rFonts w:hint="eastAsia" w:ascii="宋体" w:hAnsi="宋体" w:eastAsia="宋体" w:cs="宋体"/>
          <w:szCs w:val="21"/>
        </w:rPr>
      </w:pPr>
      <w:r>
        <w:rPr>
          <w:rFonts w:hint="eastAsia" w:ascii="宋体" w:hAnsi="宋体" w:eastAsia="宋体" w:cs="宋体"/>
          <w:szCs w:val="21"/>
        </w:rPr>
        <w:t>a.承包人常驻养护路段的巡查车辆和工程车应全部配备卫星定位系统，安装卫星定位系统和相关软件的全部费用由承包人承担，管理软件应安装在发包人（管理公司）指定位置，以便于发包人掌握车辆的运行状况。</w:t>
      </w:r>
      <w:r>
        <w:rPr>
          <w:rFonts w:hint="eastAsia" w:ascii="宋体" w:hAnsi="宋体" w:eastAsia="宋体" w:cs="宋体"/>
          <w:szCs w:val="21"/>
          <w:lang w:eastAsia="zh-CN"/>
        </w:rPr>
        <w:t>供应商</w:t>
      </w:r>
      <w:r>
        <w:rPr>
          <w:rFonts w:hint="eastAsia" w:ascii="宋体" w:hAnsi="宋体" w:eastAsia="宋体" w:cs="宋体"/>
          <w:szCs w:val="21"/>
        </w:rPr>
        <w:t>报价也需考虑因国家政策变化导致无法办理免费后所产生的通行费用，</w:t>
      </w:r>
      <w:r>
        <w:rPr>
          <w:rFonts w:hint="eastAsia" w:ascii="宋体" w:hAnsi="宋体" w:eastAsia="宋体" w:cs="宋体"/>
          <w:szCs w:val="21"/>
          <w:lang w:eastAsia="zh-CN"/>
        </w:rPr>
        <w:t>供应商</w:t>
      </w:r>
      <w:r>
        <w:rPr>
          <w:rFonts w:hint="eastAsia" w:ascii="宋体" w:hAnsi="宋体" w:eastAsia="宋体" w:cs="宋体"/>
          <w:szCs w:val="21"/>
        </w:rPr>
        <w:t>自行承担，发包人不另付。</w:t>
      </w:r>
    </w:p>
    <w:p w14:paraId="31813F1B">
      <w:pPr>
        <w:spacing w:line="460" w:lineRule="exact"/>
        <w:ind w:firstLine="422"/>
        <w:rPr>
          <w:rFonts w:hint="eastAsia" w:ascii="宋体" w:hAnsi="宋体" w:eastAsia="宋体" w:cs="宋体"/>
          <w:szCs w:val="21"/>
        </w:rPr>
      </w:pPr>
      <w:r>
        <w:rPr>
          <w:rFonts w:hint="eastAsia" w:ascii="宋体" w:hAnsi="宋体" w:eastAsia="宋体" w:cs="宋体"/>
          <w:b/>
          <w:bCs/>
          <w:szCs w:val="21"/>
        </w:rPr>
        <w:t>b.</w:t>
      </w:r>
      <w:r>
        <w:rPr>
          <w:rFonts w:hint="eastAsia" w:ascii="宋体" w:hAnsi="宋体" w:eastAsia="宋体" w:cs="宋体"/>
          <w:szCs w:val="21"/>
        </w:rPr>
        <w:t>承包人根据招标文件要求上报驻地建设方案，经监理工程师审批后，报业主备案后方可实施。</w:t>
      </w:r>
    </w:p>
    <w:p w14:paraId="34EAFFEE">
      <w:pPr>
        <w:spacing w:line="460" w:lineRule="exact"/>
        <w:ind w:firstLine="394" w:firstLineChars="196"/>
        <w:rPr>
          <w:rFonts w:hint="eastAsia" w:ascii="宋体" w:hAnsi="宋体" w:eastAsia="宋体" w:cs="宋体"/>
          <w:szCs w:val="21"/>
        </w:rPr>
      </w:pPr>
      <w:r>
        <w:rPr>
          <w:rFonts w:hint="eastAsia" w:ascii="宋体" w:hAnsi="宋体" w:eastAsia="宋体" w:cs="宋体"/>
          <w:b/>
          <w:bCs/>
          <w:szCs w:val="21"/>
        </w:rPr>
        <w:t>c.</w:t>
      </w:r>
      <w:r>
        <w:rPr>
          <w:rFonts w:hint="eastAsia" w:ascii="宋体" w:hAnsi="宋体" w:eastAsia="宋体" w:cs="宋体"/>
          <w:szCs w:val="21"/>
        </w:rPr>
        <w:t>承包人应在确保不中断交通的前提下合理安排施工组织计划，采取有效措施保证施工安全，并在必要时疏导现有交通流；凡是合同段内与其它养护施工发生相互干扰，承包人应做好与其它养护单位的协调工作。承包人应将其采取上述措施而可能发生的全部费用计入相关报价中，发包人将不另行支付。如因承包人采取的措施不力，影响正常安全运营，由此给发包人、其他单位或个人造成损失，或由上述原因造成工程工期的拖延或施工费用的增加，均由该承包人负责。</w:t>
      </w:r>
    </w:p>
    <w:p w14:paraId="42CDFB31">
      <w:pPr>
        <w:spacing w:line="460" w:lineRule="exact"/>
        <w:ind w:firstLine="422"/>
        <w:rPr>
          <w:rFonts w:hint="eastAsia" w:ascii="宋体" w:hAnsi="宋体" w:eastAsia="宋体" w:cs="宋体"/>
          <w:b/>
          <w:bCs/>
          <w:szCs w:val="21"/>
        </w:rPr>
      </w:pPr>
      <w:r>
        <w:rPr>
          <w:rFonts w:hint="eastAsia" w:ascii="宋体" w:hAnsi="宋体" w:eastAsia="宋体" w:cs="宋体"/>
          <w:b/>
          <w:bCs/>
          <w:szCs w:val="21"/>
        </w:rPr>
        <w:t>d.发包人每月组织对承包人进行月度考评工作。</w:t>
      </w:r>
    </w:p>
    <w:p w14:paraId="61590740">
      <w:pPr>
        <w:spacing w:line="460" w:lineRule="exact"/>
        <w:ind w:firstLine="420"/>
        <w:rPr>
          <w:rFonts w:hint="eastAsia" w:ascii="宋体" w:hAnsi="宋体" w:eastAsia="宋体" w:cs="宋体"/>
          <w:szCs w:val="21"/>
        </w:rPr>
      </w:pPr>
      <w:r>
        <w:rPr>
          <w:rFonts w:hint="eastAsia" w:ascii="宋体" w:hAnsi="宋体" w:eastAsia="宋体" w:cs="宋体"/>
          <w:szCs w:val="21"/>
        </w:rPr>
        <w:t>4.2履约保证金</w:t>
      </w:r>
    </w:p>
    <w:p w14:paraId="075F2EB4">
      <w:pPr>
        <w:spacing w:line="460" w:lineRule="exact"/>
        <w:ind w:firstLine="420"/>
        <w:rPr>
          <w:rFonts w:hint="eastAsia" w:ascii="宋体" w:hAnsi="宋体" w:eastAsia="宋体" w:cs="宋体"/>
          <w:szCs w:val="21"/>
        </w:rPr>
      </w:pPr>
      <w:r>
        <w:rPr>
          <w:rFonts w:hint="eastAsia" w:ascii="宋体" w:hAnsi="宋体" w:eastAsia="宋体" w:cs="宋体"/>
          <w:szCs w:val="21"/>
        </w:rPr>
        <w:t>详见投标须知前附表</w:t>
      </w:r>
    </w:p>
    <w:p w14:paraId="198B1149">
      <w:pPr>
        <w:spacing w:line="460" w:lineRule="exact"/>
        <w:ind w:firstLine="420"/>
        <w:rPr>
          <w:rFonts w:hint="eastAsia" w:ascii="宋体" w:hAnsi="宋体" w:eastAsia="宋体" w:cs="宋体"/>
          <w:szCs w:val="21"/>
        </w:rPr>
      </w:pPr>
      <w:r>
        <w:rPr>
          <w:rFonts w:hint="eastAsia" w:ascii="宋体" w:hAnsi="宋体" w:eastAsia="宋体" w:cs="宋体"/>
          <w:szCs w:val="21"/>
        </w:rPr>
        <w:t>4.3 分包</w:t>
      </w:r>
    </w:p>
    <w:p w14:paraId="190A2B93">
      <w:pPr>
        <w:spacing w:line="460" w:lineRule="exact"/>
        <w:ind w:firstLine="420"/>
        <w:rPr>
          <w:rFonts w:hint="eastAsia" w:ascii="宋体" w:hAnsi="宋体" w:eastAsia="宋体" w:cs="宋体"/>
          <w:szCs w:val="21"/>
        </w:rPr>
      </w:pPr>
      <w:r>
        <w:rPr>
          <w:rFonts w:hint="eastAsia" w:ascii="宋体" w:hAnsi="宋体" w:eastAsia="宋体" w:cs="宋体"/>
          <w:szCs w:val="21"/>
        </w:rPr>
        <w:t>原文细化为：</w:t>
      </w:r>
    </w:p>
    <w:p w14:paraId="42BD434B">
      <w:pPr>
        <w:spacing w:line="460" w:lineRule="exact"/>
        <w:ind w:firstLine="420"/>
        <w:rPr>
          <w:rFonts w:hint="eastAsia" w:ascii="宋体" w:hAnsi="宋体" w:eastAsia="宋体" w:cs="宋体"/>
          <w:szCs w:val="21"/>
        </w:rPr>
      </w:pPr>
      <w:r>
        <w:rPr>
          <w:rFonts w:hint="eastAsia" w:ascii="宋体" w:hAnsi="宋体" w:eastAsia="宋体" w:cs="宋体"/>
          <w:szCs w:val="21"/>
        </w:rPr>
        <w:t>本项目不允许分包。</w:t>
      </w:r>
    </w:p>
    <w:p w14:paraId="2B1ACC33">
      <w:pPr>
        <w:spacing w:line="460" w:lineRule="exact"/>
        <w:ind w:firstLine="420"/>
        <w:rPr>
          <w:rFonts w:hint="eastAsia" w:ascii="宋体" w:hAnsi="宋体" w:eastAsia="宋体" w:cs="宋体"/>
          <w:szCs w:val="21"/>
        </w:rPr>
      </w:pPr>
      <w:r>
        <w:rPr>
          <w:rFonts w:hint="eastAsia" w:ascii="宋体" w:hAnsi="宋体" w:eastAsia="宋体" w:cs="宋体"/>
          <w:szCs w:val="21"/>
        </w:rPr>
        <w:t>5.1承包人提供的材料和工程设备</w:t>
      </w:r>
    </w:p>
    <w:p w14:paraId="001AA5D2">
      <w:pPr>
        <w:spacing w:line="460" w:lineRule="exact"/>
        <w:ind w:firstLine="420"/>
        <w:rPr>
          <w:rFonts w:hint="eastAsia" w:ascii="宋体" w:hAnsi="宋体" w:eastAsia="宋体" w:cs="宋体"/>
          <w:szCs w:val="21"/>
        </w:rPr>
      </w:pPr>
      <w:r>
        <w:rPr>
          <w:rFonts w:hint="eastAsia" w:ascii="宋体" w:hAnsi="宋体" w:eastAsia="宋体" w:cs="宋体"/>
          <w:szCs w:val="21"/>
        </w:rPr>
        <w:t>5.1.2文末增加为：养护材料均由承包人自行采购、运输、贮存，其品种、规格、质量标准等应符合相关规范及发包人的要求，承包人应优先选用广泛应用于品牌质量优良、信誉良好的产品，同时提供相关质量检验证明并经监理工程师、发包人批准同意后方可用于本养护项目。对于养护施工用到的主要材料如钢材、水泥、沥青、灌缝胶、伸缩缝、支座等材料均采取材料准入制度，承包人应书面上报所用材料品牌、规格、型号和生产厂家经发包人书面批准同意后方可使用。发包人如认为有必要时，可将养护材料抽样委托给另一家有资质的单位检验，费用由承包人承担。任何材料的使用，均不能解除承包人对材料和工程质量所承担的责任。</w:t>
      </w:r>
    </w:p>
    <w:p w14:paraId="28C75CF9">
      <w:pPr>
        <w:spacing w:line="460" w:lineRule="exact"/>
        <w:ind w:firstLine="420"/>
        <w:rPr>
          <w:rFonts w:hint="eastAsia" w:ascii="宋体" w:hAnsi="宋体" w:eastAsia="宋体" w:cs="宋体"/>
          <w:szCs w:val="21"/>
        </w:rPr>
      </w:pPr>
      <w:r>
        <w:rPr>
          <w:rFonts w:hint="eastAsia" w:ascii="宋体" w:hAnsi="宋体" w:eastAsia="宋体" w:cs="宋体"/>
          <w:szCs w:val="21"/>
        </w:rPr>
        <w:t>9.2 承包人的施工安全责任</w:t>
      </w:r>
    </w:p>
    <w:p w14:paraId="5A2AC678">
      <w:pPr>
        <w:spacing w:line="460" w:lineRule="exact"/>
        <w:ind w:firstLine="420"/>
        <w:rPr>
          <w:rFonts w:hint="eastAsia" w:ascii="宋体" w:hAnsi="宋体" w:eastAsia="宋体" w:cs="宋体"/>
          <w:szCs w:val="21"/>
        </w:rPr>
      </w:pPr>
      <w:r>
        <w:rPr>
          <w:rFonts w:hint="eastAsia" w:ascii="宋体" w:hAnsi="宋体" w:eastAsia="宋体" w:cs="宋体"/>
          <w:szCs w:val="21"/>
        </w:rPr>
        <w:t>第9.2.5项文末增:</w:t>
      </w:r>
    </w:p>
    <w:p w14:paraId="660394B5">
      <w:pPr>
        <w:spacing w:line="460" w:lineRule="exact"/>
        <w:ind w:firstLine="422"/>
        <w:rPr>
          <w:rFonts w:hint="eastAsia" w:ascii="宋体" w:hAnsi="宋体" w:eastAsia="宋体" w:cs="宋体"/>
          <w:b w:val="0"/>
          <w:bCs/>
          <w:szCs w:val="21"/>
        </w:rPr>
      </w:pPr>
      <w:r>
        <w:rPr>
          <w:rFonts w:hint="eastAsia" w:ascii="宋体" w:hAnsi="宋体" w:eastAsia="宋体" w:cs="宋体"/>
          <w:b w:val="0"/>
          <w:bCs/>
          <w:szCs w:val="21"/>
        </w:rPr>
        <w:t>安全生产费用应用于施工安全防护用具及设施的采购和更新、安全施工措施的落实、安全生产条件的改善，不得挪作他用。</w:t>
      </w:r>
    </w:p>
    <w:p w14:paraId="173316AA">
      <w:pPr>
        <w:spacing w:line="460" w:lineRule="exact"/>
        <w:ind w:firstLine="422"/>
        <w:rPr>
          <w:rFonts w:hint="eastAsia" w:ascii="宋体" w:hAnsi="宋体" w:eastAsia="宋体" w:cs="宋体"/>
          <w:b w:val="0"/>
          <w:bCs/>
          <w:szCs w:val="21"/>
        </w:rPr>
      </w:pPr>
      <w:r>
        <w:rPr>
          <w:rFonts w:hint="eastAsia" w:ascii="宋体" w:hAnsi="宋体" w:eastAsia="宋体" w:cs="宋体"/>
          <w:b w:val="0"/>
          <w:bCs/>
          <w:szCs w:val="21"/>
        </w:rPr>
        <w:t>承包人应遵守《中华人民共和国安全生产法》的同时，在工程实施全过程中还应执行交通部《公路水运工程安全生产监督管理办法》、《公路养护安全作业规程》、《道路交通标志和标线 第 4 部分》、安徽省等有关规定指导安全、健康与环保卫生方面的法规和规范及发包人相关制度。在整个养护施工过程中，对承包人采取的安全、保卫和环境保护措施，发包人有权向承包人提出整改要求。如果承包人未能对其负责的上述事项采取各种必要的措施或所采取的措施不力而导致或发生与此有关的人身伤亡、罚款、索赔、损失补偿、仲裁、诉讼及其他一切责任和费用应由承包人负责，如导致发包人因此承担法律责任，则发包人将所赔付款项直接从承包人工程款中扣回。</w:t>
      </w:r>
    </w:p>
    <w:p w14:paraId="1AC9BFC7">
      <w:pPr>
        <w:spacing w:line="460" w:lineRule="exact"/>
        <w:ind w:firstLine="422"/>
        <w:rPr>
          <w:rFonts w:hint="eastAsia" w:ascii="宋体" w:hAnsi="宋体" w:eastAsia="宋体" w:cs="宋体"/>
          <w:b w:val="0"/>
          <w:bCs/>
          <w:szCs w:val="21"/>
        </w:rPr>
      </w:pPr>
      <w:r>
        <w:rPr>
          <w:rFonts w:hint="eastAsia" w:ascii="宋体" w:hAnsi="宋体" w:eastAsia="宋体" w:cs="宋体"/>
          <w:b w:val="0"/>
          <w:bCs/>
          <w:szCs w:val="21"/>
        </w:rPr>
        <w:t>承包人实施和完成本合同工程及缺陷修复工程中的一切施工作业，必须采取足够的预防措施，以保证不影响邻近建筑物、构造物的安全与正常使用，不对群众的财产造成损失，也不干扰群众的生产、生活和通行方便（难以避免的一定程度的干扰除外）。如果发生上述情况并由此导致索赔、诉讼及其他开支，应由承包人承担一切责任及费用。</w:t>
      </w:r>
    </w:p>
    <w:p w14:paraId="7C6962EE">
      <w:pPr>
        <w:spacing w:line="460" w:lineRule="exact"/>
        <w:ind w:firstLine="420"/>
        <w:rPr>
          <w:rFonts w:hint="eastAsia" w:ascii="宋体" w:hAnsi="宋体" w:eastAsia="宋体" w:cs="宋体"/>
          <w:szCs w:val="21"/>
        </w:rPr>
      </w:pPr>
      <w:r>
        <w:rPr>
          <w:rFonts w:hint="eastAsia" w:ascii="宋体" w:hAnsi="宋体" w:eastAsia="宋体" w:cs="宋体"/>
          <w:szCs w:val="21"/>
        </w:rPr>
        <w:t>10.1 合同进度计划</w:t>
      </w:r>
    </w:p>
    <w:p w14:paraId="29E18624">
      <w:pPr>
        <w:spacing w:line="460" w:lineRule="exact"/>
        <w:ind w:firstLine="420"/>
        <w:rPr>
          <w:rFonts w:hint="eastAsia" w:ascii="宋体" w:hAnsi="宋体" w:eastAsia="宋体" w:cs="宋体"/>
          <w:szCs w:val="21"/>
        </w:rPr>
      </w:pPr>
      <w:r>
        <w:rPr>
          <w:rFonts w:hint="eastAsia" w:ascii="宋体" w:hAnsi="宋体" w:eastAsia="宋体" w:cs="宋体"/>
          <w:szCs w:val="21"/>
        </w:rPr>
        <w:t>承包人应在签订合同协议书后28天之内，向发包人提交2份根据小修养护的不同内容编制的施工组织设计，其内容应包括详细的施工组织、现场布置、施工方案、计划安排、资源（劳工、机械设备、原材料）供应计划、质检体系与质保措施、安全体系与安全保证措施等，经监理工程师、发包人批准后实施，同时还应提交养护巡查及检查、评价及维修记录等相关格式报表和紧急抢修预案。如承包人提交的施工预案、组织计划、报表和抢修预案等不符合监理工程师、发包人要求，应退回承包人修改完善，至符合要求为止。同时按下述要求提供有关资料：</w:t>
      </w:r>
    </w:p>
    <w:p w14:paraId="6AC6B3D4">
      <w:pPr>
        <w:spacing w:line="460" w:lineRule="exact"/>
        <w:ind w:firstLine="420"/>
        <w:rPr>
          <w:rFonts w:hint="eastAsia" w:ascii="宋体" w:hAnsi="宋体" w:eastAsia="宋体" w:cs="宋体"/>
          <w:szCs w:val="21"/>
        </w:rPr>
      </w:pPr>
      <w:r>
        <w:rPr>
          <w:rFonts w:hint="eastAsia" w:ascii="宋体" w:hAnsi="宋体" w:eastAsia="宋体" w:cs="宋体"/>
          <w:szCs w:val="21"/>
        </w:rPr>
        <w:t>（1）每月5日前报送上月养护维修记录表及路况调查表等。</w:t>
      </w:r>
    </w:p>
    <w:p w14:paraId="60478F7C">
      <w:pPr>
        <w:spacing w:line="460" w:lineRule="exact"/>
        <w:ind w:firstLine="420"/>
        <w:rPr>
          <w:rFonts w:hint="eastAsia" w:ascii="宋体" w:hAnsi="宋体" w:eastAsia="宋体" w:cs="宋体"/>
          <w:b w:val="0"/>
          <w:bCs w:val="0"/>
          <w:szCs w:val="21"/>
        </w:rPr>
      </w:pPr>
      <w:r>
        <w:rPr>
          <w:rFonts w:hint="eastAsia" w:ascii="宋体" w:hAnsi="宋体" w:eastAsia="宋体" w:cs="宋体"/>
          <w:b w:val="0"/>
          <w:bCs w:val="0"/>
          <w:szCs w:val="21"/>
        </w:rPr>
        <w:t>（2）承包人应根据月计划情况并结合实际路况巡查情况，填制月度小修养护计划，于每月底报送监理工程师、发包人。承包人可根据实际路况巡查情况及时调整养护计划，并将计划调整结果及调整原因及时书面通知监理工程师、发包人，经监理工程师、发包人批准后方可实施。对于因天气原因或发包人临时安排的紧急抢修任务，承包人必须听从发包人指令；经发包人同意，原已批准的月度计划可作相应调整。</w:t>
      </w:r>
    </w:p>
    <w:p w14:paraId="3630DC1E">
      <w:pPr>
        <w:spacing w:line="460" w:lineRule="exact"/>
        <w:ind w:firstLine="420"/>
        <w:rPr>
          <w:rFonts w:hint="eastAsia" w:ascii="宋体" w:hAnsi="宋体" w:eastAsia="宋体" w:cs="宋体"/>
          <w:szCs w:val="21"/>
        </w:rPr>
      </w:pPr>
      <w:r>
        <w:rPr>
          <w:rFonts w:hint="eastAsia" w:ascii="宋体" w:hAnsi="宋体" w:eastAsia="宋体" w:cs="宋体"/>
          <w:szCs w:val="21"/>
        </w:rPr>
        <w:t>11.4 异常恶劣的气候条件</w:t>
      </w:r>
    </w:p>
    <w:p w14:paraId="36661D82">
      <w:pPr>
        <w:spacing w:line="460" w:lineRule="exact"/>
        <w:ind w:firstLine="420"/>
        <w:rPr>
          <w:rFonts w:hint="eastAsia" w:ascii="宋体" w:hAnsi="宋体" w:eastAsia="宋体" w:cs="宋体"/>
          <w:szCs w:val="21"/>
        </w:rPr>
      </w:pPr>
      <w:r>
        <w:rPr>
          <w:rFonts w:hint="eastAsia" w:ascii="宋体" w:hAnsi="宋体" w:eastAsia="宋体" w:cs="宋体"/>
          <w:szCs w:val="21"/>
        </w:rPr>
        <w:t>异常恶劣的气候条件的范围：以月计的某个时期的恶劣气候比较当地气象部门多年统计资料，比50年一遇频率计算的气候还要恶劣的气候。</w:t>
      </w:r>
    </w:p>
    <w:p w14:paraId="6028B4F5">
      <w:pPr>
        <w:spacing w:line="460" w:lineRule="exact"/>
        <w:ind w:firstLine="420"/>
        <w:rPr>
          <w:rFonts w:hint="eastAsia" w:ascii="宋体" w:hAnsi="宋体" w:eastAsia="宋体" w:cs="宋体"/>
          <w:szCs w:val="21"/>
        </w:rPr>
      </w:pPr>
      <w:r>
        <w:rPr>
          <w:rFonts w:hint="eastAsia" w:ascii="宋体" w:hAnsi="宋体" w:eastAsia="宋体" w:cs="宋体"/>
          <w:szCs w:val="21"/>
        </w:rPr>
        <w:t>14.4 试验和检验费用</w:t>
      </w:r>
    </w:p>
    <w:p w14:paraId="772F5648">
      <w:pPr>
        <w:spacing w:line="460" w:lineRule="exact"/>
        <w:ind w:firstLine="420"/>
        <w:rPr>
          <w:rFonts w:hint="eastAsia" w:ascii="宋体" w:hAnsi="宋体" w:eastAsia="宋体" w:cs="宋体"/>
          <w:szCs w:val="21"/>
        </w:rPr>
      </w:pPr>
      <w:r>
        <w:rPr>
          <w:rFonts w:hint="eastAsia" w:ascii="宋体" w:hAnsi="宋体" w:eastAsia="宋体" w:cs="宋体"/>
          <w:szCs w:val="21"/>
        </w:rPr>
        <w:t>承包人原材料的自检费用由承包人自行承担，视为已包含在各相应细目的报价当中，发包人不再为此另行支付任何费用。</w:t>
      </w:r>
    </w:p>
    <w:p w14:paraId="56CB3A11">
      <w:pPr>
        <w:spacing w:line="460" w:lineRule="exact"/>
        <w:ind w:firstLine="420"/>
        <w:rPr>
          <w:rFonts w:hint="eastAsia" w:ascii="宋体" w:hAnsi="宋体" w:eastAsia="宋体" w:cs="宋体"/>
          <w:szCs w:val="21"/>
        </w:rPr>
      </w:pPr>
      <w:r>
        <w:rPr>
          <w:rFonts w:hint="eastAsia" w:ascii="宋体" w:hAnsi="宋体" w:eastAsia="宋体" w:cs="宋体"/>
          <w:szCs w:val="21"/>
        </w:rPr>
        <w:t>17.1.2 计量方法</w:t>
      </w:r>
    </w:p>
    <w:p w14:paraId="15AA68C4">
      <w:pPr>
        <w:snapToGrid w:val="0"/>
        <w:spacing w:line="460" w:lineRule="exact"/>
        <w:ind w:firstLine="420"/>
        <w:rPr>
          <w:rFonts w:hint="eastAsia" w:ascii="宋体" w:hAnsi="宋体" w:eastAsia="宋体" w:cs="宋体"/>
          <w:szCs w:val="21"/>
        </w:rPr>
      </w:pPr>
      <w:r>
        <w:rPr>
          <w:rFonts w:hint="eastAsia" w:ascii="宋体" w:hAnsi="宋体" w:eastAsia="宋体" w:cs="宋体"/>
          <w:szCs w:val="21"/>
        </w:rPr>
        <w:t>本项细化为：</w:t>
      </w:r>
    </w:p>
    <w:p w14:paraId="3D59D249">
      <w:pPr>
        <w:spacing w:line="460" w:lineRule="exact"/>
        <w:ind w:firstLine="392" w:firstLineChars="196"/>
        <w:rPr>
          <w:rFonts w:hint="eastAsia" w:ascii="宋体" w:hAnsi="宋体" w:eastAsia="宋体" w:cs="宋体"/>
          <w:szCs w:val="21"/>
        </w:rPr>
      </w:pPr>
      <w:r>
        <w:rPr>
          <w:rFonts w:hint="eastAsia" w:ascii="宋体" w:hAnsi="宋体" w:eastAsia="宋体" w:cs="宋体"/>
          <w:szCs w:val="21"/>
        </w:rPr>
        <w:t>本项目为养护工程，工程量清单中开列的工程量是预计值，不能作为承包人在履行合同义务中应予完成工程的实际和准确的工程量。完成工程的实际和准确的工程量以养护需要实际发生并且经发包人确认的为准。</w:t>
      </w:r>
    </w:p>
    <w:p w14:paraId="330F3FDE">
      <w:pPr>
        <w:snapToGrid w:val="0"/>
        <w:spacing w:line="460" w:lineRule="exact"/>
        <w:ind w:firstLine="420"/>
        <w:rPr>
          <w:rFonts w:hint="eastAsia" w:ascii="宋体" w:hAnsi="宋体" w:eastAsia="宋体" w:cs="宋体"/>
          <w:szCs w:val="21"/>
        </w:rPr>
      </w:pPr>
      <w:r>
        <w:rPr>
          <w:rFonts w:hint="eastAsia" w:ascii="宋体" w:hAnsi="宋体" w:eastAsia="宋体" w:cs="宋体"/>
          <w:szCs w:val="21"/>
        </w:rPr>
        <w:t>本项目所有养护施工项目根据养护需要由承包人申请、发包人签认同意后，方可予以施工，施工完成必须及时通知监理工程师、发包人现场验收确认，才能进入计量支付程序，否则不予受理。</w:t>
      </w:r>
    </w:p>
    <w:p w14:paraId="4817D3A4">
      <w:pPr>
        <w:snapToGrid w:val="0"/>
        <w:spacing w:line="460" w:lineRule="exact"/>
        <w:ind w:firstLine="420"/>
        <w:rPr>
          <w:rFonts w:hint="eastAsia" w:ascii="宋体" w:hAnsi="宋体" w:eastAsia="宋体" w:cs="宋体"/>
          <w:szCs w:val="21"/>
        </w:rPr>
      </w:pPr>
      <w:r>
        <w:rPr>
          <w:rFonts w:hint="eastAsia" w:ascii="宋体" w:hAnsi="宋体" w:eastAsia="宋体" w:cs="宋体"/>
          <w:szCs w:val="21"/>
        </w:rPr>
        <w:t>对于日常维修工程的计量，根据养护需要原则上由承包人上报养护施工申请单报发包人签认同意，发包人也可根据养护需要直接下达养护任务通知单，养护施工申请单和任务通知单中包含养护施工的桩号、位置以及计划工程量，承包人应按照下达的签认的申请单和任务通知单进行养护施工。养护工程完成后，承包人应及时通知发包人现场验收，计量工程量以发包人现场验收合格确认的工程量为准。</w:t>
      </w:r>
    </w:p>
    <w:p w14:paraId="65D59488">
      <w:pPr>
        <w:adjustRightInd w:val="0"/>
        <w:snapToGrid w:val="0"/>
        <w:spacing w:line="460" w:lineRule="exact"/>
        <w:ind w:firstLine="420"/>
        <w:rPr>
          <w:rFonts w:hint="eastAsia" w:ascii="宋体" w:hAnsi="宋体" w:eastAsia="宋体" w:cs="宋体"/>
          <w:szCs w:val="21"/>
        </w:rPr>
      </w:pPr>
      <w:r>
        <w:rPr>
          <w:rFonts w:hint="eastAsia" w:ascii="宋体" w:hAnsi="宋体" w:eastAsia="宋体" w:cs="宋体"/>
          <w:szCs w:val="21"/>
        </w:rPr>
        <w:t>17.1.3 计量周期</w:t>
      </w:r>
    </w:p>
    <w:p w14:paraId="3B6E58F0">
      <w:pPr>
        <w:adjustRightInd w:val="0"/>
        <w:snapToGrid w:val="0"/>
        <w:spacing w:line="460" w:lineRule="exact"/>
        <w:ind w:firstLine="420"/>
        <w:rPr>
          <w:rFonts w:hint="eastAsia" w:ascii="宋体" w:hAnsi="宋体" w:eastAsia="宋体" w:cs="宋体"/>
          <w:szCs w:val="21"/>
        </w:rPr>
      </w:pPr>
      <w:r>
        <w:rPr>
          <w:rFonts w:hint="eastAsia" w:ascii="宋体" w:hAnsi="宋体" w:eastAsia="宋体" w:cs="宋体"/>
          <w:szCs w:val="21"/>
        </w:rPr>
        <w:t>专用合同条款约定为：单价子目已完成工程量按每月计量。</w:t>
      </w:r>
    </w:p>
    <w:p w14:paraId="5298CF06">
      <w:pPr>
        <w:spacing w:line="460" w:lineRule="exact"/>
        <w:ind w:firstLine="420"/>
        <w:rPr>
          <w:rFonts w:hint="eastAsia" w:ascii="宋体" w:hAnsi="宋体" w:eastAsia="宋体" w:cs="宋体"/>
          <w:szCs w:val="21"/>
        </w:rPr>
      </w:pPr>
      <w:r>
        <w:rPr>
          <w:rFonts w:hint="eastAsia" w:ascii="宋体" w:hAnsi="宋体" w:eastAsia="宋体" w:cs="宋体"/>
          <w:szCs w:val="21"/>
        </w:rPr>
        <w:t>17.3 工程进度付款</w:t>
      </w:r>
    </w:p>
    <w:p w14:paraId="24E12652">
      <w:pPr>
        <w:spacing w:line="460" w:lineRule="exact"/>
        <w:ind w:firstLine="420"/>
        <w:rPr>
          <w:rFonts w:hint="eastAsia" w:ascii="宋体" w:hAnsi="宋体" w:eastAsia="宋体" w:cs="宋体"/>
          <w:szCs w:val="21"/>
        </w:rPr>
      </w:pPr>
      <w:r>
        <w:rPr>
          <w:rFonts w:hint="eastAsia" w:ascii="宋体" w:hAnsi="宋体" w:eastAsia="宋体" w:cs="宋体"/>
          <w:szCs w:val="21"/>
        </w:rPr>
        <w:t>17.3.3 进度付款证书和支付时间</w:t>
      </w:r>
    </w:p>
    <w:p w14:paraId="2621208E">
      <w:pPr>
        <w:snapToGrid w:val="0"/>
        <w:spacing w:line="460" w:lineRule="exact"/>
        <w:ind w:firstLine="100" w:firstLineChars="50"/>
        <w:rPr>
          <w:rFonts w:hint="eastAsia" w:ascii="宋体" w:hAnsi="宋体" w:eastAsia="宋体" w:cs="宋体"/>
          <w:szCs w:val="21"/>
        </w:rPr>
      </w:pPr>
      <w:r>
        <w:rPr>
          <w:rFonts w:hint="eastAsia" w:ascii="宋体" w:hAnsi="宋体" w:eastAsia="宋体" w:cs="宋体"/>
          <w:szCs w:val="21"/>
        </w:rPr>
        <w:t>本项（1）细化为：</w:t>
      </w:r>
    </w:p>
    <w:p w14:paraId="5718A366">
      <w:pPr>
        <w:snapToGrid w:val="0"/>
        <w:spacing w:line="460" w:lineRule="exact"/>
        <w:ind w:firstLine="420"/>
        <w:rPr>
          <w:rFonts w:hint="eastAsia" w:ascii="宋体" w:hAnsi="宋体" w:eastAsia="宋体" w:cs="宋体"/>
          <w:szCs w:val="21"/>
          <w:lang w:eastAsia="zh-CN"/>
        </w:rPr>
      </w:pPr>
      <w:r>
        <w:rPr>
          <w:rFonts w:hint="eastAsia" w:ascii="宋体" w:hAnsi="宋体" w:eastAsia="宋体" w:cs="宋体"/>
          <w:szCs w:val="21"/>
        </w:rPr>
        <w:t>按季度支付</w:t>
      </w:r>
      <w:r>
        <w:rPr>
          <w:rFonts w:hint="eastAsia" w:ascii="宋体" w:hAnsi="宋体" w:eastAsia="宋体" w:cs="宋体"/>
          <w:szCs w:val="21"/>
          <w:lang w:eastAsia="zh-CN"/>
        </w:rPr>
        <w:t>，根据季度养护产生并经核实的实际工作量结合中标综合单价，按实际结算，最后一季养护费用在合同终止并经检查核定后支付。</w:t>
      </w:r>
    </w:p>
    <w:p w14:paraId="6703FFDE">
      <w:pPr>
        <w:snapToGrid w:val="0"/>
        <w:spacing w:line="460" w:lineRule="exact"/>
        <w:ind w:firstLine="420"/>
        <w:rPr>
          <w:rFonts w:hint="eastAsia" w:ascii="宋体" w:hAnsi="宋体" w:eastAsia="宋体" w:cs="宋体"/>
          <w:szCs w:val="21"/>
        </w:rPr>
      </w:pPr>
      <w:r>
        <w:rPr>
          <w:rFonts w:hint="eastAsia" w:ascii="宋体" w:hAnsi="宋体" w:eastAsia="宋体" w:cs="宋体"/>
          <w:szCs w:val="21"/>
        </w:rPr>
        <w:t>支付</w:t>
      </w:r>
      <w:r>
        <w:rPr>
          <w:rFonts w:hint="eastAsia" w:ascii="宋体" w:hAnsi="宋体" w:eastAsia="宋体" w:cs="宋体"/>
          <w:szCs w:val="21"/>
          <w:lang w:val="en-US" w:eastAsia="zh-CN"/>
        </w:rPr>
        <w:t>要求</w:t>
      </w:r>
      <w:r>
        <w:rPr>
          <w:rFonts w:hint="eastAsia" w:ascii="宋体" w:hAnsi="宋体" w:eastAsia="宋体" w:cs="宋体"/>
          <w:szCs w:val="21"/>
        </w:rPr>
        <w:t>：发包人在收到上季结账后，按季统计汇总，在收到季结账单后签发（季度）期中支付证书，签发时应写明他认为应该到期结算的价款及需要扣留和扣回的款额并报发包人审批。</w:t>
      </w:r>
    </w:p>
    <w:p w14:paraId="532ED547">
      <w:pPr>
        <w:spacing w:line="460" w:lineRule="exact"/>
        <w:ind w:firstLine="420"/>
        <w:rPr>
          <w:rFonts w:hint="eastAsia" w:ascii="宋体" w:hAnsi="宋体" w:eastAsia="宋体" w:cs="宋体"/>
          <w:szCs w:val="21"/>
        </w:rPr>
      </w:pPr>
      <w:r>
        <w:rPr>
          <w:rFonts w:hint="eastAsia" w:ascii="宋体" w:hAnsi="宋体" w:eastAsia="宋体" w:cs="宋体"/>
          <w:szCs w:val="21"/>
        </w:rPr>
        <w:t>17.4 质量保证金</w:t>
      </w:r>
    </w:p>
    <w:p w14:paraId="0609E3B1">
      <w:pPr>
        <w:spacing w:line="460" w:lineRule="exact"/>
        <w:ind w:firstLine="420"/>
        <w:rPr>
          <w:rFonts w:hint="eastAsia" w:ascii="宋体" w:hAnsi="宋体" w:eastAsia="宋体" w:cs="宋体"/>
          <w:szCs w:val="21"/>
        </w:rPr>
      </w:pPr>
      <w:r>
        <w:rPr>
          <w:rFonts w:hint="eastAsia" w:ascii="宋体" w:hAnsi="宋体" w:eastAsia="宋体" w:cs="宋体"/>
          <w:szCs w:val="21"/>
        </w:rPr>
        <w:t>17.4.1质量保证金的退还</w:t>
      </w:r>
      <w:r>
        <w:rPr>
          <w:rFonts w:hint="eastAsia" w:ascii="宋体" w:hAnsi="宋体" w:eastAsia="宋体" w:cs="宋体"/>
          <w:szCs w:val="21"/>
          <w:lang w:val="en-US" w:eastAsia="zh-CN"/>
        </w:rPr>
        <w:t>:本项目无</w:t>
      </w:r>
      <w:r>
        <w:rPr>
          <w:rFonts w:hint="eastAsia" w:ascii="宋体" w:hAnsi="宋体" w:eastAsia="宋体" w:cs="宋体"/>
          <w:szCs w:val="21"/>
        </w:rPr>
        <w:t>。</w:t>
      </w:r>
    </w:p>
    <w:p w14:paraId="062A32EC">
      <w:pPr>
        <w:spacing w:line="460" w:lineRule="exact"/>
        <w:ind w:firstLine="420"/>
        <w:rPr>
          <w:rFonts w:hint="eastAsia" w:ascii="宋体" w:hAnsi="宋体" w:eastAsia="宋体" w:cs="宋体"/>
          <w:szCs w:val="21"/>
        </w:rPr>
      </w:pPr>
      <w:r>
        <w:rPr>
          <w:rFonts w:hint="eastAsia" w:ascii="宋体" w:hAnsi="宋体" w:eastAsia="宋体" w:cs="宋体"/>
          <w:szCs w:val="21"/>
        </w:rPr>
        <w:t>20.3 人身意外伤害险</w:t>
      </w:r>
    </w:p>
    <w:p w14:paraId="5AF4F81F">
      <w:pPr>
        <w:spacing w:line="460" w:lineRule="exact"/>
        <w:ind w:firstLine="420"/>
        <w:rPr>
          <w:rFonts w:hint="eastAsia" w:ascii="宋体" w:hAnsi="宋体" w:eastAsia="宋体" w:cs="宋体"/>
          <w:szCs w:val="21"/>
        </w:rPr>
      </w:pPr>
      <w:r>
        <w:rPr>
          <w:rFonts w:hint="eastAsia" w:ascii="宋体" w:hAnsi="宋体" w:eastAsia="宋体" w:cs="宋体"/>
          <w:szCs w:val="21"/>
        </w:rPr>
        <w:t>文末增加20.3.3款</w:t>
      </w:r>
    </w:p>
    <w:p w14:paraId="5C435651">
      <w:pPr>
        <w:spacing w:line="380" w:lineRule="exact"/>
        <w:ind w:firstLine="420"/>
        <w:rPr>
          <w:rFonts w:hint="eastAsia" w:ascii="宋体" w:hAnsi="宋体" w:eastAsia="宋体" w:cs="宋体"/>
          <w:b w:val="0"/>
          <w:bCs/>
          <w:szCs w:val="21"/>
        </w:rPr>
      </w:pPr>
      <w:r>
        <w:rPr>
          <w:rFonts w:hint="eastAsia" w:ascii="宋体" w:hAnsi="宋体" w:eastAsia="宋体" w:cs="宋体"/>
          <w:szCs w:val="21"/>
        </w:rPr>
        <w:t>20.3.3</w:t>
      </w:r>
      <w:r>
        <w:rPr>
          <w:rFonts w:hint="eastAsia" w:ascii="宋体" w:hAnsi="宋体" w:eastAsia="宋体" w:cs="宋体"/>
          <w:b w:val="0"/>
          <w:bCs/>
          <w:szCs w:val="21"/>
        </w:rPr>
        <w:t>工程一切险和第三方责任险由承包人以承包人投保。承包人应负责其雇员的人身安全，并应按合同条款的规定为其投保人身意外伤害险，最高保险赔额不低于人民币100万元。</w:t>
      </w:r>
    </w:p>
    <w:p w14:paraId="13D336A3">
      <w:pPr>
        <w:spacing w:line="400" w:lineRule="exact"/>
        <w:ind w:firstLine="422"/>
        <w:rPr>
          <w:rFonts w:hint="eastAsia" w:ascii="宋体" w:hAnsi="宋体" w:eastAsia="宋体" w:cs="宋体"/>
          <w:b w:val="0"/>
          <w:bCs/>
          <w:szCs w:val="21"/>
        </w:rPr>
      </w:pPr>
      <w:r>
        <w:rPr>
          <w:rFonts w:hint="eastAsia" w:ascii="宋体" w:hAnsi="宋体" w:eastAsia="宋体" w:cs="宋体"/>
          <w:b w:val="0"/>
          <w:bCs/>
          <w:szCs w:val="21"/>
        </w:rPr>
        <w:t>以上所有保险费用均由承包人承担并包含在所报的单价或总额价中，不单独报价。</w:t>
      </w:r>
    </w:p>
    <w:p w14:paraId="59BA544D">
      <w:pPr>
        <w:spacing w:line="380" w:lineRule="exact"/>
        <w:ind w:firstLine="422"/>
        <w:rPr>
          <w:rFonts w:hint="eastAsia" w:ascii="宋体" w:hAnsi="宋体" w:eastAsia="宋体" w:cs="宋体"/>
          <w:b w:val="0"/>
          <w:bCs/>
          <w:szCs w:val="21"/>
        </w:rPr>
      </w:pPr>
      <w:r>
        <w:rPr>
          <w:rFonts w:hint="eastAsia" w:ascii="宋体" w:hAnsi="宋体" w:eastAsia="宋体" w:cs="宋体"/>
          <w:b w:val="0"/>
          <w:bCs/>
          <w:szCs w:val="21"/>
        </w:rPr>
        <w:t>保险范围：自开工之日起直至本合同工程验收合格为止。承包人在签订合同协议书后28天内完成保险的投保工作，否则招标人视为承包人违约，并停止计量支付直至</w:t>
      </w:r>
      <w:r>
        <w:rPr>
          <w:rFonts w:hint="eastAsia" w:ascii="宋体" w:hAnsi="宋体" w:eastAsia="宋体" w:cs="宋体"/>
          <w:b w:val="0"/>
          <w:bCs/>
          <w:szCs w:val="21"/>
          <w:lang w:eastAsia="zh-CN"/>
        </w:rPr>
        <w:t>供应商</w:t>
      </w:r>
      <w:r>
        <w:rPr>
          <w:rFonts w:hint="eastAsia" w:ascii="宋体" w:hAnsi="宋体" w:eastAsia="宋体" w:cs="宋体"/>
          <w:b w:val="0"/>
          <w:bCs/>
          <w:szCs w:val="21"/>
        </w:rPr>
        <w:t>按招标文件要求进行投保。</w:t>
      </w:r>
    </w:p>
    <w:p w14:paraId="1C43EF83">
      <w:pPr>
        <w:spacing w:line="460" w:lineRule="exact"/>
        <w:ind w:firstLine="420"/>
        <w:rPr>
          <w:rFonts w:hint="eastAsia" w:ascii="宋体" w:hAnsi="宋体" w:eastAsia="宋体" w:cs="宋体"/>
          <w:szCs w:val="21"/>
        </w:rPr>
      </w:pPr>
      <w:r>
        <w:rPr>
          <w:rFonts w:hint="eastAsia" w:ascii="宋体" w:hAnsi="宋体" w:eastAsia="宋体" w:cs="宋体"/>
          <w:szCs w:val="21"/>
        </w:rPr>
        <w:t>22.1 承包人违约</w:t>
      </w:r>
    </w:p>
    <w:p w14:paraId="3967B8C4">
      <w:pPr>
        <w:spacing w:line="460" w:lineRule="exact"/>
        <w:ind w:firstLine="420"/>
        <w:rPr>
          <w:rFonts w:hint="eastAsia" w:ascii="宋体" w:hAnsi="宋体" w:eastAsia="宋体" w:cs="宋体"/>
          <w:szCs w:val="21"/>
        </w:rPr>
      </w:pPr>
      <w:r>
        <w:rPr>
          <w:rFonts w:hint="eastAsia" w:ascii="宋体" w:hAnsi="宋体" w:eastAsia="宋体" w:cs="宋体"/>
          <w:szCs w:val="21"/>
        </w:rPr>
        <w:t>22.1.1 (10)细化为：</w:t>
      </w:r>
    </w:p>
    <w:p w14:paraId="74B9A797">
      <w:pPr>
        <w:spacing w:line="460" w:lineRule="exact"/>
        <w:ind w:firstLine="420"/>
        <w:rPr>
          <w:rFonts w:hint="eastAsia" w:ascii="宋体" w:hAnsi="宋体" w:eastAsia="宋体" w:cs="宋体"/>
          <w:szCs w:val="21"/>
        </w:rPr>
      </w:pPr>
      <w:r>
        <w:rPr>
          <w:rFonts w:hint="eastAsia" w:ascii="宋体" w:hAnsi="宋体" w:eastAsia="宋体" w:cs="宋体"/>
          <w:szCs w:val="21"/>
        </w:rPr>
        <w:t>a．承包人在投标或签订合同阶段提供虚假资料；</w:t>
      </w:r>
    </w:p>
    <w:p w14:paraId="39CC0185">
      <w:pPr>
        <w:spacing w:line="460" w:lineRule="exact"/>
        <w:ind w:firstLine="420"/>
        <w:rPr>
          <w:rFonts w:hint="eastAsia" w:ascii="宋体" w:hAnsi="宋体" w:eastAsia="宋体" w:cs="宋体"/>
          <w:szCs w:val="21"/>
        </w:rPr>
      </w:pPr>
      <w:r>
        <w:rPr>
          <w:rFonts w:hint="eastAsia" w:ascii="宋体" w:hAnsi="宋体" w:eastAsia="宋体" w:cs="宋体"/>
          <w:szCs w:val="21"/>
        </w:rPr>
        <w:t>b．未经发包人批准，项目经理、技术负责人擅自离开工地现场；</w:t>
      </w:r>
      <w:r>
        <w:rPr>
          <w:rFonts w:hint="eastAsia" w:ascii="宋体" w:hAnsi="宋体" w:eastAsia="宋体" w:cs="宋体"/>
          <w:b/>
          <w:szCs w:val="21"/>
        </w:rPr>
        <w:t xml:space="preserve"> </w:t>
      </w:r>
    </w:p>
    <w:p w14:paraId="0711F89E">
      <w:pPr>
        <w:spacing w:line="460" w:lineRule="exact"/>
        <w:ind w:firstLine="420"/>
        <w:rPr>
          <w:rFonts w:hint="eastAsia" w:ascii="宋体" w:hAnsi="宋体" w:eastAsia="宋体" w:cs="宋体"/>
          <w:szCs w:val="21"/>
        </w:rPr>
      </w:pPr>
      <w:r>
        <w:rPr>
          <w:rFonts w:hint="eastAsia" w:ascii="宋体" w:hAnsi="宋体" w:eastAsia="宋体" w:cs="宋体"/>
          <w:szCs w:val="21"/>
        </w:rPr>
        <w:t>c．在各种报表、检查记录及检测、试验数据中作假；</w:t>
      </w:r>
    </w:p>
    <w:p w14:paraId="30C5AFB8">
      <w:pPr>
        <w:spacing w:line="460" w:lineRule="exact"/>
        <w:ind w:firstLine="420"/>
        <w:rPr>
          <w:rFonts w:hint="eastAsia" w:ascii="宋体" w:hAnsi="宋体" w:eastAsia="宋体" w:cs="宋体"/>
          <w:szCs w:val="21"/>
        </w:rPr>
      </w:pPr>
      <w:r>
        <w:rPr>
          <w:rFonts w:hint="eastAsia" w:ascii="宋体" w:hAnsi="宋体" w:eastAsia="宋体" w:cs="宋体"/>
          <w:szCs w:val="21"/>
        </w:rPr>
        <w:t>d．对公路设施造成损坏或污染；</w:t>
      </w:r>
    </w:p>
    <w:p w14:paraId="61816537">
      <w:pPr>
        <w:spacing w:line="460" w:lineRule="exact"/>
        <w:ind w:firstLine="420"/>
        <w:rPr>
          <w:rFonts w:hint="eastAsia" w:ascii="宋体" w:hAnsi="宋体" w:eastAsia="宋体" w:cs="宋体"/>
          <w:szCs w:val="21"/>
        </w:rPr>
      </w:pPr>
      <w:r>
        <w:rPr>
          <w:rFonts w:hint="eastAsia" w:ascii="宋体" w:hAnsi="宋体" w:eastAsia="宋体" w:cs="宋体"/>
          <w:szCs w:val="21"/>
        </w:rPr>
        <w:t>e．一贯或公然忽视履行其合同规定的义务，无视发包人事先的书面警告；</w:t>
      </w:r>
    </w:p>
    <w:p w14:paraId="409921C2">
      <w:pPr>
        <w:spacing w:line="460" w:lineRule="exact"/>
        <w:ind w:firstLine="420"/>
        <w:rPr>
          <w:rFonts w:hint="eastAsia" w:ascii="宋体" w:hAnsi="宋体" w:eastAsia="宋体" w:cs="宋体"/>
          <w:szCs w:val="21"/>
        </w:rPr>
      </w:pPr>
      <w:r>
        <w:rPr>
          <w:rFonts w:hint="eastAsia" w:ascii="宋体" w:hAnsi="宋体" w:eastAsia="宋体" w:cs="宋体"/>
          <w:szCs w:val="21"/>
        </w:rPr>
        <w:t>f．养护工程的实施不能满足发包人时效性要求；</w:t>
      </w:r>
    </w:p>
    <w:p w14:paraId="1FC066C2">
      <w:pPr>
        <w:spacing w:line="460" w:lineRule="exact"/>
        <w:ind w:firstLine="420"/>
        <w:rPr>
          <w:rFonts w:hint="eastAsia" w:ascii="宋体" w:hAnsi="宋体" w:eastAsia="宋体" w:cs="宋体"/>
          <w:szCs w:val="21"/>
        </w:rPr>
      </w:pPr>
      <w:r>
        <w:rPr>
          <w:rFonts w:hint="eastAsia" w:ascii="宋体" w:hAnsi="宋体" w:eastAsia="宋体" w:cs="宋体"/>
          <w:szCs w:val="21"/>
        </w:rPr>
        <w:t>g．在养护施工过程及缺陷期内，由于承包人责任出现质量问题、安全事故或其它问题；</w:t>
      </w:r>
    </w:p>
    <w:p w14:paraId="02526D4A">
      <w:pPr>
        <w:spacing w:line="460" w:lineRule="exact"/>
        <w:ind w:firstLine="420"/>
        <w:rPr>
          <w:rFonts w:hint="eastAsia" w:ascii="宋体" w:hAnsi="宋体" w:eastAsia="宋体" w:cs="宋体"/>
          <w:szCs w:val="21"/>
        </w:rPr>
      </w:pPr>
      <w:r>
        <w:rPr>
          <w:rFonts w:hint="eastAsia" w:ascii="宋体" w:hAnsi="宋体" w:eastAsia="宋体" w:cs="宋体"/>
          <w:szCs w:val="21"/>
        </w:rPr>
        <w:t>h．在养护合同执行期间，承包人在计量、变更中弄虚作假；</w:t>
      </w:r>
    </w:p>
    <w:p w14:paraId="39C2049F">
      <w:pPr>
        <w:spacing w:line="460" w:lineRule="exact"/>
        <w:ind w:firstLine="420"/>
        <w:rPr>
          <w:rFonts w:hint="eastAsia" w:ascii="宋体" w:hAnsi="宋体" w:eastAsia="宋体" w:cs="宋体"/>
          <w:szCs w:val="21"/>
        </w:rPr>
      </w:pPr>
      <w:r>
        <w:rPr>
          <w:rFonts w:hint="eastAsia" w:ascii="宋体" w:hAnsi="宋体" w:eastAsia="宋体" w:cs="宋体"/>
          <w:szCs w:val="21"/>
        </w:rPr>
        <w:t>22.1.2 当承包人发生第22.1.1项约定的违约情况时，有权向承包人课以违约金，具体约定如下：</w:t>
      </w:r>
    </w:p>
    <w:tbl>
      <w:tblPr>
        <w:tblStyle w:val="55"/>
        <w:tblW w:w="9955"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419"/>
        <w:gridCol w:w="4529"/>
        <w:gridCol w:w="4007"/>
      </w:tblGrid>
      <w:tr w14:paraId="420763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0" w:hRule="atLeast"/>
          <w:tblHeader/>
          <w:jc w:val="center"/>
        </w:trPr>
        <w:tc>
          <w:tcPr>
            <w:tcW w:w="1419" w:type="dxa"/>
            <w:noWrap w:val="0"/>
            <w:vAlign w:val="center"/>
          </w:tcPr>
          <w:p w14:paraId="6C91F207">
            <w:pPr>
              <w:widowControl w:val="0"/>
              <w:snapToGrid w:val="0"/>
              <w:jc w:val="center"/>
              <w:rPr>
                <w:rFonts w:hint="eastAsia" w:ascii="宋体" w:hAnsi="宋体" w:eastAsia="宋体" w:cs="宋体"/>
                <w:b/>
                <w:bCs/>
                <w:snapToGrid w:val="0"/>
                <w:spacing w:val="-6"/>
                <w:kern w:val="2"/>
                <w:sz w:val="21"/>
                <w:szCs w:val="21"/>
                <w:lang w:val="en-US" w:eastAsia="zh-CN" w:bidi="ar-SA"/>
              </w:rPr>
            </w:pPr>
            <w:r>
              <w:rPr>
                <w:rFonts w:hint="eastAsia" w:ascii="宋体" w:hAnsi="宋体" w:eastAsia="宋体" w:cs="宋体"/>
                <w:b/>
                <w:bCs/>
                <w:snapToGrid w:val="0"/>
                <w:spacing w:val="-6"/>
                <w:kern w:val="2"/>
                <w:sz w:val="21"/>
                <w:szCs w:val="21"/>
                <w:lang w:val="en-US" w:eastAsia="zh-CN" w:bidi="ar-SA"/>
              </w:rPr>
              <w:t>条款号</w:t>
            </w:r>
          </w:p>
        </w:tc>
        <w:tc>
          <w:tcPr>
            <w:tcW w:w="4529" w:type="dxa"/>
            <w:noWrap w:val="0"/>
            <w:vAlign w:val="center"/>
          </w:tcPr>
          <w:p w14:paraId="59C3720E">
            <w:pPr>
              <w:widowControl w:val="0"/>
              <w:snapToGrid w:val="0"/>
              <w:jc w:val="center"/>
              <w:rPr>
                <w:rFonts w:hint="eastAsia" w:ascii="宋体" w:hAnsi="宋体" w:eastAsia="宋体" w:cs="宋体"/>
                <w:b/>
                <w:bCs/>
                <w:snapToGrid w:val="0"/>
                <w:spacing w:val="-6"/>
                <w:kern w:val="2"/>
                <w:sz w:val="21"/>
                <w:szCs w:val="21"/>
                <w:lang w:val="en-US" w:eastAsia="zh-CN" w:bidi="ar-SA"/>
              </w:rPr>
            </w:pPr>
            <w:r>
              <w:rPr>
                <w:rFonts w:hint="eastAsia" w:ascii="宋体" w:hAnsi="宋体" w:eastAsia="宋体" w:cs="宋体"/>
                <w:b/>
                <w:bCs/>
                <w:snapToGrid w:val="0"/>
                <w:spacing w:val="-6"/>
                <w:kern w:val="2"/>
                <w:sz w:val="21"/>
                <w:szCs w:val="21"/>
                <w:lang w:val="en-US" w:eastAsia="zh-CN" w:bidi="ar-SA"/>
              </w:rPr>
              <w:t>违约行为</w:t>
            </w:r>
          </w:p>
        </w:tc>
        <w:tc>
          <w:tcPr>
            <w:tcW w:w="4007" w:type="dxa"/>
            <w:noWrap w:val="0"/>
            <w:vAlign w:val="center"/>
          </w:tcPr>
          <w:p w14:paraId="625CE16F">
            <w:pPr>
              <w:widowControl w:val="0"/>
              <w:snapToGrid w:val="0"/>
              <w:jc w:val="center"/>
              <w:rPr>
                <w:rFonts w:hint="eastAsia" w:ascii="宋体" w:hAnsi="宋体" w:eastAsia="宋体" w:cs="宋体"/>
                <w:b/>
                <w:bCs/>
                <w:snapToGrid w:val="0"/>
                <w:spacing w:val="-6"/>
                <w:kern w:val="2"/>
                <w:sz w:val="21"/>
                <w:szCs w:val="21"/>
                <w:lang w:val="en-US" w:eastAsia="zh-CN" w:bidi="ar-SA"/>
              </w:rPr>
            </w:pPr>
            <w:r>
              <w:rPr>
                <w:rFonts w:hint="eastAsia" w:ascii="宋体" w:hAnsi="宋体" w:eastAsia="宋体" w:cs="宋体"/>
                <w:b/>
                <w:bCs/>
                <w:snapToGrid w:val="0"/>
                <w:spacing w:val="-6"/>
                <w:kern w:val="2"/>
                <w:sz w:val="21"/>
                <w:szCs w:val="21"/>
                <w:lang w:val="en-US" w:eastAsia="zh-CN" w:bidi="ar-SA"/>
              </w:rPr>
              <w:t>违约责任</w:t>
            </w:r>
          </w:p>
        </w:tc>
      </w:tr>
      <w:tr w14:paraId="45A17F9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49ACDD83">
            <w:pPr>
              <w:rPr>
                <w:rFonts w:hint="eastAsia" w:ascii="宋体" w:hAnsi="宋体" w:eastAsia="宋体" w:cs="宋体"/>
                <w:szCs w:val="21"/>
              </w:rPr>
            </w:pPr>
            <w:r>
              <w:rPr>
                <w:rFonts w:hint="eastAsia" w:ascii="宋体" w:hAnsi="宋体" w:eastAsia="宋体" w:cs="宋体"/>
                <w:szCs w:val="21"/>
              </w:rPr>
              <w:t>22.1.1(1)</w:t>
            </w:r>
          </w:p>
        </w:tc>
        <w:tc>
          <w:tcPr>
            <w:tcW w:w="4529" w:type="dxa"/>
            <w:noWrap w:val="0"/>
            <w:vAlign w:val="center"/>
          </w:tcPr>
          <w:p w14:paraId="687210B8">
            <w:pPr>
              <w:rPr>
                <w:rFonts w:hint="eastAsia" w:ascii="宋体" w:hAnsi="宋体" w:eastAsia="宋体" w:cs="宋体"/>
                <w:szCs w:val="21"/>
              </w:rPr>
            </w:pPr>
            <w:r>
              <w:rPr>
                <w:rFonts w:hint="eastAsia" w:ascii="宋体" w:hAnsi="宋体" w:eastAsia="宋体" w:cs="宋体"/>
                <w:bCs/>
                <w:snapToGrid w:val="0"/>
                <w:spacing w:val="-6"/>
                <w:szCs w:val="21"/>
              </w:rPr>
              <w:t>承包人私自将合同的全部或部分权利转让给其他人，或私自将合同的全部或部分义务转移给其他人</w:t>
            </w:r>
          </w:p>
        </w:tc>
        <w:tc>
          <w:tcPr>
            <w:tcW w:w="4007" w:type="dxa"/>
            <w:noWrap w:val="0"/>
            <w:vAlign w:val="center"/>
          </w:tcPr>
          <w:p w14:paraId="007CDBA9">
            <w:pPr>
              <w:widowControl w:val="0"/>
              <w:snapToGrid w:val="0"/>
              <w:jc w:val="both"/>
              <w:rPr>
                <w:rFonts w:hint="eastAsia" w:ascii="宋体" w:hAnsi="宋体" w:eastAsia="宋体" w:cs="宋体"/>
                <w:bCs/>
                <w:snapToGrid w:val="0"/>
                <w:spacing w:val="-6"/>
                <w:kern w:val="2"/>
                <w:sz w:val="21"/>
                <w:szCs w:val="21"/>
                <w:lang w:val="en-US" w:eastAsia="zh-CN" w:bidi="ar-SA"/>
              </w:rPr>
            </w:pPr>
            <w:r>
              <w:rPr>
                <w:rFonts w:hint="eastAsia" w:ascii="宋体" w:hAnsi="宋体" w:eastAsia="宋体" w:cs="宋体"/>
                <w:bCs/>
                <w:snapToGrid w:val="0"/>
                <w:spacing w:val="-6"/>
                <w:kern w:val="2"/>
                <w:sz w:val="21"/>
                <w:szCs w:val="21"/>
                <w:lang w:val="en-US" w:eastAsia="zh-CN" w:bidi="ar-SA"/>
              </w:rPr>
              <w:t>终止合同。</w:t>
            </w:r>
          </w:p>
        </w:tc>
      </w:tr>
      <w:tr w14:paraId="40007D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15F9EC14">
            <w:pPr>
              <w:rPr>
                <w:rFonts w:hint="eastAsia" w:ascii="宋体" w:hAnsi="宋体" w:eastAsia="宋体" w:cs="宋体"/>
                <w:szCs w:val="21"/>
              </w:rPr>
            </w:pPr>
            <w:r>
              <w:rPr>
                <w:rFonts w:hint="eastAsia" w:ascii="宋体" w:hAnsi="宋体" w:eastAsia="宋体" w:cs="宋体"/>
                <w:szCs w:val="21"/>
              </w:rPr>
              <w:t>22.1.1(2)</w:t>
            </w:r>
          </w:p>
        </w:tc>
        <w:tc>
          <w:tcPr>
            <w:tcW w:w="4529" w:type="dxa"/>
            <w:noWrap w:val="0"/>
            <w:vAlign w:val="center"/>
          </w:tcPr>
          <w:p w14:paraId="466F5761">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承包人的人力、设备、技术、资金等不能满足工作要求</w:t>
            </w:r>
          </w:p>
        </w:tc>
        <w:tc>
          <w:tcPr>
            <w:tcW w:w="4007" w:type="dxa"/>
            <w:noWrap w:val="0"/>
            <w:vAlign w:val="center"/>
          </w:tcPr>
          <w:p w14:paraId="67388F1D">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解除合同。</w:t>
            </w:r>
          </w:p>
        </w:tc>
      </w:tr>
      <w:tr w14:paraId="09D671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22F9A8FA">
            <w:pPr>
              <w:rPr>
                <w:rFonts w:hint="eastAsia" w:ascii="宋体" w:hAnsi="宋体" w:eastAsia="宋体" w:cs="宋体"/>
                <w:szCs w:val="21"/>
              </w:rPr>
            </w:pPr>
            <w:r>
              <w:rPr>
                <w:rFonts w:hint="eastAsia" w:ascii="宋体" w:hAnsi="宋体" w:eastAsia="宋体" w:cs="宋体"/>
                <w:szCs w:val="21"/>
              </w:rPr>
              <w:t>22.1.1(3)</w:t>
            </w:r>
          </w:p>
        </w:tc>
        <w:tc>
          <w:tcPr>
            <w:tcW w:w="4529" w:type="dxa"/>
            <w:noWrap w:val="0"/>
            <w:vAlign w:val="center"/>
          </w:tcPr>
          <w:p w14:paraId="34510976">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承包人在合同期内，承包人严重违反发包人相关管理规定，经发包人书面告之3日内仍无改正</w:t>
            </w:r>
          </w:p>
        </w:tc>
        <w:tc>
          <w:tcPr>
            <w:tcW w:w="4007" w:type="dxa"/>
            <w:noWrap w:val="0"/>
            <w:vAlign w:val="center"/>
          </w:tcPr>
          <w:p w14:paraId="5CA615E9">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解除合同。</w:t>
            </w:r>
          </w:p>
        </w:tc>
      </w:tr>
      <w:tr w14:paraId="1B2D7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0428134B">
            <w:pPr>
              <w:rPr>
                <w:rFonts w:hint="eastAsia" w:ascii="宋体" w:hAnsi="宋体" w:eastAsia="宋体" w:cs="宋体"/>
                <w:szCs w:val="21"/>
              </w:rPr>
            </w:pPr>
            <w:r>
              <w:rPr>
                <w:rFonts w:hint="eastAsia" w:ascii="宋体" w:hAnsi="宋体" w:eastAsia="宋体" w:cs="宋体"/>
                <w:szCs w:val="21"/>
              </w:rPr>
              <w:t>22.1.1(4)</w:t>
            </w:r>
          </w:p>
        </w:tc>
        <w:tc>
          <w:tcPr>
            <w:tcW w:w="4529" w:type="dxa"/>
            <w:noWrap w:val="0"/>
            <w:vAlign w:val="center"/>
          </w:tcPr>
          <w:p w14:paraId="2A9D065F">
            <w:pPr>
              <w:rPr>
                <w:rFonts w:hint="eastAsia" w:ascii="宋体" w:hAnsi="宋体" w:eastAsia="宋体" w:cs="宋体"/>
                <w:szCs w:val="21"/>
              </w:rPr>
            </w:pPr>
            <w:r>
              <w:rPr>
                <w:rFonts w:hint="eastAsia" w:ascii="宋体" w:hAnsi="宋体" w:eastAsia="宋体" w:cs="宋体"/>
                <w:bCs/>
                <w:snapToGrid w:val="0"/>
                <w:spacing w:val="-6"/>
                <w:szCs w:val="21"/>
              </w:rPr>
              <w:t>承包人未经发包人批准，私自将已按合同约定进入施工场地的施工设备、临时设施、材料或工程设备撤离施工场地</w:t>
            </w:r>
          </w:p>
        </w:tc>
        <w:tc>
          <w:tcPr>
            <w:tcW w:w="4007" w:type="dxa"/>
            <w:noWrap w:val="0"/>
            <w:vAlign w:val="center"/>
          </w:tcPr>
          <w:p w14:paraId="7D397B5C">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lang w:val="en-US" w:eastAsia="zh-CN"/>
              </w:rPr>
              <w:t>解除合同。</w:t>
            </w:r>
          </w:p>
        </w:tc>
      </w:tr>
      <w:tr w14:paraId="5E88FF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42A92565">
            <w:pPr>
              <w:rPr>
                <w:rFonts w:hint="eastAsia" w:ascii="宋体" w:hAnsi="宋体" w:eastAsia="宋体" w:cs="宋体"/>
                <w:szCs w:val="21"/>
              </w:rPr>
            </w:pPr>
            <w:r>
              <w:rPr>
                <w:rFonts w:hint="eastAsia" w:ascii="宋体" w:hAnsi="宋体" w:eastAsia="宋体" w:cs="宋体"/>
                <w:szCs w:val="21"/>
              </w:rPr>
              <w:t>22.1.1(5)</w:t>
            </w:r>
          </w:p>
        </w:tc>
        <w:tc>
          <w:tcPr>
            <w:tcW w:w="4529" w:type="dxa"/>
            <w:noWrap w:val="0"/>
            <w:vAlign w:val="center"/>
          </w:tcPr>
          <w:p w14:paraId="5160FD0B">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 xml:space="preserve">承包人在养护施工中使用了不合格材料或工程设备，工程质量达不到标准要求，施工现场管理混乱 </w:t>
            </w:r>
          </w:p>
        </w:tc>
        <w:tc>
          <w:tcPr>
            <w:tcW w:w="4007" w:type="dxa"/>
            <w:noWrap w:val="0"/>
            <w:vAlign w:val="center"/>
          </w:tcPr>
          <w:p w14:paraId="20190FD6">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课以承包人不合格材料、设备、工程价格20%的违约金，发包人可请他人将不合格材料、设备、工程移出现场，其费用由承包人负担</w:t>
            </w:r>
          </w:p>
        </w:tc>
      </w:tr>
      <w:tr w14:paraId="089DD85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0127D696">
            <w:pPr>
              <w:rPr>
                <w:rFonts w:hint="eastAsia" w:ascii="宋体" w:hAnsi="宋体" w:eastAsia="宋体" w:cs="宋体"/>
                <w:szCs w:val="21"/>
              </w:rPr>
            </w:pPr>
            <w:r>
              <w:rPr>
                <w:rFonts w:hint="eastAsia" w:ascii="宋体" w:hAnsi="宋体" w:eastAsia="宋体" w:cs="宋体"/>
                <w:szCs w:val="21"/>
              </w:rPr>
              <w:t>22.1.1(6)</w:t>
            </w:r>
          </w:p>
        </w:tc>
        <w:tc>
          <w:tcPr>
            <w:tcW w:w="4529" w:type="dxa"/>
            <w:noWrap w:val="0"/>
            <w:vAlign w:val="center"/>
          </w:tcPr>
          <w:p w14:paraId="55911473">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承包人无法继续履行或明确表示不履行或实质上已停止履行合同</w:t>
            </w:r>
          </w:p>
        </w:tc>
        <w:tc>
          <w:tcPr>
            <w:tcW w:w="4007" w:type="dxa"/>
            <w:noWrap w:val="0"/>
            <w:vAlign w:val="center"/>
          </w:tcPr>
          <w:p w14:paraId="0348523E">
            <w:pPr>
              <w:rPr>
                <w:rFonts w:hint="eastAsia" w:ascii="宋体" w:hAnsi="宋体" w:eastAsia="宋体" w:cs="宋体"/>
                <w:bCs/>
                <w:snapToGrid w:val="0"/>
                <w:spacing w:val="-6"/>
                <w:szCs w:val="21"/>
                <w:lang w:eastAsia="zh-CN"/>
              </w:rPr>
            </w:pPr>
            <w:r>
              <w:rPr>
                <w:rFonts w:hint="eastAsia" w:ascii="宋体" w:hAnsi="宋体" w:eastAsia="宋体" w:cs="宋体"/>
                <w:bCs/>
                <w:snapToGrid w:val="0"/>
                <w:spacing w:val="-6"/>
                <w:szCs w:val="21"/>
              </w:rPr>
              <w:t>终止合同</w:t>
            </w:r>
            <w:r>
              <w:rPr>
                <w:rFonts w:hint="eastAsia" w:ascii="宋体" w:hAnsi="宋体" w:eastAsia="宋体" w:cs="宋体"/>
                <w:bCs/>
                <w:snapToGrid w:val="0"/>
                <w:spacing w:val="-6"/>
                <w:szCs w:val="21"/>
                <w:lang w:eastAsia="zh-CN"/>
              </w:rPr>
              <w:t>。</w:t>
            </w:r>
          </w:p>
        </w:tc>
      </w:tr>
      <w:tr w14:paraId="4F6C71E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3C6BB538">
            <w:pPr>
              <w:rPr>
                <w:rFonts w:hint="eastAsia" w:ascii="宋体" w:hAnsi="宋体" w:eastAsia="宋体" w:cs="宋体"/>
                <w:szCs w:val="21"/>
              </w:rPr>
            </w:pPr>
            <w:r>
              <w:rPr>
                <w:rFonts w:hint="eastAsia" w:ascii="宋体" w:hAnsi="宋体" w:eastAsia="宋体" w:cs="宋体"/>
                <w:szCs w:val="21"/>
              </w:rPr>
              <w:t>22.1.1(7)</w:t>
            </w:r>
          </w:p>
        </w:tc>
        <w:tc>
          <w:tcPr>
            <w:tcW w:w="4529" w:type="dxa"/>
            <w:noWrap w:val="0"/>
            <w:vAlign w:val="center"/>
          </w:tcPr>
          <w:p w14:paraId="51FE6ACD">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承包人违反第4.6款或6.3款的规定，未按承诺或未按发包人的要求及时配备称职的主要管理人员、技术骨干或关键施工设备</w:t>
            </w:r>
          </w:p>
        </w:tc>
        <w:tc>
          <w:tcPr>
            <w:tcW w:w="4007" w:type="dxa"/>
            <w:noWrap w:val="0"/>
            <w:vAlign w:val="center"/>
          </w:tcPr>
          <w:p w14:paraId="05DEF8D6">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未经发包人同意擅自更换承诺的项目经理或技术负责人，将终止合同；</w:t>
            </w:r>
          </w:p>
          <w:p w14:paraId="23995470">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如果监理工程师认为承包人委派的项目经理、技术负责人及安全员等人员的工作能力和业务水平不能胜任履行合同的义务，经业主同意而需撤换时，承包人必须在7天之内更换新的同岗位人员。</w:t>
            </w:r>
          </w:p>
          <w:p w14:paraId="180A713D">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有关承包人的项目经理、技术负责人、安全员等人员的经历、学历应在进场前报监理工程师，在监理工程师、业主同意后派驻工地。</w:t>
            </w:r>
          </w:p>
          <w:p w14:paraId="40D722E6">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承包人必须在签订合同协议书后的7天内组建项目经理部。项目经理、技术负责人未按发包人要求及时进场，课以承包人2000元/人·天的违约金；关键施工设备未按发包人要求及时进场，课以承包人3倍设备台班费/台·天的违约金</w:t>
            </w:r>
          </w:p>
        </w:tc>
      </w:tr>
      <w:tr w14:paraId="12D5A47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noWrap w:val="0"/>
            <w:vAlign w:val="center"/>
          </w:tcPr>
          <w:p w14:paraId="2E93970A">
            <w:pPr>
              <w:rPr>
                <w:rFonts w:hint="eastAsia" w:ascii="宋体" w:hAnsi="宋体" w:eastAsia="宋体" w:cs="宋体"/>
                <w:szCs w:val="21"/>
              </w:rPr>
            </w:pPr>
            <w:r>
              <w:rPr>
                <w:rFonts w:hint="eastAsia" w:ascii="宋体" w:hAnsi="宋体" w:eastAsia="宋体" w:cs="宋体"/>
                <w:szCs w:val="21"/>
              </w:rPr>
              <w:t>22.1.1(8)</w:t>
            </w:r>
          </w:p>
        </w:tc>
        <w:tc>
          <w:tcPr>
            <w:tcW w:w="4529" w:type="dxa"/>
            <w:noWrap w:val="0"/>
            <w:vAlign w:val="center"/>
          </w:tcPr>
          <w:p w14:paraId="0207E5A9">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经发包人检查，发现承包人有安全问题或有违反安全管理规章制度的情况</w:t>
            </w:r>
          </w:p>
        </w:tc>
        <w:tc>
          <w:tcPr>
            <w:tcW w:w="4007" w:type="dxa"/>
            <w:noWrap w:val="0"/>
            <w:vAlign w:val="center"/>
          </w:tcPr>
          <w:p w14:paraId="12E875A2">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视违约程度，课以承包人5万元/次以内的违约金</w:t>
            </w:r>
          </w:p>
        </w:tc>
      </w:tr>
      <w:tr w14:paraId="0E9A4D3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restart"/>
            <w:noWrap w:val="0"/>
            <w:vAlign w:val="center"/>
          </w:tcPr>
          <w:p w14:paraId="3BC38CA1">
            <w:pPr>
              <w:rPr>
                <w:rFonts w:hint="eastAsia" w:ascii="宋体" w:hAnsi="宋体" w:eastAsia="宋体" w:cs="宋体"/>
                <w:szCs w:val="21"/>
              </w:rPr>
            </w:pPr>
            <w:r>
              <w:rPr>
                <w:rFonts w:hint="eastAsia" w:ascii="宋体" w:hAnsi="宋体" w:eastAsia="宋体" w:cs="宋体"/>
                <w:szCs w:val="21"/>
              </w:rPr>
              <w:t>22.1.1(9)</w:t>
            </w:r>
          </w:p>
        </w:tc>
        <w:tc>
          <w:tcPr>
            <w:tcW w:w="4529" w:type="dxa"/>
            <w:noWrap w:val="0"/>
            <w:vAlign w:val="center"/>
          </w:tcPr>
          <w:p w14:paraId="247704E4">
            <w:pPr>
              <w:rPr>
                <w:rFonts w:hint="eastAsia" w:ascii="宋体" w:hAnsi="宋体" w:eastAsia="宋体" w:cs="宋体"/>
                <w:bCs/>
                <w:snapToGrid w:val="0"/>
                <w:spacing w:val="-6"/>
                <w:szCs w:val="21"/>
                <w:lang w:val="en-US" w:eastAsia="zh-CN"/>
              </w:rPr>
            </w:pPr>
            <w:r>
              <w:rPr>
                <w:rFonts w:hint="eastAsia" w:ascii="宋体" w:hAnsi="宋体" w:eastAsia="宋体" w:cs="宋体"/>
                <w:bCs/>
                <w:snapToGrid w:val="0"/>
                <w:spacing w:val="-6"/>
                <w:szCs w:val="21"/>
                <w:lang w:val="en-US" w:eastAsia="zh-CN"/>
              </w:rPr>
              <w:t>a．承包人在投标或签订合同阶段提供虚假资料</w:t>
            </w:r>
          </w:p>
        </w:tc>
        <w:tc>
          <w:tcPr>
            <w:tcW w:w="4007" w:type="dxa"/>
            <w:noWrap w:val="0"/>
            <w:vAlign w:val="center"/>
          </w:tcPr>
          <w:p w14:paraId="1ADEACD6">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课以承包人不超过合同总价10％的违约金，同时将承包人弄虚作假行为上报省级交通运输主管部门，作为不良记录纳入公路建设市场信用信息管理系统。</w:t>
            </w:r>
          </w:p>
        </w:tc>
      </w:tr>
      <w:tr w14:paraId="46983A0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12013FE0">
            <w:pPr>
              <w:rPr>
                <w:rFonts w:hint="eastAsia" w:ascii="宋体" w:hAnsi="宋体" w:eastAsia="宋体" w:cs="宋体"/>
                <w:szCs w:val="21"/>
              </w:rPr>
            </w:pPr>
          </w:p>
        </w:tc>
        <w:tc>
          <w:tcPr>
            <w:tcW w:w="4529" w:type="dxa"/>
            <w:noWrap w:val="0"/>
            <w:vAlign w:val="center"/>
          </w:tcPr>
          <w:p w14:paraId="5E75D8A5">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b．未经发包人批准，项目经理、技术负责人擅自离开工地现场</w:t>
            </w:r>
          </w:p>
        </w:tc>
        <w:tc>
          <w:tcPr>
            <w:tcW w:w="4007" w:type="dxa"/>
            <w:noWrap w:val="0"/>
            <w:vAlign w:val="center"/>
          </w:tcPr>
          <w:p w14:paraId="4AFFCAA5">
            <w:pPr>
              <w:rPr>
                <w:rFonts w:hint="eastAsia" w:ascii="宋体" w:hAnsi="宋体" w:eastAsia="宋体" w:cs="宋体"/>
                <w:bCs/>
                <w:snapToGrid w:val="0"/>
                <w:spacing w:val="-6"/>
                <w:szCs w:val="21"/>
              </w:rPr>
            </w:pPr>
            <w:r>
              <w:rPr>
                <w:rFonts w:hint="eastAsia" w:ascii="宋体" w:hAnsi="宋体" w:eastAsia="宋体" w:cs="宋体"/>
                <w:b w:val="0"/>
                <w:bCs/>
                <w:szCs w:val="21"/>
              </w:rPr>
              <w:t>承包人项目经理、技术</w:t>
            </w:r>
            <w:r>
              <w:rPr>
                <w:rFonts w:hint="eastAsia" w:ascii="宋体" w:hAnsi="宋体" w:eastAsia="宋体" w:cs="宋体"/>
                <w:b w:val="0"/>
                <w:bCs/>
                <w:szCs w:val="21"/>
                <w:lang w:eastAsia="zh-CN"/>
              </w:rPr>
              <w:t>负责人</w:t>
            </w:r>
            <w:r>
              <w:rPr>
                <w:rFonts w:hint="eastAsia" w:ascii="宋体" w:hAnsi="宋体" w:eastAsia="宋体" w:cs="宋体"/>
                <w:b w:val="0"/>
                <w:bCs/>
                <w:szCs w:val="21"/>
              </w:rPr>
              <w:t>及安全员等人员必须常驻工地，每月不得少于</w:t>
            </w:r>
            <w:r>
              <w:rPr>
                <w:rFonts w:hint="eastAsia" w:ascii="宋体" w:hAnsi="宋体" w:eastAsia="宋体" w:cs="宋体"/>
                <w:b w:val="0"/>
                <w:bCs/>
                <w:szCs w:val="21"/>
                <w:lang w:val="en-US" w:eastAsia="zh-CN"/>
              </w:rPr>
              <w:t>22</w:t>
            </w:r>
            <w:r>
              <w:rPr>
                <w:rFonts w:hint="eastAsia" w:ascii="宋体" w:hAnsi="宋体" w:eastAsia="宋体" w:cs="宋体"/>
                <w:b w:val="0"/>
                <w:bCs/>
                <w:szCs w:val="21"/>
              </w:rPr>
              <w:t>天；如需离开工地必须向驻地监理工程师、业主请假，未经批准擅自离开工地的按2000元/人·天在支付证书中扣除。</w:t>
            </w:r>
          </w:p>
        </w:tc>
      </w:tr>
      <w:tr w14:paraId="0EFF7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48F44C36">
            <w:pPr>
              <w:rPr>
                <w:rFonts w:hint="eastAsia" w:ascii="宋体" w:hAnsi="宋体" w:eastAsia="宋体" w:cs="宋体"/>
                <w:szCs w:val="21"/>
              </w:rPr>
            </w:pPr>
          </w:p>
        </w:tc>
        <w:tc>
          <w:tcPr>
            <w:tcW w:w="4529" w:type="dxa"/>
            <w:noWrap w:val="0"/>
            <w:vAlign w:val="center"/>
          </w:tcPr>
          <w:p w14:paraId="1C8DA168">
            <w:pPr>
              <w:rPr>
                <w:rFonts w:hint="eastAsia" w:ascii="宋体" w:hAnsi="宋体" w:eastAsia="宋体" w:cs="宋体"/>
                <w:szCs w:val="21"/>
              </w:rPr>
            </w:pPr>
            <w:r>
              <w:rPr>
                <w:rFonts w:hint="eastAsia" w:ascii="宋体" w:hAnsi="宋体" w:eastAsia="宋体" w:cs="宋体"/>
                <w:szCs w:val="21"/>
              </w:rPr>
              <w:t>c．在各种报表、检查记录及检测、试验数据中作假</w:t>
            </w:r>
          </w:p>
        </w:tc>
        <w:tc>
          <w:tcPr>
            <w:tcW w:w="4007" w:type="dxa"/>
            <w:noWrap w:val="0"/>
            <w:vAlign w:val="center"/>
          </w:tcPr>
          <w:p w14:paraId="2DEF3008">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课以承包人5000元/次的违约金，并追究当事人责任直至清除出场</w:t>
            </w:r>
          </w:p>
        </w:tc>
      </w:tr>
      <w:tr w14:paraId="5B91E7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178D4305">
            <w:pPr>
              <w:rPr>
                <w:rFonts w:hint="eastAsia" w:ascii="宋体" w:hAnsi="宋体" w:eastAsia="宋体" w:cs="宋体"/>
                <w:szCs w:val="21"/>
              </w:rPr>
            </w:pPr>
          </w:p>
        </w:tc>
        <w:tc>
          <w:tcPr>
            <w:tcW w:w="4529" w:type="dxa"/>
            <w:noWrap w:val="0"/>
            <w:vAlign w:val="center"/>
          </w:tcPr>
          <w:p w14:paraId="26AC2DFA">
            <w:pPr>
              <w:rPr>
                <w:rFonts w:hint="eastAsia" w:ascii="宋体" w:hAnsi="宋体" w:eastAsia="宋体" w:cs="宋体"/>
                <w:szCs w:val="21"/>
              </w:rPr>
            </w:pPr>
            <w:r>
              <w:rPr>
                <w:rFonts w:hint="eastAsia" w:ascii="宋体" w:hAnsi="宋体" w:eastAsia="宋体" w:cs="宋体"/>
                <w:szCs w:val="21"/>
              </w:rPr>
              <w:t>d．对公路设施造成损坏或污染；</w:t>
            </w:r>
          </w:p>
        </w:tc>
        <w:tc>
          <w:tcPr>
            <w:tcW w:w="4007" w:type="dxa"/>
            <w:noWrap w:val="0"/>
            <w:vAlign w:val="center"/>
          </w:tcPr>
          <w:p w14:paraId="1CCC6ED7">
            <w:pPr>
              <w:rPr>
                <w:rFonts w:hint="eastAsia" w:ascii="宋体" w:hAnsi="宋体" w:eastAsia="宋体" w:cs="宋体"/>
                <w:bCs/>
                <w:snapToGrid w:val="0"/>
                <w:spacing w:val="-6"/>
                <w:szCs w:val="21"/>
              </w:rPr>
            </w:pPr>
            <w:r>
              <w:rPr>
                <w:rFonts w:hint="eastAsia" w:ascii="宋体" w:hAnsi="宋体" w:eastAsia="宋体" w:cs="宋体"/>
                <w:bCs/>
                <w:snapToGrid w:val="0"/>
                <w:spacing w:val="-6"/>
                <w:szCs w:val="21"/>
              </w:rPr>
              <w:t>承包人必须赔偿发包人或其他承包人损失，并视违约程度，课以承包人1000～20000元/次的违约金</w:t>
            </w:r>
          </w:p>
        </w:tc>
      </w:tr>
      <w:tr w14:paraId="2655AB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6793B9B1">
            <w:pPr>
              <w:rPr>
                <w:rFonts w:hint="eastAsia" w:ascii="宋体" w:hAnsi="宋体" w:eastAsia="宋体" w:cs="宋体"/>
                <w:szCs w:val="21"/>
              </w:rPr>
            </w:pPr>
          </w:p>
        </w:tc>
        <w:tc>
          <w:tcPr>
            <w:tcW w:w="4529" w:type="dxa"/>
            <w:noWrap w:val="0"/>
            <w:vAlign w:val="center"/>
          </w:tcPr>
          <w:p w14:paraId="6855A27C">
            <w:pPr>
              <w:rPr>
                <w:rFonts w:hint="eastAsia" w:ascii="宋体" w:hAnsi="宋体" w:eastAsia="宋体" w:cs="宋体"/>
                <w:szCs w:val="21"/>
              </w:rPr>
            </w:pPr>
            <w:r>
              <w:rPr>
                <w:rFonts w:hint="eastAsia" w:ascii="宋体" w:hAnsi="宋体" w:eastAsia="宋体" w:cs="宋体"/>
                <w:szCs w:val="21"/>
              </w:rPr>
              <w:t>e．一贯或公然忽视履行其合同规定的义务，无视发包人事先的书面警告</w:t>
            </w:r>
          </w:p>
        </w:tc>
        <w:tc>
          <w:tcPr>
            <w:tcW w:w="4007" w:type="dxa"/>
            <w:noWrap w:val="0"/>
            <w:vAlign w:val="center"/>
          </w:tcPr>
          <w:p w14:paraId="4CE36D8D">
            <w:pPr>
              <w:rPr>
                <w:rFonts w:hint="eastAsia" w:ascii="宋体" w:hAnsi="宋体" w:eastAsia="宋体" w:cs="宋体"/>
                <w:bCs/>
                <w:snapToGrid w:val="0"/>
                <w:spacing w:val="-6"/>
                <w:szCs w:val="21"/>
              </w:rPr>
            </w:pPr>
            <w:r>
              <w:rPr>
                <w:rFonts w:hint="eastAsia" w:ascii="宋体" w:hAnsi="宋体" w:eastAsia="宋体" w:cs="宋体"/>
                <w:szCs w:val="21"/>
              </w:rPr>
              <w:t>视情节轻重，进行警告或处违约金，违约金金额为1～5万元人民币</w:t>
            </w:r>
          </w:p>
        </w:tc>
      </w:tr>
      <w:tr w14:paraId="55BE5FB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52F7F185">
            <w:pPr>
              <w:rPr>
                <w:rFonts w:hint="eastAsia" w:ascii="宋体" w:hAnsi="宋体" w:eastAsia="宋体" w:cs="宋体"/>
                <w:szCs w:val="21"/>
              </w:rPr>
            </w:pPr>
          </w:p>
        </w:tc>
        <w:tc>
          <w:tcPr>
            <w:tcW w:w="4529" w:type="dxa"/>
            <w:noWrap w:val="0"/>
            <w:vAlign w:val="center"/>
          </w:tcPr>
          <w:p w14:paraId="12B88CC6">
            <w:pPr>
              <w:rPr>
                <w:rFonts w:hint="eastAsia" w:ascii="宋体" w:hAnsi="宋体" w:eastAsia="宋体" w:cs="宋体"/>
                <w:szCs w:val="21"/>
                <w:lang w:val="en-US" w:eastAsia="zh-CN"/>
              </w:rPr>
            </w:pPr>
            <w:r>
              <w:rPr>
                <w:rFonts w:hint="eastAsia" w:ascii="宋体" w:hAnsi="宋体" w:eastAsia="宋体" w:cs="宋体"/>
                <w:szCs w:val="21"/>
                <w:lang w:val="en-US" w:eastAsia="zh-CN"/>
              </w:rPr>
              <w:t>f．养护工程的实施不能满足发包人时效性、养护质量要求</w:t>
            </w:r>
          </w:p>
        </w:tc>
        <w:tc>
          <w:tcPr>
            <w:tcW w:w="4007" w:type="dxa"/>
            <w:noWrap w:val="0"/>
            <w:vAlign w:val="center"/>
          </w:tcPr>
          <w:p w14:paraId="3D61B872">
            <w:pPr>
              <w:rPr>
                <w:rFonts w:hint="eastAsia" w:ascii="宋体" w:hAnsi="宋体" w:eastAsia="宋体" w:cs="宋体"/>
                <w:szCs w:val="21"/>
                <w:lang w:val="en-US" w:eastAsia="zh-CN"/>
              </w:rPr>
            </w:pPr>
            <w:r>
              <w:rPr>
                <w:rFonts w:hint="eastAsia" w:ascii="宋体" w:hAnsi="宋体" w:eastAsia="宋体" w:cs="宋体"/>
                <w:szCs w:val="21"/>
                <w:lang w:val="en-US" w:eastAsia="zh-CN"/>
              </w:rPr>
              <w:t>每次课以承包人1000~10000元/次以内的违约金</w:t>
            </w:r>
          </w:p>
        </w:tc>
      </w:tr>
      <w:tr w14:paraId="793F5D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56" w:hRule="atLeast"/>
          <w:jc w:val="center"/>
        </w:trPr>
        <w:tc>
          <w:tcPr>
            <w:tcW w:w="1419" w:type="dxa"/>
            <w:vMerge w:val="continue"/>
            <w:noWrap w:val="0"/>
            <w:vAlign w:val="center"/>
          </w:tcPr>
          <w:p w14:paraId="2916E9CB">
            <w:pPr>
              <w:rPr>
                <w:rFonts w:hint="eastAsia" w:ascii="宋体" w:hAnsi="宋体" w:eastAsia="宋体" w:cs="宋体"/>
                <w:szCs w:val="21"/>
              </w:rPr>
            </w:pPr>
          </w:p>
        </w:tc>
        <w:tc>
          <w:tcPr>
            <w:tcW w:w="4529" w:type="dxa"/>
            <w:noWrap w:val="0"/>
            <w:vAlign w:val="center"/>
          </w:tcPr>
          <w:p w14:paraId="37E9B955">
            <w:pPr>
              <w:rPr>
                <w:rFonts w:hint="eastAsia" w:ascii="宋体" w:hAnsi="宋体" w:eastAsia="宋体" w:cs="宋体"/>
                <w:szCs w:val="21"/>
                <w:lang w:val="en-US" w:eastAsia="zh-CN"/>
              </w:rPr>
            </w:pPr>
            <w:r>
              <w:rPr>
                <w:rFonts w:hint="eastAsia" w:ascii="宋体" w:hAnsi="宋体" w:eastAsia="宋体" w:cs="宋体"/>
                <w:szCs w:val="21"/>
                <w:lang w:val="en-US" w:eastAsia="zh-CN"/>
              </w:rPr>
              <w:t>g．在养护施工过程及缺陷内，由于承包人责任出现质量问题、安全事故或其它问题</w:t>
            </w:r>
          </w:p>
        </w:tc>
        <w:tc>
          <w:tcPr>
            <w:tcW w:w="4007" w:type="dxa"/>
            <w:noWrap w:val="0"/>
            <w:vAlign w:val="center"/>
          </w:tcPr>
          <w:p w14:paraId="774719FF">
            <w:pPr>
              <w:rPr>
                <w:rFonts w:hint="eastAsia" w:ascii="宋体" w:hAnsi="宋体" w:eastAsia="宋体" w:cs="宋体"/>
                <w:szCs w:val="21"/>
                <w:lang w:val="en-US" w:eastAsia="zh-CN"/>
              </w:rPr>
            </w:pPr>
            <w:r>
              <w:rPr>
                <w:rFonts w:hint="eastAsia" w:ascii="宋体" w:hAnsi="宋体" w:eastAsia="宋体" w:cs="宋体"/>
                <w:szCs w:val="21"/>
                <w:lang w:val="en-US" w:eastAsia="zh-CN"/>
              </w:rPr>
              <w:t>视其情节轻重，每次课以承包人人民币2～10万元的违约金</w:t>
            </w:r>
          </w:p>
        </w:tc>
      </w:tr>
    </w:tbl>
    <w:p w14:paraId="65CC962E">
      <w:pPr>
        <w:spacing w:line="460" w:lineRule="exact"/>
        <w:ind w:firstLine="420"/>
        <w:jc w:val="left"/>
        <w:rPr>
          <w:rFonts w:hint="eastAsia" w:ascii="宋体" w:hAnsi="宋体" w:eastAsia="宋体" w:cs="宋体"/>
          <w:szCs w:val="21"/>
        </w:rPr>
      </w:pPr>
      <w:r>
        <w:rPr>
          <w:rFonts w:hint="eastAsia" w:ascii="宋体" w:hAnsi="宋体" w:eastAsia="宋体" w:cs="宋体"/>
          <w:szCs w:val="21"/>
        </w:rPr>
        <w:t>增加：25补充条款</w:t>
      </w:r>
    </w:p>
    <w:p w14:paraId="2A52C27C">
      <w:pPr>
        <w:spacing w:line="460" w:lineRule="exact"/>
        <w:ind w:firstLine="420"/>
        <w:jc w:val="left"/>
        <w:rPr>
          <w:rFonts w:hint="eastAsia" w:ascii="宋体" w:hAnsi="宋体" w:eastAsia="宋体" w:cs="宋体"/>
          <w:szCs w:val="21"/>
        </w:rPr>
      </w:pPr>
      <w:r>
        <w:rPr>
          <w:rFonts w:hint="eastAsia" w:ascii="宋体" w:hAnsi="宋体" w:eastAsia="宋体" w:cs="宋体"/>
          <w:szCs w:val="21"/>
        </w:rPr>
        <w:t>25.1 材料</w:t>
      </w:r>
    </w:p>
    <w:p w14:paraId="5AB68A95">
      <w:pPr>
        <w:spacing w:line="460" w:lineRule="exact"/>
        <w:ind w:firstLine="420"/>
        <w:jc w:val="left"/>
        <w:rPr>
          <w:rFonts w:hint="eastAsia" w:ascii="宋体" w:hAnsi="宋体" w:eastAsia="宋体" w:cs="宋体"/>
          <w:szCs w:val="21"/>
        </w:rPr>
      </w:pPr>
      <w:r>
        <w:rPr>
          <w:rFonts w:hint="eastAsia" w:ascii="宋体" w:hAnsi="宋体" w:eastAsia="宋体" w:cs="宋体"/>
          <w:szCs w:val="21"/>
        </w:rPr>
        <w:t>养护材料均由承包人自行采购、运输、贮存，其品种、规格、质量标准等应符合相关规范及发包人的要求，承包人应提供相关质量检验证明。对于养护施工用到的所有主要材料采取准入制，承包人应书面上报所用材料品牌、规格、型号和生产厂家经发包人书面批准同意后方可使用。发包人如认为有必要时，可将养护材料抽样委托给另一家有资质的单位检验，费用由承包人承担。任何材料的使用，均不能解除承包人对材料和工程质量所承担的责任。材料价格由参与投标的承包人调查分析确定，风险均由承包人自己承担（例外：钢材价格浮动超过滁州当期信息价10%以上进行材料调差，调整护栏板的单价）。</w:t>
      </w:r>
    </w:p>
    <w:p w14:paraId="68573D07">
      <w:pPr>
        <w:spacing w:line="460" w:lineRule="exact"/>
        <w:ind w:firstLine="420"/>
        <w:rPr>
          <w:rFonts w:hint="eastAsia" w:ascii="宋体" w:hAnsi="宋体" w:eastAsia="宋体" w:cs="宋体"/>
          <w:szCs w:val="21"/>
        </w:rPr>
      </w:pPr>
      <w:r>
        <w:rPr>
          <w:rFonts w:hint="eastAsia" w:ascii="宋体" w:hAnsi="宋体" w:eastAsia="宋体" w:cs="宋体"/>
          <w:szCs w:val="21"/>
        </w:rPr>
        <w:t>25.2 拆除的交通安全设施的处理</w:t>
      </w:r>
    </w:p>
    <w:p w14:paraId="4832F217">
      <w:pPr>
        <w:spacing w:line="460" w:lineRule="exact"/>
        <w:ind w:firstLine="392" w:firstLineChars="196"/>
        <w:jc w:val="left"/>
        <w:rPr>
          <w:rFonts w:hint="eastAsia" w:ascii="宋体" w:hAnsi="宋体" w:eastAsia="宋体" w:cs="宋体"/>
          <w:b w:val="0"/>
          <w:bCs/>
          <w:szCs w:val="21"/>
        </w:rPr>
      </w:pPr>
      <w:r>
        <w:rPr>
          <w:rFonts w:hint="eastAsia" w:ascii="宋体" w:hAnsi="宋体" w:eastAsia="宋体" w:cs="宋体"/>
          <w:b w:val="0"/>
          <w:bCs/>
          <w:szCs w:val="21"/>
        </w:rPr>
        <w:t>承包人在施工中拆除的所有交通安全设施所有权归发包人所有，承包人应将拆除的安全设施运送到发包人指定地点并卸车，由发包人现场验收；若因承包人管理不当造成被拆除的交通安全设施的遗失，发包人将在计量款中予以扣除。交通安全设施的拆除及运送到指定地点的费用包含在工程量清单相应细目的报价中，发包人将不另行支付与此有关的任何费用。</w:t>
      </w:r>
    </w:p>
    <w:p w14:paraId="75FEDF61">
      <w:pPr>
        <w:spacing w:line="460" w:lineRule="exact"/>
        <w:ind w:firstLine="420"/>
        <w:jc w:val="left"/>
        <w:rPr>
          <w:rFonts w:hint="eastAsia" w:ascii="宋体" w:hAnsi="宋体" w:eastAsia="宋体" w:cs="宋体"/>
          <w:szCs w:val="21"/>
        </w:rPr>
      </w:pPr>
      <w:r>
        <w:rPr>
          <w:rFonts w:hint="eastAsia" w:ascii="宋体" w:hAnsi="宋体" w:eastAsia="宋体" w:cs="宋体"/>
          <w:szCs w:val="21"/>
        </w:rPr>
        <w:t>25.3保护农民工的合法权益</w:t>
      </w:r>
    </w:p>
    <w:p w14:paraId="261E38D2">
      <w:pPr>
        <w:spacing w:line="460" w:lineRule="exact"/>
        <w:ind w:firstLine="420"/>
        <w:jc w:val="left"/>
        <w:rPr>
          <w:rFonts w:hint="eastAsia" w:ascii="宋体" w:hAnsi="宋体" w:eastAsia="宋体" w:cs="宋体"/>
          <w:szCs w:val="21"/>
        </w:rPr>
      </w:pPr>
      <w:r>
        <w:rPr>
          <w:rFonts w:hint="eastAsia" w:ascii="宋体" w:hAnsi="宋体" w:eastAsia="宋体" w:cs="宋体"/>
          <w:szCs w:val="21"/>
        </w:rPr>
        <w:t>对招用农民工不签订劳务合同、非法使用农民工的承包人，或者拖延和克扣农民工工资的承包人，监理人和发包人有权要求其纠正。拒不纠正的，发包人将及时上报上级主管部门并建议给予通报。</w:t>
      </w:r>
    </w:p>
    <w:p w14:paraId="476EC26E">
      <w:pPr>
        <w:spacing w:line="460" w:lineRule="exact"/>
        <w:ind w:firstLine="420"/>
        <w:jc w:val="left"/>
        <w:rPr>
          <w:rFonts w:hint="eastAsia" w:ascii="宋体" w:hAnsi="宋体" w:eastAsia="宋体" w:cs="宋体"/>
          <w:szCs w:val="21"/>
        </w:rPr>
      </w:pPr>
      <w:r>
        <w:rPr>
          <w:rFonts w:hint="eastAsia" w:ascii="宋体" w:hAnsi="宋体" w:eastAsia="宋体" w:cs="宋体"/>
          <w:szCs w:val="21"/>
        </w:rPr>
        <w:t>发包人将根据查实情况或县级以上劳动主管部门的裁决通知从任何应支付给承包人的款项中扣留拖延和克扣农民工工资的价款，并直接支付给应得该价款的农民工或劳务分包人。对于因拖欠农民工工资行为造成上访、闹事等不良影响的承包人，发包人可要求承包人承担 10 万元/次以内的违约金。</w:t>
      </w:r>
    </w:p>
    <w:p w14:paraId="6A5CB102">
      <w:pPr>
        <w:spacing w:line="460" w:lineRule="exact"/>
        <w:ind w:firstLine="420"/>
        <w:jc w:val="left"/>
        <w:rPr>
          <w:rFonts w:hint="eastAsia" w:ascii="宋体" w:hAnsi="宋体" w:eastAsia="宋体" w:cs="宋体"/>
          <w:szCs w:val="21"/>
        </w:rPr>
      </w:pPr>
      <w:r>
        <w:rPr>
          <w:rFonts w:hint="eastAsia" w:ascii="宋体" w:hAnsi="宋体" w:eastAsia="宋体" w:cs="宋体"/>
          <w:szCs w:val="21"/>
        </w:rPr>
        <w:t>25.4 养护施工考评</w:t>
      </w:r>
    </w:p>
    <w:p w14:paraId="6287C133">
      <w:pPr>
        <w:spacing w:line="360" w:lineRule="auto"/>
        <w:outlineLvl w:val="2"/>
        <w:rPr>
          <w:rFonts w:hint="eastAsia" w:ascii="宋体" w:hAnsi="宋体" w:eastAsia="宋体" w:cs="宋体"/>
          <w:b/>
          <w:szCs w:val="21"/>
        </w:rPr>
      </w:pPr>
      <w:r>
        <w:rPr>
          <w:rFonts w:hint="eastAsia" w:ascii="宋体" w:hAnsi="宋体" w:eastAsia="宋体" w:cs="宋体"/>
          <w:b/>
          <w:szCs w:val="21"/>
        </w:rPr>
        <w:t>发包人将定期进行检查并依据有关考评办法进行考评，考评办法见合同专用条款附件一《公路养护考评办法》</w:t>
      </w:r>
    </w:p>
    <w:p w14:paraId="598DD0EB">
      <w:pPr>
        <w:ind w:firstLine="480"/>
        <w:rPr>
          <w:rFonts w:hint="eastAsia" w:ascii="宋体" w:hAnsi="宋体" w:eastAsia="宋体" w:cs="宋体"/>
          <w:b/>
          <w:bCs/>
          <w:sz w:val="24"/>
        </w:rPr>
      </w:pPr>
      <w:r>
        <w:rPr>
          <w:rFonts w:hint="eastAsia" w:ascii="宋体" w:hAnsi="宋体" w:eastAsia="宋体" w:cs="宋体"/>
          <w:sz w:val="24"/>
        </w:rPr>
        <w:br w:type="page"/>
      </w:r>
      <w:r>
        <w:rPr>
          <w:rFonts w:hint="eastAsia" w:ascii="宋体" w:hAnsi="宋体" w:eastAsia="宋体" w:cs="宋体"/>
          <w:b/>
          <w:bCs/>
          <w:sz w:val="24"/>
        </w:rPr>
        <w:t>附件一</w:t>
      </w:r>
    </w:p>
    <w:p w14:paraId="77EB6AF1">
      <w:pPr>
        <w:spacing w:line="360" w:lineRule="auto"/>
        <w:jc w:val="center"/>
        <w:outlineLvl w:val="2"/>
        <w:rPr>
          <w:rFonts w:hint="eastAsia" w:ascii="宋体" w:hAnsi="宋体" w:eastAsia="宋体" w:cs="宋体"/>
          <w:bCs/>
          <w:sz w:val="36"/>
          <w:szCs w:val="36"/>
        </w:rPr>
      </w:pPr>
      <w:r>
        <w:rPr>
          <w:rFonts w:hint="eastAsia" w:ascii="宋体" w:hAnsi="宋体" w:eastAsia="宋体" w:cs="宋体"/>
          <w:bCs/>
          <w:sz w:val="36"/>
          <w:szCs w:val="36"/>
        </w:rPr>
        <w:t>公路养护考评办法</w:t>
      </w:r>
    </w:p>
    <w:p w14:paraId="7AA4F0E2">
      <w:pPr>
        <w:rPr>
          <w:rFonts w:hint="eastAsia" w:ascii="宋体" w:hAnsi="宋体" w:eastAsia="宋体" w:cs="宋体"/>
        </w:rPr>
      </w:pPr>
    </w:p>
    <w:p w14:paraId="49E74ACD">
      <w:pPr>
        <w:spacing w:line="520" w:lineRule="exact"/>
        <w:jc w:val="center"/>
        <w:rPr>
          <w:rFonts w:hint="eastAsia" w:ascii="宋体" w:hAnsi="宋体" w:eastAsia="宋体" w:cs="宋体"/>
          <w:bCs/>
          <w:sz w:val="24"/>
        </w:rPr>
      </w:pPr>
      <w:r>
        <w:rPr>
          <w:rFonts w:hint="eastAsia" w:ascii="宋体" w:hAnsi="宋体" w:eastAsia="宋体" w:cs="宋体"/>
          <w:sz w:val="24"/>
        </w:rPr>
        <w:t>第一章  总则</w:t>
      </w:r>
    </w:p>
    <w:p w14:paraId="57804D68">
      <w:pPr>
        <w:spacing w:line="560" w:lineRule="exact"/>
        <w:ind w:firstLine="480" w:firstLineChars="200"/>
        <w:rPr>
          <w:rFonts w:hint="eastAsia" w:ascii="宋体" w:hAnsi="宋体" w:eastAsia="宋体" w:cs="宋体"/>
          <w:bCs/>
          <w:sz w:val="24"/>
        </w:rPr>
      </w:pPr>
      <w:r>
        <w:rPr>
          <w:rFonts w:hint="eastAsia" w:ascii="宋体" w:hAnsi="宋体" w:eastAsia="宋体" w:cs="宋体"/>
          <w:bCs/>
          <w:sz w:val="24"/>
        </w:rPr>
        <w:t>第一条  为确保安全、优质、高效地做好公路养护工作，加强养护工程安全与文明管理，提升工程质量，结合施工管理实际情况，特制定本办法。</w:t>
      </w:r>
    </w:p>
    <w:p w14:paraId="14EB773A">
      <w:pPr>
        <w:spacing w:line="500" w:lineRule="exact"/>
        <w:ind w:firstLine="480" w:firstLineChars="200"/>
        <w:rPr>
          <w:rFonts w:hint="eastAsia" w:ascii="宋体" w:hAnsi="宋体" w:eastAsia="宋体" w:cs="宋体"/>
          <w:sz w:val="24"/>
        </w:rPr>
      </w:pPr>
      <w:r>
        <w:rPr>
          <w:rFonts w:hint="eastAsia" w:ascii="宋体" w:hAnsi="宋体" w:eastAsia="宋体" w:cs="宋体"/>
          <w:sz w:val="24"/>
        </w:rPr>
        <w:t>第二条  考核范围：公路养护小修工程项目。</w:t>
      </w:r>
    </w:p>
    <w:p w14:paraId="3100127E">
      <w:pPr>
        <w:spacing w:line="500" w:lineRule="exact"/>
        <w:ind w:firstLine="480" w:firstLineChars="200"/>
        <w:rPr>
          <w:rFonts w:hint="eastAsia" w:ascii="宋体" w:hAnsi="宋体" w:eastAsia="宋体" w:cs="宋体"/>
          <w:sz w:val="24"/>
        </w:rPr>
      </w:pPr>
      <w:r>
        <w:rPr>
          <w:rFonts w:hint="eastAsia" w:ascii="宋体" w:hAnsi="宋体" w:eastAsia="宋体" w:cs="宋体"/>
          <w:sz w:val="24"/>
        </w:rPr>
        <w:t>第三条  考核对象：</w:t>
      </w:r>
      <w:r>
        <w:rPr>
          <w:rFonts w:hint="eastAsia" w:ascii="宋体" w:hAnsi="宋体" w:eastAsia="宋体" w:cs="宋体"/>
          <w:sz w:val="24"/>
          <w:lang w:val="en-US" w:eastAsia="zh-CN"/>
        </w:rPr>
        <w:t>成交</w:t>
      </w:r>
      <w:r>
        <w:rPr>
          <w:rFonts w:hint="eastAsia" w:ascii="宋体" w:hAnsi="宋体" w:eastAsia="宋体" w:cs="宋体"/>
          <w:sz w:val="24"/>
        </w:rPr>
        <w:t>单位。</w:t>
      </w:r>
    </w:p>
    <w:p w14:paraId="22E93F89">
      <w:pPr>
        <w:spacing w:line="540" w:lineRule="exact"/>
        <w:ind w:firstLine="480" w:firstLineChars="200"/>
        <w:rPr>
          <w:rFonts w:hint="eastAsia" w:ascii="宋体" w:hAnsi="宋体" w:eastAsia="宋体" w:cs="宋体"/>
          <w:sz w:val="24"/>
        </w:rPr>
      </w:pPr>
      <w:r>
        <w:rPr>
          <w:rFonts w:hint="eastAsia" w:ascii="宋体" w:hAnsi="宋体" w:eastAsia="宋体" w:cs="宋体"/>
          <w:sz w:val="24"/>
        </w:rPr>
        <w:t>第四条  考核依据</w:t>
      </w:r>
    </w:p>
    <w:p w14:paraId="70406185">
      <w:pPr>
        <w:spacing w:line="540" w:lineRule="exact"/>
        <w:ind w:firstLine="480" w:firstLineChars="200"/>
        <w:rPr>
          <w:rFonts w:hint="eastAsia" w:ascii="宋体" w:hAnsi="宋体" w:eastAsia="宋体" w:cs="宋体"/>
          <w:sz w:val="24"/>
        </w:rPr>
      </w:pPr>
      <w:r>
        <w:rPr>
          <w:rFonts w:hint="eastAsia" w:ascii="宋体" w:hAnsi="宋体" w:eastAsia="宋体" w:cs="宋体"/>
          <w:sz w:val="24"/>
        </w:rPr>
        <w:t>（一）《公路养护技术规范》、《公路桥梁养护规范》、《公路技术状况评定标准》等；</w:t>
      </w:r>
    </w:p>
    <w:p w14:paraId="51CFE71E">
      <w:pPr>
        <w:spacing w:line="540" w:lineRule="exact"/>
        <w:ind w:firstLine="480" w:firstLineChars="200"/>
        <w:rPr>
          <w:rFonts w:hint="eastAsia" w:ascii="宋体" w:hAnsi="宋体" w:eastAsia="宋体" w:cs="宋体"/>
          <w:sz w:val="24"/>
        </w:rPr>
      </w:pPr>
      <w:r>
        <w:rPr>
          <w:rFonts w:hint="eastAsia" w:ascii="宋体" w:hAnsi="宋体" w:eastAsia="宋体" w:cs="宋体"/>
          <w:sz w:val="24"/>
        </w:rPr>
        <w:t>（二）合同文件；</w:t>
      </w:r>
    </w:p>
    <w:p w14:paraId="594C29DB">
      <w:pPr>
        <w:spacing w:line="540" w:lineRule="exact"/>
        <w:ind w:firstLine="480" w:firstLineChars="200"/>
        <w:rPr>
          <w:rFonts w:hint="eastAsia" w:ascii="宋体" w:hAnsi="宋体" w:eastAsia="宋体" w:cs="宋体"/>
          <w:sz w:val="24"/>
        </w:rPr>
      </w:pPr>
      <w:r>
        <w:rPr>
          <w:rFonts w:hint="eastAsia" w:ascii="宋体" w:hAnsi="宋体" w:eastAsia="宋体" w:cs="宋体"/>
          <w:sz w:val="24"/>
        </w:rPr>
        <w:t>（三）安徽省交通运输厅、滁州市交通运输局、滁州市公路管理中心有关养护制度、办法。</w:t>
      </w:r>
    </w:p>
    <w:p w14:paraId="309AF962">
      <w:pPr>
        <w:spacing w:beforeLines="50" w:afterLines="50" w:line="480" w:lineRule="exact"/>
        <w:jc w:val="center"/>
        <w:rPr>
          <w:rFonts w:hint="eastAsia" w:ascii="宋体" w:hAnsi="宋体" w:eastAsia="宋体" w:cs="宋体"/>
          <w:sz w:val="24"/>
        </w:rPr>
      </w:pPr>
      <w:r>
        <w:rPr>
          <w:rFonts w:hint="eastAsia" w:ascii="宋体" w:hAnsi="宋体" w:eastAsia="宋体" w:cs="宋体"/>
          <w:sz w:val="24"/>
        </w:rPr>
        <w:t xml:space="preserve">第二章  </w:t>
      </w:r>
      <w:r>
        <w:rPr>
          <w:rFonts w:hint="eastAsia" w:ascii="宋体" w:hAnsi="宋体" w:eastAsia="宋体" w:cs="宋体"/>
          <w:bCs/>
          <w:sz w:val="24"/>
        </w:rPr>
        <w:t>日常养护及小修保养</w:t>
      </w:r>
      <w:r>
        <w:rPr>
          <w:rFonts w:hint="eastAsia" w:ascii="宋体" w:hAnsi="宋体" w:eastAsia="宋体" w:cs="宋体"/>
          <w:sz w:val="24"/>
        </w:rPr>
        <w:t>考评</w:t>
      </w:r>
    </w:p>
    <w:p w14:paraId="6DBDCD35">
      <w:pPr>
        <w:spacing w:line="540" w:lineRule="exact"/>
        <w:ind w:firstLine="480" w:firstLineChars="200"/>
        <w:rPr>
          <w:rFonts w:hint="eastAsia" w:ascii="宋体" w:hAnsi="宋体" w:eastAsia="宋体" w:cs="宋体"/>
          <w:sz w:val="24"/>
        </w:rPr>
      </w:pPr>
      <w:r>
        <w:rPr>
          <w:rFonts w:hint="eastAsia" w:ascii="宋体" w:hAnsi="宋体" w:eastAsia="宋体" w:cs="宋体"/>
          <w:sz w:val="24"/>
        </w:rPr>
        <w:t>第五条  考评的内容及标准</w:t>
      </w:r>
    </w:p>
    <w:p w14:paraId="7932956B">
      <w:pPr>
        <w:spacing w:line="540" w:lineRule="exact"/>
        <w:ind w:firstLine="480" w:firstLineChars="200"/>
        <w:rPr>
          <w:rFonts w:hint="eastAsia" w:ascii="宋体" w:hAnsi="宋体" w:eastAsia="宋体" w:cs="宋体"/>
          <w:sz w:val="24"/>
        </w:rPr>
      </w:pPr>
      <w:r>
        <w:rPr>
          <w:rFonts w:hint="eastAsia" w:ascii="宋体" w:hAnsi="宋体" w:eastAsia="宋体" w:cs="宋体"/>
          <w:sz w:val="24"/>
        </w:rPr>
        <w:t>（一）考评内容：施工内容所涉及的公路路基、路面、桥涵、交通安全设施、安全与环保、内业资料。</w:t>
      </w:r>
    </w:p>
    <w:p w14:paraId="665C68A3">
      <w:pPr>
        <w:spacing w:line="540" w:lineRule="exact"/>
        <w:ind w:firstLine="480" w:firstLineChars="200"/>
        <w:rPr>
          <w:rFonts w:hint="eastAsia" w:ascii="宋体" w:hAnsi="宋体" w:eastAsia="宋体" w:cs="宋体"/>
          <w:sz w:val="24"/>
        </w:rPr>
      </w:pPr>
      <w:r>
        <w:rPr>
          <w:rFonts w:hint="eastAsia" w:ascii="宋体" w:hAnsi="宋体" w:eastAsia="宋体" w:cs="宋体"/>
          <w:sz w:val="24"/>
        </w:rPr>
        <w:t>（二）考核标准：《公路日常养护及小修保养月度考评表》。</w:t>
      </w:r>
    </w:p>
    <w:p w14:paraId="008211C4">
      <w:pPr>
        <w:spacing w:line="540" w:lineRule="exact"/>
        <w:ind w:firstLine="480" w:firstLineChars="200"/>
        <w:rPr>
          <w:rFonts w:hint="eastAsia" w:ascii="宋体" w:hAnsi="宋体" w:eastAsia="宋体" w:cs="宋体"/>
          <w:bCs/>
          <w:sz w:val="24"/>
        </w:rPr>
      </w:pPr>
      <w:r>
        <w:rPr>
          <w:rFonts w:hint="eastAsia" w:ascii="宋体" w:hAnsi="宋体" w:eastAsia="宋体" w:cs="宋体"/>
          <w:sz w:val="24"/>
        </w:rPr>
        <w:t>第六条</w:t>
      </w:r>
      <w:r>
        <w:rPr>
          <w:rFonts w:hint="eastAsia" w:ascii="宋体" w:hAnsi="宋体" w:eastAsia="宋体" w:cs="宋体"/>
          <w:b/>
          <w:bCs/>
          <w:sz w:val="22"/>
          <w:szCs w:val="22"/>
        </w:rPr>
        <w:t xml:space="preserve">  </w:t>
      </w:r>
      <w:r>
        <w:rPr>
          <w:rFonts w:hint="eastAsia" w:ascii="宋体" w:hAnsi="宋体" w:eastAsia="宋体" w:cs="宋体"/>
          <w:bCs/>
          <w:sz w:val="24"/>
        </w:rPr>
        <w:t>考评方法</w:t>
      </w:r>
    </w:p>
    <w:p w14:paraId="0C53314E">
      <w:pPr>
        <w:spacing w:line="540" w:lineRule="exact"/>
        <w:ind w:firstLine="480" w:firstLineChars="200"/>
        <w:rPr>
          <w:rFonts w:hint="eastAsia" w:ascii="宋体" w:hAnsi="宋体" w:eastAsia="宋体" w:cs="宋体"/>
          <w:sz w:val="24"/>
        </w:rPr>
      </w:pPr>
      <w:r>
        <w:rPr>
          <w:rFonts w:hint="eastAsia" w:ascii="宋体" w:hAnsi="宋体" w:eastAsia="宋体" w:cs="宋体"/>
          <w:sz w:val="24"/>
        </w:rPr>
        <w:t>（一）月度考核由公路科负责，总监办参加。每月对养护工作进行考评，如遇特殊情况另行通知。</w:t>
      </w:r>
    </w:p>
    <w:p w14:paraId="7ECC70E2">
      <w:pPr>
        <w:spacing w:line="540" w:lineRule="exact"/>
        <w:ind w:firstLine="480" w:firstLineChars="200"/>
        <w:rPr>
          <w:rFonts w:hint="eastAsia" w:ascii="宋体" w:hAnsi="宋体" w:eastAsia="宋体" w:cs="宋体"/>
          <w:sz w:val="24"/>
        </w:rPr>
      </w:pPr>
      <w:r>
        <w:rPr>
          <w:rFonts w:hint="eastAsia" w:ascii="宋体" w:hAnsi="宋体" w:eastAsia="宋体" w:cs="宋体"/>
          <w:sz w:val="24"/>
        </w:rPr>
        <w:t>（二）考核内容及分值分别按附表考核内容进行，考核满分100分，采用扣分制。</w:t>
      </w:r>
    </w:p>
    <w:p w14:paraId="41156495">
      <w:pPr>
        <w:spacing w:line="560" w:lineRule="exact"/>
        <w:ind w:firstLine="570"/>
        <w:rPr>
          <w:rFonts w:hint="eastAsia" w:ascii="宋体" w:hAnsi="宋体" w:eastAsia="宋体" w:cs="宋体"/>
          <w:sz w:val="24"/>
        </w:rPr>
      </w:pPr>
      <w:r>
        <w:rPr>
          <w:rFonts w:hint="eastAsia" w:ascii="宋体" w:hAnsi="宋体" w:eastAsia="宋体" w:cs="宋体"/>
          <w:sz w:val="24"/>
        </w:rPr>
        <w:t>（三）考评按四个档次进行划分:良好（≥85分，≤100分）、合格（≥70分，﹤85分）、基本合格（≥60分，﹤70分）、不合格（﹤60分）。</w:t>
      </w:r>
    </w:p>
    <w:p w14:paraId="796F0F68">
      <w:pPr>
        <w:spacing w:line="540" w:lineRule="exact"/>
        <w:ind w:firstLine="480" w:firstLineChars="200"/>
        <w:rPr>
          <w:rFonts w:hint="eastAsia" w:ascii="宋体" w:hAnsi="宋体" w:eastAsia="宋体" w:cs="宋体"/>
          <w:sz w:val="24"/>
        </w:rPr>
      </w:pPr>
      <w:r>
        <w:rPr>
          <w:rFonts w:hint="eastAsia" w:ascii="宋体" w:hAnsi="宋体" w:eastAsia="宋体" w:cs="宋体"/>
          <w:sz w:val="24"/>
        </w:rPr>
        <w:t>第七条</w:t>
      </w:r>
      <w:r>
        <w:rPr>
          <w:rFonts w:hint="eastAsia" w:ascii="宋体" w:hAnsi="宋体" w:eastAsia="宋体" w:cs="宋体"/>
          <w:b/>
          <w:bCs/>
          <w:sz w:val="22"/>
          <w:szCs w:val="22"/>
        </w:rPr>
        <w:t xml:space="preserve">  </w:t>
      </w:r>
      <w:r>
        <w:rPr>
          <w:rFonts w:hint="eastAsia" w:ascii="宋体" w:hAnsi="宋体" w:eastAsia="宋体" w:cs="宋体"/>
          <w:sz w:val="24"/>
        </w:rPr>
        <w:t>奖惩</w:t>
      </w:r>
    </w:p>
    <w:p w14:paraId="2434312A">
      <w:pPr>
        <w:spacing w:line="540" w:lineRule="exact"/>
        <w:ind w:firstLine="480" w:firstLineChars="200"/>
        <w:rPr>
          <w:rFonts w:hint="eastAsia" w:ascii="宋体" w:hAnsi="宋体" w:eastAsia="宋体" w:cs="宋体"/>
          <w:bCs/>
          <w:sz w:val="24"/>
        </w:rPr>
      </w:pPr>
      <w:r>
        <w:rPr>
          <w:rFonts w:hint="eastAsia" w:ascii="宋体" w:hAnsi="宋体" w:eastAsia="宋体" w:cs="宋体"/>
          <w:bCs/>
          <w:sz w:val="24"/>
        </w:rPr>
        <w:t>对于工程中发生的质量事故、安全事故除按国家相关法律、法规进行处理外，并作如下处罚：一般质量事故、安全事故，每次罚款1~2万元；发生重大事故，当期不予计量。</w:t>
      </w:r>
    </w:p>
    <w:p w14:paraId="5369446D">
      <w:pPr>
        <w:spacing w:line="560" w:lineRule="exact"/>
        <w:ind w:firstLine="570"/>
        <w:rPr>
          <w:rFonts w:hint="eastAsia" w:ascii="宋体" w:hAnsi="宋体" w:eastAsia="宋体" w:cs="宋体"/>
          <w:sz w:val="24"/>
        </w:rPr>
      </w:pPr>
      <w:r>
        <w:rPr>
          <w:rFonts w:hint="eastAsia" w:ascii="宋体" w:hAnsi="宋体" w:eastAsia="宋体" w:cs="宋体"/>
          <w:sz w:val="24"/>
        </w:rPr>
        <w:t>第八条</w:t>
      </w:r>
      <w:r>
        <w:rPr>
          <w:rFonts w:hint="eastAsia" w:ascii="宋体" w:hAnsi="宋体" w:eastAsia="宋体" w:cs="宋体"/>
          <w:b/>
          <w:bCs/>
          <w:sz w:val="22"/>
          <w:szCs w:val="22"/>
        </w:rPr>
        <w:t xml:space="preserve">  </w:t>
      </w:r>
      <w:r>
        <w:rPr>
          <w:rFonts w:hint="eastAsia" w:ascii="宋体" w:hAnsi="宋体" w:eastAsia="宋体" w:cs="宋体"/>
          <w:sz w:val="24"/>
        </w:rPr>
        <w:t>计量。</w:t>
      </w:r>
    </w:p>
    <w:p w14:paraId="79E4266A">
      <w:pPr>
        <w:spacing w:line="560" w:lineRule="exact"/>
        <w:ind w:firstLine="570"/>
        <w:rPr>
          <w:rFonts w:hint="eastAsia" w:ascii="宋体" w:hAnsi="宋体" w:eastAsia="宋体" w:cs="宋体"/>
          <w:sz w:val="24"/>
        </w:rPr>
      </w:pPr>
      <w:r>
        <w:rPr>
          <w:rFonts w:hint="eastAsia" w:ascii="宋体" w:hAnsi="宋体" w:eastAsia="宋体" w:cs="宋体"/>
          <w:sz w:val="24"/>
        </w:rPr>
        <w:t>1、考评等级为良好时，月度报价全额计量；</w:t>
      </w:r>
    </w:p>
    <w:p w14:paraId="0BF42087">
      <w:pPr>
        <w:spacing w:line="560" w:lineRule="exact"/>
        <w:ind w:firstLine="570"/>
        <w:rPr>
          <w:rFonts w:hint="eastAsia" w:ascii="宋体" w:hAnsi="宋体" w:eastAsia="宋体" w:cs="宋体"/>
          <w:sz w:val="24"/>
        </w:rPr>
      </w:pPr>
      <w:r>
        <w:rPr>
          <w:rFonts w:hint="eastAsia" w:ascii="宋体" w:hAnsi="宋体" w:eastAsia="宋体" w:cs="宋体"/>
          <w:sz w:val="24"/>
        </w:rPr>
        <w:t>2、考评等级为合格时，月度计量额=月度报价总额×90%；</w:t>
      </w:r>
    </w:p>
    <w:p w14:paraId="72A54277">
      <w:pPr>
        <w:spacing w:line="560" w:lineRule="exact"/>
        <w:ind w:firstLine="570"/>
        <w:rPr>
          <w:rFonts w:hint="eastAsia" w:ascii="宋体" w:hAnsi="宋体" w:eastAsia="宋体" w:cs="宋体"/>
          <w:sz w:val="24"/>
        </w:rPr>
      </w:pPr>
      <w:r>
        <w:rPr>
          <w:rFonts w:hint="eastAsia" w:ascii="宋体" w:hAnsi="宋体" w:eastAsia="宋体" w:cs="宋体"/>
          <w:sz w:val="24"/>
        </w:rPr>
        <w:t>3、考核等级为基本合格时，月度计量额=月度报价总额×80%；</w:t>
      </w:r>
    </w:p>
    <w:p w14:paraId="64502DD1">
      <w:pPr>
        <w:spacing w:line="560" w:lineRule="exact"/>
        <w:ind w:firstLine="570"/>
        <w:rPr>
          <w:rFonts w:hint="eastAsia" w:ascii="宋体" w:hAnsi="宋体" w:eastAsia="宋体" w:cs="宋体"/>
          <w:sz w:val="24"/>
        </w:rPr>
      </w:pPr>
      <w:r>
        <w:rPr>
          <w:rFonts w:hint="eastAsia" w:ascii="宋体" w:hAnsi="宋体" w:eastAsia="宋体" w:cs="宋体"/>
          <w:sz w:val="24"/>
        </w:rPr>
        <w:t>4、考核等级为不合格时，当月工作不予计量。</w:t>
      </w:r>
    </w:p>
    <w:p w14:paraId="42AA5407">
      <w:pPr>
        <w:spacing w:line="560" w:lineRule="exact"/>
        <w:ind w:firstLine="570"/>
        <w:rPr>
          <w:rFonts w:hint="eastAsia" w:ascii="宋体" w:hAnsi="宋体" w:eastAsia="宋体" w:cs="宋体"/>
          <w:sz w:val="24"/>
        </w:rPr>
      </w:pPr>
      <w:r>
        <w:rPr>
          <w:rFonts w:hint="eastAsia" w:ascii="宋体" w:hAnsi="宋体" w:eastAsia="宋体" w:cs="宋体"/>
          <w:sz w:val="24"/>
        </w:rPr>
        <w:t>5、考核结果附于计量后作为支付依据。</w:t>
      </w:r>
    </w:p>
    <w:p w14:paraId="4D975940">
      <w:pPr>
        <w:spacing w:beforeLines="50" w:afterLines="50" w:line="480" w:lineRule="exact"/>
        <w:jc w:val="center"/>
        <w:rPr>
          <w:rFonts w:hint="eastAsia" w:ascii="宋体" w:hAnsi="宋体" w:eastAsia="宋体" w:cs="宋体"/>
          <w:sz w:val="24"/>
        </w:rPr>
      </w:pPr>
      <w:r>
        <w:rPr>
          <w:rFonts w:hint="eastAsia" w:ascii="宋体" w:hAnsi="宋体" w:eastAsia="宋体" w:cs="宋体"/>
          <w:sz w:val="24"/>
        </w:rPr>
        <w:t>第三章  附则</w:t>
      </w:r>
    </w:p>
    <w:p w14:paraId="1172E746">
      <w:pPr>
        <w:spacing w:line="540" w:lineRule="exact"/>
        <w:ind w:firstLine="420"/>
        <w:rPr>
          <w:rFonts w:hint="eastAsia" w:ascii="宋体" w:hAnsi="宋体" w:eastAsia="宋体" w:cs="宋体"/>
          <w:bCs/>
          <w:sz w:val="20"/>
          <w:szCs w:val="20"/>
          <w:highlight w:val="magenta"/>
        </w:rPr>
      </w:pPr>
      <w:r>
        <w:rPr>
          <w:rFonts w:hint="eastAsia" w:ascii="宋体" w:hAnsi="宋体" w:eastAsia="宋体" w:cs="宋体"/>
          <w:sz w:val="24"/>
        </w:rPr>
        <w:t xml:space="preserve">第十条 </w:t>
      </w:r>
      <w:r>
        <w:rPr>
          <w:rFonts w:hint="eastAsia" w:ascii="宋体" w:hAnsi="宋体" w:eastAsia="宋体" w:cs="宋体"/>
          <w:b/>
          <w:bCs/>
          <w:sz w:val="22"/>
          <w:szCs w:val="22"/>
        </w:rPr>
        <w:t xml:space="preserve"> </w:t>
      </w:r>
      <w:r>
        <w:rPr>
          <w:rFonts w:hint="eastAsia" w:ascii="宋体" w:hAnsi="宋体" w:eastAsia="宋体" w:cs="宋体"/>
          <w:bCs/>
          <w:sz w:val="24"/>
        </w:rPr>
        <w:t>以上奖惩直接在计量支付中予以兑现</w:t>
      </w:r>
    </w:p>
    <w:p w14:paraId="365C620D">
      <w:pPr>
        <w:pStyle w:val="54"/>
        <w:rPr>
          <w:rFonts w:hint="eastAsia" w:ascii="宋体" w:hAnsi="宋体" w:eastAsia="宋体" w:cs="宋体"/>
          <w:lang w:val="en-US" w:eastAsia="zh-CN"/>
        </w:rPr>
      </w:pPr>
    </w:p>
    <w:p w14:paraId="196E579B">
      <w:pPr>
        <w:rPr>
          <w:rFonts w:hint="eastAsia" w:ascii="宋体" w:hAnsi="宋体" w:eastAsia="宋体" w:cs="宋体"/>
        </w:rPr>
      </w:pPr>
    </w:p>
    <w:p w14:paraId="6BB248A2">
      <w:pPr>
        <w:spacing w:line="640" w:lineRule="exact"/>
        <w:jc w:val="left"/>
        <w:rPr>
          <w:rFonts w:hint="eastAsia" w:ascii="宋体" w:hAnsi="宋体" w:eastAsia="宋体" w:cs="宋体"/>
          <w:sz w:val="36"/>
          <w:szCs w:val="36"/>
        </w:rPr>
        <w:sectPr>
          <w:headerReference r:id="rId7" w:type="default"/>
          <w:footerReference r:id="rId8" w:type="default"/>
          <w:footnotePr>
            <w:numFmt w:val="decimalEnclosedCircleChinese"/>
            <w:numRestart w:val="eachPage"/>
          </w:footnotePr>
          <w:pgSz w:w="11906" w:h="16838"/>
          <w:pgMar w:top="1418" w:right="1304" w:bottom="1418" w:left="1588" w:header="851" w:footer="851" w:gutter="0"/>
          <w:pgNumType w:fmt="decimal"/>
          <w:cols w:space="720" w:num="1"/>
          <w:docGrid w:linePitch="312" w:charSpace="0"/>
        </w:sectPr>
      </w:pPr>
      <w:r>
        <w:rPr>
          <w:rFonts w:hint="eastAsia" w:ascii="宋体" w:hAnsi="宋体" w:eastAsia="宋体" w:cs="宋体"/>
          <w:bCs/>
          <w:sz w:val="24"/>
        </w:rPr>
        <w:t>附件：1、公路日常养护及小修保养月度考评</w:t>
      </w:r>
    </w:p>
    <w:p w14:paraId="67123B75">
      <w:pPr>
        <w:spacing w:line="640" w:lineRule="exact"/>
        <w:jc w:val="center"/>
        <w:rPr>
          <w:rFonts w:hint="eastAsia" w:ascii="宋体" w:hAnsi="宋体" w:eastAsia="宋体" w:cs="宋体"/>
          <w:sz w:val="36"/>
          <w:szCs w:val="36"/>
        </w:rPr>
      </w:pPr>
      <w:r>
        <w:rPr>
          <w:rFonts w:hint="eastAsia" w:ascii="宋体" w:hAnsi="宋体" w:eastAsia="宋体" w:cs="宋体"/>
          <w:sz w:val="36"/>
          <w:szCs w:val="36"/>
        </w:rPr>
        <w:t>公路</w:t>
      </w:r>
      <w:r>
        <w:rPr>
          <w:rFonts w:hint="eastAsia" w:ascii="宋体" w:hAnsi="宋体" w:eastAsia="宋体" w:cs="宋体"/>
          <w:sz w:val="36"/>
          <w:szCs w:val="36"/>
          <w:lang w:eastAsia="zh-CN"/>
        </w:rPr>
        <w:t>（县道）</w:t>
      </w:r>
      <w:r>
        <w:rPr>
          <w:rFonts w:hint="eastAsia" w:ascii="宋体" w:hAnsi="宋体" w:eastAsia="宋体" w:cs="宋体"/>
          <w:sz w:val="36"/>
          <w:szCs w:val="36"/>
        </w:rPr>
        <w:t>日常养护及小修保养月度考评表</w:t>
      </w:r>
    </w:p>
    <w:p w14:paraId="520CD607">
      <w:pPr>
        <w:jc w:val="left"/>
        <w:rPr>
          <w:rFonts w:hint="eastAsia" w:ascii="宋体" w:hAnsi="宋体" w:eastAsia="宋体" w:cs="宋体"/>
          <w:sz w:val="24"/>
        </w:rPr>
      </w:pPr>
    </w:p>
    <w:p w14:paraId="7E82D9EC">
      <w:pPr>
        <w:ind w:firstLine="360" w:firstLineChars="150"/>
        <w:rPr>
          <w:rFonts w:hint="eastAsia" w:ascii="宋体" w:hAnsi="宋体" w:eastAsia="宋体" w:cs="宋体"/>
          <w:sz w:val="24"/>
        </w:rPr>
      </w:pPr>
      <w:r>
        <w:rPr>
          <w:rFonts w:hint="eastAsia" w:ascii="宋体" w:hAnsi="宋体" w:eastAsia="宋体" w:cs="宋体"/>
          <w:sz w:val="24"/>
        </w:rPr>
        <w:t xml:space="preserve">项目名称：                                        第  次考评                                        年  月  日     </w:t>
      </w:r>
    </w:p>
    <w:tbl>
      <w:tblPr>
        <w:tblStyle w:val="55"/>
        <w:tblW w:w="0" w:type="auto"/>
        <w:jc w:val="center"/>
        <w:tblLayout w:type="fixed"/>
        <w:tblCellMar>
          <w:top w:w="0" w:type="dxa"/>
          <w:left w:w="0" w:type="dxa"/>
          <w:bottom w:w="0" w:type="dxa"/>
          <w:right w:w="0" w:type="dxa"/>
        </w:tblCellMar>
      </w:tblPr>
      <w:tblGrid>
        <w:gridCol w:w="683"/>
        <w:gridCol w:w="1080"/>
        <w:gridCol w:w="4536"/>
        <w:gridCol w:w="567"/>
        <w:gridCol w:w="4186"/>
        <w:gridCol w:w="567"/>
        <w:gridCol w:w="992"/>
        <w:gridCol w:w="1186"/>
      </w:tblGrid>
      <w:tr w14:paraId="73A19493">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7A5808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序号</w:t>
            </w: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4AE674">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考评项目</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3D1C2C">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考评标准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218AEA0">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分数</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1E8E4A">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扣分标准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1425E3">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扣分</w:t>
            </w: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F2D40BE">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实际得分</w:t>
            </w: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60C48D9">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备注</w:t>
            </w:r>
          </w:p>
        </w:tc>
      </w:tr>
      <w:tr w14:paraId="04EF0B0A">
        <w:tblPrEx>
          <w:tblCellMar>
            <w:top w:w="0" w:type="dxa"/>
            <w:left w:w="0" w:type="dxa"/>
            <w:bottom w:w="0" w:type="dxa"/>
            <w:right w:w="0" w:type="dxa"/>
          </w:tblCellMar>
        </w:tblPrEx>
        <w:trPr>
          <w:trHeight w:val="600" w:hRule="atLeast"/>
          <w:jc w:val="center"/>
        </w:trPr>
        <w:tc>
          <w:tcPr>
            <w:tcW w:w="683"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A9E5FB7">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一</w:t>
            </w:r>
          </w:p>
        </w:tc>
        <w:tc>
          <w:tcPr>
            <w:tcW w:w="108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EAA042E">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路基</w:t>
            </w:r>
          </w:p>
          <w:p w14:paraId="7E735BD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7D5A83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1、路基日常养护应符合规范、施工图纸、合同约定要求，各部分尺寸符合要求，路基处于完好状态。</w:t>
            </w:r>
          </w:p>
          <w:p w14:paraId="4D665CF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2、路肩应无车辙、坑洼、隆起、沉陷、缺口等明显缺陷；与路面连接平顺、排水顺畅。</w:t>
            </w:r>
          </w:p>
          <w:p w14:paraId="6B495DC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3、边坡应应稳定、坚固、平顺，无冲沟、松散现象；边坡坡度符合相关要求。</w:t>
            </w:r>
          </w:p>
          <w:p w14:paraId="5DB1611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4、边沟应结构完整、排水通畅，无淤塞。</w:t>
            </w:r>
          </w:p>
          <w:p w14:paraId="6C7655B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5、路肩蒿草应及时清理，留茬不高于路肩15CM。</w:t>
            </w:r>
          </w:p>
          <w:p w14:paraId="7C55092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6、路肩、边坡、边沟范围内应干净整洁，无明显白色漂浮物、堆积物等杂物。</w:t>
            </w:r>
          </w:p>
          <w:p w14:paraId="3F7098A0">
            <w:pPr>
              <w:widowControl/>
              <w:jc w:val="center"/>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700E5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0BC046">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1、该项工作受到上级领导批评或受到媒体负面报道的，每次扣1分。</w:t>
            </w:r>
          </w:p>
          <w:p w14:paraId="28AE4667">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2、日常路基养护不符合规范、施工图纸、合同约定要求，技术指标不符合要求或路基整体状态不良的扣1分。</w:t>
            </w:r>
          </w:p>
          <w:p w14:paraId="14643627">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3、路肩存在明显缺陷未及时修复或路肩排水不畅导致长时间积水的每次扣0.5分。</w:t>
            </w:r>
          </w:p>
          <w:p w14:paraId="3433C0B9">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4、边坡存在明显冲沟、松散现象未及时修复的每次扣0.5分。</w:t>
            </w:r>
          </w:p>
          <w:p w14:paraId="12CA97A9">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5、边沟结构不完整未及时上报修复的每处扣0.5分；边沟淤塞、排水不畅未及时疏通清理的每次扣0.5分。</w:t>
            </w:r>
          </w:p>
          <w:p w14:paraId="533EE160">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6、路肩蒿草未及时清理或路肩蒿草不符合要求的每次扣0.5分。</w:t>
            </w:r>
          </w:p>
          <w:p w14:paraId="324E48CA">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7、路肩、边坡、边沟范围明显白色漂浮物、堆积物等杂物未及时清理的每次扣0.5分。</w:t>
            </w:r>
          </w:p>
          <w:p w14:paraId="4F5BE110">
            <w:pPr>
              <w:widowControl/>
              <w:jc w:val="left"/>
              <w:textAlignment w:val="center"/>
              <w:rPr>
                <w:rFonts w:hint="eastAsia"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DCE49A4">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F8B5F5A">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EF8744A">
            <w:pPr>
              <w:widowControl/>
              <w:jc w:val="center"/>
              <w:textAlignment w:val="center"/>
              <w:rPr>
                <w:rFonts w:hint="eastAsia" w:ascii="宋体" w:hAnsi="宋体" w:eastAsia="宋体" w:cs="宋体"/>
                <w:color w:val="000000"/>
                <w:kern w:val="0"/>
                <w:sz w:val="20"/>
                <w:szCs w:val="20"/>
              </w:rPr>
            </w:pPr>
          </w:p>
        </w:tc>
      </w:tr>
      <w:tr w14:paraId="5B24F2DC">
        <w:tblPrEx>
          <w:tblCellMar>
            <w:top w:w="0" w:type="dxa"/>
            <w:left w:w="0" w:type="dxa"/>
            <w:bottom w:w="0" w:type="dxa"/>
            <w:right w:w="0" w:type="dxa"/>
          </w:tblCellMar>
        </w:tblPrEx>
        <w:trPr>
          <w:trHeight w:val="600" w:hRule="atLeast"/>
          <w:jc w:val="center"/>
        </w:trPr>
        <w:tc>
          <w:tcPr>
            <w:tcW w:w="683"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4181B491">
            <w:pPr>
              <w:widowControl/>
              <w:jc w:val="center"/>
              <w:textAlignment w:val="center"/>
              <w:rPr>
                <w:rFonts w:hint="eastAsia" w:ascii="宋体" w:hAnsi="宋体" w:eastAsia="宋体" w:cs="宋体"/>
                <w:color w:val="000000"/>
                <w:kern w:val="0"/>
                <w:sz w:val="20"/>
                <w:szCs w:val="20"/>
              </w:rPr>
            </w:pPr>
          </w:p>
        </w:tc>
        <w:tc>
          <w:tcPr>
            <w:tcW w:w="1080"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796AFA46">
            <w:pPr>
              <w:widowControl/>
              <w:jc w:val="center"/>
              <w:textAlignment w:val="center"/>
              <w:rPr>
                <w:rFonts w:hint="eastAsia" w:ascii="宋体" w:hAnsi="宋体" w:eastAsia="宋体" w:cs="宋体"/>
                <w:color w:val="000000"/>
                <w:kern w:val="0"/>
                <w:sz w:val="20"/>
                <w:szCs w:val="20"/>
              </w:rPr>
            </w:pP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5E206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1、旧建筑物拆除应符合规范、施工图纸、合同约定要求，建筑垃圾应及时清运至指定地点，不随意堆放。</w:t>
            </w:r>
          </w:p>
          <w:p w14:paraId="0DC886F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2、修复后的边沟盖板、检查井、雨水井的外观、质量应符合规范、施工图纸、合同约定要求。</w:t>
            </w:r>
          </w:p>
          <w:p w14:paraId="13B32C0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3、混凝土、浆砌片石（红砖）等养护作业应符合规范、施工图纸、合同约定要求。</w:t>
            </w:r>
          </w:p>
          <w:p w14:paraId="3B3107EC">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4B9273C">
            <w:pPr>
              <w:widowControl/>
              <w:jc w:val="center"/>
              <w:textAlignment w:val="center"/>
              <w:rPr>
                <w:rFonts w:hint="eastAsia" w:ascii="宋体" w:hAnsi="宋体" w:eastAsia="宋体" w:cs="宋体"/>
                <w:color w:val="000000"/>
                <w:kern w:val="0"/>
                <w:sz w:val="20"/>
                <w:szCs w:val="20"/>
              </w:rPr>
            </w:pPr>
          </w:p>
          <w:p w14:paraId="7F411DAE">
            <w:pPr>
              <w:widowControl/>
              <w:jc w:val="center"/>
              <w:textAlignment w:val="center"/>
              <w:rPr>
                <w:rFonts w:hint="eastAsia" w:ascii="宋体" w:hAnsi="宋体" w:eastAsia="宋体" w:cs="宋体"/>
                <w:color w:val="000000"/>
                <w:kern w:val="0"/>
                <w:sz w:val="20"/>
                <w:szCs w:val="20"/>
              </w:rPr>
            </w:pPr>
          </w:p>
          <w:p w14:paraId="7C4126C7">
            <w:pPr>
              <w:widowControl/>
              <w:jc w:val="center"/>
              <w:textAlignment w:val="center"/>
              <w:rPr>
                <w:rFonts w:hint="eastAsia" w:ascii="宋体" w:hAnsi="宋体" w:eastAsia="宋体" w:cs="宋体"/>
                <w:color w:val="000000"/>
                <w:kern w:val="0"/>
                <w:sz w:val="20"/>
                <w:szCs w:val="20"/>
              </w:rPr>
            </w:pPr>
          </w:p>
          <w:p w14:paraId="423846B5">
            <w:pPr>
              <w:widowControl/>
              <w:jc w:val="center"/>
              <w:textAlignment w:val="center"/>
              <w:rPr>
                <w:rFonts w:hint="eastAsia" w:ascii="宋体" w:hAnsi="宋体" w:eastAsia="宋体" w:cs="宋体"/>
                <w:color w:val="000000"/>
                <w:kern w:val="0"/>
                <w:sz w:val="20"/>
                <w:szCs w:val="20"/>
              </w:rPr>
            </w:pPr>
          </w:p>
          <w:p w14:paraId="37572A6F">
            <w:pPr>
              <w:widowControl/>
              <w:jc w:val="center"/>
              <w:textAlignment w:val="center"/>
              <w:rPr>
                <w:rFonts w:hint="eastAsia" w:ascii="宋体" w:hAnsi="宋体" w:eastAsia="宋体" w:cs="宋体"/>
                <w:color w:val="000000"/>
                <w:kern w:val="0"/>
                <w:sz w:val="20"/>
                <w:szCs w:val="20"/>
              </w:rPr>
            </w:pPr>
          </w:p>
          <w:p w14:paraId="2A741842">
            <w:pPr>
              <w:widowControl/>
              <w:jc w:val="center"/>
              <w:textAlignment w:val="center"/>
              <w:rPr>
                <w:rFonts w:hint="eastAsia" w:ascii="宋体" w:hAnsi="宋体" w:eastAsia="宋体" w:cs="宋体"/>
                <w:color w:val="000000"/>
                <w:kern w:val="0"/>
                <w:sz w:val="20"/>
                <w:szCs w:val="20"/>
              </w:rPr>
            </w:pPr>
          </w:p>
          <w:p w14:paraId="6E3CE2E4">
            <w:pPr>
              <w:widowControl/>
              <w:jc w:val="center"/>
              <w:textAlignment w:val="center"/>
              <w:rPr>
                <w:rFonts w:hint="eastAsia" w:ascii="宋体" w:hAnsi="宋体" w:eastAsia="宋体" w:cs="宋体"/>
                <w:color w:val="000000"/>
                <w:kern w:val="0"/>
                <w:sz w:val="20"/>
                <w:szCs w:val="20"/>
              </w:rPr>
            </w:pPr>
          </w:p>
          <w:p w14:paraId="75EE1494">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965200">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w:t>
            </w:r>
            <w:r>
              <w:rPr>
                <w:rFonts w:hint="eastAsia" w:ascii="宋体" w:hAnsi="宋体" w:eastAsia="宋体" w:cs="宋体"/>
                <w:color w:val="000000"/>
                <w:kern w:val="0"/>
                <w:sz w:val="20"/>
                <w:szCs w:val="20"/>
              </w:rPr>
              <w:t>旧建筑物拆除或边沟盖板、检查井、雨水井修复或混凝土、浆砌片石（红砖</w:t>
            </w:r>
            <w:r>
              <w:rPr>
                <w:rFonts w:hint="eastAsia" w:ascii="宋体" w:hAnsi="宋体" w:eastAsia="宋体" w:cs="宋体"/>
                <w:color w:val="000000"/>
                <w:sz w:val="20"/>
                <w:szCs w:val="20"/>
              </w:rPr>
              <w:t>）等养护作业不符合质量要求的，每次扣0.5分。</w:t>
            </w:r>
          </w:p>
          <w:p w14:paraId="4FA3D487">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2、承包人未按发包人批准的月度养护计划或发包人及监理工程师正当的工作指令执行或完成量与计划有较大差别且没有明确理由的扣1分。</w:t>
            </w:r>
          </w:p>
          <w:p w14:paraId="5068D043">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3、对有时效性要求的养护小修任务未未按照发包人指定时间内完成的每次扣0.5分</w:t>
            </w:r>
          </w:p>
          <w:p w14:paraId="0D5831B1">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4、该项工作受到上级领导批评或受到媒体负面报道的，每次扣1分。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ADC7F70">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30B9596">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3896A93">
            <w:pPr>
              <w:widowControl/>
              <w:jc w:val="center"/>
              <w:textAlignment w:val="center"/>
              <w:rPr>
                <w:rFonts w:hint="eastAsia" w:ascii="宋体" w:hAnsi="宋体" w:eastAsia="宋体" w:cs="宋体"/>
                <w:color w:val="000000"/>
                <w:kern w:val="0"/>
                <w:sz w:val="20"/>
                <w:szCs w:val="20"/>
              </w:rPr>
            </w:pPr>
          </w:p>
        </w:tc>
      </w:tr>
      <w:tr w14:paraId="5AAA789E">
        <w:tblPrEx>
          <w:tblCellMar>
            <w:top w:w="0" w:type="dxa"/>
            <w:left w:w="0" w:type="dxa"/>
            <w:bottom w:w="0" w:type="dxa"/>
            <w:right w:w="0" w:type="dxa"/>
          </w:tblCellMar>
        </w:tblPrEx>
        <w:trPr>
          <w:trHeight w:val="600" w:hRule="atLeast"/>
          <w:jc w:val="center"/>
        </w:trPr>
        <w:tc>
          <w:tcPr>
            <w:tcW w:w="683"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0707497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二</w:t>
            </w:r>
          </w:p>
        </w:tc>
        <w:tc>
          <w:tcPr>
            <w:tcW w:w="108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67FE05D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路面</w:t>
            </w:r>
          </w:p>
          <w:p w14:paraId="6EC85AC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（40分）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2F00E5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1、路面日常养护应符合规范、施工图纸、合同约定要求，各部分尺寸符合要求，路况良好，路面处于完好状态。</w:t>
            </w:r>
          </w:p>
          <w:p w14:paraId="26AA805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2、按照合同约定进行路况巡查，规范填写巡查日志，做到有缝就灌、有病就补、有脏就清。</w:t>
            </w:r>
          </w:p>
          <w:p w14:paraId="06236117">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178CCB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4D18053">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1、日常路面养护不符合规范、施工图纸、合同约定要求，技术指标不符合要求或路面整体状态不良的扣1分。</w:t>
            </w:r>
          </w:p>
          <w:p w14:paraId="6D5B1207">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2、路况巡查不规范、有明显问题未发现的每次扣0.5分。</w:t>
            </w:r>
          </w:p>
          <w:p w14:paraId="555CC10F">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3路况巡查未达到合同约定频次且没有特殊原因并经发包人同意的，每少1次扣0.5分。</w:t>
            </w:r>
          </w:p>
          <w:p w14:paraId="782950CC">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4、</w:t>
            </w:r>
            <w:r>
              <w:rPr>
                <w:rFonts w:hint="eastAsia" w:ascii="宋体" w:hAnsi="宋体" w:eastAsia="宋体" w:cs="宋体"/>
                <w:color w:val="000000"/>
                <w:sz w:val="20"/>
                <w:szCs w:val="20"/>
              </w:rPr>
              <w:t>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8CDD947">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46DE464">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073FA7F6">
            <w:pPr>
              <w:widowControl/>
              <w:jc w:val="center"/>
              <w:textAlignment w:val="center"/>
              <w:rPr>
                <w:rFonts w:hint="eastAsia" w:ascii="宋体" w:hAnsi="宋体" w:eastAsia="宋体" w:cs="宋体"/>
                <w:color w:val="000000"/>
                <w:kern w:val="0"/>
                <w:sz w:val="20"/>
                <w:szCs w:val="20"/>
              </w:rPr>
            </w:pPr>
          </w:p>
        </w:tc>
      </w:tr>
      <w:tr w14:paraId="5EE87E17">
        <w:tblPrEx>
          <w:tblCellMar>
            <w:top w:w="0" w:type="dxa"/>
            <w:left w:w="0" w:type="dxa"/>
            <w:bottom w:w="0" w:type="dxa"/>
            <w:right w:w="0" w:type="dxa"/>
          </w:tblCellMar>
        </w:tblPrEx>
        <w:trPr>
          <w:trHeight w:val="600" w:hRule="atLeast"/>
          <w:jc w:val="center"/>
        </w:trPr>
        <w:tc>
          <w:tcPr>
            <w:tcW w:w="683"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C945C8C">
            <w:pPr>
              <w:widowControl/>
              <w:jc w:val="center"/>
              <w:textAlignment w:val="center"/>
              <w:rPr>
                <w:rFonts w:hint="eastAsia" w:ascii="宋体" w:hAnsi="宋体" w:eastAsia="宋体" w:cs="宋体"/>
                <w:color w:val="000000"/>
                <w:kern w:val="0"/>
                <w:sz w:val="20"/>
                <w:szCs w:val="20"/>
              </w:rPr>
            </w:pPr>
          </w:p>
        </w:tc>
        <w:tc>
          <w:tcPr>
            <w:tcW w:w="1080" w:type="dxa"/>
            <w:vMerge w:val="continue"/>
            <w:tcBorders>
              <w:left w:val="single" w:color="000000" w:sz="4" w:space="0"/>
              <w:right w:val="single" w:color="000000" w:sz="4" w:space="0"/>
            </w:tcBorders>
            <w:noWrap w:val="0"/>
            <w:tcMar>
              <w:top w:w="15" w:type="dxa"/>
              <w:left w:w="15" w:type="dxa"/>
              <w:bottom w:w="0" w:type="dxa"/>
              <w:right w:w="15" w:type="dxa"/>
            </w:tcMar>
            <w:vAlign w:val="center"/>
          </w:tcPr>
          <w:p w14:paraId="2C951D12">
            <w:pPr>
              <w:widowControl/>
              <w:jc w:val="center"/>
              <w:textAlignment w:val="center"/>
              <w:rPr>
                <w:rFonts w:hint="eastAsia" w:ascii="宋体" w:hAnsi="宋体" w:eastAsia="宋体" w:cs="宋体"/>
                <w:color w:val="000000"/>
                <w:kern w:val="0"/>
                <w:sz w:val="20"/>
                <w:szCs w:val="20"/>
              </w:rPr>
            </w:pP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2EAAB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1、路面纵横裂缝应按照规范、施工图纸合同约定的要求进行处置。</w:t>
            </w:r>
          </w:p>
          <w:p w14:paraId="1D1F6CD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2、路面坑槽、龟裂、块裂、车辙、冒浆等病害的修复要严格按照规范、施工图纸、合同约定要求进行处置，确保路面技术状况良好。</w:t>
            </w:r>
          </w:p>
          <w:p w14:paraId="375B42D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3、修复所用的沥青混合料、水泥稳定碎石、填充式大粒径水稳材料、水泥混凝土、灌封胶、路缘石等材料各项技术指标应符合要求。</w:t>
            </w:r>
          </w:p>
          <w:p w14:paraId="41E6C48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4、面层病害修复、基层病害处理、水泥混凝土面板换板维修等小修养护作业应及时、高效，满足时效性；严禁留有未修复的坑槽过夜。</w:t>
            </w:r>
          </w:p>
          <w:p w14:paraId="7622396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5、修复后的路缘石应与原路缘石形状、规格、材料相同，线形流畅，平顺美观。</w:t>
            </w:r>
          </w:p>
          <w:p w14:paraId="06FABE55">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3A0317">
            <w:pPr>
              <w:widowControl/>
              <w:jc w:val="center"/>
              <w:textAlignment w:val="center"/>
              <w:rPr>
                <w:rFonts w:hint="eastAsia" w:ascii="宋体" w:hAnsi="宋体" w:eastAsia="宋体" w:cs="宋体"/>
                <w:color w:val="000000"/>
                <w:kern w:val="0"/>
                <w:sz w:val="20"/>
                <w:szCs w:val="20"/>
              </w:rPr>
            </w:pPr>
          </w:p>
          <w:p w14:paraId="3AA403E4">
            <w:pPr>
              <w:widowControl/>
              <w:jc w:val="center"/>
              <w:textAlignment w:val="center"/>
              <w:rPr>
                <w:rFonts w:hint="eastAsia" w:ascii="宋体" w:hAnsi="宋体" w:eastAsia="宋体" w:cs="宋体"/>
                <w:color w:val="000000"/>
                <w:kern w:val="0"/>
                <w:sz w:val="20"/>
                <w:szCs w:val="20"/>
              </w:rPr>
            </w:pPr>
          </w:p>
          <w:p w14:paraId="0768FBFF">
            <w:pPr>
              <w:widowControl/>
              <w:jc w:val="center"/>
              <w:textAlignment w:val="center"/>
              <w:rPr>
                <w:rFonts w:hint="eastAsia" w:ascii="宋体" w:hAnsi="宋体" w:eastAsia="宋体" w:cs="宋体"/>
                <w:color w:val="000000"/>
                <w:kern w:val="0"/>
                <w:sz w:val="20"/>
                <w:szCs w:val="20"/>
              </w:rPr>
            </w:pPr>
          </w:p>
          <w:p w14:paraId="253B7573">
            <w:pPr>
              <w:widowControl/>
              <w:jc w:val="center"/>
              <w:textAlignment w:val="center"/>
              <w:rPr>
                <w:rFonts w:hint="eastAsia" w:ascii="宋体" w:hAnsi="宋体" w:eastAsia="宋体" w:cs="宋体"/>
                <w:color w:val="000000"/>
                <w:kern w:val="0"/>
                <w:sz w:val="20"/>
                <w:szCs w:val="20"/>
              </w:rPr>
            </w:pPr>
          </w:p>
          <w:p w14:paraId="1FC407F7">
            <w:pPr>
              <w:widowControl/>
              <w:jc w:val="center"/>
              <w:textAlignment w:val="center"/>
              <w:rPr>
                <w:rFonts w:hint="eastAsia" w:ascii="宋体" w:hAnsi="宋体" w:eastAsia="宋体" w:cs="宋体"/>
                <w:color w:val="000000"/>
                <w:kern w:val="0"/>
                <w:sz w:val="20"/>
                <w:szCs w:val="20"/>
              </w:rPr>
            </w:pPr>
          </w:p>
          <w:p w14:paraId="7AF539AC">
            <w:pPr>
              <w:widowControl/>
              <w:jc w:val="center"/>
              <w:textAlignment w:val="center"/>
              <w:rPr>
                <w:rFonts w:hint="eastAsia" w:ascii="宋体" w:hAnsi="宋体" w:eastAsia="宋体" w:cs="宋体"/>
                <w:color w:val="000000"/>
                <w:kern w:val="0"/>
                <w:sz w:val="20"/>
                <w:szCs w:val="20"/>
              </w:rPr>
            </w:pPr>
          </w:p>
          <w:p w14:paraId="44A77DBC">
            <w:pPr>
              <w:widowControl/>
              <w:jc w:val="center"/>
              <w:textAlignment w:val="center"/>
              <w:rPr>
                <w:rFonts w:hint="eastAsia" w:ascii="宋体" w:hAnsi="宋体" w:eastAsia="宋体" w:cs="宋体"/>
                <w:color w:val="000000"/>
                <w:kern w:val="0"/>
                <w:sz w:val="20"/>
                <w:szCs w:val="20"/>
              </w:rPr>
            </w:pPr>
          </w:p>
          <w:p w14:paraId="7005B13A">
            <w:pPr>
              <w:widowControl/>
              <w:jc w:val="center"/>
              <w:textAlignment w:val="center"/>
              <w:rPr>
                <w:rFonts w:hint="eastAsia" w:ascii="宋体" w:hAnsi="宋体" w:eastAsia="宋体" w:cs="宋体"/>
                <w:color w:val="000000"/>
                <w:kern w:val="0"/>
                <w:sz w:val="20"/>
                <w:szCs w:val="20"/>
              </w:rPr>
            </w:pPr>
          </w:p>
          <w:p w14:paraId="53E60AEF">
            <w:pPr>
              <w:widowControl/>
              <w:jc w:val="center"/>
              <w:textAlignment w:val="center"/>
              <w:rPr>
                <w:rFonts w:hint="eastAsia" w:ascii="宋体" w:hAnsi="宋体" w:eastAsia="宋体" w:cs="宋体"/>
                <w:color w:val="000000"/>
                <w:kern w:val="0"/>
                <w:sz w:val="20"/>
                <w:szCs w:val="20"/>
              </w:rPr>
            </w:pPr>
          </w:p>
          <w:p w14:paraId="67706AAF">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AF8AAE">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1、路面纵横缝处置不规范、不满足养护标准的每发现1次扣0.5分。</w:t>
            </w:r>
          </w:p>
          <w:p w14:paraId="32284451">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2、路面</w:t>
            </w:r>
            <w:r>
              <w:rPr>
                <w:rFonts w:hint="eastAsia" w:ascii="宋体" w:hAnsi="宋体" w:eastAsia="宋体" w:cs="宋体"/>
                <w:color w:val="000000"/>
                <w:kern w:val="0"/>
                <w:sz w:val="20"/>
                <w:szCs w:val="20"/>
              </w:rPr>
              <w:t>坑槽、龟裂、块裂、车辙、冒浆换板</w:t>
            </w:r>
            <w:r>
              <w:rPr>
                <w:rFonts w:hint="eastAsia" w:ascii="宋体" w:hAnsi="宋体" w:eastAsia="宋体" w:cs="宋体"/>
                <w:color w:val="000000"/>
                <w:sz w:val="20"/>
                <w:szCs w:val="20"/>
              </w:rPr>
              <w:t>等病害未按照“圆洞方补、斜洞正补”原则的、边口不平顺的、坑槽开挖废料不及时清运随意丢弃的、坑洞内清理不到位的以及修复后与原路面不平顺的、未及时封边的每发现1次扣0.5分。</w:t>
            </w:r>
          </w:p>
          <w:p w14:paraId="3351487F">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3、路面病害修复质量不合格，1年内相同部位重复出现相同病害的每发现1处扣0.5分。</w:t>
            </w:r>
          </w:p>
          <w:p w14:paraId="0DCE4766">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sz w:val="20"/>
                <w:szCs w:val="20"/>
              </w:rPr>
              <w:t>4、路面修复所用的材料技术指标不符合</w:t>
            </w:r>
            <w:r>
              <w:rPr>
                <w:rFonts w:hint="eastAsia" w:ascii="宋体" w:hAnsi="宋体" w:eastAsia="宋体" w:cs="宋体"/>
                <w:color w:val="000000"/>
                <w:kern w:val="0"/>
                <w:sz w:val="20"/>
                <w:szCs w:val="20"/>
              </w:rPr>
              <w:t>规范、施工图纸、合同约定要求,每发现1次扣0.5分。</w:t>
            </w:r>
          </w:p>
          <w:p w14:paraId="7AEDED91">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5、对有时效性要求的病害修复，未按照发包人指定时间内完成修复的，每次扣0.5分。</w:t>
            </w:r>
          </w:p>
          <w:p w14:paraId="6D64A3A9">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6、有未修复坑槽过夜的，每发现1次扣1分。</w:t>
            </w:r>
          </w:p>
          <w:p w14:paraId="27A8D762">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7、修复后的路缘石与原路缘石形状、规格、材料不相同或差异明显，或线形不流畅、不平顺美观的每发现1次扣0.5分。</w:t>
            </w:r>
          </w:p>
          <w:p w14:paraId="4AA9AB92">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8、承包人未按发包人批准的月度养护计划或发包人及监理工程师正当的工作指令执行或完成量与计划有较大差别且没有明确理由的扣1分。</w:t>
            </w:r>
          </w:p>
          <w:p w14:paraId="11DC279A">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9、</w:t>
            </w:r>
            <w:r>
              <w:rPr>
                <w:rFonts w:hint="eastAsia" w:ascii="宋体" w:hAnsi="宋体" w:eastAsia="宋体" w:cs="宋体"/>
                <w:color w:val="000000"/>
                <w:sz w:val="20"/>
                <w:szCs w:val="20"/>
              </w:rPr>
              <w:t>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23C682">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C2576C1">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F45C1E9">
            <w:pPr>
              <w:widowControl/>
              <w:jc w:val="center"/>
              <w:textAlignment w:val="center"/>
              <w:rPr>
                <w:rFonts w:hint="eastAsia" w:ascii="宋体" w:hAnsi="宋体" w:eastAsia="宋体" w:cs="宋体"/>
                <w:color w:val="000000"/>
                <w:kern w:val="0"/>
                <w:sz w:val="20"/>
                <w:szCs w:val="20"/>
              </w:rPr>
            </w:pPr>
          </w:p>
        </w:tc>
      </w:tr>
      <w:tr w14:paraId="07574311">
        <w:tblPrEx>
          <w:tblCellMar>
            <w:top w:w="0" w:type="dxa"/>
            <w:left w:w="0" w:type="dxa"/>
            <w:bottom w:w="0" w:type="dxa"/>
            <w:right w:w="0" w:type="dxa"/>
          </w:tblCellMar>
        </w:tblPrEx>
        <w:trPr>
          <w:trHeight w:val="600" w:hRule="atLeast"/>
          <w:jc w:val="center"/>
        </w:trPr>
        <w:tc>
          <w:tcPr>
            <w:tcW w:w="683" w:type="dxa"/>
            <w:tcBorders>
              <w:left w:val="single" w:color="000000" w:sz="4" w:space="0"/>
              <w:right w:val="single" w:color="000000" w:sz="4" w:space="0"/>
            </w:tcBorders>
            <w:noWrap w:val="0"/>
            <w:tcMar>
              <w:top w:w="15" w:type="dxa"/>
              <w:left w:w="15" w:type="dxa"/>
              <w:bottom w:w="0" w:type="dxa"/>
              <w:right w:w="15" w:type="dxa"/>
            </w:tcMar>
            <w:vAlign w:val="center"/>
          </w:tcPr>
          <w:p w14:paraId="0838B250">
            <w:pPr>
              <w:widowControl/>
              <w:jc w:val="center"/>
              <w:textAlignment w:val="center"/>
              <w:rPr>
                <w:rFonts w:hint="eastAsia" w:ascii="宋体" w:hAnsi="宋体" w:eastAsia="宋体" w:cs="宋体"/>
                <w:color w:val="000000"/>
                <w:kern w:val="0"/>
                <w:sz w:val="20"/>
                <w:szCs w:val="20"/>
              </w:rPr>
            </w:pPr>
          </w:p>
        </w:tc>
        <w:tc>
          <w:tcPr>
            <w:tcW w:w="1080" w:type="dxa"/>
            <w:tcBorders>
              <w:left w:val="single" w:color="000000" w:sz="4" w:space="0"/>
              <w:right w:val="single" w:color="000000" w:sz="4" w:space="0"/>
            </w:tcBorders>
            <w:noWrap w:val="0"/>
            <w:tcMar>
              <w:top w:w="15" w:type="dxa"/>
              <w:left w:w="15" w:type="dxa"/>
              <w:bottom w:w="0" w:type="dxa"/>
              <w:right w:w="15" w:type="dxa"/>
            </w:tcMar>
            <w:vAlign w:val="center"/>
          </w:tcPr>
          <w:p w14:paraId="1CDA697A">
            <w:pPr>
              <w:widowControl/>
              <w:jc w:val="center"/>
              <w:textAlignment w:val="center"/>
              <w:rPr>
                <w:rFonts w:hint="eastAsia" w:ascii="宋体" w:hAnsi="宋体" w:eastAsia="宋体" w:cs="宋体"/>
                <w:color w:val="000000"/>
                <w:kern w:val="0"/>
                <w:sz w:val="20"/>
                <w:szCs w:val="20"/>
              </w:rPr>
            </w:pP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0A6D6D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1、按照公路等级和合同约定实施路面清扫保洁任务，确保路域环境良好，路面干净整洁，没有明显路面堆积物、白色垃圾等，没有明显路面病害。</w:t>
            </w:r>
          </w:p>
          <w:p w14:paraId="2B63D66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2、防撞护栏清洗要规范，符合合同约定要求，确保护栏干净整洁。</w:t>
            </w:r>
          </w:p>
          <w:p w14:paraId="5AD5FDB6">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E523453">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634AB0C">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1、路面保洁、防撞护栏清洗频次未达到合同约定且没有特殊原因并经发包人同意的，每少1次扣0.5分。</w:t>
            </w:r>
          </w:p>
          <w:p w14:paraId="78C3B1B8">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2、路面保洁等级不符、路面保洁不到位，路面有明显白色垃圾、堆积物、路面抛洒、路面长时间积水未及时清理的没发现1次扣0.5分。</w:t>
            </w:r>
          </w:p>
          <w:p w14:paraId="61089E8F">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3、</w:t>
            </w:r>
            <w:r>
              <w:rPr>
                <w:rFonts w:hint="eastAsia" w:ascii="宋体" w:hAnsi="宋体" w:eastAsia="宋体" w:cs="宋体"/>
                <w:color w:val="000000"/>
                <w:sz w:val="20"/>
                <w:szCs w:val="20"/>
              </w:rPr>
              <w:t>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CA161D">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3C024E">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A3AEA56">
            <w:pPr>
              <w:widowControl/>
              <w:jc w:val="center"/>
              <w:textAlignment w:val="center"/>
              <w:rPr>
                <w:rFonts w:hint="eastAsia" w:ascii="宋体" w:hAnsi="宋体" w:eastAsia="宋体" w:cs="宋体"/>
                <w:color w:val="000000"/>
                <w:kern w:val="0"/>
                <w:sz w:val="20"/>
                <w:szCs w:val="20"/>
              </w:rPr>
            </w:pPr>
          </w:p>
        </w:tc>
      </w:tr>
      <w:tr w14:paraId="609FAE05">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226EA5D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三</w:t>
            </w:r>
          </w:p>
        </w:tc>
        <w:tc>
          <w:tcPr>
            <w:tcW w:w="1080" w:type="dxa"/>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10155476">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桥涵</w:t>
            </w:r>
          </w:p>
          <w:p w14:paraId="5D0637B0">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1F55E4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1、桥涵日常养护应符合规范、施工图纸、合同约定要求，各部分尺寸符合要求，桥涵技术状况良好，各结构处于完好状态。</w:t>
            </w:r>
          </w:p>
          <w:p w14:paraId="56054A7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2、按照合同约定进行桥涵检查巡查，规范填写检查记录（表）。</w:t>
            </w:r>
          </w:p>
          <w:p w14:paraId="1763B94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3、桥梁护栏（栏杆）应完好，应及时清洗、刷漆等保养维护，桥面铺装完好无病害，桥梁泄水孔、伸缩缝要定期清理维护。</w:t>
            </w:r>
          </w:p>
          <w:p w14:paraId="0B07783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4、发现桥梁主体结构（墩台、梁板、拱圈、拱上建筑等）、桥涵翼墙（侧墙、耳墙）等无开裂、倾斜、沉降等异常，及时上报。</w:t>
            </w:r>
          </w:p>
          <w:p w14:paraId="1729640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5、桥涵过水截面应通畅，无阻塞。桥涵涵头、锥坡、边坡应完好、无坍塌，铺砌面完整，无杂草、缺损、风化剥落等现象。</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3E0B95">
            <w:pPr>
              <w:widowControl/>
              <w:jc w:val="center"/>
              <w:textAlignment w:val="center"/>
              <w:rPr>
                <w:rFonts w:hint="eastAsia"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71750A7">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1、日常桥涵养护不符合规范、施工图纸、合同约定要求，技术指标不符合要求或桥涵整体状态不良的扣1分。</w:t>
            </w:r>
          </w:p>
          <w:p w14:paraId="7648DE70">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2、桥涵检查不规范、有明显问题未及时发现上报的每次扣0.5分。</w:t>
            </w:r>
          </w:p>
          <w:p w14:paraId="1DFC81E0">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3、桥涵检查巡查、护栏清洗维护、伸缩缝、泄水孔等巡查、清洗频次未达到合同约定且没有特殊原因并经发包人同意的，每少1次扣0.5分。</w:t>
            </w:r>
          </w:p>
          <w:p w14:paraId="201FC043">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4、桥涵主体结构、附属结构等有问题或隐患未及时发现上报。每次扣0.5分。</w:t>
            </w:r>
          </w:p>
          <w:p w14:paraId="4C858BA3">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5、对有时效性要求的桥涵病害修复，未按照发包人指定时间内完成修复的，每次扣0.5分。</w:t>
            </w:r>
          </w:p>
          <w:p w14:paraId="2241D71F">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6、桥涵过水不畅，过水截面淤塞未及时疏通的，每发现1次扣0.5分</w:t>
            </w:r>
          </w:p>
          <w:p w14:paraId="169A8C1F">
            <w:pPr>
              <w:widowControl/>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rPr>
              <w:t>7、</w:t>
            </w:r>
            <w:r>
              <w:rPr>
                <w:rFonts w:hint="eastAsia" w:ascii="宋体" w:hAnsi="宋体" w:eastAsia="宋体" w:cs="宋体"/>
                <w:color w:val="000000"/>
                <w:sz w:val="20"/>
                <w:szCs w:val="20"/>
              </w:rPr>
              <w:t>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C53EE98">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44F4BCD">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47EC1864">
            <w:pPr>
              <w:widowControl/>
              <w:jc w:val="center"/>
              <w:textAlignment w:val="center"/>
              <w:rPr>
                <w:rFonts w:hint="eastAsia" w:ascii="宋体" w:hAnsi="宋体" w:eastAsia="宋体" w:cs="宋体"/>
                <w:color w:val="000000"/>
                <w:kern w:val="0"/>
                <w:sz w:val="20"/>
                <w:szCs w:val="20"/>
              </w:rPr>
            </w:pPr>
          </w:p>
        </w:tc>
      </w:tr>
      <w:tr w14:paraId="5C99FB2A">
        <w:tblPrEx>
          <w:tblCellMar>
            <w:top w:w="0" w:type="dxa"/>
            <w:left w:w="0" w:type="dxa"/>
            <w:bottom w:w="0" w:type="dxa"/>
            <w:right w:w="0" w:type="dxa"/>
          </w:tblCellMar>
        </w:tblPrEx>
        <w:trPr>
          <w:trHeight w:val="600" w:hRule="atLeast"/>
          <w:jc w:val="center"/>
        </w:trPr>
        <w:tc>
          <w:tcPr>
            <w:tcW w:w="683"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5999CA1C">
            <w:pPr>
              <w:widowControl/>
              <w:jc w:val="center"/>
              <w:textAlignment w:val="center"/>
              <w:rPr>
                <w:rFonts w:hint="eastAsia" w:ascii="宋体" w:hAnsi="宋体" w:eastAsia="宋体" w:cs="宋体"/>
                <w:color w:val="000000"/>
                <w:kern w:val="0"/>
                <w:sz w:val="20"/>
                <w:szCs w:val="20"/>
              </w:rPr>
            </w:pPr>
          </w:p>
        </w:tc>
        <w:tc>
          <w:tcPr>
            <w:tcW w:w="1080" w:type="dxa"/>
            <w:vMerge w:val="restart"/>
            <w:tcBorders>
              <w:top w:val="single" w:color="000000" w:sz="4" w:space="0"/>
              <w:left w:val="single" w:color="000000" w:sz="4" w:space="0"/>
              <w:right w:val="single" w:color="000000" w:sz="4" w:space="0"/>
            </w:tcBorders>
            <w:noWrap w:val="0"/>
            <w:tcMar>
              <w:top w:w="15" w:type="dxa"/>
              <w:left w:w="15" w:type="dxa"/>
              <w:bottom w:w="0" w:type="dxa"/>
              <w:right w:w="15" w:type="dxa"/>
            </w:tcMar>
            <w:vAlign w:val="center"/>
          </w:tcPr>
          <w:p w14:paraId="7D4855E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交通安全设施（15分）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389842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1、交通安全设施齐全有效，无松动损坏。护栏平顺、完整、干净整洁；标志标牌清晰、完整；标线完整、清晰；各结构处于完好状态。</w:t>
            </w:r>
          </w:p>
          <w:p w14:paraId="18CAC18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2、损坏、缺失的护栏及其附属件按照公路技术标准和安全防护等级应进行维修更换。</w:t>
            </w:r>
          </w:p>
          <w:p w14:paraId="0019267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3、损坏、缺失的标志牌进行维修、更换。</w:t>
            </w:r>
          </w:p>
          <w:p w14:paraId="2732078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4、磨损严重、反光效果差的标线进行重新施画。</w:t>
            </w:r>
          </w:p>
          <w:p w14:paraId="5BA231DD">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1C62F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D3D2C3B">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1、交通安全设施日常养护不符合规范、施工图纸、合同约定要求，技术指标不符合要求的扣1分。</w:t>
            </w:r>
          </w:p>
          <w:p w14:paraId="38E9D9DE">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2、交通安全设施检查不规范、有明显问题未及时发现上报的每次扣0.5分。</w:t>
            </w:r>
          </w:p>
          <w:p w14:paraId="4A845A3B">
            <w:pPr>
              <w:widowControl/>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3、护栏不清晰醒目，擦洗不及时，每发现1次扣0.5分。</w:t>
            </w:r>
          </w:p>
          <w:p w14:paraId="59ED41F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szCs w:val="21"/>
              </w:rPr>
              <w:t>4</w:t>
            </w:r>
            <w:r>
              <w:rPr>
                <w:rFonts w:hint="eastAsia" w:ascii="宋体" w:hAnsi="宋体" w:eastAsia="宋体" w:cs="宋体"/>
                <w:color w:val="000000"/>
                <w:kern w:val="0"/>
                <w:sz w:val="20"/>
                <w:szCs w:val="20"/>
              </w:rPr>
              <w:t>、损坏、缺失的护栏及其附属件未按时限要求修复的每次扣0.5分。</w:t>
            </w:r>
          </w:p>
          <w:p w14:paraId="19BFFD7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5、损坏、缺失的标志牌未按时限要求进行维修、更换的每次扣0.5分。</w:t>
            </w:r>
          </w:p>
          <w:p w14:paraId="4ADD97D1">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6、磨损严重、反光效果差的标线按时限要求进行重新施画的每次扣0.5分</w:t>
            </w:r>
          </w:p>
          <w:p w14:paraId="6927D938">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w:t>
            </w:r>
            <w:r>
              <w:rPr>
                <w:rFonts w:hint="eastAsia" w:ascii="宋体" w:hAnsi="宋体" w:eastAsia="宋体" w:cs="宋体"/>
                <w:color w:val="000000"/>
                <w:sz w:val="20"/>
                <w:szCs w:val="20"/>
              </w:rPr>
              <w:t>该项工作受到上级领导批评或受到媒体负面报道的，每次扣1分。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D1B3B9">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AE7B315">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6044657B">
            <w:pPr>
              <w:widowControl/>
              <w:jc w:val="center"/>
              <w:textAlignment w:val="center"/>
              <w:rPr>
                <w:rFonts w:hint="eastAsia" w:ascii="宋体" w:hAnsi="宋体" w:eastAsia="宋体" w:cs="宋体"/>
                <w:color w:val="000000"/>
                <w:kern w:val="0"/>
                <w:sz w:val="20"/>
                <w:szCs w:val="20"/>
              </w:rPr>
            </w:pPr>
          </w:p>
        </w:tc>
      </w:tr>
      <w:tr w14:paraId="4366EA8F">
        <w:tblPrEx>
          <w:tblCellMar>
            <w:top w:w="0" w:type="dxa"/>
            <w:left w:w="0" w:type="dxa"/>
            <w:bottom w:w="0" w:type="dxa"/>
            <w:right w:w="0" w:type="dxa"/>
          </w:tblCellMar>
        </w:tblPrEx>
        <w:trPr>
          <w:trHeight w:val="2218" w:hRule="atLeast"/>
          <w:jc w:val="center"/>
        </w:trPr>
        <w:tc>
          <w:tcPr>
            <w:tcW w:w="683"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20276B1">
            <w:pPr>
              <w:widowControl/>
              <w:jc w:val="center"/>
              <w:textAlignment w:val="center"/>
              <w:rPr>
                <w:rFonts w:hint="eastAsia" w:ascii="宋体" w:hAnsi="宋体" w:eastAsia="宋体" w:cs="宋体"/>
                <w:color w:val="000000"/>
                <w:kern w:val="0"/>
                <w:sz w:val="20"/>
                <w:szCs w:val="20"/>
              </w:rPr>
            </w:pPr>
          </w:p>
        </w:tc>
        <w:tc>
          <w:tcPr>
            <w:tcW w:w="1080" w:type="dxa"/>
            <w:vMerge w:val="continue"/>
            <w:tcBorders>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AEC5D64">
            <w:pPr>
              <w:widowControl/>
              <w:jc w:val="center"/>
              <w:textAlignment w:val="center"/>
              <w:rPr>
                <w:rFonts w:hint="eastAsia" w:ascii="宋体" w:hAnsi="宋体" w:eastAsia="宋体" w:cs="宋体"/>
                <w:color w:val="000000"/>
                <w:kern w:val="0"/>
                <w:sz w:val="20"/>
                <w:szCs w:val="20"/>
              </w:rPr>
            </w:pP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A37F7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1、缺失、损坏的警示桩、道口桩、公里牌、百米桩等进行维修更换。</w:t>
            </w:r>
          </w:p>
          <w:p w14:paraId="3E64985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2、交通安全设施各种原材的各项指标符合规范、施工图纸、合同约定要求。</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3CDFEFD">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0C948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1、缺失、损坏的警示桩、道口桩、公里牌、百米桩未按时限要求修复的每次扣0.5分。</w:t>
            </w:r>
          </w:p>
          <w:p w14:paraId="271023B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2、三桩一碑不清晰醒目，擦洗不及时，每发现1次扣0.5分。</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D073D9C">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8CC015">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218CE00">
            <w:pPr>
              <w:widowControl/>
              <w:jc w:val="center"/>
              <w:textAlignment w:val="center"/>
              <w:rPr>
                <w:rFonts w:hint="eastAsia" w:ascii="宋体" w:hAnsi="宋体" w:eastAsia="宋体" w:cs="宋体"/>
                <w:color w:val="000000"/>
                <w:kern w:val="0"/>
                <w:sz w:val="20"/>
                <w:szCs w:val="20"/>
              </w:rPr>
            </w:pPr>
          </w:p>
        </w:tc>
      </w:tr>
      <w:tr w14:paraId="554F9206">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729D75">
            <w:pPr>
              <w:widowControl/>
              <w:jc w:val="center"/>
              <w:textAlignment w:val="center"/>
              <w:rPr>
                <w:rFonts w:hint="eastAsia"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CD5C52">
            <w:pPr>
              <w:widowControl/>
              <w:jc w:val="center"/>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绿化</w:t>
            </w:r>
          </w:p>
          <w:p w14:paraId="3292E92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271898D">
            <w:pPr>
              <w:widowControl/>
              <w:jc w:val="left"/>
              <w:textAlignment w:val="center"/>
              <w:rPr>
                <w:rFonts w:hint="eastAsia" w:ascii="宋体" w:hAnsi="宋体" w:eastAsia="宋体" w:cs="宋体"/>
                <w:color w:val="000000"/>
                <w:kern w:val="0"/>
                <w:sz w:val="20"/>
                <w:szCs w:val="20"/>
              </w:rPr>
            </w:pPr>
          </w:p>
          <w:p w14:paraId="55B92073">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、全线苗木应保持线形整齐、顺畅，不侵占路面，不遮挡标志标牌，不遮挡行车视线；</w:t>
            </w:r>
          </w:p>
          <w:p w14:paraId="4667982A">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、根据植物的生长发育规律适时修剪，剪枝切口平滑，确保花、灌木、乔木视觉上整齐，花树层次分明。</w:t>
            </w:r>
          </w:p>
          <w:p w14:paraId="1EBE7B6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、缺失、损毁、死亡的绿化、草皮、苗木、花卉按照发包人指令及时补植恢复。</w:t>
            </w:r>
          </w:p>
          <w:p w14:paraId="3D25A17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、按照“预防为主，综合防治”基本原则，根据土壤性质、树木种类，定期浇水、施肥；及时对树木病虫进行预防和治疗，防止树木干旱枯死。</w:t>
            </w:r>
          </w:p>
          <w:p w14:paraId="03BA1C0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重要时间节点、重大活动、文明创建检查期间，按照发包人指令布置花卉点缀。</w:t>
            </w:r>
          </w:p>
          <w:p w14:paraId="636F7A59">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57C36C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C16E36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、苗木修剪明显不成形、侵占路面、遮挡标志标牌、遮挡行车视线的，没发现1次扣0.5分。</w:t>
            </w:r>
          </w:p>
          <w:p w14:paraId="4DFCA81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、死亡以及缺失的苗木、草皮未按照发包人指令清除补植的，每次扣0.5分。</w:t>
            </w:r>
          </w:p>
          <w:p w14:paraId="5A440BA0">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、绿化小修作业不满足安全生产、环境保护、水源地保护、文明城市创建等相关要求的，每次扣0.5分。</w:t>
            </w:r>
          </w:p>
          <w:p w14:paraId="4A24F14C">
            <w:pPr>
              <w:widowControl/>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、承包人未按发包人批准的月度养护计划或发包人及监理工程师正当的工作指令执行或完成量与计划有较大差别且没有明确理由的扣1分。</w:t>
            </w:r>
          </w:p>
          <w:p w14:paraId="2BC83391">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w:t>
            </w:r>
            <w:r>
              <w:rPr>
                <w:rFonts w:hint="eastAsia" w:ascii="宋体" w:hAnsi="宋体" w:eastAsia="宋体" w:cs="宋体"/>
                <w:color w:val="000000"/>
                <w:sz w:val="20"/>
                <w:szCs w:val="20"/>
              </w:rPr>
              <w:t>该项工作受到上级领导批评或受到媒体负面报道的，每次扣1分。</w:t>
            </w:r>
          </w:p>
          <w:p w14:paraId="64EDE25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、本项扣分扣完为止。</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7A6ADB8F">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1CDA695">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3D13A528">
            <w:pPr>
              <w:widowControl/>
              <w:jc w:val="center"/>
              <w:textAlignment w:val="center"/>
              <w:rPr>
                <w:rFonts w:hint="eastAsia" w:ascii="宋体" w:hAnsi="宋体" w:eastAsia="宋体" w:cs="宋体"/>
                <w:color w:val="000000"/>
                <w:kern w:val="0"/>
                <w:sz w:val="20"/>
                <w:szCs w:val="20"/>
              </w:rPr>
            </w:pPr>
          </w:p>
        </w:tc>
      </w:tr>
      <w:tr w14:paraId="35945195">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8BB0C89">
            <w:pPr>
              <w:widowControl/>
              <w:jc w:val="center"/>
              <w:textAlignment w:val="center"/>
              <w:rPr>
                <w:rFonts w:hint="eastAsia"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540D7A9">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安全环保</w:t>
            </w:r>
          </w:p>
          <w:p w14:paraId="67E9ABF2">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245F34">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1、建立健全安全工作规章制度，有完善的组织机构和专职安全员。</w:t>
            </w:r>
          </w:p>
          <w:p w14:paraId="403C5E9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2、每月召开安全例会、进行安全培训、有真实的安全交底记录、每天应有巡查养护日志。</w:t>
            </w:r>
          </w:p>
          <w:p w14:paraId="485129B0">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3、工前开展班前技术交底。</w:t>
            </w:r>
          </w:p>
          <w:p w14:paraId="2735CE0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4、养护作业人员应穿戴标志服、戴安全帽，遵守安全作业规章制度。</w:t>
            </w:r>
          </w:p>
          <w:p w14:paraId="0F29712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5、养护作业应按照规范要求规范摆放安全警示标志牌，必要时安排专人指挥交通。</w:t>
            </w:r>
          </w:p>
          <w:p w14:paraId="0723D50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6、未发生安全责任事故。</w:t>
            </w:r>
          </w:p>
          <w:p w14:paraId="4FCF6E6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7、路基、路面、桥涵、交通安全设施、绿化养护满足安全生产、环境保护、水源地保护、文明城市创建等相关要求的。</w:t>
            </w:r>
          </w:p>
          <w:p w14:paraId="134356B2">
            <w:pPr>
              <w:widowControl/>
              <w:jc w:val="center"/>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E008D2C">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3C17AB6">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1、制度不健全的或没有完善的组织机构或没有专职的安全员，每次扣0.5分。</w:t>
            </w:r>
          </w:p>
          <w:p w14:paraId="678F443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2、未召开安全例会的、未进行安全培训的、3没有安全交底记录的、没有巡查养护日志的每次扣0.5分。</w:t>
            </w:r>
          </w:p>
          <w:p w14:paraId="57745B4C">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3、养护人员不遵守安全作业规章制度或未穿戴标志服、戴安全帽的每发现1次扣0.5分。</w:t>
            </w:r>
          </w:p>
          <w:p w14:paraId="16C58D1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4、养护作业未按照规范要求规范摆放安全警示标志牌的、必要时未安排专人指挥交通的每发现1次扣0.5分。</w:t>
            </w:r>
          </w:p>
          <w:p w14:paraId="537A6654">
            <w:pPr>
              <w:widowControl/>
              <w:jc w:val="left"/>
              <w:textAlignment w:val="center"/>
              <w:rPr>
                <w:rFonts w:hint="eastAsia" w:ascii="宋体" w:hAnsi="宋体" w:eastAsia="宋体" w:cs="宋体"/>
                <w:color w:val="000000"/>
                <w:sz w:val="20"/>
                <w:szCs w:val="20"/>
              </w:rPr>
            </w:pPr>
            <w:r>
              <w:rPr>
                <w:rFonts w:hint="eastAsia" w:ascii="宋体" w:hAnsi="宋体" w:eastAsia="宋体" w:cs="宋体"/>
                <w:color w:val="000000"/>
                <w:sz w:val="20"/>
                <w:szCs w:val="20"/>
              </w:rPr>
              <w:t>5、该项工作受到上级领导批评或受到媒体负面报道的，每次扣1分。</w:t>
            </w:r>
          </w:p>
          <w:p w14:paraId="575F03DB">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6、养护、小修作业不满足安全生产、环境保护、水源地保护、文明城市创建等相关要求的，每次扣1分。</w:t>
            </w:r>
          </w:p>
          <w:p w14:paraId="641DF16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7、发生安全责任事故的一次扣10分。</w:t>
            </w:r>
          </w:p>
          <w:p w14:paraId="0DCA250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8、本项扣分扣完为止。</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182BE86">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CDC19EA">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C0D2F37">
            <w:pPr>
              <w:widowControl/>
              <w:jc w:val="center"/>
              <w:textAlignment w:val="center"/>
              <w:rPr>
                <w:rFonts w:hint="eastAsia" w:ascii="宋体" w:hAnsi="宋体" w:eastAsia="宋体" w:cs="宋体"/>
                <w:color w:val="000000"/>
                <w:kern w:val="0"/>
                <w:sz w:val="20"/>
                <w:szCs w:val="20"/>
              </w:rPr>
            </w:pPr>
          </w:p>
        </w:tc>
      </w:tr>
      <w:tr w14:paraId="60980E2D">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5396BE0">
            <w:pPr>
              <w:widowControl/>
              <w:jc w:val="center"/>
              <w:textAlignment w:val="center"/>
              <w:rPr>
                <w:rFonts w:hint="eastAsia"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D6B2921">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内业资料</w:t>
            </w:r>
          </w:p>
          <w:p w14:paraId="61D51CF5">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（5分）</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5CCE3BD7">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1、有详细各项管理制度，内业资料应齐全、分类归档、存放。</w:t>
            </w:r>
          </w:p>
          <w:p w14:paraId="3210E0AE">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2、合理制定路基、路面、桥涵、交通安全设施、绿化养护月度计划。</w:t>
            </w:r>
          </w:p>
          <w:p w14:paraId="3B7320D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3、资料及时完成，养护计划、统计报表、养护报告等准确齐全，按时上报。</w:t>
            </w:r>
          </w:p>
          <w:p w14:paraId="6208573A">
            <w:pPr>
              <w:widowControl/>
              <w:jc w:val="left"/>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42D7688">
            <w:pPr>
              <w:widowControl/>
              <w:jc w:val="center"/>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1C4D05A2">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1、内业资料不齐全的、没有分类归档存放的每发现1次扣0,5分。</w:t>
            </w:r>
          </w:p>
          <w:p w14:paraId="4EF7F88F">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2、未制定养护月进度计划或进度计划不合理的每次扣1-2分。</w:t>
            </w:r>
          </w:p>
          <w:p w14:paraId="5E26770D">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3、各类资料报表、计量等报送不及时的每发现1次扣0.5分。</w:t>
            </w:r>
          </w:p>
          <w:p w14:paraId="405ACD19">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4、本项扣分扣完为止。</w:t>
            </w: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2C25BA3">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4331ED">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7392B985">
            <w:pPr>
              <w:widowControl/>
              <w:jc w:val="center"/>
              <w:textAlignment w:val="center"/>
              <w:rPr>
                <w:rFonts w:hint="eastAsia" w:ascii="宋体" w:hAnsi="宋体" w:eastAsia="宋体" w:cs="宋体"/>
                <w:color w:val="000000"/>
                <w:kern w:val="0"/>
                <w:sz w:val="20"/>
                <w:szCs w:val="20"/>
              </w:rPr>
            </w:pPr>
          </w:p>
        </w:tc>
      </w:tr>
      <w:tr w14:paraId="7F61A6C7">
        <w:tblPrEx>
          <w:tblCellMar>
            <w:top w:w="0" w:type="dxa"/>
            <w:left w:w="0" w:type="dxa"/>
            <w:bottom w:w="0" w:type="dxa"/>
            <w:right w:w="0" w:type="dxa"/>
          </w:tblCellMar>
        </w:tblPrEx>
        <w:trPr>
          <w:trHeight w:val="600" w:hRule="atLeast"/>
          <w:jc w:val="center"/>
        </w:trPr>
        <w:tc>
          <w:tcPr>
            <w:tcW w:w="683"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BDBE433">
            <w:pPr>
              <w:widowControl/>
              <w:jc w:val="center"/>
              <w:textAlignment w:val="center"/>
              <w:rPr>
                <w:rFonts w:hint="eastAsia" w:ascii="宋体" w:hAnsi="宋体" w:eastAsia="宋体" w:cs="宋体"/>
                <w:color w:val="000000"/>
                <w:kern w:val="0"/>
                <w:sz w:val="20"/>
                <w:szCs w:val="20"/>
              </w:rPr>
            </w:pPr>
          </w:p>
        </w:tc>
        <w:tc>
          <w:tcPr>
            <w:tcW w:w="1080"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4DE800E5">
            <w:pPr>
              <w:jc w:val="center"/>
              <w:rPr>
                <w:rFonts w:hint="eastAsia" w:ascii="宋体" w:hAnsi="宋体" w:eastAsia="宋体" w:cs="宋体"/>
                <w:color w:val="000000"/>
                <w:sz w:val="20"/>
                <w:szCs w:val="20"/>
              </w:rPr>
            </w:pPr>
            <w:r>
              <w:rPr>
                <w:rFonts w:hint="eastAsia" w:ascii="宋体" w:hAnsi="宋体" w:eastAsia="宋体" w:cs="宋体"/>
                <w:color w:val="000000"/>
                <w:sz w:val="20"/>
                <w:szCs w:val="20"/>
              </w:rPr>
              <w:t>合计</w:t>
            </w:r>
          </w:p>
        </w:tc>
        <w:tc>
          <w:tcPr>
            <w:tcW w:w="453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AAAF88C">
            <w:pPr>
              <w:jc w:val="left"/>
              <w:rPr>
                <w:rFonts w:hint="eastAsia" w:ascii="宋体" w:hAnsi="宋体" w:eastAsia="宋体" w:cs="宋体"/>
                <w:color w:val="00000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0B130095">
            <w:pPr>
              <w:widowControl/>
              <w:jc w:val="left"/>
              <w:textAlignment w:val="cente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100</w:t>
            </w:r>
          </w:p>
        </w:tc>
        <w:tc>
          <w:tcPr>
            <w:tcW w:w="4186"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21E24E41">
            <w:pPr>
              <w:widowControl/>
              <w:jc w:val="center"/>
              <w:textAlignment w:val="center"/>
              <w:rPr>
                <w:rFonts w:hint="eastAsia" w:ascii="宋体" w:hAnsi="宋体" w:eastAsia="宋体" w:cs="宋体"/>
                <w:color w:val="000000"/>
                <w:kern w:val="0"/>
                <w:sz w:val="20"/>
                <w:szCs w:val="20"/>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68C5A689">
            <w:pPr>
              <w:widowControl/>
              <w:jc w:val="center"/>
              <w:textAlignment w:val="center"/>
              <w:rPr>
                <w:rFonts w:hint="eastAsia" w:ascii="宋体" w:hAnsi="宋体" w:eastAsia="宋体" w:cs="宋体"/>
                <w:color w:val="000000"/>
                <w:kern w:val="0"/>
                <w:sz w:val="20"/>
                <w:szCs w:val="20"/>
              </w:rPr>
            </w:pPr>
          </w:p>
        </w:tc>
        <w:tc>
          <w:tcPr>
            <w:tcW w:w="992" w:type="dxa"/>
            <w:tcBorders>
              <w:top w:val="single" w:color="000000" w:sz="4" w:space="0"/>
              <w:left w:val="single" w:color="000000" w:sz="4" w:space="0"/>
              <w:bottom w:val="single" w:color="000000" w:sz="4" w:space="0"/>
              <w:right w:val="single" w:color="000000" w:sz="4" w:space="0"/>
            </w:tcBorders>
            <w:noWrap w:val="0"/>
            <w:tcMar>
              <w:top w:w="15" w:type="dxa"/>
              <w:left w:w="15" w:type="dxa"/>
              <w:bottom w:w="0" w:type="dxa"/>
              <w:right w:w="15" w:type="dxa"/>
            </w:tcMar>
            <w:vAlign w:val="center"/>
          </w:tcPr>
          <w:p w14:paraId="3C6138FF">
            <w:pPr>
              <w:widowControl/>
              <w:jc w:val="center"/>
              <w:textAlignment w:val="center"/>
              <w:rPr>
                <w:rFonts w:hint="eastAsia" w:ascii="宋体" w:hAnsi="宋体" w:eastAsia="宋体" w:cs="宋体"/>
                <w:color w:val="000000"/>
                <w:kern w:val="0"/>
                <w:sz w:val="20"/>
                <w:szCs w:val="20"/>
              </w:rPr>
            </w:pPr>
          </w:p>
        </w:tc>
        <w:tc>
          <w:tcPr>
            <w:tcW w:w="1186" w:type="dxa"/>
            <w:tcBorders>
              <w:top w:val="single" w:color="000000" w:sz="4" w:space="0"/>
              <w:left w:val="single" w:color="000000" w:sz="4" w:space="0"/>
              <w:bottom w:val="single" w:color="000000" w:sz="4" w:space="0"/>
              <w:right w:val="single" w:color="000000" w:sz="4" w:space="0"/>
            </w:tcBorders>
            <w:noWrap/>
            <w:tcMar>
              <w:top w:w="15" w:type="dxa"/>
              <w:left w:w="15" w:type="dxa"/>
              <w:bottom w:w="0" w:type="dxa"/>
              <w:right w:w="15" w:type="dxa"/>
            </w:tcMar>
            <w:vAlign w:val="center"/>
          </w:tcPr>
          <w:p w14:paraId="22375906">
            <w:pPr>
              <w:widowControl/>
              <w:jc w:val="center"/>
              <w:textAlignment w:val="center"/>
              <w:rPr>
                <w:rFonts w:hint="eastAsia" w:ascii="宋体" w:hAnsi="宋体" w:eastAsia="宋体" w:cs="宋体"/>
                <w:color w:val="000000"/>
                <w:kern w:val="0"/>
                <w:sz w:val="20"/>
                <w:szCs w:val="20"/>
              </w:rPr>
            </w:pPr>
          </w:p>
        </w:tc>
      </w:tr>
    </w:tbl>
    <w:p w14:paraId="6604EA24">
      <w:pPr>
        <w:jc w:val="left"/>
        <w:rPr>
          <w:rFonts w:hint="eastAsia" w:ascii="宋体" w:hAnsi="宋体" w:eastAsia="宋体" w:cs="宋体"/>
          <w:sz w:val="20"/>
          <w:szCs w:val="20"/>
        </w:rPr>
      </w:pPr>
      <w:r>
        <w:rPr>
          <w:rFonts w:hint="eastAsia" w:ascii="宋体" w:hAnsi="宋体" w:eastAsia="宋体" w:cs="宋体"/>
          <w:szCs w:val="21"/>
        </w:rPr>
        <w:t>被考核单位：                                                              考核人：</w:t>
      </w:r>
    </w:p>
    <w:p w14:paraId="71B39AEB">
      <w:pPr>
        <w:pStyle w:val="54"/>
        <w:rPr>
          <w:rFonts w:hint="eastAsia" w:ascii="宋体" w:hAnsi="宋体" w:eastAsia="宋体" w:cs="宋体"/>
          <w:lang w:val="en-US" w:eastAsia="zh-CN"/>
        </w:rPr>
      </w:pPr>
    </w:p>
    <w:p w14:paraId="49FF6305">
      <w:pPr>
        <w:rPr>
          <w:rFonts w:hint="eastAsia" w:ascii="宋体" w:hAnsi="宋体" w:eastAsia="宋体" w:cs="宋体"/>
        </w:rPr>
      </w:pPr>
    </w:p>
    <w:p w14:paraId="5C4DC50A">
      <w:pPr>
        <w:pStyle w:val="54"/>
        <w:rPr>
          <w:rFonts w:hint="eastAsia" w:ascii="宋体" w:hAnsi="宋体" w:eastAsia="宋体" w:cs="宋体"/>
          <w:lang w:val="en-US" w:eastAsia="zh-CN"/>
        </w:rPr>
      </w:pPr>
    </w:p>
    <w:p w14:paraId="2B89CAFF">
      <w:pPr>
        <w:rPr>
          <w:rFonts w:hint="eastAsia" w:ascii="宋体" w:hAnsi="宋体" w:eastAsia="宋体" w:cs="宋体"/>
        </w:rPr>
      </w:pPr>
    </w:p>
    <w:p w14:paraId="57A7D0CA">
      <w:pPr>
        <w:pStyle w:val="54"/>
        <w:rPr>
          <w:rFonts w:hint="eastAsia" w:ascii="宋体" w:hAnsi="宋体" w:eastAsia="宋体" w:cs="宋体"/>
          <w:lang w:val="en-US" w:eastAsia="zh-CN"/>
        </w:rPr>
      </w:pPr>
    </w:p>
    <w:p w14:paraId="18A93A2B">
      <w:pPr>
        <w:rPr>
          <w:rFonts w:hint="eastAsia" w:ascii="宋体" w:hAnsi="宋体" w:eastAsia="宋体" w:cs="宋体"/>
          <w:highlight w:val="magenta"/>
        </w:rPr>
      </w:pPr>
    </w:p>
    <w:p w14:paraId="2297ECDE">
      <w:pPr>
        <w:numPr>
          <w:ilvl w:val="0"/>
          <w:numId w:val="2"/>
        </w:numPr>
        <w:spacing w:line="440" w:lineRule="exact"/>
        <w:ind w:firstLine="640"/>
        <w:jc w:val="center"/>
        <w:rPr>
          <w:rFonts w:hint="eastAsia" w:ascii="宋体" w:hAnsi="宋体" w:eastAsia="宋体" w:cs="宋体"/>
          <w:sz w:val="32"/>
          <w:szCs w:val="32"/>
        </w:rPr>
        <w:sectPr>
          <w:footnotePr>
            <w:numFmt w:val="decimalEnclosedCircleChinese"/>
            <w:numRestart w:val="eachPage"/>
          </w:footnotePr>
          <w:pgSz w:w="16838" w:h="11906" w:orient="landscape"/>
          <w:pgMar w:top="1304" w:right="1418" w:bottom="1588" w:left="1418" w:header="851" w:footer="851" w:gutter="0"/>
          <w:pgNumType w:fmt="decimal"/>
          <w:cols w:space="720" w:num="1"/>
          <w:docGrid w:linePitch="312" w:charSpace="0"/>
        </w:sectPr>
      </w:pPr>
    </w:p>
    <w:p w14:paraId="28B2445C">
      <w:pPr>
        <w:pStyle w:val="2"/>
        <w:spacing w:line="360" w:lineRule="auto"/>
        <w:jc w:val="center"/>
        <w:rPr>
          <w:rFonts w:hint="eastAsia" w:ascii="宋体" w:hAnsi="宋体" w:eastAsia="宋体" w:cs="宋体"/>
          <w:sz w:val="32"/>
          <w:szCs w:val="32"/>
        </w:rPr>
      </w:pPr>
      <w:bookmarkStart w:id="48" w:name="_Toc18189"/>
      <w:bookmarkStart w:id="49" w:name="_Toc506107339"/>
      <w:bookmarkStart w:id="50" w:name="_Toc37230774"/>
      <w:bookmarkStart w:id="51" w:name="_Toc484173788"/>
      <w:r>
        <w:rPr>
          <w:rFonts w:hint="eastAsia" w:ascii="宋体" w:hAnsi="宋体" w:eastAsia="宋体" w:cs="宋体"/>
          <w:sz w:val="32"/>
          <w:szCs w:val="32"/>
        </w:rPr>
        <w:t>养护技术标准和要求</w:t>
      </w:r>
      <w:bookmarkEnd w:id="48"/>
      <w:bookmarkEnd w:id="49"/>
      <w:bookmarkEnd w:id="50"/>
      <w:bookmarkEnd w:id="51"/>
    </w:p>
    <w:p w14:paraId="1324F1AF">
      <w:pPr>
        <w:spacing w:line="400" w:lineRule="exact"/>
        <w:ind w:firstLine="600" w:firstLineChars="250"/>
        <w:jc w:val="left"/>
        <w:rPr>
          <w:rFonts w:hint="eastAsia" w:ascii="宋体" w:hAnsi="宋体" w:eastAsia="宋体" w:cs="宋体"/>
          <w:sz w:val="24"/>
        </w:rPr>
      </w:pPr>
    </w:p>
    <w:p w14:paraId="05C9B3C1">
      <w:pPr>
        <w:rPr>
          <w:rFonts w:hint="eastAsia" w:ascii="宋体" w:hAnsi="宋体" w:eastAsia="宋体" w:cs="宋体"/>
        </w:rPr>
      </w:pPr>
    </w:p>
    <w:p w14:paraId="48A328F3">
      <w:pPr>
        <w:spacing w:line="300" w:lineRule="exact"/>
        <w:ind w:firstLine="643"/>
        <w:jc w:val="center"/>
        <w:rPr>
          <w:rFonts w:hint="eastAsia" w:ascii="宋体" w:hAnsi="宋体" w:eastAsia="宋体" w:cs="宋体"/>
          <w:b/>
          <w:sz w:val="32"/>
          <w:szCs w:val="32"/>
        </w:rPr>
      </w:pPr>
      <w:bookmarkStart w:id="52" w:name="_Toc343033825"/>
      <w:bookmarkStart w:id="53" w:name="_Toc343985580"/>
      <w:r>
        <w:rPr>
          <w:rFonts w:hint="eastAsia" w:ascii="宋体" w:hAnsi="宋体" w:eastAsia="宋体" w:cs="宋体"/>
          <w:b/>
          <w:sz w:val="32"/>
          <w:szCs w:val="32"/>
        </w:rPr>
        <w:t>第1章  总 则</w:t>
      </w:r>
      <w:bookmarkEnd w:id="52"/>
      <w:bookmarkEnd w:id="53"/>
    </w:p>
    <w:p w14:paraId="73B3606A">
      <w:pPr>
        <w:spacing w:line="300" w:lineRule="exact"/>
        <w:ind w:firstLine="560"/>
        <w:jc w:val="center"/>
        <w:rPr>
          <w:rFonts w:hint="eastAsia" w:ascii="宋体" w:hAnsi="宋体" w:eastAsia="宋体" w:cs="宋体"/>
          <w:sz w:val="28"/>
          <w:szCs w:val="28"/>
        </w:rPr>
      </w:pPr>
      <w:bookmarkStart w:id="54" w:name="_Toc342480065"/>
      <w:bookmarkStart w:id="55" w:name="_Toc343033826"/>
      <w:bookmarkStart w:id="56" w:name="_Toc343985581"/>
    </w:p>
    <w:p w14:paraId="3AFBF8EC">
      <w:pPr>
        <w:spacing w:line="300" w:lineRule="exact"/>
        <w:ind w:firstLine="560"/>
        <w:jc w:val="center"/>
        <w:rPr>
          <w:rFonts w:hint="eastAsia" w:ascii="宋体" w:hAnsi="宋体" w:eastAsia="宋体" w:cs="宋体"/>
          <w:b/>
          <w:bCs/>
          <w:sz w:val="28"/>
          <w:szCs w:val="28"/>
        </w:rPr>
      </w:pPr>
      <w:r>
        <w:rPr>
          <w:rFonts w:hint="eastAsia" w:ascii="宋体" w:hAnsi="宋体" w:eastAsia="宋体" w:cs="宋体"/>
          <w:b/>
          <w:bCs/>
          <w:sz w:val="28"/>
          <w:szCs w:val="28"/>
        </w:rPr>
        <w:t>第1节 通 则</w:t>
      </w:r>
      <w:bookmarkEnd w:id="54"/>
      <w:bookmarkEnd w:id="55"/>
      <w:bookmarkEnd w:id="56"/>
    </w:p>
    <w:p w14:paraId="0CC29F41">
      <w:pPr>
        <w:spacing w:line="300" w:lineRule="exact"/>
        <w:ind w:firstLine="422"/>
        <w:rPr>
          <w:rFonts w:hint="eastAsia" w:ascii="宋体" w:hAnsi="宋体" w:eastAsia="宋体" w:cs="宋体"/>
          <w:b/>
          <w:szCs w:val="21"/>
        </w:rPr>
      </w:pPr>
      <w:r>
        <w:rPr>
          <w:rFonts w:hint="eastAsia" w:ascii="宋体" w:hAnsi="宋体" w:eastAsia="宋体" w:cs="宋体"/>
          <w:b/>
          <w:szCs w:val="21"/>
        </w:rPr>
        <w:t>1.01  范围</w:t>
      </w:r>
    </w:p>
    <w:p w14:paraId="7E1E6BF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1.本规范适用于</w:t>
      </w:r>
      <w:r>
        <w:rPr>
          <w:rFonts w:hint="eastAsia" w:ascii="宋体" w:hAnsi="宋体" w:eastAsia="宋体" w:cs="宋体"/>
          <w:color w:val="auto"/>
          <w:kern w:val="2"/>
          <w:sz w:val="21"/>
          <w:szCs w:val="21"/>
          <w:lang w:val="en-US" w:eastAsia="zh-CN"/>
        </w:rPr>
        <w:t>2024</w:t>
      </w:r>
      <w:r>
        <w:rPr>
          <w:rFonts w:hint="eastAsia" w:ascii="宋体" w:hAnsi="宋体" w:eastAsia="宋体" w:cs="宋体"/>
          <w:color w:val="auto"/>
          <w:kern w:val="2"/>
          <w:sz w:val="21"/>
          <w:szCs w:val="21"/>
        </w:rPr>
        <w:t>年滁州市</w:t>
      </w:r>
      <w:r>
        <w:rPr>
          <w:rFonts w:hint="eastAsia" w:ascii="宋体" w:hAnsi="宋体" w:eastAsia="宋体" w:cs="宋体"/>
          <w:color w:val="auto"/>
          <w:kern w:val="2"/>
          <w:sz w:val="21"/>
          <w:szCs w:val="21"/>
          <w:lang w:val="en-US" w:eastAsia="zh-CN"/>
        </w:rPr>
        <w:t>县道</w:t>
      </w:r>
      <w:r>
        <w:rPr>
          <w:rFonts w:hint="eastAsia" w:ascii="宋体" w:hAnsi="宋体" w:eastAsia="宋体" w:cs="宋体"/>
          <w:color w:val="auto"/>
          <w:kern w:val="2"/>
          <w:sz w:val="21"/>
          <w:szCs w:val="21"/>
        </w:rPr>
        <w:t>日常养护工程的施工及管理。工程范围包括路基、路面、桥涵、交通安全设施的保洁、日常维修保养和修补其轻微及一般性损坏部分，冬季除雪防滑、雨季防洪防台风与水毁抢修、配合业主完成指定的工程抢险维修及突发事件应急处理等与小修养护有关的工作内容。</w:t>
      </w:r>
    </w:p>
    <w:p w14:paraId="33A2196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2.本规范对工程在</w:t>
      </w:r>
      <w:bookmarkStart w:id="57" w:name="_Hlk101379473"/>
      <w:r>
        <w:rPr>
          <w:rFonts w:hint="eastAsia" w:ascii="宋体" w:hAnsi="宋体" w:eastAsia="宋体" w:cs="宋体"/>
          <w:color w:val="auto"/>
          <w:kern w:val="2"/>
          <w:sz w:val="21"/>
          <w:szCs w:val="21"/>
        </w:rPr>
        <w:t>施工中使用的原材料、半成品或成品，隐蔽工程以及施工原始资料和记录，均进行一系列的控制与检查，使工程质量符合规定的质量标准</w:t>
      </w:r>
      <w:bookmarkEnd w:id="57"/>
      <w:r>
        <w:rPr>
          <w:rFonts w:hint="eastAsia" w:ascii="宋体" w:hAnsi="宋体" w:eastAsia="宋体" w:cs="宋体"/>
          <w:color w:val="auto"/>
          <w:kern w:val="2"/>
          <w:sz w:val="21"/>
          <w:szCs w:val="21"/>
        </w:rPr>
        <w:t>。在每一章节的施工要求中均对质量标准、质量等级、检验内容和方法等提出了要求。如有未写明之处，应按照国家和交通运输部现行有关规范规定报发包人审核同意后，方可执行。</w:t>
      </w:r>
    </w:p>
    <w:p w14:paraId="2311BC7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3．凡本规范或与本规范有关的其他规范及图纸中未规定的细节，或在涉及到任何条款的细节没有明确的规定时，都应认为指的是需经发包人同意的我国公路工程常规做法，通过审批后，方可执行。</w:t>
      </w:r>
    </w:p>
    <w:p w14:paraId="7046EB6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4．本规范的解释权归滁州市公路管理服务中心，同时保留对本规范修改的权力。</w:t>
      </w:r>
    </w:p>
    <w:p w14:paraId="6CA27A3E">
      <w:pPr>
        <w:spacing w:line="300" w:lineRule="exact"/>
        <w:ind w:firstLine="422"/>
        <w:rPr>
          <w:rFonts w:hint="eastAsia" w:ascii="宋体" w:hAnsi="宋体" w:eastAsia="宋体" w:cs="宋体"/>
          <w:b/>
          <w:szCs w:val="21"/>
        </w:rPr>
      </w:pPr>
      <w:r>
        <w:rPr>
          <w:rFonts w:hint="eastAsia" w:ascii="宋体" w:hAnsi="宋体" w:eastAsia="宋体" w:cs="宋体"/>
          <w:b/>
          <w:szCs w:val="21"/>
        </w:rPr>
        <w:t>1.02 标准与规范</w:t>
      </w:r>
    </w:p>
    <w:p w14:paraId="1938750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1．在工程实施中所采用的材料设备与工艺，应符合本规范引用的其他标准与规范的相应要求。</w:t>
      </w:r>
    </w:p>
    <w:p w14:paraId="7CF3C16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2、本规范引用的国家和安徽省的标准、规范如下：</w:t>
      </w:r>
    </w:p>
    <w:p w14:paraId="098AB8A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（1）《公路养护技术规范》</w:t>
      </w:r>
    </w:p>
    <w:p w14:paraId="477328B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（2）《公路桥涵养护技术规范》</w:t>
      </w:r>
    </w:p>
    <w:p w14:paraId="612C7A15">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（3）《公路沥青路面养护技术规范》</w:t>
      </w:r>
    </w:p>
    <w:p w14:paraId="3D089D2D">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（4）《公路水泥混凝土路面养护技术规范》、</w:t>
      </w:r>
    </w:p>
    <w:p w14:paraId="5745EAB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（5）《公路技术状况评定标准》</w:t>
      </w:r>
    </w:p>
    <w:p w14:paraId="57FFAF1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w:t>
      </w:r>
      <w:r>
        <w:rPr>
          <w:rFonts w:hint="eastAsia" w:ascii="宋体" w:hAnsi="宋体" w:eastAsia="宋体" w:cs="宋体"/>
        </w:rPr>
        <w:fldChar w:fldCharType="begin"/>
      </w:r>
      <w:r>
        <w:rPr>
          <w:rFonts w:hint="eastAsia" w:ascii="宋体" w:hAnsi="宋体" w:eastAsia="宋体" w:cs="宋体"/>
        </w:rPr>
        <w:instrText xml:space="preserve"> HYPERLINK "http://www.baidu.com/link?url=pXsLGJqjJ4zBBpC8yDF8xDhitj_nK6ldDWoCaYsWMMOuQYB6VmdbehZw2DCr9mKRBVXF16SvsF5lPZI-3LnR" \t "_blank" </w:instrText>
      </w:r>
      <w:r>
        <w:rPr>
          <w:rFonts w:hint="eastAsia" w:ascii="宋体" w:hAnsi="宋体" w:eastAsia="宋体" w:cs="宋体"/>
        </w:rPr>
        <w:fldChar w:fldCharType="separate"/>
      </w:r>
      <w:r>
        <w:rPr>
          <w:rFonts w:hint="eastAsia" w:ascii="宋体" w:hAnsi="宋体" w:eastAsia="宋体" w:cs="宋体"/>
          <w:color w:val="auto"/>
          <w:kern w:val="2"/>
          <w:sz w:val="21"/>
          <w:szCs w:val="21"/>
        </w:rPr>
        <w:t>公路桥梁技术状况评定标准》</w:t>
      </w:r>
      <w:r>
        <w:rPr>
          <w:rFonts w:hint="eastAsia" w:ascii="宋体" w:hAnsi="宋体" w:eastAsia="宋体" w:cs="宋体"/>
          <w:color w:val="auto"/>
          <w:kern w:val="2"/>
          <w:sz w:val="21"/>
          <w:szCs w:val="21"/>
        </w:rPr>
        <w:fldChar w:fldCharType="end"/>
      </w:r>
    </w:p>
    <w:p w14:paraId="2AE580D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（7）《公路沥青路面施工技术规范》</w:t>
      </w:r>
    </w:p>
    <w:p w14:paraId="41137CE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（8）《公路水泥混凝土路面施工技术规范》</w:t>
      </w:r>
    </w:p>
    <w:p w14:paraId="7B613D9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（9）《公路桥涵施工技术规范》</w:t>
      </w:r>
    </w:p>
    <w:p w14:paraId="0D44871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（10）《公路交通安全设施施工技术规范》</w:t>
      </w:r>
    </w:p>
    <w:p w14:paraId="650D802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（11）《公路工程施工安全技术规程》</w:t>
      </w:r>
    </w:p>
    <w:p w14:paraId="0E3E5CF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（12）《公路工程质量检验评定标准》</w:t>
      </w:r>
    </w:p>
    <w:p w14:paraId="7137CC3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（13）《道路交通标志和标线》</w:t>
      </w:r>
    </w:p>
    <w:p w14:paraId="00E6C60D">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（14）《公路交通标志和标线设置规范》</w:t>
      </w:r>
    </w:p>
    <w:p w14:paraId="4858399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（15）《公路交通安全设施设计规范》</w:t>
      </w:r>
    </w:p>
    <w:p w14:paraId="74EFF91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（16）《公路养护安全作业规程》</w:t>
      </w:r>
    </w:p>
    <w:p w14:paraId="2DA011A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（17）其它国家规范与标准</w:t>
      </w:r>
    </w:p>
    <w:p w14:paraId="7857304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3．在工程实施过程中，所引用的标准或规范如果有修改或新颁，应由发包人决定是否用新标准或规范，承包人应按发包人的决定执行。采用新标准、规范所增加的费用由发包人承担。</w:t>
      </w:r>
    </w:p>
    <w:p w14:paraId="60B9C63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对于工程所采用的标准或规范的任何部分，当承包人认为改用其他标准或规范，能够保证工程达到更高质量时，承包人应在15天前报经发包人审批后，方可采用，否则，承包人应严格执行本规范。但这种审批，应不免除承包人根据合同条款规定的任何责任。</w:t>
      </w:r>
    </w:p>
    <w:p w14:paraId="3D8B43A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w:t>
      </w:r>
      <w:bookmarkStart w:id="58" w:name="_Hlk101380915"/>
      <w:r>
        <w:rPr>
          <w:rFonts w:hint="eastAsia" w:ascii="宋体" w:hAnsi="宋体" w:eastAsia="宋体" w:cs="宋体"/>
          <w:color w:val="auto"/>
          <w:kern w:val="2"/>
          <w:sz w:val="21"/>
          <w:szCs w:val="21"/>
        </w:rPr>
        <w:t>当适用于工程的几种标准与规范出现意义不明或不一致时，应由发包人作出解释和校正，并就此向承包人发出指令。除非本规范另有规定，在引用的标准或规范发生分歧时，应按以下顺序优先考虑：</w:t>
      </w:r>
    </w:p>
    <w:p w14:paraId="48FF0B9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a.本规范</w:t>
      </w:r>
    </w:p>
    <w:p w14:paraId="1436AFE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b.中华人民共和国国家标准</w:t>
      </w:r>
    </w:p>
    <w:p w14:paraId="4562B5C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c.有关部门标准与规范</w:t>
      </w:r>
    </w:p>
    <w:bookmarkEnd w:id="58"/>
    <w:p w14:paraId="2911E159">
      <w:pPr>
        <w:spacing w:line="300" w:lineRule="exact"/>
        <w:ind w:firstLine="422"/>
        <w:rPr>
          <w:rFonts w:hint="eastAsia" w:ascii="宋体" w:hAnsi="宋体" w:eastAsia="宋体" w:cs="宋体"/>
          <w:b/>
          <w:szCs w:val="21"/>
        </w:rPr>
      </w:pPr>
      <w:r>
        <w:rPr>
          <w:rFonts w:hint="eastAsia" w:ascii="宋体" w:hAnsi="宋体" w:eastAsia="宋体" w:cs="宋体"/>
          <w:b/>
          <w:szCs w:val="21"/>
        </w:rPr>
        <w:t>1.03  税金和保险</w:t>
      </w:r>
    </w:p>
    <w:p w14:paraId="6876C5A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1.承包人应根据中华人民共和国税法的规定和地方政府的规定缴纳有关税费。</w:t>
      </w:r>
    </w:p>
    <w:p w14:paraId="762D103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2.承包人应按照合同条款要求办理保险，包括建筑工程一切险、第三者责任保险和安全施工责任险。承包人装备险和承包人职工的（人身）事故险由承包人自行投保。第三方责任险的最低投保金额: 100万元人民币，事故次数不限。</w:t>
      </w:r>
    </w:p>
    <w:p w14:paraId="31BB2A3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3.承包人应按照合同条款要求为其履行合同所雇用的全部人员缴纳工伤保险费，在整个施工期间为其现场机构雇用的全部人员投保人身意外伤害险，并为其施工设备办理保险，上述费用由承包人负担。</w:t>
      </w:r>
    </w:p>
    <w:p w14:paraId="52D6562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4.所有保单将做为第一次计量支付的必备附件，若承包人在第一次计量前未按要求办理工程一切险、第三方责任险，业主将代为办理，并从承包人计量款中扣除此项费用，承包人不得有任何异议。</w:t>
      </w:r>
    </w:p>
    <w:p w14:paraId="7BB64679">
      <w:pPr>
        <w:spacing w:line="300" w:lineRule="exact"/>
        <w:ind w:firstLine="422"/>
        <w:rPr>
          <w:rFonts w:hint="eastAsia" w:ascii="宋体" w:hAnsi="宋体" w:eastAsia="宋体" w:cs="宋体"/>
          <w:b/>
          <w:szCs w:val="21"/>
        </w:rPr>
      </w:pPr>
      <w:r>
        <w:rPr>
          <w:rFonts w:hint="eastAsia" w:ascii="宋体" w:hAnsi="宋体" w:eastAsia="宋体" w:cs="宋体"/>
          <w:b/>
          <w:szCs w:val="21"/>
        </w:rPr>
        <w:t>1.04 计量与支付</w:t>
      </w:r>
    </w:p>
    <w:p w14:paraId="360106E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1．计量</w:t>
      </w:r>
    </w:p>
    <w:p w14:paraId="3B9131B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(1)承包人按合同条款办理的建筑工程一切险和第三者责任保险，按总额计量。</w:t>
      </w:r>
    </w:p>
    <w:p w14:paraId="28BDC95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(2)承包人应缴纳的所有税金、安全施工责任险、工伤事故险保险费和人身意外伤害险保险费以及施工设备险保险费，已摊入各工程量清单相关工程子目的综合单价之中，不单独计量。</w:t>
      </w:r>
    </w:p>
    <w:p w14:paraId="26FF501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2．支付</w:t>
      </w:r>
    </w:p>
    <w:p w14:paraId="0C2BB99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合同条款中规定的建筑工程一切险和第三者责任保险的保险费，将根据保险公司的保单经发包人签证后以总额的形式支付。该费用包干使用，不随项目建安费的变更而变化。</w:t>
      </w:r>
    </w:p>
    <w:p w14:paraId="4F59CEE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3．支付子目</w:t>
      </w:r>
    </w:p>
    <w:p w14:paraId="60C885FB">
      <w:pPr>
        <w:pStyle w:val="121"/>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详见工程量清单。</w:t>
      </w:r>
    </w:p>
    <w:p w14:paraId="34EDE79A">
      <w:pPr>
        <w:spacing w:line="460" w:lineRule="exact"/>
        <w:ind w:firstLine="600"/>
        <w:rPr>
          <w:rFonts w:hint="eastAsia" w:ascii="宋体" w:hAnsi="宋体" w:eastAsia="宋体" w:cs="宋体"/>
          <w:sz w:val="30"/>
          <w:szCs w:val="30"/>
        </w:rPr>
      </w:pPr>
    </w:p>
    <w:p w14:paraId="20E0DE53">
      <w:pPr>
        <w:spacing w:line="300" w:lineRule="exact"/>
        <w:ind w:firstLine="560"/>
        <w:jc w:val="center"/>
        <w:rPr>
          <w:rFonts w:hint="eastAsia" w:ascii="宋体" w:hAnsi="宋体" w:eastAsia="宋体" w:cs="宋体"/>
          <w:b/>
          <w:bCs/>
          <w:sz w:val="28"/>
          <w:szCs w:val="28"/>
        </w:rPr>
      </w:pPr>
      <w:bookmarkStart w:id="59" w:name="_Toc342480066"/>
      <w:bookmarkStart w:id="60" w:name="_Toc343985582"/>
      <w:bookmarkStart w:id="61" w:name="_Toc38211469"/>
      <w:bookmarkStart w:id="62" w:name="_Toc38211605"/>
      <w:bookmarkStart w:id="63" w:name="_Toc343033827"/>
      <w:r>
        <w:rPr>
          <w:rFonts w:hint="eastAsia" w:ascii="宋体" w:hAnsi="宋体" w:eastAsia="宋体" w:cs="宋体"/>
          <w:b/>
          <w:bCs/>
          <w:sz w:val="28"/>
          <w:szCs w:val="28"/>
        </w:rPr>
        <w:t>第2节 工程管理</w:t>
      </w:r>
      <w:bookmarkEnd w:id="59"/>
      <w:bookmarkEnd w:id="60"/>
      <w:bookmarkEnd w:id="61"/>
      <w:bookmarkEnd w:id="62"/>
      <w:bookmarkEnd w:id="63"/>
    </w:p>
    <w:p w14:paraId="2C23DC07">
      <w:pPr>
        <w:spacing w:line="300" w:lineRule="exact"/>
        <w:ind w:firstLine="422"/>
        <w:rPr>
          <w:rFonts w:hint="eastAsia" w:ascii="宋体" w:hAnsi="宋体" w:eastAsia="宋体" w:cs="宋体"/>
          <w:b/>
          <w:szCs w:val="21"/>
        </w:rPr>
      </w:pPr>
      <w:r>
        <w:rPr>
          <w:rFonts w:hint="eastAsia" w:ascii="宋体" w:hAnsi="宋体" w:eastAsia="宋体" w:cs="宋体"/>
          <w:b/>
          <w:szCs w:val="21"/>
        </w:rPr>
        <w:t xml:space="preserve">2.01 工程规范化管理一般要求 </w:t>
      </w:r>
    </w:p>
    <w:p w14:paraId="6FD1129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应建立健全项目管理机构，明确项目管理人员职责，建立项目内部各种责任制；编制项目工作计划；制订完善符合养护现场的各类管理文件、规定及工作程序等制度；根据工程特点合理配置项目各类资源，确定养护施工流程、工艺及方法；编制或有特殊规定要求的专项方案。</w:t>
      </w:r>
    </w:p>
    <w:p w14:paraId="42CCC36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对合同规定内的公路及其附属设施进行经常性、及时性、周期性和预防性的小修保养，保证其正常使用功能。承包人还应储备适当的人员和物资，随时会同或协助发包人、交警、交通运输综合执法等部门，迅速排除交通事故、突发事件、自然灾害造成的交通阻塞或障碍，及时修复由此或其它原因造成的公路损坏、设施破损，减少其对交通的影响或损失。</w:t>
      </w:r>
    </w:p>
    <w:p w14:paraId="37AD048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3.养护施工过程中不得破坏、损伤、污染其它公路设施，根据业主、监理的指令对公路相关环保设施进行修复。</w:t>
      </w:r>
    </w:p>
    <w:p w14:paraId="01120C4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4.为保证路容路貌整洁美观的统一性，保持良好的车辆通行能力，加强路况巡查，发现路况问题，及时提出解决方案，报业主（或其委托人）同意后实施，施工中必须严格加强小修养护的时效性控制。</w:t>
      </w:r>
    </w:p>
    <w:p w14:paraId="37EA0DE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对于未明确时效性的工程项目应按照业主工作指令中的具体要求执行。</w:t>
      </w:r>
    </w:p>
    <w:p w14:paraId="13F9598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5.除不可抗拒的自然灾害外，在任何情况下应保持公路正常运营。</w:t>
      </w:r>
    </w:p>
    <w:p w14:paraId="23A0AA1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在公路上和公路用地范围内，作业人员必须着标志服，夜间为反光标志服，作业机械要有醒目的安全标识或隔离警示设施，并配合做好施工车辆进出作业区的指挥及设施的管理工作。施工作业区域必须与道路通行区域严格分离。</w:t>
      </w:r>
    </w:p>
    <w:p w14:paraId="2A75314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7.施工单位应按有关规范和要求设置安全标志，以保证本工程和车辆及行人安全。</w:t>
      </w:r>
    </w:p>
    <w:p w14:paraId="5B32CB2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对可能影响到现有公路行车安全、畅通的工程施工，承包人除事先要取得业主、交警、交通运输综合执法及其他有关部门的批准外，为了使车辆顺利通过作业路段，应按《道路交通标志和标线》（GB5768.4-2017）的规定，设置有关标志，建立相应的交通管理组织，确保工程施工和安全、畅通。</w:t>
      </w:r>
    </w:p>
    <w:p w14:paraId="295448F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9.施工作业路段交通运行安全和施工安全应有专人管理,并应积极配合做好交通安全事故抢险救援、交通疏通等工作。</w:t>
      </w:r>
    </w:p>
    <w:p w14:paraId="7CC12504">
      <w:pPr>
        <w:spacing w:line="300" w:lineRule="exact"/>
        <w:ind w:firstLine="422"/>
        <w:rPr>
          <w:rFonts w:hint="eastAsia" w:ascii="宋体" w:hAnsi="宋体" w:eastAsia="宋体" w:cs="宋体"/>
          <w:b/>
          <w:szCs w:val="21"/>
        </w:rPr>
      </w:pPr>
      <w:r>
        <w:rPr>
          <w:rFonts w:hint="eastAsia" w:ascii="宋体" w:hAnsi="宋体" w:eastAsia="宋体" w:cs="宋体"/>
          <w:b/>
          <w:szCs w:val="21"/>
        </w:rPr>
        <w:t>2.02人员</w:t>
      </w:r>
    </w:p>
    <w:p w14:paraId="02AA982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1．承包人应按响应文件委派建造师（项目经理）和其他主要管理人员，保证其及时到位并常驻现场进行对本合同工程的管理，并保持其岗位的相对稳定。</w:t>
      </w:r>
    </w:p>
    <w:p w14:paraId="4876B9A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2．承包人应加强现场养护人员的岗位和工序教育，加强质量、安全知识及其它应知应会知识的岗位培训，严格执行养护作业规范和操作规程，做到人人重视质量、人人重视安全，做到科学管理、文明养护。 </w:t>
      </w:r>
    </w:p>
    <w:p w14:paraId="1E74F33F">
      <w:pPr>
        <w:spacing w:line="300" w:lineRule="exact"/>
        <w:ind w:firstLine="422"/>
        <w:rPr>
          <w:rFonts w:hint="eastAsia" w:ascii="宋体" w:hAnsi="宋体" w:eastAsia="宋体" w:cs="宋体"/>
          <w:b/>
          <w:szCs w:val="21"/>
        </w:rPr>
      </w:pPr>
      <w:r>
        <w:rPr>
          <w:rFonts w:hint="eastAsia" w:ascii="宋体" w:hAnsi="宋体" w:eastAsia="宋体" w:cs="宋体"/>
          <w:b/>
          <w:szCs w:val="21"/>
        </w:rPr>
        <w:t>2.03养护记录与档案资料</w:t>
      </w:r>
    </w:p>
    <w:p w14:paraId="51623EC1">
      <w:pPr>
        <w:pStyle w:val="121"/>
        <w:ind w:firstLine="420" w:firstLineChars="200"/>
        <w:rPr>
          <w:rFonts w:hint="eastAsia" w:ascii="宋体" w:hAnsi="宋体" w:eastAsia="宋体" w:cs="宋体"/>
          <w:color w:val="auto"/>
          <w:kern w:val="2"/>
          <w:sz w:val="21"/>
          <w:szCs w:val="21"/>
        </w:rPr>
      </w:pPr>
      <w:bookmarkStart w:id="64" w:name="_Toc343033828"/>
      <w:bookmarkStart w:id="65" w:name="_Toc343985583"/>
      <w:r>
        <w:rPr>
          <w:rFonts w:hint="eastAsia" w:ascii="宋体" w:hAnsi="宋体" w:eastAsia="宋体" w:cs="宋体"/>
          <w:color w:val="auto"/>
          <w:kern w:val="2"/>
          <w:sz w:val="21"/>
          <w:szCs w:val="21"/>
        </w:rPr>
        <w:t>1.承包人应与养护承包进程同步形成、积累、整理及保管所有养护记录。现场质量检查、质量验收资料必须齐全，各种原始资料必须真实、准确、可靠。</w:t>
      </w:r>
    </w:p>
    <w:p w14:paraId="66D323D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2.承包人应搜集、掌握、下列信息： </w:t>
      </w:r>
    </w:p>
    <w:p w14:paraId="16B20E7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①路况信息：包括静态信息和动态信息。静态信息指养护管理系统静态库的信息。动态信息指现有的路况信息。</w:t>
      </w:r>
    </w:p>
    <w:p w14:paraId="61908B0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②气象信息：有关雨、雪、雾、风、冰冻等信息。 </w:t>
      </w:r>
    </w:p>
    <w:p w14:paraId="0CBC28A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⑶承包人应掌握和上报的资料： </w:t>
      </w:r>
    </w:p>
    <w:p w14:paraId="2162A22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①承包人应在施工过程中收集、建立路况及养护工作台帐，格式应按公路行业管理部门或发包人规定的格式进行，并按时上报各类由公路行业管理部门或发包人规定的报表。 </w:t>
      </w:r>
    </w:p>
    <w:p w14:paraId="7CE8430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 xml:space="preserve">②承包人应努力提高管理水平，配合做好发包人做好相关基础资料收集和新技术、新成果的转化应用工作。 </w:t>
      </w:r>
    </w:p>
    <w:p w14:paraId="78C8224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⑷承包人须按相关规定编制档案资料，并在每年度结算前28天提交发包人审查。</w:t>
      </w:r>
    </w:p>
    <w:p w14:paraId="1B2C36B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3.地方关系的协调</w:t>
      </w:r>
    </w:p>
    <w:p w14:paraId="0371513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承包人在工程实施过程中，有主动协调与地方关系的责任和义务，否则由此而造成的工期延误和经济损失，除合同另有规定外，应由承包人负责。</w:t>
      </w:r>
    </w:p>
    <w:p w14:paraId="7F9706C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4.值班制度</w:t>
      </w:r>
    </w:p>
    <w:p w14:paraId="0BC869D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承包人应按照发包人的要求建立完善值班制度，并报发包人确认和备案，确保值班人员24小时在岗和通讯畅通，能够处理值班期间日常的事务和各项应急（抢险）事件。</w:t>
      </w:r>
    </w:p>
    <w:p w14:paraId="16BD6828">
      <w:pPr>
        <w:spacing w:line="300" w:lineRule="exact"/>
        <w:jc w:val="center"/>
        <w:rPr>
          <w:rFonts w:hint="eastAsia" w:ascii="宋体" w:hAnsi="宋体" w:eastAsia="宋体" w:cs="宋体"/>
          <w:b/>
          <w:sz w:val="32"/>
          <w:szCs w:val="32"/>
        </w:rPr>
      </w:pPr>
    </w:p>
    <w:p w14:paraId="1CB785B3">
      <w:pPr>
        <w:spacing w:line="300" w:lineRule="exact"/>
        <w:ind w:firstLine="560"/>
        <w:jc w:val="center"/>
        <w:rPr>
          <w:rFonts w:hint="eastAsia" w:ascii="宋体" w:hAnsi="宋体" w:eastAsia="宋体" w:cs="宋体"/>
          <w:b/>
          <w:sz w:val="32"/>
          <w:szCs w:val="32"/>
        </w:rPr>
      </w:pPr>
      <w:r>
        <w:rPr>
          <w:rFonts w:hint="eastAsia" w:ascii="宋体" w:hAnsi="宋体" w:eastAsia="宋体" w:cs="宋体"/>
          <w:b/>
          <w:bCs/>
          <w:sz w:val="28"/>
          <w:szCs w:val="28"/>
        </w:rPr>
        <w:t>第3节  环境保护与文明施工</w:t>
      </w:r>
    </w:p>
    <w:bookmarkEnd w:id="64"/>
    <w:bookmarkEnd w:id="65"/>
    <w:p w14:paraId="4C4F3F3A">
      <w:pPr>
        <w:spacing w:line="300" w:lineRule="exact"/>
        <w:ind w:firstLine="422"/>
        <w:rPr>
          <w:rFonts w:hint="eastAsia" w:ascii="宋体" w:hAnsi="宋体" w:eastAsia="宋体" w:cs="宋体"/>
          <w:b/>
          <w:szCs w:val="21"/>
        </w:rPr>
      </w:pPr>
      <w:bookmarkStart w:id="66" w:name="_Toc343033829"/>
      <w:bookmarkStart w:id="67" w:name="_Toc343985584"/>
      <w:r>
        <w:rPr>
          <w:rFonts w:hint="eastAsia" w:ascii="宋体" w:hAnsi="宋体" w:eastAsia="宋体" w:cs="宋体"/>
          <w:b/>
          <w:szCs w:val="21"/>
        </w:rPr>
        <w:t>3.1 一般要求</w:t>
      </w:r>
    </w:p>
    <w:p w14:paraId="6E8234A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在工程施工中，应严格遵守国家环境保护部门及本规范的有关规定。承包人有责任采取有效措施以预防和消除因施工造成的环境污染，对工程范围以外的土地及植被应注意保护，并应保证发包人避免由于环境污染而承担的索赔或罚款。</w:t>
      </w:r>
    </w:p>
    <w:p w14:paraId="7C12FBA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2.承包人生产、生活设施应符合环保要求，并接受当地政府及有关部门的监督。</w:t>
      </w:r>
    </w:p>
    <w:p w14:paraId="01BEAE4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3.承包人应在施工期间加强环保意识，保持工地清洁，控制扬尘，杜绝漏洒材料。由于扬尘、排污、噪声、材料漏失等对周围居民和环境造成的损失应由承包人自负。</w:t>
      </w:r>
    </w:p>
    <w:p w14:paraId="72549E8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4.工程施工必须做到兼顾生态保护和环境保护的原则，做到工程施工、生态保护、环境保护同步协调，避免出现施工后再治理、再补救、破坏生态环境现象。</w:t>
      </w:r>
    </w:p>
    <w:p w14:paraId="78FC116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 路面铣刨后产生的废渣应合理回收，严禁随意丢弃，必须满足环保、水保的要求。</w:t>
      </w:r>
    </w:p>
    <w:p w14:paraId="3B1441B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6．承包人应建立环境保护管理体系，树立环保意识，积极保护环境，应自觉保持道路清洁，开放交通前应全面清理施工现场，并不得将生活和建筑垃圾滞留在路面上或抛洒在公路范围内。</w:t>
      </w:r>
    </w:p>
    <w:p w14:paraId="6C6B3D56">
      <w:pPr>
        <w:pStyle w:val="121"/>
        <w:ind w:firstLine="422" w:firstLineChars="200"/>
        <w:rPr>
          <w:rFonts w:hint="eastAsia" w:ascii="宋体" w:hAnsi="宋体" w:eastAsia="宋体" w:cs="宋体"/>
          <w:b/>
          <w:color w:val="auto"/>
          <w:kern w:val="2"/>
          <w:sz w:val="21"/>
          <w:szCs w:val="21"/>
        </w:rPr>
      </w:pPr>
      <w:r>
        <w:rPr>
          <w:rFonts w:hint="eastAsia" w:ascii="宋体" w:hAnsi="宋体" w:eastAsia="宋体" w:cs="宋体"/>
          <w:b/>
          <w:color w:val="auto"/>
          <w:kern w:val="2"/>
          <w:sz w:val="21"/>
          <w:szCs w:val="21"/>
        </w:rPr>
        <w:t>3.2 防止和减轻水、大气受污染</w:t>
      </w:r>
    </w:p>
    <w:p w14:paraId="0F4CE92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1.保护水质</w:t>
      </w:r>
    </w:p>
    <w:p w14:paraId="3E73AB7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a.施工废水、生活污水不得直接排入农田、耕地、灌溉渠和水库，严禁排入饮用水源地。</w:t>
      </w:r>
    </w:p>
    <w:p w14:paraId="78C6E3E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b.施工机械应防止严重漏油，禁止机械在运转中产生的油污水未经处理就直接排放，或维修施工机械时油污水直接排放。</w:t>
      </w:r>
    </w:p>
    <w:p w14:paraId="08D6E79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c.承包人应将施工及生活中产生的污水或废水，集中处理，经检验符合环保标准后，才能排放到指定位置。承包人不得将含有污染物质或可见悬浮物质的水，排入河流、水道或灌溉系统中。承包人的排水不得增加河流或水道中的悬浮物或造成河道冲刷、水流污染。</w:t>
      </w:r>
    </w:p>
    <w:p w14:paraId="2D5B524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2.控制扬尘</w:t>
      </w:r>
    </w:p>
    <w:p w14:paraId="3D10DA2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a.为减少公路养护工程施工作业产生的灰尘，在养护作业区域内应随时进行洒水或采取吸尘等其他抑尘措施，确保不出现明显的扬尘。</w:t>
      </w:r>
    </w:p>
    <w:p w14:paraId="3991045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b.易于引起粉尘的细料或松散料应予遮盖或适当洒水润湿；运输时，应用帆布、盖套及类似遮盖物覆盖。</w:t>
      </w:r>
    </w:p>
    <w:p w14:paraId="483067C6">
      <w:pPr>
        <w:spacing w:line="300" w:lineRule="exact"/>
        <w:ind w:firstLine="422"/>
        <w:rPr>
          <w:rFonts w:hint="eastAsia" w:ascii="宋体" w:hAnsi="宋体" w:eastAsia="宋体" w:cs="宋体"/>
          <w:b/>
          <w:szCs w:val="21"/>
        </w:rPr>
      </w:pPr>
      <w:r>
        <w:rPr>
          <w:rFonts w:hint="eastAsia" w:ascii="宋体" w:hAnsi="宋体" w:eastAsia="宋体" w:cs="宋体"/>
          <w:b/>
          <w:szCs w:val="21"/>
        </w:rPr>
        <w:t>3.3 现有公用设施的保护</w:t>
      </w:r>
    </w:p>
    <w:p w14:paraId="1AC616E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1.对于受本工程影响或正在受影响的一切公用设施与结构物，承包人应在本工程施工期间采取一切适当措施加以保护。</w:t>
      </w:r>
    </w:p>
    <w:p w14:paraId="665F6A9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2.靠近公用设施的开挖作业，承包人应通知有关部门，并邀请有关部门代表在施工时到场。承包人应将上述通知与邀请的副本提交监理人备查。</w:t>
      </w:r>
    </w:p>
    <w:bookmarkEnd w:id="66"/>
    <w:bookmarkEnd w:id="67"/>
    <w:p w14:paraId="766713DF">
      <w:pPr>
        <w:spacing w:line="300" w:lineRule="exact"/>
        <w:ind w:firstLine="422"/>
        <w:rPr>
          <w:rFonts w:hint="eastAsia" w:ascii="宋体" w:hAnsi="宋体" w:eastAsia="宋体" w:cs="宋体"/>
          <w:b/>
          <w:szCs w:val="21"/>
        </w:rPr>
      </w:pPr>
      <w:r>
        <w:rPr>
          <w:rFonts w:hint="eastAsia" w:ascii="宋体" w:hAnsi="宋体" w:eastAsia="宋体" w:cs="宋体"/>
          <w:b/>
          <w:szCs w:val="21"/>
        </w:rPr>
        <w:t>3.4  计量与支付</w:t>
      </w:r>
    </w:p>
    <w:p w14:paraId="36878F4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合同清单中施工环保费总价包干。主要用于环境保护及文明施工措施费、垃圾处理费。承包人应认真按要求履行环境保护与文明施工职责，完成各项工作，经验收合格后，每年按季度等额支付，即在每季度末计量申请支付该项总额价的25%。</w:t>
      </w:r>
    </w:p>
    <w:p w14:paraId="0C19BBC6">
      <w:pPr>
        <w:autoSpaceDE w:val="0"/>
        <w:autoSpaceDN w:val="0"/>
        <w:adjustRightInd w:val="0"/>
        <w:snapToGrid w:val="0"/>
        <w:spacing w:line="300" w:lineRule="exact"/>
        <w:ind w:firstLine="442"/>
        <w:rPr>
          <w:rFonts w:hint="eastAsia" w:ascii="宋体" w:hAnsi="宋体" w:eastAsia="宋体" w:cs="宋体"/>
          <w:szCs w:val="21"/>
        </w:rPr>
      </w:pPr>
      <w:r>
        <w:rPr>
          <w:rFonts w:hint="eastAsia" w:ascii="宋体" w:hAnsi="宋体" w:eastAsia="宋体" w:cs="宋体"/>
          <w:szCs w:val="21"/>
        </w:rPr>
        <w:t>2.支付子目</w:t>
      </w:r>
    </w:p>
    <w:p w14:paraId="73DECD58">
      <w:pPr>
        <w:pStyle w:val="121"/>
        <w:spacing w:line="360" w:lineRule="auto"/>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详见工程量清单。</w:t>
      </w:r>
    </w:p>
    <w:p w14:paraId="2DEC719E">
      <w:pPr>
        <w:spacing w:line="460" w:lineRule="exact"/>
        <w:ind w:left="562" w:firstLine="562"/>
        <w:rPr>
          <w:rFonts w:hint="eastAsia" w:ascii="宋体" w:hAnsi="宋体" w:eastAsia="宋体" w:cs="宋体"/>
          <w:b/>
          <w:sz w:val="28"/>
          <w:szCs w:val="28"/>
          <w:shd w:val="pct10" w:color="auto" w:fill="FFFFFF"/>
        </w:rPr>
      </w:pPr>
    </w:p>
    <w:p w14:paraId="36F1AA08">
      <w:pPr>
        <w:spacing w:line="300" w:lineRule="exact"/>
        <w:ind w:firstLine="560"/>
        <w:jc w:val="center"/>
        <w:rPr>
          <w:rFonts w:hint="eastAsia" w:ascii="宋体" w:hAnsi="宋体" w:eastAsia="宋体" w:cs="宋体"/>
          <w:b/>
          <w:bCs/>
          <w:sz w:val="28"/>
          <w:szCs w:val="28"/>
        </w:rPr>
      </w:pPr>
      <w:r>
        <w:rPr>
          <w:rFonts w:hint="eastAsia" w:ascii="宋体" w:hAnsi="宋体" w:eastAsia="宋体" w:cs="宋体"/>
          <w:b/>
          <w:bCs/>
          <w:sz w:val="28"/>
          <w:szCs w:val="28"/>
        </w:rPr>
        <w:t>第4节 承包人安全生产</w:t>
      </w:r>
    </w:p>
    <w:p w14:paraId="4E96A2CB">
      <w:pPr>
        <w:spacing w:line="300" w:lineRule="exact"/>
        <w:ind w:firstLine="422"/>
        <w:rPr>
          <w:rFonts w:hint="eastAsia" w:ascii="宋体" w:hAnsi="宋体" w:eastAsia="宋体" w:cs="宋体"/>
          <w:b/>
          <w:szCs w:val="21"/>
        </w:rPr>
      </w:pPr>
      <w:r>
        <w:rPr>
          <w:rFonts w:hint="eastAsia" w:ascii="宋体" w:hAnsi="宋体" w:eastAsia="宋体" w:cs="宋体"/>
          <w:b/>
          <w:szCs w:val="21"/>
        </w:rPr>
        <w:t>4.01一般要求</w:t>
      </w:r>
    </w:p>
    <w:p w14:paraId="681CF7B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承包人遵守《中华人民共和国安全生产法》的同时，在工程实施全过程中还应执行交通部《公路水运工程安全生产监督管理办法》（中华人民共和国交通运输部令2017年第25号）、《公路养护安全作业规程》、《道路交通标志和标线》（GB5768.4-2017）及有关指导安全、健康与环保卫生方面的法规和规范。</w:t>
      </w:r>
    </w:p>
    <w:p w14:paraId="45F97145">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1、公路路面作业应按作业控制区交通控制标准设置相关的警示标志，并指派专人负责维持交通。</w:t>
      </w:r>
    </w:p>
    <w:p w14:paraId="6A7CDEE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2、作业人员应在控制区内作业和活动，机械或材料不得堆放于控制区外。</w:t>
      </w:r>
    </w:p>
    <w:p w14:paraId="26628C2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3、作业控制区由警告区、上游过渡区、缓冲区、工作区、下游过渡区和终止区组成。作业控制区的布置位置和长度应符合公路养护作业规程，保证公路作业人员、设备和过往车辆的安全。</w:t>
      </w:r>
    </w:p>
    <w:p w14:paraId="2D78D4A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4、作业安全设施的设置与撤除应遵守以下程序：当进行施工作业时，应顺着交通流方向设置安全设施；当作业完成后，应逆着交通流方向撤除为维修作业而设置的有关安全设施，恢复正常交通。</w:t>
      </w:r>
    </w:p>
    <w:p w14:paraId="6AA0945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5、在工程施工需要车辆改道通行时，根据工程需要承包人应设置适当的照明、警告信号和标志牌等交通安全设施，还应采取措施保护本工程的安全和车辆通行的安全。</w:t>
      </w:r>
    </w:p>
    <w:p w14:paraId="507D205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6、当车流量较大时，应采取限速、导流等措施，并设置专人指挥交通。交通指挥人员和上路作业人员应按规定穿着安全反光背心或反光标志服。</w:t>
      </w:r>
    </w:p>
    <w:p w14:paraId="018F27B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施工中用于疏导交通的交通锥、防撞桶、水马、防撞墙、隔离墩、路栏、警示灯等安全设施用齐备，对于施工所需的临时封路标志牌、标志桶等设施，严格按照《道路交通标志和标线》（GB5768.4-2017）的要求，摆放临时施工标志标牌、夜间警示灯、互栅、警告标牌灯安全防护设施，并严格服从交警和交通运输综合执法部门的管理。</w:t>
      </w:r>
    </w:p>
    <w:p w14:paraId="76E4428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8、特殊条件下的维修作业应符合下列要求：</w:t>
      </w:r>
    </w:p>
    <w:p w14:paraId="030A989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（1）冬季维修作业时应采取保温防冻等安全防护措施，除雪除冰作业时应加强交通管制，并对作业人员、作业机械加强防滑措施。</w:t>
      </w:r>
    </w:p>
    <w:p w14:paraId="39E438B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（2）大雾天不宜进行维修作业，当必须进行抢修作业时，应采取封闭交通，并在安全设施上设置黄色施工警告灯号等安全设施。</w:t>
      </w:r>
    </w:p>
    <w:p w14:paraId="33726CA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（3）夜间维修作业，现场必须设置符合操作要求的照明设备。</w:t>
      </w:r>
    </w:p>
    <w:p w14:paraId="42EC4483">
      <w:pPr>
        <w:spacing w:line="300" w:lineRule="exact"/>
        <w:ind w:firstLine="422"/>
        <w:rPr>
          <w:rFonts w:hint="eastAsia" w:ascii="宋体" w:hAnsi="宋体" w:eastAsia="宋体" w:cs="宋体"/>
          <w:b/>
          <w:szCs w:val="21"/>
        </w:rPr>
      </w:pPr>
      <w:r>
        <w:rPr>
          <w:rFonts w:hint="eastAsia" w:ascii="宋体" w:hAnsi="宋体" w:eastAsia="宋体" w:cs="宋体"/>
          <w:b/>
          <w:szCs w:val="21"/>
        </w:rPr>
        <w:t>4.02  安全员</w:t>
      </w:r>
    </w:p>
    <w:p w14:paraId="368F501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本工程施工期间，承包人应在现场常设一名专职安全员，该专职安全员应具有做安全工作的资格，且熟悉所施工的工作类型。其工作任务，包括制定健康保护与事故预防措施和个人检查，查看所有安全规则与条例的实施情况。</w:t>
      </w:r>
    </w:p>
    <w:p w14:paraId="6117793C">
      <w:pPr>
        <w:spacing w:line="300" w:lineRule="exact"/>
        <w:ind w:firstLine="422"/>
        <w:rPr>
          <w:rFonts w:hint="eastAsia" w:ascii="宋体" w:hAnsi="宋体" w:eastAsia="宋体" w:cs="宋体"/>
          <w:b/>
          <w:szCs w:val="21"/>
        </w:rPr>
      </w:pPr>
      <w:r>
        <w:rPr>
          <w:rFonts w:hint="eastAsia" w:ascii="宋体" w:hAnsi="宋体" w:eastAsia="宋体" w:cs="宋体"/>
          <w:b/>
          <w:szCs w:val="21"/>
        </w:rPr>
        <w:t>4.03  安全标志</w:t>
      </w:r>
    </w:p>
    <w:p w14:paraId="36872D3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1.本项目交通安全标志等设施应配备充足，以满足施工进度和安全要求。</w:t>
      </w:r>
    </w:p>
    <w:p w14:paraId="72E25CA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2.承包人应在本工程现场周围配备、必要的警示标志牌，以为其雇员和公众提供安全和方便。</w:t>
      </w:r>
    </w:p>
    <w:p w14:paraId="637E43D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3.标志牌应包括：</w:t>
      </w:r>
    </w:p>
    <w:p w14:paraId="7B5471F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（1）警告与危险标志；</w:t>
      </w:r>
    </w:p>
    <w:p w14:paraId="361F112F">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（2）安全与控制标志；</w:t>
      </w:r>
    </w:p>
    <w:p w14:paraId="0880F28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（3）指路标志与标准的道路标志；</w:t>
      </w:r>
    </w:p>
    <w:p w14:paraId="6EA5E5D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（4）限速标志和线形诱导标志；</w:t>
      </w:r>
    </w:p>
    <w:p w14:paraId="172CD85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（5）锥形交通路标和防撞桶；</w:t>
      </w:r>
    </w:p>
    <w:p w14:paraId="46CFF5C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（6）施工警告灯和夜间照明设施。</w:t>
      </w:r>
    </w:p>
    <w:p w14:paraId="6FE03DD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4.所有标志的尺寸、颜色、文字与架设地点，均应符合规范要求。</w:t>
      </w:r>
    </w:p>
    <w:p w14:paraId="2B3889BA">
      <w:pPr>
        <w:spacing w:line="300" w:lineRule="exact"/>
        <w:ind w:firstLine="422"/>
        <w:rPr>
          <w:rFonts w:hint="eastAsia" w:ascii="宋体" w:hAnsi="宋体" w:eastAsia="宋体" w:cs="宋体"/>
          <w:b/>
          <w:szCs w:val="21"/>
        </w:rPr>
      </w:pPr>
      <w:r>
        <w:rPr>
          <w:rFonts w:hint="eastAsia" w:ascii="宋体" w:hAnsi="宋体" w:eastAsia="宋体" w:cs="宋体"/>
          <w:b/>
          <w:szCs w:val="21"/>
        </w:rPr>
        <w:t>4.04  计量与支付</w:t>
      </w:r>
    </w:p>
    <w:p w14:paraId="3DD80CA5">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生产费用应用于施工安全防护用具及设施的采购和更新、安全施工措施的落实、安全生产条件的改善，不得挪作他用。如承包人在此基础上增加安全生产费用以满足项目施工需要，则承包人应在本项目工程量清单其他相关子目的单价或总额价中予以考虑，发包人不再另行支付。本工程项目交通安全组织维护方案，需经交警及交通运输综合执法部门批准同意，但不作为本项目费用变更、索赔的依据。交通组织维护费用已包含在本次报价的安全生产费中，该费用实行总额承包，合同执行过程中不予调整。</w:t>
      </w:r>
    </w:p>
    <w:p w14:paraId="52F76EDC">
      <w:pPr>
        <w:spacing w:line="300" w:lineRule="exact"/>
        <w:ind w:firstLine="422"/>
        <w:rPr>
          <w:rFonts w:hint="eastAsia" w:ascii="宋体" w:hAnsi="宋体" w:eastAsia="宋体" w:cs="宋体"/>
          <w:szCs w:val="21"/>
        </w:rPr>
      </w:pPr>
      <w:r>
        <w:rPr>
          <w:rFonts w:hint="eastAsia" w:ascii="宋体" w:hAnsi="宋体" w:eastAsia="宋体" w:cs="宋体"/>
          <w:szCs w:val="21"/>
        </w:rPr>
        <w:t>承包人进场准备好交通标志后，根据施工组织设计中的安全技术措施编制安全生产专项费用预算，报发包人审批并经发包人现场检查核实，所配备的交通安全标志设施满足规范规定，施工中交通安全标志设施的损坏、丢失由承包人承担，并包含在所报的单价或总额价中.</w:t>
      </w:r>
    </w:p>
    <w:p w14:paraId="53471F23">
      <w:pPr>
        <w:spacing w:line="300" w:lineRule="exact"/>
        <w:ind w:firstLine="422"/>
        <w:rPr>
          <w:rFonts w:hint="eastAsia" w:ascii="宋体" w:hAnsi="宋体" w:eastAsia="宋体" w:cs="宋体"/>
          <w:szCs w:val="21"/>
        </w:rPr>
      </w:pPr>
      <w:r>
        <w:rPr>
          <w:rFonts w:hint="eastAsia" w:ascii="宋体" w:hAnsi="宋体" w:eastAsia="宋体" w:cs="宋体"/>
          <w:szCs w:val="21"/>
        </w:rPr>
        <w:t>如在养护施工过程中发生安全费用超出业主指定安全生产专项费用以外部分由承包人承担，并包含在工程量清单其他细目的单价或总额价中，不另行计量。</w:t>
      </w:r>
    </w:p>
    <w:p w14:paraId="290BBFF7">
      <w:pPr>
        <w:spacing w:line="300" w:lineRule="exact"/>
        <w:ind w:firstLine="422"/>
        <w:rPr>
          <w:rFonts w:hint="eastAsia" w:ascii="宋体" w:hAnsi="宋体" w:eastAsia="宋体" w:cs="宋体"/>
          <w:szCs w:val="21"/>
        </w:rPr>
      </w:pPr>
      <w:r>
        <w:rPr>
          <w:rFonts w:hint="eastAsia" w:ascii="宋体" w:hAnsi="宋体" w:eastAsia="宋体" w:cs="宋体"/>
          <w:szCs w:val="21"/>
        </w:rPr>
        <w:t>安全生产费计取应当按照《安徽省公路水运重点工程项目安全生产管理指南》（第三版），关于安全生产费工作内容清单进行计量。</w:t>
      </w:r>
    </w:p>
    <w:p w14:paraId="72868BE5">
      <w:pPr>
        <w:spacing w:line="300" w:lineRule="exact"/>
        <w:ind w:firstLine="422"/>
        <w:rPr>
          <w:rFonts w:hint="eastAsia" w:ascii="宋体" w:hAnsi="宋体" w:eastAsia="宋体" w:cs="宋体"/>
          <w:szCs w:val="21"/>
        </w:rPr>
      </w:pPr>
      <w:r>
        <w:rPr>
          <w:rFonts w:hint="eastAsia" w:ascii="宋体" w:hAnsi="宋体" w:eastAsia="宋体" w:cs="宋体"/>
          <w:szCs w:val="21"/>
        </w:rPr>
        <w:t>1.计量</w:t>
      </w:r>
    </w:p>
    <w:p w14:paraId="1AA2E5B1">
      <w:pPr>
        <w:spacing w:line="300" w:lineRule="exact"/>
        <w:ind w:firstLine="422"/>
        <w:rPr>
          <w:rFonts w:hint="eastAsia" w:ascii="宋体" w:hAnsi="宋体" w:eastAsia="宋体" w:cs="宋体"/>
          <w:szCs w:val="21"/>
        </w:rPr>
      </w:pPr>
      <w:r>
        <w:rPr>
          <w:rFonts w:hint="eastAsia" w:ascii="宋体" w:hAnsi="宋体" w:eastAsia="宋体" w:cs="宋体"/>
          <w:szCs w:val="21"/>
        </w:rPr>
        <w:t>A、使用范围</w:t>
      </w:r>
    </w:p>
    <w:p w14:paraId="6C16F6AE">
      <w:pPr>
        <w:spacing w:line="300" w:lineRule="exact"/>
        <w:ind w:firstLine="422"/>
        <w:rPr>
          <w:rFonts w:hint="eastAsia" w:ascii="宋体" w:hAnsi="宋体" w:eastAsia="宋体" w:cs="宋体"/>
          <w:szCs w:val="21"/>
        </w:rPr>
      </w:pPr>
      <w:r>
        <w:rPr>
          <w:rFonts w:hint="eastAsia" w:ascii="宋体" w:hAnsi="宋体" w:eastAsia="宋体" w:cs="宋体"/>
          <w:szCs w:val="21"/>
        </w:rPr>
        <w:t>(1)设置、完善、改造和维护安全防护设施设备支出；</w:t>
      </w:r>
    </w:p>
    <w:p w14:paraId="2054422A">
      <w:pPr>
        <w:spacing w:line="300" w:lineRule="exact"/>
        <w:ind w:firstLine="422"/>
        <w:rPr>
          <w:rFonts w:hint="eastAsia" w:ascii="宋体" w:hAnsi="宋体" w:eastAsia="宋体" w:cs="宋体"/>
          <w:szCs w:val="21"/>
        </w:rPr>
      </w:pPr>
      <w:r>
        <w:rPr>
          <w:rFonts w:hint="eastAsia" w:ascii="宋体" w:hAnsi="宋体" w:eastAsia="宋体" w:cs="宋体"/>
          <w:szCs w:val="21"/>
        </w:rPr>
        <w:t xml:space="preserve">(2)配备、维护、保养应急救援器材、设备支出和应急演练支出； </w:t>
      </w:r>
    </w:p>
    <w:p w14:paraId="10620DCC">
      <w:pPr>
        <w:spacing w:line="300" w:lineRule="exact"/>
        <w:ind w:firstLine="422"/>
        <w:rPr>
          <w:rFonts w:hint="eastAsia" w:ascii="宋体" w:hAnsi="宋体" w:eastAsia="宋体" w:cs="宋体"/>
          <w:szCs w:val="21"/>
        </w:rPr>
      </w:pPr>
      <w:r>
        <w:rPr>
          <w:rFonts w:hint="eastAsia" w:ascii="宋体" w:hAnsi="宋体" w:eastAsia="宋体" w:cs="宋体"/>
          <w:szCs w:val="21"/>
        </w:rPr>
        <w:t>(3)重大风险源和安全事故隐患评估、监控和整改支出；</w:t>
      </w:r>
    </w:p>
    <w:p w14:paraId="08367F73">
      <w:pPr>
        <w:spacing w:line="300" w:lineRule="exact"/>
        <w:ind w:firstLine="422"/>
        <w:rPr>
          <w:rFonts w:hint="eastAsia" w:ascii="宋体" w:hAnsi="宋体" w:eastAsia="宋体" w:cs="宋体"/>
          <w:szCs w:val="21"/>
        </w:rPr>
      </w:pPr>
      <w:r>
        <w:rPr>
          <w:rFonts w:hint="eastAsia" w:ascii="宋体" w:hAnsi="宋体" w:eastAsia="宋体" w:cs="宋体"/>
          <w:szCs w:val="21"/>
        </w:rPr>
        <w:t>(4)安全生产检查、评价、咨询和标准化建设支出；</w:t>
      </w:r>
    </w:p>
    <w:p w14:paraId="748749DE">
      <w:pPr>
        <w:spacing w:line="300" w:lineRule="exact"/>
        <w:ind w:firstLine="422"/>
        <w:rPr>
          <w:rFonts w:hint="eastAsia" w:ascii="宋体" w:hAnsi="宋体" w:eastAsia="宋体" w:cs="宋体"/>
          <w:szCs w:val="21"/>
        </w:rPr>
      </w:pPr>
      <w:r>
        <w:rPr>
          <w:rFonts w:hint="eastAsia" w:ascii="宋体" w:hAnsi="宋体" w:eastAsia="宋体" w:cs="宋体"/>
          <w:szCs w:val="21"/>
        </w:rPr>
        <w:t>(5)配备和更新现场作业人员安全防护用品支出；</w:t>
      </w:r>
    </w:p>
    <w:p w14:paraId="4E1AEB5C">
      <w:pPr>
        <w:spacing w:line="300" w:lineRule="exact"/>
        <w:ind w:firstLine="422"/>
        <w:rPr>
          <w:rFonts w:hint="eastAsia" w:ascii="宋体" w:hAnsi="宋体" w:eastAsia="宋体" w:cs="宋体"/>
          <w:szCs w:val="21"/>
        </w:rPr>
      </w:pPr>
      <w:r>
        <w:rPr>
          <w:rFonts w:hint="eastAsia" w:ascii="宋体" w:hAnsi="宋体" w:eastAsia="宋体" w:cs="宋体"/>
          <w:szCs w:val="21"/>
        </w:rPr>
        <w:t>(6)安全生产宣传、教育、培训支出；</w:t>
      </w:r>
    </w:p>
    <w:p w14:paraId="4A07BCCA">
      <w:pPr>
        <w:spacing w:line="300" w:lineRule="exact"/>
        <w:ind w:firstLine="422"/>
        <w:rPr>
          <w:rFonts w:hint="eastAsia" w:ascii="宋体" w:hAnsi="宋体" w:eastAsia="宋体" w:cs="宋体"/>
          <w:szCs w:val="21"/>
        </w:rPr>
      </w:pPr>
      <w:r>
        <w:rPr>
          <w:rFonts w:hint="eastAsia" w:ascii="宋体" w:hAnsi="宋体" w:eastAsia="宋体" w:cs="宋体"/>
          <w:szCs w:val="21"/>
        </w:rPr>
        <w:t>(7)安全生产试用的新技术、新标准、新工艺、新装备的推广应用支出；</w:t>
      </w:r>
    </w:p>
    <w:p w14:paraId="429C9D96">
      <w:pPr>
        <w:spacing w:line="300" w:lineRule="exact"/>
        <w:ind w:firstLine="422"/>
        <w:rPr>
          <w:rFonts w:hint="eastAsia" w:ascii="宋体" w:hAnsi="宋体" w:eastAsia="宋体" w:cs="宋体"/>
          <w:szCs w:val="21"/>
        </w:rPr>
      </w:pPr>
      <w:r>
        <w:rPr>
          <w:rFonts w:hint="eastAsia" w:ascii="宋体" w:hAnsi="宋体" w:eastAsia="宋体" w:cs="宋体"/>
          <w:szCs w:val="21"/>
        </w:rPr>
        <w:t>(8)安全设施及特种设备检测检验支出；</w:t>
      </w:r>
    </w:p>
    <w:p w14:paraId="4C2F8901">
      <w:pPr>
        <w:spacing w:line="300" w:lineRule="exact"/>
        <w:ind w:firstLine="422"/>
        <w:rPr>
          <w:rFonts w:hint="eastAsia" w:ascii="宋体" w:hAnsi="宋体" w:eastAsia="宋体" w:cs="宋体"/>
          <w:szCs w:val="21"/>
        </w:rPr>
      </w:pPr>
      <w:r>
        <w:rPr>
          <w:rFonts w:hint="eastAsia" w:ascii="宋体" w:hAnsi="宋体" w:eastAsia="宋体" w:cs="宋体"/>
          <w:szCs w:val="21"/>
        </w:rPr>
        <w:t>(9)其他安全生产费用支出。</w:t>
      </w:r>
    </w:p>
    <w:p w14:paraId="5A298456">
      <w:pPr>
        <w:spacing w:line="300" w:lineRule="exact"/>
        <w:ind w:firstLine="422"/>
        <w:rPr>
          <w:rFonts w:hint="eastAsia" w:ascii="宋体" w:hAnsi="宋体" w:eastAsia="宋体" w:cs="宋体"/>
          <w:szCs w:val="21"/>
        </w:rPr>
      </w:pPr>
      <w:r>
        <w:rPr>
          <w:rFonts w:hint="eastAsia" w:ascii="宋体" w:hAnsi="宋体" w:eastAsia="宋体" w:cs="宋体"/>
          <w:szCs w:val="21"/>
        </w:rPr>
        <w:t>B、以下范围内发生的费用不计入安全生产费，应包含在管理费或者相关细目单价中。</w:t>
      </w:r>
    </w:p>
    <w:p w14:paraId="3C6479FB">
      <w:pPr>
        <w:spacing w:line="300" w:lineRule="exact"/>
        <w:ind w:firstLine="422"/>
        <w:rPr>
          <w:rFonts w:hint="eastAsia" w:ascii="宋体" w:hAnsi="宋体" w:eastAsia="宋体" w:cs="宋体"/>
          <w:szCs w:val="21"/>
        </w:rPr>
      </w:pPr>
      <w:r>
        <w:rPr>
          <w:rFonts w:hint="eastAsia" w:ascii="宋体" w:hAnsi="宋体" w:eastAsia="宋体" w:cs="宋体"/>
          <w:szCs w:val="21"/>
        </w:rPr>
        <w:t>（1）施工单位必须为施工人员办理团体人身意外伤害险或个人意外伤害险费用；</w:t>
      </w:r>
    </w:p>
    <w:p w14:paraId="65D812C7">
      <w:pPr>
        <w:spacing w:line="300" w:lineRule="exact"/>
        <w:ind w:firstLine="422"/>
        <w:rPr>
          <w:rFonts w:hint="eastAsia" w:ascii="宋体" w:hAnsi="宋体" w:eastAsia="宋体" w:cs="宋体"/>
          <w:szCs w:val="21"/>
        </w:rPr>
      </w:pPr>
      <w:r>
        <w:rPr>
          <w:rFonts w:hint="eastAsia" w:ascii="宋体" w:hAnsi="宋体" w:eastAsia="宋体" w:cs="宋体"/>
          <w:szCs w:val="21"/>
        </w:rPr>
        <w:t>（2）施工单位为职工提供的职业病防治、工伤保险、医疗保险费用；</w:t>
      </w:r>
    </w:p>
    <w:p w14:paraId="4297B377">
      <w:pPr>
        <w:spacing w:line="300" w:lineRule="exact"/>
        <w:ind w:firstLine="422"/>
        <w:rPr>
          <w:rFonts w:hint="eastAsia" w:ascii="宋体" w:hAnsi="宋体" w:eastAsia="宋体" w:cs="宋体"/>
          <w:szCs w:val="21"/>
        </w:rPr>
      </w:pPr>
      <w:r>
        <w:rPr>
          <w:rFonts w:hint="eastAsia" w:ascii="宋体" w:hAnsi="宋体" w:eastAsia="宋体" w:cs="宋体"/>
          <w:szCs w:val="21"/>
        </w:rPr>
        <w:t>（3）工地临时办公、宿舍、食堂等现场办公生活设施为达到安全要求所需费用；</w:t>
      </w:r>
    </w:p>
    <w:p w14:paraId="0B954E93">
      <w:pPr>
        <w:spacing w:line="300" w:lineRule="exact"/>
        <w:ind w:firstLine="422"/>
        <w:rPr>
          <w:rFonts w:hint="eastAsia" w:ascii="宋体" w:hAnsi="宋体" w:eastAsia="宋体" w:cs="宋体"/>
          <w:szCs w:val="21"/>
        </w:rPr>
      </w:pPr>
      <w:r>
        <w:rPr>
          <w:rFonts w:hint="eastAsia" w:ascii="宋体" w:hAnsi="宋体" w:eastAsia="宋体" w:cs="宋体"/>
          <w:szCs w:val="21"/>
        </w:rPr>
        <w:t>（4）施工现场与外界的隔离、围挡设施费用；</w:t>
      </w:r>
    </w:p>
    <w:p w14:paraId="457CB098">
      <w:pPr>
        <w:spacing w:line="300" w:lineRule="exact"/>
        <w:ind w:firstLine="422"/>
        <w:rPr>
          <w:rFonts w:hint="eastAsia" w:ascii="宋体" w:hAnsi="宋体" w:eastAsia="宋体" w:cs="宋体"/>
          <w:szCs w:val="21"/>
        </w:rPr>
      </w:pPr>
      <w:r>
        <w:rPr>
          <w:rFonts w:hint="eastAsia" w:ascii="宋体" w:hAnsi="宋体" w:eastAsia="宋体" w:cs="宋体"/>
          <w:szCs w:val="21"/>
        </w:rPr>
        <w:t>（5）特种设备的安全保护装置费用；</w:t>
      </w:r>
    </w:p>
    <w:p w14:paraId="3F2EF8E5">
      <w:pPr>
        <w:spacing w:line="300" w:lineRule="exact"/>
        <w:ind w:firstLine="422"/>
        <w:rPr>
          <w:rFonts w:hint="eastAsia" w:ascii="宋体" w:hAnsi="宋体" w:eastAsia="宋体" w:cs="宋体"/>
          <w:szCs w:val="21"/>
        </w:rPr>
      </w:pPr>
      <w:r>
        <w:rPr>
          <w:rFonts w:hint="eastAsia" w:ascii="宋体" w:hAnsi="宋体" w:eastAsia="宋体" w:cs="宋体"/>
          <w:szCs w:val="21"/>
        </w:rPr>
        <w:t>（6）按正常施工作业所设置的基坑围护、防失稳支撑、支架、安全用电等设备费用；</w:t>
      </w:r>
    </w:p>
    <w:p w14:paraId="6365FDEB">
      <w:pPr>
        <w:spacing w:line="300" w:lineRule="exact"/>
        <w:ind w:firstLine="422"/>
        <w:rPr>
          <w:rFonts w:hint="eastAsia" w:ascii="宋体" w:hAnsi="宋体" w:eastAsia="宋体" w:cs="宋体"/>
          <w:szCs w:val="21"/>
        </w:rPr>
      </w:pPr>
      <w:r>
        <w:rPr>
          <w:rFonts w:hint="eastAsia" w:ascii="宋体" w:hAnsi="宋体" w:eastAsia="宋体" w:cs="宋体"/>
          <w:szCs w:val="21"/>
        </w:rPr>
        <w:t>（7）其它正常工序施工的辅助措施费用。</w:t>
      </w:r>
    </w:p>
    <w:p w14:paraId="23CACA47">
      <w:pPr>
        <w:spacing w:line="300" w:lineRule="exact"/>
        <w:ind w:firstLine="422"/>
        <w:rPr>
          <w:rFonts w:hint="eastAsia" w:ascii="宋体" w:hAnsi="宋体" w:eastAsia="宋体" w:cs="宋体"/>
          <w:szCs w:val="21"/>
        </w:rPr>
      </w:pPr>
      <w:r>
        <w:rPr>
          <w:rFonts w:hint="eastAsia" w:ascii="宋体" w:hAnsi="宋体" w:eastAsia="宋体" w:cs="宋体"/>
          <w:szCs w:val="21"/>
        </w:rPr>
        <w:t>C、计量</w:t>
      </w:r>
    </w:p>
    <w:p w14:paraId="66E56541">
      <w:pPr>
        <w:spacing w:line="300" w:lineRule="exact"/>
        <w:ind w:firstLine="422"/>
        <w:rPr>
          <w:rFonts w:hint="eastAsia" w:ascii="宋体" w:hAnsi="宋体" w:eastAsia="宋体" w:cs="宋体"/>
          <w:szCs w:val="21"/>
        </w:rPr>
      </w:pPr>
      <w:r>
        <w:rPr>
          <w:rFonts w:hint="eastAsia" w:ascii="宋体" w:hAnsi="宋体" w:eastAsia="宋体" w:cs="宋体"/>
          <w:szCs w:val="21"/>
        </w:rPr>
        <w:t>（1） 承包人应当根据施工组织设计的进度计划和安全保障措施，制定全年使用计划（按项目清单）；根据月度工程计划编制月度使用计划并报监理审核签批；</w:t>
      </w:r>
    </w:p>
    <w:p w14:paraId="28594419">
      <w:pPr>
        <w:spacing w:line="300" w:lineRule="exact"/>
        <w:ind w:firstLine="422"/>
        <w:rPr>
          <w:rFonts w:hint="eastAsia" w:ascii="宋体" w:hAnsi="宋体" w:eastAsia="宋体" w:cs="宋体"/>
          <w:szCs w:val="21"/>
        </w:rPr>
      </w:pPr>
      <w:r>
        <w:rPr>
          <w:rFonts w:hint="eastAsia" w:ascii="宋体" w:hAnsi="宋体" w:eastAsia="宋体" w:cs="宋体"/>
          <w:szCs w:val="21"/>
        </w:rPr>
        <w:t>（2）承包人应建立安全生产费用使用台账，要求附有采购清单、购置发票、发放记录、监理查验签认记录等；</w:t>
      </w:r>
    </w:p>
    <w:p w14:paraId="4A6F4E19">
      <w:pPr>
        <w:spacing w:line="300" w:lineRule="exact"/>
        <w:ind w:firstLine="422"/>
        <w:rPr>
          <w:rFonts w:hint="eastAsia" w:ascii="宋体" w:hAnsi="宋体" w:eastAsia="宋体" w:cs="宋体"/>
          <w:szCs w:val="21"/>
        </w:rPr>
      </w:pPr>
      <w:r>
        <w:rPr>
          <w:rFonts w:hint="eastAsia" w:ascii="宋体" w:hAnsi="宋体" w:eastAsia="宋体" w:cs="宋体"/>
          <w:szCs w:val="21"/>
        </w:rPr>
        <w:t>（3）承包人每月编制安全生产费用计量报表，同时附采购清单、购置发票、监理查验签认记录作为附件，经项目负责人签字盖章后报监理工程师审核。</w:t>
      </w:r>
    </w:p>
    <w:p w14:paraId="32A7DA03">
      <w:pPr>
        <w:spacing w:line="300" w:lineRule="exact"/>
        <w:ind w:firstLine="422"/>
        <w:rPr>
          <w:rFonts w:hint="eastAsia" w:ascii="宋体" w:hAnsi="宋体" w:eastAsia="宋体" w:cs="宋体"/>
          <w:szCs w:val="21"/>
        </w:rPr>
      </w:pPr>
      <w:r>
        <w:rPr>
          <w:rFonts w:hint="eastAsia" w:ascii="宋体" w:hAnsi="宋体" w:eastAsia="宋体" w:cs="宋体"/>
          <w:szCs w:val="21"/>
        </w:rPr>
        <w:t>（4）所发生的施工安全生产费用，应用于施工安全防护用具及设施的采购和更新、安全施工措施的落实、安全生产条件的改善，不得挪作他用。</w:t>
      </w:r>
    </w:p>
    <w:p w14:paraId="6CC7FB02">
      <w:pPr>
        <w:spacing w:line="300" w:lineRule="exact"/>
        <w:ind w:firstLine="422"/>
        <w:rPr>
          <w:rFonts w:hint="eastAsia" w:ascii="宋体" w:hAnsi="宋体" w:eastAsia="宋体" w:cs="宋体"/>
          <w:szCs w:val="21"/>
        </w:rPr>
      </w:pPr>
      <w:r>
        <w:rPr>
          <w:rFonts w:hint="eastAsia" w:ascii="宋体" w:hAnsi="宋体" w:eastAsia="宋体" w:cs="宋体"/>
          <w:szCs w:val="21"/>
        </w:rPr>
        <w:t>（5）施工安全设施费及与此有关的一切作业经施工单位申报、监理单位审查核实，发包人审批后计量支付。</w:t>
      </w:r>
    </w:p>
    <w:p w14:paraId="11A9E404">
      <w:pPr>
        <w:spacing w:line="300" w:lineRule="exact"/>
        <w:ind w:firstLine="422"/>
        <w:rPr>
          <w:rFonts w:hint="eastAsia" w:ascii="宋体" w:hAnsi="宋体" w:eastAsia="宋体" w:cs="宋体"/>
          <w:szCs w:val="21"/>
        </w:rPr>
      </w:pPr>
      <w:r>
        <w:rPr>
          <w:rFonts w:hint="eastAsia" w:ascii="宋体" w:hAnsi="宋体" w:eastAsia="宋体" w:cs="宋体"/>
          <w:szCs w:val="21"/>
        </w:rPr>
        <w:t>2.支付</w:t>
      </w:r>
    </w:p>
    <w:p w14:paraId="6E9A8C3A">
      <w:pPr>
        <w:spacing w:line="300" w:lineRule="exact"/>
        <w:ind w:firstLine="422"/>
        <w:rPr>
          <w:rFonts w:hint="eastAsia" w:ascii="宋体" w:hAnsi="宋体" w:eastAsia="宋体" w:cs="宋体"/>
          <w:szCs w:val="21"/>
        </w:rPr>
      </w:pPr>
      <w:r>
        <w:rPr>
          <w:rFonts w:hint="eastAsia" w:ascii="宋体" w:hAnsi="宋体" w:eastAsia="宋体" w:cs="宋体"/>
          <w:szCs w:val="21"/>
        </w:rPr>
        <w:t>由发包人与监理验收确认后按实支付，当施工单位实际投入少于清单中安全生产专项费用时，余额部分应不予支付。如在养护施工过程中发生安全费用超出业主指定安全生产专项费用以外部分由承包人承担，并包含在工程量清单其他细目的单价或总额价中，不另行计量。</w:t>
      </w:r>
    </w:p>
    <w:p w14:paraId="6CA23B84">
      <w:pPr>
        <w:spacing w:line="300" w:lineRule="exact"/>
        <w:ind w:firstLine="422"/>
        <w:rPr>
          <w:rFonts w:hint="eastAsia" w:ascii="宋体" w:hAnsi="宋体" w:eastAsia="宋体" w:cs="宋体"/>
          <w:szCs w:val="21"/>
        </w:rPr>
      </w:pPr>
      <w:r>
        <w:rPr>
          <w:rFonts w:hint="eastAsia" w:ascii="宋体" w:hAnsi="宋体" w:eastAsia="宋体" w:cs="宋体"/>
          <w:szCs w:val="21"/>
        </w:rPr>
        <w:t>3.支付细目</w:t>
      </w:r>
    </w:p>
    <w:p w14:paraId="4057956F">
      <w:pPr>
        <w:spacing w:line="300" w:lineRule="exact"/>
        <w:ind w:firstLine="422"/>
        <w:rPr>
          <w:rFonts w:hint="eastAsia" w:ascii="宋体" w:hAnsi="宋体" w:eastAsia="宋体" w:cs="宋体"/>
          <w:szCs w:val="21"/>
        </w:rPr>
      </w:pPr>
      <w:r>
        <w:rPr>
          <w:rFonts w:hint="eastAsia" w:ascii="宋体" w:hAnsi="宋体" w:eastAsia="宋体" w:cs="宋体"/>
          <w:szCs w:val="21"/>
        </w:rPr>
        <w:t>详见工程量清单。</w:t>
      </w:r>
    </w:p>
    <w:p w14:paraId="04EC089F">
      <w:pPr>
        <w:spacing w:beforeLines="30" w:afterLines="30" w:line="360" w:lineRule="exact"/>
        <w:ind w:firstLine="422"/>
        <w:rPr>
          <w:rFonts w:hint="eastAsia" w:ascii="宋体" w:hAnsi="宋体" w:eastAsia="宋体" w:cs="宋体"/>
          <w:b/>
          <w:szCs w:val="21"/>
        </w:rPr>
      </w:pPr>
    </w:p>
    <w:p w14:paraId="0DE66909">
      <w:pPr>
        <w:spacing w:beforeLines="30" w:afterLines="30" w:line="360" w:lineRule="exact"/>
        <w:ind w:firstLine="482"/>
        <w:jc w:val="center"/>
        <w:rPr>
          <w:rFonts w:hint="eastAsia" w:ascii="宋体" w:hAnsi="宋体" w:eastAsia="宋体" w:cs="宋体"/>
          <w:b/>
          <w:sz w:val="24"/>
        </w:rPr>
      </w:pPr>
      <w:r>
        <w:rPr>
          <w:rFonts w:hint="eastAsia" w:ascii="宋体" w:hAnsi="宋体" w:eastAsia="宋体" w:cs="宋体"/>
          <w:b/>
          <w:sz w:val="24"/>
        </w:rPr>
        <w:t>第5节 承包人驻地建设</w:t>
      </w:r>
    </w:p>
    <w:p w14:paraId="325B7B60">
      <w:pPr>
        <w:spacing w:line="300" w:lineRule="exact"/>
        <w:ind w:firstLine="422"/>
        <w:rPr>
          <w:rFonts w:hint="eastAsia" w:ascii="宋体" w:hAnsi="宋体" w:eastAsia="宋体" w:cs="宋体"/>
          <w:b/>
          <w:szCs w:val="21"/>
        </w:rPr>
      </w:pPr>
      <w:r>
        <w:rPr>
          <w:rFonts w:hint="eastAsia" w:ascii="宋体" w:hAnsi="宋体" w:eastAsia="宋体" w:cs="宋体"/>
          <w:b/>
          <w:szCs w:val="21"/>
        </w:rPr>
        <w:t>5.01一般要求</w:t>
      </w:r>
    </w:p>
    <w:p w14:paraId="036ADEDA">
      <w:pPr>
        <w:pStyle w:val="121"/>
        <w:ind w:firstLine="422" w:firstLineChars="200"/>
        <w:rPr>
          <w:rFonts w:hint="eastAsia" w:ascii="宋体" w:hAnsi="宋体" w:eastAsia="宋体" w:cs="宋体"/>
          <w:color w:val="auto"/>
          <w:kern w:val="2"/>
          <w:sz w:val="21"/>
          <w:szCs w:val="21"/>
        </w:rPr>
      </w:pPr>
      <w:r>
        <w:rPr>
          <w:rFonts w:hint="eastAsia" w:ascii="宋体" w:hAnsi="宋体" w:eastAsia="宋体" w:cs="宋体"/>
          <w:b/>
          <w:bCs/>
          <w:color w:val="auto"/>
          <w:kern w:val="2"/>
          <w:sz w:val="21"/>
          <w:szCs w:val="21"/>
        </w:rPr>
        <w:t>发包人为承包人提供办公和住宿场所。</w:t>
      </w:r>
      <w:r>
        <w:rPr>
          <w:rFonts w:hint="eastAsia" w:ascii="宋体" w:hAnsi="宋体" w:eastAsia="宋体" w:cs="宋体"/>
          <w:color w:val="auto"/>
          <w:kern w:val="2"/>
          <w:sz w:val="21"/>
          <w:szCs w:val="21"/>
        </w:rPr>
        <w:t>水、电、网络、日常房屋维修等费用由承包方自行承担。</w:t>
      </w:r>
    </w:p>
    <w:p w14:paraId="07D6B62D">
      <w:pPr>
        <w:spacing w:line="300" w:lineRule="exact"/>
        <w:ind w:firstLine="422"/>
        <w:rPr>
          <w:rFonts w:hint="eastAsia" w:ascii="宋体" w:hAnsi="宋体" w:eastAsia="宋体" w:cs="宋体"/>
          <w:b/>
          <w:szCs w:val="21"/>
        </w:rPr>
      </w:pPr>
      <w:r>
        <w:rPr>
          <w:rFonts w:hint="eastAsia" w:ascii="宋体" w:hAnsi="宋体" w:eastAsia="宋体" w:cs="宋体"/>
          <w:b/>
          <w:szCs w:val="21"/>
        </w:rPr>
        <w:t>5.02办公室、住房及生活区</w:t>
      </w:r>
    </w:p>
    <w:p w14:paraId="1962BB1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1.承包人应配置与工程规模相适应的现场办公设备、测量仪器、试验仪器设备及交通工具。</w:t>
      </w:r>
    </w:p>
    <w:p w14:paraId="0421D65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2.承包人应尽量绿化、美化生产和生活营地。消防、安全设施应齐全到位。处理好临时雨水、污水排放，防止污染环境。</w:t>
      </w:r>
    </w:p>
    <w:p w14:paraId="5DE20A0C">
      <w:pPr>
        <w:spacing w:line="300" w:lineRule="exact"/>
        <w:ind w:firstLine="422"/>
        <w:rPr>
          <w:rFonts w:hint="eastAsia" w:ascii="宋体" w:hAnsi="宋体" w:eastAsia="宋体" w:cs="宋体"/>
          <w:b/>
          <w:szCs w:val="21"/>
        </w:rPr>
      </w:pPr>
      <w:r>
        <w:rPr>
          <w:rFonts w:hint="eastAsia" w:ascii="宋体" w:hAnsi="宋体" w:eastAsia="宋体" w:cs="宋体"/>
          <w:b/>
          <w:szCs w:val="21"/>
        </w:rPr>
        <w:t>5.04 消防</w:t>
      </w:r>
    </w:p>
    <w:p w14:paraId="73EBC53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在合同履行期内，承包人除应与当地消防部门取得联系必要时请予协助外，还应负责在现场采取一切有效的防火与消防措施，配备适当数量的手持灭火器，并应承担所有一切费用。</w:t>
      </w:r>
    </w:p>
    <w:p w14:paraId="7D04BD9F">
      <w:pPr>
        <w:spacing w:line="300" w:lineRule="exact"/>
        <w:ind w:firstLine="422"/>
        <w:rPr>
          <w:rFonts w:hint="eastAsia" w:ascii="宋体" w:hAnsi="宋体" w:eastAsia="宋体" w:cs="宋体"/>
          <w:b/>
          <w:szCs w:val="21"/>
        </w:rPr>
      </w:pPr>
      <w:r>
        <w:rPr>
          <w:rFonts w:hint="eastAsia" w:ascii="宋体" w:hAnsi="宋体" w:eastAsia="宋体" w:cs="宋体"/>
          <w:b/>
          <w:szCs w:val="21"/>
        </w:rPr>
        <w:t>5.05承包人驻地设施的保护</w:t>
      </w:r>
    </w:p>
    <w:p w14:paraId="1177351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合同期满时，承包人使用的业主的办公住房、生产等设施，都应保持原样。承包人在使用期间，应加强生产生活设施的管理和保护。</w:t>
      </w:r>
    </w:p>
    <w:p w14:paraId="71348476">
      <w:pPr>
        <w:spacing w:line="300" w:lineRule="exact"/>
        <w:ind w:firstLine="643"/>
        <w:jc w:val="center"/>
        <w:rPr>
          <w:rFonts w:hint="eastAsia" w:ascii="宋体" w:hAnsi="宋体" w:eastAsia="宋体" w:cs="宋体"/>
          <w:b/>
          <w:szCs w:val="21"/>
        </w:rPr>
      </w:pPr>
    </w:p>
    <w:p w14:paraId="6A1C320B">
      <w:pPr>
        <w:spacing w:line="300" w:lineRule="exact"/>
        <w:ind w:firstLine="643"/>
        <w:jc w:val="center"/>
        <w:rPr>
          <w:rFonts w:hint="eastAsia" w:ascii="宋体" w:hAnsi="宋体" w:eastAsia="宋体" w:cs="宋体"/>
          <w:b/>
          <w:sz w:val="32"/>
          <w:szCs w:val="32"/>
        </w:rPr>
      </w:pPr>
      <w:r>
        <w:rPr>
          <w:rFonts w:hint="eastAsia" w:ascii="宋体" w:hAnsi="宋体" w:eastAsia="宋体" w:cs="宋体"/>
          <w:b/>
          <w:sz w:val="32"/>
          <w:szCs w:val="32"/>
        </w:rPr>
        <w:t>第2章 路基</w:t>
      </w:r>
    </w:p>
    <w:p w14:paraId="2C1AA36B">
      <w:pPr>
        <w:spacing w:beforeLines="30" w:afterLines="30" w:line="360" w:lineRule="exact"/>
        <w:ind w:firstLine="482"/>
        <w:jc w:val="center"/>
        <w:rPr>
          <w:rFonts w:hint="eastAsia" w:ascii="宋体" w:hAnsi="宋体" w:eastAsia="宋体" w:cs="宋体"/>
          <w:b/>
          <w:sz w:val="24"/>
        </w:rPr>
      </w:pPr>
      <w:r>
        <w:rPr>
          <w:rFonts w:hint="eastAsia" w:ascii="宋体" w:hAnsi="宋体" w:eastAsia="宋体" w:cs="宋体"/>
          <w:b/>
          <w:sz w:val="24"/>
        </w:rPr>
        <w:t>第1节  通  则</w:t>
      </w:r>
    </w:p>
    <w:p w14:paraId="2EC3206B">
      <w:pPr>
        <w:spacing w:line="300" w:lineRule="exact"/>
        <w:ind w:firstLine="422"/>
        <w:rPr>
          <w:rFonts w:hint="eastAsia" w:ascii="宋体" w:hAnsi="宋体" w:eastAsia="宋体" w:cs="宋体"/>
          <w:b/>
          <w:szCs w:val="21"/>
        </w:rPr>
      </w:pPr>
      <w:r>
        <w:rPr>
          <w:rFonts w:hint="eastAsia" w:ascii="宋体" w:hAnsi="宋体" w:eastAsia="宋体" w:cs="宋体"/>
          <w:b/>
          <w:szCs w:val="21"/>
        </w:rPr>
        <w:t>1.01范围</w:t>
      </w:r>
    </w:p>
    <w:p w14:paraId="63EF9A7A">
      <w:pPr>
        <w:ind w:firstLine="420"/>
        <w:rPr>
          <w:rFonts w:hint="eastAsia" w:ascii="宋体" w:hAnsi="宋体" w:eastAsia="宋体" w:cs="宋体"/>
          <w:szCs w:val="21"/>
        </w:rPr>
      </w:pPr>
      <w:r>
        <w:rPr>
          <w:rFonts w:hint="eastAsia" w:ascii="宋体" w:hAnsi="宋体" w:eastAsia="宋体" w:cs="宋体"/>
          <w:szCs w:val="21"/>
        </w:rPr>
        <w:t>1.日常保养：</w:t>
      </w:r>
    </w:p>
    <w:p w14:paraId="34D1B65D">
      <w:pPr>
        <w:ind w:firstLine="420"/>
        <w:rPr>
          <w:rFonts w:hint="eastAsia" w:ascii="宋体" w:hAnsi="宋体" w:eastAsia="宋体" w:cs="宋体"/>
          <w:szCs w:val="21"/>
        </w:rPr>
      </w:pPr>
      <w:r>
        <w:rPr>
          <w:rFonts w:hint="eastAsia" w:ascii="宋体" w:hAnsi="宋体" w:eastAsia="宋体" w:cs="宋体"/>
          <w:szCs w:val="21"/>
        </w:rPr>
        <w:t>（1）整理路肩、边坡，保持路容整洁；</w:t>
      </w:r>
    </w:p>
    <w:p w14:paraId="68F7F9EE">
      <w:pPr>
        <w:ind w:firstLine="420"/>
        <w:rPr>
          <w:rFonts w:hint="eastAsia" w:ascii="宋体" w:hAnsi="宋体" w:eastAsia="宋体" w:cs="宋体"/>
          <w:szCs w:val="21"/>
        </w:rPr>
      </w:pPr>
      <w:r>
        <w:rPr>
          <w:rFonts w:hint="eastAsia" w:ascii="宋体" w:hAnsi="宋体" w:eastAsia="宋体" w:cs="宋体"/>
          <w:szCs w:val="21"/>
        </w:rPr>
        <w:t>（2）疏通边沟，保持排水系统畅通；</w:t>
      </w:r>
    </w:p>
    <w:p w14:paraId="4DE15132">
      <w:pPr>
        <w:ind w:firstLine="420"/>
        <w:rPr>
          <w:rFonts w:hint="eastAsia" w:ascii="宋体" w:hAnsi="宋体" w:eastAsia="宋体" w:cs="宋体"/>
          <w:szCs w:val="21"/>
        </w:rPr>
      </w:pPr>
      <w:r>
        <w:rPr>
          <w:rFonts w:hint="eastAsia" w:ascii="宋体" w:hAnsi="宋体" w:eastAsia="宋体" w:cs="宋体"/>
          <w:szCs w:val="21"/>
        </w:rPr>
        <w:t>（3）清除挡土墙、护坡滋生的有碍设施功能发挥的杂草，修复伸缩缝、疏通泄水孔，及清除</w:t>
      </w:r>
    </w:p>
    <w:p w14:paraId="11095B41">
      <w:pPr>
        <w:ind w:firstLine="420"/>
        <w:rPr>
          <w:rFonts w:hint="eastAsia" w:ascii="宋体" w:hAnsi="宋体" w:eastAsia="宋体" w:cs="宋体"/>
          <w:szCs w:val="21"/>
        </w:rPr>
      </w:pPr>
      <w:r>
        <w:rPr>
          <w:rFonts w:hint="eastAsia" w:ascii="宋体" w:hAnsi="宋体" w:eastAsia="宋体" w:cs="宋体"/>
          <w:szCs w:val="21"/>
        </w:rPr>
        <w:t>松动石块；</w:t>
      </w:r>
    </w:p>
    <w:p w14:paraId="340E07C2">
      <w:pPr>
        <w:ind w:firstLine="420"/>
        <w:rPr>
          <w:rFonts w:hint="eastAsia" w:ascii="宋体" w:hAnsi="宋体" w:eastAsia="宋体" w:cs="宋体"/>
          <w:szCs w:val="21"/>
        </w:rPr>
      </w:pPr>
      <w:r>
        <w:rPr>
          <w:rFonts w:hint="eastAsia" w:ascii="宋体" w:hAnsi="宋体" w:eastAsia="宋体" w:cs="宋体"/>
          <w:szCs w:val="21"/>
        </w:rPr>
        <w:t>（4）路缘带的修理。</w:t>
      </w:r>
    </w:p>
    <w:p w14:paraId="1F0C4559">
      <w:pPr>
        <w:ind w:firstLine="420"/>
        <w:rPr>
          <w:rFonts w:hint="eastAsia" w:ascii="宋体" w:hAnsi="宋体" w:eastAsia="宋体" w:cs="宋体"/>
          <w:szCs w:val="21"/>
        </w:rPr>
      </w:pPr>
      <w:r>
        <w:rPr>
          <w:rFonts w:hint="eastAsia" w:ascii="宋体" w:hAnsi="宋体" w:eastAsia="宋体" w:cs="宋体"/>
          <w:szCs w:val="21"/>
        </w:rPr>
        <w:t>小修：</w:t>
      </w:r>
    </w:p>
    <w:p w14:paraId="4B801AD2">
      <w:pPr>
        <w:ind w:firstLine="420"/>
        <w:rPr>
          <w:rFonts w:hint="eastAsia" w:ascii="宋体" w:hAnsi="宋体" w:eastAsia="宋体" w:cs="宋体"/>
          <w:szCs w:val="21"/>
        </w:rPr>
      </w:pPr>
      <w:r>
        <w:rPr>
          <w:rFonts w:hint="eastAsia" w:ascii="宋体" w:hAnsi="宋体" w:eastAsia="宋体" w:cs="宋体"/>
          <w:szCs w:val="21"/>
        </w:rPr>
        <w:t>（1）小段开挖边沟、截水沟或分期铺筑砌边沟；</w:t>
      </w:r>
    </w:p>
    <w:p w14:paraId="70E0B304">
      <w:pPr>
        <w:ind w:firstLine="420"/>
        <w:rPr>
          <w:rFonts w:hint="eastAsia" w:ascii="宋体" w:hAnsi="宋体" w:eastAsia="宋体" w:cs="宋体"/>
          <w:szCs w:val="21"/>
        </w:rPr>
      </w:pPr>
      <w:r>
        <w:rPr>
          <w:rFonts w:hint="eastAsia" w:ascii="宋体" w:hAnsi="宋体" w:eastAsia="宋体" w:cs="宋体"/>
          <w:szCs w:val="21"/>
        </w:rPr>
        <w:t>（2）清除零星坍方，填补路基缺口，轻微沉陷翻浆的处理；</w:t>
      </w:r>
    </w:p>
    <w:p w14:paraId="36128EC7">
      <w:pPr>
        <w:ind w:firstLine="420"/>
        <w:rPr>
          <w:rFonts w:hint="eastAsia" w:ascii="宋体" w:hAnsi="宋体" w:eastAsia="宋体" w:cs="宋体"/>
          <w:szCs w:val="21"/>
        </w:rPr>
      </w:pPr>
      <w:r>
        <w:rPr>
          <w:rFonts w:hint="eastAsia" w:ascii="宋体" w:hAnsi="宋体" w:eastAsia="宋体" w:cs="宋体"/>
          <w:szCs w:val="21"/>
        </w:rPr>
        <w:t>（3）桥头接线或桥头、涵顶跳车的处理；</w:t>
      </w:r>
    </w:p>
    <w:p w14:paraId="4F2AA76E">
      <w:pPr>
        <w:ind w:firstLine="420"/>
        <w:rPr>
          <w:rFonts w:hint="eastAsia" w:ascii="宋体" w:hAnsi="宋体" w:eastAsia="宋体" w:cs="宋体"/>
          <w:szCs w:val="21"/>
        </w:rPr>
      </w:pPr>
      <w:r>
        <w:rPr>
          <w:rFonts w:hint="eastAsia" w:ascii="宋体" w:hAnsi="宋体" w:eastAsia="宋体" w:cs="宋体"/>
          <w:szCs w:val="21"/>
        </w:rPr>
        <w:t>（4）修理挡土墙、护坡、护坡道、泄水槽、护栏和防冰雪设施等的局部损坏；</w:t>
      </w:r>
    </w:p>
    <w:p w14:paraId="79788927">
      <w:pPr>
        <w:ind w:firstLine="420"/>
        <w:rPr>
          <w:rFonts w:hint="eastAsia" w:ascii="宋体" w:hAnsi="宋体" w:eastAsia="宋体" w:cs="宋体"/>
          <w:szCs w:val="21"/>
        </w:rPr>
      </w:pPr>
      <w:r>
        <w:rPr>
          <w:rFonts w:hint="eastAsia" w:ascii="宋体" w:hAnsi="宋体" w:eastAsia="宋体" w:cs="宋体"/>
          <w:szCs w:val="21"/>
        </w:rPr>
        <w:t>（5）局部加固路肩。</w:t>
      </w:r>
    </w:p>
    <w:p w14:paraId="0881D4E6">
      <w:pPr>
        <w:ind w:firstLine="420"/>
        <w:rPr>
          <w:rFonts w:hint="eastAsia" w:ascii="宋体" w:hAnsi="宋体" w:eastAsia="宋体" w:cs="宋体"/>
          <w:szCs w:val="21"/>
        </w:rPr>
      </w:pPr>
      <w:r>
        <w:rPr>
          <w:rFonts w:hint="eastAsia" w:ascii="宋体" w:hAnsi="宋体" w:eastAsia="宋体" w:cs="宋体"/>
          <w:szCs w:val="21"/>
        </w:rPr>
        <w:t>2.本规范对所有工程在施工中使用的原材料、半成品或成品，隐蔽工程以及施工原始资料和记录，均进行一系列的控制与检查，使工程质量符合规定的质量标准。在每一节的施工要求中对质量标准、质量等级、检验内容和方法等的要求，均有规定，如有未写明之处，应按照现行有关规范规定且必须经业主批准执行。</w:t>
      </w:r>
    </w:p>
    <w:p w14:paraId="5060DD14">
      <w:pPr>
        <w:ind w:firstLine="420"/>
        <w:rPr>
          <w:rFonts w:hint="eastAsia" w:ascii="宋体" w:hAnsi="宋体" w:eastAsia="宋体" w:cs="宋体"/>
          <w:szCs w:val="21"/>
        </w:rPr>
      </w:pPr>
      <w:r>
        <w:rPr>
          <w:rFonts w:hint="eastAsia" w:ascii="宋体" w:hAnsi="宋体" w:eastAsia="宋体" w:cs="宋体"/>
          <w:szCs w:val="21"/>
        </w:rPr>
        <w:t>3.规范中的任何节，若其所述的材料和施工并非本合同所要求者，除非事前得到业主的批准，否则都应认为是不适用的。</w:t>
      </w:r>
    </w:p>
    <w:p w14:paraId="3FFDB484">
      <w:pPr>
        <w:ind w:firstLine="422"/>
        <w:rPr>
          <w:rFonts w:hint="eastAsia" w:ascii="宋体" w:hAnsi="宋体" w:eastAsia="宋体" w:cs="宋体"/>
          <w:b/>
          <w:szCs w:val="21"/>
        </w:rPr>
      </w:pPr>
      <w:r>
        <w:rPr>
          <w:rFonts w:hint="eastAsia" w:ascii="宋体" w:hAnsi="宋体" w:eastAsia="宋体" w:cs="宋体"/>
          <w:b/>
          <w:szCs w:val="21"/>
        </w:rPr>
        <w:t>1.02 基本要求</w:t>
      </w:r>
    </w:p>
    <w:p w14:paraId="6CD59B22">
      <w:pPr>
        <w:ind w:firstLine="420"/>
        <w:rPr>
          <w:rFonts w:hint="eastAsia" w:ascii="宋体" w:hAnsi="宋体" w:eastAsia="宋体" w:cs="宋体"/>
          <w:szCs w:val="21"/>
        </w:rPr>
      </w:pPr>
      <w:r>
        <w:rPr>
          <w:rFonts w:hint="eastAsia" w:ascii="宋体" w:hAnsi="宋体" w:eastAsia="宋体" w:cs="宋体"/>
          <w:szCs w:val="21"/>
        </w:rPr>
        <w:t xml:space="preserve">1.路基，各部分经常保持完整，各部分尺寸符合规定的标准要求，不损坏变形，经常处于完好状态；                 </w:t>
      </w:r>
    </w:p>
    <w:p w14:paraId="202A4140">
      <w:pPr>
        <w:ind w:firstLine="420"/>
        <w:rPr>
          <w:rFonts w:hint="eastAsia" w:ascii="宋体" w:hAnsi="宋体" w:eastAsia="宋体" w:cs="宋体"/>
          <w:szCs w:val="21"/>
        </w:rPr>
      </w:pPr>
      <w:r>
        <w:rPr>
          <w:rFonts w:hint="eastAsia" w:ascii="宋体" w:hAnsi="宋体" w:eastAsia="宋体" w:cs="宋体"/>
          <w:szCs w:val="21"/>
        </w:rPr>
        <w:t>2.路肩每月至少修整1次，确保无车辙、坑洼、隆起、沉陷、缺口，横坡适度，路肩石及缘石边缘顺适，表面平整坚实、整洁，与路面接茬平顺，排水顺畅；</w:t>
      </w:r>
    </w:p>
    <w:p w14:paraId="0C636090">
      <w:pPr>
        <w:ind w:firstLine="420"/>
        <w:rPr>
          <w:rFonts w:hint="eastAsia" w:ascii="宋体" w:hAnsi="宋体" w:eastAsia="宋体" w:cs="宋体"/>
          <w:szCs w:val="21"/>
        </w:rPr>
      </w:pPr>
      <w:r>
        <w:rPr>
          <w:rFonts w:hint="eastAsia" w:ascii="宋体" w:hAnsi="宋体" w:eastAsia="宋体" w:cs="宋体"/>
          <w:szCs w:val="21"/>
        </w:rPr>
        <w:t>3.路肩蒿草每年至少清理7次（4-10月每月至少1次），留茬不高于路肩15CM。</w:t>
      </w:r>
    </w:p>
    <w:p w14:paraId="4E2FEB3B">
      <w:pPr>
        <w:ind w:firstLine="420"/>
        <w:rPr>
          <w:rFonts w:hint="eastAsia" w:ascii="宋体" w:hAnsi="宋体" w:eastAsia="宋体" w:cs="宋体"/>
          <w:szCs w:val="21"/>
        </w:rPr>
      </w:pPr>
      <w:r>
        <w:rPr>
          <w:rFonts w:hint="eastAsia" w:ascii="宋体" w:hAnsi="宋体" w:eastAsia="宋体" w:cs="宋体"/>
          <w:szCs w:val="21"/>
        </w:rPr>
        <w:t>4.边坡每月至少修整1次，确保边坡稳定、坚固，平顺无冲沟、松散，坡度符合规定；</w:t>
      </w:r>
    </w:p>
    <w:p w14:paraId="1D9A2AF6">
      <w:pPr>
        <w:ind w:firstLine="420"/>
        <w:rPr>
          <w:rFonts w:hint="eastAsia" w:ascii="宋体" w:hAnsi="宋体" w:eastAsia="宋体" w:cs="宋体"/>
          <w:szCs w:val="21"/>
        </w:rPr>
      </w:pPr>
      <w:r>
        <w:rPr>
          <w:rFonts w:hint="eastAsia" w:ascii="宋体" w:hAnsi="宋体" w:eastAsia="宋体" w:cs="宋体"/>
          <w:szCs w:val="21"/>
        </w:rPr>
        <w:t>5.边沟、排水沟等排水设施每月至少清理1次，确保无淤塞、无蒿草，纵坡符合要求，排水畅通，进出口维护完好，保证路基、路面不积水和边沟内不长期积水；</w:t>
      </w:r>
    </w:p>
    <w:p w14:paraId="5C99A259">
      <w:pPr>
        <w:ind w:firstLine="420"/>
        <w:rPr>
          <w:rFonts w:hint="eastAsia" w:ascii="宋体" w:hAnsi="宋体" w:eastAsia="宋体" w:cs="宋体"/>
          <w:szCs w:val="21"/>
        </w:rPr>
      </w:pPr>
      <w:r>
        <w:rPr>
          <w:rFonts w:hint="eastAsia" w:ascii="宋体" w:hAnsi="宋体" w:eastAsia="宋体" w:cs="宋体"/>
          <w:szCs w:val="21"/>
        </w:rPr>
        <w:t>6.做好翻浆、坍方等病害的预防、治理和抢修，防止阻车的情况发生；</w:t>
      </w:r>
    </w:p>
    <w:p w14:paraId="483A60D9">
      <w:pPr>
        <w:ind w:firstLine="400" w:firstLineChars="200"/>
        <w:rPr>
          <w:rFonts w:hint="eastAsia" w:ascii="宋体" w:hAnsi="宋体" w:eastAsia="宋体" w:cs="宋体"/>
          <w:szCs w:val="21"/>
        </w:rPr>
      </w:pPr>
      <w:r>
        <w:rPr>
          <w:rFonts w:hint="eastAsia" w:ascii="宋体" w:hAnsi="宋体" w:eastAsia="宋体" w:cs="宋体"/>
          <w:szCs w:val="21"/>
        </w:rPr>
        <w:t>7.根据业主指令对路基排水系统进行疏通，并将清除的杂物和淤泥弃至指定地点。</w:t>
      </w:r>
    </w:p>
    <w:p w14:paraId="3375997D">
      <w:pPr>
        <w:ind w:firstLine="420"/>
        <w:rPr>
          <w:rFonts w:hint="eastAsia" w:ascii="宋体" w:hAnsi="宋体" w:eastAsia="宋体" w:cs="宋体"/>
          <w:szCs w:val="21"/>
        </w:rPr>
      </w:pPr>
      <w:r>
        <w:rPr>
          <w:rFonts w:hint="eastAsia" w:ascii="宋体" w:hAnsi="宋体" w:eastAsia="宋体" w:cs="宋体"/>
          <w:szCs w:val="21"/>
        </w:rPr>
        <w:t>8.发包人将对承包人工作情况进行巡视和考核，并作为计量支付的重要依据。</w:t>
      </w:r>
    </w:p>
    <w:p w14:paraId="0A26A340">
      <w:pPr>
        <w:ind w:firstLine="402" w:firstLineChars="200"/>
        <w:rPr>
          <w:rFonts w:hint="eastAsia" w:ascii="宋体" w:hAnsi="宋体" w:eastAsia="宋体" w:cs="宋体"/>
          <w:b/>
          <w:szCs w:val="21"/>
        </w:rPr>
      </w:pPr>
      <w:r>
        <w:rPr>
          <w:rFonts w:hint="eastAsia" w:ascii="宋体" w:hAnsi="宋体" w:eastAsia="宋体" w:cs="宋体"/>
          <w:b/>
          <w:szCs w:val="21"/>
        </w:rPr>
        <w:t>1.03其它规定</w:t>
      </w:r>
    </w:p>
    <w:p w14:paraId="7C0F9B57">
      <w:pPr>
        <w:ind w:firstLine="420"/>
        <w:rPr>
          <w:rFonts w:hint="eastAsia" w:ascii="宋体" w:hAnsi="宋体" w:eastAsia="宋体" w:cs="宋体"/>
          <w:szCs w:val="21"/>
        </w:rPr>
      </w:pPr>
      <w:r>
        <w:rPr>
          <w:rFonts w:hint="eastAsia" w:ascii="宋体" w:hAnsi="宋体" w:eastAsia="宋体" w:cs="宋体"/>
          <w:szCs w:val="21"/>
        </w:rPr>
        <w:t>1.凡规范(本规范与其他规范)中未规定的任何细节，或在涉及到任何条款的细节说明时若没有明显的规定，都应认为指的是经发包人同意的我国公路工程的正常作法。</w:t>
      </w:r>
    </w:p>
    <w:p w14:paraId="693D73F6">
      <w:pPr>
        <w:ind w:firstLine="400" w:firstLineChars="200"/>
        <w:rPr>
          <w:rFonts w:hint="eastAsia" w:ascii="宋体" w:hAnsi="宋体" w:eastAsia="宋体" w:cs="宋体"/>
          <w:b/>
          <w:szCs w:val="21"/>
        </w:rPr>
      </w:pPr>
      <w:r>
        <w:rPr>
          <w:rFonts w:hint="eastAsia" w:ascii="宋体" w:hAnsi="宋体" w:eastAsia="宋体" w:cs="宋体"/>
          <w:szCs w:val="21"/>
        </w:rPr>
        <w:t>2. 路基及其附属工程的日常养护及小修养护施工应按《公路养护技术规范》、《公路路基施工技术规范》、《公路技术状况评定标准》及业主的要求指示进行施工。</w:t>
      </w:r>
    </w:p>
    <w:p w14:paraId="7CCB4219">
      <w:pPr>
        <w:spacing w:beforeLines="30" w:afterLines="30" w:line="360" w:lineRule="exact"/>
        <w:ind w:firstLine="482"/>
        <w:jc w:val="center"/>
        <w:rPr>
          <w:rFonts w:hint="eastAsia" w:ascii="宋体" w:hAnsi="宋体" w:eastAsia="宋体" w:cs="宋体"/>
          <w:b/>
          <w:sz w:val="24"/>
        </w:rPr>
      </w:pPr>
      <w:r>
        <w:rPr>
          <w:rFonts w:hint="eastAsia" w:ascii="宋体" w:hAnsi="宋体" w:eastAsia="宋体" w:cs="宋体"/>
          <w:b/>
          <w:sz w:val="24"/>
        </w:rPr>
        <w:t>第2节  计量、考核</w:t>
      </w:r>
    </w:p>
    <w:p w14:paraId="45B103FC">
      <w:pPr>
        <w:spacing w:line="300" w:lineRule="exact"/>
        <w:ind w:firstLine="422"/>
        <w:rPr>
          <w:rFonts w:hint="eastAsia" w:ascii="宋体" w:hAnsi="宋体" w:eastAsia="宋体" w:cs="宋体"/>
          <w:b/>
          <w:szCs w:val="21"/>
        </w:rPr>
      </w:pPr>
      <w:bookmarkStart w:id="68" w:name="_Toc38211606"/>
      <w:bookmarkStart w:id="69" w:name="_Toc38211470"/>
      <w:r>
        <w:rPr>
          <w:rFonts w:hint="eastAsia" w:ascii="宋体" w:hAnsi="宋体" w:eastAsia="宋体" w:cs="宋体"/>
          <w:b/>
          <w:szCs w:val="21"/>
        </w:rPr>
        <w:t>2.01 各支付项的范围</w:t>
      </w:r>
    </w:p>
    <w:p w14:paraId="0644C57A">
      <w:pPr>
        <w:ind w:firstLine="420"/>
        <w:rPr>
          <w:rFonts w:hint="eastAsia" w:ascii="宋体" w:hAnsi="宋体" w:eastAsia="宋体" w:cs="宋体"/>
          <w:szCs w:val="21"/>
        </w:rPr>
      </w:pPr>
      <w:r>
        <w:rPr>
          <w:rFonts w:hint="eastAsia" w:ascii="宋体" w:hAnsi="宋体" w:eastAsia="宋体" w:cs="宋体"/>
          <w:szCs w:val="21"/>
        </w:rPr>
        <w:t>详见工程量清单第200章。其中第20</w:t>
      </w:r>
      <w:r>
        <w:rPr>
          <w:rFonts w:hint="eastAsia" w:ascii="宋体" w:hAnsi="宋体" w:eastAsia="宋体" w:cs="宋体"/>
          <w:szCs w:val="21"/>
          <w:lang w:val="en-US" w:eastAsia="zh-CN"/>
        </w:rPr>
        <w:t>2-1</w:t>
      </w:r>
      <w:r>
        <w:rPr>
          <w:rFonts w:hint="eastAsia" w:ascii="宋体" w:hAnsi="宋体" w:eastAsia="宋体" w:cs="宋体"/>
          <w:szCs w:val="21"/>
        </w:rPr>
        <w:t>子目以合同总价按12个月平均等额计量；其他子目清单量为暂估量，以签证的实际发生量按合同价进行计量。超出清单范围的工程量，必须履行变更手续，经发包人及监理工程师认可签证后方可进行变更计量。</w:t>
      </w:r>
    </w:p>
    <w:p w14:paraId="3271CD75">
      <w:pPr>
        <w:ind w:firstLine="400" w:firstLineChars="200"/>
        <w:rPr>
          <w:rFonts w:hint="eastAsia" w:ascii="宋体" w:hAnsi="宋体" w:eastAsia="宋体" w:cs="宋体"/>
          <w:color w:val="C00000"/>
          <w:szCs w:val="21"/>
        </w:rPr>
      </w:pPr>
    </w:p>
    <w:p w14:paraId="5366EAEC">
      <w:pPr>
        <w:rPr>
          <w:rFonts w:hint="eastAsia" w:ascii="宋体" w:hAnsi="宋体" w:eastAsia="宋体" w:cs="宋体"/>
          <w:szCs w:val="21"/>
        </w:rPr>
      </w:pPr>
      <w:r>
        <w:rPr>
          <w:rFonts w:hint="eastAsia" w:ascii="宋体" w:hAnsi="宋体" w:eastAsia="宋体" w:cs="宋体"/>
          <w:szCs w:val="21"/>
        </w:rPr>
        <w:t>2.02  考核</w:t>
      </w:r>
    </w:p>
    <w:p w14:paraId="095036AE">
      <w:pPr>
        <w:ind w:firstLine="400" w:firstLineChars="200"/>
        <w:rPr>
          <w:rFonts w:hint="eastAsia" w:ascii="宋体" w:hAnsi="宋体" w:eastAsia="宋体" w:cs="宋体"/>
          <w:szCs w:val="21"/>
        </w:rPr>
      </w:pPr>
      <w:r>
        <w:rPr>
          <w:rFonts w:hint="eastAsia" w:ascii="宋体" w:hAnsi="宋体" w:eastAsia="宋体" w:cs="宋体"/>
          <w:szCs w:val="21"/>
        </w:rPr>
        <w:t>按照考核标准（扣分制）进行考核。</w:t>
      </w:r>
    </w:p>
    <w:p w14:paraId="62EF2973">
      <w:pPr>
        <w:ind w:firstLine="400" w:firstLineChars="200"/>
        <w:rPr>
          <w:rFonts w:hint="eastAsia" w:ascii="宋体" w:hAnsi="宋体" w:eastAsia="宋体" w:cs="宋体"/>
          <w:color w:val="C00000"/>
          <w:szCs w:val="21"/>
        </w:rPr>
      </w:pPr>
    </w:p>
    <w:p w14:paraId="7E6A7319">
      <w:pPr>
        <w:pStyle w:val="54"/>
        <w:ind w:left="0" w:leftChars="0" w:firstLine="0" w:firstLineChars="0"/>
        <w:rPr>
          <w:rFonts w:hint="eastAsia" w:ascii="宋体" w:hAnsi="宋体" w:eastAsia="宋体" w:cs="宋体"/>
          <w:color w:val="C00000"/>
        </w:rPr>
      </w:pPr>
    </w:p>
    <w:bookmarkEnd w:id="68"/>
    <w:bookmarkEnd w:id="69"/>
    <w:p w14:paraId="3349170E">
      <w:pPr>
        <w:jc w:val="center"/>
        <w:rPr>
          <w:rFonts w:hint="eastAsia" w:ascii="宋体" w:hAnsi="宋体" w:eastAsia="宋体" w:cs="宋体"/>
          <w:b/>
          <w:sz w:val="36"/>
          <w:szCs w:val="36"/>
        </w:rPr>
      </w:pPr>
      <w:bookmarkStart w:id="70" w:name="_Toc229655949"/>
    </w:p>
    <w:p w14:paraId="1015A169">
      <w:pPr>
        <w:jc w:val="center"/>
        <w:rPr>
          <w:rFonts w:hint="eastAsia" w:ascii="宋体" w:hAnsi="宋体" w:eastAsia="宋体" w:cs="宋体"/>
          <w:b/>
          <w:sz w:val="36"/>
          <w:szCs w:val="36"/>
        </w:rPr>
      </w:pPr>
      <w:r>
        <w:rPr>
          <w:rFonts w:hint="eastAsia" w:ascii="宋体" w:hAnsi="宋体" w:eastAsia="宋体" w:cs="宋体"/>
          <w:b/>
          <w:sz w:val="36"/>
          <w:szCs w:val="36"/>
        </w:rPr>
        <w:t>第3章 路  面</w:t>
      </w:r>
      <w:bookmarkEnd w:id="70"/>
    </w:p>
    <w:p w14:paraId="08898BC0">
      <w:pPr>
        <w:spacing w:beforeLines="30" w:afterLines="30" w:line="360" w:lineRule="exact"/>
        <w:ind w:firstLine="482"/>
        <w:jc w:val="center"/>
        <w:rPr>
          <w:rFonts w:hint="eastAsia" w:ascii="宋体" w:hAnsi="宋体" w:eastAsia="宋体" w:cs="宋体"/>
          <w:b/>
          <w:sz w:val="24"/>
        </w:rPr>
      </w:pPr>
      <w:bookmarkStart w:id="71" w:name="_Toc229655956"/>
      <w:r>
        <w:rPr>
          <w:rFonts w:hint="eastAsia" w:ascii="宋体" w:hAnsi="宋体" w:eastAsia="宋体" w:cs="宋体"/>
          <w:b/>
          <w:sz w:val="24"/>
        </w:rPr>
        <w:t>第1节 路况巡查</w:t>
      </w:r>
    </w:p>
    <w:p w14:paraId="21086EA1">
      <w:pPr>
        <w:spacing w:line="300" w:lineRule="exact"/>
        <w:ind w:firstLine="422"/>
        <w:rPr>
          <w:rFonts w:hint="eastAsia" w:ascii="宋体" w:hAnsi="宋体" w:eastAsia="宋体" w:cs="宋体"/>
          <w:b/>
          <w:szCs w:val="21"/>
        </w:rPr>
      </w:pPr>
      <w:r>
        <w:rPr>
          <w:rFonts w:hint="eastAsia" w:ascii="宋体" w:hAnsi="宋体" w:eastAsia="宋体" w:cs="宋体"/>
          <w:b/>
          <w:szCs w:val="21"/>
        </w:rPr>
        <w:t>1.01 一般要求</w:t>
      </w:r>
    </w:p>
    <w:p w14:paraId="6C799A4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1.本章路况巡查、检查包括路况日常巡视、检查和雨雪冰雾等恶劣天气和异常情况下的专项巡查、检查，两种巡查应相互补充。</w:t>
      </w:r>
    </w:p>
    <w:p w14:paraId="6F854BA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应努力做好日常巡视和检查工作，及时发现公路及其附属设施的损坏情况和影响交通的路障以确保行车安全；掌握、收集公路路况和交通信息，及时报送相关材料及报表，以便及时制定公路病害处理计划。</w:t>
      </w:r>
    </w:p>
    <w:p w14:paraId="4B68594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3.积极配合做好管辖路段状况的监督管理工作，并及时向交通运输综合执法部门汇报：（1）红线范围内出现新建构筑物及建筑倾向；(2)路损设施；(3)盗窃、破坏路产路权行为。</w:t>
      </w:r>
    </w:p>
    <w:p w14:paraId="0DC22003">
      <w:pPr>
        <w:spacing w:line="300" w:lineRule="exact"/>
        <w:ind w:firstLine="422"/>
        <w:rPr>
          <w:rFonts w:hint="eastAsia" w:ascii="宋体" w:hAnsi="宋体" w:eastAsia="宋体" w:cs="宋体"/>
          <w:b/>
          <w:szCs w:val="21"/>
        </w:rPr>
      </w:pPr>
      <w:r>
        <w:rPr>
          <w:rFonts w:hint="eastAsia" w:ascii="宋体" w:hAnsi="宋体" w:eastAsia="宋体" w:cs="宋体"/>
          <w:b/>
          <w:szCs w:val="21"/>
        </w:rPr>
        <w:t>1.02 巡查内容、方法及频次</w:t>
      </w:r>
    </w:p>
    <w:p w14:paraId="67DD54B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巡查内容涵盖路基、路面、桥涵、安全设施、绿化及环境保护设施等，具体参见施工图。</w:t>
      </w:r>
    </w:p>
    <w:p w14:paraId="3093ED2F">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巡查方法主要采取以车行巡查为主，辅以人工步巡观察、摄影或摄像、测量，并进行巡查记录的方法。</w:t>
      </w:r>
    </w:p>
    <w:p w14:paraId="00795C4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日常巡查检查频次： 每月车巡不低于10次，每3月步巡检查不低于1次；</w:t>
      </w:r>
    </w:p>
    <w:p w14:paraId="2815E9F8">
      <w:pPr>
        <w:pStyle w:val="121"/>
        <w:ind w:left="2290" w:leftChars="200" w:hanging="1890" w:hangingChars="9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专项巡查检查频次：中雨及以上持续降雨超过2小时，应在降雨中全路线巡查1次；大风过后应全路线巡查1次；大雾后对解除封闭的路段应巡查1次；降雪除冰阶段进行不间断巡查；其他异常情况解除后应对异常情况发生路段巡查1次；</w:t>
      </w:r>
    </w:p>
    <w:p w14:paraId="137DC847">
      <w:pPr>
        <w:pStyle w:val="121"/>
        <w:ind w:left="2290" w:leftChars="200" w:hanging="1890" w:hangingChars="9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其他巡查检查：按照上级要求、文明城市创建部署以及业主监理工作指令开展的其他特殊巡查检查。</w:t>
      </w:r>
    </w:p>
    <w:p w14:paraId="75936B71">
      <w:pPr>
        <w:spacing w:line="300" w:lineRule="exact"/>
        <w:ind w:firstLine="422"/>
        <w:rPr>
          <w:rFonts w:hint="eastAsia" w:ascii="宋体" w:hAnsi="宋体" w:eastAsia="宋体" w:cs="宋体"/>
          <w:b/>
          <w:szCs w:val="21"/>
        </w:rPr>
      </w:pPr>
      <w:r>
        <w:rPr>
          <w:rFonts w:hint="eastAsia" w:ascii="宋体" w:hAnsi="宋体" w:eastAsia="宋体" w:cs="宋体"/>
          <w:b/>
          <w:szCs w:val="21"/>
        </w:rPr>
        <w:t>1.03 巡查管理</w:t>
      </w:r>
    </w:p>
    <w:p w14:paraId="04E48FBD">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1.承包人应按巡查要求进行检查人员的培训，使其掌握巡视和检查技术，并配备必要的设备和车辆。</w:t>
      </w:r>
    </w:p>
    <w:p w14:paraId="3D1D1C6F">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2.承包人除认真进行公路外业巡查外，还应按月统计、汇总公路病害，并报送日常巡查月报表。若巡查发现公路重大险情或明显影响行车安全的公路隐患，承包人应在1小时内迅速上报发包人, 并在现场采取必要的临时防范措施。</w:t>
      </w:r>
    </w:p>
    <w:p w14:paraId="63CB49D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3.下雨或汛期、冰雪或大风时，应及时加强日常巡查次数和巡查内容，并加大沿线跨河溪桥梁下部结构的巡视和检查。</w:t>
      </w:r>
    </w:p>
    <w:p w14:paraId="422B424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4.对上下高边坡、半填半挖防护或挡土墙，应重点详细巡视和检查。</w:t>
      </w:r>
    </w:p>
    <w:p w14:paraId="3FEDA0BE">
      <w:pPr>
        <w:spacing w:line="300" w:lineRule="exact"/>
        <w:ind w:firstLine="422"/>
        <w:rPr>
          <w:rFonts w:hint="eastAsia" w:ascii="宋体" w:hAnsi="宋体" w:eastAsia="宋体" w:cs="宋体"/>
          <w:b/>
          <w:szCs w:val="21"/>
        </w:rPr>
      </w:pPr>
      <w:r>
        <w:rPr>
          <w:rFonts w:hint="eastAsia" w:ascii="宋体" w:hAnsi="宋体" w:eastAsia="宋体" w:cs="宋体"/>
          <w:b/>
          <w:szCs w:val="21"/>
        </w:rPr>
        <w:t>1.04 路况巡查记录及报告</w:t>
      </w:r>
    </w:p>
    <w:p w14:paraId="340957D5">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1.路况巡查记录及报告应记录详实、报送及时，巡查月报表每月提交一次；</w:t>
      </w:r>
    </w:p>
    <w:p w14:paraId="0EE5AA4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2.路况巡查记录及报告应包括以下内容：巡查参加人员、巡查路段及部位、巡查结果（包括对巡查部位的评价）、处理措施（包括预期多长时间处理完毕）。</w:t>
      </w:r>
    </w:p>
    <w:p w14:paraId="7E3942F9">
      <w:pPr>
        <w:spacing w:beforeLines="30" w:afterLines="30" w:line="360" w:lineRule="exact"/>
        <w:ind w:firstLine="482"/>
        <w:jc w:val="center"/>
        <w:rPr>
          <w:rFonts w:hint="eastAsia" w:ascii="宋体" w:hAnsi="宋体" w:eastAsia="宋体" w:cs="宋体"/>
          <w:b/>
          <w:sz w:val="24"/>
        </w:rPr>
      </w:pPr>
    </w:p>
    <w:p w14:paraId="19818FBB">
      <w:pPr>
        <w:spacing w:beforeLines="30" w:afterLines="30" w:line="360" w:lineRule="exact"/>
        <w:ind w:firstLine="482"/>
        <w:jc w:val="center"/>
        <w:rPr>
          <w:rFonts w:hint="eastAsia" w:ascii="宋体" w:hAnsi="宋体" w:eastAsia="宋体" w:cs="宋体"/>
          <w:b/>
          <w:sz w:val="24"/>
        </w:rPr>
      </w:pPr>
      <w:r>
        <w:rPr>
          <w:rFonts w:hint="eastAsia" w:ascii="宋体" w:hAnsi="宋体" w:eastAsia="宋体" w:cs="宋体"/>
          <w:b/>
          <w:sz w:val="24"/>
        </w:rPr>
        <w:t>第2节 路面清扫</w:t>
      </w:r>
    </w:p>
    <w:p w14:paraId="13C638DF">
      <w:pPr>
        <w:spacing w:line="300" w:lineRule="exact"/>
        <w:ind w:firstLine="422"/>
        <w:rPr>
          <w:rFonts w:hint="eastAsia" w:ascii="宋体" w:hAnsi="宋体" w:eastAsia="宋体" w:cs="宋体"/>
          <w:b/>
          <w:szCs w:val="21"/>
        </w:rPr>
      </w:pPr>
      <w:r>
        <w:rPr>
          <w:rFonts w:hint="eastAsia" w:ascii="宋体" w:hAnsi="宋体" w:eastAsia="宋体" w:cs="宋体"/>
          <w:b/>
          <w:szCs w:val="21"/>
        </w:rPr>
        <w:t>2.01 范围</w:t>
      </w:r>
    </w:p>
    <w:p w14:paraId="3E4B64CE">
      <w:pPr>
        <w:ind w:firstLine="400" w:firstLineChars="200"/>
        <w:rPr>
          <w:rFonts w:hint="eastAsia" w:ascii="宋体" w:hAnsi="宋体" w:eastAsia="宋体" w:cs="宋体"/>
          <w:szCs w:val="21"/>
        </w:rPr>
      </w:pPr>
      <w:r>
        <w:rPr>
          <w:rFonts w:hint="eastAsia" w:ascii="宋体" w:hAnsi="宋体" w:eastAsia="宋体" w:cs="宋体"/>
          <w:szCs w:val="21"/>
        </w:rPr>
        <w:t>日常保养：</w:t>
      </w:r>
    </w:p>
    <w:p w14:paraId="554DDBE4">
      <w:pPr>
        <w:ind w:firstLine="400" w:firstLineChars="200"/>
        <w:rPr>
          <w:rFonts w:hint="eastAsia" w:ascii="宋体" w:hAnsi="宋体" w:eastAsia="宋体" w:cs="宋体"/>
          <w:szCs w:val="21"/>
        </w:rPr>
      </w:pPr>
      <w:r>
        <w:rPr>
          <w:rFonts w:hint="eastAsia" w:ascii="宋体" w:hAnsi="宋体" w:eastAsia="宋体" w:cs="宋体"/>
          <w:szCs w:val="21"/>
        </w:rPr>
        <w:t>（1）清除路面泥土、杂物，保持路面整洁；</w:t>
      </w:r>
    </w:p>
    <w:p w14:paraId="76B34758">
      <w:pPr>
        <w:ind w:firstLine="400" w:firstLineChars="200"/>
        <w:rPr>
          <w:rFonts w:hint="eastAsia" w:ascii="宋体" w:hAnsi="宋体" w:eastAsia="宋体" w:cs="宋体"/>
          <w:szCs w:val="21"/>
        </w:rPr>
      </w:pPr>
      <w:r>
        <w:rPr>
          <w:rFonts w:hint="eastAsia" w:ascii="宋体" w:hAnsi="宋体" w:eastAsia="宋体" w:cs="宋体"/>
          <w:szCs w:val="21"/>
        </w:rPr>
        <w:t>（2）排除路面积水、积雪、积冰、积砂，铺防滑料、灭尘剂或压实积雪维持交通；</w:t>
      </w:r>
    </w:p>
    <w:p w14:paraId="37146064">
      <w:pPr>
        <w:ind w:firstLine="400" w:firstLineChars="200"/>
        <w:rPr>
          <w:rFonts w:hint="eastAsia" w:ascii="宋体" w:hAnsi="宋体" w:eastAsia="宋体" w:cs="宋体"/>
          <w:szCs w:val="21"/>
        </w:rPr>
      </w:pPr>
      <w:r>
        <w:rPr>
          <w:rFonts w:hint="eastAsia" w:ascii="宋体" w:hAnsi="宋体" w:eastAsia="宋体" w:cs="宋体"/>
          <w:szCs w:val="21"/>
        </w:rPr>
        <w:t>（3）护栏、警示桩、道口桩、轮廓标、公里牌、百米牌等设施的清洗等；</w:t>
      </w:r>
    </w:p>
    <w:p w14:paraId="566E2F67">
      <w:pPr>
        <w:ind w:firstLine="402" w:firstLineChars="200"/>
        <w:rPr>
          <w:rFonts w:hint="eastAsia" w:ascii="宋体" w:hAnsi="宋体" w:eastAsia="宋体" w:cs="宋体"/>
          <w:b/>
          <w:szCs w:val="21"/>
        </w:rPr>
      </w:pPr>
      <w:r>
        <w:rPr>
          <w:rFonts w:hint="eastAsia" w:ascii="宋体" w:hAnsi="宋体" w:eastAsia="宋体" w:cs="宋体"/>
          <w:b/>
          <w:szCs w:val="21"/>
        </w:rPr>
        <w:t>2.02  一般要求</w:t>
      </w:r>
    </w:p>
    <w:p w14:paraId="21192275">
      <w:pPr>
        <w:ind w:firstLine="400" w:firstLineChars="200"/>
        <w:rPr>
          <w:rFonts w:hint="eastAsia" w:ascii="宋体" w:hAnsi="宋体" w:eastAsia="宋体" w:cs="宋体"/>
          <w:szCs w:val="21"/>
        </w:rPr>
      </w:pPr>
      <w:r>
        <w:rPr>
          <w:rFonts w:hint="eastAsia" w:ascii="宋体" w:hAnsi="宋体" w:eastAsia="宋体" w:cs="宋体"/>
          <w:szCs w:val="21"/>
        </w:rPr>
        <w:t>1.坚持清扫路面，清除路面、路肩、路基等杂物、垃圾，保证全线路容、路貌的整洁；在春运、国庆、文明城市创建等重大节日、重要时间节点期间，重点路段应增加清扫次数及清扫力量，确保路容整洁。</w:t>
      </w:r>
    </w:p>
    <w:p w14:paraId="00FA5EA6">
      <w:pPr>
        <w:ind w:firstLine="400" w:firstLineChars="200"/>
        <w:rPr>
          <w:rFonts w:hint="eastAsia" w:ascii="宋体" w:hAnsi="宋体" w:eastAsia="宋体" w:cs="宋体"/>
          <w:szCs w:val="21"/>
        </w:rPr>
      </w:pPr>
      <w:r>
        <w:rPr>
          <w:rFonts w:hint="eastAsia" w:ascii="宋体" w:hAnsi="宋体" w:eastAsia="宋体" w:cs="宋体"/>
          <w:szCs w:val="21"/>
        </w:rPr>
        <w:t>2、应每天清扫桥面杂物，保持桥面清洁；</w:t>
      </w:r>
    </w:p>
    <w:p w14:paraId="604EC367">
      <w:pPr>
        <w:ind w:firstLine="400" w:firstLineChars="200"/>
        <w:rPr>
          <w:rFonts w:hint="eastAsia" w:ascii="宋体" w:hAnsi="宋体" w:eastAsia="宋体" w:cs="宋体"/>
          <w:szCs w:val="21"/>
        </w:rPr>
      </w:pPr>
      <w:r>
        <w:rPr>
          <w:rFonts w:hint="eastAsia" w:ascii="宋体" w:hAnsi="宋体" w:eastAsia="宋体" w:cs="宋体"/>
          <w:szCs w:val="21"/>
        </w:rPr>
        <w:t>3、定期清理反光设施、隔离设施，保证版面清晰。</w:t>
      </w:r>
    </w:p>
    <w:p w14:paraId="04C32D84">
      <w:pPr>
        <w:ind w:firstLine="400" w:firstLineChars="200"/>
        <w:rPr>
          <w:rFonts w:hint="eastAsia" w:ascii="宋体" w:hAnsi="宋体" w:eastAsia="宋体" w:cs="宋体"/>
          <w:szCs w:val="21"/>
        </w:rPr>
      </w:pPr>
      <w:r>
        <w:rPr>
          <w:rFonts w:hint="eastAsia" w:ascii="宋体" w:hAnsi="宋体" w:eastAsia="宋体" w:cs="宋体"/>
          <w:szCs w:val="21"/>
        </w:rPr>
        <w:t>4.积极配合做好管辖路段状况的监督清理工作，并及时向交通运输综合执法部门汇报：（1）红线范围内出现新建建筑物及建筑倾向，(2)路损设施(3)盗窃、破坏路产路权行为；</w:t>
      </w:r>
    </w:p>
    <w:p w14:paraId="42A519C3">
      <w:pPr>
        <w:ind w:firstLine="400" w:firstLineChars="200"/>
        <w:rPr>
          <w:rFonts w:hint="eastAsia" w:ascii="宋体" w:hAnsi="宋体" w:eastAsia="宋体" w:cs="宋体"/>
          <w:szCs w:val="21"/>
        </w:rPr>
      </w:pPr>
      <w:r>
        <w:rPr>
          <w:rFonts w:hint="eastAsia" w:ascii="宋体" w:hAnsi="宋体" w:eastAsia="宋体" w:cs="宋体"/>
          <w:szCs w:val="21"/>
        </w:rPr>
        <w:t>5.积极完成发包人布置的春运、防汛、道路抢险、重大节日等重大活动的突击性养护任务；</w:t>
      </w:r>
    </w:p>
    <w:p w14:paraId="2A4C37ED">
      <w:pPr>
        <w:ind w:firstLine="400" w:firstLineChars="200"/>
        <w:rPr>
          <w:rFonts w:hint="eastAsia" w:ascii="宋体" w:hAnsi="宋体" w:eastAsia="宋体" w:cs="宋体"/>
          <w:szCs w:val="21"/>
        </w:rPr>
      </w:pPr>
      <w:r>
        <w:rPr>
          <w:rFonts w:hint="eastAsia" w:ascii="宋体" w:hAnsi="宋体" w:eastAsia="宋体" w:cs="宋体"/>
          <w:szCs w:val="21"/>
        </w:rPr>
        <w:t>6.汛期和冬季应及时清除路面积水、积雪和结冰，保障道路安全畅通；</w:t>
      </w:r>
    </w:p>
    <w:p w14:paraId="44E346F3">
      <w:pPr>
        <w:ind w:firstLine="400" w:firstLineChars="200"/>
        <w:rPr>
          <w:rFonts w:hint="eastAsia" w:ascii="宋体" w:hAnsi="宋体" w:eastAsia="宋体" w:cs="宋体"/>
          <w:szCs w:val="21"/>
        </w:rPr>
      </w:pPr>
      <w:r>
        <w:rPr>
          <w:rFonts w:hint="eastAsia" w:ascii="宋体" w:hAnsi="宋体" w:eastAsia="宋体" w:cs="宋体"/>
          <w:szCs w:val="21"/>
        </w:rPr>
        <w:t>7.应固定配置足够人员和车辆进行养护清扫作业，为作业人员配备足够的工具和安全设备；当现场保洁工作达不到要求时，承包人应随时增加保洁人员，确保路面经常保持整洁不得留有路障。</w:t>
      </w:r>
    </w:p>
    <w:p w14:paraId="07E5681D">
      <w:pPr>
        <w:ind w:firstLine="400" w:firstLineChars="200"/>
        <w:rPr>
          <w:rFonts w:hint="eastAsia" w:ascii="宋体" w:hAnsi="宋体" w:eastAsia="宋体" w:cs="宋体"/>
          <w:szCs w:val="21"/>
        </w:rPr>
      </w:pPr>
      <w:r>
        <w:rPr>
          <w:rFonts w:hint="eastAsia" w:ascii="宋体" w:hAnsi="宋体" w:eastAsia="宋体" w:cs="宋体"/>
          <w:szCs w:val="21"/>
        </w:rPr>
        <w:t>承包人进场后上报保洁实施方案，经监理工程师、发包人批复后实施，方案不满足要求，承包人无条件按要求进行调整。</w:t>
      </w:r>
    </w:p>
    <w:p w14:paraId="6BFA06CD">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8.日常保洁包括路障清理，保持日常清洁，突击检查强化保洁不另计。</w:t>
      </w:r>
    </w:p>
    <w:p w14:paraId="2FFBBD54">
      <w:pPr>
        <w:pStyle w:val="121"/>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9.发包人将对承包人工作情况进行巡视和考核，并作为计量支付的重要依据。</w:t>
      </w:r>
    </w:p>
    <w:p w14:paraId="6C6121BE">
      <w:pPr>
        <w:spacing w:line="300" w:lineRule="exact"/>
        <w:ind w:firstLine="422"/>
        <w:rPr>
          <w:rFonts w:hint="eastAsia" w:ascii="宋体" w:hAnsi="宋体" w:eastAsia="宋体" w:cs="宋体"/>
          <w:b/>
          <w:szCs w:val="21"/>
        </w:rPr>
      </w:pPr>
      <w:r>
        <w:rPr>
          <w:rFonts w:hint="eastAsia" w:ascii="宋体" w:hAnsi="宋体" w:eastAsia="宋体" w:cs="宋体"/>
          <w:b/>
          <w:szCs w:val="21"/>
        </w:rPr>
        <w:t>2.03 保洁方法及频次</w:t>
      </w:r>
    </w:p>
    <w:p w14:paraId="3F6FCD18">
      <w:pPr>
        <w:spacing w:line="300" w:lineRule="exact"/>
        <w:ind w:firstLine="422"/>
        <w:rPr>
          <w:rFonts w:hint="eastAsia" w:ascii="宋体" w:hAnsi="宋体" w:eastAsia="宋体" w:cs="宋体"/>
          <w:b/>
          <w:szCs w:val="21"/>
        </w:rPr>
      </w:pPr>
      <w:r>
        <w:rPr>
          <w:rFonts w:hint="eastAsia" w:ascii="宋体" w:hAnsi="宋体" w:eastAsia="宋体" w:cs="宋体"/>
          <w:b/>
          <w:szCs w:val="21"/>
        </w:rPr>
        <w:t>采取人工配合湿扫车、洒水车方式进行保洁作业，机械化率不低于50%。保洁频次为每月不低于</w:t>
      </w:r>
      <w:r>
        <w:rPr>
          <w:rFonts w:hint="eastAsia" w:ascii="宋体" w:hAnsi="宋体" w:eastAsia="宋体" w:cs="宋体"/>
          <w:b/>
          <w:szCs w:val="21"/>
          <w:lang w:val="en-US" w:eastAsia="zh-CN"/>
        </w:rPr>
        <w:t>5</w:t>
      </w:r>
      <w:r>
        <w:rPr>
          <w:rFonts w:hint="eastAsia" w:ascii="宋体" w:hAnsi="宋体" w:eastAsia="宋体" w:cs="宋体"/>
          <w:b/>
          <w:szCs w:val="21"/>
        </w:rPr>
        <w:t>次；</w:t>
      </w:r>
    </w:p>
    <w:p w14:paraId="2398A879">
      <w:pPr>
        <w:spacing w:line="300" w:lineRule="exact"/>
        <w:ind w:firstLine="422"/>
        <w:rPr>
          <w:rFonts w:hint="eastAsia" w:ascii="宋体" w:hAnsi="宋体" w:eastAsia="宋体" w:cs="宋体"/>
          <w:b/>
          <w:szCs w:val="21"/>
        </w:rPr>
      </w:pPr>
      <w:r>
        <w:rPr>
          <w:rFonts w:hint="eastAsia" w:ascii="宋体" w:hAnsi="宋体" w:eastAsia="宋体" w:cs="宋体"/>
          <w:b/>
          <w:szCs w:val="21"/>
        </w:rPr>
        <w:t>雨雪冰雾等天气情况下的路面保洁根据实际情况报发包人批准予以动态调整；如遇节假日、文明城市创建、重大活动等服从发包人指令加大保洁频次。</w:t>
      </w:r>
    </w:p>
    <w:p w14:paraId="3520D98D">
      <w:pPr>
        <w:spacing w:line="300" w:lineRule="exact"/>
        <w:ind w:firstLine="422"/>
        <w:rPr>
          <w:rFonts w:hint="eastAsia" w:ascii="宋体" w:hAnsi="宋体" w:eastAsia="宋体" w:cs="宋体"/>
          <w:b/>
          <w:szCs w:val="21"/>
        </w:rPr>
      </w:pPr>
      <w:r>
        <w:rPr>
          <w:rFonts w:hint="eastAsia" w:ascii="宋体" w:hAnsi="宋体" w:eastAsia="宋体" w:cs="宋体"/>
          <w:b/>
          <w:szCs w:val="21"/>
        </w:rPr>
        <w:t>护栏清洗：采取护栏清洗车进行机械化清洗作业，清洗频次为每月不低于1次。</w:t>
      </w:r>
    </w:p>
    <w:p w14:paraId="2EC8A928">
      <w:pPr>
        <w:spacing w:line="300" w:lineRule="exact"/>
        <w:ind w:firstLine="422"/>
        <w:rPr>
          <w:rFonts w:hint="eastAsia" w:ascii="宋体" w:hAnsi="宋体" w:eastAsia="宋体" w:cs="宋体"/>
          <w:b/>
          <w:szCs w:val="21"/>
        </w:rPr>
      </w:pPr>
      <w:r>
        <w:rPr>
          <w:rFonts w:hint="eastAsia" w:ascii="宋体" w:hAnsi="宋体" w:eastAsia="宋体" w:cs="宋体"/>
          <w:b/>
          <w:szCs w:val="21"/>
        </w:rPr>
        <w:t>标志牌、道口桩等设施主要采取人工的方式进行擦洗，清洗频次为每月不低于1次。</w:t>
      </w:r>
    </w:p>
    <w:p w14:paraId="301746BA">
      <w:pPr>
        <w:spacing w:line="300" w:lineRule="exact"/>
        <w:ind w:firstLine="422"/>
        <w:rPr>
          <w:rFonts w:hint="eastAsia" w:ascii="宋体" w:hAnsi="宋体" w:eastAsia="宋体" w:cs="宋体"/>
          <w:b/>
          <w:szCs w:val="21"/>
        </w:rPr>
      </w:pPr>
      <w:r>
        <w:rPr>
          <w:rFonts w:hint="eastAsia" w:ascii="宋体" w:hAnsi="宋体" w:eastAsia="宋体" w:cs="宋体"/>
          <w:b/>
          <w:szCs w:val="21"/>
        </w:rPr>
        <w:t>如遇特殊时段增加清洗次数。</w:t>
      </w:r>
    </w:p>
    <w:p w14:paraId="1DEE7708">
      <w:pPr>
        <w:spacing w:line="360" w:lineRule="exact"/>
        <w:ind w:firstLine="482"/>
        <w:jc w:val="center"/>
        <w:rPr>
          <w:rFonts w:hint="eastAsia" w:ascii="宋体" w:hAnsi="宋体" w:eastAsia="宋体" w:cs="宋体"/>
          <w:b/>
          <w:sz w:val="24"/>
        </w:rPr>
      </w:pPr>
    </w:p>
    <w:p w14:paraId="45EB84B5">
      <w:pPr>
        <w:ind w:firstLine="723"/>
        <w:jc w:val="center"/>
        <w:rPr>
          <w:rFonts w:hint="eastAsia" w:ascii="宋体" w:hAnsi="宋体" w:eastAsia="宋体" w:cs="宋体"/>
          <w:b/>
          <w:sz w:val="36"/>
          <w:szCs w:val="36"/>
        </w:rPr>
      </w:pPr>
    </w:p>
    <w:p w14:paraId="19134BD6">
      <w:pPr>
        <w:suppressAutoHyphens/>
        <w:spacing w:beforeLines="50" w:afterLines="50" w:line="360" w:lineRule="exact"/>
        <w:ind w:firstLine="482"/>
        <w:jc w:val="center"/>
        <w:rPr>
          <w:rFonts w:hint="eastAsia" w:ascii="宋体" w:hAnsi="宋体" w:eastAsia="宋体" w:cs="宋体"/>
          <w:b/>
          <w:bCs/>
          <w:sz w:val="24"/>
        </w:rPr>
      </w:pPr>
      <w:r>
        <w:rPr>
          <w:rFonts w:hint="eastAsia" w:ascii="宋体" w:hAnsi="宋体" w:eastAsia="宋体" w:cs="宋体"/>
          <w:b/>
          <w:bCs/>
          <w:sz w:val="24"/>
        </w:rPr>
        <w:t>第3节  沥青路面小修养护</w:t>
      </w:r>
    </w:p>
    <w:p w14:paraId="368641D2">
      <w:pPr>
        <w:ind w:firstLine="422"/>
        <w:rPr>
          <w:rFonts w:hint="eastAsia" w:ascii="宋体" w:hAnsi="宋体" w:eastAsia="宋体" w:cs="宋体"/>
          <w:color w:val="0000FF"/>
          <w:szCs w:val="21"/>
        </w:rPr>
      </w:pPr>
      <w:r>
        <w:rPr>
          <w:rFonts w:hint="eastAsia" w:ascii="宋体" w:hAnsi="宋体" w:eastAsia="宋体" w:cs="宋体"/>
          <w:b/>
          <w:szCs w:val="21"/>
        </w:rPr>
        <w:t>3.01  范围</w:t>
      </w:r>
    </w:p>
    <w:p w14:paraId="093EEC71">
      <w:pPr>
        <w:ind w:firstLine="422"/>
        <w:rPr>
          <w:rFonts w:hint="eastAsia" w:ascii="宋体" w:hAnsi="宋体" w:eastAsia="宋体" w:cs="宋体"/>
          <w:szCs w:val="21"/>
        </w:rPr>
      </w:pPr>
      <w:r>
        <w:rPr>
          <w:rFonts w:hint="eastAsia" w:ascii="宋体" w:hAnsi="宋体" w:eastAsia="宋体" w:cs="宋体"/>
          <w:szCs w:val="21"/>
        </w:rPr>
        <w:t>（1）沥青路面修补坑槽、沉陷、处理波浪、局部龟裂、啃边等病害；处理沥青路面的泛油、拥包、裂缝、松散等病害；</w:t>
      </w:r>
    </w:p>
    <w:p w14:paraId="6DA74121">
      <w:pPr>
        <w:ind w:firstLine="422"/>
        <w:rPr>
          <w:rFonts w:hint="eastAsia" w:ascii="宋体" w:hAnsi="宋体" w:eastAsia="宋体" w:cs="宋体"/>
          <w:szCs w:val="21"/>
        </w:rPr>
      </w:pPr>
      <w:r>
        <w:rPr>
          <w:rFonts w:hint="eastAsia" w:ascii="宋体" w:hAnsi="宋体" w:eastAsia="宋体" w:cs="宋体"/>
          <w:szCs w:val="21"/>
        </w:rPr>
        <w:t>（2）灌封胶处理纵、横缝；</w:t>
      </w:r>
    </w:p>
    <w:p w14:paraId="786D97E2">
      <w:pPr>
        <w:ind w:firstLine="422"/>
        <w:rPr>
          <w:rFonts w:hint="eastAsia" w:ascii="宋体" w:hAnsi="宋体" w:eastAsia="宋体" w:cs="宋体"/>
          <w:szCs w:val="21"/>
        </w:rPr>
      </w:pPr>
      <w:r>
        <w:rPr>
          <w:rFonts w:hint="eastAsia" w:ascii="宋体" w:hAnsi="宋体" w:eastAsia="宋体" w:cs="宋体"/>
          <w:szCs w:val="21"/>
        </w:rPr>
        <w:t>基层病害处理；</w:t>
      </w:r>
    </w:p>
    <w:p w14:paraId="4CBFA9CF">
      <w:pPr>
        <w:ind w:firstLine="422"/>
        <w:rPr>
          <w:rFonts w:hint="eastAsia" w:ascii="宋体" w:hAnsi="宋体" w:eastAsia="宋体" w:cs="宋体"/>
          <w:szCs w:val="21"/>
        </w:rPr>
      </w:pPr>
      <w:r>
        <w:rPr>
          <w:rFonts w:hint="eastAsia" w:ascii="宋体" w:hAnsi="宋体" w:eastAsia="宋体" w:cs="宋体"/>
          <w:szCs w:val="21"/>
        </w:rPr>
        <w:t>（4）路缘石的修理和更换。</w:t>
      </w:r>
    </w:p>
    <w:p w14:paraId="39D41FC0">
      <w:pPr>
        <w:ind w:firstLine="422"/>
        <w:rPr>
          <w:rFonts w:hint="eastAsia" w:ascii="宋体" w:hAnsi="宋体" w:eastAsia="宋体" w:cs="宋体"/>
          <w:b/>
          <w:szCs w:val="21"/>
        </w:rPr>
      </w:pPr>
      <w:r>
        <w:rPr>
          <w:rFonts w:hint="eastAsia" w:ascii="宋体" w:hAnsi="宋体" w:eastAsia="宋体" w:cs="宋体"/>
          <w:b/>
          <w:szCs w:val="21"/>
        </w:rPr>
        <w:t>3.02  材料</w:t>
      </w:r>
    </w:p>
    <w:p w14:paraId="062EC6E0">
      <w:pPr>
        <w:ind w:firstLine="422"/>
        <w:rPr>
          <w:rFonts w:hint="eastAsia" w:ascii="宋体" w:hAnsi="宋体" w:eastAsia="宋体" w:cs="宋体"/>
          <w:szCs w:val="21"/>
        </w:rPr>
      </w:pPr>
      <w:r>
        <w:rPr>
          <w:rFonts w:hint="eastAsia" w:ascii="宋体" w:hAnsi="宋体" w:eastAsia="宋体" w:cs="宋体"/>
          <w:szCs w:val="21"/>
        </w:rPr>
        <w:t>路面维修所需原材料、半成品、成品均必须符合公路养护工程相关技术标准；并按照发包人和监理工程师要求进行检测，费用由承包人承担。</w:t>
      </w:r>
    </w:p>
    <w:p w14:paraId="36044C90">
      <w:pPr>
        <w:ind w:firstLine="422"/>
        <w:rPr>
          <w:rFonts w:hint="eastAsia" w:ascii="宋体" w:hAnsi="宋体" w:eastAsia="宋体" w:cs="宋体"/>
          <w:b/>
          <w:szCs w:val="21"/>
        </w:rPr>
      </w:pPr>
      <w:r>
        <w:rPr>
          <w:rFonts w:hint="eastAsia" w:ascii="宋体" w:hAnsi="宋体" w:eastAsia="宋体" w:cs="宋体"/>
          <w:b/>
          <w:szCs w:val="21"/>
        </w:rPr>
        <w:t>3.03  路面养护</w:t>
      </w:r>
    </w:p>
    <w:p w14:paraId="482F1EA6">
      <w:pPr>
        <w:widowControl/>
        <w:autoSpaceDE w:val="0"/>
        <w:autoSpaceDN w:val="0"/>
        <w:adjustRightInd w:val="0"/>
        <w:snapToGrid w:val="0"/>
        <w:ind w:firstLine="422"/>
        <w:textAlignment w:val="bottom"/>
        <w:rPr>
          <w:rFonts w:hint="eastAsia" w:ascii="宋体" w:hAnsi="宋体" w:eastAsia="宋体" w:cs="宋体"/>
          <w:b/>
          <w:szCs w:val="21"/>
        </w:rPr>
      </w:pPr>
      <w:r>
        <w:rPr>
          <w:rFonts w:hint="eastAsia" w:ascii="宋体" w:hAnsi="宋体" w:eastAsia="宋体" w:cs="宋体"/>
          <w:b/>
          <w:szCs w:val="21"/>
        </w:rPr>
        <w:t>3.03.01 基本要求:</w:t>
      </w:r>
    </w:p>
    <w:p w14:paraId="0E76A5F2">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1.各种病害处理(灌封胶灌缝、沥青砼坑槽修复、填充式大粒径水稳施工、路缘石维修与更换必须严格按照施工规范和施工图要求进行，修复后的路面必须达到规范质量要求，恢复路面功能要求；</w:t>
      </w:r>
    </w:p>
    <w:p w14:paraId="4DE8BBB3">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2.保证小修养护工作的及时性,保质保量地完成养护任务,影响行车安全的，必须在24小时内处置完毕；</w:t>
      </w:r>
    </w:p>
    <w:p w14:paraId="26CE139D">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3.坑槽开挖后，必须采用工业吸尘器清除杂物和灰尘，不得产生施工扬尘。</w:t>
      </w:r>
    </w:p>
    <w:p w14:paraId="74ED44DC">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4.施工作业必须符合公路养护安全作业规程要求，确保施工安全。</w:t>
      </w:r>
    </w:p>
    <w:p w14:paraId="4B742D61">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5.发包人将对承包人工作情况进行巡视和考核，并作为计量支付的重要依据。</w:t>
      </w:r>
    </w:p>
    <w:p w14:paraId="11105EDD">
      <w:pPr>
        <w:widowControl/>
        <w:autoSpaceDE w:val="0"/>
        <w:autoSpaceDN w:val="0"/>
        <w:adjustRightInd w:val="0"/>
        <w:snapToGrid w:val="0"/>
        <w:ind w:firstLine="422"/>
        <w:textAlignment w:val="bottom"/>
        <w:rPr>
          <w:rFonts w:hint="eastAsia" w:ascii="宋体" w:hAnsi="宋体" w:eastAsia="宋体" w:cs="宋体"/>
          <w:b/>
          <w:szCs w:val="21"/>
        </w:rPr>
      </w:pPr>
    </w:p>
    <w:p w14:paraId="1385E067">
      <w:pPr>
        <w:suppressAutoHyphens/>
        <w:spacing w:beforeLines="50" w:afterLines="50" w:line="360" w:lineRule="exact"/>
        <w:ind w:firstLine="482"/>
        <w:jc w:val="center"/>
        <w:rPr>
          <w:rFonts w:hint="eastAsia" w:ascii="宋体" w:hAnsi="宋体" w:eastAsia="宋体" w:cs="宋体"/>
          <w:b/>
          <w:bCs/>
          <w:sz w:val="24"/>
        </w:rPr>
      </w:pPr>
      <w:r>
        <w:rPr>
          <w:rFonts w:hint="eastAsia" w:ascii="宋体" w:hAnsi="宋体" w:eastAsia="宋体" w:cs="宋体"/>
          <w:b/>
          <w:bCs/>
          <w:sz w:val="24"/>
        </w:rPr>
        <w:t>第4节  计量、考核</w:t>
      </w:r>
    </w:p>
    <w:p w14:paraId="41433F70">
      <w:pPr>
        <w:widowControl/>
        <w:autoSpaceDE w:val="0"/>
        <w:autoSpaceDN w:val="0"/>
        <w:adjustRightInd w:val="0"/>
        <w:snapToGrid w:val="0"/>
        <w:ind w:firstLine="422"/>
        <w:jc w:val="center"/>
        <w:textAlignment w:val="bottom"/>
        <w:rPr>
          <w:rFonts w:hint="eastAsia" w:ascii="宋体" w:hAnsi="宋体" w:eastAsia="宋体" w:cs="宋体"/>
          <w:b/>
          <w:szCs w:val="21"/>
        </w:rPr>
      </w:pPr>
    </w:p>
    <w:p w14:paraId="670D5D7E">
      <w:pPr>
        <w:widowControl/>
        <w:autoSpaceDE w:val="0"/>
        <w:autoSpaceDN w:val="0"/>
        <w:adjustRightInd w:val="0"/>
        <w:snapToGrid w:val="0"/>
        <w:ind w:firstLine="422"/>
        <w:textAlignment w:val="bottom"/>
        <w:rPr>
          <w:rFonts w:hint="eastAsia" w:ascii="宋体" w:hAnsi="宋体" w:eastAsia="宋体" w:cs="宋体"/>
          <w:b/>
          <w:szCs w:val="21"/>
        </w:rPr>
      </w:pPr>
      <w:r>
        <w:rPr>
          <w:rFonts w:hint="eastAsia" w:ascii="宋体" w:hAnsi="宋体" w:eastAsia="宋体" w:cs="宋体"/>
          <w:b/>
          <w:szCs w:val="21"/>
        </w:rPr>
        <w:t>4.01计量</w:t>
      </w:r>
    </w:p>
    <w:p w14:paraId="1782B978">
      <w:pPr>
        <w:ind w:firstLine="402" w:firstLineChars="200"/>
        <w:rPr>
          <w:rFonts w:hint="eastAsia" w:ascii="宋体" w:hAnsi="宋体" w:eastAsia="宋体" w:cs="宋体"/>
          <w:color w:val="C00000"/>
          <w:szCs w:val="21"/>
        </w:rPr>
      </w:pPr>
      <w:r>
        <w:rPr>
          <w:rFonts w:hint="eastAsia" w:ascii="宋体" w:hAnsi="宋体" w:eastAsia="宋体" w:cs="宋体"/>
          <w:b/>
          <w:szCs w:val="21"/>
        </w:rPr>
        <w:t>详见工程量清单第300章。其中第301子目</w:t>
      </w:r>
      <w:r>
        <w:rPr>
          <w:rFonts w:hint="eastAsia" w:ascii="宋体" w:hAnsi="宋体" w:eastAsia="宋体" w:cs="宋体"/>
          <w:szCs w:val="21"/>
        </w:rPr>
        <w:t>以合同总价按12个月平均等额计量；其他子目清单量为暂估量，以签证的实际发生量按合同价进行计量。对于裂缝、坑槽等病害处理，在同一位置的养护修复处理1年内如重复发生，不予重复计量，其费用由承包人承担。超出清单范围的工程量，必须履行变更手续，经发包人及监理工程师认可签证后方可进行变更计量。</w:t>
      </w:r>
    </w:p>
    <w:p w14:paraId="22A66282">
      <w:pPr>
        <w:ind w:firstLine="400" w:firstLineChars="200"/>
        <w:rPr>
          <w:rFonts w:hint="eastAsia" w:ascii="宋体" w:hAnsi="宋体" w:eastAsia="宋体" w:cs="宋体"/>
          <w:szCs w:val="21"/>
        </w:rPr>
      </w:pPr>
    </w:p>
    <w:p w14:paraId="43E4D01C">
      <w:pPr>
        <w:ind w:firstLine="400" w:firstLineChars="200"/>
        <w:rPr>
          <w:rFonts w:hint="eastAsia" w:ascii="宋体" w:hAnsi="宋体" w:eastAsia="宋体" w:cs="宋体"/>
          <w:szCs w:val="21"/>
        </w:rPr>
      </w:pPr>
      <w:r>
        <w:rPr>
          <w:rFonts w:hint="eastAsia" w:ascii="宋体" w:hAnsi="宋体" w:eastAsia="宋体" w:cs="宋体"/>
          <w:szCs w:val="21"/>
        </w:rPr>
        <w:t>4.02  考核</w:t>
      </w:r>
    </w:p>
    <w:p w14:paraId="4E9D66CE">
      <w:pPr>
        <w:ind w:firstLine="400" w:firstLineChars="200"/>
        <w:rPr>
          <w:rFonts w:hint="eastAsia" w:ascii="宋体" w:hAnsi="宋体" w:eastAsia="宋体" w:cs="宋体"/>
          <w:szCs w:val="21"/>
        </w:rPr>
      </w:pPr>
      <w:r>
        <w:rPr>
          <w:rFonts w:hint="eastAsia" w:ascii="宋体" w:hAnsi="宋体" w:eastAsia="宋体" w:cs="宋体"/>
          <w:szCs w:val="21"/>
        </w:rPr>
        <w:t>按照考核标准（扣分制）进行考核。</w:t>
      </w:r>
    </w:p>
    <w:p w14:paraId="0A3DBFC7">
      <w:pPr>
        <w:ind w:firstLine="723"/>
        <w:jc w:val="center"/>
        <w:rPr>
          <w:rFonts w:hint="eastAsia" w:ascii="宋体" w:hAnsi="宋体" w:eastAsia="宋体" w:cs="宋体"/>
          <w:b/>
          <w:sz w:val="36"/>
          <w:szCs w:val="36"/>
        </w:rPr>
      </w:pPr>
    </w:p>
    <w:bookmarkEnd w:id="71"/>
    <w:p w14:paraId="37B5DE6F">
      <w:pPr>
        <w:ind w:firstLine="723"/>
        <w:jc w:val="center"/>
        <w:rPr>
          <w:rFonts w:hint="eastAsia" w:ascii="宋体" w:hAnsi="宋体" w:eastAsia="宋体" w:cs="宋体"/>
          <w:b/>
          <w:sz w:val="36"/>
          <w:szCs w:val="36"/>
        </w:rPr>
        <w:sectPr>
          <w:pgSz w:w="11906" w:h="16838"/>
          <w:pgMar w:top="1418" w:right="1304" w:bottom="1418" w:left="1588" w:header="851" w:footer="992" w:gutter="0"/>
          <w:pgNumType w:fmt="decimal"/>
          <w:cols w:space="720" w:num="1"/>
          <w:docGrid w:linePitch="312" w:charSpace="0"/>
        </w:sectPr>
      </w:pPr>
      <w:bookmarkStart w:id="72" w:name="_Toc229655970"/>
    </w:p>
    <w:p w14:paraId="508FD40C">
      <w:pPr>
        <w:ind w:firstLine="723"/>
        <w:jc w:val="center"/>
        <w:rPr>
          <w:rFonts w:hint="eastAsia" w:ascii="宋体" w:hAnsi="宋体" w:eastAsia="宋体" w:cs="宋体"/>
          <w:b/>
          <w:sz w:val="36"/>
          <w:szCs w:val="36"/>
        </w:rPr>
      </w:pPr>
      <w:r>
        <w:rPr>
          <w:rFonts w:hint="eastAsia" w:ascii="宋体" w:hAnsi="宋体" w:eastAsia="宋体" w:cs="宋体"/>
          <w:b/>
          <w:sz w:val="36"/>
          <w:szCs w:val="36"/>
        </w:rPr>
        <w:t>第4章 桥梁、涵洞</w:t>
      </w:r>
    </w:p>
    <w:p w14:paraId="25123886">
      <w:pPr>
        <w:pStyle w:val="285"/>
        <w:spacing w:beforeLines="50" w:afterLines="50" w:line="500" w:lineRule="exact"/>
        <w:jc w:val="center"/>
        <w:rPr>
          <w:rFonts w:hint="eastAsia" w:ascii="宋体" w:hAnsi="宋体" w:eastAsia="宋体" w:cs="宋体"/>
          <w:b/>
          <w:bCs/>
          <w:sz w:val="24"/>
        </w:rPr>
      </w:pPr>
      <w:r>
        <w:rPr>
          <w:rFonts w:hint="eastAsia" w:ascii="宋体" w:hAnsi="宋体" w:eastAsia="宋体" w:cs="宋体"/>
          <w:b/>
          <w:bCs/>
          <w:sz w:val="24"/>
        </w:rPr>
        <w:t>第1节 桥涵检查维护</w:t>
      </w:r>
    </w:p>
    <w:p w14:paraId="3648863C">
      <w:pPr>
        <w:spacing w:line="300" w:lineRule="exact"/>
        <w:ind w:firstLine="422"/>
        <w:rPr>
          <w:rFonts w:hint="eastAsia" w:ascii="宋体" w:hAnsi="宋体" w:eastAsia="宋体" w:cs="宋体"/>
          <w:b/>
          <w:szCs w:val="21"/>
        </w:rPr>
      </w:pPr>
      <w:r>
        <w:rPr>
          <w:rFonts w:hint="eastAsia" w:ascii="宋体" w:hAnsi="宋体" w:eastAsia="宋体" w:cs="宋体"/>
          <w:b/>
          <w:szCs w:val="21"/>
        </w:rPr>
        <w:t>1.01 范围</w:t>
      </w:r>
    </w:p>
    <w:p w14:paraId="4ED4426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节的工作内容为本项目范围内所有的桥梁、涵洞。包括对桥梁基础、墩台、梁板、拱桥拱圈、拱上建筑、桥面铺装、桥面泄水孔、伸缩缝、护栏、锥坡、涵洞洞口（身）、八字墙修复等日常检查，并清理泄水孔、伸缩缝、涵洞清淤等日常养护工作；对桥面系、上部结构、下部结构及附属构造物的状况进行的检查维护。</w:t>
      </w:r>
    </w:p>
    <w:p w14:paraId="13C6778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日常保养：</w:t>
      </w:r>
    </w:p>
    <w:p w14:paraId="4E28A9A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（1）清除污泥、积雪、积冰、杂物，保持桥面的清洁；</w:t>
      </w:r>
    </w:p>
    <w:p w14:paraId="3E2AB5B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（2）疏通涵管，疏导桥下河槽；</w:t>
      </w:r>
    </w:p>
    <w:p w14:paraId="6C86316F">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（3）伸缩缝养护，泄水孔疏通，钢支座加润滑油，栏杆油漆；</w:t>
      </w:r>
    </w:p>
    <w:p w14:paraId="1BDA624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（4）桥涵的日常养护；</w:t>
      </w:r>
    </w:p>
    <w:p w14:paraId="6A5858B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小修：</w:t>
      </w:r>
    </w:p>
    <w:p w14:paraId="76589FD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（1）局部修理、更换桥栏杆和修理泄水孔、伸缩缝、支座和桥面的局部轻微损坏；</w:t>
      </w:r>
    </w:p>
    <w:p w14:paraId="5E6B84D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（2）修补墩、台及河床铺底和防护圬工的微小损坏；</w:t>
      </w:r>
    </w:p>
    <w:p w14:paraId="66F4F696">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（3）涵洞进出口铺筑的加固清理；</w:t>
      </w:r>
    </w:p>
    <w:p w14:paraId="2049E30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（4）通道的局部维修和疏通修理排水沟。</w:t>
      </w:r>
    </w:p>
    <w:p w14:paraId="27B7B61F">
      <w:pPr>
        <w:spacing w:line="300" w:lineRule="exact"/>
        <w:ind w:firstLine="422"/>
        <w:rPr>
          <w:rFonts w:hint="eastAsia" w:ascii="宋体" w:hAnsi="宋体" w:eastAsia="宋体" w:cs="宋体"/>
          <w:b/>
          <w:szCs w:val="21"/>
        </w:rPr>
      </w:pPr>
      <w:r>
        <w:rPr>
          <w:rFonts w:hint="eastAsia" w:ascii="宋体" w:hAnsi="宋体" w:eastAsia="宋体" w:cs="宋体"/>
          <w:b/>
          <w:szCs w:val="21"/>
        </w:rPr>
        <w:t>1.02 基本要求</w:t>
      </w:r>
    </w:p>
    <w:p w14:paraId="7DE0104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1.桥涵经常检查等要严格按照施工图纸及交通运输部、省交通运输厅等关于桥梁检查的相关规定，每月不少于1次，汛期应按照实际情况或发包人监理工程师指令加大检查频次。</w:t>
      </w:r>
    </w:p>
    <w:p w14:paraId="1955736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2.经常检查采用目测方法，也可配以简单工具进行测量，当场填写“桥梁经常检查记录表”。</w:t>
      </w:r>
    </w:p>
    <w:p w14:paraId="40C638DC">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3.桥梁栏杆清洗每月至少1次，每年至少刷漆1次。</w:t>
      </w:r>
    </w:p>
    <w:p w14:paraId="59A2E95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4.经常检查中发现桥梁重要部件存在明显缺损时，应及时向发包人提交专项报告。</w:t>
      </w:r>
    </w:p>
    <w:p w14:paraId="409F77E7">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5.经常检查应包括下列内容：</w:t>
      </w:r>
    </w:p>
    <w:p w14:paraId="4E202B1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(1)外观是否整洁，有无杂物堆积，杂草蔓生。构件表面的涂装层是否完好，有无损坏、老化、变色、开裂、起皮、剥落、锈迹。</w:t>
      </w:r>
    </w:p>
    <w:p w14:paraId="0355FB7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(2)桥面铺装是否平整，有无裂缝、局部坑槽、积水、沉陷、波浪、碎边；</w:t>
      </w:r>
    </w:p>
    <w:p w14:paraId="61A2BD34">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(3)排水设施是否良好，桥面泄水管是否堵塞和破损；</w:t>
      </w:r>
    </w:p>
    <w:p w14:paraId="18CFF801">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(4)伸缩缝是否堵塞卡死，连接部件有无松动、脱落、局部破损；</w:t>
      </w:r>
    </w:p>
    <w:p w14:paraId="412394AB">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(5)护栏有无撞坏、断裂、松动、错位、剥落、锈蚀；</w:t>
      </w:r>
    </w:p>
    <w:p w14:paraId="664ECC9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(6)观察桥梁结构有无异常变形，异常的竖向振动、横向摆动等情况，然后检查各部件的技术状况，查找异常原因；</w:t>
      </w:r>
    </w:p>
    <w:p w14:paraId="1A2867CE">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(7)翼墙(侧墙、耳墙)有无开裂、倾斜、沉降、风化剥落和异常变形；</w:t>
      </w:r>
    </w:p>
    <w:p w14:paraId="28E0BC83">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(8)锥坡、护坡有无塌陷、铺砌面有无缺损、勾缝脱落、灌木杂草丛生；</w:t>
      </w:r>
    </w:p>
    <w:p w14:paraId="2D01F7C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(9)其他显而易见的损坏或病害。</w:t>
      </w:r>
    </w:p>
    <w:p w14:paraId="2C42BD62">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6.发包人将对承包人工作情况进行巡视和考核，并作为计量支付的重要依据。</w:t>
      </w:r>
    </w:p>
    <w:p w14:paraId="5C7A19B6">
      <w:pPr>
        <w:pStyle w:val="121"/>
        <w:ind w:firstLine="420" w:firstLineChars="200"/>
        <w:rPr>
          <w:rFonts w:hint="eastAsia" w:ascii="宋体" w:hAnsi="宋体" w:eastAsia="宋体" w:cs="宋体"/>
          <w:color w:val="auto"/>
          <w:kern w:val="2"/>
          <w:sz w:val="21"/>
          <w:szCs w:val="21"/>
        </w:rPr>
      </w:pPr>
    </w:p>
    <w:p w14:paraId="28F49567">
      <w:pPr>
        <w:pStyle w:val="285"/>
        <w:spacing w:line="360" w:lineRule="exact"/>
        <w:rPr>
          <w:rFonts w:hint="eastAsia" w:ascii="宋体" w:hAnsi="宋体" w:eastAsia="宋体" w:cs="宋体"/>
          <w:sz w:val="24"/>
        </w:rPr>
      </w:pPr>
    </w:p>
    <w:p w14:paraId="0521246C">
      <w:pPr>
        <w:pStyle w:val="285"/>
        <w:spacing w:line="360" w:lineRule="exact"/>
        <w:rPr>
          <w:rFonts w:hint="eastAsia" w:ascii="宋体" w:hAnsi="宋体" w:eastAsia="宋体" w:cs="宋体"/>
          <w:sz w:val="24"/>
        </w:rPr>
      </w:pPr>
    </w:p>
    <w:p w14:paraId="3E618DCE">
      <w:pPr>
        <w:suppressAutoHyphens/>
        <w:spacing w:beforeLines="50" w:afterLines="50" w:line="360" w:lineRule="exact"/>
        <w:ind w:firstLine="482"/>
        <w:jc w:val="center"/>
        <w:rPr>
          <w:rFonts w:hint="eastAsia" w:ascii="宋体" w:hAnsi="宋体" w:eastAsia="宋体" w:cs="宋体"/>
          <w:b/>
          <w:szCs w:val="21"/>
        </w:rPr>
      </w:pPr>
      <w:r>
        <w:rPr>
          <w:rFonts w:hint="eastAsia" w:ascii="宋体" w:hAnsi="宋体" w:eastAsia="宋体" w:cs="宋体"/>
          <w:b/>
          <w:bCs/>
          <w:sz w:val="24"/>
        </w:rPr>
        <w:t>第</w:t>
      </w:r>
      <w:r>
        <w:rPr>
          <w:rFonts w:hint="eastAsia" w:ascii="宋体" w:hAnsi="宋体" w:eastAsia="宋体" w:cs="宋体"/>
          <w:b/>
          <w:bCs/>
          <w:sz w:val="24"/>
          <w:lang w:val="en-US" w:eastAsia="zh-CN"/>
        </w:rPr>
        <w:t>2</w:t>
      </w:r>
      <w:r>
        <w:rPr>
          <w:rFonts w:hint="eastAsia" w:ascii="宋体" w:hAnsi="宋体" w:eastAsia="宋体" w:cs="宋体"/>
          <w:b/>
          <w:bCs/>
          <w:sz w:val="24"/>
        </w:rPr>
        <w:t>节  计量、考核</w:t>
      </w:r>
    </w:p>
    <w:p w14:paraId="1B8762E0">
      <w:pPr>
        <w:widowControl/>
        <w:autoSpaceDE w:val="0"/>
        <w:autoSpaceDN w:val="0"/>
        <w:adjustRightInd w:val="0"/>
        <w:snapToGrid w:val="0"/>
        <w:ind w:firstLine="422"/>
        <w:textAlignment w:val="bottom"/>
        <w:rPr>
          <w:rFonts w:hint="eastAsia" w:ascii="宋体" w:hAnsi="宋体" w:eastAsia="宋体" w:cs="宋体"/>
          <w:b/>
          <w:szCs w:val="21"/>
        </w:rPr>
      </w:pPr>
      <w:r>
        <w:rPr>
          <w:rFonts w:hint="eastAsia" w:ascii="宋体" w:hAnsi="宋体" w:eastAsia="宋体" w:cs="宋体"/>
          <w:b/>
          <w:szCs w:val="21"/>
        </w:rPr>
        <w:t>3.01计量</w:t>
      </w:r>
    </w:p>
    <w:p w14:paraId="07329EE5">
      <w:pPr>
        <w:ind w:firstLine="402"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b/>
          <w:szCs w:val="21"/>
        </w:rPr>
        <w:t>详见工程量清单第400章。</w:t>
      </w:r>
      <w:r>
        <w:rPr>
          <w:rFonts w:hint="eastAsia" w:ascii="宋体" w:hAnsi="宋体" w:eastAsia="宋体" w:cs="宋体"/>
          <w:color w:val="C00000"/>
          <w:szCs w:val="21"/>
        </w:rPr>
        <w:t>清</w:t>
      </w:r>
      <w:r>
        <w:rPr>
          <w:rFonts w:hint="eastAsia" w:ascii="宋体" w:hAnsi="宋体" w:eastAsia="宋体" w:cs="宋体"/>
          <w:color w:val="auto"/>
          <w:kern w:val="2"/>
          <w:sz w:val="21"/>
          <w:szCs w:val="21"/>
          <w:lang w:val="en-US" w:eastAsia="zh-CN" w:bidi="ar-SA"/>
        </w:rPr>
        <w:t>单量为暂估量，以签证的实际发生量按合同价进行计量。超出清单范围的工程量，必须履行变更手续，经发包人及监理工程师认可签证后方可进行变更计量。</w:t>
      </w:r>
    </w:p>
    <w:p w14:paraId="3096E50A">
      <w:pPr>
        <w:ind w:firstLine="400" w:firstLineChars="200"/>
        <w:rPr>
          <w:rFonts w:hint="eastAsia" w:ascii="宋体" w:hAnsi="宋体" w:eastAsia="宋体" w:cs="宋体"/>
          <w:szCs w:val="21"/>
        </w:rPr>
      </w:pPr>
    </w:p>
    <w:p w14:paraId="5DC3C9B7">
      <w:pPr>
        <w:ind w:firstLine="400" w:firstLineChars="200"/>
        <w:rPr>
          <w:rFonts w:hint="eastAsia" w:ascii="宋体" w:hAnsi="宋体" w:eastAsia="宋体" w:cs="宋体"/>
          <w:szCs w:val="21"/>
        </w:rPr>
      </w:pPr>
      <w:r>
        <w:rPr>
          <w:rFonts w:hint="eastAsia" w:ascii="宋体" w:hAnsi="宋体" w:eastAsia="宋体" w:cs="宋体"/>
          <w:szCs w:val="21"/>
        </w:rPr>
        <w:t>3.02  考核</w:t>
      </w:r>
    </w:p>
    <w:p w14:paraId="554C6DF0">
      <w:pPr>
        <w:ind w:firstLine="400" w:firstLineChars="200"/>
        <w:rPr>
          <w:rFonts w:hint="eastAsia" w:ascii="宋体" w:hAnsi="宋体" w:eastAsia="宋体" w:cs="宋体"/>
          <w:szCs w:val="21"/>
        </w:rPr>
      </w:pPr>
      <w:r>
        <w:rPr>
          <w:rFonts w:hint="eastAsia" w:ascii="宋体" w:hAnsi="宋体" w:eastAsia="宋体" w:cs="宋体"/>
          <w:szCs w:val="21"/>
        </w:rPr>
        <w:t>按照考核标准（扣分制）进行考核。</w:t>
      </w:r>
    </w:p>
    <w:bookmarkEnd w:id="72"/>
    <w:p w14:paraId="3D67077D">
      <w:pPr>
        <w:ind w:firstLine="723"/>
        <w:jc w:val="center"/>
        <w:rPr>
          <w:rFonts w:hint="eastAsia" w:ascii="宋体" w:hAnsi="宋体" w:eastAsia="宋体" w:cs="宋体"/>
          <w:b/>
          <w:sz w:val="36"/>
          <w:szCs w:val="36"/>
        </w:rPr>
      </w:pPr>
      <w:bookmarkStart w:id="73" w:name="_Toc229655984"/>
      <w:r>
        <w:rPr>
          <w:rFonts w:hint="eastAsia" w:ascii="宋体" w:hAnsi="宋体" w:eastAsia="宋体" w:cs="宋体"/>
          <w:b/>
          <w:sz w:val="36"/>
          <w:szCs w:val="36"/>
        </w:rPr>
        <w:t>第5章 安全设施</w:t>
      </w:r>
    </w:p>
    <w:p w14:paraId="3A7439B8">
      <w:pPr>
        <w:spacing w:beforeLines="50" w:afterLines="50" w:line="500" w:lineRule="exact"/>
        <w:ind w:firstLine="422"/>
        <w:jc w:val="center"/>
        <w:rPr>
          <w:rFonts w:hint="eastAsia" w:ascii="宋体" w:hAnsi="宋体" w:eastAsia="宋体" w:cs="宋体"/>
          <w:b/>
          <w:bCs/>
          <w:szCs w:val="21"/>
        </w:rPr>
      </w:pPr>
      <w:r>
        <w:rPr>
          <w:rFonts w:hint="eastAsia" w:ascii="宋体" w:hAnsi="宋体" w:eastAsia="宋体" w:cs="宋体"/>
          <w:b/>
          <w:bCs/>
          <w:szCs w:val="21"/>
        </w:rPr>
        <w:t>第1节 通 则</w:t>
      </w:r>
    </w:p>
    <w:p w14:paraId="3A015B08">
      <w:pPr>
        <w:spacing w:line="300" w:lineRule="exact"/>
        <w:ind w:firstLine="422"/>
        <w:rPr>
          <w:rFonts w:hint="eastAsia" w:ascii="宋体" w:hAnsi="宋体" w:eastAsia="宋体" w:cs="宋体"/>
          <w:b/>
          <w:szCs w:val="21"/>
        </w:rPr>
      </w:pPr>
      <w:r>
        <w:rPr>
          <w:rFonts w:hint="eastAsia" w:ascii="宋体" w:hAnsi="宋体" w:eastAsia="宋体" w:cs="宋体"/>
          <w:b/>
          <w:szCs w:val="21"/>
        </w:rPr>
        <w:t>1.01范围</w:t>
      </w:r>
    </w:p>
    <w:p w14:paraId="79DB0A08">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安全设施养护工程工作内容包括护栏、立柱、交通标志、交通标线、轮廓标等的损坏部分的拆除与修复更换施工及有关作业。</w:t>
      </w:r>
    </w:p>
    <w:p w14:paraId="362EA69F">
      <w:pPr>
        <w:numPr>
          <w:ilvl w:val="0"/>
          <w:numId w:val="3"/>
        </w:numPr>
        <w:jc w:val="left"/>
        <w:rPr>
          <w:rFonts w:hint="eastAsia" w:ascii="宋体" w:hAnsi="宋体" w:eastAsia="宋体" w:cs="宋体"/>
          <w:szCs w:val="21"/>
        </w:rPr>
      </w:pPr>
      <w:r>
        <w:rPr>
          <w:rFonts w:hint="eastAsia" w:ascii="宋体" w:hAnsi="宋体" w:eastAsia="宋体" w:cs="宋体"/>
          <w:szCs w:val="21"/>
        </w:rPr>
        <w:t>对损坏、确失的护栏及其附属件按照公路技术标准和安全防护等级进行维修更换；</w:t>
      </w:r>
    </w:p>
    <w:p w14:paraId="3C5EC59C">
      <w:pPr>
        <w:numPr>
          <w:ilvl w:val="0"/>
          <w:numId w:val="3"/>
        </w:numPr>
        <w:jc w:val="left"/>
        <w:rPr>
          <w:rFonts w:hint="eastAsia" w:ascii="宋体" w:hAnsi="宋体" w:eastAsia="宋体" w:cs="宋体"/>
          <w:szCs w:val="21"/>
        </w:rPr>
      </w:pPr>
      <w:r>
        <w:rPr>
          <w:rFonts w:hint="eastAsia" w:ascii="宋体" w:hAnsi="宋体" w:eastAsia="宋体" w:cs="宋体"/>
          <w:szCs w:val="21"/>
        </w:rPr>
        <w:t>对损坏的标志牌进行更换版面、基础或立柱</w:t>
      </w:r>
    </w:p>
    <w:p w14:paraId="2DA73D0B">
      <w:pPr>
        <w:numPr>
          <w:ilvl w:val="0"/>
          <w:numId w:val="3"/>
        </w:numPr>
        <w:jc w:val="left"/>
        <w:rPr>
          <w:rFonts w:hint="eastAsia" w:ascii="宋体" w:hAnsi="宋体" w:eastAsia="宋体" w:cs="宋体"/>
          <w:szCs w:val="21"/>
        </w:rPr>
      </w:pPr>
      <w:r>
        <w:rPr>
          <w:rFonts w:hint="eastAsia" w:ascii="宋体" w:hAnsi="宋体" w:eastAsia="宋体" w:cs="宋体"/>
          <w:szCs w:val="21"/>
        </w:rPr>
        <w:t>对磨损严重、反光效果差的标线进行重新施画。</w:t>
      </w:r>
    </w:p>
    <w:p w14:paraId="64F336EC">
      <w:pPr>
        <w:numPr>
          <w:ilvl w:val="0"/>
          <w:numId w:val="3"/>
        </w:numPr>
        <w:jc w:val="left"/>
        <w:rPr>
          <w:rFonts w:hint="eastAsia" w:ascii="宋体" w:hAnsi="宋体" w:eastAsia="宋体" w:cs="宋体"/>
          <w:szCs w:val="21"/>
        </w:rPr>
      </w:pPr>
      <w:r>
        <w:rPr>
          <w:rFonts w:hint="eastAsia" w:ascii="宋体" w:hAnsi="宋体" w:eastAsia="宋体" w:cs="宋体"/>
          <w:szCs w:val="21"/>
        </w:rPr>
        <w:t>对缺失、损坏的警示桩、道口桩、公里牌、百米桩等进行维修更换</w:t>
      </w:r>
    </w:p>
    <w:p w14:paraId="599B1CFA">
      <w:pPr>
        <w:pStyle w:val="121"/>
        <w:ind w:firstLine="422" w:firstLineChars="200"/>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1.02 基本要求</w:t>
      </w:r>
    </w:p>
    <w:p w14:paraId="059D8D90">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1.清单范围内各种安全设施的原材料、成品、半成品质量参数必须符合施工图纸及公路养护技术规范和公路交通安全设施施工技术规范等相关技术标准。</w:t>
      </w:r>
    </w:p>
    <w:p w14:paraId="7D754D19">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2.施工时必须按照施工图及公路养护技术规范和公路交通安全设施施工技术规范，确保工程质量。</w:t>
      </w:r>
    </w:p>
    <w:p w14:paraId="4379148A">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3.</w:t>
      </w:r>
      <w:r>
        <w:rPr>
          <w:rFonts w:hint="eastAsia" w:ascii="宋体" w:hAnsi="宋体" w:eastAsia="宋体" w:cs="宋体"/>
          <w:color w:val="auto"/>
          <w:kern w:val="2"/>
          <w:sz w:val="21"/>
          <w:szCs w:val="21"/>
          <w:lang w:val="en-US" w:eastAsia="zh-CN" w:bidi="ar-SA"/>
        </w:rPr>
        <w:t>发包人将对承包人工作情况进行巡视和考核，并作为计量支付的重要依据。</w:t>
      </w:r>
    </w:p>
    <w:p w14:paraId="6829F4C5">
      <w:pPr>
        <w:pStyle w:val="121"/>
        <w:ind w:firstLine="420" w:firstLineChars="200"/>
        <w:rPr>
          <w:rFonts w:hint="eastAsia" w:ascii="宋体" w:hAnsi="宋体" w:eastAsia="宋体" w:cs="宋体"/>
          <w:color w:val="auto"/>
          <w:kern w:val="2"/>
          <w:sz w:val="21"/>
          <w:szCs w:val="21"/>
        </w:rPr>
      </w:pPr>
    </w:p>
    <w:p w14:paraId="36B7BFD7">
      <w:pPr>
        <w:suppressAutoHyphens/>
        <w:spacing w:beforeLines="50" w:afterLines="50" w:line="360" w:lineRule="exact"/>
        <w:ind w:firstLine="482"/>
        <w:jc w:val="center"/>
        <w:rPr>
          <w:rFonts w:hint="eastAsia" w:ascii="宋体" w:hAnsi="宋体" w:eastAsia="宋体" w:cs="宋体"/>
          <w:b/>
          <w:bCs/>
          <w:sz w:val="24"/>
        </w:rPr>
      </w:pPr>
      <w:r>
        <w:rPr>
          <w:rFonts w:hint="eastAsia" w:ascii="宋体" w:hAnsi="宋体" w:eastAsia="宋体" w:cs="宋体"/>
          <w:b/>
          <w:bCs/>
          <w:sz w:val="24"/>
        </w:rPr>
        <w:t>第2节  计量、考核</w:t>
      </w:r>
    </w:p>
    <w:p w14:paraId="4CA8E874">
      <w:pPr>
        <w:widowControl/>
        <w:autoSpaceDE w:val="0"/>
        <w:autoSpaceDN w:val="0"/>
        <w:adjustRightInd w:val="0"/>
        <w:snapToGrid w:val="0"/>
        <w:ind w:firstLine="422"/>
        <w:jc w:val="center"/>
        <w:textAlignment w:val="bottom"/>
        <w:rPr>
          <w:rFonts w:hint="eastAsia" w:ascii="宋体" w:hAnsi="宋体" w:eastAsia="宋体" w:cs="宋体"/>
          <w:b/>
          <w:szCs w:val="21"/>
        </w:rPr>
      </w:pPr>
    </w:p>
    <w:p w14:paraId="2026960B">
      <w:pPr>
        <w:widowControl/>
        <w:autoSpaceDE w:val="0"/>
        <w:autoSpaceDN w:val="0"/>
        <w:adjustRightInd w:val="0"/>
        <w:snapToGrid w:val="0"/>
        <w:ind w:firstLine="422"/>
        <w:textAlignment w:val="bottom"/>
        <w:rPr>
          <w:rFonts w:hint="eastAsia" w:ascii="宋体" w:hAnsi="宋体" w:eastAsia="宋体" w:cs="宋体"/>
          <w:b/>
          <w:szCs w:val="21"/>
        </w:rPr>
      </w:pPr>
      <w:r>
        <w:rPr>
          <w:rFonts w:hint="eastAsia" w:ascii="宋体" w:hAnsi="宋体" w:eastAsia="宋体" w:cs="宋体"/>
          <w:b/>
          <w:szCs w:val="21"/>
        </w:rPr>
        <w:t>2.01计量</w:t>
      </w:r>
    </w:p>
    <w:p w14:paraId="124D38CF">
      <w:pPr>
        <w:ind w:firstLine="402" w:firstLineChars="200"/>
        <w:rPr>
          <w:rFonts w:hint="eastAsia" w:ascii="宋体" w:hAnsi="宋体" w:eastAsia="宋体" w:cs="宋体"/>
          <w:color w:val="C00000"/>
          <w:szCs w:val="21"/>
        </w:rPr>
      </w:pPr>
      <w:r>
        <w:rPr>
          <w:rFonts w:hint="eastAsia" w:ascii="宋体" w:hAnsi="宋体" w:eastAsia="宋体" w:cs="宋体"/>
          <w:b/>
          <w:szCs w:val="21"/>
        </w:rPr>
        <w:t>详见工程量清单第600章。该章节</w:t>
      </w:r>
      <w:r>
        <w:rPr>
          <w:rFonts w:hint="eastAsia" w:ascii="宋体" w:hAnsi="宋体" w:eastAsia="宋体" w:cs="宋体"/>
          <w:color w:val="auto"/>
          <w:kern w:val="2"/>
          <w:sz w:val="21"/>
          <w:szCs w:val="21"/>
          <w:lang w:val="en-US" w:eastAsia="zh-CN" w:bidi="ar-SA"/>
        </w:rPr>
        <w:t>清单量为暂估量，以签证的实际发生量按合同价进行计量。超出清单范围的工程量，必须履行变更手续，经发包人及监理工程师认可签证后方可进行变更计量。</w:t>
      </w:r>
    </w:p>
    <w:p w14:paraId="6877D1AE">
      <w:pPr>
        <w:ind w:firstLine="400" w:firstLineChars="200"/>
        <w:rPr>
          <w:rFonts w:hint="eastAsia" w:ascii="宋体" w:hAnsi="宋体" w:eastAsia="宋体" w:cs="宋体"/>
          <w:szCs w:val="21"/>
        </w:rPr>
      </w:pPr>
    </w:p>
    <w:p w14:paraId="3646B3A7">
      <w:pPr>
        <w:ind w:firstLine="400" w:firstLineChars="200"/>
        <w:rPr>
          <w:rFonts w:hint="eastAsia" w:ascii="宋体" w:hAnsi="宋体" w:eastAsia="宋体" w:cs="宋体"/>
          <w:szCs w:val="21"/>
        </w:rPr>
      </w:pPr>
      <w:r>
        <w:rPr>
          <w:rFonts w:hint="eastAsia" w:ascii="宋体" w:hAnsi="宋体" w:eastAsia="宋体" w:cs="宋体"/>
          <w:szCs w:val="21"/>
        </w:rPr>
        <w:t>2.02  考核</w:t>
      </w:r>
    </w:p>
    <w:p w14:paraId="7EB825A1">
      <w:pPr>
        <w:ind w:firstLine="400" w:firstLineChars="200"/>
        <w:rPr>
          <w:rFonts w:hint="eastAsia" w:ascii="宋体" w:hAnsi="宋体" w:eastAsia="宋体" w:cs="宋体"/>
          <w:szCs w:val="21"/>
        </w:rPr>
      </w:pPr>
      <w:r>
        <w:rPr>
          <w:rFonts w:hint="eastAsia" w:ascii="宋体" w:hAnsi="宋体" w:eastAsia="宋体" w:cs="宋体"/>
          <w:szCs w:val="21"/>
        </w:rPr>
        <w:t>按照考核标准（扣分制）进行考核。</w:t>
      </w:r>
    </w:p>
    <w:p w14:paraId="1C9C46D8">
      <w:pPr>
        <w:pStyle w:val="121"/>
        <w:ind w:firstLine="420" w:firstLineChars="200"/>
        <w:rPr>
          <w:rFonts w:hint="eastAsia" w:ascii="宋体" w:hAnsi="宋体" w:eastAsia="宋体" w:cs="宋体"/>
          <w:color w:val="auto"/>
          <w:kern w:val="2"/>
          <w:sz w:val="21"/>
          <w:szCs w:val="21"/>
        </w:rPr>
      </w:pPr>
    </w:p>
    <w:p w14:paraId="261BDEAC">
      <w:pPr>
        <w:pStyle w:val="121"/>
        <w:ind w:firstLine="420" w:firstLineChars="200"/>
        <w:rPr>
          <w:rFonts w:hint="eastAsia" w:ascii="宋体" w:hAnsi="宋体" w:eastAsia="宋体" w:cs="宋体"/>
          <w:color w:val="auto"/>
          <w:kern w:val="2"/>
          <w:sz w:val="21"/>
          <w:szCs w:val="21"/>
        </w:rPr>
      </w:pPr>
    </w:p>
    <w:p w14:paraId="17047E2D">
      <w:pPr>
        <w:pStyle w:val="121"/>
        <w:ind w:firstLine="420" w:firstLineChars="200"/>
        <w:rPr>
          <w:rFonts w:hint="eastAsia" w:ascii="宋体" w:hAnsi="宋体" w:eastAsia="宋体" w:cs="宋体"/>
          <w:color w:val="auto"/>
          <w:kern w:val="2"/>
          <w:sz w:val="21"/>
          <w:szCs w:val="21"/>
        </w:rPr>
      </w:pPr>
    </w:p>
    <w:p w14:paraId="5D191378">
      <w:pPr>
        <w:pStyle w:val="121"/>
        <w:ind w:firstLine="420" w:firstLineChars="200"/>
        <w:rPr>
          <w:rFonts w:hint="eastAsia" w:ascii="宋体" w:hAnsi="宋体" w:eastAsia="宋体" w:cs="宋体"/>
          <w:color w:val="auto"/>
          <w:kern w:val="2"/>
          <w:sz w:val="21"/>
          <w:szCs w:val="21"/>
        </w:rPr>
      </w:pPr>
    </w:p>
    <w:p w14:paraId="1D5927BB">
      <w:pPr>
        <w:pStyle w:val="121"/>
        <w:ind w:firstLine="420" w:firstLineChars="200"/>
        <w:rPr>
          <w:rFonts w:hint="eastAsia" w:ascii="宋体" w:hAnsi="宋体" w:eastAsia="宋体" w:cs="宋体"/>
          <w:color w:val="auto"/>
          <w:kern w:val="2"/>
          <w:sz w:val="21"/>
          <w:szCs w:val="21"/>
        </w:rPr>
      </w:pPr>
    </w:p>
    <w:p w14:paraId="744AD39E">
      <w:pPr>
        <w:pStyle w:val="121"/>
        <w:ind w:firstLine="420" w:firstLineChars="200"/>
        <w:rPr>
          <w:rFonts w:hint="eastAsia" w:ascii="宋体" w:hAnsi="宋体" w:eastAsia="宋体" w:cs="宋体"/>
          <w:color w:val="auto"/>
          <w:kern w:val="2"/>
          <w:sz w:val="21"/>
          <w:szCs w:val="21"/>
        </w:rPr>
      </w:pPr>
    </w:p>
    <w:p w14:paraId="423AA38E">
      <w:pPr>
        <w:pStyle w:val="121"/>
        <w:ind w:firstLine="420" w:firstLineChars="200"/>
        <w:rPr>
          <w:rFonts w:hint="eastAsia" w:ascii="宋体" w:hAnsi="宋体" w:eastAsia="宋体" w:cs="宋体"/>
          <w:color w:val="auto"/>
          <w:kern w:val="2"/>
          <w:sz w:val="21"/>
          <w:szCs w:val="21"/>
        </w:rPr>
      </w:pPr>
    </w:p>
    <w:p w14:paraId="51E662AC">
      <w:pPr>
        <w:pStyle w:val="121"/>
        <w:ind w:firstLine="420" w:firstLineChars="200"/>
        <w:rPr>
          <w:rFonts w:hint="eastAsia" w:ascii="宋体" w:hAnsi="宋体" w:eastAsia="宋体" w:cs="宋体"/>
          <w:color w:val="auto"/>
          <w:kern w:val="2"/>
          <w:sz w:val="21"/>
          <w:szCs w:val="21"/>
        </w:rPr>
      </w:pPr>
    </w:p>
    <w:bookmarkEnd w:id="73"/>
    <w:p w14:paraId="22BA4E09">
      <w:pPr>
        <w:rPr>
          <w:rFonts w:hint="eastAsia" w:ascii="宋体" w:hAnsi="宋体" w:eastAsia="宋体" w:cs="宋体"/>
        </w:rPr>
      </w:pPr>
    </w:p>
    <w:p w14:paraId="0BE6135E">
      <w:pPr>
        <w:rPr>
          <w:rFonts w:hint="eastAsia" w:ascii="宋体" w:hAnsi="宋体" w:eastAsia="宋体" w:cs="宋体"/>
        </w:rPr>
      </w:pPr>
    </w:p>
    <w:p w14:paraId="2E1A91EC">
      <w:pPr>
        <w:ind w:firstLine="723"/>
        <w:jc w:val="center"/>
        <w:rPr>
          <w:rFonts w:hint="eastAsia" w:ascii="宋体" w:hAnsi="宋体" w:eastAsia="宋体" w:cs="宋体"/>
          <w:b/>
          <w:sz w:val="36"/>
          <w:szCs w:val="36"/>
        </w:rPr>
      </w:pPr>
      <w:r>
        <w:rPr>
          <w:rFonts w:hint="eastAsia" w:ascii="宋体" w:hAnsi="宋体" w:eastAsia="宋体" w:cs="宋体"/>
          <w:b/>
          <w:sz w:val="36"/>
          <w:szCs w:val="36"/>
        </w:rPr>
        <w:t>第6章 绿化及环境保护设施</w:t>
      </w:r>
    </w:p>
    <w:p w14:paraId="27FB15EC">
      <w:pPr>
        <w:spacing w:beforeLines="50" w:afterLines="50" w:line="500" w:lineRule="exact"/>
        <w:ind w:firstLine="422"/>
        <w:jc w:val="center"/>
        <w:rPr>
          <w:rFonts w:hint="eastAsia" w:ascii="宋体" w:hAnsi="宋体" w:eastAsia="宋体" w:cs="宋体"/>
          <w:b/>
          <w:bCs/>
          <w:szCs w:val="21"/>
        </w:rPr>
      </w:pPr>
      <w:r>
        <w:rPr>
          <w:rFonts w:hint="eastAsia" w:ascii="宋体" w:hAnsi="宋体" w:eastAsia="宋体" w:cs="宋体"/>
          <w:b/>
          <w:bCs/>
          <w:szCs w:val="21"/>
        </w:rPr>
        <w:t>第1节 通 则</w:t>
      </w:r>
    </w:p>
    <w:p w14:paraId="0B856643">
      <w:pPr>
        <w:spacing w:line="300" w:lineRule="exact"/>
        <w:ind w:firstLine="422"/>
        <w:rPr>
          <w:rFonts w:hint="eastAsia" w:ascii="宋体" w:hAnsi="宋体" w:eastAsia="宋体" w:cs="宋体"/>
          <w:b/>
          <w:szCs w:val="21"/>
        </w:rPr>
      </w:pPr>
      <w:r>
        <w:rPr>
          <w:rFonts w:hint="eastAsia" w:ascii="宋体" w:hAnsi="宋体" w:eastAsia="宋体" w:cs="宋体"/>
          <w:b/>
          <w:szCs w:val="21"/>
        </w:rPr>
        <w:t>1.01范围</w:t>
      </w:r>
    </w:p>
    <w:p w14:paraId="672BF90A">
      <w:pPr>
        <w:pStyle w:val="121"/>
        <w:ind w:firstLine="420" w:firstLineChars="200"/>
        <w:rPr>
          <w:rFonts w:hint="eastAsia" w:ascii="宋体" w:hAnsi="宋体" w:eastAsia="宋体" w:cs="宋体"/>
          <w:color w:val="auto"/>
          <w:kern w:val="2"/>
          <w:sz w:val="21"/>
          <w:szCs w:val="21"/>
        </w:rPr>
      </w:pPr>
      <w:r>
        <w:rPr>
          <w:rFonts w:hint="eastAsia" w:ascii="宋体" w:hAnsi="宋体" w:eastAsia="宋体" w:cs="宋体"/>
          <w:color w:val="auto"/>
          <w:kern w:val="2"/>
          <w:sz w:val="21"/>
          <w:szCs w:val="21"/>
        </w:rPr>
        <w:t>本章节绿化项目主要包括路肩灌木修剪、歪树扶正、死树清理以及必要的草皮、乔木、灌木种植、重要时间节点和文明城市创建所需的花卉点缀等内容。</w:t>
      </w:r>
    </w:p>
    <w:p w14:paraId="779DCBA3">
      <w:pPr>
        <w:pStyle w:val="121"/>
        <w:ind w:firstLine="422" w:firstLineChars="200"/>
        <w:rPr>
          <w:rFonts w:hint="eastAsia" w:ascii="宋体" w:hAnsi="宋体" w:eastAsia="宋体" w:cs="宋体"/>
          <w:b/>
          <w:bCs/>
          <w:color w:val="auto"/>
          <w:kern w:val="2"/>
          <w:sz w:val="21"/>
          <w:szCs w:val="21"/>
        </w:rPr>
      </w:pPr>
      <w:r>
        <w:rPr>
          <w:rFonts w:hint="eastAsia" w:ascii="宋体" w:hAnsi="宋体" w:eastAsia="宋体" w:cs="宋体"/>
          <w:b/>
          <w:bCs/>
          <w:color w:val="auto"/>
          <w:kern w:val="2"/>
          <w:sz w:val="21"/>
          <w:szCs w:val="21"/>
        </w:rPr>
        <w:t>1.02 基本要求</w:t>
      </w:r>
    </w:p>
    <w:p w14:paraId="1B7D98D6">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1.路肩灌木修剪每年不少于3次，并满足园林绿化工程施工及验收规范要求。</w:t>
      </w:r>
    </w:p>
    <w:p w14:paraId="3156467F">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2.重要时间节点和文明城市创建需要，按照发包人指令及时实施花卉点缀，并保证质量和时效性。</w:t>
      </w:r>
    </w:p>
    <w:p w14:paraId="5555966C">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3.及时清理死树并按照发包人指令进行补植，并满足园林绿化工程施工及验收规范要求。</w:t>
      </w:r>
    </w:p>
    <w:p w14:paraId="0C556027">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4.环境保护设施相关要求参照第100章。</w:t>
      </w:r>
    </w:p>
    <w:p w14:paraId="617286E5">
      <w:pPr>
        <w:widowControl/>
        <w:autoSpaceDE w:val="0"/>
        <w:autoSpaceDN w:val="0"/>
        <w:adjustRightInd w:val="0"/>
        <w:snapToGrid w:val="0"/>
        <w:ind w:firstLine="420"/>
        <w:textAlignment w:val="bottom"/>
        <w:rPr>
          <w:rFonts w:hint="eastAsia" w:ascii="宋体" w:hAnsi="宋体" w:eastAsia="宋体" w:cs="宋体"/>
          <w:szCs w:val="21"/>
        </w:rPr>
      </w:pPr>
      <w:r>
        <w:rPr>
          <w:rFonts w:hint="eastAsia" w:ascii="宋体" w:hAnsi="宋体" w:eastAsia="宋体" w:cs="宋体"/>
          <w:szCs w:val="21"/>
        </w:rPr>
        <w:t>5.发包人将对承包人工作情况进行巡视和考核，并作为计量支付的重要依据。</w:t>
      </w:r>
    </w:p>
    <w:p w14:paraId="3E50C790">
      <w:pPr>
        <w:pStyle w:val="121"/>
        <w:ind w:firstLine="420" w:firstLineChars="200"/>
        <w:rPr>
          <w:rFonts w:hint="eastAsia" w:ascii="宋体" w:hAnsi="宋体" w:eastAsia="宋体" w:cs="宋体"/>
          <w:color w:val="auto"/>
          <w:kern w:val="2"/>
          <w:sz w:val="21"/>
          <w:szCs w:val="21"/>
        </w:rPr>
      </w:pPr>
    </w:p>
    <w:p w14:paraId="0039B78A">
      <w:pPr>
        <w:suppressAutoHyphens/>
        <w:spacing w:beforeLines="50" w:afterLines="50" w:line="360" w:lineRule="exact"/>
        <w:ind w:firstLine="482"/>
        <w:jc w:val="center"/>
        <w:rPr>
          <w:rFonts w:hint="eastAsia" w:ascii="宋体" w:hAnsi="宋体" w:eastAsia="宋体" w:cs="宋体"/>
          <w:b/>
          <w:bCs/>
          <w:sz w:val="24"/>
        </w:rPr>
      </w:pPr>
      <w:r>
        <w:rPr>
          <w:rFonts w:hint="eastAsia" w:ascii="宋体" w:hAnsi="宋体" w:eastAsia="宋体" w:cs="宋体"/>
          <w:b/>
          <w:bCs/>
          <w:sz w:val="24"/>
        </w:rPr>
        <w:t>第2节  计量、考核</w:t>
      </w:r>
    </w:p>
    <w:p w14:paraId="60E75E0A">
      <w:pPr>
        <w:widowControl/>
        <w:autoSpaceDE w:val="0"/>
        <w:autoSpaceDN w:val="0"/>
        <w:adjustRightInd w:val="0"/>
        <w:snapToGrid w:val="0"/>
        <w:ind w:firstLine="422"/>
        <w:jc w:val="center"/>
        <w:textAlignment w:val="bottom"/>
        <w:rPr>
          <w:rFonts w:hint="eastAsia" w:ascii="宋体" w:hAnsi="宋体" w:eastAsia="宋体" w:cs="宋体"/>
          <w:b/>
          <w:szCs w:val="21"/>
        </w:rPr>
      </w:pPr>
    </w:p>
    <w:p w14:paraId="2DCEB0C3">
      <w:pPr>
        <w:widowControl/>
        <w:autoSpaceDE w:val="0"/>
        <w:autoSpaceDN w:val="0"/>
        <w:adjustRightInd w:val="0"/>
        <w:snapToGrid w:val="0"/>
        <w:ind w:firstLine="422"/>
        <w:textAlignment w:val="bottom"/>
        <w:rPr>
          <w:rFonts w:hint="eastAsia" w:ascii="宋体" w:hAnsi="宋体" w:eastAsia="宋体" w:cs="宋体"/>
          <w:b/>
          <w:szCs w:val="21"/>
        </w:rPr>
      </w:pPr>
      <w:r>
        <w:rPr>
          <w:rFonts w:hint="eastAsia" w:ascii="宋体" w:hAnsi="宋体" w:eastAsia="宋体" w:cs="宋体"/>
          <w:b/>
          <w:szCs w:val="21"/>
        </w:rPr>
        <w:t>2.01计量</w:t>
      </w:r>
    </w:p>
    <w:p w14:paraId="5F5EF4FA">
      <w:pPr>
        <w:ind w:firstLine="402" w:firstLineChars="200"/>
        <w:rPr>
          <w:rFonts w:hint="eastAsia" w:ascii="宋体" w:hAnsi="宋体" w:eastAsia="宋体" w:cs="宋体"/>
          <w:szCs w:val="21"/>
        </w:rPr>
      </w:pPr>
      <w:r>
        <w:rPr>
          <w:rFonts w:hint="eastAsia" w:ascii="宋体" w:hAnsi="宋体" w:eastAsia="宋体" w:cs="宋体"/>
          <w:b/>
          <w:szCs w:val="21"/>
        </w:rPr>
        <w:t>详见工程量清单第700章。该章节</w:t>
      </w:r>
      <w:r>
        <w:rPr>
          <w:rFonts w:hint="eastAsia" w:ascii="宋体" w:hAnsi="宋体" w:eastAsia="宋体" w:cs="宋体"/>
          <w:szCs w:val="21"/>
        </w:rPr>
        <w:t>清单量为暂估量，以签证的实际发生量按合同价进行计量。超出清单范围的工程量，必须履行变更手续，经发包人及监理工程师认可签证后方可进行变更计量。</w:t>
      </w:r>
    </w:p>
    <w:p w14:paraId="45B5D7AE">
      <w:pPr>
        <w:ind w:firstLine="400" w:firstLineChars="200"/>
        <w:rPr>
          <w:rFonts w:hint="eastAsia" w:ascii="宋体" w:hAnsi="宋体" w:eastAsia="宋体" w:cs="宋体"/>
          <w:szCs w:val="21"/>
        </w:rPr>
      </w:pPr>
      <w:r>
        <w:rPr>
          <w:rFonts w:hint="eastAsia" w:ascii="宋体" w:hAnsi="宋体" w:eastAsia="宋体" w:cs="宋体"/>
          <w:szCs w:val="21"/>
        </w:rPr>
        <w:t>2.02  考核</w:t>
      </w:r>
    </w:p>
    <w:p w14:paraId="1B67A18D">
      <w:pPr>
        <w:ind w:firstLine="400" w:firstLineChars="200"/>
        <w:rPr>
          <w:rFonts w:hint="eastAsia" w:ascii="宋体" w:hAnsi="宋体" w:eastAsia="宋体" w:cs="宋体"/>
          <w:szCs w:val="21"/>
        </w:rPr>
      </w:pPr>
      <w:r>
        <w:rPr>
          <w:rFonts w:hint="eastAsia" w:ascii="宋体" w:hAnsi="宋体" w:eastAsia="宋体" w:cs="宋体"/>
          <w:szCs w:val="21"/>
        </w:rPr>
        <w:t>按照考核标准（扣分制）进行考核。</w:t>
      </w:r>
    </w:p>
    <w:p w14:paraId="662EB15B">
      <w:pPr>
        <w:ind w:firstLine="400" w:firstLineChars="200"/>
        <w:rPr>
          <w:rFonts w:hint="eastAsia" w:ascii="宋体" w:hAnsi="宋体" w:eastAsia="宋体" w:cs="宋体"/>
          <w:color w:val="C00000"/>
          <w:szCs w:val="21"/>
        </w:rPr>
      </w:pPr>
    </w:p>
    <w:p w14:paraId="534B4212">
      <w:pPr>
        <w:ind w:firstLine="400" w:firstLineChars="200"/>
        <w:rPr>
          <w:rFonts w:hint="eastAsia" w:ascii="宋体" w:hAnsi="宋体" w:eastAsia="宋体" w:cs="宋体"/>
          <w:color w:val="C00000"/>
          <w:szCs w:val="21"/>
        </w:rPr>
      </w:pPr>
    </w:p>
    <w:p w14:paraId="531ADABC">
      <w:pPr>
        <w:ind w:firstLine="400" w:firstLineChars="200"/>
        <w:rPr>
          <w:rFonts w:hint="eastAsia" w:ascii="宋体" w:hAnsi="宋体" w:eastAsia="宋体" w:cs="宋体"/>
          <w:color w:val="C00000"/>
          <w:szCs w:val="21"/>
        </w:rPr>
      </w:pPr>
    </w:p>
    <w:p w14:paraId="022FBF25">
      <w:pPr>
        <w:jc w:val="center"/>
        <w:rPr>
          <w:rFonts w:hint="eastAsia" w:ascii="宋体" w:hAnsi="宋体" w:eastAsia="宋体" w:cs="宋体"/>
          <w:b/>
          <w:sz w:val="36"/>
          <w:szCs w:val="36"/>
        </w:rPr>
      </w:pPr>
      <w:r>
        <w:rPr>
          <w:rFonts w:hint="eastAsia" w:ascii="宋体" w:hAnsi="宋体" w:eastAsia="宋体" w:cs="宋体"/>
          <w:b/>
          <w:sz w:val="36"/>
          <w:szCs w:val="36"/>
        </w:rPr>
        <w:t>第7章 计量</w:t>
      </w:r>
    </w:p>
    <w:p w14:paraId="67294A5D">
      <w:pPr>
        <w:widowControl/>
        <w:autoSpaceDE w:val="0"/>
        <w:autoSpaceDN w:val="0"/>
        <w:adjustRightInd w:val="0"/>
        <w:snapToGrid w:val="0"/>
        <w:ind w:firstLine="422"/>
        <w:jc w:val="center"/>
        <w:textAlignment w:val="bottom"/>
        <w:rPr>
          <w:rFonts w:hint="eastAsia" w:ascii="宋体" w:hAnsi="宋体" w:eastAsia="宋体" w:cs="宋体"/>
          <w:b/>
          <w:szCs w:val="21"/>
        </w:rPr>
      </w:pPr>
    </w:p>
    <w:p w14:paraId="03EC94A2">
      <w:pPr>
        <w:spacing w:line="360" w:lineRule="auto"/>
        <w:rPr>
          <w:rFonts w:hint="eastAsia" w:ascii="宋体" w:hAnsi="宋体" w:eastAsia="宋体" w:cs="宋体"/>
          <w:b/>
          <w:szCs w:val="21"/>
        </w:rPr>
      </w:pPr>
      <w:r>
        <w:rPr>
          <w:rFonts w:hint="eastAsia" w:ascii="宋体" w:hAnsi="宋体" w:eastAsia="宋体" w:cs="宋体"/>
          <w:b/>
          <w:szCs w:val="21"/>
        </w:rPr>
        <w:t xml:space="preserve">    1.01本项目每月考评1次。如果本月任一单项得分低于该单项应得分的60%，则判定本月该项目考核不合格，将不予计量支付。</w:t>
      </w:r>
    </w:p>
    <w:p w14:paraId="7AA9612F">
      <w:pPr>
        <w:spacing w:line="360" w:lineRule="auto"/>
        <w:rPr>
          <w:rFonts w:hint="eastAsia" w:ascii="宋体" w:hAnsi="宋体" w:eastAsia="宋体" w:cs="宋体"/>
          <w:b/>
          <w:szCs w:val="21"/>
        </w:rPr>
      </w:pPr>
      <w:r>
        <w:rPr>
          <w:rFonts w:hint="eastAsia" w:ascii="宋体" w:hAnsi="宋体" w:eastAsia="宋体" w:cs="宋体"/>
          <w:b/>
          <w:szCs w:val="21"/>
        </w:rPr>
        <w:t xml:space="preserve">     1.02  考核总分100分，加分项最多5分，按照每月考核各单项汇总得分多少予以计量。</w:t>
      </w:r>
    </w:p>
    <w:p w14:paraId="44A1FD32">
      <w:pPr>
        <w:spacing w:line="360" w:lineRule="auto"/>
        <w:ind w:firstLine="516" w:firstLineChars="257"/>
        <w:rPr>
          <w:rFonts w:hint="eastAsia" w:ascii="宋体" w:hAnsi="宋体" w:eastAsia="宋体" w:cs="宋体"/>
          <w:b/>
          <w:szCs w:val="21"/>
        </w:rPr>
      </w:pPr>
      <w:r>
        <w:rPr>
          <w:rFonts w:hint="eastAsia" w:ascii="宋体" w:hAnsi="宋体" w:eastAsia="宋体" w:cs="宋体"/>
          <w:b/>
          <w:szCs w:val="21"/>
        </w:rPr>
        <w:t>得分在85分（含）以上，按照合格工程量的100%计量；</w:t>
      </w:r>
    </w:p>
    <w:p w14:paraId="6BC74827">
      <w:pPr>
        <w:spacing w:line="360" w:lineRule="auto"/>
        <w:ind w:firstLine="516" w:firstLineChars="257"/>
        <w:rPr>
          <w:rFonts w:hint="eastAsia" w:ascii="宋体" w:hAnsi="宋体" w:eastAsia="宋体" w:cs="宋体"/>
          <w:b/>
          <w:szCs w:val="21"/>
        </w:rPr>
      </w:pPr>
      <w:r>
        <w:rPr>
          <w:rFonts w:hint="eastAsia" w:ascii="宋体" w:hAnsi="宋体" w:eastAsia="宋体" w:cs="宋体"/>
          <w:b/>
          <w:szCs w:val="21"/>
        </w:rPr>
        <w:t>得分在70分（含）至85分（不含），按照合格工程量的90%计量；</w:t>
      </w:r>
    </w:p>
    <w:p w14:paraId="68103D29">
      <w:pPr>
        <w:spacing w:line="360" w:lineRule="auto"/>
        <w:ind w:firstLine="516" w:firstLineChars="257"/>
        <w:rPr>
          <w:rFonts w:hint="eastAsia" w:ascii="宋体" w:hAnsi="宋体" w:eastAsia="宋体" w:cs="宋体"/>
          <w:b/>
          <w:szCs w:val="21"/>
        </w:rPr>
      </w:pPr>
      <w:r>
        <w:rPr>
          <w:rFonts w:hint="eastAsia" w:ascii="宋体" w:hAnsi="宋体" w:eastAsia="宋体" w:cs="宋体"/>
          <w:b/>
          <w:szCs w:val="21"/>
        </w:rPr>
        <w:t>得分在60分（含）至70分（不含），按照合格工程量的80%计量；</w:t>
      </w:r>
    </w:p>
    <w:p w14:paraId="16434326">
      <w:pPr>
        <w:spacing w:line="360" w:lineRule="auto"/>
        <w:ind w:firstLine="516" w:firstLineChars="257"/>
        <w:rPr>
          <w:rFonts w:hint="eastAsia" w:ascii="宋体" w:hAnsi="宋体" w:eastAsia="宋体" w:cs="宋体"/>
          <w:b/>
          <w:szCs w:val="21"/>
        </w:rPr>
      </w:pPr>
      <w:r>
        <w:rPr>
          <w:rFonts w:hint="eastAsia" w:ascii="宋体" w:hAnsi="宋体" w:eastAsia="宋体" w:cs="宋体"/>
          <w:b/>
          <w:szCs w:val="21"/>
        </w:rPr>
        <w:t>得分在60分（不含）以下，不予计量。</w:t>
      </w:r>
    </w:p>
    <w:p w14:paraId="2F5B21FF">
      <w:pPr>
        <w:spacing w:line="360" w:lineRule="auto"/>
        <w:ind w:firstLine="516" w:firstLineChars="257"/>
        <w:rPr>
          <w:rFonts w:hint="eastAsia" w:ascii="宋体" w:hAnsi="宋体" w:eastAsia="宋体" w:cs="宋体"/>
          <w:b/>
          <w:szCs w:val="21"/>
        </w:rPr>
      </w:pPr>
      <w:r>
        <w:rPr>
          <w:rFonts w:hint="eastAsia" w:ascii="宋体" w:hAnsi="宋体" w:eastAsia="宋体" w:cs="宋体"/>
          <w:b/>
          <w:szCs w:val="21"/>
        </w:rPr>
        <w:t>1.03  3个月支付1次。</w:t>
      </w:r>
    </w:p>
    <w:p w14:paraId="67226437">
      <w:pPr>
        <w:pStyle w:val="54"/>
        <w:rPr>
          <w:rFonts w:hint="eastAsia" w:ascii="宋体" w:hAnsi="宋体" w:eastAsia="宋体" w:cs="宋体"/>
          <w:b/>
          <w:sz w:val="24"/>
          <w:lang w:val="en-US" w:eastAsia="zh-CN"/>
        </w:rPr>
      </w:pPr>
    </w:p>
    <w:p w14:paraId="5F5134B1">
      <w:pPr>
        <w:rPr>
          <w:rFonts w:hint="eastAsia" w:ascii="宋体" w:hAnsi="宋体" w:eastAsia="宋体" w:cs="宋体"/>
          <w:b/>
          <w:sz w:val="24"/>
          <w:lang w:val="en-US" w:eastAsia="zh-CN"/>
        </w:rPr>
      </w:pPr>
    </w:p>
    <w:p w14:paraId="2891F0D5">
      <w:pPr>
        <w:widowControl/>
        <w:jc w:val="both"/>
        <w:rPr>
          <w:rFonts w:hint="eastAsia" w:ascii="宋体" w:hAnsi="宋体" w:eastAsia="宋体" w:cs="宋体"/>
          <w:b/>
          <w:color w:val="auto"/>
          <w:sz w:val="28"/>
          <w:highlight w:val="none"/>
        </w:rPr>
      </w:pPr>
    </w:p>
    <w:p w14:paraId="21A1EC90">
      <w:pPr>
        <w:widowControl/>
        <w:jc w:val="center"/>
        <w:rPr>
          <w:rFonts w:hint="eastAsia" w:ascii="宋体" w:hAnsi="宋体" w:eastAsia="宋体" w:cs="宋体"/>
          <w:b/>
          <w:color w:val="auto"/>
          <w:sz w:val="28"/>
          <w:highlight w:val="none"/>
        </w:rPr>
      </w:pPr>
      <w:r>
        <w:rPr>
          <w:rFonts w:hint="eastAsia" w:ascii="宋体" w:hAnsi="宋体" w:eastAsia="宋体" w:cs="宋体"/>
          <w:b/>
          <w:color w:val="auto"/>
          <w:sz w:val="28"/>
          <w:highlight w:val="none"/>
        </w:rPr>
        <w:t>第六章  响应文件格式</w:t>
      </w:r>
      <w:bookmarkEnd w:id="47"/>
    </w:p>
    <w:p w14:paraId="36855D79">
      <w:pPr>
        <w:spacing w:line="900" w:lineRule="exact"/>
        <w:jc w:val="center"/>
        <w:outlineLvl w:val="2"/>
        <w:rPr>
          <w:rFonts w:hint="eastAsia" w:ascii="宋体" w:hAnsi="宋体" w:eastAsia="宋体" w:cs="宋体"/>
          <w:b/>
          <w:color w:val="auto"/>
          <w:sz w:val="72"/>
          <w:highlight w:val="none"/>
        </w:rPr>
      </w:pPr>
      <w:bookmarkStart w:id="74" w:name="_Toc24879"/>
      <w:r>
        <w:rPr>
          <w:rFonts w:hint="eastAsia" w:ascii="宋体" w:hAnsi="宋体" w:eastAsia="宋体" w:cs="宋体"/>
          <w:b/>
          <w:color w:val="auto"/>
          <w:sz w:val="72"/>
          <w:highlight w:val="none"/>
        </w:rPr>
        <w:t>响</w:t>
      </w:r>
    </w:p>
    <w:p w14:paraId="7652D12D">
      <w:pPr>
        <w:spacing w:line="900" w:lineRule="exact"/>
        <w:jc w:val="center"/>
        <w:rPr>
          <w:rFonts w:hint="eastAsia" w:ascii="宋体" w:hAnsi="宋体" w:eastAsia="宋体" w:cs="宋体"/>
          <w:b/>
          <w:color w:val="auto"/>
          <w:sz w:val="72"/>
          <w:highlight w:val="none"/>
        </w:rPr>
      </w:pPr>
    </w:p>
    <w:p w14:paraId="0A86C024">
      <w:pPr>
        <w:spacing w:line="900" w:lineRule="exact"/>
        <w:jc w:val="center"/>
        <w:outlineLvl w:val="2"/>
        <w:rPr>
          <w:rFonts w:hint="eastAsia" w:ascii="宋体" w:hAnsi="宋体" w:eastAsia="宋体" w:cs="宋体"/>
          <w:b/>
          <w:color w:val="auto"/>
          <w:sz w:val="72"/>
          <w:highlight w:val="none"/>
        </w:rPr>
      </w:pPr>
      <w:r>
        <w:rPr>
          <w:rFonts w:hint="eastAsia" w:ascii="宋体" w:hAnsi="宋体" w:eastAsia="宋体" w:cs="宋体"/>
          <w:b/>
          <w:color w:val="auto"/>
          <w:sz w:val="72"/>
          <w:highlight w:val="none"/>
        </w:rPr>
        <w:t>应</w:t>
      </w:r>
    </w:p>
    <w:p w14:paraId="0690AEA1">
      <w:pPr>
        <w:spacing w:line="900" w:lineRule="exact"/>
        <w:jc w:val="center"/>
        <w:rPr>
          <w:rFonts w:hint="eastAsia" w:ascii="宋体" w:hAnsi="宋体" w:eastAsia="宋体" w:cs="宋体"/>
          <w:b/>
          <w:color w:val="auto"/>
          <w:sz w:val="72"/>
          <w:highlight w:val="none"/>
        </w:rPr>
      </w:pPr>
    </w:p>
    <w:p w14:paraId="23959292">
      <w:pPr>
        <w:spacing w:line="900" w:lineRule="exact"/>
        <w:jc w:val="center"/>
        <w:outlineLvl w:val="2"/>
        <w:rPr>
          <w:rFonts w:hint="eastAsia" w:ascii="宋体" w:hAnsi="宋体" w:eastAsia="宋体" w:cs="宋体"/>
          <w:b/>
          <w:color w:val="auto"/>
          <w:sz w:val="72"/>
          <w:highlight w:val="none"/>
        </w:rPr>
      </w:pPr>
      <w:r>
        <w:rPr>
          <w:rFonts w:hint="eastAsia" w:ascii="宋体" w:hAnsi="宋体" w:eastAsia="宋体" w:cs="宋体"/>
          <w:b/>
          <w:color w:val="auto"/>
          <w:sz w:val="72"/>
          <w:highlight w:val="none"/>
        </w:rPr>
        <w:t>文</w:t>
      </w:r>
    </w:p>
    <w:p w14:paraId="5DB3D491">
      <w:pPr>
        <w:spacing w:line="900" w:lineRule="exact"/>
        <w:jc w:val="center"/>
        <w:rPr>
          <w:rFonts w:hint="eastAsia" w:ascii="宋体" w:hAnsi="宋体" w:eastAsia="宋体" w:cs="宋体"/>
          <w:b/>
          <w:color w:val="auto"/>
          <w:sz w:val="72"/>
          <w:highlight w:val="none"/>
        </w:rPr>
      </w:pPr>
    </w:p>
    <w:p w14:paraId="59ACC044">
      <w:pPr>
        <w:jc w:val="center"/>
        <w:outlineLvl w:val="2"/>
        <w:rPr>
          <w:rFonts w:hint="eastAsia" w:ascii="宋体" w:hAnsi="宋体" w:eastAsia="宋体" w:cs="宋体"/>
          <w:b/>
          <w:color w:val="auto"/>
          <w:sz w:val="72"/>
          <w:highlight w:val="none"/>
        </w:rPr>
      </w:pPr>
      <w:r>
        <w:rPr>
          <w:rFonts w:hint="eastAsia" w:ascii="宋体" w:hAnsi="宋体" w:eastAsia="宋体" w:cs="宋体"/>
          <w:b/>
          <w:color w:val="auto"/>
          <w:sz w:val="72"/>
          <w:highlight w:val="none"/>
        </w:rPr>
        <w:t>件</w:t>
      </w:r>
    </w:p>
    <w:p w14:paraId="0098A9DE">
      <w:pPr>
        <w:spacing w:after="156" w:afterLines="50"/>
        <w:jc w:val="center"/>
        <w:rPr>
          <w:rFonts w:hint="eastAsia" w:ascii="宋体" w:hAnsi="宋体" w:eastAsia="宋体" w:cs="宋体"/>
          <w:b/>
          <w:color w:val="auto"/>
          <w:sz w:val="72"/>
          <w:highlight w:val="none"/>
        </w:rPr>
      </w:pPr>
    </w:p>
    <w:p w14:paraId="0DA2487D">
      <w:pPr>
        <w:spacing w:after="156" w:afterLines="50" w:line="500" w:lineRule="exact"/>
        <w:jc w:val="center"/>
        <w:rPr>
          <w:rFonts w:hint="eastAsia" w:ascii="宋体" w:hAnsi="宋体" w:eastAsia="宋体" w:cs="宋体"/>
          <w:b/>
          <w:color w:val="auto"/>
          <w:sz w:val="28"/>
          <w:szCs w:val="28"/>
          <w:highlight w:val="none"/>
        </w:rPr>
      </w:pPr>
    </w:p>
    <w:p w14:paraId="0B173846">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pacing w:val="20"/>
          <w:kern w:val="0"/>
          <w:sz w:val="32"/>
          <w:szCs w:val="32"/>
          <w:highlight w:val="none"/>
          <w:lang w:val="en-US" w:eastAsia="zh-CN"/>
        </w:rPr>
      </w:pPr>
      <w:r>
        <w:rPr>
          <w:rFonts w:hint="eastAsia" w:ascii="宋体" w:hAnsi="宋体" w:eastAsia="宋体" w:cs="宋体"/>
          <w:b/>
          <w:color w:val="auto"/>
          <w:sz w:val="32"/>
          <w:highlight w:val="none"/>
        </w:rPr>
        <w:t>项目名称：</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4FA7C9AD">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rPr>
        <w:t>项目编号：</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378D7EE2">
      <w:pPr>
        <w:tabs>
          <w:tab w:val="left" w:pos="2410"/>
        </w:tabs>
        <w:autoSpaceDE w:val="0"/>
        <w:autoSpaceDN w:val="0"/>
        <w:adjustRightInd w:val="0"/>
        <w:snapToGrid w:val="0"/>
        <w:spacing w:line="360" w:lineRule="auto"/>
        <w:ind w:firstLine="1928" w:firstLineChars="600"/>
        <w:jc w:val="both"/>
        <w:outlineLvl w:val="9"/>
        <w:rPr>
          <w:rFonts w:hint="eastAsia" w:ascii="宋体" w:hAnsi="宋体" w:eastAsia="宋体" w:cs="宋体"/>
          <w:b/>
          <w:color w:val="auto"/>
          <w:sz w:val="32"/>
          <w:highlight w:val="none"/>
          <w:u w:val="single"/>
        </w:rPr>
      </w:pPr>
      <w:r>
        <w:rPr>
          <w:rFonts w:hint="eastAsia" w:ascii="宋体" w:hAnsi="宋体" w:eastAsia="宋体" w:cs="宋体"/>
          <w:b/>
          <w:color w:val="auto"/>
          <w:sz w:val="32"/>
          <w:highlight w:val="none"/>
          <w:lang w:val="en-US" w:eastAsia="zh-CN"/>
        </w:rPr>
        <w:t>供 应 商</w:t>
      </w:r>
      <w:r>
        <w:rPr>
          <w:rFonts w:hint="eastAsia" w:ascii="宋体" w:hAnsi="宋体" w:eastAsia="宋体" w:cs="宋体"/>
          <w:b/>
          <w:color w:val="auto"/>
          <w:sz w:val="32"/>
          <w:highlight w:val="none"/>
        </w:rPr>
        <w:t>：</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u w:val="single"/>
          <w:lang w:val="en-US" w:eastAsia="zh-CN"/>
        </w:rPr>
        <w:t xml:space="preserve">   </w:t>
      </w:r>
      <w:r>
        <w:rPr>
          <w:rFonts w:hint="eastAsia" w:ascii="宋体" w:hAnsi="宋体" w:eastAsia="宋体" w:cs="宋体"/>
          <w:b/>
          <w:color w:val="auto"/>
          <w:sz w:val="32"/>
          <w:highlight w:val="none"/>
          <w:u w:val="single"/>
        </w:rPr>
        <w:t xml:space="preserve">    </w:t>
      </w:r>
    </w:p>
    <w:p w14:paraId="240342DC">
      <w:pPr>
        <w:spacing w:after="156" w:afterLines="50" w:line="500" w:lineRule="exact"/>
        <w:jc w:val="center"/>
        <w:outlineLvl w:val="1"/>
        <w:rPr>
          <w:rFonts w:hint="eastAsia" w:ascii="宋体" w:hAnsi="宋体" w:eastAsia="宋体" w:cs="宋体"/>
          <w:b/>
          <w:color w:val="auto"/>
          <w:sz w:val="32"/>
          <w:highlight w:val="none"/>
        </w:rPr>
      </w:pPr>
      <w:r>
        <w:rPr>
          <w:rFonts w:hint="eastAsia" w:ascii="宋体" w:hAnsi="宋体" w:eastAsia="宋体" w:cs="宋体"/>
          <w:b/>
          <w:color w:val="auto"/>
          <w:sz w:val="32"/>
          <w:highlight w:val="none"/>
          <w:u w:val="single"/>
        </w:rPr>
        <w:t xml:space="preserve">    </w:t>
      </w:r>
      <w:bookmarkStart w:id="75" w:name="_Toc19892"/>
      <w:bookmarkStart w:id="76" w:name="_Toc24911"/>
      <w:r>
        <w:rPr>
          <w:rFonts w:hint="eastAsia" w:ascii="宋体" w:hAnsi="宋体" w:eastAsia="宋体" w:cs="宋体"/>
          <w:b/>
          <w:color w:val="auto"/>
          <w:sz w:val="32"/>
          <w:highlight w:val="none"/>
        </w:rPr>
        <w:t>年</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月</w:t>
      </w:r>
      <w:r>
        <w:rPr>
          <w:rFonts w:hint="eastAsia" w:ascii="宋体" w:hAnsi="宋体" w:eastAsia="宋体" w:cs="宋体"/>
          <w:b/>
          <w:color w:val="auto"/>
          <w:sz w:val="32"/>
          <w:highlight w:val="none"/>
          <w:u w:val="single"/>
        </w:rPr>
        <w:t xml:space="preserve">  </w:t>
      </w:r>
      <w:r>
        <w:rPr>
          <w:rFonts w:hint="eastAsia" w:ascii="宋体" w:hAnsi="宋体" w:eastAsia="宋体" w:cs="宋体"/>
          <w:b/>
          <w:color w:val="auto"/>
          <w:sz w:val="32"/>
          <w:highlight w:val="none"/>
        </w:rPr>
        <w:t>日</w:t>
      </w:r>
      <w:bookmarkEnd w:id="75"/>
      <w:bookmarkEnd w:id="76"/>
    </w:p>
    <w:p w14:paraId="0D54F7A0">
      <w:pPr>
        <w:widowControl/>
        <w:jc w:val="left"/>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2D9E7A5D">
      <w:pPr>
        <w:spacing w:line="360" w:lineRule="auto"/>
        <w:jc w:val="center"/>
        <w:outlineLvl w:val="1"/>
        <w:rPr>
          <w:rFonts w:hint="eastAsia" w:ascii="宋体" w:hAnsi="宋体" w:eastAsia="宋体" w:cs="宋体"/>
          <w:b/>
          <w:color w:val="auto"/>
          <w:sz w:val="24"/>
          <w:highlight w:val="none"/>
        </w:rPr>
      </w:pPr>
      <w:bookmarkStart w:id="77" w:name="_Toc461056631"/>
      <w:bookmarkStart w:id="78" w:name="_Toc461053086"/>
      <w:bookmarkStart w:id="79" w:name="_Toc520983587"/>
      <w:bookmarkStart w:id="80" w:name="_Toc28280"/>
      <w:bookmarkStart w:id="81" w:name="_Toc21496"/>
      <w:r>
        <w:rPr>
          <w:rFonts w:hint="eastAsia" w:ascii="宋体" w:hAnsi="宋体" w:eastAsia="宋体" w:cs="宋体"/>
          <w:b/>
          <w:color w:val="auto"/>
          <w:sz w:val="24"/>
          <w:highlight w:val="none"/>
        </w:rPr>
        <w:t>一</w:t>
      </w:r>
      <w:bookmarkEnd w:id="77"/>
      <w:bookmarkEnd w:id="78"/>
      <w:r>
        <w:rPr>
          <w:rFonts w:hint="eastAsia" w:ascii="宋体" w:hAnsi="宋体" w:eastAsia="宋体" w:cs="宋体"/>
          <w:b/>
          <w:color w:val="auto"/>
          <w:sz w:val="24"/>
          <w:highlight w:val="none"/>
        </w:rPr>
        <w:t>、报价表格式</w:t>
      </w:r>
      <w:bookmarkEnd w:id="79"/>
      <w:bookmarkEnd w:id="80"/>
      <w:bookmarkEnd w:id="81"/>
    </w:p>
    <w:p w14:paraId="3F47CAA0">
      <w:pPr>
        <w:spacing w:before="156" w:beforeLines="50" w:after="156" w:afterLines="50" w:line="360" w:lineRule="auto"/>
        <w:jc w:val="left"/>
        <w:outlineLvl w:val="2"/>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1-1 报价表</w:t>
      </w:r>
    </w:p>
    <w:p w14:paraId="65C5DCE1">
      <w:pPr>
        <w:snapToGrid w:val="0"/>
        <w:spacing w:line="360" w:lineRule="auto"/>
        <w:jc w:val="left"/>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p w14:paraId="1EDC58CA">
      <w:pPr>
        <w:snapToGrid w:val="0"/>
        <w:spacing w:after="156" w:afterLines="50" w:line="360" w:lineRule="auto"/>
        <w:jc w:val="left"/>
        <w:rPr>
          <w:rFonts w:hint="eastAsia" w:ascii="宋体" w:hAnsi="宋体" w:eastAsia="宋体" w:cs="宋体"/>
          <w:b/>
          <w:bCs/>
          <w:color w:val="auto"/>
          <w:kern w:val="2"/>
          <w:sz w:val="24"/>
          <w:szCs w:val="24"/>
          <w:highlight w:val="none"/>
          <w:u w:val="single"/>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r>
        <w:rPr>
          <w:rFonts w:hint="eastAsia" w:ascii="宋体" w:hAnsi="宋体" w:eastAsia="宋体" w:cs="宋体"/>
          <w:b/>
          <w:color w:val="auto"/>
          <w:kern w:val="2"/>
          <w:sz w:val="24"/>
          <w:szCs w:val="24"/>
          <w:highlight w:val="none"/>
          <w:u w:val="single"/>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9"/>
        <w:gridCol w:w="6063"/>
      </w:tblGrid>
      <w:tr w14:paraId="15ED67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601E7CC7">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557" w:type="pct"/>
            <w:tcBorders>
              <w:left w:val="single" w:color="auto" w:sz="4" w:space="0"/>
            </w:tcBorders>
          </w:tcPr>
          <w:p w14:paraId="63C84750">
            <w:pPr>
              <w:rPr>
                <w:rFonts w:hint="eastAsia" w:ascii="宋体" w:hAnsi="宋体" w:eastAsia="宋体" w:cs="宋体"/>
                <w:b/>
                <w:color w:val="auto"/>
                <w:kern w:val="2"/>
                <w:sz w:val="24"/>
                <w:szCs w:val="24"/>
                <w:highlight w:val="none"/>
              </w:rPr>
            </w:pPr>
          </w:p>
        </w:tc>
      </w:tr>
      <w:tr w14:paraId="79E0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13C1DE2B">
            <w:pPr>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557" w:type="pct"/>
            <w:tcBorders>
              <w:left w:val="single" w:color="auto" w:sz="4" w:space="0"/>
            </w:tcBorders>
            <w:vAlign w:val="center"/>
          </w:tcPr>
          <w:p w14:paraId="33069FD9">
            <w:pPr>
              <w:widowControl/>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8"/>
                <w:highlight w:val="none"/>
              </w:rPr>
              <w:t xml:space="preserve">全部 </w:t>
            </w:r>
          </w:p>
        </w:tc>
      </w:tr>
      <w:tr w14:paraId="3F2713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5F8775C2">
            <w:pPr>
              <w:spacing w:line="360" w:lineRule="auto"/>
              <w:jc w:val="center"/>
              <w:rPr>
                <w:rFonts w:hint="eastAsia" w:ascii="宋体" w:hAnsi="宋体" w:eastAsia="宋体" w:cs="宋体"/>
                <w:b/>
                <w:color w:val="auto"/>
                <w:kern w:val="2"/>
                <w:sz w:val="24"/>
                <w:highlight w:val="none"/>
              </w:rPr>
            </w:pPr>
            <w:r>
              <w:rPr>
                <w:rFonts w:hint="eastAsia" w:ascii="宋体" w:hAnsi="宋体" w:eastAsia="宋体" w:cs="宋体"/>
                <w:b/>
                <w:color w:val="auto"/>
                <w:kern w:val="2"/>
                <w:sz w:val="24"/>
                <w:highlight w:val="none"/>
              </w:rPr>
              <w:t>报价</w:t>
            </w:r>
          </w:p>
          <w:p w14:paraId="2CFC8C24">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3557" w:type="pct"/>
            <w:vAlign w:val="center"/>
          </w:tcPr>
          <w:p w14:paraId="0DCD3DBB">
            <w:pPr>
              <w:snapToGrid w:val="0"/>
              <w:rPr>
                <w:rFonts w:hint="eastAsia" w:ascii="宋体" w:hAnsi="宋体" w:eastAsia="宋体" w:cs="宋体"/>
                <w:color w:val="auto"/>
                <w:kern w:val="2"/>
                <w:sz w:val="24"/>
                <w:szCs w:val="24"/>
                <w:highlight w:val="none"/>
              </w:rPr>
            </w:pPr>
          </w:p>
          <w:p w14:paraId="6BD1181F">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56EDF229">
            <w:pPr>
              <w:spacing w:line="360" w:lineRule="auto"/>
              <w:ind w:right="-670"/>
              <w:rPr>
                <w:rFonts w:hint="eastAsia" w:ascii="宋体" w:hAnsi="宋体" w:eastAsia="宋体" w:cs="宋体"/>
                <w:color w:val="auto"/>
                <w:sz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4BD17C99">
            <w:pPr>
              <w:snapToGrid w:val="0"/>
              <w:rPr>
                <w:rFonts w:hint="eastAsia" w:ascii="宋体" w:hAnsi="宋体" w:eastAsia="宋体" w:cs="宋体"/>
                <w:b/>
                <w:color w:val="auto"/>
                <w:kern w:val="2"/>
                <w:sz w:val="24"/>
                <w:szCs w:val="24"/>
                <w:highlight w:val="none"/>
              </w:rPr>
            </w:pPr>
          </w:p>
        </w:tc>
      </w:tr>
      <w:tr w14:paraId="11C8D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4031C3BE">
            <w:pPr>
              <w:snapToGrid w:val="0"/>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3557" w:type="pct"/>
            <w:vAlign w:val="center"/>
          </w:tcPr>
          <w:p w14:paraId="5FD1E176">
            <w:pPr>
              <w:snapToGrid w:val="0"/>
              <w:rPr>
                <w:rFonts w:hint="eastAsia" w:ascii="宋体" w:hAnsi="宋体" w:eastAsia="宋体" w:cs="宋体"/>
                <w:b/>
                <w:color w:val="auto"/>
                <w:kern w:val="2"/>
                <w:sz w:val="24"/>
                <w:szCs w:val="24"/>
                <w:highlight w:val="none"/>
              </w:rPr>
            </w:pPr>
          </w:p>
        </w:tc>
      </w:tr>
      <w:tr w14:paraId="48989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D7239D1">
            <w:pPr>
              <w:snapToGrid w:val="0"/>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3557" w:type="pct"/>
            <w:vAlign w:val="center"/>
          </w:tcPr>
          <w:p w14:paraId="70D3557E">
            <w:pPr>
              <w:snapToGrid w:val="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2025年5月10日-2025年12月31日</w:t>
            </w:r>
            <w:r>
              <w:rPr>
                <w:rFonts w:hint="eastAsia" w:ascii="宋体" w:hAnsi="宋体" w:eastAsia="宋体" w:cs="宋体"/>
                <w:b/>
                <w:color w:val="auto"/>
                <w:kern w:val="2"/>
                <w:sz w:val="24"/>
                <w:szCs w:val="24"/>
                <w:highlight w:val="none"/>
              </w:rPr>
              <w:t>。</w:t>
            </w:r>
          </w:p>
        </w:tc>
      </w:tr>
      <w:tr w14:paraId="32F03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443" w:type="pct"/>
            <w:tcBorders>
              <w:top w:val="single" w:color="auto" w:sz="4" w:space="0"/>
            </w:tcBorders>
            <w:vAlign w:val="center"/>
          </w:tcPr>
          <w:p w14:paraId="3369BF5E">
            <w:pPr>
              <w:snapToGrid w:val="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557" w:type="pct"/>
            <w:vAlign w:val="center"/>
          </w:tcPr>
          <w:p w14:paraId="7BFB19C3">
            <w:pPr>
              <w:snapToGrid w:val="0"/>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4E9650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2" w:hRule="atLeast"/>
          <w:jc w:val="center"/>
        </w:trPr>
        <w:tc>
          <w:tcPr>
            <w:tcW w:w="1443" w:type="pct"/>
            <w:vAlign w:val="center"/>
          </w:tcPr>
          <w:p w14:paraId="4DDB540B">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557" w:type="pct"/>
          </w:tcPr>
          <w:p w14:paraId="00BEEBB2">
            <w:pPr>
              <w:rPr>
                <w:rFonts w:hint="eastAsia" w:ascii="宋体" w:hAnsi="宋体" w:eastAsia="宋体" w:cs="宋体"/>
                <w:b/>
                <w:color w:val="auto"/>
                <w:kern w:val="2"/>
                <w:sz w:val="24"/>
                <w:szCs w:val="24"/>
                <w:highlight w:val="none"/>
              </w:rPr>
            </w:pPr>
          </w:p>
        </w:tc>
      </w:tr>
    </w:tbl>
    <w:p w14:paraId="7CFE218C">
      <w:pPr>
        <w:spacing w:line="440" w:lineRule="exact"/>
        <w:ind w:firstLine="4800" w:firstLineChars="20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供应商电子签章：</w:t>
      </w:r>
      <w:r>
        <w:rPr>
          <w:rFonts w:hint="eastAsia" w:ascii="宋体" w:hAnsi="宋体" w:eastAsia="宋体" w:cs="宋体"/>
          <w:color w:val="auto"/>
          <w:kern w:val="2"/>
          <w:sz w:val="24"/>
          <w:szCs w:val="24"/>
          <w:highlight w:val="none"/>
          <w:u w:val="single"/>
        </w:rPr>
        <w:t xml:space="preserve">             </w:t>
      </w:r>
    </w:p>
    <w:p w14:paraId="3B5D9AEB">
      <w:pPr>
        <w:spacing w:line="440" w:lineRule="exact"/>
        <w:ind w:firstLine="4800" w:firstLineChars="20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6F8D2890">
      <w:pPr>
        <w:adjustRightInd w:val="0"/>
        <w:snapToGrid w:val="0"/>
        <w:spacing w:line="360" w:lineRule="auto"/>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5C8E7A34">
      <w:pPr>
        <w:adjustRightInd w:val="0"/>
        <w:snapToGrid w:val="0"/>
        <w:spacing w:line="360" w:lineRule="auto"/>
        <w:ind w:firstLine="482" w:firstLineChars="200"/>
        <w:rPr>
          <w:rFonts w:hint="eastAsia" w:ascii="宋体" w:hAnsi="宋体" w:eastAsia="宋体" w:cs="宋体"/>
          <w:color w:val="auto"/>
          <w:kern w:val="2"/>
          <w:sz w:val="24"/>
          <w:szCs w:val="24"/>
          <w:highlight w:val="none"/>
        </w:rPr>
      </w:pPr>
      <w:r>
        <w:rPr>
          <w:rFonts w:hint="eastAsia" w:ascii="宋体" w:hAnsi="宋体" w:eastAsia="宋体" w:cs="宋体"/>
          <w:b/>
          <w:bCs/>
          <w:color w:val="auto"/>
          <w:kern w:val="2"/>
          <w:sz w:val="24"/>
          <w:szCs w:val="24"/>
          <w:highlight w:val="none"/>
        </w:rPr>
        <w:t>1.本表内容根据磋商文件要求包括了磋商文件要求提供的全部内容的所有费用。</w:t>
      </w:r>
    </w:p>
    <w:p w14:paraId="1B72A225">
      <w:pPr>
        <w:adjustRightInd w:val="0"/>
        <w:snapToGrid w:val="0"/>
        <w:spacing w:line="360" w:lineRule="auto"/>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2.特殊事项在备注中注明。</w:t>
      </w:r>
    </w:p>
    <w:p w14:paraId="4A1A3053">
      <w:pPr>
        <w:adjustRightInd w:val="0"/>
        <w:snapToGrid w:val="0"/>
        <w:spacing w:line="360" w:lineRule="auto"/>
        <w:ind w:firstLine="482" w:firstLineChars="200"/>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3</w:t>
      </w:r>
      <w:r>
        <w:rPr>
          <w:rFonts w:hint="eastAsia" w:ascii="宋体" w:hAnsi="宋体" w:eastAsia="宋体" w:cs="宋体"/>
          <w:b/>
          <w:bCs/>
          <w:color w:val="auto"/>
          <w:sz w:val="24"/>
          <w:szCs w:val="28"/>
          <w:highlight w:val="none"/>
        </w:rPr>
        <w:t>.表中大写与小写不一致的，以大写为准。</w:t>
      </w:r>
    </w:p>
    <w:p w14:paraId="1A4728BC">
      <w:pPr>
        <w:adjustRightInd w:val="0"/>
        <w:snapToGrid w:val="0"/>
        <w:spacing w:line="360" w:lineRule="auto"/>
        <w:ind w:firstLine="482" w:firstLineChars="200"/>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br w:type="page"/>
      </w:r>
    </w:p>
    <w:p w14:paraId="629752FB">
      <w:pPr>
        <w:adjustRightInd w:val="0"/>
        <w:snapToGrid w:val="0"/>
        <w:spacing w:line="360" w:lineRule="auto"/>
        <w:outlineLvl w:val="2"/>
        <w:rPr>
          <w:rFonts w:hint="eastAsia" w:ascii="宋体" w:hAnsi="宋体" w:eastAsia="宋体" w:cs="宋体"/>
          <w:b/>
          <w:color w:val="auto"/>
          <w:sz w:val="24"/>
          <w:szCs w:val="24"/>
          <w:highlight w:val="none"/>
        </w:rPr>
      </w:pPr>
      <w:r>
        <w:rPr>
          <w:rFonts w:hint="eastAsia" w:ascii="宋体" w:hAnsi="宋体" w:eastAsia="宋体" w:cs="宋体"/>
          <w:b/>
          <w:color w:val="auto"/>
          <w:kern w:val="2"/>
          <w:sz w:val="24"/>
          <w:szCs w:val="24"/>
          <w:highlight w:val="none"/>
        </w:rPr>
        <w:t>1-2 工程量清单报价书</w:t>
      </w:r>
    </w:p>
    <w:p w14:paraId="2123B939">
      <w:pPr>
        <w:autoSpaceDE w:val="0"/>
        <w:autoSpaceDN w:val="0"/>
        <w:adjustRightInd w:val="0"/>
        <w:spacing w:before="20" w:after="20" w:line="360" w:lineRule="auto"/>
        <w:jc w:val="center"/>
        <w:outlineLvl w:val="1"/>
        <w:rPr>
          <w:rFonts w:hint="eastAsia" w:ascii="宋体" w:hAnsi="宋体" w:eastAsia="宋体" w:cs="宋体"/>
          <w:b/>
          <w:color w:val="auto"/>
          <w:sz w:val="24"/>
          <w:szCs w:val="24"/>
          <w:highlight w:val="none"/>
        </w:rPr>
      </w:pPr>
      <w:bookmarkStart w:id="82" w:name="_Toc26702"/>
      <w:bookmarkStart w:id="83" w:name="_Toc1874"/>
      <w:r>
        <w:rPr>
          <w:rFonts w:hint="eastAsia" w:ascii="宋体" w:hAnsi="宋体" w:eastAsia="宋体" w:cs="宋体"/>
          <w:b/>
          <w:color w:val="auto"/>
          <w:sz w:val="24"/>
          <w:szCs w:val="24"/>
          <w:highlight w:val="none"/>
        </w:rPr>
        <w:t>工程量清单报价书</w:t>
      </w:r>
      <w:bookmarkEnd w:id="82"/>
      <w:bookmarkEnd w:id="83"/>
    </w:p>
    <w:p w14:paraId="5ABE2AC4">
      <w:pPr>
        <w:widowControl/>
        <w:jc w:val="left"/>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rPr>
        <w:br w:type="page"/>
      </w:r>
    </w:p>
    <w:p w14:paraId="6F648183">
      <w:pPr>
        <w:spacing w:line="360" w:lineRule="auto"/>
        <w:jc w:val="center"/>
        <w:outlineLvl w:val="1"/>
        <w:rPr>
          <w:rFonts w:hint="eastAsia" w:ascii="宋体" w:hAnsi="宋体" w:eastAsia="宋体" w:cs="宋体"/>
          <w:b/>
          <w:color w:val="auto"/>
          <w:sz w:val="24"/>
          <w:highlight w:val="none"/>
        </w:rPr>
      </w:pPr>
      <w:bookmarkStart w:id="84" w:name="_Toc461053087"/>
      <w:bookmarkStart w:id="85" w:name="_Toc461056632"/>
      <w:bookmarkStart w:id="86" w:name="_Toc520983588"/>
      <w:bookmarkStart w:id="87" w:name="_Toc20879"/>
      <w:bookmarkStart w:id="88" w:name="_Toc22341"/>
      <w:r>
        <w:rPr>
          <w:rFonts w:hint="eastAsia" w:ascii="宋体" w:hAnsi="宋体" w:eastAsia="宋体" w:cs="宋体"/>
          <w:b/>
          <w:color w:val="auto"/>
          <w:sz w:val="24"/>
          <w:highlight w:val="none"/>
        </w:rPr>
        <w:t>二</w:t>
      </w:r>
      <w:bookmarkEnd w:id="84"/>
      <w:bookmarkEnd w:id="85"/>
      <w:r>
        <w:rPr>
          <w:rFonts w:hint="eastAsia" w:ascii="宋体" w:hAnsi="宋体" w:eastAsia="宋体" w:cs="宋体"/>
          <w:b/>
          <w:color w:val="auto"/>
          <w:sz w:val="24"/>
          <w:highlight w:val="none"/>
        </w:rPr>
        <w:t>、最后承诺报价表</w:t>
      </w:r>
      <w:bookmarkEnd w:id="86"/>
      <w:bookmarkEnd w:id="87"/>
      <w:bookmarkEnd w:id="88"/>
    </w:p>
    <w:p w14:paraId="21BA294F">
      <w:pPr>
        <w:spacing w:before="156" w:beforeLines="50" w:after="156" w:afterLines="50" w:line="360" w:lineRule="auto"/>
        <w:ind w:firstLine="236" w:firstLineChars="98"/>
        <w:jc w:val="center"/>
        <w:outlineLvl w:val="1"/>
        <w:rPr>
          <w:rFonts w:hint="eastAsia" w:ascii="宋体" w:hAnsi="宋体" w:eastAsia="宋体" w:cs="宋体"/>
          <w:b/>
          <w:color w:val="auto"/>
          <w:sz w:val="24"/>
          <w:szCs w:val="28"/>
          <w:highlight w:val="none"/>
        </w:rPr>
      </w:pPr>
      <w:bookmarkStart w:id="89" w:name="_Toc8562"/>
      <w:bookmarkStart w:id="90" w:name="_Toc13333"/>
      <w:r>
        <w:rPr>
          <w:rFonts w:hint="eastAsia" w:ascii="宋体" w:hAnsi="宋体" w:eastAsia="宋体" w:cs="宋体"/>
          <w:b/>
          <w:color w:val="auto"/>
          <w:sz w:val="24"/>
          <w:szCs w:val="28"/>
          <w:highlight w:val="none"/>
        </w:rPr>
        <w:t>（第</w:t>
      </w:r>
      <w:r>
        <w:rPr>
          <w:rFonts w:hint="eastAsia" w:ascii="宋体" w:hAnsi="宋体" w:eastAsia="宋体" w:cs="宋体"/>
          <w:b/>
          <w:color w:val="auto"/>
          <w:sz w:val="24"/>
          <w:szCs w:val="28"/>
          <w:highlight w:val="none"/>
          <w:u w:val="single"/>
        </w:rPr>
        <w:t xml:space="preserve">   </w:t>
      </w:r>
      <w:r>
        <w:rPr>
          <w:rFonts w:hint="eastAsia" w:ascii="宋体" w:hAnsi="宋体" w:eastAsia="宋体" w:cs="宋体"/>
          <w:b/>
          <w:color w:val="auto"/>
          <w:sz w:val="24"/>
          <w:szCs w:val="28"/>
          <w:highlight w:val="none"/>
        </w:rPr>
        <w:t>次报价书）</w:t>
      </w:r>
      <w:bookmarkEnd w:id="89"/>
      <w:bookmarkEnd w:id="90"/>
    </w:p>
    <w:p w14:paraId="65AFEEC6">
      <w:pPr>
        <w:snapToGrid w:val="0"/>
        <w:spacing w:line="360" w:lineRule="auto"/>
        <w:jc w:val="left"/>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rPr>
        <w:t>项目名称：</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p w14:paraId="1B0CD95A">
      <w:pPr>
        <w:snapToGrid w:val="0"/>
        <w:spacing w:after="156" w:afterLines="50" w:line="360" w:lineRule="auto"/>
        <w:jc w:val="left"/>
        <w:rPr>
          <w:rFonts w:hint="eastAsia" w:ascii="宋体" w:hAnsi="宋体" w:eastAsia="宋体" w:cs="宋体"/>
          <w:b/>
          <w:bCs/>
          <w:color w:val="auto"/>
          <w:kern w:val="2"/>
          <w:sz w:val="24"/>
          <w:szCs w:val="24"/>
          <w:highlight w:val="none"/>
          <w:u w:val="single"/>
          <w:lang w:val="en-US" w:eastAsia="zh-CN"/>
        </w:rPr>
      </w:pPr>
      <w:r>
        <w:rPr>
          <w:rFonts w:hint="eastAsia" w:ascii="宋体" w:hAnsi="宋体" w:eastAsia="宋体" w:cs="宋体"/>
          <w:b/>
          <w:color w:val="auto"/>
          <w:kern w:val="2"/>
          <w:sz w:val="24"/>
          <w:szCs w:val="24"/>
          <w:highlight w:val="none"/>
        </w:rPr>
        <w:t>项目编号：</w:t>
      </w:r>
      <w:r>
        <w:rPr>
          <w:rFonts w:hint="eastAsia" w:ascii="宋体" w:hAnsi="宋体" w:eastAsia="宋体" w:cs="宋体"/>
          <w:b/>
          <w:color w:val="auto"/>
          <w:kern w:val="2"/>
          <w:sz w:val="24"/>
          <w:szCs w:val="24"/>
          <w:highlight w:val="none"/>
          <w:u w:val="single"/>
        </w:rPr>
        <w:t xml:space="preserve">     </w:t>
      </w:r>
      <w:r>
        <w:rPr>
          <w:rFonts w:hint="eastAsia" w:ascii="宋体" w:hAnsi="宋体" w:eastAsia="宋体" w:cs="宋体"/>
          <w:b/>
          <w:color w:val="auto"/>
          <w:kern w:val="2"/>
          <w:sz w:val="24"/>
          <w:szCs w:val="24"/>
          <w:highlight w:val="none"/>
          <w:u w:val="single"/>
          <w:lang w:val="en-US" w:eastAsia="zh-CN"/>
        </w:rPr>
        <w:t xml:space="preserve">     </w:t>
      </w:r>
    </w:p>
    <w:tbl>
      <w:tblPr>
        <w:tblStyle w:val="5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2"/>
        <w:gridCol w:w="5950"/>
      </w:tblGrid>
      <w:tr w14:paraId="18B3B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5D69E0F6">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供应商名称</w:t>
            </w:r>
          </w:p>
        </w:tc>
        <w:tc>
          <w:tcPr>
            <w:tcW w:w="3491" w:type="pct"/>
            <w:tcBorders>
              <w:left w:val="single" w:color="auto" w:sz="4" w:space="0"/>
            </w:tcBorders>
          </w:tcPr>
          <w:p w14:paraId="3999CDC9">
            <w:pPr>
              <w:rPr>
                <w:rFonts w:hint="eastAsia" w:ascii="宋体" w:hAnsi="宋体" w:eastAsia="宋体" w:cs="宋体"/>
                <w:b/>
                <w:color w:val="auto"/>
                <w:kern w:val="2"/>
                <w:sz w:val="24"/>
                <w:szCs w:val="24"/>
                <w:highlight w:val="none"/>
              </w:rPr>
            </w:pPr>
          </w:p>
        </w:tc>
      </w:tr>
      <w:tr w14:paraId="0757E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509" w:type="pct"/>
            <w:tcBorders>
              <w:top w:val="single" w:color="auto" w:sz="4" w:space="0"/>
              <w:left w:val="single" w:color="auto" w:sz="4" w:space="0"/>
              <w:bottom w:val="single" w:color="auto" w:sz="4" w:space="0"/>
              <w:right w:val="single" w:color="auto" w:sz="4" w:space="0"/>
            </w:tcBorders>
            <w:vAlign w:val="center"/>
          </w:tcPr>
          <w:p w14:paraId="65BB0BAA">
            <w:pPr>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磋商</w:t>
            </w:r>
            <w:r>
              <w:rPr>
                <w:rFonts w:hint="eastAsia" w:ascii="宋体" w:hAnsi="宋体" w:eastAsia="宋体" w:cs="宋体"/>
                <w:b/>
                <w:color w:val="auto"/>
                <w:kern w:val="2"/>
                <w:sz w:val="24"/>
                <w:szCs w:val="24"/>
                <w:highlight w:val="none"/>
              </w:rPr>
              <w:t>范围</w:t>
            </w:r>
          </w:p>
        </w:tc>
        <w:tc>
          <w:tcPr>
            <w:tcW w:w="3491" w:type="pct"/>
            <w:tcBorders>
              <w:left w:val="single" w:color="auto" w:sz="4" w:space="0"/>
            </w:tcBorders>
            <w:vAlign w:val="center"/>
          </w:tcPr>
          <w:p w14:paraId="53BD51AA">
            <w:pPr>
              <w:widowControl/>
              <w:rPr>
                <w:rFonts w:hint="eastAsia" w:ascii="宋体" w:hAnsi="宋体" w:eastAsia="宋体" w:cs="宋体"/>
                <w:b/>
                <w:color w:val="auto"/>
                <w:kern w:val="2"/>
                <w:sz w:val="24"/>
                <w:szCs w:val="24"/>
                <w:highlight w:val="none"/>
              </w:rPr>
            </w:pPr>
            <w:r>
              <w:rPr>
                <w:rFonts w:hint="eastAsia" w:ascii="宋体" w:hAnsi="宋体" w:eastAsia="宋体" w:cs="宋体"/>
                <w:color w:val="auto"/>
                <w:kern w:val="2"/>
                <w:sz w:val="24"/>
                <w:szCs w:val="28"/>
                <w:highlight w:val="none"/>
              </w:rPr>
              <w:t xml:space="preserve">全部 </w:t>
            </w:r>
          </w:p>
        </w:tc>
      </w:tr>
      <w:tr w14:paraId="59C24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1" w:hRule="atLeast"/>
          <w:jc w:val="center"/>
        </w:trPr>
        <w:tc>
          <w:tcPr>
            <w:tcW w:w="1509" w:type="pct"/>
            <w:tcBorders>
              <w:top w:val="single" w:color="auto" w:sz="4" w:space="0"/>
            </w:tcBorders>
            <w:vAlign w:val="center"/>
          </w:tcPr>
          <w:p w14:paraId="0A86AAF5">
            <w:pPr>
              <w:spacing w:line="360" w:lineRule="auto"/>
              <w:jc w:val="center"/>
              <w:rPr>
                <w:rFonts w:hint="eastAsia" w:ascii="宋体" w:hAnsi="宋体" w:eastAsia="宋体" w:cs="宋体"/>
                <w:b/>
                <w:color w:val="auto"/>
                <w:kern w:val="2"/>
                <w:sz w:val="24"/>
                <w:highlight w:val="none"/>
              </w:rPr>
            </w:pPr>
            <w:r>
              <w:rPr>
                <w:rFonts w:hint="eastAsia" w:ascii="宋体" w:hAnsi="宋体" w:eastAsia="宋体" w:cs="宋体"/>
                <w:b/>
                <w:bCs/>
                <w:color w:val="auto"/>
                <w:kern w:val="2"/>
                <w:sz w:val="24"/>
                <w:szCs w:val="28"/>
                <w:highlight w:val="none"/>
              </w:rPr>
              <w:t>最后报价</w:t>
            </w:r>
          </w:p>
          <w:p w14:paraId="3B3E108A">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（详见备注说明）</w:t>
            </w:r>
          </w:p>
        </w:tc>
        <w:tc>
          <w:tcPr>
            <w:tcW w:w="5950" w:type="dxa"/>
            <w:vAlign w:val="center"/>
          </w:tcPr>
          <w:p w14:paraId="414FBE9B">
            <w:pPr>
              <w:snapToGrid w:val="0"/>
              <w:rPr>
                <w:rFonts w:hint="eastAsia" w:ascii="宋体" w:hAnsi="宋体" w:eastAsia="宋体" w:cs="宋体"/>
                <w:color w:val="auto"/>
                <w:kern w:val="2"/>
                <w:sz w:val="24"/>
                <w:szCs w:val="24"/>
                <w:highlight w:val="none"/>
              </w:rPr>
            </w:pPr>
          </w:p>
          <w:p w14:paraId="2E281935">
            <w:pPr>
              <w:snapToGrid w:val="0"/>
              <w:spacing w:line="360" w:lineRule="auto"/>
              <w:jc w:val="left"/>
              <w:rPr>
                <w:rFonts w:hint="eastAsia" w:ascii="宋体" w:hAnsi="宋体" w:eastAsia="宋体" w:cs="宋体"/>
                <w:bCs/>
                <w:color w:val="auto"/>
                <w:sz w:val="24"/>
                <w:szCs w:val="24"/>
                <w:highlight w:val="none"/>
                <w:u w:val="single"/>
              </w:rPr>
            </w:pPr>
            <w:r>
              <w:rPr>
                <w:rFonts w:hint="eastAsia" w:ascii="宋体" w:hAnsi="宋体" w:eastAsia="宋体" w:cs="宋体"/>
                <w:bCs/>
                <w:color w:val="auto"/>
                <w:sz w:val="24"/>
                <w:szCs w:val="24"/>
                <w:highlight w:val="none"/>
              </w:rPr>
              <w:t>大写：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p w14:paraId="36AE043F">
            <w:pPr>
              <w:spacing w:line="360" w:lineRule="auto"/>
              <w:ind w:right="-670"/>
              <w:rPr>
                <w:rFonts w:hint="eastAsia" w:ascii="宋体" w:hAnsi="宋体" w:eastAsia="宋体" w:cs="宋体"/>
                <w:b/>
                <w:color w:val="auto"/>
                <w:kern w:val="2"/>
                <w:sz w:val="24"/>
                <w:szCs w:val="24"/>
                <w:highlight w:val="none"/>
              </w:rPr>
            </w:pPr>
            <w:r>
              <w:rPr>
                <w:rFonts w:hint="eastAsia" w:ascii="宋体" w:hAnsi="宋体" w:eastAsia="宋体" w:cs="宋体"/>
                <w:bCs/>
                <w:color w:val="auto"/>
                <w:sz w:val="24"/>
                <w:szCs w:val="24"/>
                <w:highlight w:val="none"/>
              </w:rPr>
              <w:t>小写：</w:t>
            </w:r>
            <w:r>
              <w:rPr>
                <w:rFonts w:hint="eastAsia" w:ascii="宋体" w:hAnsi="宋体" w:eastAsia="宋体" w:cs="宋体"/>
                <w:bCs/>
                <w:color w:val="auto"/>
                <w:sz w:val="24"/>
                <w:szCs w:val="24"/>
                <w:highlight w:val="none"/>
                <w:u w:val="single"/>
              </w:rPr>
              <w:t xml:space="preserve">         </w:t>
            </w:r>
            <w:r>
              <w:rPr>
                <w:rFonts w:hint="eastAsia" w:ascii="宋体" w:hAnsi="宋体" w:eastAsia="宋体" w:cs="宋体"/>
                <w:bCs/>
                <w:color w:val="auto"/>
                <w:sz w:val="24"/>
                <w:szCs w:val="24"/>
                <w:highlight w:val="none"/>
                <w:u w:val="single"/>
                <w:lang w:val="en-US" w:eastAsia="zh-CN"/>
              </w:rPr>
              <w:t xml:space="preserve"> </w:t>
            </w:r>
            <w:r>
              <w:rPr>
                <w:rFonts w:hint="eastAsia" w:ascii="宋体" w:hAnsi="宋体" w:eastAsia="宋体" w:cs="宋体"/>
                <w:bCs/>
                <w:color w:val="auto"/>
                <w:sz w:val="24"/>
                <w:szCs w:val="24"/>
                <w:highlight w:val="none"/>
                <w:u w:val="single"/>
              </w:rPr>
              <w:t xml:space="preserve">       </w:t>
            </w:r>
          </w:p>
        </w:tc>
      </w:tr>
      <w:tr w14:paraId="00EE1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0DE0303D">
            <w:pPr>
              <w:snapToGrid w:val="0"/>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质量标准</w:t>
            </w:r>
          </w:p>
        </w:tc>
        <w:tc>
          <w:tcPr>
            <w:tcW w:w="5950" w:type="dxa"/>
            <w:vAlign w:val="center"/>
          </w:tcPr>
          <w:p w14:paraId="262AD1DC">
            <w:pPr>
              <w:snapToGrid w:val="0"/>
              <w:rPr>
                <w:rFonts w:hint="eastAsia" w:ascii="宋体" w:hAnsi="宋体" w:eastAsia="宋体" w:cs="宋体"/>
                <w:b/>
                <w:color w:val="auto"/>
                <w:kern w:val="2"/>
                <w:sz w:val="24"/>
                <w:szCs w:val="24"/>
                <w:highlight w:val="none"/>
              </w:rPr>
            </w:pPr>
          </w:p>
        </w:tc>
      </w:tr>
      <w:tr w14:paraId="06494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5D679F77">
            <w:pPr>
              <w:snapToGrid w:val="0"/>
              <w:jc w:val="center"/>
              <w:rPr>
                <w:rFonts w:hint="eastAsia" w:ascii="宋体" w:hAnsi="宋体" w:eastAsia="宋体" w:cs="宋体"/>
                <w:b/>
                <w:color w:val="auto"/>
                <w:kern w:val="2"/>
                <w:sz w:val="24"/>
                <w:szCs w:val="24"/>
                <w:highlight w:val="none"/>
              </w:rPr>
            </w:pPr>
            <w:r>
              <w:rPr>
                <w:rFonts w:hint="eastAsia" w:ascii="宋体" w:hAnsi="宋体" w:eastAsia="宋体" w:cs="宋体"/>
                <w:b/>
                <w:bCs/>
                <w:color w:val="auto"/>
                <w:kern w:val="2"/>
                <w:sz w:val="24"/>
                <w:szCs w:val="24"/>
                <w:highlight w:val="none"/>
              </w:rPr>
              <w:t>工    期</w:t>
            </w:r>
          </w:p>
        </w:tc>
        <w:tc>
          <w:tcPr>
            <w:tcW w:w="5950" w:type="dxa"/>
            <w:vAlign w:val="center"/>
          </w:tcPr>
          <w:p w14:paraId="6C253AC2">
            <w:pPr>
              <w:snapToGrid w:val="0"/>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lang w:val="en-US" w:eastAsia="zh-CN"/>
              </w:rPr>
              <w:t xml:space="preserve"> 2025年5月10日-2025年12月31日</w:t>
            </w:r>
          </w:p>
        </w:tc>
      </w:tr>
      <w:tr w14:paraId="110789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1509" w:type="pct"/>
            <w:tcBorders>
              <w:top w:val="single" w:color="auto" w:sz="4" w:space="0"/>
            </w:tcBorders>
            <w:vAlign w:val="center"/>
          </w:tcPr>
          <w:p w14:paraId="3A2E92A8">
            <w:pPr>
              <w:snapToGrid w:val="0"/>
              <w:jc w:val="center"/>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是否响应付款方式</w:t>
            </w:r>
          </w:p>
        </w:tc>
        <w:tc>
          <w:tcPr>
            <w:tcW w:w="3491" w:type="pct"/>
            <w:vAlign w:val="center"/>
          </w:tcPr>
          <w:p w14:paraId="089E209F">
            <w:pPr>
              <w:snapToGrid w:val="0"/>
              <w:rPr>
                <w:rFonts w:hint="eastAsia" w:ascii="宋体" w:hAnsi="宋体" w:eastAsia="宋体" w:cs="宋体"/>
                <w:bCs/>
                <w:color w:val="auto"/>
                <w:kern w:val="2"/>
                <w:sz w:val="24"/>
                <w:szCs w:val="24"/>
                <w:highlight w:val="none"/>
              </w:rPr>
            </w:pPr>
            <w:r>
              <w:rPr>
                <w:rFonts w:hint="eastAsia" w:ascii="宋体" w:hAnsi="宋体" w:eastAsia="宋体" w:cs="宋体"/>
                <w:color w:val="auto"/>
                <w:kern w:val="2"/>
                <w:sz w:val="24"/>
                <w:szCs w:val="24"/>
                <w:highlight w:val="none"/>
              </w:rPr>
              <w:t>是□    否□   （划√）</w:t>
            </w:r>
          </w:p>
        </w:tc>
      </w:tr>
      <w:tr w14:paraId="6B4F43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9" w:hRule="atLeast"/>
          <w:jc w:val="center"/>
        </w:trPr>
        <w:tc>
          <w:tcPr>
            <w:tcW w:w="1509" w:type="pct"/>
            <w:vAlign w:val="center"/>
          </w:tcPr>
          <w:p w14:paraId="072C5C9F">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备注说明</w:t>
            </w:r>
          </w:p>
        </w:tc>
        <w:tc>
          <w:tcPr>
            <w:tcW w:w="3491" w:type="pct"/>
          </w:tcPr>
          <w:p w14:paraId="0659DF89">
            <w:pPr>
              <w:rPr>
                <w:rFonts w:hint="eastAsia" w:ascii="宋体" w:hAnsi="宋体" w:eastAsia="宋体" w:cs="宋体"/>
                <w:b/>
                <w:color w:val="auto"/>
                <w:kern w:val="2"/>
                <w:sz w:val="24"/>
                <w:szCs w:val="24"/>
                <w:highlight w:val="none"/>
              </w:rPr>
            </w:pPr>
            <w:r>
              <w:rPr>
                <w:rFonts w:hint="eastAsia" w:ascii="宋体" w:hAnsi="宋体" w:eastAsia="宋体" w:cs="宋体"/>
                <w:b/>
                <w:i/>
                <w:color w:val="auto"/>
                <w:kern w:val="2"/>
                <w:sz w:val="24"/>
                <w:szCs w:val="24"/>
                <w:highlight w:val="none"/>
              </w:rPr>
              <w:t>（此处可补充磋商小组根据与供应商磋商情况变动的磋商文件的内容，包括采购需求中的技术、服务要求以及合同草案条款。）</w:t>
            </w:r>
          </w:p>
        </w:tc>
      </w:tr>
      <w:tr w14:paraId="65844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jc w:val="center"/>
        </w:trPr>
        <w:tc>
          <w:tcPr>
            <w:tcW w:w="1509" w:type="pct"/>
            <w:vAlign w:val="center"/>
          </w:tcPr>
          <w:p w14:paraId="0603192D">
            <w:pPr>
              <w:jc w:val="center"/>
              <w:rPr>
                <w:rFonts w:hint="eastAsia" w:ascii="宋体" w:hAnsi="宋体" w:eastAsia="宋体" w:cs="宋体"/>
                <w:b/>
                <w:color w:val="auto"/>
                <w:kern w:val="2"/>
                <w:sz w:val="24"/>
                <w:szCs w:val="24"/>
                <w:highlight w:val="none"/>
              </w:rPr>
            </w:pPr>
            <w:r>
              <w:rPr>
                <w:rFonts w:hint="eastAsia" w:ascii="宋体" w:hAnsi="宋体" w:eastAsia="宋体" w:cs="宋体"/>
                <w:b/>
                <w:color w:val="auto"/>
                <w:kern w:val="2"/>
                <w:sz w:val="24"/>
                <w:szCs w:val="24"/>
                <w:highlight w:val="none"/>
              </w:rPr>
              <w:t>磋商小组签字</w:t>
            </w:r>
          </w:p>
        </w:tc>
        <w:tc>
          <w:tcPr>
            <w:tcW w:w="3491" w:type="pct"/>
          </w:tcPr>
          <w:p w14:paraId="44EF98B9">
            <w:pPr>
              <w:rPr>
                <w:rFonts w:hint="eastAsia" w:ascii="宋体" w:hAnsi="宋体" w:eastAsia="宋体" w:cs="宋体"/>
                <w:b/>
                <w:color w:val="auto"/>
                <w:kern w:val="2"/>
                <w:sz w:val="24"/>
                <w:szCs w:val="24"/>
                <w:highlight w:val="none"/>
              </w:rPr>
            </w:pPr>
          </w:p>
        </w:tc>
      </w:tr>
    </w:tbl>
    <w:p w14:paraId="7B96B6FC">
      <w:pPr>
        <w:spacing w:line="440" w:lineRule="exact"/>
        <w:ind w:firstLine="3600" w:firstLineChars="15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供应商公章或授权代表签字：</w:t>
      </w:r>
      <w:r>
        <w:rPr>
          <w:rFonts w:hint="eastAsia" w:ascii="宋体" w:hAnsi="宋体" w:eastAsia="宋体" w:cs="宋体"/>
          <w:color w:val="auto"/>
          <w:kern w:val="2"/>
          <w:sz w:val="24"/>
          <w:szCs w:val="24"/>
          <w:highlight w:val="none"/>
          <w:u w:val="single"/>
        </w:rPr>
        <w:t xml:space="preserve">             </w:t>
      </w:r>
    </w:p>
    <w:p w14:paraId="70C0AA46">
      <w:pPr>
        <w:spacing w:line="440" w:lineRule="exact"/>
        <w:ind w:firstLine="4800" w:firstLineChars="2000"/>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6C22D707">
      <w:pPr>
        <w:spacing w:line="360" w:lineRule="auto"/>
        <w:jc w:val="left"/>
        <w:rPr>
          <w:rFonts w:hint="eastAsia" w:ascii="宋体" w:hAnsi="宋体" w:eastAsia="宋体" w:cs="宋体"/>
          <w:b/>
          <w:bCs/>
          <w:color w:val="auto"/>
          <w:kern w:val="2"/>
          <w:sz w:val="24"/>
          <w:szCs w:val="24"/>
          <w:highlight w:val="none"/>
        </w:rPr>
      </w:pPr>
      <w:r>
        <w:rPr>
          <w:rFonts w:hint="eastAsia" w:ascii="宋体" w:hAnsi="宋体" w:eastAsia="宋体" w:cs="宋体"/>
          <w:b/>
          <w:bCs/>
          <w:color w:val="auto"/>
          <w:kern w:val="2"/>
          <w:sz w:val="24"/>
          <w:szCs w:val="24"/>
          <w:highlight w:val="none"/>
        </w:rPr>
        <w:t>注：</w:t>
      </w:r>
    </w:p>
    <w:p w14:paraId="6E16FC64">
      <w:pPr>
        <w:keepNext w:val="0"/>
        <w:keepLines w:val="0"/>
        <w:pageBreakBefore w:val="0"/>
        <w:widowControl w:val="0"/>
        <w:kinsoku/>
        <w:wordWrap/>
        <w:overflowPunct/>
        <w:topLinePunct w:val="0"/>
        <w:autoSpaceDE/>
        <w:autoSpaceDN/>
        <w:bidi w:val="0"/>
        <w:adjustRightInd/>
        <w:snapToGrid/>
        <w:spacing w:line="360" w:lineRule="auto"/>
        <w:ind w:firstLine="482" w:firstLineChars="200"/>
        <w:jc w:val="left"/>
        <w:textAlignment w:val="auto"/>
        <w:rPr>
          <w:rFonts w:hint="eastAsia" w:ascii="宋体" w:hAnsi="宋体" w:eastAsia="宋体" w:cs="宋体"/>
          <w:bCs/>
          <w:color w:val="auto"/>
          <w:sz w:val="24"/>
          <w:highlight w:val="none"/>
        </w:rPr>
      </w:pPr>
      <w:r>
        <w:rPr>
          <w:rFonts w:hint="eastAsia" w:ascii="宋体" w:hAnsi="宋体" w:eastAsia="宋体" w:cs="宋体"/>
          <w:b/>
          <w:bCs/>
          <w:color w:val="auto"/>
          <w:kern w:val="2"/>
          <w:sz w:val="24"/>
          <w:szCs w:val="24"/>
          <w:highlight w:val="none"/>
          <w:lang w:val="en-US" w:eastAsia="zh-CN"/>
        </w:rPr>
        <w:t>1.</w:t>
      </w:r>
      <w:r>
        <w:rPr>
          <w:rFonts w:hint="eastAsia" w:ascii="宋体" w:hAnsi="宋体" w:eastAsia="宋体" w:cs="宋体"/>
          <w:b/>
          <w:bCs/>
          <w:color w:val="auto"/>
          <w:kern w:val="2"/>
          <w:sz w:val="24"/>
          <w:highlight w:val="none"/>
        </w:rPr>
        <w:t>本页《报价表》首次响应文件中无需提交，由供应商在接到报价通知后依据磋商情况填写,并在规定时间内提交。</w:t>
      </w:r>
      <w:r>
        <w:rPr>
          <w:rFonts w:hint="eastAsia" w:ascii="宋体" w:hAnsi="宋体" w:eastAsia="宋体" w:cs="宋体"/>
          <w:bCs/>
          <w:color w:val="auto"/>
          <w:kern w:val="2"/>
          <w:sz w:val="24"/>
          <w:szCs w:val="24"/>
          <w:highlight w:val="none"/>
        </w:rPr>
        <w:t>此优惠率调整原则适用于合同内价格的计算及项目增减、变更时价格的计算。</w:t>
      </w:r>
    </w:p>
    <w:p w14:paraId="6A4F667D">
      <w:pPr>
        <w:adjustRightInd w:val="0"/>
        <w:snapToGrid w:val="0"/>
        <w:spacing w:line="360" w:lineRule="auto"/>
        <w:ind w:firstLine="482" w:firstLineChars="200"/>
        <w:rPr>
          <w:rFonts w:hint="eastAsia" w:ascii="宋体" w:hAnsi="宋体" w:eastAsia="宋体" w:cs="宋体"/>
          <w:b/>
          <w:bCs/>
          <w:color w:val="auto"/>
          <w:sz w:val="24"/>
          <w:szCs w:val="28"/>
          <w:highlight w:val="none"/>
          <w:lang w:val="en-US" w:eastAsia="zh-CN"/>
        </w:rPr>
      </w:pPr>
      <w:r>
        <w:rPr>
          <w:rFonts w:hint="eastAsia" w:ascii="宋体" w:hAnsi="宋体" w:eastAsia="宋体" w:cs="宋体"/>
          <w:b/>
          <w:bCs/>
          <w:color w:val="auto"/>
          <w:sz w:val="24"/>
          <w:szCs w:val="28"/>
          <w:highlight w:val="none"/>
          <w:lang w:val="en-US" w:eastAsia="zh-CN"/>
        </w:rPr>
        <w:t>2</w:t>
      </w:r>
      <w:r>
        <w:rPr>
          <w:rFonts w:hint="eastAsia" w:ascii="宋体" w:hAnsi="宋体" w:eastAsia="宋体" w:cs="宋体"/>
          <w:b/>
          <w:bCs/>
          <w:color w:val="auto"/>
          <w:sz w:val="24"/>
          <w:szCs w:val="28"/>
          <w:highlight w:val="none"/>
        </w:rPr>
        <w:t>.表中大写与小写不一致的，以大写为准。</w:t>
      </w:r>
    </w:p>
    <w:p w14:paraId="54A22857">
      <w:pPr>
        <w:widowControl/>
        <w:jc w:val="left"/>
        <w:rPr>
          <w:rFonts w:hint="eastAsia" w:ascii="宋体" w:hAnsi="宋体" w:eastAsia="宋体" w:cs="宋体"/>
          <w:bCs/>
          <w:color w:val="auto"/>
          <w:sz w:val="24"/>
          <w:highlight w:val="none"/>
        </w:rPr>
      </w:pPr>
      <w:r>
        <w:rPr>
          <w:rFonts w:hint="eastAsia" w:ascii="宋体" w:hAnsi="宋体" w:eastAsia="宋体" w:cs="宋体"/>
          <w:bCs/>
          <w:color w:val="auto"/>
          <w:sz w:val="24"/>
          <w:highlight w:val="none"/>
        </w:rPr>
        <w:br w:type="page"/>
      </w:r>
    </w:p>
    <w:p w14:paraId="60EEF83F">
      <w:pPr>
        <w:keepNext/>
        <w:keepLines/>
        <w:spacing w:before="260" w:after="260" w:line="416" w:lineRule="auto"/>
        <w:jc w:val="center"/>
        <w:outlineLvl w:val="1"/>
        <w:rPr>
          <w:rFonts w:hint="eastAsia" w:ascii="宋体" w:hAnsi="宋体" w:eastAsia="宋体" w:cs="宋体"/>
          <w:b/>
          <w:bCs/>
          <w:color w:val="auto"/>
          <w:kern w:val="2"/>
          <w:sz w:val="24"/>
          <w:szCs w:val="24"/>
          <w:highlight w:val="none"/>
        </w:rPr>
      </w:pPr>
      <w:bookmarkStart w:id="91" w:name="_Toc7943"/>
      <w:bookmarkStart w:id="92" w:name="_Toc22429"/>
      <w:bookmarkStart w:id="93" w:name="_Toc520983591"/>
      <w:r>
        <w:rPr>
          <w:rFonts w:hint="eastAsia" w:ascii="宋体" w:hAnsi="宋体" w:eastAsia="宋体" w:cs="宋体"/>
          <w:b/>
          <w:bCs/>
          <w:color w:val="auto"/>
          <w:kern w:val="2"/>
          <w:sz w:val="24"/>
          <w:szCs w:val="24"/>
          <w:highlight w:val="none"/>
        </w:rPr>
        <w:t>三、供应商综合情况简介</w:t>
      </w:r>
      <w:bookmarkEnd w:id="91"/>
      <w:bookmarkEnd w:id="92"/>
    </w:p>
    <w:p w14:paraId="6CC7D7F7">
      <w:pPr>
        <w:spacing w:before="156" w:beforeLines="50" w:after="156" w:afterLines="50" w:line="360" w:lineRule="auto"/>
        <w:ind w:firstLine="235" w:firstLineChars="98"/>
        <w:jc w:val="center"/>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（供应商可自行制作格式）</w:t>
      </w:r>
    </w:p>
    <w:p w14:paraId="682D81B7">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p w14:paraId="0CB2606B">
      <w:pPr>
        <w:spacing w:line="360" w:lineRule="auto"/>
        <w:jc w:val="center"/>
        <w:outlineLvl w:val="1"/>
        <w:rPr>
          <w:rFonts w:hint="eastAsia" w:ascii="宋体" w:hAnsi="宋体" w:eastAsia="宋体" w:cs="宋体"/>
          <w:b/>
          <w:color w:val="auto"/>
          <w:sz w:val="24"/>
          <w:highlight w:val="none"/>
        </w:rPr>
      </w:pPr>
      <w:bookmarkStart w:id="94" w:name="_Toc8006"/>
      <w:bookmarkStart w:id="95" w:name="_Toc28160"/>
      <w:r>
        <w:rPr>
          <w:rFonts w:hint="eastAsia" w:ascii="宋体" w:hAnsi="宋体" w:eastAsia="宋体" w:cs="宋体"/>
          <w:b/>
          <w:color w:val="auto"/>
          <w:sz w:val="24"/>
          <w:highlight w:val="none"/>
        </w:rPr>
        <w:t>四、磋商响应函</w:t>
      </w:r>
      <w:bookmarkEnd w:id="93"/>
      <w:bookmarkEnd w:id="94"/>
      <w:bookmarkEnd w:id="95"/>
    </w:p>
    <w:p w14:paraId="213E9235">
      <w:pPr>
        <w:spacing w:line="360" w:lineRule="auto"/>
        <w:rPr>
          <w:rFonts w:hint="eastAsia" w:ascii="宋体" w:hAnsi="宋体" w:eastAsia="宋体" w:cs="宋体"/>
          <w:b/>
          <w:color w:val="auto"/>
          <w:kern w:val="2"/>
          <w:sz w:val="24"/>
          <w:szCs w:val="24"/>
          <w:highlight w:val="none"/>
          <w:u w:val="single"/>
          <w:lang w:eastAsia="zh-CN"/>
        </w:rPr>
      </w:pPr>
      <w:r>
        <w:rPr>
          <w:rFonts w:hint="eastAsia" w:ascii="宋体" w:hAnsi="宋体" w:eastAsia="宋体" w:cs="宋体"/>
          <w:b/>
          <w:color w:val="auto"/>
          <w:kern w:val="2"/>
          <w:sz w:val="24"/>
          <w:szCs w:val="24"/>
          <w:highlight w:val="none"/>
          <w:u w:val="single"/>
        </w:rPr>
        <w:t>致：</w:t>
      </w:r>
      <w:r>
        <w:rPr>
          <w:rFonts w:hint="eastAsia" w:ascii="宋体" w:hAnsi="宋体" w:eastAsia="宋体" w:cs="宋体"/>
          <w:b/>
          <w:color w:val="auto"/>
          <w:kern w:val="2"/>
          <w:sz w:val="24"/>
          <w:szCs w:val="24"/>
          <w:highlight w:val="none"/>
          <w:u w:val="single"/>
          <w:lang w:eastAsia="zh-CN"/>
        </w:rPr>
        <w:t>滁州市公路管理服务中心</w:t>
      </w:r>
    </w:p>
    <w:p w14:paraId="2A818F6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根据贵方的竞争性磋商公告和磋商邀请，我方兹宣布同意如下：</w:t>
      </w:r>
    </w:p>
    <w:p w14:paraId="699D1D90">
      <w:pPr>
        <w:spacing w:line="360" w:lineRule="auto"/>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1.经踏勘项目现场和研究上述磋商文件的磋商须知、合同条款、图纸和工程建设技术标准及其他有关文件后，我方接受上述文件要求，并对工程量清单及最高投标限价无异议。我方</w:t>
      </w:r>
      <w:r>
        <w:rPr>
          <w:rFonts w:hint="eastAsia" w:ascii="宋体" w:hAnsi="宋体" w:eastAsia="宋体" w:cs="宋体"/>
          <w:bCs/>
          <w:color w:val="auto"/>
          <w:kern w:val="2"/>
          <w:sz w:val="24"/>
          <w:szCs w:val="24"/>
          <w:highlight w:val="none"/>
        </w:rPr>
        <w:t>承诺按本磋商文件、施工图纸、合同条款和工程建设技术标准的条件、</w:t>
      </w:r>
      <w:r>
        <w:rPr>
          <w:rFonts w:hint="eastAsia" w:ascii="宋体" w:hAnsi="宋体" w:eastAsia="宋体" w:cs="宋体"/>
          <w:color w:val="auto"/>
          <w:kern w:val="2"/>
          <w:sz w:val="24"/>
          <w:szCs w:val="24"/>
          <w:highlight w:val="none"/>
        </w:rPr>
        <w:t>承担</w:t>
      </w:r>
      <w:r>
        <w:rPr>
          <w:rFonts w:hint="eastAsia" w:ascii="宋体" w:hAnsi="宋体" w:eastAsia="宋体" w:cs="宋体"/>
          <w:bCs/>
          <w:color w:val="auto"/>
          <w:kern w:val="2"/>
          <w:sz w:val="24"/>
          <w:szCs w:val="24"/>
          <w:highlight w:val="none"/>
        </w:rPr>
        <w:t>上述工程的施工、竣工，并承担任何质量缺陷保修责任。</w:t>
      </w:r>
    </w:p>
    <w:p w14:paraId="6FBE1A0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2.我方已详细审核并确认全部磋商文件及有关附件，充分理解磋商价格不得低于企业个别成本有关规定。我方经成本核算，所填报的磋商报价不低于企业个别成本。</w:t>
      </w:r>
    </w:p>
    <w:p w14:paraId="7B030402">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3.</w:t>
      </w:r>
      <w:r>
        <w:rPr>
          <w:rFonts w:hint="eastAsia" w:ascii="宋体" w:hAnsi="宋体" w:eastAsia="宋体" w:cs="宋体"/>
          <w:color w:val="auto"/>
          <w:sz w:val="24"/>
          <w:szCs w:val="24"/>
          <w:highlight w:val="none"/>
        </w:rPr>
        <w:t>我方保证按磋商文件约定的工期和磋商文件或业主开工令的要求如期开工、工程质量达到合格标准、如期竣工并移交整个工程。</w:t>
      </w:r>
    </w:p>
    <w:p w14:paraId="6F2EB3BD">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4</w:t>
      </w:r>
      <w:r>
        <w:rPr>
          <w:rFonts w:hint="eastAsia" w:ascii="宋体" w:hAnsi="宋体" w:eastAsia="宋体" w:cs="宋体"/>
          <w:color w:val="auto"/>
          <w:kern w:val="2"/>
          <w:sz w:val="24"/>
          <w:szCs w:val="24"/>
          <w:highlight w:val="none"/>
        </w:rPr>
        <w:t>.我方同意所提交的响应文件在磋商文件规定的磋商有效期内有效，在此期间内如果成交，我方将受此约束。</w:t>
      </w:r>
    </w:p>
    <w:p w14:paraId="1C5E121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5</w:t>
      </w:r>
      <w:r>
        <w:rPr>
          <w:rFonts w:hint="eastAsia" w:ascii="宋体" w:hAnsi="宋体" w:eastAsia="宋体" w:cs="宋体"/>
          <w:color w:val="auto"/>
          <w:kern w:val="2"/>
          <w:sz w:val="24"/>
          <w:szCs w:val="24"/>
          <w:highlight w:val="none"/>
        </w:rPr>
        <w:t>.除非另外达成协议并生效，你方的成交通知书和本响应文件以及磋商文件、磋商文件澄清、修改、补充将成为约束双方的合同文件的组成部分。</w:t>
      </w:r>
    </w:p>
    <w:p w14:paraId="05C56667">
      <w:pPr>
        <w:spacing w:line="360" w:lineRule="auto"/>
        <w:ind w:firstLine="480" w:firstLineChars="200"/>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lang w:val="en-US" w:eastAsia="zh-CN"/>
        </w:rPr>
        <w:t>6</w:t>
      </w:r>
      <w:r>
        <w:rPr>
          <w:rFonts w:hint="eastAsia" w:ascii="宋体" w:hAnsi="宋体" w:eastAsia="宋体" w:cs="宋体"/>
          <w:color w:val="auto"/>
          <w:kern w:val="2"/>
          <w:sz w:val="24"/>
          <w:szCs w:val="24"/>
          <w:highlight w:val="none"/>
        </w:rPr>
        <w:t>.其他补充说明：</w:t>
      </w:r>
      <w:r>
        <w:rPr>
          <w:rFonts w:hint="eastAsia" w:ascii="宋体" w:hAnsi="宋体" w:eastAsia="宋体" w:cs="宋体"/>
          <w:color w:val="auto"/>
          <w:kern w:val="2"/>
          <w:sz w:val="24"/>
          <w:szCs w:val="24"/>
          <w:highlight w:val="none"/>
          <w:u w:val="single"/>
        </w:rPr>
        <w:t xml:space="preserve">  （</w:t>
      </w:r>
      <w:r>
        <w:rPr>
          <w:rFonts w:hint="eastAsia" w:ascii="宋体" w:hAnsi="宋体" w:eastAsia="宋体" w:cs="宋体"/>
          <w:i/>
          <w:iCs/>
          <w:color w:val="auto"/>
          <w:kern w:val="2"/>
          <w:sz w:val="24"/>
          <w:szCs w:val="24"/>
          <w:highlight w:val="none"/>
          <w:u w:val="single"/>
        </w:rPr>
        <w:t>如有</w:t>
      </w:r>
      <w:r>
        <w:rPr>
          <w:rFonts w:hint="eastAsia" w:ascii="宋体" w:hAnsi="宋体" w:eastAsia="宋体" w:cs="宋体"/>
          <w:color w:val="auto"/>
          <w:kern w:val="2"/>
          <w:sz w:val="24"/>
          <w:szCs w:val="24"/>
          <w:highlight w:val="none"/>
          <w:u w:val="single"/>
        </w:rPr>
        <w:t xml:space="preserve">）       </w:t>
      </w:r>
    </w:p>
    <w:p w14:paraId="1392255A">
      <w:pPr>
        <w:pStyle w:val="53"/>
        <w:ind w:firstLine="200"/>
        <w:rPr>
          <w:rFonts w:hint="eastAsia" w:ascii="宋体" w:hAnsi="宋体" w:eastAsia="宋体" w:cs="宋体"/>
          <w:color w:val="auto"/>
          <w:highlight w:val="none"/>
          <w:lang w:val="en-US"/>
        </w:rPr>
      </w:pPr>
    </w:p>
    <w:p w14:paraId="66CE95CA">
      <w:pPr>
        <w:spacing w:line="360" w:lineRule="auto"/>
        <w:ind w:firstLine="4800" w:firstLineChars="2000"/>
        <w:rPr>
          <w:rFonts w:hint="eastAsia" w:ascii="宋体" w:hAnsi="宋体" w:eastAsia="宋体" w:cs="宋体"/>
          <w:color w:val="auto"/>
          <w:kern w:val="2"/>
          <w:sz w:val="24"/>
          <w:highlight w:val="none"/>
        </w:rPr>
      </w:pPr>
      <w:r>
        <w:rPr>
          <w:rFonts w:hint="eastAsia" w:ascii="宋体" w:hAnsi="宋体" w:eastAsia="宋体" w:cs="宋体"/>
          <w:color w:val="auto"/>
          <w:kern w:val="2"/>
          <w:sz w:val="24"/>
          <w:highlight w:val="none"/>
        </w:rPr>
        <w:t>供应商电子签章：</w:t>
      </w:r>
      <w:r>
        <w:rPr>
          <w:rFonts w:hint="eastAsia" w:ascii="宋体" w:hAnsi="宋体" w:eastAsia="宋体" w:cs="宋体"/>
          <w:color w:val="auto"/>
          <w:kern w:val="2"/>
          <w:sz w:val="24"/>
          <w:highlight w:val="none"/>
          <w:u w:val="single"/>
        </w:rPr>
        <w:t xml:space="preserve">             </w:t>
      </w:r>
    </w:p>
    <w:p w14:paraId="671F0592">
      <w:pPr>
        <w:spacing w:line="360" w:lineRule="auto"/>
        <w:ind w:firstLine="4800" w:firstLineChars="2000"/>
        <w:rPr>
          <w:rFonts w:hint="eastAsia" w:ascii="宋体" w:hAnsi="宋体" w:eastAsia="宋体" w:cs="宋体"/>
          <w:color w:val="auto"/>
          <w:kern w:val="2"/>
          <w:sz w:val="24"/>
          <w:highlight w:val="none"/>
          <w:u w:val="single"/>
        </w:rPr>
      </w:pPr>
      <w:r>
        <w:rPr>
          <w:rFonts w:hint="eastAsia" w:ascii="宋体" w:hAnsi="宋体" w:eastAsia="宋体" w:cs="宋体"/>
          <w:color w:val="auto"/>
          <w:kern w:val="2"/>
          <w:sz w:val="24"/>
          <w:highlight w:val="none"/>
        </w:rPr>
        <w:t>日          期：</w:t>
      </w:r>
      <w:r>
        <w:rPr>
          <w:rFonts w:hint="eastAsia" w:ascii="宋体" w:hAnsi="宋体" w:eastAsia="宋体" w:cs="宋体"/>
          <w:color w:val="auto"/>
          <w:kern w:val="2"/>
          <w:sz w:val="24"/>
          <w:highlight w:val="none"/>
          <w:u w:val="single"/>
        </w:rPr>
        <w:t xml:space="preserve">             </w:t>
      </w:r>
    </w:p>
    <w:p w14:paraId="687655AE">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65F9DBD">
      <w:pPr>
        <w:spacing w:line="360" w:lineRule="auto"/>
        <w:jc w:val="center"/>
        <w:outlineLvl w:val="1"/>
        <w:rPr>
          <w:rFonts w:hint="eastAsia" w:ascii="宋体" w:hAnsi="宋体" w:eastAsia="宋体" w:cs="宋体"/>
          <w:b/>
          <w:i/>
          <w:color w:val="auto"/>
          <w:sz w:val="24"/>
          <w:highlight w:val="none"/>
        </w:rPr>
      </w:pPr>
      <w:bookmarkStart w:id="96" w:name="_Toc2947"/>
      <w:bookmarkStart w:id="97" w:name="_Toc20728"/>
      <w:r>
        <w:rPr>
          <w:rFonts w:hint="eastAsia" w:ascii="宋体" w:hAnsi="宋体" w:eastAsia="宋体" w:cs="宋体"/>
          <w:b/>
          <w:color w:val="auto"/>
          <w:sz w:val="24"/>
          <w:highlight w:val="none"/>
        </w:rPr>
        <w:t>五、</w:t>
      </w:r>
      <w:bookmarkEnd w:id="96"/>
      <w:bookmarkStart w:id="98" w:name="_Toc8658"/>
      <w:r>
        <w:rPr>
          <w:rFonts w:hint="eastAsia" w:ascii="宋体" w:hAnsi="宋体" w:eastAsia="宋体" w:cs="宋体"/>
          <w:b/>
          <w:color w:val="auto"/>
          <w:sz w:val="24"/>
          <w:highlight w:val="none"/>
          <w:lang w:val="en-US" w:eastAsia="zh-CN"/>
        </w:rPr>
        <w:t>供应商资格声明书</w:t>
      </w:r>
      <w:bookmarkEnd w:id="97"/>
      <w:r>
        <w:rPr>
          <w:rFonts w:hint="eastAsia" w:ascii="宋体" w:hAnsi="宋体" w:eastAsia="宋体" w:cs="宋体"/>
          <w:b/>
          <w:color w:val="auto"/>
          <w:sz w:val="24"/>
          <w:highlight w:val="none"/>
          <w:lang w:val="en-US" w:eastAsia="zh-CN"/>
        </w:rPr>
        <w:t xml:space="preserve"> </w:t>
      </w:r>
    </w:p>
    <w:p w14:paraId="46B97680">
      <w:pPr>
        <w:pStyle w:val="30"/>
        <w:spacing w:line="360" w:lineRule="auto"/>
        <w:rPr>
          <w:rFonts w:hint="eastAsia" w:ascii="宋体" w:hAnsi="宋体" w:eastAsia="宋体" w:cs="宋体"/>
          <w:color w:val="auto"/>
          <w:sz w:val="24"/>
          <w:szCs w:val="24"/>
          <w:highlight w:val="none"/>
          <w:u w:val="single"/>
          <w:lang w:eastAsia="zh-CN"/>
        </w:rPr>
      </w:pPr>
      <w:r>
        <w:rPr>
          <w:rFonts w:hint="eastAsia" w:ascii="宋体" w:hAnsi="宋体" w:eastAsia="宋体" w:cs="宋体"/>
          <w:color w:val="auto"/>
          <w:sz w:val="24"/>
          <w:highlight w:val="none"/>
          <w:u w:val="single"/>
        </w:rPr>
        <w:t>致：</w:t>
      </w:r>
      <w:r>
        <w:rPr>
          <w:rFonts w:hint="eastAsia" w:ascii="宋体" w:hAnsi="宋体" w:eastAsia="宋体" w:cs="宋体"/>
          <w:color w:val="auto"/>
          <w:sz w:val="24"/>
          <w:highlight w:val="none"/>
          <w:u w:val="single"/>
          <w:lang w:eastAsia="zh-CN"/>
        </w:rPr>
        <w:t>滁州市公路管理服务中心</w:t>
      </w:r>
    </w:p>
    <w:p w14:paraId="53CD6A42">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在参与本次项目磋商中，我单位承诺：</w:t>
      </w:r>
    </w:p>
    <w:p w14:paraId="2D6A8A78">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（一）具有良好的商业信誉和健全的财务会计制度；</w:t>
      </w:r>
    </w:p>
    <w:p w14:paraId="1F9314DB">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（二）具有履行合同所必需的设备和专业技术能力；</w:t>
      </w:r>
    </w:p>
    <w:p w14:paraId="0A8F3C14">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（三）有依法缴纳税收和社会保障资金的良好记录；</w:t>
      </w:r>
    </w:p>
    <w:p w14:paraId="5724F96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60B9267B">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五</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近三年内，未发生重大质量事故和重大安全事故（以有关行政管理部门的行政处罚决定或司法机关出具的有关法律文书为准），前述行政处罚已完成信用修复的，但自行政处罚作出机关或信用修复主管部门同意修复之日起满一年的，不受三年期限限制；</w:t>
      </w:r>
    </w:p>
    <w:p w14:paraId="715D4BF9">
      <w:pPr>
        <w:spacing w:line="360" w:lineRule="auto"/>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六</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kern w:val="2"/>
          <w:sz w:val="24"/>
          <w:szCs w:val="24"/>
          <w:highlight w:val="none"/>
        </w:rPr>
        <w:t>在本项目</w:t>
      </w:r>
      <w:r>
        <w:rPr>
          <w:rFonts w:hint="eastAsia" w:ascii="宋体" w:hAnsi="宋体" w:eastAsia="宋体" w:cs="宋体"/>
          <w:color w:val="auto"/>
          <w:kern w:val="2"/>
          <w:sz w:val="24"/>
          <w:szCs w:val="24"/>
          <w:highlight w:val="none"/>
          <w:lang w:val="en-US" w:eastAsia="zh-CN"/>
        </w:rPr>
        <w:t>磋商</w:t>
      </w:r>
      <w:r>
        <w:rPr>
          <w:rFonts w:hint="eastAsia" w:ascii="宋体" w:hAnsi="宋体" w:eastAsia="宋体" w:cs="宋体"/>
          <w:color w:val="auto"/>
          <w:kern w:val="2"/>
          <w:sz w:val="24"/>
          <w:szCs w:val="24"/>
          <w:highlight w:val="none"/>
        </w:rPr>
        <w:t>有效期内，在本项目所在区域未存在因质量事故、安全事故等被限期承包工程或市场不良行为等被限制磋商资格行为，且处于处罚期内的情况；</w:t>
      </w:r>
    </w:p>
    <w:p w14:paraId="270D1C64">
      <w:pPr>
        <w:spacing w:line="360" w:lineRule="auto"/>
        <w:rPr>
          <w:rFonts w:hint="eastAsia" w:ascii="宋体" w:hAnsi="宋体" w:eastAsia="宋体" w:cs="宋体"/>
          <w:color w:val="auto"/>
          <w:highlight w:val="none"/>
        </w:rPr>
      </w:pP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七</w:t>
      </w:r>
      <w:r>
        <w:rPr>
          <w:rFonts w:hint="eastAsia" w:ascii="宋体" w:hAnsi="宋体" w:eastAsia="宋体" w:cs="宋体"/>
          <w:color w:val="auto"/>
          <w:kern w:val="2"/>
          <w:sz w:val="24"/>
          <w:szCs w:val="24"/>
          <w:highlight w:val="none"/>
          <w:lang w:eastAsia="zh-CN"/>
        </w:rPr>
        <w:t>）</w:t>
      </w:r>
      <w:r>
        <w:rPr>
          <w:rFonts w:hint="eastAsia" w:ascii="宋体" w:hAnsi="宋体" w:eastAsia="宋体" w:cs="宋体"/>
          <w:color w:val="auto"/>
          <w:kern w:val="2"/>
          <w:sz w:val="24"/>
          <w:szCs w:val="24"/>
          <w:highlight w:val="none"/>
          <w:lang w:val="en-US" w:eastAsia="zh-CN"/>
        </w:rPr>
        <w:t>我单位</w:t>
      </w:r>
      <w:r>
        <w:rPr>
          <w:rFonts w:hint="eastAsia" w:ascii="宋体" w:hAnsi="宋体" w:eastAsia="宋体" w:cs="宋体"/>
          <w:color w:val="auto"/>
          <w:sz w:val="24"/>
          <w:szCs w:val="24"/>
          <w:highlight w:val="none"/>
        </w:rPr>
        <w:t>未被“信用中国”网站列入拖欠农民工工资失信联合惩戒对象名单</w:t>
      </w:r>
      <w:r>
        <w:rPr>
          <w:rFonts w:hint="eastAsia" w:ascii="宋体" w:hAnsi="宋体" w:eastAsia="宋体" w:cs="宋体"/>
          <w:color w:val="auto"/>
          <w:kern w:val="2"/>
          <w:sz w:val="24"/>
          <w:szCs w:val="24"/>
          <w:highlight w:val="none"/>
        </w:rPr>
        <w:t>；</w:t>
      </w:r>
    </w:p>
    <w:p w14:paraId="2FDB8DDE">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bidi="ar"/>
        </w:rPr>
        <w:t>（八）我单位不存在为采购项目提供整体设计、规范编制或者项目管理、监理、检测等服务后，再参加该采购项目的其他采购活动的情形（单一来源采购项目除外）；</w:t>
      </w:r>
    </w:p>
    <w:p w14:paraId="40887C01">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auto"/>
          <w:kern w:val="0"/>
          <w:sz w:val="24"/>
          <w:szCs w:val="24"/>
          <w:highlight w:val="none"/>
          <w:lang w:val="en-US" w:eastAsia="zh-CN" w:bidi="ar"/>
        </w:rPr>
      </w:pPr>
      <w:r>
        <w:rPr>
          <w:rFonts w:hint="eastAsia" w:ascii="宋体" w:hAnsi="宋体" w:eastAsia="宋体" w:cs="宋体"/>
          <w:color w:val="auto"/>
          <w:kern w:val="0"/>
          <w:sz w:val="24"/>
          <w:szCs w:val="24"/>
          <w:highlight w:val="none"/>
          <w:lang w:val="en-US" w:eastAsia="zh-CN" w:bidi="ar"/>
        </w:rPr>
        <w:t>（九）与我单位存在单位负责人为同一人或者存在直接控股、管理关系的其他法人单位信息如下（如有，不论其是否参加同一合同项下的政府采购活动均须填写）：</w:t>
      </w:r>
    </w:p>
    <w:tbl>
      <w:tblPr>
        <w:tblStyle w:val="5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7DF74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007A55F1">
            <w:pPr>
              <w:keepNext w:val="0"/>
              <w:keepLines w:val="0"/>
              <w:pageBreakBefore w:val="0"/>
              <w:widowControl/>
              <w:suppressLineNumbers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序号</w:t>
            </w:r>
          </w:p>
        </w:tc>
        <w:tc>
          <w:tcPr>
            <w:tcW w:w="2841" w:type="dxa"/>
          </w:tcPr>
          <w:p w14:paraId="2277CA43">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单位名称</w:t>
            </w:r>
          </w:p>
        </w:tc>
        <w:tc>
          <w:tcPr>
            <w:tcW w:w="2841" w:type="dxa"/>
          </w:tcPr>
          <w:p w14:paraId="231D223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lang w:val="en-US" w:eastAsia="zh-CN" w:bidi="ar"/>
              </w:rPr>
              <w:t>相互关系</w:t>
            </w:r>
          </w:p>
        </w:tc>
      </w:tr>
      <w:tr w14:paraId="6FAE7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58474EB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1</w:t>
            </w:r>
          </w:p>
        </w:tc>
        <w:tc>
          <w:tcPr>
            <w:tcW w:w="2841" w:type="dxa"/>
          </w:tcPr>
          <w:p w14:paraId="7C63502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tcPr>
          <w:p w14:paraId="12BFBB28">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r>
      <w:tr w14:paraId="3A362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6E291F77">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r>
              <w:rPr>
                <w:rFonts w:hint="eastAsia" w:ascii="宋体" w:hAnsi="宋体" w:eastAsia="宋体" w:cs="宋体"/>
                <w:color w:val="auto"/>
                <w:kern w:val="0"/>
                <w:sz w:val="24"/>
                <w:szCs w:val="24"/>
                <w:highlight w:val="none"/>
                <w:vertAlign w:val="baseline"/>
                <w:lang w:val="en-US" w:eastAsia="zh-CN" w:bidi="ar"/>
              </w:rPr>
              <w:t>2</w:t>
            </w:r>
          </w:p>
        </w:tc>
        <w:tc>
          <w:tcPr>
            <w:tcW w:w="2841" w:type="dxa"/>
          </w:tcPr>
          <w:p w14:paraId="7B1A9AA2">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c>
          <w:tcPr>
            <w:tcW w:w="2841" w:type="dxa"/>
          </w:tcPr>
          <w:p w14:paraId="01BD0F9D">
            <w:pPr>
              <w:pStyle w:val="19"/>
              <w:keepNext w:val="0"/>
              <w:keepLines w:val="0"/>
              <w:pageBreakBefore w:val="0"/>
              <w:kinsoku/>
              <w:wordWrap/>
              <w:overflowPunct/>
              <w:topLinePunct w:val="0"/>
              <w:autoSpaceDE/>
              <w:autoSpaceDN/>
              <w:bidi w:val="0"/>
              <w:adjustRightInd/>
              <w:snapToGrid/>
              <w:spacing w:before="157" w:beforeLines="50" w:after="10" w:line="240" w:lineRule="auto"/>
              <w:jc w:val="center"/>
              <w:textAlignment w:val="auto"/>
              <w:rPr>
                <w:rFonts w:hint="eastAsia" w:ascii="宋体" w:hAnsi="宋体" w:eastAsia="宋体" w:cs="宋体"/>
                <w:color w:val="auto"/>
                <w:kern w:val="0"/>
                <w:sz w:val="24"/>
                <w:szCs w:val="24"/>
                <w:highlight w:val="none"/>
                <w:vertAlign w:val="baseline"/>
                <w:lang w:val="en-US" w:eastAsia="zh-CN" w:bidi="ar"/>
              </w:rPr>
            </w:pPr>
          </w:p>
        </w:tc>
      </w:tr>
    </w:tbl>
    <w:p w14:paraId="59A5A102">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本单位对上述声明的真实性负责。如有虚假，将依法承担相应责任。</w:t>
      </w:r>
    </w:p>
    <w:p w14:paraId="3C72F408">
      <w:pPr>
        <w:spacing w:line="360" w:lineRule="auto"/>
        <w:ind w:firstLine="4800" w:firstLineChars="2000"/>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lang w:val="en-US" w:eastAsia="zh-CN"/>
        </w:rPr>
        <w:t>供应商</w:t>
      </w:r>
      <w:r>
        <w:rPr>
          <w:rFonts w:hint="eastAsia" w:ascii="宋体" w:hAnsi="宋体" w:eastAsia="宋体" w:cs="宋体"/>
          <w:color w:val="auto"/>
          <w:sz w:val="24"/>
          <w:highlight w:val="none"/>
        </w:rPr>
        <w:t>电子签章：</w:t>
      </w:r>
      <w:r>
        <w:rPr>
          <w:rFonts w:hint="eastAsia" w:ascii="宋体" w:hAnsi="宋体" w:eastAsia="宋体" w:cs="宋体"/>
          <w:color w:val="auto"/>
          <w:sz w:val="24"/>
          <w:highlight w:val="none"/>
          <w:u w:val="single"/>
        </w:rPr>
        <w:t xml:space="preserve">             </w:t>
      </w:r>
    </w:p>
    <w:p w14:paraId="7F56D5B2">
      <w:pPr>
        <w:spacing w:line="360" w:lineRule="auto"/>
        <w:jc w:val="center"/>
        <w:outlineLvl w:val="9"/>
        <w:rPr>
          <w:rFonts w:hint="eastAsia" w:ascii="宋体" w:hAnsi="宋体" w:eastAsia="宋体" w:cs="宋体"/>
          <w:b/>
          <w:color w:val="auto"/>
          <w:sz w:val="24"/>
          <w:highlight w:val="none"/>
        </w:rPr>
        <w:sectPr>
          <w:headerReference r:id="rId9" w:type="default"/>
          <w:footerReference r:id="rId10" w:type="default"/>
          <w:pgSz w:w="11906" w:h="16838"/>
          <w:pgMar w:top="1440" w:right="1800" w:bottom="1440" w:left="1800" w:header="851" w:footer="992" w:gutter="0"/>
          <w:pgNumType w:fmt="decimal"/>
          <w:cols w:space="425" w:num="1"/>
          <w:docGrid w:type="lines" w:linePitch="312" w:charSpace="0"/>
        </w:sectPr>
      </w:pPr>
      <w:r>
        <w:rPr>
          <w:rFonts w:hint="eastAsia" w:ascii="宋体" w:hAnsi="宋体" w:eastAsia="宋体" w:cs="宋体"/>
          <w:color w:val="auto"/>
          <w:sz w:val="24"/>
          <w:highlight w:val="none"/>
          <w:lang w:val="en-US" w:eastAsia="zh-CN"/>
        </w:rPr>
        <w:t xml:space="preserve">                           </w:t>
      </w: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r>
        <w:rPr>
          <w:rFonts w:hint="eastAsia" w:ascii="宋体" w:hAnsi="宋体" w:eastAsia="宋体" w:cs="宋体"/>
          <w:color w:val="auto"/>
          <w:sz w:val="24"/>
          <w:highlight w:val="none"/>
        </w:rPr>
        <w:t xml:space="preserve">         </w:t>
      </w:r>
      <w:bookmarkEnd w:id="98"/>
    </w:p>
    <w:p w14:paraId="1DFF5BD5">
      <w:pPr>
        <w:widowControl/>
        <w:jc w:val="center"/>
        <w:outlineLvl w:val="1"/>
        <w:rPr>
          <w:rFonts w:hint="eastAsia" w:ascii="宋体" w:hAnsi="宋体" w:eastAsia="宋体" w:cs="宋体"/>
          <w:b/>
          <w:color w:val="auto"/>
          <w:sz w:val="24"/>
          <w:highlight w:val="none"/>
          <w:u w:val="none"/>
        </w:rPr>
      </w:pPr>
      <w:bookmarkStart w:id="99" w:name="_Toc516969106"/>
      <w:bookmarkStart w:id="100" w:name="_Toc25503"/>
      <w:bookmarkStart w:id="101" w:name="_Toc204594911"/>
      <w:bookmarkStart w:id="102" w:name="_Toc121626298"/>
      <w:bookmarkStart w:id="103" w:name="_Toc909"/>
      <w:bookmarkStart w:id="104" w:name="_Toc520983594"/>
      <w:r>
        <w:rPr>
          <w:rFonts w:hint="eastAsia" w:ascii="宋体" w:hAnsi="宋体" w:eastAsia="宋体" w:cs="宋体"/>
          <w:b/>
          <w:color w:val="auto"/>
          <w:sz w:val="24"/>
          <w:highlight w:val="none"/>
          <w:u w:val="none"/>
        </w:rPr>
        <w:t>六、授权书</w:t>
      </w:r>
      <w:bookmarkEnd w:id="99"/>
      <w:bookmarkEnd w:id="100"/>
      <w:bookmarkEnd w:id="101"/>
      <w:bookmarkEnd w:id="102"/>
      <w:bookmarkEnd w:id="103"/>
      <w:bookmarkEnd w:id="104"/>
    </w:p>
    <w:p w14:paraId="1BA97F86">
      <w:pPr>
        <w:spacing w:line="360" w:lineRule="auto"/>
        <w:jc w:val="center"/>
        <w:rPr>
          <w:rFonts w:hint="eastAsia" w:ascii="宋体" w:hAnsi="宋体" w:eastAsia="宋体" w:cs="宋体"/>
          <w:b/>
          <w:color w:val="auto"/>
          <w:sz w:val="24"/>
          <w:highlight w:val="none"/>
        </w:rPr>
      </w:pPr>
    </w:p>
    <w:p w14:paraId="57B77820">
      <w:pPr>
        <w:pStyle w:val="28"/>
        <w:snapToGrid w:val="0"/>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本授权书声明：</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（供应商名称）授权</w:t>
      </w:r>
      <w:r>
        <w:rPr>
          <w:rFonts w:hint="eastAsia" w:ascii="宋体" w:hAnsi="宋体" w:eastAsia="宋体" w:cs="宋体"/>
          <w:color w:val="auto"/>
          <w:sz w:val="24"/>
          <w:szCs w:val="28"/>
          <w:highlight w:val="none"/>
          <w:u w:val="single"/>
        </w:rPr>
        <w:t xml:space="preserve">       </w:t>
      </w:r>
      <w:r>
        <w:rPr>
          <w:rFonts w:hint="eastAsia" w:ascii="宋体" w:hAnsi="宋体" w:eastAsia="宋体" w:cs="宋体"/>
          <w:color w:val="auto"/>
          <w:sz w:val="24"/>
          <w:szCs w:val="28"/>
          <w:highlight w:val="none"/>
        </w:rPr>
        <w:t>（供应商授权代表姓名）代表我方参加本项目</w:t>
      </w:r>
      <w:r>
        <w:rPr>
          <w:rFonts w:hint="eastAsia" w:ascii="宋体" w:hAnsi="宋体" w:eastAsia="宋体" w:cs="宋体"/>
          <w:bCs/>
          <w:color w:val="auto"/>
          <w:sz w:val="24"/>
          <w:szCs w:val="28"/>
          <w:highlight w:val="none"/>
        </w:rPr>
        <w:t>采购活动</w:t>
      </w:r>
      <w:r>
        <w:rPr>
          <w:rFonts w:hint="eastAsia" w:ascii="宋体" w:hAnsi="宋体" w:eastAsia="宋体" w:cs="宋体"/>
          <w:color w:val="auto"/>
          <w:sz w:val="24"/>
          <w:szCs w:val="28"/>
          <w:highlight w:val="none"/>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2E16BC20">
      <w:pPr>
        <w:pStyle w:val="28"/>
        <w:snapToGrid w:val="0"/>
        <w:spacing w:line="360" w:lineRule="auto"/>
        <w:ind w:firstLine="480" w:firstLineChars="200"/>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本授权书自出具之日起生效。</w:t>
      </w:r>
    </w:p>
    <w:p w14:paraId="3E91E546">
      <w:pPr>
        <w:pStyle w:val="28"/>
        <w:snapToGrid w:val="0"/>
        <w:spacing w:line="360" w:lineRule="auto"/>
        <w:ind w:firstLine="480" w:firstLineChars="200"/>
        <w:jc w:val="left"/>
        <w:rPr>
          <w:rFonts w:hint="eastAsia" w:ascii="宋体" w:hAnsi="宋体" w:eastAsia="宋体" w:cs="宋体"/>
          <w:color w:val="auto"/>
          <w:sz w:val="24"/>
          <w:highlight w:val="none"/>
        </w:rPr>
      </w:pPr>
      <w:r>
        <w:rPr>
          <w:rFonts w:hint="eastAsia" w:ascii="宋体" w:hAnsi="宋体" w:eastAsia="宋体" w:cs="宋体"/>
          <w:color w:val="auto"/>
          <w:sz w:val="24"/>
          <w:szCs w:val="28"/>
          <w:highlight w:val="none"/>
        </w:rPr>
        <w:t>授权代表</w:t>
      </w:r>
      <w:r>
        <w:rPr>
          <w:rFonts w:hint="eastAsia" w:ascii="宋体" w:hAnsi="宋体" w:eastAsia="宋体" w:cs="宋体"/>
          <w:color w:val="auto"/>
          <w:sz w:val="24"/>
          <w:highlight w:val="none"/>
        </w:rPr>
        <w:t>身份证明扫描件：</w:t>
      </w:r>
    </w:p>
    <w:p w14:paraId="7E148CE6">
      <w:pPr>
        <w:pStyle w:val="28"/>
        <w:snapToGrid w:val="0"/>
        <w:spacing w:line="360" w:lineRule="auto"/>
        <w:ind w:firstLine="480" w:firstLineChars="200"/>
        <w:jc w:val="left"/>
        <w:rPr>
          <w:rFonts w:hint="eastAsia" w:ascii="宋体" w:hAnsi="宋体" w:eastAsia="宋体" w:cs="宋体"/>
          <w:color w:val="auto"/>
          <w:sz w:val="24"/>
          <w:highlight w:val="none"/>
        </w:rPr>
      </w:pPr>
    </w:p>
    <w:p w14:paraId="65C6C47A">
      <w:pPr>
        <w:pStyle w:val="28"/>
        <w:snapToGrid w:val="0"/>
        <w:spacing w:line="360" w:lineRule="auto"/>
        <w:ind w:firstLine="480" w:firstLineChars="200"/>
        <w:jc w:val="left"/>
        <w:rPr>
          <w:rFonts w:hint="eastAsia" w:ascii="宋体" w:hAnsi="宋体" w:eastAsia="宋体" w:cs="宋体"/>
          <w:color w:val="auto"/>
          <w:sz w:val="24"/>
          <w:highlight w:val="none"/>
        </w:rPr>
      </w:pPr>
    </w:p>
    <w:p w14:paraId="039D04BD">
      <w:pPr>
        <w:pStyle w:val="28"/>
        <w:snapToGrid w:val="0"/>
        <w:spacing w:line="360" w:lineRule="auto"/>
        <w:ind w:firstLine="480" w:firstLineChars="200"/>
        <w:jc w:val="left"/>
        <w:rPr>
          <w:rFonts w:hint="eastAsia" w:ascii="宋体" w:hAnsi="宋体" w:eastAsia="宋体" w:cs="宋体"/>
          <w:color w:val="auto"/>
          <w:sz w:val="24"/>
          <w:highlight w:val="none"/>
        </w:rPr>
      </w:pPr>
    </w:p>
    <w:p w14:paraId="2F1485C3">
      <w:pPr>
        <w:pStyle w:val="28"/>
        <w:snapToGrid w:val="0"/>
        <w:spacing w:line="360" w:lineRule="auto"/>
        <w:ind w:firstLine="480" w:firstLineChars="200"/>
        <w:jc w:val="left"/>
        <w:rPr>
          <w:rFonts w:hint="eastAsia" w:ascii="宋体" w:hAnsi="宋体" w:eastAsia="宋体" w:cs="宋体"/>
          <w:color w:val="auto"/>
          <w:sz w:val="24"/>
          <w:highlight w:val="none"/>
        </w:rPr>
      </w:pPr>
    </w:p>
    <w:p w14:paraId="70D95217">
      <w:pPr>
        <w:pStyle w:val="28"/>
        <w:snapToGrid w:val="0"/>
        <w:spacing w:line="360" w:lineRule="auto"/>
        <w:ind w:firstLine="480" w:firstLineChars="200"/>
        <w:jc w:val="left"/>
        <w:rPr>
          <w:rFonts w:hint="eastAsia" w:ascii="宋体" w:hAnsi="宋体" w:eastAsia="宋体" w:cs="宋体"/>
          <w:color w:val="auto"/>
          <w:sz w:val="24"/>
          <w:szCs w:val="28"/>
          <w:highlight w:val="none"/>
          <w:u w:val="single"/>
        </w:rPr>
      </w:pPr>
      <w:r>
        <w:rPr>
          <w:rFonts w:hint="eastAsia" w:ascii="宋体" w:hAnsi="宋体" w:eastAsia="宋体" w:cs="宋体"/>
          <w:color w:val="auto"/>
          <w:sz w:val="24"/>
          <w:szCs w:val="28"/>
          <w:highlight w:val="none"/>
        </w:rPr>
        <w:t>授权代表联系方式：</w:t>
      </w:r>
      <w:r>
        <w:rPr>
          <w:rFonts w:hint="eastAsia" w:ascii="宋体" w:hAnsi="宋体" w:eastAsia="宋体" w:cs="宋体"/>
          <w:color w:val="auto"/>
          <w:sz w:val="24"/>
          <w:szCs w:val="28"/>
          <w:highlight w:val="none"/>
          <w:u w:val="single"/>
        </w:rPr>
        <w:t xml:space="preserve">          （请填写手机号码）</w:t>
      </w:r>
    </w:p>
    <w:p w14:paraId="7A29CCC3">
      <w:pPr>
        <w:pStyle w:val="28"/>
        <w:snapToGrid w:val="0"/>
        <w:spacing w:line="360" w:lineRule="auto"/>
        <w:ind w:firstLine="480" w:firstLineChars="200"/>
        <w:jc w:val="left"/>
        <w:rPr>
          <w:rFonts w:hint="eastAsia" w:ascii="宋体" w:hAnsi="宋体" w:eastAsia="宋体" w:cs="宋体"/>
          <w:color w:val="auto"/>
          <w:sz w:val="24"/>
          <w:szCs w:val="28"/>
          <w:highlight w:val="none"/>
        </w:rPr>
      </w:pPr>
    </w:p>
    <w:p w14:paraId="51315AC3">
      <w:pPr>
        <w:spacing w:line="360" w:lineRule="auto"/>
        <w:ind w:firstLine="360" w:firstLineChars="150"/>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特此声明。</w:t>
      </w:r>
    </w:p>
    <w:p w14:paraId="1AB8341B">
      <w:pPr>
        <w:spacing w:line="360" w:lineRule="auto"/>
        <w:rPr>
          <w:rFonts w:hint="eastAsia" w:ascii="宋体" w:hAnsi="宋体" w:eastAsia="宋体" w:cs="宋体"/>
          <w:color w:val="auto"/>
          <w:sz w:val="24"/>
          <w:szCs w:val="28"/>
          <w:highlight w:val="none"/>
        </w:rPr>
      </w:pPr>
    </w:p>
    <w:p w14:paraId="7EB1C515">
      <w:pPr>
        <w:spacing w:line="360" w:lineRule="auto"/>
        <w:jc w:val="center"/>
        <w:rPr>
          <w:rFonts w:hint="eastAsia" w:ascii="宋体" w:hAnsi="宋体" w:eastAsia="宋体" w:cs="宋体"/>
          <w:bCs/>
          <w:color w:val="auto"/>
          <w:sz w:val="24"/>
          <w:szCs w:val="28"/>
          <w:highlight w:val="none"/>
        </w:rPr>
      </w:pPr>
      <w:r>
        <w:rPr>
          <w:rFonts w:hint="eastAsia" w:ascii="宋体" w:hAnsi="宋体" w:eastAsia="宋体" w:cs="宋体"/>
          <w:bCs/>
          <w:color w:val="auto"/>
          <w:sz w:val="24"/>
          <w:szCs w:val="28"/>
          <w:highlight w:val="none"/>
          <w:lang w:val="en-US" w:eastAsia="zh-CN"/>
        </w:rPr>
        <w:t xml:space="preserve">                    </w:t>
      </w:r>
      <w:r>
        <w:rPr>
          <w:rFonts w:hint="eastAsia" w:ascii="宋体" w:hAnsi="宋体" w:eastAsia="宋体" w:cs="宋体"/>
          <w:bCs/>
          <w:color w:val="auto"/>
          <w:sz w:val="24"/>
          <w:szCs w:val="28"/>
          <w:highlight w:val="none"/>
        </w:rPr>
        <w:t>供应商电子签章：</w:t>
      </w:r>
      <w:r>
        <w:rPr>
          <w:rFonts w:hint="eastAsia" w:ascii="宋体" w:hAnsi="宋体" w:eastAsia="宋体" w:cs="宋体"/>
          <w:bCs/>
          <w:color w:val="auto"/>
          <w:sz w:val="24"/>
          <w:szCs w:val="28"/>
          <w:highlight w:val="none"/>
          <w:u w:val="single"/>
        </w:rPr>
        <w:t xml:space="preserve">                    </w:t>
      </w:r>
    </w:p>
    <w:p w14:paraId="10AF0823">
      <w:pPr>
        <w:spacing w:line="360" w:lineRule="auto"/>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lang w:val="en-US" w:eastAsia="zh-CN"/>
        </w:rPr>
        <w:t xml:space="preserve">                                        </w:t>
      </w:r>
      <w:r>
        <w:rPr>
          <w:rFonts w:hint="eastAsia" w:ascii="宋体" w:hAnsi="宋体" w:eastAsia="宋体" w:cs="宋体"/>
          <w:color w:val="auto"/>
          <w:sz w:val="24"/>
          <w:szCs w:val="28"/>
          <w:highlight w:val="none"/>
        </w:rPr>
        <w:t>日          期：</w:t>
      </w:r>
      <w:r>
        <w:rPr>
          <w:rFonts w:hint="eastAsia" w:ascii="宋体" w:hAnsi="宋体" w:eastAsia="宋体" w:cs="宋体"/>
          <w:color w:val="auto"/>
          <w:sz w:val="24"/>
          <w:szCs w:val="28"/>
          <w:highlight w:val="none"/>
          <w:u w:val="single"/>
        </w:rPr>
        <w:t xml:space="preserve">                    </w:t>
      </w:r>
    </w:p>
    <w:p w14:paraId="277C1816">
      <w:pPr>
        <w:spacing w:line="360" w:lineRule="auto"/>
        <w:rPr>
          <w:rFonts w:hint="eastAsia" w:ascii="宋体" w:hAnsi="宋体" w:eastAsia="宋体" w:cs="宋体"/>
          <w:color w:val="auto"/>
          <w:sz w:val="24"/>
          <w:szCs w:val="28"/>
          <w:highlight w:val="none"/>
        </w:rPr>
      </w:pPr>
    </w:p>
    <w:p w14:paraId="0B0AE4DE">
      <w:pPr>
        <w:pStyle w:val="28"/>
        <w:snapToGrid w:val="0"/>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注：</w:t>
      </w:r>
    </w:p>
    <w:p w14:paraId="3D6CC422">
      <w:pPr>
        <w:pStyle w:val="28"/>
        <w:snapToGrid w:val="0"/>
        <w:spacing w:line="360" w:lineRule="auto"/>
        <w:jc w:val="left"/>
        <w:rPr>
          <w:rFonts w:hint="eastAsia" w:ascii="宋体" w:hAnsi="宋体" w:eastAsia="宋体" w:cs="宋体"/>
          <w:color w:val="auto"/>
          <w:sz w:val="24"/>
          <w:szCs w:val="28"/>
          <w:highlight w:val="none"/>
        </w:rPr>
      </w:pPr>
      <w:r>
        <w:rPr>
          <w:rFonts w:hint="eastAsia" w:ascii="宋体" w:hAnsi="宋体" w:eastAsia="宋体" w:cs="宋体"/>
          <w:color w:val="auto"/>
          <w:sz w:val="24"/>
          <w:szCs w:val="28"/>
          <w:highlight w:val="none"/>
        </w:rPr>
        <w:t>1.本项目只允许有唯一的供应商授权代表，提供身份证明扫描件；</w:t>
      </w:r>
    </w:p>
    <w:p w14:paraId="46D14671">
      <w:pPr>
        <w:spacing w:line="360" w:lineRule="auto"/>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t>2.法定代表人参加磋商的无需提供授权书，仅提供身份证明扫描件。</w:t>
      </w:r>
    </w:p>
    <w:p w14:paraId="7F1220E3">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5F63AF98">
      <w:pPr>
        <w:keepNext/>
        <w:keepLines/>
        <w:spacing w:before="260" w:after="260" w:line="416" w:lineRule="auto"/>
        <w:jc w:val="center"/>
        <w:outlineLvl w:val="1"/>
        <w:rPr>
          <w:rFonts w:hint="eastAsia" w:ascii="宋体" w:hAnsi="宋体" w:eastAsia="宋体" w:cs="宋体"/>
          <w:b/>
          <w:bCs/>
          <w:color w:val="auto"/>
          <w:kern w:val="2"/>
          <w:sz w:val="24"/>
          <w:szCs w:val="24"/>
          <w:highlight w:val="none"/>
        </w:rPr>
      </w:pPr>
      <w:bookmarkStart w:id="105" w:name="_Toc12223"/>
      <w:bookmarkStart w:id="106" w:name="_Toc32351"/>
      <w:r>
        <w:rPr>
          <w:rFonts w:hint="eastAsia" w:ascii="宋体" w:hAnsi="宋体" w:eastAsia="宋体" w:cs="宋体"/>
          <w:b/>
          <w:bCs/>
          <w:color w:val="auto"/>
          <w:kern w:val="2"/>
          <w:sz w:val="24"/>
          <w:szCs w:val="24"/>
          <w:highlight w:val="none"/>
        </w:rPr>
        <w:t>七、法定代表人身份证明书</w:t>
      </w:r>
      <w:bookmarkEnd w:id="105"/>
      <w:bookmarkEnd w:id="106"/>
    </w:p>
    <w:p w14:paraId="35EAE0B7">
      <w:pPr>
        <w:autoSpaceDE w:val="0"/>
        <w:autoSpaceDN w:val="0"/>
        <w:adjustRightInd w:val="0"/>
        <w:spacing w:line="360" w:lineRule="auto"/>
        <w:jc w:val="center"/>
        <w:rPr>
          <w:rFonts w:hint="eastAsia" w:ascii="宋体" w:hAnsi="宋体" w:eastAsia="宋体" w:cs="宋体"/>
          <w:b/>
          <w:color w:val="auto"/>
          <w:kern w:val="2"/>
          <w:sz w:val="21"/>
          <w:szCs w:val="24"/>
          <w:highlight w:val="none"/>
          <w:lang w:val="zh-CN"/>
        </w:rPr>
      </w:pPr>
    </w:p>
    <w:p w14:paraId="596E0C3D">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单位名称：</w:t>
      </w:r>
      <w:r>
        <w:rPr>
          <w:rFonts w:hint="eastAsia" w:ascii="宋体" w:hAnsi="宋体" w:eastAsia="宋体" w:cs="宋体"/>
          <w:color w:val="auto"/>
          <w:kern w:val="2"/>
          <w:sz w:val="24"/>
          <w:szCs w:val="28"/>
          <w:highlight w:val="none"/>
          <w:u w:val="single"/>
        </w:rPr>
        <w:t xml:space="preserve">                                          </w:t>
      </w:r>
    </w:p>
    <w:p w14:paraId="13038D0D">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单位性质：</w:t>
      </w:r>
      <w:r>
        <w:rPr>
          <w:rFonts w:hint="eastAsia" w:ascii="宋体" w:hAnsi="宋体" w:eastAsia="宋体" w:cs="宋体"/>
          <w:color w:val="auto"/>
          <w:kern w:val="2"/>
          <w:sz w:val="24"/>
          <w:szCs w:val="28"/>
          <w:highlight w:val="none"/>
          <w:u w:val="single"/>
        </w:rPr>
        <w:t xml:space="preserve">                                          </w:t>
      </w:r>
    </w:p>
    <w:p w14:paraId="18549CA9">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地    址：</w:t>
      </w:r>
      <w:r>
        <w:rPr>
          <w:rFonts w:hint="eastAsia" w:ascii="宋体" w:hAnsi="宋体" w:eastAsia="宋体" w:cs="宋体"/>
          <w:color w:val="auto"/>
          <w:kern w:val="2"/>
          <w:sz w:val="24"/>
          <w:szCs w:val="28"/>
          <w:highlight w:val="none"/>
          <w:u w:val="single"/>
        </w:rPr>
        <w:t xml:space="preserve">                                          </w:t>
      </w:r>
    </w:p>
    <w:p w14:paraId="61932632">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成立时间：</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年</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月</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日</w:t>
      </w:r>
    </w:p>
    <w:p w14:paraId="6CF31FD3">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经营期限：</w:t>
      </w:r>
      <w:r>
        <w:rPr>
          <w:rFonts w:hint="eastAsia" w:ascii="宋体" w:hAnsi="宋体" w:eastAsia="宋体" w:cs="宋体"/>
          <w:color w:val="auto"/>
          <w:kern w:val="2"/>
          <w:sz w:val="24"/>
          <w:szCs w:val="28"/>
          <w:highlight w:val="none"/>
          <w:u w:val="single"/>
        </w:rPr>
        <w:t xml:space="preserve">                                          </w:t>
      </w:r>
    </w:p>
    <w:p w14:paraId="461BDD48">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姓    名：</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 xml:space="preserve"> 性    别：</w:t>
      </w:r>
      <w:r>
        <w:rPr>
          <w:rFonts w:hint="eastAsia" w:ascii="宋体" w:hAnsi="宋体" w:eastAsia="宋体" w:cs="宋体"/>
          <w:color w:val="auto"/>
          <w:kern w:val="2"/>
          <w:sz w:val="24"/>
          <w:szCs w:val="28"/>
          <w:highlight w:val="none"/>
          <w:u w:val="single"/>
        </w:rPr>
        <w:t xml:space="preserve">             </w:t>
      </w:r>
    </w:p>
    <w:p w14:paraId="0BA43421">
      <w:pPr>
        <w:snapToGrid w:val="0"/>
        <w:spacing w:line="360" w:lineRule="auto"/>
        <w:ind w:firstLine="480" w:firstLineChars="200"/>
        <w:jc w:val="left"/>
        <w:rPr>
          <w:rFonts w:hint="eastAsia" w:ascii="宋体" w:hAnsi="宋体" w:eastAsia="宋体" w:cs="宋体"/>
          <w:color w:val="auto"/>
          <w:kern w:val="2"/>
          <w:sz w:val="24"/>
          <w:szCs w:val="28"/>
          <w:highlight w:val="none"/>
          <w:u w:val="single"/>
        </w:rPr>
      </w:pPr>
      <w:r>
        <w:rPr>
          <w:rFonts w:hint="eastAsia" w:ascii="宋体" w:hAnsi="宋体" w:eastAsia="宋体" w:cs="宋体"/>
          <w:color w:val="auto"/>
          <w:kern w:val="2"/>
          <w:sz w:val="24"/>
          <w:szCs w:val="28"/>
          <w:highlight w:val="none"/>
        </w:rPr>
        <w:t>年    龄：</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 xml:space="preserve"> 职    务：</w:t>
      </w:r>
      <w:r>
        <w:rPr>
          <w:rFonts w:hint="eastAsia" w:ascii="宋体" w:hAnsi="宋体" w:eastAsia="宋体" w:cs="宋体"/>
          <w:color w:val="auto"/>
          <w:kern w:val="2"/>
          <w:sz w:val="24"/>
          <w:szCs w:val="28"/>
          <w:highlight w:val="none"/>
          <w:u w:val="single"/>
        </w:rPr>
        <w:t xml:space="preserve">             </w:t>
      </w:r>
    </w:p>
    <w:p w14:paraId="49FD340B">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rPr>
        <w:t>联系电话：</w:t>
      </w: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 xml:space="preserve"> 手机号码：</w:t>
      </w:r>
      <w:r>
        <w:rPr>
          <w:rFonts w:hint="eastAsia" w:ascii="宋体" w:hAnsi="宋体" w:eastAsia="宋体" w:cs="宋体"/>
          <w:color w:val="auto"/>
          <w:kern w:val="2"/>
          <w:sz w:val="24"/>
          <w:szCs w:val="28"/>
          <w:highlight w:val="none"/>
          <w:u w:val="single"/>
        </w:rPr>
        <w:t xml:space="preserve">             </w:t>
      </w:r>
    </w:p>
    <w:p w14:paraId="7ACC7BC8">
      <w:pPr>
        <w:snapToGrid w:val="0"/>
        <w:spacing w:line="360" w:lineRule="auto"/>
        <w:ind w:firstLine="480" w:firstLineChars="200"/>
        <w:jc w:val="left"/>
        <w:rPr>
          <w:rFonts w:hint="eastAsia" w:ascii="宋体" w:hAnsi="宋体" w:eastAsia="宋体" w:cs="宋体"/>
          <w:color w:val="auto"/>
          <w:kern w:val="2"/>
          <w:sz w:val="24"/>
          <w:szCs w:val="28"/>
          <w:highlight w:val="none"/>
        </w:rPr>
      </w:pPr>
      <w:r>
        <w:rPr>
          <w:rFonts w:hint="eastAsia" w:ascii="宋体" w:hAnsi="宋体" w:eastAsia="宋体" w:cs="宋体"/>
          <w:color w:val="auto"/>
          <w:kern w:val="2"/>
          <w:sz w:val="24"/>
          <w:szCs w:val="28"/>
          <w:highlight w:val="none"/>
          <w:u w:val="single"/>
        </w:rPr>
        <w:t xml:space="preserve">        </w:t>
      </w:r>
      <w:r>
        <w:rPr>
          <w:rFonts w:hint="eastAsia" w:ascii="宋体" w:hAnsi="宋体" w:eastAsia="宋体" w:cs="宋体"/>
          <w:color w:val="auto"/>
          <w:kern w:val="2"/>
          <w:sz w:val="24"/>
          <w:szCs w:val="28"/>
          <w:highlight w:val="none"/>
        </w:rPr>
        <w:t xml:space="preserve">系  </w:t>
      </w:r>
      <w:r>
        <w:rPr>
          <w:rFonts w:hint="eastAsia" w:ascii="宋体" w:hAnsi="宋体" w:eastAsia="宋体" w:cs="宋体"/>
          <w:color w:val="auto"/>
          <w:kern w:val="2"/>
          <w:sz w:val="24"/>
          <w:szCs w:val="28"/>
          <w:highlight w:val="none"/>
          <w:u w:val="single"/>
        </w:rPr>
        <w:t xml:space="preserve">   （供应商单位名称）       </w:t>
      </w:r>
      <w:r>
        <w:rPr>
          <w:rFonts w:hint="eastAsia" w:ascii="宋体" w:hAnsi="宋体" w:eastAsia="宋体" w:cs="宋体"/>
          <w:color w:val="auto"/>
          <w:kern w:val="2"/>
          <w:sz w:val="24"/>
          <w:szCs w:val="28"/>
          <w:highlight w:val="none"/>
        </w:rPr>
        <w:t>的法定代表人。</w:t>
      </w:r>
    </w:p>
    <w:p w14:paraId="266FAF74">
      <w:pPr>
        <w:spacing w:before="62" w:beforeLines="20" w:after="62" w:afterLines="20" w:line="540" w:lineRule="exact"/>
        <w:ind w:firstLine="610"/>
        <w:rPr>
          <w:rFonts w:hint="eastAsia" w:ascii="宋体" w:hAnsi="宋体" w:eastAsia="宋体" w:cs="宋体"/>
          <w:color w:val="auto"/>
          <w:kern w:val="2"/>
          <w:sz w:val="24"/>
          <w:szCs w:val="24"/>
          <w:highlight w:val="none"/>
        </w:rPr>
      </w:pPr>
    </w:p>
    <w:p w14:paraId="76A3FEED">
      <w:pPr>
        <w:spacing w:before="62" w:beforeLines="20" w:after="62" w:afterLines="20" w:line="540" w:lineRule="exact"/>
        <w:ind w:left="400" w:leftChars="200" w:firstLine="240" w:firstLineChars="1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特此证明。</w:t>
      </w:r>
    </w:p>
    <w:p w14:paraId="07315002">
      <w:pPr>
        <w:tabs>
          <w:tab w:val="left" w:pos="720"/>
          <w:tab w:val="left" w:pos="900"/>
        </w:tabs>
        <w:spacing w:before="62" w:beforeLines="20" w:after="62" w:afterLines="20" w:line="540" w:lineRule="exact"/>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附：法定代表人身份证扫描件</w:t>
      </w:r>
    </w:p>
    <w:p w14:paraId="4AFAB97B">
      <w:pPr>
        <w:tabs>
          <w:tab w:val="left" w:pos="720"/>
          <w:tab w:val="left" w:pos="900"/>
        </w:tabs>
        <w:spacing w:before="62" w:beforeLines="20" w:after="62" w:afterLines="20" w:line="540" w:lineRule="exact"/>
        <w:ind w:firstLine="480" w:firstLineChars="200"/>
        <w:rPr>
          <w:rFonts w:hint="eastAsia" w:ascii="宋体" w:hAnsi="宋体" w:eastAsia="宋体" w:cs="宋体"/>
          <w:color w:val="auto"/>
          <w:kern w:val="2"/>
          <w:sz w:val="24"/>
          <w:szCs w:val="24"/>
          <w:highlight w:val="none"/>
        </w:rPr>
      </w:pPr>
    </w:p>
    <w:p w14:paraId="78B7B5A2">
      <w:pPr>
        <w:tabs>
          <w:tab w:val="left" w:pos="720"/>
          <w:tab w:val="left" w:pos="900"/>
        </w:tabs>
        <w:spacing w:before="62" w:beforeLines="20" w:after="62" w:afterLines="20" w:line="540" w:lineRule="exact"/>
        <w:ind w:firstLine="4560" w:firstLineChars="1900"/>
        <w:rPr>
          <w:rFonts w:hint="eastAsia" w:ascii="宋体" w:hAnsi="宋体" w:eastAsia="宋体" w:cs="宋体"/>
          <w:color w:val="auto"/>
          <w:kern w:val="2"/>
          <w:sz w:val="24"/>
          <w:szCs w:val="24"/>
          <w:highlight w:val="none"/>
        </w:rPr>
      </w:pPr>
    </w:p>
    <w:p w14:paraId="316178E6">
      <w:pPr>
        <w:spacing w:line="360" w:lineRule="auto"/>
        <w:ind w:firstLine="3840" w:firstLineChars="1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供应商电子签章：</w:t>
      </w:r>
      <w:r>
        <w:rPr>
          <w:rFonts w:hint="eastAsia" w:ascii="宋体" w:hAnsi="宋体" w:eastAsia="宋体" w:cs="宋体"/>
          <w:color w:val="auto"/>
          <w:kern w:val="2"/>
          <w:sz w:val="24"/>
          <w:szCs w:val="24"/>
          <w:highlight w:val="none"/>
          <w:u w:val="single"/>
        </w:rPr>
        <w:t xml:space="preserve">                     </w:t>
      </w:r>
    </w:p>
    <w:p w14:paraId="29762116">
      <w:pPr>
        <w:spacing w:line="360" w:lineRule="auto"/>
        <w:ind w:firstLine="3840" w:firstLineChars="16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065860B4">
      <w:pPr>
        <w:widowControl/>
        <w:jc w:val="left"/>
        <w:rPr>
          <w:rFonts w:hint="eastAsia" w:ascii="宋体" w:hAnsi="宋体" w:eastAsia="宋体" w:cs="宋体"/>
          <w:b/>
          <w:bCs/>
          <w:color w:val="auto"/>
          <w:kern w:val="2"/>
          <w:sz w:val="24"/>
          <w:szCs w:val="24"/>
          <w:highlight w:val="none"/>
        </w:rPr>
      </w:pPr>
      <w:r>
        <w:rPr>
          <w:rFonts w:hint="eastAsia" w:ascii="宋体" w:hAnsi="宋体" w:eastAsia="宋体" w:cs="宋体"/>
          <w:color w:val="auto"/>
          <w:kern w:val="2"/>
          <w:sz w:val="24"/>
          <w:szCs w:val="24"/>
          <w:highlight w:val="none"/>
        </w:rPr>
        <w:br w:type="page"/>
      </w:r>
    </w:p>
    <w:p w14:paraId="121B2A8C">
      <w:pPr>
        <w:keepNext/>
        <w:keepLines/>
        <w:spacing w:before="260" w:after="260" w:line="416" w:lineRule="auto"/>
        <w:jc w:val="center"/>
        <w:outlineLvl w:val="1"/>
        <w:rPr>
          <w:rFonts w:hint="eastAsia" w:ascii="宋体" w:hAnsi="宋体" w:eastAsia="宋体" w:cs="宋体"/>
          <w:b/>
          <w:bCs/>
          <w:color w:val="auto"/>
          <w:kern w:val="2"/>
          <w:sz w:val="24"/>
          <w:szCs w:val="24"/>
          <w:highlight w:val="none"/>
        </w:rPr>
      </w:pPr>
      <w:bookmarkStart w:id="107" w:name="_Toc4373"/>
      <w:bookmarkStart w:id="108" w:name="_Toc20099"/>
      <w:r>
        <w:rPr>
          <w:rFonts w:hint="eastAsia" w:ascii="宋体" w:hAnsi="宋体" w:eastAsia="宋体" w:cs="宋体"/>
          <w:b/>
          <w:bCs/>
          <w:color w:val="auto"/>
          <w:kern w:val="2"/>
          <w:sz w:val="24"/>
          <w:szCs w:val="24"/>
          <w:highlight w:val="none"/>
          <w:lang w:val="en-US" w:eastAsia="zh-CN"/>
        </w:rPr>
        <w:t>八</w:t>
      </w:r>
      <w:r>
        <w:rPr>
          <w:rFonts w:hint="eastAsia" w:ascii="宋体" w:hAnsi="宋体" w:eastAsia="宋体" w:cs="宋体"/>
          <w:b/>
          <w:bCs/>
          <w:color w:val="auto"/>
          <w:kern w:val="2"/>
          <w:sz w:val="24"/>
          <w:szCs w:val="24"/>
          <w:highlight w:val="none"/>
        </w:rPr>
        <w:t>、项目经理承诺书</w:t>
      </w:r>
      <w:bookmarkEnd w:id="107"/>
      <w:bookmarkEnd w:id="108"/>
    </w:p>
    <w:p w14:paraId="6EE2739B">
      <w:pPr>
        <w:spacing w:line="360" w:lineRule="auto"/>
        <w:rPr>
          <w:rFonts w:hint="eastAsia" w:ascii="宋体" w:hAnsi="宋体" w:eastAsia="宋体" w:cs="宋体"/>
          <w:color w:val="auto"/>
          <w:kern w:val="2"/>
          <w:sz w:val="24"/>
          <w:szCs w:val="24"/>
          <w:highlight w:val="none"/>
          <w:u w:val="single"/>
          <w:lang w:eastAsia="zh-CN"/>
        </w:rPr>
      </w:pPr>
      <w:r>
        <w:rPr>
          <w:rFonts w:hint="eastAsia" w:ascii="宋体" w:hAnsi="宋体" w:eastAsia="宋体" w:cs="宋体"/>
          <w:b/>
          <w:color w:val="auto"/>
          <w:kern w:val="2"/>
          <w:sz w:val="24"/>
          <w:szCs w:val="24"/>
          <w:highlight w:val="none"/>
          <w:u w:val="single"/>
        </w:rPr>
        <w:t>致：</w:t>
      </w:r>
      <w:r>
        <w:rPr>
          <w:rFonts w:hint="eastAsia" w:ascii="宋体" w:hAnsi="宋体" w:eastAsia="宋体" w:cs="宋体"/>
          <w:b/>
          <w:color w:val="auto"/>
          <w:kern w:val="2"/>
          <w:sz w:val="24"/>
          <w:szCs w:val="24"/>
          <w:highlight w:val="none"/>
          <w:u w:val="single"/>
          <w:lang w:eastAsia="zh-CN"/>
        </w:rPr>
        <w:t>滁州市公路管理服务中心</w:t>
      </w:r>
    </w:p>
    <w:p w14:paraId="6AB7A615">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本人作为我单位在本项目磋商担任的项目经理，郑重承诺：</w:t>
      </w:r>
    </w:p>
    <w:p w14:paraId="2CF866E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一、本项目提供的项目经理业绩已经本人核实，工程实施过程中项目经理确为本人，合同（或竣工相关资料证明）的本人签字均为该工程实施时段所签，真实无误，不存在虚假和挂靠现象，也不存在为磋商而造假的行为。</w:t>
      </w:r>
    </w:p>
    <w:p w14:paraId="76E73454">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二</w:t>
      </w:r>
      <w:r>
        <w:rPr>
          <w:rFonts w:hint="eastAsia" w:ascii="宋体" w:hAnsi="宋体" w:eastAsia="宋体" w:cs="宋体"/>
          <w:color w:val="auto"/>
          <w:kern w:val="2"/>
          <w:sz w:val="24"/>
          <w:szCs w:val="24"/>
          <w:highlight w:val="none"/>
        </w:rPr>
        <w:t>、本人承诺，一旦成交，将严格按照磋商文件规定履约。</w:t>
      </w:r>
    </w:p>
    <w:p w14:paraId="657DDB3F">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lang w:val="en-US" w:eastAsia="zh-CN"/>
        </w:rPr>
        <w:t>三</w:t>
      </w:r>
      <w:r>
        <w:rPr>
          <w:rFonts w:hint="eastAsia" w:ascii="宋体" w:hAnsi="宋体" w:eastAsia="宋体" w:cs="宋体"/>
          <w:color w:val="auto"/>
          <w:kern w:val="2"/>
          <w:sz w:val="24"/>
          <w:szCs w:val="24"/>
          <w:highlight w:val="none"/>
        </w:rPr>
        <w:t>、本人声明，对以上承诺，一旦发现虚假现象，本人愿意承担相应法律责任，并随时无条件配合监管部门调查取证。</w:t>
      </w:r>
    </w:p>
    <w:p w14:paraId="077F1B48">
      <w:pPr>
        <w:spacing w:line="360" w:lineRule="auto"/>
        <w:ind w:firstLine="480" w:firstLineChars="200"/>
        <w:rPr>
          <w:rFonts w:hint="eastAsia" w:ascii="宋体" w:hAnsi="宋体" w:eastAsia="宋体" w:cs="宋体"/>
          <w:color w:val="auto"/>
          <w:kern w:val="2"/>
          <w:sz w:val="24"/>
          <w:szCs w:val="24"/>
          <w:highlight w:val="none"/>
          <w:lang w:val="en-US" w:eastAsia="zh-CN"/>
        </w:rPr>
      </w:pPr>
      <w:r>
        <w:rPr>
          <w:rFonts w:hint="eastAsia" w:ascii="宋体" w:hAnsi="宋体" w:eastAsia="宋体" w:cs="宋体"/>
          <w:color w:val="auto"/>
          <w:kern w:val="2"/>
          <w:sz w:val="24"/>
          <w:szCs w:val="24"/>
          <w:highlight w:val="none"/>
          <w:lang w:val="en-US" w:eastAsia="zh-CN"/>
        </w:rPr>
        <w:t>四、</w:t>
      </w:r>
      <w:r>
        <w:rPr>
          <w:rFonts w:hint="eastAsia" w:ascii="宋体" w:hAnsi="宋体" w:eastAsia="宋体" w:cs="宋体"/>
          <w:color w:val="auto"/>
          <w:kern w:val="2"/>
          <w:sz w:val="24"/>
          <w:szCs w:val="24"/>
          <w:highlight w:val="none"/>
          <w:u w:val="single"/>
        </w:rPr>
        <w:t xml:space="preserve">                   </w:t>
      </w:r>
    </w:p>
    <w:p w14:paraId="7BDA1209">
      <w:pPr>
        <w:spacing w:line="360" w:lineRule="auto"/>
        <w:ind w:firstLine="480" w:firstLineChars="200"/>
        <w:rPr>
          <w:rFonts w:hint="eastAsia" w:ascii="宋体" w:hAnsi="宋体" w:eastAsia="宋体" w:cs="宋体"/>
          <w:color w:val="auto"/>
          <w:kern w:val="2"/>
          <w:sz w:val="24"/>
          <w:szCs w:val="24"/>
          <w:highlight w:val="none"/>
        </w:rPr>
      </w:pPr>
    </w:p>
    <w:p w14:paraId="433C0378">
      <w:pPr>
        <w:spacing w:line="360" w:lineRule="auto"/>
        <w:ind w:firstLine="4200" w:firstLineChars="17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项目经理签字：</w:t>
      </w:r>
      <w:r>
        <w:rPr>
          <w:rFonts w:hint="eastAsia" w:ascii="宋体" w:hAnsi="宋体" w:eastAsia="宋体" w:cs="宋体"/>
          <w:color w:val="auto"/>
          <w:kern w:val="2"/>
          <w:sz w:val="24"/>
          <w:szCs w:val="24"/>
          <w:highlight w:val="none"/>
          <w:u w:val="single"/>
        </w:rPr>
        <w:t xml:space="preserve">                   </w:t>
      </w:r>
    </w:p>
    <w:p w14:paraId="52851504">
      <w:pPr>
        <w:spacing w:line="360" w:lineRule="auto"/>
        <w:ind w:firstLine="4200" w:firstLineChars="17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身份证号：</w:t>
      </w:r>
      <w:r>
        <w:rPr>
          <w:rFonts w:hint="eastAsia" w:ascii="宋体" w:hAnsi="宋体" w:eastAsia="宋体" w:cs="宋体"/>
          <w:color w:val="auto"/>
          <w:kern w:val="2"/>
          <w:sz w:val="24"/>
          <w:szCs w:val="24"/>
          <w:highlight w:val="none"/>
          <w:u w:val="single"/>
        </w:rPr>
        <w:t xml:space="preserve">                       </w:t>
      </w:r>
    </w:p>
    <w:p w14:paraId="2D84693D">
      <w:pPr>
        <w:spacing w:line="360" w:lineRule="auto"/>
        <w:ind w:firstLine="4200" w:firstLineChars="175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7E3A2EF9">
      <w:pPr>
        <w:spacing w:line="360" w:lineRule="auto"/>
        <w:ind w:firstLine="480" w:firstLineChars="200"/>
        <w:rPr>
          <w:rFonts w:hint="eastAsia" w:ascii="宋体" w:hAnsi="宋体" w:eastAsia="宋体" w:cs="宋体"/>
          <w:color w:val="auto"/>
          <w:kern w:val="2"/>
          <w:sz w:val="24"/>
          <w:szCs w:val="24"/>
          <w:highlight w:val="none"/>
        </w:rPr>
      </w:pPr>
    </w:p>
    <w:p w14:paraId="103C4736">
      <w:pPr>
        <w:spacing w:line="360" w:lineRule="auto"/>
        <w:ind w:firstLine="480" w:firstLineChars="200"/>
        <w:rPr>
          <w:rFonts w:hint="eastAsia" w:ascii="宋体" w:hAnsi="宋体" w:eastAsia="宋体" w:cs="宋体"/>
          <w:color w:val="auto"/>
          <w:kern w:val="2"/>
          <w:sz w:val="24"/>
          <w:szCs w:val="24"/>
          <w:highlight w:val="none"/>
        </w:rPr>
      </w:pPr>
      <w:r>
        <w:rPr>
          <w:rFonts w:hint="eastAsia" w:ascii="宋体" w:hAnsi="宋体" w:eastAsia="宋体" w:cs="宋体"/>
          <w:color w:val="auto"/>
          <w:kern w:val="2"/>
          <w:sz w:val="24"/>
          <w:szCs w:val="24"/>
          <w:highlight w:val="none"/>
        </w:rPr>
        <w:t>注：本页后附项目经理身份证明扫描件。</w:t>
      </w:r>
    </w:p>
    <w:p w14:paraId="4F87EE67">
      <w:pPr>
        <w:autoSpaceDE w:val="0"/>
        <w:autoSpaceDN w:val="0"/>
        <w:adjustRightInd w:val="0"/>
        <w:spacing w:line="360" w:lineRule="auto"/>
        <w:jc w:val="center"/>
        <w:rPr>
          <w:rFonts w:hint="eastAsia" w:ascii="宋体" w:hAnsi="宋体" w:eastAsia="宋体" w:cs="宋体"/>
          <w:color w:val="auto"/>
          <w:kern w:val="2"/>
          <w:sz w:val="24"/>
          <w:szCs w:val="24"/>
          <w:highlight w:val="none"/>
          <w:lang w:val="zh-CN"/>
        </w:rPr>
      </w:pPr>
      <w:bookmarkStart w:id="109" w:name="_Toc438648628"/>
      <w:r>
        <w:rPr>
          <w:rFonts w:hint="eastAsia" w:ascii="宋体" w:hAnsi="宋体" w:eastAsia="宋体" w:cs="宋体"/>
          <w:b/>
          <w:color w:val="auto"/>
          <w:kern w:val="2"/>
          <w:sz w:val="24"/>
          <w:szCs w:val="24"/>
          <w:highlight w:val="none"/>
        </w:rPr>
        <w:br w:type="page"/>
      </w:r>
      <w:bookmarkEnd w:id="109"/>
    </w:p>
    <w:p w14:paraId="35F5F5AE">
      <w:pPr>
        <w:spacing w:line="360" w:lineRule="auto"/>
        <w:jc w:val="center"/>
        <w:outlineLvl w:val="1"/>
        <w:rPr>
          <w:rFonts w:hint="eastAsia" w:ascii="宋体" w:hAnsi="宋体" w:eastAsia="宋体" w:cs="宋体"/>
          <w:b/>
          <w:color w:val="auto"/>
          <w:sz w:val="24"/>
          <w:highlight w:val="none"/>
        </w:rPr>
      </w:pPr>
      <w:bookmarkStart w:id="110" w:name="_Toc31589"/>
      <w:bookmarkStart w:id="111" w:name="_Toc28359"/>
      <w:r>
        <w:rPr>
          <w:rFonts w:hint="eastAsia" w:ascii="宋体" w:hAnsi="宋体" w:eastAsia="宋体" w:cs="宋体"/>
          <w:b/>
          <w:color w:val="auto"/>
          <w:sz w:val="24"/>
          <w:highlight w:val="none"/>
          <w:lang w:val="en-US" w:eastAsia="zh-CN"/>
        </w:rPr>
        <w:t>九</w:t>
      </w:r>
      <w:r>
        <w:rPr>
          <w:rFonts w:hint="eastAsia" w:ascii="宋体" w:hAnsi="宋体" w:eastAsia="宋体" w:cs="宋体"/>
          <w:b/>
          <w:color w:val="auto"/>
          <w:sz w:val="24"/>
          <w:highlight w:val="none"/>
        </w:rPr>
        <w:t>、中小企业声明函</w:t>
      </w:r>
      <w:bookmarkEnd w:id="110"/>
      <w:bookmarkEnd w:id="111"/>
    </w:p>
    <w:p w14:paraId="331D9BE1">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本公司（联合体）郑重声明，根据《政府采购促进中小企业发展管理办法》（财库﹝2020﹞46号）的规定，本公司（联合体）参加</w:t>
      </w:r>
      <w:r>
        <w:rPr>
          <w:rFonts w:hint="eastAsia" w:ascii="宋体" w:hAnsi="宋体" w:eastAsia="宋体" w:cs="宋体"/>
          <w:color w:val="auto"/>
          <w:kern w:val="2"/>
          <w:sz w:val="24"/>
          <w:szCs w:val="24"/>
          <w:highlight w:val="none"/>
          <w:u w:val="single"/>
          <w:lang w:val="zh-CN"/>
        </w:rPr>
        <w:t>（单位</w:t>
      </w:r>
      <w:r>
        <w:rPr>
          <w:rFonts w:hint="eastAsia" w:ascii="宋体" w:hAnsi="宋体" w:eastAsia="宋体" w:cs="宋体"/>
          <w:color w:val="auto"/>
          <w:kern w:val="2"/>
          <w:sz w:val="24"/>
          <w:szCs w:val="24"/>
          <w:highlight w:val="none"/>
          <w:u w:val="single"/>
          <w:lang w:val="en-US" w:eastAsia="zh-CN"/>
        </w:rPr>
        <w:t>名称</w:t>
      </w:r>
      <w:r>
        <w:rPr>
          <w:rFonts w:hint="eastAsia" w:ascii="宋体" w:hAnsi="宋体" w:eastAsia="宋体" w:cs="宋体"/>
          <w:color w:val="auto"/>
          <w:kern w:val="2"/>
          <w:sz w:val="24"/>
          <w:szCs w:val="24"/>
          <w:highlight w:val="none"/>
          <w:u w:val="single"/>
          <w:lang w:val="zh-CN"/>
        </w:rPr>
        <w:t>）</w:t>
      </w:r>
      <w:r>
        <w:rPr>
          <w:rFonts w:hint="eastAsia" w:ascii="宋体" w:hAnsi="宋体" w:eastAsia="宋体" w:cs="宋体"/>
          <w:color w:val="auto"/>
          <w:kern w:val="2"/>
          <w:sz w:val="24"/>
          <w:szCs w:val="24"/>
          <w:highlight w:val="none"/>
          <w:lang w:val="zh-CN"/>
        </w:rPr>
        <w:t>的</w:t>
      </w:r>
      <w:r>
        <w:rPr>
          <w:rFonts w:hint="eastAsia" w:ascii="宋体" w:hAnsi="宋体" w:eastAsia="宋体" w:cs="宋体"/>
          <w:color w:val="auto"/>
          <w:kern w:val="2"/>
          <w:sz w:val="24"/>
          <w:szCs w:val="24"/>
          <w:highlight w:val="none"/>
          <w:u w:val="single"/>
          <w:lang w:val="zh-CN"/>
        </w:rPr>
        <w:t>（项目</w:t>
      </w:r>
      <w:r>
        <w:rPr>
          <w:rFonts w:hint="eastAsia" w:ascii="宋体" w:hAnsi="宋体" w:eastAsia="宋体" w:cs="宋体"/>
          <w:color w:val="auto"/>
          <w:kern w:val="2"/>
          <w:sz w:val="24"/>
          <w:szCs w:val="24"/>
          <w:highlight w:val="none"/>
          <w:u w:val="single"/>
          <w:lang w:val="en-US" w:eastAsia="zh-CN"/>
        </w:rPr>
        <w:t>名称</w:t>
      </w:r>
      <w:r>
        <w:rPr>
          <w:rFonts w:hint="eastAsia" w:ascii="宋体" w:hAnsi="宋体" w:eastAsia="宋体" w:cs="宋体"/>
          <w:color w:val="auto"/>
          <w:kern w:val="2"/>
          <w:sz w:val="24"/>
          <w:szCs w:val="24"/>
          <w:highlight w:val="none"/>
          <w:u w:val="single"/>
          <w:lang w:val="zh-CN"/>
        </w:rPr>
        <w:t>）</w:t>
      </w:r>
      <w:r>
        <w:rPr>
          <w:rFonts w:hint="eastAsia" w:ascii="宋体" w:hAnsi="宋体" w:eastAsia="宋体" w:cs="宋体"/>
          <w:color w:val="auto"/>
          <w:kern w:val="2"/>
          <w:sz w:val="24"/>
          <w:szCs w:val="24"/>
          <w:highlight w:val="none"/>
          <w:lang w:val="zh-CN"/>
        </w:rPr>
        <w:t xml:space="preserve">采购活动，工程的施工单位全部为符合政策要求的中小企业。相关企业（含联合体中的中小企业、签订分包意向协议的中小企业）的具体情况如下： </w:t>
      </w:r>
    </w:p>
    <w:p w14:paraId="0AA100FF">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1.</w:t>
      </w:r>
      <w:r>
        <w:rPr>
          <w:rFonts w:hint="eastAsia" w:ascii="宋体" w:hAnsi="宋体" w:eastAsia="宋体" w:cs="宋体"/>
          <w:color w:val="auto"/>
          <w:kern w:val="2"/>
          <w:sz w:val="24"/>
          <w:szCs w:val="24"/>
          <w:highlight w:val="none"/>
          <w:u w:val="single"/>
          <w:lang w:val="zh-CN"/>
        </w:rPr>
        <w:t xml:space="preserve"> （标的名称） </w:t>
      </w:r>
      <w:r>
        <w:rPr>
          <w:rFonts w:hint="eastAsia" w:ascii="宋体" w:hAnsi="宋体" w:eastAsia="宋体" w:cs="宋体"/>
          <w:color w:val="auto"/>
          <w:kern w:val="2"/>
          <w:sz w:val="24"/>
          <w:szCs w:val="24"/>
          <w:highlight w:val="none"/>
          <w:lang w:val="zh-CN"/>
        </w:rPr>
        <w:t>，属于</w:t>
      </w:r>
      <w:r>
        <w:rPr>
          <w:rFonts w:hint="eastAsia" w:ascii="宋体" w:hAnsi="宋体" w:eastAsia="宋体" w:cs="宋体"/>
          <w:color w:val="auto"/>
          <w:kern w:val="2"/>
          <w:sz w:val="24"/>
          <w:szCs w:val="24"/>
          <w:highlight w:val="none"/>
          <w:u w:val="single"/>
          <w:lang w:val="zh-CN"/>
        </w:rPr>
        <w:t>（采购文件中明确的所属行业）</w:t>
      </w:r>
      <w:r>
        <w:rPr>
          <w:rFonts w:hint="eastAsia" w:ascii="宋体" w:hAnsi="宋体" w:eastAsia="宋体" w:cs="宋体"/>
          <w:color w:val="auto"/>
          <w:kern w:val="2"/>
          <w:sz w:val="24"/>
          <w:szCs w:val="24"/>
          <w:highlight w:val="none"/>
          <w:lang w:val="zh-CN"/>
        </w:rPr>
        <w:t>行业；承建企业为</w:t>
      </w:r>
      <w:r>
        <w:rPr>
          <w:rFonts w:hint="eastAsia" w:ascii="宋体" w:hAnsi="宋体" w:eastAsia="宋体" w:cs="宋体"/>
          <w:color w:val="auto"/>
          <w:kern w:val="2"/>
          <w:sz w:val="24"/>
          <w:szCs w:val="24"/>
          <w:highlight w:val="none"/>
          <w:u w:val="single"/>
          <w:lang w:val="zh-CN"/>
        </w:rPr>
        <w:t>（企业名称）</w:t>
      </w:r>
      <w:r>
        <w:rPr>
          <w:rFonts w:hint="eastAsia" w:ascii="宋体" w:hAnsi="宋体" w:eastAsia="宋体" w:cs="宋体"/>
          <w:color w:val="auto"/>
          <w:kern w:val="2"/>
          <w:sz w:val="24"/>
          <w:szCs w:val="24"/>
          <w:highlight w:val="none"/>
          <w:lang w:val="zh-CN"/>
        </w:rPr>
        <w:t>，从业人员</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人，营业收入为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万元，资产总额为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万元，属于</w:t>
      </w:r>
      <w:r>
        <w:rPr>
          <w:rFonts w:hint="eastAsia" w:ascii="宋体" w:hAnsi="宋体" w:eastAsia="宋体" w:cs="宋体"/>
          <w:color w:val="auto"/>
          <w:kern w:val="2"/>
          <w:sz w:val="24"/>
          <w:szCs w:val="24"/>
          <w:highlight w:val="none"/>
          <w:u w:val="single"/>
          <w:lang w:val="zh-CN"/>
        </w:rPr>
        <w:t>（中型企业、小型企业、微型企业）</w:t>
      </w:r>
      <w:r>
        <w:rPr>
          <w:rFonts w:hint="eastAsia" w:ascii="宋体" w:hAnsi="宋体" w:eastAsia="宋体" w:cs="宋体"/>
          <w:color w:val="auto"/>
          <w:kern w:val="2"/>
          <w:sz w:val="24"/>
          <w:szCs w:val="24"/>
          <w:highlight w:val="none"/>
          <w:lang w:val="zh-CN"/>
        </w:rPr>
        <w:t xml:space="preserve">； </w:t>
      </w:r>
    </w:p>
    <w:p w14:paraId="112EE979">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2.</w:t>
      </w:r>
      <w:r>
        <w:rPr>
          <w:rFonts w:hint="eastAsia" w:ascii="宋体" w:hAnsi="宋体" w:eastAsia="宋体" w:cs="宋体"/>
          <w:color w:val="auto"/>
          <w:kern w:val="2"/>
          <w:sz w:val="24"/>
          <w:szCs w:val="24"/>
          <w:highlight w:val="none"/>
          <w:u w:val="single"/>
          <w:lang w:val="zh-CN"/>
        </w:rPr>
        <w:t xml:space="preserve"> （标的名称） </w:t>
      </w:r>
      <w:r>
        <w:rPr>
          <w:rFonts w:hint="eastAsia" w:ascii="宋体" w:hAnsi="宋体" w:eastAsia="宋体" w:cs="宋体"/>
          <w:color w:val="auto"/>
          <w:kern w:val="2"/>
          <w:sz w:val="24"/>
          <w:szCs w:val="24"/>
          <w:highlight w:val="none"/>
          <w:lang w:val="zh-CN"/>
        </w:rPr>
        <w:t>，属于</w:t>
      </w:r>
      <w:r>
        <w:rPr>
          <w:rFonts w:hint="eastAsia" w:ascii="宋体" w:hAnsi="宋体" w:eastAsia="宋体" w:cs="宋体"/>
          <w:color w:val="auto"/>
          <w:kern w:val="2"/>
          <w:sz w:val="24"/>
          <w:szCs w:val="24"/>
          <w:highlight w:val="none"/>
          <w:u w:val="single"/>
          <w:lang w:val="zh-CN"/>
        </w:rPr>
        <w:t>（采购文件中明确的所属行业）</w:t>
      </w:r>
      <w:r>
        <w:rPr>
          <w:rFonts w:hint="eastAsia" w:ascii="宋体" w:hAnsi="宋体" w:eastAsia="宋体" w:cs="宋体"/>
          <w:color w:val="auto"/>
          <w:kern w:val="2"/>
          <w:sz w:val="24"/>
          <w:szCs w:val="24"/>
          <w:highlight w:val="none"/>
          <w:lang w:val="zh-CN"/>
        </w:rPr>
        <w:t>行业；承建企业为</w:t>
      </w:r>
      <w:r>
        <w:rPr>
          <w:rFonts w:hint="eastAsia" w:ascii="宋体" w:hAnsi="宋体" w:eastAsia="宋体" w:cs="宋体"/>
          <w:color w:val="auto"/>
          <w:kern w:val="2"/>
          <w:sz w:val="24"/>
          <w:szCs w:val="24"/>
          <w:highlight w:val="none"/>
          <w:u w:val="single"/>
          <w:lang w:val="zh-CN"/>
        </w:rPr>
        <w:t>（企业名称）</w:t>
      </w:r>
      <w:r>
        <w:rPr>
          <w:rFonts w:hint="eastAsia" w:ascii="宋体" w:hAnsi="宋体" w:eastAsia="宋体" w:cs="宋体"/>
          <w:color w:val="auto"/>
          <w:kern w:val="2"/>
          <w:sz w:val="24"/>
          <w:szCs w:val="24"/>
          <w:highlight w:val="none"/>
          <w:lang w:val="zh-CN"/>
        </w:rPr>
        <w:t>，从业人员</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人，营业收入为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万元，资产总额为</w:t>
      </w:r>
      <w:r>
        <w:rPr>
          <w:rFonts w:hint="eastAsia" w:ascii="宋体" w:hAnsi="宋体" w:eastAsia="宋体" w:cs="宋体"/>
          <w:color w:val="auto"/>
          <w:kern w:val="2"/>
          <w:sz w:val="24"/>
          <w:szCs w:val="24"/>
          <w:highlight w:val="none"/>
          <w:u w:val="single"/>
          <w:lang w:val="zh-CN"/>
        </w:rPr>
        <w:t xml:space="preserve">     </w:t>
      </w:r>
      <w:r>
        <w:rPr>
          <w:rFonts w:hint="eastAsia" w:ascii="宋体" w:hAnsi="宋体" w:eastAsia="宋体" w:cs="宋体"/>
          <w:color w:val="auto"/>
          <w:kern w:val="2"/>
          <w:sz w:val="24"/>
          <w:szCs w:val="24"/>
          <w:highlight w:val="none"/>
          <w:lang w:val="zh-CN"/>
        </w:rPr>
        <w:t>万元，属于</w:t>
      </w:r>
      <w:r>
        <w:rPr>
          <w:rFonts w:hint="eastAsia" w:ascii="宋体" w:hAnsi="宋体" w:eastAsia="宋体" w:cs="宋体"/>
          <w:color w:val="auto"/>
          <w:kern w:val="2"/>
          <w:sz w:val="24"/>
          <w:szCs w:val="24"/>
          <w:highlight w:val="none"/>
          <w:u w:val="single"/>
          <w:lang w:val="zh-CN"/>
        </w:rPr>
        <w:t>（中型企业、小型企业、微型企业）</w:t>
      </w:r>
      <w:r>
        <w:rPr>
          <w:rFonts w:hint="eastAsia" w:ascii="宋体" w:hAnsi="宋体" w:eastAsia="宋体" w:cs="宋体"/>
          <w:color w:val="auto"/>
          <w:kern w:val="2"/>
          <w:sz w:val="24"/>
          <w:szCs w:val="24"/>
          <w:highlight w:val="none"/>
          <w:lang w:val="zh-CN"/>
        </w:rPr>
        <w:t xml:space="preserve">； </w:t>
      </w:r>
    </w:p>
    <w:p w14:paraId="5C4BFF72">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w:t>
      </w:r>
    </w:p>
    <w:p w14:paraId="37F4FB55">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以上企业，不属于大企业的分支机构，不存在控股股东为大企业的情形，也不存在与大企业的负责人为同一人的情形。</w:t>
      </w:r>
    </w:p>
    <w:p w14:paraId="20349A02">
      <w:pPr>
        <w:spacing w:line="360" w:lineRule="auto"/>
        <w:ind w:firstLine="435"/>
        <w:rPr>
          <w:rFonts w:hint="eastAsia" w:ascii="宋体" w:hAnsi="宋体" w:eastAsia="宋体" w:cs="宋体"/>
          <w:color w:val="auto"/>
          <w:kern w:val="2"/>
          <w:sz w:val="24"/>
          <w:szCs w:val="24"/>
          <w:highlight w:val="none"/>
          <w:lang w:val="zh-CN"/>
        </w:rPr>
      </w:pPr>
      <w:r>
        <w:rPr>
          <w:rFonts w:hint="eastAsia" w:ascii="宋体" w:hAnsi="宋体" w:eastAsia="宋体" w:cs="宋体"/>
          <w:color w:val="auto"/>
          <w:kern w:val="2"/>
          <w:sz w:val="24"/>
          <w:szCs w:val="24"/>
          <w:highlight w:val="none"/>
          <w:lang w:val="zh-CN"/>
        </w:rPr>
        <w:t xml:space="preserve">本企业对上述声明内容的真实性负责。如有虚假，将依法承担相应责任。 </w:t>
      </w:r>
    </w:p>
    <w:p w14:paraId="1FAD549F">
      <w:pPr>
        <w:spacing w:line="360" w:lineRule="auto"/>
        <w:rPr>
          <w:rFonts w:hint="eastAsia" w:ascii="宋体" w:hAnsi="宋体" w:eastAsia="宋体" w:cs="宋体"/>
          <w:color w:val="auto"/>
          <w:kern w:val="2"/>
          <w:sz w:val="24"/>
          <w:szCs w:val="24"/>
          <w:highlight w:val="none"/>
        </w:rPr>
      </w:pPr>
    </w:p>
    <w:p w14:paraId="270D8B4A">
      <w:pPr>
        <w:spacing w:line="360" w:lineRule="auto"/>
        <w:ind w:firstLine="4228" w:firstLineChars="176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供应商电子签章：</w:t>
      </w:r>
      <w:r>
        <w:rPr>
          <w:rFonts w:hint="eastAsia" w:ascii="宋体" w:hAnsi="宋体" w:eastAsia="宋体" w:cs="宋体"/>
          <w:color w:val="auto"/>
          <w:kern w:val="2"/>
          <w:sz w:val="24"/>
          <w:szCs w:val="24"/>
          <w:highlight w:val="none"/>
          <w:u w:val="single"/>
        </w:rPr>
        <w:t xml:space="preserve">             </w:t>
      </w:r>
    </w:p>
    <w:p w14:paraId="20529A6F">
      <w:pPr>
        <w:tabs>
          <w:tab w:val="left" w:pos="4620"/>
        </w:tabs>
        <w:spacing w:line="360" w:lineRule="auto"/>
        <w:ind w:firstLine="4252" w:firstLineChars="177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2772BB9B">
      <w:pPr>
        <w:tabs>
          <w:tab w:val="left" w:pos="4620"/>
        </w:tabs>
        <w:spacing w:line="360" w:lineRule="auto"/>
        <w:jc w:val="left"/>
        <w:rPr>
          <w:rFonts w:hint="eastAsia" w:ascii="宋体" w:hAnsi="宋体" w:eastAsia="宋体" w:cs="宋体"/>
          <w:b/>
          <w:color w:val="auto"/>
          <w:kern w:val="2"/>
          <w:sz w:val="21"/>
          <w:szCs w:val="24"/>
          <w:highlight w:val="none"/>
          <w:lang w:eastAsia="zh-CN"/>
        </w:rPr>
      </w:pPr>
      <w:r>
        <w:rPr>
          <w:rFonts w:hint="eastAsia" w:ascii="宋体" w:hAnsi="宋体" w:eastAsia="宋体" w:cs="宋体"/>
          <w:b/>
          <w:color w:val="auto"/>
          <w:kern w:val="2"/>
          <w:sz w:val="21"/>
          <w:szCs w:val="24"/>
          <w:highlight w:val="none"/>
          <w:lang w:eastAsia="zh-CN"/>
        </w:rPr>
        <w:t>注：</w:t>
      </w:r>
    </w:p>
    <w:p w14:paraId="0670F9EA">
      <w:pPr>
        <w:tabs>
          <w:tab w:val="left" w:pos="4620"/>
        </w:tabs>
        <w:spacing w:line="360" w:lineRule="auto"/>
        <w:jc w:val="left"/>
        <w:rPr>
          <w:rFonts w:hint="eastAsia" w:ascii="宋体" w:hAnsi="宋体" w:eastAsia="宋体" w:cs="宋体"/>
          <w:color w:val="auto"/>
          <w:kern w:val="2"/>
          <w:sz w:val="21"/>
          <w:szCs w:val="24"/>
          <w:highlight w:val="none"/>
        </w:rPr>
      </w:pPr>
      <w:r>
        <w:rPr>
          <w:rFonts w:hint="eastAsia" w:ascii="宋体" w:hAnsi="宋体" w:eastAsia="宋体" w:cs="宋体"/>
          <w:color w:val="auto"/>
          <w:kern w:val="2"/>
          <w:sz w:val="21"/>
          <w:szCs w:val="24"/>
          <w:highlight w:val="none"/>
        </w:rPr>
        <w:t>1.从业人员、营业收入、资产总额填报上一年数据，无上一年数据的新成立企业可不填报。</w:t>
      </w:r>
    </w:p>
    <w:p w14:paraId="236C90C9">
      <w:pPr>
        <w:tabs>
          <w:tab w:val="left" w:pos="4620"/>
        </w:tabs>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rPr>
        <w:t>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color w:val="auto"/>
          <w:kern w:val="2"/>
          <w:sz w:val="21"/>
          <w:szCs w:val="21"/>
          <w:highlight w:val="none"/>
          <w:lang w:val="zh-CN"/>
        </w:rPr>
        <w:t>如有虚假，将依法承担相应责任。</w:t>
      </w:r>
      <w:r>
        <w:rPr>
          <w:rFonts w:hint="eastAsia" w:ascii="宋体" w:hAnsi="宋体" w:eastAsia="宋体" w:cs="宋体"/>
          <w:b/>
          <w:bCs/>
          <w:color w:val="auto"/>
          <w:kern w:val="2"/>
          <w:sz w:val="21"/>
          <w:szCs w:val="21"/>
          <w:highlight w:val="none"/>
        </w:rPr>
        <w:t>供应商自行登录工业和信息化部官网进行中小企业规模类型自测（查询网址https://www.miit.gov.cn/）。</w:t>
      </w:r>
    </w:p>
    <w:p w14:paraId="02DB3303">
      <w:pPr>
        <w:tabs>
          <w:tab w:val="left" w:pos="4620"/>
        </w:tabs>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3.上述“</w:t>
      </w:r>
      <w:r>
        <w:rPr>
          <w:rFonts w:hint="eastAsia" w:ascii="宋体" w:hAnsi="宋体" w:eastAsia="宋体" w:cs="宋体"/>
          <w:b/>
          <w:bCs/>
          <w:color w:val="auto"/>
          <w:kern w:val="2"/>
          <w:sz w:val="21"/>
          <w:szCs w:val="21"/>
          <w:highlight w:val="none"/>
          <w:u w:val="single"/>
          <w:lang w:val="zh-CN"/>
        </w:rPr>
        <w:t>标的名称</w:t>
      </w:r>
      <w:r>
        <w:rPr>
          <w:rFonts w:hint="eastAsia" w:ascii="宋体" w:hAnsi="宋体" w:eastAsia="宋体" w:cs="宋体"/>
          <w:b/>
          <w:bCs/>
          <w:color w:val="auto"/>
          <w:kern w:val="2"/>
          <w:sz w:val="21"/>
          <w:szCs w:val="21"/>
          <w:highlight w:val="none"/>
        </w:rPr>
        <w:t>”，详见第三章采购需求前附表中明确的“标的名称”。</w:t>
      </w:r>
    </w:p>
    <w:p w14:paraId="13CCEFE0">
      <w:pPr>
        <w:tabs>
          <w:tab w:val="left" w:pos="4620"/>
        </w:tabs>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4.上述“</w:t>
      </w:r>
      <w:r>
        <w:rPr>
          <w:rFonts w:hint="eastAsia" w:ascii="宋体" w:hAnsi="宋体" w:eastAsia="宋体" w:cs="宋体"/>
          <w:b/>
          <w:bCs/>
          <w:color w:val="auto"/>
          <w:kern w:val="2"/>
          <w:sz w:val="21"/>
          <w:szCs w:val="21"/>
          <w:highlight w:val="none"/>
          <w:u w:val="single"/>
        </w:rPr>
        <w:t>采购文件中明确的所属行业</w:t>
      </w:r>
      <w:r>
        <w:rPr>
          <w:rFonts w:hint="eastAsia" w:ascii="宋体" w:hAnsi="宋体" w:eastAsia="宋体" w:cs="宋体"/>
          <w:b/>
          <w:bCs/>
          <w:color w:val="auto"/>
          <w:kern w:val="2"/>
          <w:sz w:val="21"/>
          <w:szCs w:val="21"/>
          <w:highlight w:val="none"/>
        </w:rPr>
        <w:t>”，详见第三章采购需求前附表中明确的“所属行业”。</w:t>
      </w:r>
    </w:p>
    <w:p w14:paraId="55284CD8">
      <w:pPr>
        <w:tabs>
          <w:tab w:val="left" w:pos="4620"/>
        </w:tabs>
        <w:spacing w:line="360" w:lineRule="auto"/>
        <w:jc w:val="left"/>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rPr>
        <w:t>5．</w:t>
      </w:r>
      <w:r>
        <w:rPr>
          <w:rFonts w:hint="eastAsia" w:ascii="宋体" w:hAnsi="宋体" w:eastAsia="宋体" w:cs="宋体"/>
          <w:b/>
          <w:bCs/>
          <w:color w:val="auto"/>
          <w:szCs w:val="21"/>
          <w:highlight w:val="none"/>
        </w:rPr>
        <w:t>填写示例：</w:t>
      </w:r>
      <w:r>
        <w:rPr>
          <w:rFonts w:hint="eastAsia" w:ascii="宋体" w:hAnsi="宋体" w:eastAsia="宋体" w:cs="宋体"/>
          <w:b/>
          <w:bCs/>
          <w:color w:val="auto"/>
          <w:szCs w:val="21"/>
          <w:highlight w:val="none"/>
          <w:u w:val="single"/>
        </w:rPr>
        <w:t>某标的名称</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u w:val="single"/>
        </w:rPr>
        <w:t>填写第三章采购需求前附表中明确的“标的名称”</w:t>
      </w:r>
      <w:r>
        <w:rPr>
          <w:rFonts w:hint="eastAsia" w:ascii="宋体" w:hAnsi="宋体" w:eastAsia="宋体" w:cs="宋体"/>
          <w:b/>
          <w:bCs/>
          <w:color w:val="auto"/>
          <w:szCs w:val="21"/>
          <w:highlight w:val="none"/>
        </w:rPr>
        <w:t>），属于</w:t>
      </w:r>
      <w:r>
        <w:rPr>
          <w:rFonts w:hint="eastAsia" w:ascii="宋体" w:hAnsi="宋体" w:eastAsia="宋体" w:cs="宋体"/>
          <w:b/>
          <w:bCs/>
          <w:color w:val="auto"/>
          <w:szCs w:val="21"/>
          <w:highlight w:val="none"/>
          <w:u w:val="single"/>
        </w:rPr>
        <w:t>（填写第三章采购需求前附表中明确的“所属行业”，如建筑业）</w:t>
      </w:r>
      <w:r>
        <w:rPr>
          <w:rFonts w:hint="eastAsia" w:ascii="宋体" w:hAnsi="宋体" w:eastAsia="宋体" w:cs="宋体"/>
          <w:b/>
          <w:bCs/>
          <w:color w:val="auto"/>
          <w:szCs w:val="21"/>
          <w:highlight w:val="none"/>
        </w:rPr>
        <w:t>行业；承接企业为</w:t>
      </w:r>
      <w:r>
        <w:rPr>
          <w:rFonts w:hint="eastAsia" w:ascii="宋体" w:hAnsi="宋体" w:eastAsia="宋体" w:cs="宋体"/>
          <w:b/>
          <w:bCs/>
          <w:color w:val="auto"/>
          <w:szCs w:val="21"/>
          <w:highlight w:val="none"/>
          <w:u w:val="single"/>
          <w:lang w:val="zh-CN"/>
        </w:rPr>
        <w:t>某公司</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从业人员</w:t>
      </w:r>
      <w:r>
        <w:rPr>
          <w:rFonts w:hint="eastAsia" w:ascii="宋体" w:hAnsi="宋体" w:eastAsia="宋体" w:cs="宋体"/>
          <w:b/>
          <w:bCs/>
          <w:color w:val="auto"/>
          <w:szCs w:val="21"/>
          <w:highlight w:val="none"/>
          <w:u w:val="single"/>
        </w:rPr>
        <w:t>100</w:t>
      </w:r>
      <w:r>
        <w:rPr>
          <w:rFonts w:hint="eastAsia" w:ascii="宋体" w:hAnsi="宋体" w:eastAsia="宋体" w:cs="宋体"/>
          <w:b/>
          <w:bCs/>
          <w:color w:val="auto"/>
          <w:szCs w:val="21"/>
          <w:highlight w:val="none"/>
          <w:lang w:val="zh-CN"/>
        </w:rPr>
        <w:t>人</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营业收入为</w:t>
      </w:r>
      <w:r>
        <w:rPr>
          <w:rFonts w:hint="eastAsia" w:ascii="宋体" w:hAnsi="宋体" w:eastAsia="宋体" w:cs="宋体"/>
          <w:b/>
          <w:bCs/>
          <w:color w:val="auto"/>
          <w:szCs w:val="21"/>
          <w:highlight w:val="none"/>
          <w:u w:val="single"/>
        </w:rPr>
        <w:t>10000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资产总额为</w:t>
      </w:r>
      <w:r>
        <w:rPr>
          <w:rFonts w:hint="eastAsia" w:ascii="宋体" w:hAnsi="宋体" w:eastAsia="宋体" w:cs="宋体"/>
          <w:b/>
          <w:bCs/>
          <w:color w:val="auto"/>
          <w:szCs w:val="21"/>
          <w:highlight w:val="none"/>
          <w:u w:val="single"/>
        </w:rPr>
        <w:t>5000</w:t>
      </w:r>
      <w:r>
        <w:rPr>
          <w:rFonts w:hint="eastAsia" w:ascii="宋体" w:hAnsi="宋体" w:eastAsia="宋体" w:cs="宋体"/>
          <w:b/>
          <w:bCs/>
          <w:color w:val="auto"/>
          <w:szCs w:val="21"/>
          <w:highlight w:val="none"/>
          <w:lang w:val="zh-CN"/>
        </w:rPr>
        <w:t>万元</w:t>
      </w:r>
      <w:r>
        <w:rPr>
          <w:rFonts w:hint="eastAsia" w:ascii="宋体" w:hAnsi="宋体" w:eastAsia="宋体" w:cs="宋体"/>
          <w:b/>
          <w:bCs/>
          <w:color w:val="auto"/>
          <w:szCs w:val="21"/>
          <w:highlight w:val="none"/>
        </w:rPr>
        <w:t>，</w:t>
      </w:r>
      <w:r>
        <w:rPr>
          <w:rFonts w:hint="eastAsia" w:ascii="宋体" w:hAnsi="宋体" w:eastAsia="宋体" w:cs="宋体"/>
          <w:b/>
          <w:bCs/>
          <w:color w:val="auto"/>
          <w:szCs w:val="21"/>
          <w:highlight w:val="none"/>
          <w:lang w:val="zh-CN"/>
        </w:rPr>
        <w:t>属于</w:t>
      </w:r>
      <w:r>
        <w:rPr>
          <w:rFonts w:hint="eastAsia" w:ascii="宋体" w:hAnsi="宋体" w:eastAsia="宋体" w:cs="宋体"/>
          <w:b/>
          <w:bCs/>
          <w:color w:val="auto"/>
          <w:szCs w:val="21"/>
          <w:highlight w:val="none"/>
        </w:rPr>
        <w:t>中</w:t>
      </w:r>
      <w:r>
        <w:rPr>
          <w:rFonts w:hint="eastAsia" w:ascii="宋体" w:hAnsi="宋体" w:eastAsia="宋体" w:cs="宋体"/>
          <w:b/>
          <w:bCs/>
          <w:color w:val="auto"/>
          <w:szCs w:val="21"/>
          <w:highlight w:val="none"/>
          <w:u w:val="single"/>
          <w:lang w:val="zh-CN"/>
        </w:rPr>
        <w:t>型</w:t>
      </w:r>
      <w:r>
        <w:rPr>
          <w:rFonts w:hint="eastAsia" w:ascii="宋体" w:hAnsi="宋体" w:eastAsia="宋体" w:cs="宋体"/>
          <w:b/>
          <w:bCs/>
          <w:color w:val="auto"/>
          <w:szCs w:val="21"/>
          <w:highlight w:val="none"/>
          <w:lang w:val="zh-CN"/>
        </w:rPr>
        <w:t>企业</w:t>
      </w:r>
      <w:r>
        <w:rPr>
          <w:rFonts w:hint="eastAsia" w:ascii="宋体" w:hAnsi="宋体" w:eastAsia="宋体" w:cs="宋体"/>
          <w:b/>
          <w:bCs/>
          <w:color w:val="auto"/>
          <w:szCs w:val="21"/>
          <w:highlight w:val="none"/>
        </w:rPr>
        <w:t>[供应商自行登录工业和信息化部官网进行中小企业规模类型自测（查询网址https://www.miit.gov.cn/）]</w:t>
      </w:r>
      <w:r>
        <w:rPr>
          <w:rFonts w:hint="eastAsia" w:ascii="宋体" w:hAnsi="宋体" w:eastAsia="宋体" w:cs="宋体"/>
          <w:b/>
          <w:bCs/>
          <w:color w:val="auto"/>
          <w:kern w:val="2"/>
          <w:sz w:val="21"/>
          <w:szCs w:val="21"/>
          <w:highlight w:val="none"/>
          <w:lang w:val="zh-CN"/>
        </w:rPr>
        <w:t>。</w:t>
      </w:r>
    </w:p>
    <w:p w14:paraId="334F5A51">
      <w:pPr>
        <w:spacing w:line="360" w:lineRule="auto"/>
        <w:jc w:val="center"/>
        <w:outlineLvl w:val="1"/>
        <w:rPr>
          <w:rFonts w:hint="eastAsia" w:ascii="宋体" w:hAnsi="宋体" w:eastAsia="宋体" w:cs="宋体"/>
          <w:b/>
          <w:color w:val="auto"/>
          <w:sz w:val="24"/>
          <w:highlight w:val="none"/>
        </w:rPr>
      </w:pPr>
      <w:bookmarkStart w:id="112" w:name="_Toc17154"/>
      <w:bookmarkStart w:id="113" w:name="_Toc17813"/>
      <w:r>
        <w:rPr>
          <w:rFonts w:hint="eastAsia" w:ascii="宋体" w:hAnsi="宋体" w:eastAsia="宋体" w:cs="宋体"/>
          <w:b/>
          <w:color w:val="auto"/>
          <w:sz w:val="24"/>
          <w:highlight w:val="none"/>
        </w:rPr>
        <w:t>十、残疾人福利性单位声明函</w:t>
      </w:r>
      <w:bookmarkEnd w:id="112"/>
      <w:bookmarkEnd w:id="113"/>
    </w:p>
    <w:p w14:paraId="5451EECD">
      <w:pPr>
        <w:pStyle w:val="19"/>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val="0"/>
          <w:i/>
          <w:color w:val="auto"/>
          <w:sz w:val="24"/>
          <w:highlight w:val="none"/>
          <w:lang w:val="en-US" w:eastAsia="zh-CN"/>
        </w:rPr>
      </w:pPr>
      <w:r>
        <w:rPr>
          <w:rFonts w:hint="eastAsia" w:ascii="宋体" w:hAnsi="宋体" w:eastAsia="宋体" w:cs="宋体"/>
          <w:b w:val="0"/>
          <w:i/>
          <w:color w:val="auto"/>
          <w:sz w:val="24"/>
          <w:highlight w:val="none"/>
          <w:lang w:val="en-US" w:eastAsia="zh-CN"/>
        </w:rPr>
        <w:t>（非残疾人福利性单位磋商，请删去“残疾人福利性单位声明函”）</w:t>
      </w:r>
    </w:p>
    <w:p w14:paraId="0E4E9133">
      <w:pPr>
        <w:spacing w:line="360" w:lineRule="auto"/>
        <w:ind w:firstLine="435"/>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本单位</w:t>
      </w:r>
      <w:r>
        <w:rPr>
          <w:rFonts w:hint="eastAsia" w:ascii="宋体" w:hAnsi="宋体" w:eastAsia="宋体" w:cs="宋体"/>
          <w:color w:val="auto"/>
          <w:kern w:val="2"/>
          <w:sz w:val="24"/>
          <w:szCs w:val="22"/>
          <w:highlight w:val="none"/>
        </w:rPr>
        <w:t>郑重</w:t>
      </w:r>
      <w:r>
        <w:rPr>
          <w:rFonts w:hint="eastAsia" w:ascii="宋体" w:hAnsi="宋体" w:eastAsia="宋体" w:cs="宋体"/>
          <w:color w:val="auto"/>
          <w:spacing w:val="6"/>
          <w:kern w:val="2"/>
          <w:sz w:val="24"/>
          <w:szCs w:val="24"/>
          <w:highlight w:val="none"/>
        </w:rPr>
        <w:t>声明，根据《财政部 民政部 中国残疾人联合会关于促进残疾人就业政府采购政策的通知》（财库</w:t>
      </w:r>
      <w:r>
        <w:rPr>
          <w:rFonts w:hint="eastAsia" w:ascii="宋体" w:hAnsi="宋体" w:eastAsia="宋体" w:cs="宋体"/>
          <w:color w:val="auto"/>
          <w:kern w:val="2"/>
          <w:sz w:val="24"/>
          <w:szCs w:val="24"/>
          <w:highlight w:val="none"/>
        </w:rPr>
        <w:t>〔2017〕141</w:t>
      </w:r>
      <w:r>
        <w:rPr>
          <w:rFonts w:hint="eastAsia" w:ascii="宋体" w:hAnsi="宋体" w:eastAsia="宋体" w:cs="宋体"/>
          <w:color w:val="auto"/>
          <w:spacing w:val="6"/>
          <w:kern w:val="2"/>
          <w:sz w:val="24"/>
          <w:szCs w:val="24"/>
          <w:highlight w:val="none"/>
        </w:rPr>
        <w:t>号）的规定，</w:t>
      </w:r>
      <w:r>
        <w:rPr>
          <w:rFonts w:hint="eastAsia" w:ascii="宋体" w:hAnsi="宋体" w:eastAsia="宋体" w:cs="宋体"/>
          <w:color w:val="auto"/>
          <w:spacing w:val="6"/>
          <w:sz w:val="24"/>
          <w:szCs w:val="24"/>
          <w:highlight w:val="none"/>
        </w:rPr>
        <w:t>本单位为</w:t>
      </w:r>
      <w:r>
        <w:rPr>
          <w:rFonts w:hint="eastAsia" w:ascii="宋体" w:hAnsi="宋体" w:eastAsia="宋体" w:cs="宋体"/>
          <w:bCs/>
          <w:color w:val="auto"/>
          <w:sz w:val="24"/>
          <w:szCs w:val="24"/>
          <w:highlight w:val="none"/>
        </w:rPr>
        <w:t>符合</w:t>
      </w:r>
      <w:r>
        <w:rPr>
          <w:rFonts w:hint="eastAsia" w:ascii="宋体" w:hAnsi="宋体" w:eastAsia="宋体" w:cs="宋体"/>
          <w:color w:val="auto"/>
          <w:spacing w:val="6"/>
          <w:sz w:val="24"/>
          <w:szCs w:val="24"/>
          <w:highlight w:val="none"/>
        </w:rPr>
        <w:t>条件的残疾人福利性单位，且本单位参加</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pacing w:val="6"/>
          <w:sz w:val="24"/>
          <w:szCs w:val="24"/>
          <w:highlight w:val="none"/>
          <w:u w:val="single"/>
        </w:rPr>
        <w:t xml:space="preserve">      </w:t>
      </w:r>
      <w:r>
        <w:rPr>
          <w:rFonts w:hint="eastAsia" w:ascii="宋体" w:hAnsi="宋体" w:eastAsia="宋体" w:cs="宋体"/>
          <w:color w:val="auto"/>
          <w:spacing w:val="6"/>
          <w:sz w:val="24"/>
          <w:szCs w:val="24"/>
          <w:highlight w:val="none"/>
        </w:rPr>
        <w:t>项目采购活动提供本单位制造的货物</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lang w:val="en-US" w:eastAsia="zh-CN"/>
        </w:rPr>
        <w:t>由本单位承担工程/提供服务</w:t>
      </w:r>
      <w:r>
        <w:rPr>
          <w:rFonts w:hint="eastAsia" w:ascii="宋体" w:hAnsi="宋体" w:eastAsia="宋体" w:cs="宋体"/>
          <w:color w:val="auto"/>
          <w:spacing w:val="6"/>
          <w:sz w:val="24"/>
          <w:szCs w:val="24"/>
          <w:highlight w:val="none"/>
          <w:lang w:eastAsia="zh-CN"/>
        </w:rPr>
        <w:t>）</w:t>
      </w:r>
      <w:r>
        <w:rPr>
          <w:rFonts w:hint="eastAsia" w:ascii="宋体" w:hAnsi="宋体" w:eastAsia="宋体" w:cs="宋体"/>
          <w:color w:val="auto"/>
          <w:spacing w:val="6"/>
          <w:sz w:val="24"/>
          <w:szCs w:val="24"/>
          <w:highlight w:val="none"/>
        </w:rPr>
        <w:t>，或者提供其他残疾人福利性单位制造的货物（不包括使用非残疾人福利性单位注册商标的货物）。</w:t>
      </w:r>
    </w:p>
    <w:p w14:paraId="36342A80">
      <w:pPr>
        <w:spacing w:line="360" w:lineRule="auto"/>
        <w:ind w:firstLine="435"/>
        <w:rPr>
          <w:rFonts w:hint="eastAsia" w:ascii="宋体" w:hAnsi="宋体" w:eastAsia="宋体" w:cs="宋体"/>
          <w:color w:val="auto"/>
          <w:spacing w:val="6"/>
          <w:kern w:val="2"/>
          <w:sz w:val="24"/>
          <w:szCs w:val="24"/>
          <w:highlight w:val="none"/>
        </w:rPr>
      </w:pPr>
      <w:r>
        <w:rPr>
          <w:rFonts w:hint="eastAsia" w:ascii="宋体" w:hAnsi="宋体" w:eastAsia="宋体" w:cs="宋体"/>
          <w:color w:val="auto"/>
          <w:spacing w:val="6"/>
          <w:kern w:val="2"/>
          <w:sz w:val="24"/>
          <w:szCs w:val="24"/>
          <w:highlight w:val="none"/>
        </w:rPr>
        <w:t>本单位对上述声明的真实性负责。如有虚假，将依法承担相应责任。</w:t>
      </w:r>
    </w:p>
    <w:p w14:paraId="10F47A31">
      <w:pPr>
        <w:spacing w:line="360" w:lineRule="auto"/>
        <w:ind w:firstLine="4228" w:firstLineChars="1762"/>
        <w:rPr>
          <w:rFonts w:hint="eastAsia" w:ascii="宋体" w:hAnsi="宋体" w:eastAsia="宋体" w:cs="宋体"/>
          <w:color w:val="auto"/>
          <w:kern w:val="2"/>
          <w:sz w:val="24"/>
          <w:szCs w:val="24"/>
          <w:highlight w:val="none"/>
        </w:rPr>
      </w:pPr>
    </w:p>
    <w:p w14:paraId="6059FDCE">
      <w:pPr>
        <w:spacing w:line="360" w:lineRule="auto"/>
        <w:ind w:firstLine="4228" w:firstLineChars="1762"/>
        <w:rPr>
          <w:rFonts w:hint="eastAsia" w:ascii="宋体" w:hAnsi="宋体" w:eastAsia="宋体" w:cs="宋体"/>
          <w:color w:val="auto"/>
          <w:kern w:val="2"/>
          <w:sz w:val="24"/>
          <w:szCs w:val="24"/>
          <w:highlight w:val="none"/>
        </w:rPr>
      </w:pPr>
    </w:p>
    <w:p w14:paraId="39EB465B">
      <w:pPr>
        <w:spacing w:line="360" w:lineRule="auto"/>
        <w:ind w:firstLine="4228" w:firstLineChars="176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供应商电子签章：</w:t>
      </w:r>
      <w:r>
        <w:rPr>
          <w:rFonts w:hint="eastAsia" w:ascii="宋体" w:hAnsi="宋体" w:eastAsia="宋体" w:cs="宋体"/>
          <w:color w:val="auto"/>
          <w:kern w:val="2"/>
          <w:sz w:val="24"/>
          <w:szCs w:val="24"/>
          <w:highlight w:val="none"/>
          <w:u w:val="single"/>
        </w:rPr>
        <w:t xml:space="preserve">             </w:t>
      </w:r>
    </w:p>
    <w:p w14:paraId="0AA656A0">
      <w:pPr>
        <w:tabs>
          <w:tab w:val="left" w:pos="4620"/>
        </w:tabs>
        <w:spacing w:line="360" w:lineRule="auto"/>
        <w:ind w:firstLine="4252" w:firstLineChars="1772"/>
        <w:rPr>
          <w:rFonts w:hint="eastAsia" w:ascii="宋体" w:hAnsi="宋体" w:eastAsia="宋体" w:cs="宋体"/>
          <w:color w:val="auto"/>
          <w:kern w:val="2"/>
          <w:sz w:val="24"/>
          <w:szCs w:val="24"/>
          <w:highlight w:val="none"/>
          <w:u w:val="single"/>
        </w:rPr>
      </w:pPr>
      <w:r>
        <w:rPr>
          <w:rFonts w:hint="eastAsia" w:ascii="宋体" w:hAnsi="宋体" w:eastAsia="宋体" w:cs="宋体"/>
          <w:color w:val="auto"/>
          <w:kern w:val="2"/>
          <w:sz w:val="24"/>
          <w:szCs w:val="24"/>
          <w:highlight w:val="none"/>
        </w:rPr>
        <w:t>日          期：</w:t>
      </w:r>
      <w:r>
        <w:rPr>
          <w:rFonts w:hint="eastAsia" w:ascii="宋体" w:hAnsi="宋体" w:eastAsia="宋体" w:cs="宋体"/>
          <w:color w:val="auto"/>
          <w:kern w:val="2"/>
          <w:sz w:val="24"/>
          <w:szCs w:val="24"/>
          <w:highlight w:val="none"/>
          <w:u w:val="single"/>
        </w:rPr>
        <w:t xml:space="preserve">             </w:t>
      </w:r>
    </w:p>
    <w:p w14:paraId="160B8D3A">
      <w:pPr>
        <w:widowControl/>
        <w:jc w:val="left"/>
        <w:rPr>
          <w:rFonts w:hint="eastAsia" w:ascii="宋体" w:hAnsi="宋体" w:eastAsia="宋体" w:cs="宋体"/>
          <w:color w:val="auto"/>
          <w:sz w:val="24"/>
          <w:highlight w:val="none"/>
        </w:rPr>
      </w:pPr>
      <w:r>
        <w:rPr>
          <w:rFonts w:hint="eastAsia" w:ascii="宋体" w:hAnsi="宋体" w:eastAsia="宋体" w:cs="宋体"/>
          <w:color w:val="auto"/>
          <w:sz w:val="24"/>
          <w:highlight w:val="none"/>
        </w:rPr>
        <w:br w:type="page"/>
      </w:r>
    </w:p>
    <w:p w14:paraId="7489F3E6">
      <w:pPr>
        <w:spacing w:line="360" w:lineRule="auto"/>
        <w:jc w:val="center"/>
        <w:outlineLvl w:val="1"/>
        <w:rPr>
          <w:rFonts w:hint="eastAsia" w:ascii="宋体" w:hAnsi="宋体" w:eastAsia="宋体" w:cs="宋体"/>
          <w:b/>
          <w:color w:val="auto"/>
          <w:sz w:val="24"/>
          <w:highlight w:val="none"/>
        </w:rPr>
      </w:pPr>
      <w:bookmarkStart w:id="114" w:name="_Toc17768"/>
      <w:bookmarkStart w:id="115" w:name="_Toc26894"/>
      <w:bookmarkStart w:id="116" w:name="_Hlk44283088"/>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一</w:t>
      </w:r>
      <w:r>
        <w:rPr>
          <w:rFonts w:hint="eastAsia" w:ascii="宋体" w:hAnsi="宋体" w:eastAsia="宋体" w:cs="宋体"/>
          <w:b/>
          <w:color w:val="auto"/>
          <w:sz w:val="24"/>
          <w:highlight w:val="none"/>
        </w:rPr>
        <w:t>、诚信履约承诺函</w:t>
      </w:r>
      <w:bookmarkEnd w:id="114"/>
      <w:bookmarkEnd w:id="115"/>
    </w:p>
    <w:p w14:paraId="021AAC48">
      <w:pPr>
        <w:spacing w:line="360" w:lineRule="auto"/>
        <w:rPr>
          <w:rFonts w:hint="eastAsia" w:ascii="宋体" w:hAnsi="宋体" w:eastAsia="宋体" w:cs="宋体"/>
          <w:b/>
          <w:bCs/>
          <w:color w:val="auto"/>
          <w:kern w:val="2"/>
          <w:sz w:val="24"/>
          <w:highlight w:val="none"/>
        </w:rPr>
      </w:pPr>
    </w:p>
    <w:p w14:paraId="640930EA">
      <w:pPr>
        <w:spacing w:line="360" w:lineRule="auto"/>
        <w:rPr>
          <w:rFonts w:hint="eastAsia" w:ascii="宋体" w:hAnsi="宋体" w:eastAsia="宋体" w:cs="宋体"/>
          <w:b/>
          <w:bCs/>
          <w:color w:val="auto"/>
          <w:kern w:val="2"/>
          <w:sz w:val="24"/>
          <w:highlight w:val="none"/>
          <w:u w:val="single"/>
          <w:lang w:eastAsia="zh-CN"/>
        </w:rPr>
      </w:pPr>
      <w:r>
        <w:rPr>
          <w:rFonts w:hint="eastAsia" w:ascii="宋体" w:hAnsi="宋体" w:eastAsia="宋体" w:cs="宋体"/>
          <w:b/>
          <w:bCs/>
          <w:color w:val="auto"/>
          <w:kern w:val="2"/>
          <w:sz w:val="24"/>
          <w:highlight w:val="none"/>
          <w:u w:val="single"/>
        </w:rPr>
        <w:t>致：</w:t>
      </w:r>
      <w:r>
        <w:rPr>
          <w:rFonts w:hint="eastAsia" w:ascii="宋体" w:hAnsi="宋体" w:eastAsia="宋体" w:cs="宋体"/>
          <w:b/>
          <w:bCs/>
          <w:color w:val="auto"/>
          <w:kern w:val="2"/>
          <w:sz w:val="24"/>
          <w:highlight w:val="none"/>
          <w:u w:val="single"/>
          <w:lang w:eastAsia="zh-CN"/>
        </w:rPr>
        <w:t>滁州市公路管理服务中心</w:t>
      </w:r>
    </w:p>
    <w:p w14:paraId="010A17BA">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1B580467">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（1）中标或者成交后无正当理由拒不与采购人签订政府采购合同；</w:t>
      </w:r>
    </w:p>
    <w:p w14:paraId="5F5C22B3">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（2）未按照采购文件确定的事项签订政府采购合同；</w:t>
      </w:r>
    </w:p>
    <w:p w14:paraId="1F4D8E4E">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（3）将政府采购合同转包；</w:t>
      </w:r>
    </w:p>
    <w:p w14:paraId="32597C4A">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（4）提供假冒伪劣产品；</w:t>
      </w:r>
    </w:p>
    <w:p w14:paraId="62057605">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（5）擅自变更、中止或者终止政府采购合同。</w:t>
      </w:r>
    </w:p>
    <w:p w14:paraId="220724E5">
      <w:pPr>
        <w:spacing w:line="360" w:lineRule="auto"/>
        <w:ind w:firstLine="480" w:firstLineChars="2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22FE5B77">
      <w:pPr>
        <w:spacing w:line="360" w:lineRule="auto"/>
        <w:rPr>
          <w:rFonts w:hint="eastAsia" w:ascii="宋体" w:hAnsi="宋体" w:eastAsia="宋体" w:cs="宋体"/>
          <w:bCs/>
          <w:color w:val="auto"/>
          <w:kern w:val="2"/>
          <w:sz w:val="24"/>
          <w:highlight w:val="none"/>
        </w:rPr>
      </w:pPr>
    </w:p>
    <w:p w14:paraId="185F8750">
      <w:pPr>
        <w:spacing w:line="360" w:lineRule="auto"/>
        <w:rPr>
          <w:rFonts w:hint="eastAsia" w:ascii="宋体" w:hAnsi="宋体" w:eastAsia="宋体" w:cs="宋体"/>
          <w:bCs/>
          <w:color w:val="auto"/>
          <w:kern w:val="2"/>
          <w:sz w:val="24"/>
          <w:highlight w:val="none"/>
        </w:rPr>
      </w:pPr>
    </w:p>
    <w:p w14:paraId="103AD1E8">
      <w:pPr>
        <w:spacing w:line="360" w:lineRule="auto"/>
        <w:ind w:firstLine="4320" w:firstLineChars="1800"/>
        <w:rPr>
          <w:rFonts w:hint="eastAsia" w:ascii="宋体" w:hAnsi="宋体" w:eastAsia="宋体" w:cs="宋体"/>
          <w:bCs/>
          <w:color w:val="auto"/>
          <w:kern w:val="2"/>
          <w:sz w:val="24"/>
          <w:highlight w:val="none"/>
          <w:u w:val="single"/>
        </w:rPr>
      </w:pPr>
      <w:r>
        <w:rPr>
          <w:rFonts w:hint="eastAsia" w:ascii="宋体" w:hAnsi="宋体" w:eastAsia="宋体" w:cs="宋体"/>
          <w:bCs/>
          <w:color w:val="auto"/>
          <w:kern w:val="2"/>
          <w:sz w:val="24"/>
          <w:highlight w:val="none"/>
        </w:rPr>
        <w:t>供应商电子签章：</w:t>
      </w:r>
      <w:r>
        <w:rPr>
          <w:rFonts w:hint="eastAsia" w:ascii="宋体" w:hAnsi="宋体" w:eastAsia="宋体" w:cs="宋体"/>
          <w:bCs/>
          <w:color w:val="auto"/>
          <w:kern w:val="2"/>
          <w:sz w:val="24"/>
          <w:highlight w:val="none"/>
          <w:u w:val="single"/>
        </w:rPr>
        <w:t xml:space="preserve">             </w:t>
      </w:r>
    </w:p>
    <w:p w14:paraId="4EF609EA">
      <w:pPr>
        <w:spacing w:line="360" w:lineRule="auto"/>
        <w:ind w:firstLine="4320" w:firstLineChars="1800"/>
        <w:rPr>
          <w:rFonts w:hint="eastAsia" w:ascii="宋体" w:hAnsi="宋体" w:eastAsia="宋体" w:cs="宋体"/>
          <w:bCs/>
          <w:color w:val="auto"/>
          <w:kern w:val="2"/>
          <w:sz w:val="24"/>
          <w:highlight w:val="none"/>
        </w:rPr>
      </w:pPr>
      <w:r>
        <w:rPr>
          <w:rFonts w:hint="eastAsia" w:ascii="宋体" w:hAnsi="宋体" w:eastAsia="宋体" w:cs="宋体"/>
          <w:bCs/>
          <w:color w:val="auto"/>
          <w:kern w:val="2"/>
          <w:sz w:val="24"/>
          <w:highlight w:val="none"/>
        </w:rPr>
        <w:t>日          期：</w:t>
      </w:r>
      <w:r>
        <w:rPr>
          <w:rFonts w:hint="eastAsia" w:ascii="宋体" w:hAnsi="宋体" w:eastAsia="宋体" w:cs="宋体"/>
          <w:bCs/>
          <w:color w:val="auto"/>
          <w:kern w:val="2"/>
          <w:sz w:val="24"/>
          <w:highlight w:val="none"/>
          <w:u w:val="single"/>
        </w:rPr>
        <w:t xml:space="preserve">             </w:t>
      </w:r>
    </w:p>
    <w:p w14:paraId="33BC77A2">
      <w:pPr>
        <w:widowControl/>
        <w:jc w:val="left"/>
        <w:rPr>
          <w:rFonts w:hint="eastAsia" w:ascii="宋体" w:hAnsi="宋体" w:eastAsia="宋体" w:cs="宋体"/>
          <w:b/>
          <w:color w:val="auto"/>
          <w:sz w:val="24"/>
          <w:highlight w:val="none"/>
        </w:rPr>
      </w:pPr>
      <w:r>
        <w:rPr>
          <w:rFonts w:hint="eastAsia" w:ascii="宋体" w:hAnsi="宋体" w:eastAsia="宋体" w:cs="宋体"/>
          <w:b/>
          <w:color w:val="auto"/>
          <w:sz w:val="24"/>
          <w:highlight w:val="none"/>
        </w:rPr>
        <w:br w:type="page"/>
      </w:r>
    </w:p>
    <w:bookmarkEnd w:id="116"/>
    <w:p w14:paraId="625B688A">
      <w:pPr>
        <w:spacing w:line="360" w:lineRule="auto"/>
        <w:jc w:val="center"/>
        <w:outlineLvl w:val="1"/>
        <w:rPr>
          <w:rFonts w:hint="eastAsia" w:ascii="宋体" w:hAnsi="宋体" w:eastAsia="宋体" w:cs="宋体"/>
          <w:b/>
          <w:color w:val="auto"/>
          <w:sz w:val="24"/>
          <w:highlight w:val="none"/>
        </w:rPr>
      </w:pPr>
      <w:bookmarkStart w:id="117" w:name="_Toc28645"/>
      <w:bookmarkStart w:id="118" w:name="_Toc8176"/>
      <w:r>
        <w:rPr>
          <w:rFonts w:hint="eastAsia" w:ascii="宋体" w:hAnsi="宋体" w:eastAsia="宋体" w:cs="宋体"/>
          <w:b/>
          <w:color w:val="auto"/>
          <w:sz w:val="24"/>
          <w:highlight w:val="none"/>
        </w:rPr>
        <w:t>十</w:t>
      </w:r>
      <w:r>
        <w:rPr>
          <w:rFonts w:hint="eastAsia" w:ascii="宋体" w:hAnsi="宋体" w:eastAsia="宋体" w:cs="宋体"/>
          <w:b/>
          <w:color w:val="auto"/>
          <w:sz w:val="24"/>
          <w:highlight w:val="none"/>
          <w:lang w:val="en-US" w:eastAsia="zh-CN"/>
        </w:rPr>
        <w:t>二</w:t>
      </w:r>
      <w:r>
        <w:rPr>
          <w:rFonts w:hint="eastAsia" w:ascii="宋体" w:hAnsi="宋体" w:eastAsia="宋体" w:cs="宋体"/>
          <w:b/>
          <w:color w:val="auto"/>
          <w:sz w:val="24"/>
          <w:highlight w:val="none"/>
        </w:rPr>
        <w:t>、其他相关证明材料</w:t>
      </w:r>
      <w:bookmarkEnd w:id="117"/>
      <w:bookmarkEnd w:id="118"/>
    </w:p>
    <w:p w14:paraId="0F5F5D6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提供符合</w:t>
      </w:r>
      <w:r>
        <w:rPr>
          <w:rFonts w:hint="eastAsia" w:ascii="宋体" w:hAnsi="宋体" w:eastAsia="宋体" w:cs="宋体"/>
          <w:color w:val="auto"/>
          <w:sz w:val="24"/>
          <w:highlight w:val="none"/>
          <w:lang w:val="en-US" w:eastAsia="zh-CN"/>
        </w:rPr>
        <w:t>磋商</w:t>
      </w:r>
      <w:r>
        <w:rPr>
          <w:rFonts w:hint="eastAsia" w:ascii="宋体" w:hAnsi="宋体" w:eastAsia="宋体" w:cs="宋体"/>
          <w:color w:val="auto"/>
          <w:sz w:val="24"/>
          <w:highlight w:val="none"/>
        </w:rPr>
        <w:t>邀请、采购需求及评标方法和标准规定的相关证明文件。</w:t>
      </w:r>
    </w:p>
    <w:p w14:paraId="366AEA29">
      <w:pPr>
        <w:spacing w:line="360" w:lineRule="auto"/>
        <w:ind w:firstLine="480" w:firstLineChars="200"/>
        <w:rPr>
          <w:rFonts w:hint="eastAsia" w:ascii="宋体" w:hAnsi="宋体" w:eastAsia="宋体" w:cs="宋体"/>
          <w:color w:val="auto"/>
          <w:sz w:val="24"/>
          <w:highlight w:val="none"/>
        </w:rPr>
      </w:pPr>
    </w:p>
    <w:p w14:paraId="2FF1B1C8">
      <w:pPr>
        <w:spacing w:line="360" w:lineRule="auto"/>
        <w:ind w:firstLine="435"/>
        <w:rPr>
          <w:rFonts w:hint="eastAsia" w:ascii="宋体" w:hAnsi="宋体" w:eastAsia="宋体" w:cs="宋体"/>
          <w:b/>
          <w:color w:val="auto"/>
          <w:sz w:val="24"/>
          <w:highlight w:val="none"/>
        </w:rPr>
      </w:pPr>
      <w:r>
        <w:rPr>
          <w:rFonts w:hint="eastAsia" w:ascii="宋体" w:hAnsi="宋体" w:eastAsia="宋体" w:cs="宋体"/>
          <w:b/>
          <w:color w:val="auto"/>
          <w:sz w:val="24"/>
          <w:highlight w:val="none"/>
        </w:rPr>
        <w:t>特别提示：</w:t>
      </w:r>
    </w:p>
    <w:p w14:paraId="48DB970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供应商在响应文件制作时可在此栏内上传磋商文件要求上传的证明资料，如营业执照、证书等，应将上述证明材料制作成扫描件上传。</w:t>
      </w:r>
    </w:p>
    <w:p w14:paraId="6B14E233">
      <w:pPr>
        <w:pStyle w:val="50"/>
        <w:spacing w:before="0" w:beforeAutospacing="0" w:after="0" w:afterAutospacing="0" w:line="360" w:lineRule="auto"/>
        <w:ind w:firstLine="640"/>
        <w:jc w:val="both"/>
        <w:rPr>
          <w:rFonts w:hint="eastAsia" w:ascii="宋体" w:hAnsi="宋体" w:eastAsia="宋体" w:cs="宋体"/>
          <w:color w:val="auto"/>
          <w:highlight w:val="none"/>
        </w:rPr>
      </w:pPr>
      <w:r>
        <w:rPr>
          <w:rFonts w:hint="eastAsia" w:ascii="宋体" w:hAnsi="宋体" w:eastAsia="宋体" w:cs="宋体"/>
          <w:color w:val="auto"/>
          <w:sz w:val="24"/>
          <w:highlight w:val="none"/>
        </w:rPr>
        <w:br w:type="page"/>
      </w:r>
    </w:p>
    <w:p w14:paraId="2B4D6F56">
      <w:pPr>
        <w:widowControl/>
        <w:jc w:val="center"/>
        <w:outlineLvl w:val="0"/>
        <w:rPr>
          <w:rFonts w:hint="eastAsia" w:ascii="宋体" w:hAnsi="宋体" w:eastAsia="宋体" w:cs="宋体"/>
          <w:b/>
          <w:bCs/>
          <w:color w:val="auto"/>
          <w:sz w:val="28"/>
          <w:highlight w:val="none"/>
        </w:rPr>
      </w:pPr>
      <w:r>
        <w:rPr>
          <w:rFonts w:hint="eastAsia" w:ascii="宋体" w:hAnsi="宋体" w:eastAsia="宋体" w:cs="宋体"/>
          <w:b/>
          <w:bCs/>
          <w:color w:val="auto"/>
          <w:sz w:val="28"/>
          <w:highlight w:val="none"/>
        </w:rPr>
        <w:t>第</w:t>
      </w:r>
      <w:r>
        <w:rPr>
          <w:rFonts w:hint="eastAsia" w:ascii="宋体" w:hAnsi="宋体" w:eastAsia="宋体" w:cs="宋体"/>
          <w:b/>
          <w:bCs/>
          <w:color w:val="auto"/>
          <w:sz w:val="28"/>
          <w:highlight w:val="none"/>
          <w:lang w:val="en-US" w:eastAsia="zh-CN"/>
        </w:rPr>
        <w:t>七</w:t>
      </w:r>
      <w:r>
        <w:rPr>
          <w:rFonts w:hint="eastAsia" w:ascii="宋体" w:hAnsi="宋体" w:eastAsia="宋体" w:cs="宋体"/>
          <w:b/>
          <w:bCs/>
          <w:color w:val="auto"/>
          <w:sz w:val="28"/>
          <w:highlight w:val="none"/>
        </w:rPr>
        <w:t>章  政府采购</w:t>
      </w:r>
      <w:r>
        <w:rPr>
          <w:rFonts w:hint="eastAsia" w:ascii="宋体" w:hAnsi="宋体" w:eastAsia="宋体" w:cs="宋体"/>
          <w:b/>
          <w:color w:val="auto"/>
          <w:sz w:val="28"/>
          <w:highlight w:val="none"/>
        </w:rPr>
        <w:t>供应</w:t>
      </w:r>
      <w:r>
        <w:rPr>
          <w:rFonts w:hint="eastAsia" w:ascii="宋体" w:hAnsi="宋体" w:eastAsia="宋体" w:cs="宋体"/>
          <w:b/>
          <w:bCs/>
          <w:color w:val="auto"/>
          <w:sz w:val="28"/>
          <w:highlight w:val="none"/>
        </w:rPr>
        <w:t>商询问函和质疑函范本</w:t>
      </w:r>
      <w:bookmarkEnd w:id="74"/>
    </w:p>
    <w:p w14:paraId="42657914">
      <w:pPr>
        <w:spacing w:line="360" w:lineRule="auto"/>
        <w:jc w:val="center"/>
        <w:outlineLvl w:val="1"/>
        <w:rPr>
          <w:rFonts w:hint="eastAsia" w:ascii="宋体" w:hAnsi="宋体" w:eastAsia="宋体" w:cs="宋体"/>
          <w:b/>
          <w:bCs/>
          <w:color w:val="auto"/>
          <w:sz w:val="32"/>
          <w:szCs w:val="44"/>
          <w:highlight w:val="none"/>
        </w:rPr>
      </w:pPr>
      <w:bookmarkStart w:id="119" w:name="_Toc26448"/>
      <w:bookmarkStart w:id="120" w:name="_Toc2290"/>
      <w:r>
        <w:rPr>
          <w:rFonts w:hint="eastAsia" w:ascii="宋体" w:hAnsi="宋体" w:eastAsia="宋体" w:cs="宋体"/>
          <w:b/>
          <w:bCs/>
          <w:color w:val="auto"/>
          <w:sz w:val="32"/>
          <w:szCs w:val="44"/>
          <w:highlight w:val="none"/>
        </w:rPr>
        <w:t>询问函范本</w:t>
      </w:r>
      <w:bookmarkEnd w:id="119"/>
      <w:bookmarkEnd w:id="120"/>
    </w:p>
    <w:p w14:paraId="002F0EFF">
      <w:pPr>
        <w:adjustRightInd w:val="0"/>
        <w:snapToGrid w:val="0"/>
        <w:spacing w:line="360" w:lineRule="auto"/>
        <w:ind w:firstLine="480" w:firstLineChars="200"/>
        <w:jc w:val="center"/>
        <w:rPr>
          <w:rFonts w:hint="eastAsia" w:ascii="宋体" w:hAnsi="宋体" w:eastAsia="宋体" w:cs="宋体"/>
          <w:b/>
          <w:bCs/>
          <w:color w:val="auto"/>
          <w:sz w:val="32"/>
          <w:szCs w:val="44"/>
          <w:highlight w:val="none"/>
        </w:rPr>
      </w:pPr>
      <w:r>
        <w:rPr>
          <w:rFonts w:hint="eastAsia" w:ascii="宋体" w:hAnsi="宋体" w:eastAsia="宋体" w:cs="宋体"/>
          <w:i/>
          <w:iCs/>
          <w:color w:val="auto"/>
          <w:sz w:val="24"/>
          <w:szCs w:val="24"/>
          <w:highlight w:val="none"/>
        </w:rPr>
        <w:t>（如为对采购文件或采购程序的询问或疑问，请按询问函范本或电子交易系统中网上询问格式附件进行提交）</w:t>
      </w:r>
    </w:p>
    <w:p w14:paraId="517F390F">
      <w:pPr>
        <w:adjustRightInd w:val="0"/>
        <w:snapToGrid w:val="0"/>
        <w:spacing w:line="360"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highlight w:val="none"/>
          <w:lang w:val="en-US" w:eastAsia="zh-CN"/>
        </w:rPr>
        <w:t>致：</w:t>
      </w:r>
      <w:r>
        <w:rPr>
          <w:rFonts w:hint="eastAsia" w:ascii="宋体" w:hAnsi="宋体" w:eastAsia="宋体" w:cs="宋体"/>
          <w:color w:val="auto"/>
          <w:sz w:val="24"/>
          <w:szCs w:val="24"/>
          <w:highlight w:val="none"/>
          <w:lang w:eastAsia="zh-CN"/>
        </w:rPr>
        <w:t>采购人</w:t>
      </w:r>
    </w:p>
    <w:p w14:paraId="4C7FF6A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rPr>
        <w:t>我单位拟参与</w:t>
      </w:r>
      <w:r>
        <w:rPr>
          <w:rFonts w:hint="eastAsia" w:ascii="宋体" w:hAnsi="宋体" w:eastAsia="宋体" w:cs="宋体"/>
          <w:color w:val="auto"/>
          <w:sz w:val="24"/>
          <w:szCs w:val="24"/>
          <w:u w:val="single"/>
          <w:lang w:val="en-US" w:eastAsia="zh-CN"/>
        </w:rPr>
        <w:t xml:space="preserve">           </w:t>
      </w:r>
      <w:r>
        <w:rPr>
          <w:rFonts w:hint="eastAsia" w:ascii="宋体" w:hAnsi="宋体" w:eastAsia="宋体" w:cs="宋体"/>
          <w:color w:val="auto"/>
          <w:sz w:val="24"/>
          <w:szCs w:val="24"/>
          <w:u w:val="none"/>
          <w:lang w:val="en-US" w:eastAsia="zh-CN"/>
        </w:rPr>
        <w:t>（</w:t>
      </w:r>
      <w:r>
        <w:rPr>
          <w:rFonts w:hint="eastAsia" w:ascii="宋体" w:hAnsi="宋体" w:eastAsia="宋体" w:cs="宋体"/>
          <w:i/>
          <w:iCs/>
          <w:color w:val="auto"/>
          <w:sz w:val="24"/>
          <w:szCs w:val="24"/>
          <w:u w:val="none"/>
          <w:lang w:val="en-US" w:eastAsia="zh-CN"/>
        </w:rPr>
        <w:t>项目名称、编号</w:t>
      </w:r>
      <w:r>
        <w:rPr>
          <w:rFonts w:hint="eastAsia" w:ascii="宋体" w:hAnsi="宋体" w:eastAsia="宋体" w:cs="宋体"/>
          <w:color w:val="auto"/>
          <w:sz w:val="24"/>
          <w:szCs w:val="24"/>
          <w:u w:val="none"/>
          <w:lang w:val="en-US" w:eastAsia="zh-CN"/>
        </w:rPr>
        <w:t>）</w:t>
      </w:r>
      <w:r>
        <w:rPr>
          <w:rFonts w:hint="eastAsia" w:ascii="宋体" w:hAnsi="宋体" w:eastAsia="宋体" w:cs="宋体"/>
          <w:color w:val="auto"/>
          <w:sz w:val="24"/>
          <w:szCs w:val="24"/>
        </w:rPr>
        <w:t>的采购活动，现有以下内容(或条款)存在疑问(或无法理解)，</w:t>
      </w:r>
      <w:r>
        <w:rPr>
          <w:rFonts w:hint="eastAsia" w:ascii="宋体" w:hAnsi="宋体" w:eastAsia="宋体" w:cs="宋体"/>
          <w:color w:val="auto"/>
          <w:sz w:val="24"/>
          <w:szCs w:val="24"/>
          <w:highlight w:val="none"/>
        </w:rPr>
        <w:t>特提出询问。</w:t>
      </w:r>
    </w:p>
    <w:p w14:paraId="3445B1F4">
      <w:pPr>
        <w:adjustRightInd w:val="0"/>
        <w:snapToGrid w:val="0"/>
        <w:spacing w:line="360" w:lineRule="auto"/>
        <w:ind w:firstLine="480" w:firstLineChars="200"/>
        <w:outlineLvl w:val="1"/>
        <w:rPr>
          <w:rFonts w:hint="eastAsia" w:ascii="宋体" w:hAnsi="宋体" w:eastAsia="宋体" w:cs="宋体"/>
          <w:color w:val="auto"/>
          <w:sz w:val="24"/>
          <w:szCs w:val="24"/>
          <w:highlight w:val="none"/>
        </w:rPr>
      </w:pPr>
      <w:bookmarkStart w:id="121" w:name="_Toc14234"/>
      <w:bookmarkStart w:id="122" w:name="_Toc32070"/>
      <w:r>
        <w:rPr>
          <w:rFonts w:hint="eastAsia" w:ascii="宋体" w:hAnsi="宋体" w:eastAsia="宋体" w:cs="宋体"/>
          <w:color w:val="auto"/>
          <w:sz w:val="24"/>
          <w:szCs w:val="24"/>
          <w:highlight w:val="none"/>
        </w:rPr>
        <w:t>一、(事项一)</w:t>
      </w:r>
      <w:bookmarkEnd w:id="121"/>
      <w:bookmarkEnd w:id="122"/>
    </w:p>
    <w:p w14:paraId="366DE112">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1、(内容或条款)</w:t>
      </w:r>
    </w:p>
    <w:p w14:paraId="37DDFBE9">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2、(说明疑问或无法理解原因)</w:t>
      </w:r>
    </w:p>
    <w:p w14:paraId="6B281EE8">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3、(建议)</w:t>
      </w:r>
    </w:p>
    <w:p w14:paraId="57B3806F">
      <w:pPr>
        <w:adjustRightInd w:val="0"/>
        <w:snapToGrid w:val="0"/>
        <w:spacing w:line="360" w:lineRule="auto"/>
        <w:ind w:firstLine="480" w:firstLineChars="200"/>
        <w:outlineLvl w:val="1"/>
        <w:rPr>
          <w:rFonts w:hint="eastAsia" w:ascii="宋体" w:hAnsi="宋体" w:eastAsia="宋体" w:cs="宋体"/>
          <w:color w:val="auto"/>
          <w:sz w:val="24"/>
          <w:szCs w:val="24"/>
          <w:highlight w:val="none"/>
        </w:rPr>
      </w:pPr>
      <w:bookmarkStart w:id="123" w:name="_Toc16507"/>
      <w:bookmarkStart w:id="124" w:name="_Toc6489"/>
      <w:r>
        <w:rPr>
          <w:rFonts w:hint="eastAsia" w:ascii="宋体" w:hAnsi="宋体" w:eastAsia="宋体" w:cs="宋体"/>
          <w:color w:val="auto"/>
          <w:sz w:val="24"/>
          <w:szCs w:val="24"/>
          <w:highlight w:val="none"/>
        </w:rPr>
        <w:t>二、(事项二)</w:t>
      </w:r>
      <w:bookmarkEnd w:id="123"/>
      <w:bookmarkEnd w:id="124"/>
    </w:p>
    <w:p w14:paraId="43A38326">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57546FA">
      <w:pPr>
        <w:adjustRightInd w:val="0"/>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随附相关证明材料如下： </w:t>
      </w:r>
    </w:p>
    <w:p w14:paraId="0F237C14">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 系 人：</w:t>
      </w:r>
      <w:r>
        <w:rPr>
          <w:rFonts w:hint="eastAsia" w:ascii="宋体" w:hAnsi="宋体" w:eastAsia="宋体" w:cs="宋体"/>
          <w:color w:val="auto"/>
          <w:sz w:val="24"/>
          <w:highlight w:val="none"/>
          <w:u w:val="single"/>
        </w:rPr>
        <w:t xml:space="preserve">              </w:t>
      </w:r>
    </w:p>
    <w:p w14:paraId="569556C8">
      <w:pPr>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联系电话：</w:t>
      </w:r>
      <w:r>
        <w:rPr>
          <w:rFonts w:hint="eastAsia" w:ascii="宋体" w:hAnsi="宋体" w:eastAsia="宋体" w:cs="宋体"/>
          <w:color w:val="auto"/>
          <w:sz w:val="24"/>
          <w:highlight w:val="none"/>
          <w:u w:val="single"/>
        </w:rPr>
        <w:t xml:space="preserve">              </w:t>
      </w:r>
    </w:p>
    <w:p w14:paraId="02984E87">
      <w:pPr>
        <w:tabs>
          <w:tab w:val="left" w:pos="630"/>
        </w:tabs>
        <w:spacing w:line="360" w:lineRule="auto"/>
        <w:ind w:firstLine="4228" w:firstLineChars="1762"/>
        <w:rPr>
          <w:rFonts w:hint="eastAsia" w:ascii="宋体" w:hAnsi="宋体" w:eastAsia="宋体" w:cs="宋体"/>
          <w:color w:val="auto"/>
          <w:sz w:val="24"/>
          <w:highlight w:val="none"/>
          <w:u w:val="single"/>
        </w:rPr>
      </w:pPr>
      <w:r>
        <w:rPr>
          <w:rFonts w:hint="eastAsia" w:ascii="宋体" w:hAnsi="宋体" w:eastAsia="宋体" w:cs="宋体"/>
          <w:color w:val="auto"/>
          <w:sz w:val="24"/>
          <w:highlight w:val="none"/>
        </w:rPr>
        <w:t>日    期：</w:t>
      </w:r>
      <w:r>
        <w:rPr>
          <w:rFonts w:hint="eastAsia" w:ascii="宋体" w:hAnsi="宋体" w:eastAsia="宋体" w:cs="宋体"/>
          <w:color w:val="auto"/>
          <w:sz w:val="24"/>
          <w:highlight w:val="none"/>
          <w:u w:val="single"/>
        </w:rPr>
        <w:t xml:space="preserve">              </w:t>
      </w:r>
    </w:p>
    <w:p w14:paraId="1DF58694">
      <w:pPr>
        <w:rPr>
          <w:rFonts w:hint="eastAsia" w:ascii="宋体" w:hAnsi="宋体" w:eastAsia="宋体" w:cs="宋体"/>
          <w:b/>
          <w:color w:val="auto"/>
          <w:sz w:val="52"/>
          <w:highlight w:val="none"/>
        </w:rPr>
      </w:pPr>
      <w:r>
        <w:rPr>
          <w:rFonts w:hint="eastAsia" w:ascii="宋体" w:hAnsi="宋体" w:eastAsia="宋体" w:cs="宋体"/>
          <w:b/>
          <w:bCs/>
          <w:color w:val="auto"/>
          <w:sz w:val="32"/>
          <w:szCs w:val="44"/>
          <w:highlight w:val="none"/>
        </w:rPr>
        <w:br w:type="page"/>
      </w:r>
    </w:p>
    <w:p w14:paraId="052CBBA1">
      <w:pPr>
        <w:jc w:val="center"/>
        <w:outlineLvl w:val="1"/>
        <w:rPr>
          <w:rFonts w:hint="eastAsia" w:ascii="宋体" w:hAnsi="宋体" w:eastAsia="宋体" w:cs="宋体"/>
          <w:b/>
          <w:bCs/>
          <w:color w:val="auto"/>
          <w:sz w:val="32"/>
          <w:szCs w:val="44"/>
          <w:highlight w:val="none"/>
        </w:rPr>
      </w:pPr>
      <w:bookmarkStart w:id="125" w:name="_Toc26224"/>
      <w:bookmarkStart w:id="126" w:name="_Toc4923"/>
      <w:r>
        <w:rPr>
          <w:rFonts w:hint="eastAsia" w:ascii="宋体" w:hAnsi="宋体" w:eastAsia="宋体" w:cs="宋体"/>
          <w:b/>
          <w:bCs/>
          <w:color w:val="auto"/>
          <w:sz w:val="32"/>
          <w:szCs w:val="44"/>
          <w:highlight w:val="none"/>
        </w:rPr>
        <w:t>质疑函范本</w:t>
      </w:r>
      <w:bookmarkEnd w:id="125"/>
      <w:bookmarkEnd w:id="126"/>
    </w:p>
    <w:p w14:paraId="513451D0">
      <w:pPr>
        <w:adjustRightInd w:val="0"/>
        <w:snapToGrid w:val="0"/>
        <w:spacing w:before="312" w:beforeLines="100" w:line="360" w:lineRule="auto"/>
        <w:outlineLvl w:val="1"/>
        <w:rPr>
          <w:rFonts w:hint="eastAsia" w:ascii="宋体" w:hAnsi="宋体" w:eastAsia="宋体" w:cs="宋体"/>
          <w:b/>
          <w:bCs/>
          <w:color w:val="auto"/>
          <w:sz w:val="24"/>
          <w:szCs w:val="24"/>
          <w:highlight w:val="none"/>
        </w:rPr>
      </w:pPr>
      <w:bookmarkStart w:id="127" w:name="_Toc3847"/>
      <w:bookmarkStart w:id="128" w:name="_Toc10663"/>
      <w:r>
        <w:rPr>
          <w:rFonts w:hint="eastAsia" w:ascii="宋体" w:hAnsi="宋体" w:eastAsia="宋体" w:cs="宋体"/>
          <w:b/>
          <w:bCs/>
          <w:color w:val="auto"/>
          <w:sz w:val="24"/>
          <w:szCs w:val="24"/>
          <w:highlight w:val="none"/>
        </w:rPr>
        <w:t>一、质疑供应商基本信息</w:t>
      </w:r>
      <w:bookmarkEnd w:id="127"/>
      <w:bookmarkEnd w:id="128"/>
    </w:p>
    <w:p w14:paraId="738C661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质疑供应商：</w:t>
      </w:r>
      <w:r>
        <w:rPr>
          <w:rFonts w:hint="eastAsia" w:ascii="宋体" w:hAnsi="宋体" w:eastAsia="宋体" w:cs="宋体"/>
          <w:color w:val="auto"/>
          <w:sz w:val="24"/>
          <w:szCs w:val="24"/>
          <w:highlight w:val="none"/>
          <w:u w:val="dotted"/>
        </w:rPr>
        <w:t xml:space="preserve">                                        </w:t>
      </w:r>
    </w:p>
    <w:p w14:paraId="36C202A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地址：</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7254FE6C">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联系人：</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16A69A6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u w:val="dotted"/>
        </w:rPr>
        <w:t xml:space="preserve">                                          </w:t>
      </w:r>
    </w:p>
    <w:p w14:paraId="3FE7AC5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联系电话：</w:t>
      </w:r>
      <w:r>
        <w:rPr>
          <w:rFonts w:hint="eastAsia" w:ascii="宋体" w:hAnsi="宋体" w:eastAsia="宋体" w:cs="宋体"/>
          <w:color w:val="auto"/>
          <w:sz w:val="24"/>
          <w:szCs w:val="24"/>
          <w:highlight w:val="none"/>
          <w:u w:val="dotted"/>
        </w:rPr>
        <w:t xml:space="preserve">                                          </w:t>
      </w:r>
    </w:p>
    <w:p w14:paraId="4B80D36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邮编：</w:t>
      </w:r>
      <w:r>
        <w:rPr>
          <w:rFonts w:hint="eastAsia" w:ascii="宋体" w:hAnsi="宋体" w:eastAsia="宋体" w:cs="宋体"/>
          <w:color w:val="auto"/>
          <w:sz w:val="24"/>
          <w:szCs w:val="24"/>
          <w:highlight w:val="none"/>
          <w:u w:val="dotted"/>
        </w:rPr>
        <w:t xml:space="preserve">               </w:t>
      </w:r>
    </w:p>
    <w:p w14:paraId="1A2D1717">
      <w:pPr>
        <w:adjustRightInd w:val="0"/>
        <w:snapToGrid w:val="0"/>
        <w:spacing w:line="360" w:lineRule="auto"/>
        <w:outlineLvl w:val="1"/>
        <w:rPr>
          <w:rFonts w:hint="eastAsia" w:ascii="宋体" w:hAnsi="宋体" w:eastAsia="宋体" w:cs="宋体"/>
          <w:b/>
          <w:bCs/>
          <w:color w:val="auto"/>
          <w:sz w:val="24"/>
          <w:szCs w:val="24"/>
          <w:highlight w:val="none"/>
        </w:rPr>
      </w:pPr>
      <w:bookmarkStart w:id="129" w:name="_Toc19182"/>
      <w:bookmarkStart w:id="130" w:name="_Toc30012"/>
      <w:r>
        <w:rPr>
          <w:rFonts w:hint="eastAsia" w:ascii="宋体" w:hAnsi="宋体" w:eastAsia="宋体" w:cs="宋体"/>
          <w:b/>
          <w:bCs/>
          <w:color w:val="auto"/>
          <w:sz w:val="24"/>
          <w:szCs w:val="24"/>
          <w:highlight w:val="none"/>
        </w:rPr>
        <w:t>二、质疑项目基本情况</w:t>
      </w:r>
      <w:bookmarkEnd w:id="129"/>
      <w:bookmarkEnd w:id="130"/>
    </w:p>
    <w:p w14:paraId="24D46779">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质疑项目的名称：</w:t>
      </w:r>
      <w:r>
        <w:rPr>
          <w:rFonts w:hint="eastAsia" w:ascii="宋体" w:hAnsi="宋体" w:eastAsia="宋体" w:cs="宋体"/>
          <w:color w:val="auto"/>
          <w:sz w:val="24"/>
          <w:szCs w:val="24"/>
          <w:highlight w:val="none"/>
          <w:u w:val="dotted"/>
        </w:rPr>
        <w:t xml:space="preserve">                                    </w:t>
      </w:r>
    </w:p>
    <w:p w14:paraId="086AFE8F">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质疑项目的编号：</w:t>
      </w:r>
      <w:r>
        <w:rPr>
          <w:rFonts w:hint="eastAsia" w:ascii="宋体" w:hAnsi="宋体" w:eastAsia="宋体" w:cs="宋体"/>
          <w:color w:val="auto"/>
          <w:sz w:val="24"/>
          <w:szCs w:val="24"/>
          <w:highlight w:val="none"/>
          <w:u w:val="dotted"/>
        </w:rPr>
        <w:t xml:space="preserve">               </w:t>
      </w:r>
      <w:r>
        <w:rPr>
          <w:rFonts w:hint="eastAsia" w:ascii="宋体" w:hAnsi="宋体" w:eastAsia="宋体" w:cs="宋体"/>
          <w:color w:val="auto"/>
          <w:sz w:val="24"/>
          <w:szCs w:val="24"/>
          <w:highlight w:val="none"/>
        </w:rPr>
        <w:t>包号：</w:t>
      </w:r>
      <w:r>
        <w:rPr>
          <w:rFonts w:hint="eastAsia" w:ascii="宋体" w:hAnsi="宋体" w:eastAsia="宋体" w:cs="宋体"/>
          <w:color w:val="auto"/>
          <w:sz w:val="24"/>
          <w:szCs w:val="24"/>
          <w:highlight w:val="none"/>
          <w:u w:val="dotted"/>
        </w:rPr>
        <w:t xml:space="preserve">               </w:t>
      </w:r>
    </w:p>
    <w:p w14:paraId="7C8BDC94">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采购人名称：</w:t>
      </w:r>
      <w:r>
        <w:rPr>
          <w:rFonts w:hint="eastAsia" w:ascii="宋体" w:hAnsi="宋体" w:eastAsia="宋体" w:cs="宋体"/>
          <w:color w:val="auto"/>
          <w:sz w:val="24"/>
          <w:szCs w:val="24"/>
          <w:highlight w:val="none"/>
          <w:u w:val="dotted"/>
        </w:rPr>
        <w:t xml:space="preserve">                                        </w:t>
      </w:r>
    </w:p>
    <w:p w14:paraId="78AB2564">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采购文件获取日期：</w:t>
      </w:r>
      <w:r>
        <w:rPr>
          <w:rFonts w:hint="eastAsia" w:ascii="宋体" w:hAnsi="宋体" w:eastAsia="宋体" w:cs="宋体"/>
          <w:color w:val="auto"/>
          <w:sz w:val="24"/>
          <w:szCs w:val="24"/>
          <w:highlight w:val="none"/>
          <w:u w:val="dotted"/>
        </w:rPr>
        <w:t xml:space="preserve">                                  </w:t>
      </w:r>
    </w:p>
    <w:p w14:paraId="08513302">
      <w:pPr>
        <w:adjustRightInd w:val="0"/>
        <w:snapToGrid w:val="0"/>
        <w:spacing w:line="360" w:lineRule="auto"/>
        <w:outlineLvl w:val="1"/>
        <w:rPr>
          <w:rFonts w:hint="eastAsia" w:ascii="宋体" w:hAnsi="宋体" w:eastAsia="宋体" w:cs="宋体"/>
          <w:b/>
          <w:bCs/>
          <w:color w:val="auto"/>
          <w:sz w:val="24"/>
          <w:szCs w:val="24"/>
          <w:highlight w:val="none"/>
        </w:rPr>
      </w:pPr>
      <w:bookmarkStart w:id="131" w:name="_Toc21700"/>
      <w:bookmarkStart w:id="132" w:name="_Toc9989"/>
      <w:r>
        <w:rPr>
          <w:rFonts w:hint="eastAsia" w:ascii="宋体" w:hAnsi="宋体" w:eastAsia="宋体" w:cs="宋体"/>
          <w:b/>
          <w:bCs/>
          <w:color w:val="auto"/>
          <w:sz w:val="24"/>
          <w:szCs w:val="24"/>
          <w:highlight w:val="none"/>
        </w:rPr>
        <w:t>三、质疑事项具体内容</w:t>
      </w:r>
      <w:bookmarkEnd w:id="131"/>
      <w:bookmarkEnd w:id="132"/>
    </w:p>
    <w:p w14:paraId="60CBF466">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质疑事项1：</w:t>
      </w:r>
      <w:r>
        <w:rPr>
          <w:rFonts w:hint="eastAsia" w:ascii="宋体" w:hAnsi="宋体" w:eastAsia="宋体" w:cs="宋体"/>
          <w:color w:val="auto"/>
          <w:sz w:val="24"/>
          <w:szCs w:val="24"/>
          <w:highlight w:val="none"/>
          <w:u w:val="dotted"/>
        </w:rPr>
        <w:t xml:space="preserve">                                         </w:t>
      </w:r>
    </w:p>
    <w:p w14:paraId="21E88957">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事实依据：</w:t>
      </w:r>
      <w:r>
        <w:rPr>
          <w:rFonts w:hint="eastAsia" w:ascii="宋体" w:hAnsi="宋体" w:eastAsia="宋体" w:cs="宋体"/>
          <w:color w:val="auto"/>
          <w:sz w:val="24"/>
          <w:szCs w:val="24"/>
          <w:highlight w:val="none"/>
          <w:u w:val="dotted"/>
        </w:rPr>
        <w:t xml:space="preserve">                                          </w:t>
      </w:r>
    </w:p>
    <w:p w14:paraId="37E4F9CB">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dotted"/>
        </w:rPr>
        <w:t xml:space="preserve">                                                    </w:t>
      </w:r>
    </w:p>
    <w:p w14:paraId="5E8775F1">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法律依据：</w:t>
      </w:r>
      <w:r>
        <w:rPr>
          <w:rFonts w:hint="eastAsia" w:ascii="宋体" w:hAnsi="宋体" w:eastAsia="宋体" w:cs="宋体"/>
          <w:color w:val="auto"/>
          <w:sz w:val="24"/>
          <w:szCs w:val="24"/>
          <w:highlight w:val="none"/>
          <w:u w:val="dotted"/>
        </w:rPr>
        <w:t xml:space="preserve">                                          </w:t>
      </w:r>
    </w:p>
    <w:p w14:paraId="320BC680">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u w:val="dotted"/>
        </w:rPr>
        <w:t xml:space="preserve">                                                    </w:t>
      </w:r>
    </w:p>
    <w:p w14:paraId="70BE306C">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质疑事项2</w:t>
      </w:r>
    </w:p>
    <w:p w14:paraId="61430716">
      <w:pPr>
        <w:adjustRightInd w:val="0"/>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w:t>
      </w:r>
    </w:p>
    <w:p w14:paraId="38F333B9">
      <w:pPr>
        <w:adjustRightInd w:val="0"/>
        <w:snapToGrid w:val="0"/>
        <w:spacing w:line="360" w:lineRule="auto"/>
        <w:outlineLvl w:val="1"/>
        <w:rPr>
          <w:rFonts w:hint="eastAsia" w:ascii="宋体" w:hAnsi="宋体" w:eastAsia="宋体" w:cs="宋体"/>
          <w:b/>
          <w:bCs/>
          <w:color w:val="auto"/>
          <w:sz w:val="24"/>
          <w:szCs w:val="24"/>
          <w:highlight w:val="none"/>
        </w:rPr>
      </w:pPr>
      <w:bookmarkStart w:id="133" w:name="_Toc19016"/>
      <w:bookmarkStart w:id="134" w:name="_Toc10625"/>
      <w:r>
        <w:rPr>
          <w:rFonts w:hint="eastAsia" w:ascii="宋体" w:hAnsi="宋体" w:eastAsia="宋体" w:cs="宋体"/>
          <w:b/>
          <w:bCs/>
          <w:color w:val="auto"/>
          <w:sz w:val="24"/>
          <w:szCs w:val="24"/>
          <w:highlight w:val="none"/>
        </w:rPr>
        <w:t>四、与质疑事项相关的质疑请求</w:t>
      </w:r>
      <w:bookmarkEnd w:id="133"/>
      <w:bookmarkEnd w:id="134"/>
    </w:p>
    <w:p w14:paraId="7A0F0438">
      <w:pPr>
        <w:adjustRightInd w:val="0"/>
        <w:snapToGrid w:val="0"/>
        <w:spacing w:line="360" w:lineRule="auto"/>
        <w:rPr>
          <w:rFonts w:hint="eastAsia" w:ascii="宋体" w:hAnsi="宋体" w:eastAsia="宋体" w:cs="宋体"/>
          <w:color w:val="auto"/>
          <w:sz w:val="24"/>
          <w:szCs w:val="24"/>
          <w:highlight w:val="none"/>
          <w:u w:val="dotted"/>
        </w:rPr>
      </w:pPr>
      <w:r>
        <w:rPr>
          <w:rFonts w:hint="eastAsia" w:ascii="宋体" w:hAnsi="宋体" w:eastAsia="宋体" w:cs="宋体"/>
          <w:color w:val="auto"/>
          <w:sz w:val="24"/>
          <w:szCs w:val="24"/>
          <w:highlight w:val="none"/>
        </w:rPr>
        <w:t>请求：</w:t>
      </w:r>
      <w:r>
        <w:rPr>
          <w:rFonts w:hint="eastAsia" w:ascii="宋体" w:hAnsi="宋体" w:eastAsia="宋体" w:cs="宋体"/>
          <w:color w:val="auto"/>
          <w:sz w:val="24"/>
          <w:szCs w:val="24"/>
          <w:highlight w:val="none"/>
          <w:u w:val="dotted"/>
        </w:rPr>
        <w:t xml:space="preserve">                                              </w:t>
      </w:r>
    </w:p>
    <w:p w14:paraId="76FC6381">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签字(签章)：                   公章：                      </w:t>
      </w:r>
    </w:p>
    <w:p w14:paraId="576235C8">
      <w:pPr>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日期：    </w:t>
      </w:r>
    </w:p>
    <w:p w14:paraId="15F85096">
      <w:pPr>
        <w:widowControl/>
        <w:jc w:val="left"/>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br w:type="page"/>
      </w:r>
    </w:p>
    <w:p w14:paraId="5BEA6B6C">
      <w:pPr>
        <w:outlineLvl w:val="0"/>
        <w:rPr>
          <w:rFonts w:hint="eastAsia" w:ascii="宋体" w:hAnsi="宋体" w:eastAsia="宋体" w:cs="宋体"/>
          <w:b/>
          <w:color w:val="auto"/>
          <w:sz w:val="28"/>
          <w:szCs w:val="32"/>
          <w:highlight w:val="none"/>
        </w:rPr>
      </w:pPr>
      <w:bookmarkStart w:id="135" w:name="_Toc25274"/>
      <w:bookmarkStart w:id="136" w:name="_Toc17684"/>
      <w:r>
        <w:rPr>
          <w:rFonts w:hint="eastAsia" w:ascii="宋体" w:hAnsi="宋体" w:eastAsia="宋体" w:cs="宋体"/>
          <w:b/>
          <w:color w:val="auto"/>
          <w:sz w:val="28"/>
          <w:szCs w:val="32"/>
          <w:highlight w:val="none"/>
        </w:rPr>
        <w:t>质疑函制作说明：</w:t>
      </w:r>
      <w:bookmarkEnd w:id="135"/>
      <w:bookmarkEnd w:id="136"/>
    </w:p>
    <w:p w14:paraId="1DAB7649">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1.供应商提出质疑时，应提交质疑函和必要的证明材料。</w:t>
      </w:r>
    </w:p>
    <w:p w14:paraId="0516ADC8">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6B8D441D">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3.质疑供应商若对项目的某一分包进行质疑，质疑函中应列明具体分包号。</w:t>
      </w:r>
    </w:p>
    <w:p w14:paraId="58F813CF">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4.质疑函的质疑事项应具体、明确，并有必要的事实依据和法律依据。</w:t>
      </w:r>
    </w:p>
    <w:p w14:paraId="10865DC0">
      <w:pPr>
        <w:spacing w:line="360" w:lineRule="auto"/>
        <w:ind w:firstLine="435"/>
        <w:rPr>
          <w:rFonts w:hint="eastAsia" w:ascii="宋体" w:hAnsi="宋体" w:eastAsia="宋体" w:cs="宋体"/>
          <w:color w:val="auto"/>
          <w:sz w:val="24"/>
          <w:highlight w:val="none"/>
        </w:rPr>
      </w:pPr>
      <w:r>
        <w:rPr>
          <w:rFonts w:hint="eastAsia" w:ascii="宋体" w:hAnsi="宋体" w:eastAsia="宋体" w:cs="宋体"/>
          <w:color w:val="auto"/>
          <w:sz w:val="24"/>
          <w:highlight w:val="none"/>
        </w:rPr>
        <w:t>5.质疑函的质疑请求应与质疑事项相关。</w:t>
      </w:r>
    </w:p>
    <w:p w14:paraId="59161600">
      <w:pPr>
        <w:rPr>
          <w:rFonts w:hint="eastAsia" w:ascii="宋体" w:hAnsi="宋体" w:eastAsia="宋体" w:cs="宋体"/>
          <w:color w:val="auto"/>
          <w:sz w:val="24"/>
          <w:highlight w:val="none"/>
        </w:rPr>
      </w:pPr>
      <w:r>
        <w:rPr>
          <w:rFonts w:hint="eastAsia" w:ascii="宋体" w:hAnsi="宋体" w:eastAsia="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20FC6D98">
      <w:pPr>
        <w:rPr>
          <w:rFonts w:hint="eastAsia" w:ascii="宋体" w:hAnsi="宋体" w:eastAsia="宋体" w:cs="宋体"/>
          <w:color w:val="auto"/>
          <w:sz w:val="24"/>
          <w:highlight w:val="none"/>
        </w:rPr>
      </w:pPr>
    </w:p>
    <w:p w14:paraId="54D55263">
      <w:pPr>
        <w:rPr>
          <w:rFonts w:hint="eastAsia" w:ascii="宋体" w:hAnsi="宋体" w:eastAsia="宋体" w:cs="宋体"/>
          <w:color w:val="auto"/>
          <w:sz w:val="24"/>
          <w:highlight w:val="none"/>
        </w:rPr>
      </w:pPr>
    </w:p>
    <w:p w14:paraId="51938778">
      <w:pPr>
        <w:rPr>
          <w:rFonts w:hint="eastAsia" w:ascii="宋体" w:hAnsi="宋体" w:eastAsia="宋体" w:cs="宋体"/>
          <w:color w:val="auto"/>
          <w:sz w:val="24"/>
          <w:highlight w:val="none"/>
        </w:rPr>
      </w:pPr>
    </w:p>
    <w:p w14:paraId="05930100">
      <w:pPr>
        <w:rPr>
          <w:rFonts w:hint="eastAsia" w:ascii="宋体" w:hAnsi="宋体" w:eastAsia="宋体" w:cs="宋体"/>
          <w:color w:val="auto"/>
          <w:sz w:val="24"/>
          <w:highlight w:val="none"/>
        </w:rPr>
      </w:pPr>
    </w:p>
    <w:p w14:paraId="56DB3EDB">
      <w:pPr>
        <w:rPr>
          <w:rFonts w:hint="eastAsia" w:ascii="宋体" w:hAnsi="宋体" w:eastAsia="宋体" w:cs="宋体"/>
          <w:color w:val="auto"/>
          <w:sz w:val="24"/>
          <w:highlight w:val="none"/>
        </w:rPr>
      </w:pPr>
    </w:p>
    <w:p w14:paraId="5CFBACEB">
      <w:pPr>
        <w:rPr>
          <w:rFonts w:hint="eastAsia" w:ascii="宋体" w:hAnsi="宋体" w:eastAsia="宋体" w:cs="宋体"/>
          <w:color w:val="auto"/>
          <w:sz w:val="24"/>
          <w:highlight w:val="none"/>
        </w:rPr>
      </w:pPr>
    </w:p>
    <w:p w14:paraId="5B6A5CAE">
      <w:pPr>
        <w:rPr>
          <w:rFonts w:hint="eastAsia" w:ascii="宋体" w:hAnsi="宋体" w:eastAsia="宋体" w:cs="宋体"/>
          <w:color w:val="auto"/>
          <w:sz w:val="24"/>
          <w:highlight w:val="none"/>
        </w:rPr>
      </w:pPr>
    </w:p>
    <w:p w14:paraId="08300E6A">
      <w:pPr>
        <w:rPr>
          <w:rFonts w:hint="eastAsia" w:ascii="宋体" w:hAnsi="宋体" w:eastAsia="宋体" w:cs="宋体"/>
          <w:color w:val="auto"/>
          <w:sz w:val="24"/>
          <w:highlight w:val="none"/>
        </w:rPr>
      </w:pPr>
    </w:p>
    <w:p w14:paraId="7B093FD5">
      <w:pPr>
        <w:rPr>
          <w:rFonts w:hint="eastAsia" w:ascii="宋体" w:hAnsi="宋体" w:eastAsia="宋体" w:cs="宋体"/>
          <w:color w:val="auto"/>
          <w:sz w:val="24"/>
          <w:highlight w:val="none"/>
        </w:rPr>
      </w:pPr>
    </w:p>
    <w:p w14:paraId="20E11C4A">
      <w:pPr>
        <w:rPr>
          <w:rFonts w:hint="eastAsia" w:ascii="宋体" w:hAnsi="宋体" w:eastAsia="宋体" w:cs="宋体"/>
          <w:color w:val="auto"/>
          <w:sz w:val="24"/>
          <w:highlight w:val="none"/>
        </w:rPr>
      </w:pPr>
    </w:p>
    <w:p w14:paraId="6C5A532B">
      <w:pPr>
        <w:rPr>
          <w:rFonts w:hint="eastAsia" w:ascii="宋体" w:hAnsi="宋体" w:eastAsia="宋体" w:cs="宋体"/>
          <w:color w:val="auto"/>
          <w:sz w:val="24"/>
          <w:highlight w:val="none"/>
        </w:rPr>
      </w:pPr>
    </w:p>
    <w:p w14:paraId="2DE2BBC9">
      <w:pPr>
        <w:rPr>
          <w:rFonts w:hint="eastAsia" w:ascii="宋体" w:hAnsi="宋体" w:eastAsia="宋体" w:cs="宋体"/>
          <w:color w:val="auto"/>
          <w:sz w:val="24"/>
          <w:highlight w:val="none"/>
        </w:rPr>
      </w:pPr>
    </w:p>
    <w:p w14:paraId="6B0571B1">
      <w:pPr>
        <w:rPr>
          <w:rFonts w:hint="eastAsia" w:ascii="宋体" w:hAnsi="宋体" w:eastAsia="宋体" w:cs="宋体"/>
          <w:color w:val="auto"/>
          <w:sz w:val="24"/>
          <w:highlight w:val="none"/>
        </w:rPr>
      </w:pPr>
    </w:p>
    <w:p w14:paraId="2E3D064A">
      <w:pPr>
        <w:rPr>
          <w:rFonts w:hint="eastAsia" w:ascii="宋体" w:hAnsi="宋体" w:eastAsia="宋体" w:cs="宋体"/>
          <w:color w:val="auto"/>
          <w:sz w:val="24"/>
          <w:highlight w:val="none"/>
        </w:rPr>
      </w:pPr>
    </w:p>
    <w:p w14:paraId="407E52D0">
      <w:pPr>
        <w:rPr>
          <w:rFonts w:hint="eastAsia" w:ascii="宋体" w:hAnsi="宋体" w:eastAsia="宋体" w:cs="宋体"/>
          <w:color w:val="auto"/>
          <w:sz w:val="24"/>
          <w:highlight w:val="none"/>
        </w:rPr>
      </w:pPr>
    </w:p>
    <w:p w14:paraId="3052E137">
      <w:pPr>
        <w:rPr>
          <w:rFonts w:hint="eastAsia" w:ascii="宋体" w:hAnsi="宋体" w:eastAsia="宋体" w:cs="宋体"/>
          <w:color w:val="auto"/>
          <w:sz w:val="24"/>
          <w:highlight w:val="none"/>
        </w:rPr>
      </w:pPr>
    </w:p>
    <w:p w14:paraId="6304A288">
      <w:pPr>
        <w:rPr>
          <w:rFonts w:hint="eastAsia" w:ascii="宋体" w:hAnsi="宋体" w:eastAsia="宋体" w:cs="宋体"/>
          <w:color w:val="auto"/>
          <w:sz w:val="24"/>
          <w:highlight w:val="none"/>
        </w:rPr>
      </w:pPr>
    </w:p>
    <w:p w14:paraId="5CE6CF03">
      <w:pPr>
        <w:rPr>
          <w:rFonts w:hint="eastAsia" w:ascii="宋体" w:hAnsi="宋体" w:eastAsia="宋体" w:cs="宋体"/>
          <w:color w:val="auto"/>
          <w:sz w:val="24"/>
          <w:highlight w:val="none"/>
        </w:rPr>
      </w:pPr>
    </w:p>
    <w:p w14:paraId="6CF00ADD">
      <w:pPr>
        <w:rPr>
          <w:rFonts w:hint="eastAsia" w:ascii="宋体" w:hAnsi="宋体" w:eastAsia="宋体" w:cs="宋体"/>
          <w:color w:val="auto"/>
          <w:sz w:val="24"/>
          <w:highlight w:val="none"/>
        </w:rPr>
      </w:pPr>
    </w:p>
    <w:p w14:paraId="259A33E2">
      <w:pPr>
        <w:rPr>
          <w:rFonts w:hint="eastAsia" w:ascii="宋体" w:hAnsi="宋体" w:eastAsia="宋体" w:cs="宋体"/>
          <w:color w:val="auto"/>
          <w:sz w:val="24"/>
          <w:highlight w:val="none"/>
        </w:rPr>
      </w:pPr>
    </w:p>
    <w:p w14:paraId="000277E7">
      <w:pPr>
        <w:rPr>
          <w:rFonts w:hint="eastAsia" w:ascii="宋体" w:hAnsi="宋体" w:eastAsia="宋体" w:cs="宋体"/>
          <w:color w:val="auto"/>
          <w:sz w:val="24"/>
          <w:highlight w:val="none"/>
        </w:rPr>
      </w:pPr>
    </w:p>
    <w:p w14:paraId="693A132C">
      <w:pPr>
        <w:rPr>
          <w:rFonts w:hint="eastAsia" w:ascii="宋体" w:hAnsi="宋体" w:eastAsia="宋体" w:cs="宋体"/>
          <w:color w:val="auto"/>
          <w:sz w:val="24"/>
          <w:highlight w:val="none"/>
        </w:rPr>
      </w:pPr>
    </w:p>
    <w:p w14:paraId="04828CEE">
      <w:pPr>
        <w:rPr>
          <w:rFonts w:hint="eastAsia" w:ascii="宋体" w:hAnsi="宋体" w:eastAsia="宋体" w:cs="宋体"/>
          <w:color w:val="auto"/>
          <w:sz w:val="24"/>
          <w:highlight w:val="none"/>
        </w:rPr>
      </w:pPr>
    </w:p>
    <w:p w14:paraId="6F05AA5E">
      <w:pPr>
        <w:rPr>
          <w:rFonts w:hint="eastAsia" w:ascii="宋体" w:hAnsi="宋体" w:eastAsia="宋体" w:cs="宋体"/>
          <w:color w:val="auto"/>
          <w:sz w:val="24"/>
          <w:highlight w:val="none"/>
        </w:rPr>
      </w:pPr>
    </w:p>
    <w:p w14:paraId="1706BC62">
      <w:pPr>
        <w:rPr>
          <w:rFonts w:hint="eastAsia" w:ascii="宋体" w:hAnsi="宋体" w:eastAsia="宋体" w:cs="宋体"/>
          <w:color w:val="auto"/>
          <w:sz w:val="24"/>
          <w:highlight w:val="none"/>
        </w:rPr>
      </w:pPr>
    </w:p>
    <w:p w14:paraId="15360E11">
      <w:pPr>
        <w:rPr>
          <w:rFonts w:hint="eastAsia" w:ascii="宋体" w:hAnsi="宋体" w:eastAsia="宋体" w:cs="宋体"/>
          <w:color w:val="auto"/>
          <w:sz w:val="24"/>
          <w:highlight w:val="none"/>
        </w:rPr>
      </w:pPr>
    </w:p>
    <w:p w14:paraId="117402D0">
      <w:pPr>
        <w:rPr>
          <w:rFonts w:hint="eastAsia" w:ascii="宋体" w:hAnsi="宋体" w:eastAsia="宋体" w:cs="宋体"/>
          <w:color w:val="auto"/>
          <w:sz w:val="24"/>
          <w:highlight w:val="none"/>
        </w:rPr>
      </w:pPr>
    </w:p>
    <w:p w14:paraId="55614F5B">
      <w:pPr>
        <w:rPr>
          <w:rFonts w:hint="eastAsia" w:ascii="宋体" w:hAnsi="宋体" w:eastAsia="宋体" w:cs="宋体"/>
          <w:color w:val="auto"/>
          <w:sz w:val="24"/>
          <w:highlight w:val="none"/>
        </w:rPr>
      </w:pPr>
    </w:p>
    <w:p w14:paraId="3F24EE6C">
      <w:pPr>
        <w:rPr>
          <w:rFonts w:hint="eastAsia" w:ascii="宋体" w:hAnsi="宋体" w:eastAsia="宋体" w:cs="宋体"/>
          <w:color w:val="auto"/>
          <w:sz w:val="24"/>
          <w:highlight w:val="none"/>
        </w:rPr>
      </w:pPr>
    </w:p>
    <w:p w14:paraId="1A707315">
      <w:pPr>
        <w:jc w:val="center"/>
        <w:rPr>
          <w:rFonts w:hint="eastAsia" w:ascii="宋体" w:hAnsi="宋体" w:eastAsia="宋体" w:cs="宋体"/>
          <w:b/>
          <w:sz w:val="28"/>
          <w:szCs w:val="28"/>
          <w:lang w:bidi="ar"/>
        </w:rPr>
      </w:pPr>
      <w:bookmarkStart w:id="137" w:name="_Toc95223548"/>
      <w:r>
        <w:rPr>
          <w:rFonts w:hint="eastAsia" w:ascii="宋体" w:hAnsi="宋体" w:eastAsia="宋体" w:cs="宋体"/>
          <w:color w:val="000000"/>
          <w:sz w:val="36"/>
          <w:szCs w:val="28"/>
        </w:rPr>
        <w:t xml:space="preserve">附件1 </w:t>
      </w:r>
      <w:bookmarkEnd w:id="137"/>
      <w:r>
        <w:rPr>
          <w:rFonts w:hint="eastAsia" w:ascii="宋体" w:hAnsi="宋体" w:eastAsia="宋体" w:cs="宋体"/>
          <w:b/>
          <w:sz w:val="28"/>
          <w:szCs w:val="28"/>
          <w:lang w:bidi="ar"/>
        </w:rPr>
        <w:t>关于联合惩戒失信行为加强信用查询管理的通知</w:t>
      </w:r>
    </w:p>
    <w:p w14:paraId="2378C96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一、失信行为联合惩戒的范围和查询渠道</w:t>
      </w:r>
    </w:p>
    <w:p w14:paraId="3A6F2C6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在我市公共资源交易活动中对存在下列失信行为的投标人、法定代表人及其项目经理（建造师）实施联合惩戒，禁止参与我市公共资源交易活动。</w:t>
      </w:r>
    </w:p>
    <w:p w14:paraId="74C4C673">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（一）工程建设项目</w:t>
      </w:r>
    </w:p>
    <w:p w14:paraId="2FB86914">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1、“信用中国”网站（www.creditchina.gov.cn）查询</w:t>
      </w:r>
      <w:bookmarkStart w:id="138" w:name="OLE_LINK92"/>
      <w:bookmarkStart w:id="139" w:name="OLE_LINK91"/>
      <w:bookmarkStart w:id="140" w:name="OLE_LINK103"/>
      <w:bookmarkStart w:id="141" w:name="OLE_LINK93"/>
      <w:r>
        <w:rPr>
          <w:rFonts w:hint="eastAsia" w:ascii="宋体" w:hAnsi="宋体" w:eastAsia="宋体" w:cs="宋体"/>
          <w:color w:val="000000" w:themeColor="text1"/>
          <w:sz w:val="24"/>
          <w:szCs w:val="24"/>
          <w14:textFill>
            <w14:solidFill>
              <w14:schemeClr w14:val="tx1"/>
            </w14:solidFill>
          </w14:textFill>
        </w:rPr>
        <w:t>投标人、法定代表人及其项目经理(建造师)</w:t>
      </w:r>
      <w:bookmarkEnd w:id="138"/>
      <w:bookmarkEnd w:id="139"/>
      <w:bookmarkEnd w:id="140"/>
      <w:bookmarkEnd w:id="141"/>
      <w:r>
        <w:rPr>
          <w:rFonts w:hint="eastAsia" w:ascii="宋体" w:hAnsi="宋体" w:eastAsia="宋体" w:cs="宋体"/>
          <w:color w:val="000000" w:themeColor="text1"/>
          <w:sz w:val="24"/>
          <w:szCs w:val="24"/>
          <w14:textFill>
            <w14:solidFill>
              <w14:schemeClr w14:val="tx1"/>
            </w14:solidFill>
          </w14:textFill>
        </w:rPr>
        <w:t>以下失信行为：</w:t>
      </w:r>
    </w:p>
    <w:p w14:paraId="2D7F937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42" w:name="OLE_LINK119"/>
      <w:bookmarkStart w:id="143" w:name="OLE_LINK87"/>
      <w:bookmarkStart w:id="144" w:name="OLE_LINK3"/>
      <w:bookmarkStart w:id="145" w:name="OLE_LINK86"/>
      <w:bookmarkStart w:id="146" w:name="OLE_LINK94"/>
      <w:r>
        <w:rPr>
          <w:rFonts w:hint="eastAsia" w:ascii="宋体" w:hAnsi="宋体" w:eastAsia="宋体" w:cs="宋体"/>
          <w:color w:val="000000" w:themeColor="text1"/>
          <w:sz w:val="24"/>
          <w:szCs w:val="24"/>
          <w14:textFill>
            <w14:solidFill>
              <w14:schemeClr w14:val="tx1"/>
            </w14:solidFill>
          </w14:textFill>
        </w:rPr>
        <w:t>①被列入“失信被执行人”的;</w:t>
      </w:r>
    </w:p>
    <w:p w14:paraId="6FB656FD">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w:t>
      </w:r>
      <w:bookmarkStart w:id="147" w:name="OLE_LINK115"/>
      <w:bookmarkStart w:id="148" w:name="OLE_LINK116"/>
      <w:bookmarkStart w:id="149" w:name="OLE_LINK118"/>
      <w:bookmarkStart w:id="150" w:name="OLE_LINK117"/>
      <w:r>
        <w:rPr>
          <w:rFonts w:hint="eastAsia" w:ascii="宋体" w:hAnsi="宋体" w:eastAsia="宋体" w:cs="宋体"/>
          <w:color w:val="000000" w:themeColor="text1"/>
          <w:sz w:val="24"/>
          <w:szCs w:val="24"/>
          <w14:textFill>
            <w14:solidFill>
              <w14:schemeClr w14:val="tx1"/>
            </w14:solidFill>
          </w14:textFill>
        </w:rPr>
        <w:t>“重大税收违法失信主体”</w:t>
      </w:r>
      <w:bookmarkEnd w:id="147"/>
      <w:bookmarkEnd w:id="148"/>
      <w:bookmarkEnd w:id="149"/>
      <w:bookmarkEnd w:id="150"/>
      <w:r>
        <w:rPr>
          <w:rFonts w:hint="eastAsia" w:ascii="宋体" w:hAnsi="宋体" w:eastAsia="宋体" w:cs="宋体"/>
          <w:color w:val="000000" w:themeColor="text1"/>
          <w:sz w:val="24"/>
          <w:szCs w:val="24"/>
          <w14:textFill>
            <w14:solidFill>
              <w14:schemeClr w14:val="tx1"/>
            </w14:solidFill>
          </w14:textFill>
        </w:rPr>
        <w:t>的；</w:t>
      </w:r>
    </w:p>
    <w:p w14:paraId="2852C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51" w:name="OLE_LINK1"/>
      <w:bookmarkStart w:id="152" w:name="OLE_LINK2"/>
      <w:r>
        <w:rPr>
          <w:rFonts w:hint="eastAsia" w:ascii="宋体" w:hAnsi="宋体" w:eastAsia="宋体" w:cs="宋体"/>
          <w:color w:val="000000" w:themeColor="text1"/>
          <w:sz w:val="24"/>
          <w:szCs w:val="24"/>
          <w14:textFill>
            <w14:solidFill>
              <w14:schemeClr w14:val="tx1"/>
            </w14:solidFill>
          </w14:textFill>
        </w:rPr>
        <w:t>③被列入“拖欠</w:t>
      </w:r>
      <w:bookmarkStart w:id="153" w:name="OLE_LINK85"/>
      <w:bookmarkStart w:id="154" w:name="OLE_LINK84"/>
      <w:r>
        <w:rPr>
          <w:rFonts w:hint="eastAsia" w:ascii="宋体" w:hAnsi="宋体" w:eastAsia="宋体" w:cs="宋体"/>
          <w:color w:val="000000" w:themeColor="text1"/>
          <w:sz w:val="24"/>
          <w:szCs w:val="24"/>
          <w14:textFill>
            <w14:solidFill>
              <w14:schemeClr w14:val="tx1"/>
            </w14:solidFill>
          </w14:textFill>
        </w:rPr>
        <w:t>农民工工资失信联合惩戒对象</w:t>
      </w:r>
      <w:bookmarkEnd w:id="153"/>
      <w:bookmarkEnd w:id="154"/>
      <w:r>
        <w:rPr>
          <w:rFonts w:hint="eastAsia" w:ascii="宋体" w:hAnsi="宋体" w:eastAsia="宋体" w:cs="宋体"/>
          <w:color w:val="000000" w:themeColor="text1"/>
          <w:sz w:val="24"/>
          <w:szCs w:val="24"/>
          <w14:textFill>
            <w14:solidFill>
              <w14:schemeClr w14:val="tx1"/>
            </w14:solidFill>
          </w14:textFill>
        </w:rPr>
        <w:t>名单”的；</w:t>
      </w:r>
      <w:bookmarkEnd w:id="151"/>
      <w:bookmarkEnd w:id="152"/>
    </w:p>
    <w:p w14:paraId="503E1A9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④被列入 “严重失信主体名单”的；</w:t>
      </w:r>
    </w:p>
    <w:p w14:paraId="361BA16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⑤在“信用中国”网站上披露的仍在公示期的严重失信行为(具体行为类别及判定依据见附件2)的。</w:t>
      </w:r>
    </w:p>
    <w:bookmarkEnd w:id="142"/>
    <w:bookmarkEnd w:id="143"/>
    <w:bookmarkEnd w:id="144"/>
    <w:bookmarkEnd w:id="145"/>
    <w:bookmarkEnd w:id="146"/>
    <w:p w14:paraId="42A2C8D2">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w:t>
      </w:r>
      <w:bookmarkStart w:id="155" w:name="OLE_LINK130"/>
      <w:r>
        <w:rPr>
          <w:rFonts w:hint="eastAsia" w:ascii="宋体" w:hAnsi="宋体" w:eastAsia="宋体" w:cs="宋体"/>
          <w:color w:val="000000" w:themeColor="text1"/>
          <w:sz w:val="24"/>
          <w:szCs w:val="24"/>
          <w14:textFill>
            <w14:solidFill>
              <w14:schemeClr w14:val="tx1"/>
            </w14:solidFill>
          </w14:textFill>
        </w:rPr>
        <w:t>国家企业信用信息公示系统网站</w:t>
      </w:r>
      <w:bookmarkEnd w:id="155"/>
      <w:r>
        <w:rPr>
          <w:rFonts w:hint="eastAsia" w:ascii="宋体" w:hAnsi="宋体" w:eastAsia="宋体" w:cs="宋体"/>
          <w:color w:val="000000" w:themeColor="text1"/>
          <w:sz w:val="24"/>
          <w:szCs w:val="24"/>
          <w14:textFill>
            <w14:solidFill>
              <w14:schemeClr w14:val="tx1"/>
            </w14:solidFill>
          </w14:textFill>
        </w:rPr>
        <w:t>（</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bookmarkStart w:id="156" w:name="OLE_LINK90"/>
      <w:bookmarkStart w:id="157" w:name="OLE_LINK89"/>
      <w:r>
        <w:rPr>
          <w:rStyle w:val="66"/>
          <w:rFonts w:hint="eastAsia" w:ascii="宋体" w:hAnsi="宋体" w:eastAsia="宋体" w:cs="宋体"/>
          <w:color w:val="000000" w:themeColor="text1"/>
          <w:sz w:val="24"/>
          <w:szCs w:val="24"/>
          <w14:textFill>
            <w14:solidFill>
              <w14:schemeClr w14:val="tx1"/>
            </w14:solidFill>
          </w14:textFill>
        </w:rPr>
        <w:t>www.gsxt.gov.cn</w:t>
      </w:r>
      <w:bookmarkEnd w:id="156"/>
      <w:bookmarkEnd w:id="157"/>
      <w:r>
        <w:rPr>
          <w:rStyle w:val="66"/>
          <w:rFonts w:hint="eastAsia" w:ascii="宋体" w:hAnsi="宋体" w:eastAsia="宋体" w:cs="宋体"/>
          <w:color w:val="000000" w:themeColor="text1"/>
          <w:sz w:val="24"/>
          <w:szCs w:val="24"/>
          <w14:textFill>
            <w14:solidFill>
              <w14:schemeClr w14:val="tx1"/>
            </w14:solidFill>
          </w14:textFill>
        </w:rPr>
        <w:t>）</w:t>
      </w:r>
      <w:r>
        <w:rPr>
          <w:rStyle w:val="66"/>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查询投标人以下失信行为：</w:t>
      </w:r>
    </w:p>
    <w:p w14:paraId="7A31A70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58" w:name="OLE_LINK120"/>
      <w:bookmarkStart w:id="159" w:name="OLE_LINK121"/>
      <w:bookmarkStart w:id="160" w:name="OLE_LINK122"/>
      <w:r>
        <w:rPr>
          <w:rFonts w:hint="eastAsia" w:ascii="宋体" w:hAnsi="宋体" w:eastAsia="宋体" w:cs="宋体"/>
          <w:color w:val="000000" w:themeColor="text1"/>
          <w:sz w:val="24"/>
          <w:szCs w:val="24"/>
          <w14:textFill>
            <w14:solidFill>
              <w14:schemeClr w14:val="tx1"/>
            </w14:solidFill>
          </w14:textFill>
        </w:rPr>
        <w:t>①</w:t>
      </w:r>
      <w:bookmarkStart w:id="161" w:name="OLE_LINK114"/>
      <w:bookmarkStart w:id="162" w:name="OLE_LINK113"/>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61"/>
      <w:bookmarkEnd w:id="162"/>
      <w:r>
        <w:rPr>
          <w:rFonts w:hint="eastAsia" w:ascii="宋体" w:hAnsi="宋体" w:eastAsia="宋体" w:cs="宋体"/>
          <w:color w:val="000000" w:themeColor="text1"/>
          <w:sz w:val="24"/>
          <w:szCs w:val="24"/>
          <w14:textFill>
            <w14:solidFill>
              <w14:schemeClr w14:val="tx1"/>
            </w14:solidFill>
          </w14:textFill>
        </w:rPr>
        <w:t>。</w:t>
      </w:r>
      <w:bookmarkEnd w:id="158"/>
      <w:bookmarkEnd w:id="159"/>
      <w:bookmarkEnd w:id="160"/>
    </w:p>
    <w:p w14:paraId="7376FE2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3、由</w:t>
      </w:r>
      <w:r>
        <w:rPr>
          <w:rFonts w:hint="eastAsia" w:ascii="宋体" w:hAnsi="宋体" w:eastAsia="宋体" w:cs="宋体"/>
          <w:color w:val="000000" w:themeColor="text1"/>
          <w:kern w:val="0"/>
          <w:sz w:val="24"/>
          <w:szCs w:val="24"/>
          <w14:textFill>
            <w14:solidFill>
              <w14:schemeClr w14:val="tx1"/>
            </w14:solidFill>
          </w14:textFill>
        </w:rPr>
        <w:t>投标人、法定代表人及其项目经理(建造师)</w:t>
      </w:r>
      <w:r>
        <w:rPr>
          <w:rFonts w:hint="eastAsia" w:ascii="宋体" w:hAnsi="宋体" w:eastAsia="宋体" w:cs="宋体"/>
          <w:color w:val="000000" w:themeColor="text1"/>
          <w:sz w:val="24"/>
          <w:szCs w:val="24"/>
          <w14:textFill>
            <w14:solidFill>
              <w14:schemeClr w14:val="tx1"/>
            </w14:solidFill>
          </w14:textFill>
        </w:rPr>
        <w:t>进行承诺，不进行现场网上信用查询的失信行为：</w:t>
      </w:r>
    </w:p>
    <w:p w14:paraId="0E758DD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bookmarkStart w:id="163" w:name="OLE_LINK124"/>
      <w:bookmarkStart w:id="164" w:name="OLE_LINK123"/>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6CE40055">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②被滁州市县两级公管部门取消在一定期限内的投标资格且在取消期限内的；</w:t>
      </w:r>
    </w:p>
    <w:p w14:paraId="1C15746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③被滁州市县两级各行业主管部门取消在一定期限内的投标资格且在取消期限内的；</w:t>
      </w:r>
    </w:p>
    <w:p w14:paraId="5D29E2F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④因拖欠农民工工资被</w:t>
      </w:r>
      <w:bookmarkStart w:id="165" w:name="OLE_LINK107"/>
      <w:bookmarkStart w:id="166" w:name="OLE_LINK108"/>
      <w:r>
        <w:rPr>
          <w:rFonts w:hint="eastAsia" w:ascii="宋体" w:hAnsi="宋体" w:eastAsia="宋体" w:cs="宋体"/>
          <w:color w:val="000000" w:themeColor="text1"/>
          <w:sz w:val="24"/>
          <w:szCs w:val="24"/>
          <w14:textFill>
            <w14:solidFill>
              <w14:schemeClr w14:val="tx1"/>
            </w14:solidFill>
          </w14:textFill>
        </w:rPr>
        <w:t>县级及以上有关行政主管部门限制投标资格且在限制期限内的</w:t>
      </w:r>
      <w:bookmarkEnd w:id="165"/>
      <w:bookmarkEnd w:id="166"/>
      <w:r>
        <w:rPr>
          <w:rFonts w:hint="eastAsia" w:ascii="宋体" w:hAnsi="宋体" w:eastAsia="宋体" w:cs="宋体"/>
          <w:color w:val="000000" w:themeColor="text1"/>
          <w:sz w:val="24"/>
          <w:szCs w:val="24"/>
          <w14:textFill>
            <w14:solidFill>
              <w14:schemeClr w14:val="tx1"/>
            </w14:solidFill>
          </w14:textFill>
        </w:rPr>
        <w:t>；</w:t>
      </w:r>
    </w:p>
    <w:p w14:paraId="70DF7291">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⑤被列入省级、市级农民工工资支付异常名录的施工企业，在限制其参加全市范围内房建和市政工程建设项目投标的期限内的；列入县级异常名录的施工企业，在限制其参加本行政区域内房建和市政建设项目投标的期限内的。</w:t>
      </w:r>
    </w:p>
    <w:bookmarkEnd w:id="163"/>
    <w:bookmarkEnd w:id="164"/>
    <w:p w14:paraId="46197D4B">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（二）政府采购项目</w:t>
      </w:r>
    </w:p>
    <w:p w14:paraId="125E0F7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1、“信用中国”网站（</w:t>
      </w:r>
      <w:r>
        <w:rPr>
          <w:rStyle w:val="66"/>
          <w:rFonts w:hint="eastAsia" w:ascii="宋体" w:hAnsi="宋体" w:eastAsia="宋体" w:cs="宋体"/>
          <w:color w:val="000000" w:themeColor="text1"/>
          <w:sz w:val="24"/>
          <w:szCs w:val="24"/>
          <w14:textFill>
            <w14:solidFill>
              <w14:schemeClr w14:val="tx1"/>
            </w14:solidFill>
          </w14:textFill>
        </w:rPr>
        <w:t>www.creditchina.gov.cn</w:t>
      </w:r>
      <w:r>
        <w:rPr>
          <w:rFonts w:hint="eastAsia" w:ascii="宋体" w:hAnsi="宋体" w:eastAsia="宋体" w:cs="宋体"/>
          <w:color w:val="000000" w:themeColor="text1"/>
          <w:sz w:val="24"/>
          <w:szCs w:val="24"/>
          <w14:textFill>
            <w14:solidFill>
              <w14:schemeClr w14:val="tx1"/>
            </w14:solidFill>
          </w14:textFill>
        </w:rPr>
        <w:t>）查询供应商、法定代表人及其项目负责人以下失信行为：</w:t>
      </w:r>
    </w:p>
    <w:p w14:paraId="587B565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①被列入“失信被执行人”的;</w:t>
      </w:r>
    </w:p>
    <w:p w14:paraId="6449C0B7">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②被列入“重大税收违法失信主体”的；</w:t>
      </w:r>
    </w:p>
    <w:p w14:paraId="0DEF02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③被列入 “严重失信主体名单”的；</w:t>
      </w:r>
    </w:p>
    <w:p w14:paraId="5F20AF7F">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④在“信用中国”网站上披露的仍在公示期的严重失信行为(具体行为类别及判定依据见附件2)的。</w:t>
      </w:r>
    </w:p>
    <w:p w14:paraId="4879C9FA">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2、国家企业信用信息公示系统网站（</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"http://www.gsxt.gov.cn）查询"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www.gsxt.gov.cn）</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查询供应商以下失信行为：</w:t>
      </w:r>
    </w:p>
    <w:p w14:paraId="62651BEC">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67" w:name="OLE_LINK101"/>
      <w:bookmarkStart w:id="168" w:name="OLE_LINK102"/>
      <w:bookmarkStart w:id="169" w:name="OLE_LINK100"/>
      <w:r>
        <w:rPr>
          <w:rFonts w:hint="eastAsia" w:ascii="宋体" w:hAnsi="宋体" w:eastAsia="宋体" w:cs="宋体"/>
          <w:color w:val="000000" w:themeColor="text1"/>
          <w:sz w:val="24"/>
          <w:szCs w:val="24"/>
          <w14:textFill>
            <w14:solidFill>
              <w14:schemeClr w14:val="tx1"/>
            </w14:solidFill>
          </w14:textFill>
        </w:rPr>
        <w:t>被列入“经营异常名录”或者“严重违法失信名单”的</w:t>
      </w:r>
      <w:bookmarkEnd w:id="167"/>
      <w:bookmarkEnd w:id="168"/>
      <w:bookmarkEnd w:id="169"/>
      <w:r>
        <w:rPr>
          <w:rFonts w:hint="eastAsia" w:ascii="宋体" w:hAnsi="宋体" w:eastAsia="宋体" w:cs="宋体"/>
          <w:color w:val="000000" w:themeColor="text1"/>
          <w:sz w:val="24"/>
          <w:szCs w:val="24"/>
          <w14:textFill>
            <w14:solidFill>
              <w14:schemeClr w14:val="tx1"/>
            </w14:solidFill>
          </w14:textFill>
        </w:rPr>
        <w:t>。</w:t>
      </w:r>
    </w:p>
    <w:p w14:paraId="3A923958">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3、中国政府采购网站（</w:t>
      </w:r>
      <w:bookmarkStart w:id="170" w:name="OLE_LINK96"/>
      <w:bookmarkStart w:id="171" w:name="OLE_LINK95"/>
      <w:r>
        <w:rPr>
          <w:rFonts w:hint="eastAsia" w:ascii="宋体" w:hAnsi="宋体" w:eastAsia="宋体" w:cs="宋体"/>
          <w:color w:val="000000" w:themeColor="text1"/>
          <w:sz w:val="24"/>
          <w:szCs w:val="24"/>
          <w14:textFill>
            <w14:solidFill>
              <w14:schemeClr w14:val="tx1"/>
            </w14:solidFill>
          </w14:textFill>
        </w:rPr>
        <w:fldChar w:fldCharType="begin"/>
      </w:r>
      <w:r>
        <w:rPr>
          <w:rFonts w:hint="eastAsia" w:ascii="宋体" w:hAnsi="宋体" w:eastAsia="宋体" w:cs="宋体"/>
          <w:color w:val="000000" w:themeColor="text1"/>
          <w:sz w:val="24"/>
          <w:szCs w:val="24"/>
          <w14:textFill>
            <w14:solidFill>
              <w14:schemeClr w14:val="tx1"/>
            </w14:solidFill>
          </w14:textFill>
        </w:rPr>
        <w:instrText xml:space="preserve"> HYPERLINK "http://www.ccgp.gov.cn" </w:instrText>
      </w:r>
      <w:r>
        <w:rPr>
          <w:rFonts w:hint="eastAsia" w:ascii="宋体" w:hAnsi="宋体" w:eastAsia="宋体" w:cs="宋体"/>
          <w:color w:val="000000" w:themeColor="text1"/>
          <w:sz w:val="24"/>
          <w:szCs w:val="24"/>
          <w14:textFill>
            <w14:solidFill>
              <w14:schemeClr w14:val="tx1"/>
            </w14:solidFill>
          </w14:textFill>
        </w:rPr>
        <w:fldChar w:fldCharType="separate"/>
      </w:r>
      <w:r>
        <w:rPr>
          <w:rFonts w:hint="eastAsia" w:ascii="宋体" w:hAnsi="宋体" w:eastAsia="宋体" w:cs="宋体"/>
          <w:color w:val="000000" w:themeColor="text1"/>
          <w:sz w:val="24"/>
          <w:szCs w:val="24"/>
          <w14:textFill>
            <w14:solidFill>
              <w14:schemeClr w14:val="tx1"/>
            </w14:solidFill>
          </w14:textFill>
        </w:rPr>
        <w:t>www.ccgp.gov.cn</w:t>
      </w:r>
      <w:r>
        <w:rPr>
          <w:rFonts w:hint="eastAsia" w:ascii="宋体" w:hAnsi="宋体" w:eastAsia="宋体" w:cs="宋体"/>
          <w:color w:val="000000" w:themeColor="text1"/>
          <w:sz w:val="24"/>
          <w:szCs w:val="24"/>
          <w14:textFill>
            <w14:solidFill>
              <w14:schemeClr w14:val="tx1"/>
            </w14:solidFill>
          </w14:textFill>
        </w:rPr>
        <w:fldChar w:fldCharType="end"/>
      </w:r>
      <w:bookmarkEnd w:id="170"/>
      <w:bookmarkEnd w:id="171"/>
      <w:r>
        <w:rPr>
          <w:rFonts w:hint="eastAsia" w:ascii="宋体" w:hAnsi="宋体" w:eastAsia="宋体" w:cs="宋体"/>
          <w:color w:val="000000" w:themeColor="text1"/>
          <w:sz w:val="24"/>
          <w:szCs w:val="24"/>
          <w14:textFill>
            <w14:solidFill>
              <w14:schemeClr w14:val="tx1"/>
            </w14:solidFill>
          </w14:textFill>
        </w:rPr>
        <w:t>）查询以下失信行为：</w:t>
      </w:r>
    </w:p>
    <w:p w14:paraId="35C04349">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w:t>
      </w:r>
      <w:bookmarkStart w:id="172" w:name="OLE_LINK104"/>
      <w:bookmarkStart w:id="173" w:name="OLE_LINK105"/>
      <w:bookmarkStart w:id="174" w:name="OLE_LINK106"/>
      <w:r>
        <w:rPr>
          <w:rFonts w:hint="eastAsia" w:ascii="宋体" w:hAnsi="宋体" w:eastAsia="宋体" w:cs="宋体"/>
          <w:color w:val="000000" w:themeColor="text1"/>
          <w:sz w:val="24"/>
          <w:szCs w:val="24"/>
          <w14:textFill>
            <w14:solidFill>
              <w14:schemeClr w14:val="tx1"/>
            </w14:solidFill>
          </w14:textFill>
        </w:rPr>
        <w:t>被列入“政府采购严重违法失信行为信息记录”的</w:t>
      </w:r>
      <w:bookmarkEnd w:id="172"/>
      <w:bookmarkEnd w:id="173"/>
      <w:bookmarkEnd w:id="174"/>
      <w:r>
        <w:rPr>
          <w:rFonts w:hint="eastAsia" w:ascii="宋体" w:hAnsi="宋体" w:eastAsia="宋体" w:cs="宋体"/>
          <w:color w:val="000000" w:themeColor="text1"/>
          <w:sz w:val="24"/>
          <w:szCs w:val="24"/>
          <w14:textFill>
            <w14:solidFill>
              <w14:schemeClr w14:val="tx1"/>
            </w14:solidFill>
          </w14:textFill>
        </w:rPr>
        <w:t>。</w:t>
      </w:r>
    </w:p>
    <w:p w14:paraId="6F37C1D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4、由竞争主体进行承诺，不进行现场网上信用查询的失信行为：</w:t>
      </w:r>
    </w:p>
    <w:p w14:paraId="3A29A3C0">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①前三年有行贿犯罪行为的单位和个人。</w:t>
      </w:r>
    </w:p>
    <w:p w14:paraId="0AE1AAB9">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二、在开评标活动中的查询程序</w:t>
      </w:r>
    </w:p>
    <w:p w14:paraId="44F45E2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实行有限数量制资格审查的项目，由项目单位（代理机构）对入围的投标人、法定代表人及其项目经理（建造师）是否存在上述要求查询的失信行为进行网上核查；若核查结果与投标人承诺不一致，则提交评标委员会取消其入围资格，依次进行替补，并对替补单位进行核查。评审结论以核查后入围的结果重新计算最终评标基准价。</w:t>
      </w:r>
    </w:p>
    <w:p w14:paraId="7AC8289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2、不实行有限数量制资格审查的项目，由项目单位（代理机构）对预中标候选人、法定代表人及其项目经理（建造师）是否存在上述要求查询的失信行为进行网上核查后，提交网站截图等查询记录给评标委员会复核。若核查结果不符合招标文件规定的投标人资格条件信誉要求，由评标委员会取消其预中标候选人资格，并依次替补，再次对替补单位进行核查。如评标现场未发现问题但标后质疑（异议）、投诉发现中标候选人存在信誉问题，则组织评标委员会重新启动复核程序。核查结果不改变原评标基准价。</w:t>
      </w:r>
    </w:p>
    <w:p w14:paraId="6A5C10AE">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3、项目单位及其委托的代理机构应当做好信用查询结果截图和记录留存。</w:t>
      </w:r>
    </w:p>
    <w:p w14:paraId="0C31672D">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三、相关要求</w:t>
      </w:r>
    </w:p>
    <w:p w14:paraId="24DE195B">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1、参与公共资源交易活动的竞争主体根据上述范围查询的内容进行自查并承诺，出具《诚信投标承诺书》（诚信投标承诺书包括但不限于上述自查并承诺内容）并注明承诺日期（投标截止时间前5日内）。</w:t>
      </w:r>
    </w:p>
    <w:p w14:paraId="12B66206">
      <w:pPr>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经核查，竞争主体在承诺日期之前（没有承诺日期的以资格审查日或开标日之前）有上述失信行为进行虚假承诺的，将视作不诚信行为，资格审查委员会或评标委员会及代理机构应当及时报告公共资源监管部门，依法依规予以处理。</w:t>
      </w:r>
    </w:p>
    <w:p w14:paraId="6CD16811">
      <w:pPr>
        <w:wordWrap w:val="0"/>
        <w:adjustRightInd w:val="0"/>
        <w:snapToGrid w:val="0"/>
        <w:spacing w:line="560" w:lineRule="exact"/>
        <w:ind w:firstLine="480" w:firstLineChars="200"/>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 xml:space="preserve">注册地在安徽省内且未在安徽省外开展业务、省外无违法违规行为的企业可通过安徽政务服务网开具由安徽省公共信用信息服务中心出具的《公共信用信息报告（无违法违规证明版或核查版）》代替《诚信投标承诺书》。《公共信用信息报告（无违法违规证明版或核查版）》可通过 “信用中国(安徽)”网站信用报告核验系统 (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"https://credit.ah.gov.cn/xinyong-fuwu/xvbahv/index.html" </w:instrText>
      </w:r>
      <w:r>
        <w:rPr>
          <w:rFonts w:hint="eastAsia" w:ascii="宋体" w:hAnsi="宋体" w:eastAsia="宋体" w:cs="宋体"/>
          <w:sz w:val="24"/>
          <w:szCs w:val="24"/>
        </w:rPr>
        <w:fldChar w:fldCharType="separate"/>
      </w:r>
      <w:r>
        <w:rPr>
          <w:rFonts w:hint="eastAsia" w:ascii="宋体" w:hAnsi="宋体" w:eastAsia="宋体" w:cs="宋体"/>
          <w:color w:val="000000" w:themeColor="text1"/>
          <w:sz w:val="24"/>
          <w:szCs w:val="24"/>
          <w14:textFill>
            <w14:solidFill>
              <w14:schemeClr w14:val="tx1"/>
            </w14:solidFill>
          </w14:textFill>
        </w:rPr>
        <w:t>https://credit.ah.gov.cn/xinyong-fuwu/xvbahv/index.html</w:t>
      </w:r>
      <w:r>
        <w:rPr>
          <w:rFonts w:hint="eastAsia" w:ascii="宋体" w:hAnsi="宋体" w:eastAsia="宋体" w:cs="宋体"/>
          <w:color w:val="000000" w:themeColor="text1"/>
          <w:sz w:val="24"/>
          <w:szCs w:val="24"/>
          <w14:textFill>
            <w14:solidFill>
              <w14:schemeClr w14:val="tx1"/>
            </w14:solidFill>
          </w14:textFill>
        </w:rPr>
        <w:fldChar w:fldCharType="end"/>
      </w:r>
      <w:r>
        <w:rPr>
          <w:rFonts w:hint="eastAsia" w:ascii="宋体" w:hAnsi="宋体" w:eastAsia="宋体" w:cs="宋体"/>
          <w:color w:val="000000" w:themeColor="text1"/>
          <w:sz w:val="24"/>
          <w:szCs w:val="24"/>
          <w14:textFill>
            <w14:solidFill>
              <w14:schemeClr w14:val="tx1"/>
            </w14:solidFill>
          </w14:textFill>
        </w:rPr>
        <w:t>)进行核验。核验不一致或提交《公共信用信息报告（无违法违规证明版或核查版）》的企业在省外有失信行为的将视作不诚信行为，资格审查委员会或评标委员会及代理机构应当及时报告公共资源监管部门，依法依规予以处理。</w:t>
      </w:r>
    </w:p>
    <w:p w14:paraId="35F8E462">
      <w:pPr>
        <w:adjustRightInd w:val="0"/>
        <w:snapToGrid w:val="0"/>
        <w:spacing w:line="560" w:lineRule="exact"/>
        <w:ind w:firstLine="482" w:firstLineChars="200"/>
        <w:rPr>
          <w:rFonts w:hint="eastAsia"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
          <w:color w:val="000000" w:themeColor="text1"/>
          <w:sz w:val="24"/>
          <w:szCs w:val="24"/>
          <w14:textFill>
            <w14:solidFill>
              <w14:schemeClr w14:val="tx1"/>
            </w14:solidFill>
          </w14:textFill>
        </w:rPr>
        <w:t>2、“信用中国”查询的严重失信行为判定依据为各行业主管部门下发的联合惩戒文件中规定的行为（按附件2执行）。</w:t>
      </w:r>
    </w:p>
    <w:p w14:paraId="36F92A93">
      <w:pPr>
        <w:spacing w:line="440" w:lineRule="exact"/>
        <w:rPr>
          <w:rFonts w:hint="eastAsia" w:ascii="宋体" w:hAnsi="宋体" w:eastAsia="宋体" w:cs="宋体"/>
          <w:b/>
          <w:sz w:val="24"/>
          <w:szCs w:val="24"/>
        </w:rPr>
      </w:pPr>
      <w:r>
        <w:rPr>
          <w:rFonts w:hint="eastAsia" w:ascii="宋体" w:hAnsi="宋体" w:eastAsia="宋体" w:cs="宋体"/>
          <w:color w:val="000000" w:themeColor="text1"/>
          <w:sz w:val="24"/>
          <w:szCs w:val="24"/>
          <w14:textFill>
            <w14:solidFill>
              <w14:schemeClr w14:val="tx1"/>
            </w14:solidFill>
          </w14:textFill>
        </w:rPr>
        <w:t>3、资格预审的项目以递交资格预审申请文件截止时间查询为准；资格后审的项目以递交投标文件截止时间查询为准。</w:t>
      </w:r>
      <w:r>
        <w:rPr>
          <w:rFonts w:hint="eastAsia" w:ascii="宋体" w:hAnsi="宋体" w:eastAsia="宋体" w:cs="宋体"/>
          <w:b/>
          <w:sz w:val="24"/>
          <w:szCs w:val="24"/>
          <w:lang w:bidi="ar"/>
        </w:rPr>
        <w:t xml:space="preserve"> </w:t>
      </w:r>
    </w:p>
    <w:p w14:paraId="4D84AFFE">
      <w:pPr>
        <w:pStyle w:val="54"/>
        <w:ind w:firstLine="420"/>
        <w:rPr>
          <w:rFonts w:hint="eastAsia" w:ascii="宋体" w:hAnsi="宋体" w:eastAsia="宋体" w:cs="宋体"/>
        </w:rPr>
      </w:pPr>
      <w:r>
        <w:rPr>
          <w:rFonts w:hint="eastAsia" w:ascii="宋体" w:hAnsi="宋体" w:eastAsia="宋体" w:cs="宋体"/>
        </w:rPr>
        <w:t xml:space="preserve"> </w:t>
      </w:r>
    </w:p>
    <w:p w14:paraId="27ECF83D">
      <w:pPr>
        <w:spacing w:line="440" w:lineRule="exact"/>
        <w:rPr>
          <w:rFonts w:hint="eastAsia" w:ascii="宋体" w:hAnsi="宋体" w:eastAsia="宋体" w:cs="宋体"/>
          <w:b/>
          <w:sz w:val="24"/>
          <w:szCs w:val="24"/>
        </w:rPr>
      </w:pPr>
      <w:r>
        <w:rPr>
          <w:rFonts w:hint="eastAsia" w:ascii="宋体" w:hAnsi="宋体" w:eastAsia="宋体" w:cs="宋体"/>
          <w:b/>
          <w:sz w:val="24"/>
          <w:szCs w:val="24"/>
          <w:lang w:bidi="ar"/>
        </w:rPr>
        <w:br w:type="page"/>
      </w:r>
      <w:r>
        <w:rPr>
          <w:rFonts w:hint="eastAsia" w:ascii="宋体" w:hAnsi="宋体" w:eastAsia="宋体" w:cs="宋体"/>
          <w:b/>
          <w:sz w:val="24"/>
          <w:szCs w:val="24"/>
          <w:lang w:bidi="ar"/>
        </w:rPr>
        <w:t>附件2</w:t>
      </w:r>
    </w:p>
    <w:p w14:paraId="445565DE">
      <w:pPr>
        <w:adjustRightInd w:val="0"/>
        <w:snapToGrid w:val="0"/>
        <w:spacing w:line="560" w:lineRule="exact"/>
        <w:ind w:firstLine="645"/>
        <w:jc w:val="center"/>
        <w:rPr>
          <w:rFonts w:hint="eastAsia" w:ascii="宋体" w:hAnsi="宋体" w:eastAsia="宋体" w:cs="宋体"/>
          <w:b/>
          <w:sz w:val="24"/>
          <w:szCs w:val="24"/>
          <w:lang w:eastAsia="zh-CN" w:bidi="ar"/>
        </w:rPr>
      </w:pPr>
      <w:r>
        <w:rPr>
          <w:rFonts w:hint="eastAsia" w:ascii="宋体" w:hAnsi="宋体" w:eastAsia="宋体" w:cs="宋体"/>
          <w:b/>
          <w:sz w:val="24"/>
          <w:szCs w:val="24"/>
          <w:lang w:eastAsia="zh-CN" w:bidi="ar"/>
        </w:rPr>
        <w:t>“信用中国”查询的严重失信行为类别及判定依据</w:t>
      </w:r>
    </w:p>
    <w:p w14:paraId="2EC3C4E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“信用中国”查询的严重失信行为判定依据为各行业主管部门下发的联合惩戒文件中规定的行为。下面将部分类别的严重失信行为列举如下：</w:t>
      </w:r>
    </w:p>
    <w:p w14:paraId="17DD0DC0">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一、安全生产领域严重失信行为：</w:t>
      </w:r>
    </w:p>
    <w:p w14:paraId="06B8DD9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（一）下列发生生产安全事故的生产经营单位及其有关人员应当列入严重失信主体名单：</w:t>
      </w:r>
    </w:p>
    <w:p w14:paraId="37ED0E9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1、发生特别重大、重大生产安全事故的生产经营单位及其主要负责人，以及经调查认定对该事故发生负有责任，应当列入名单的其他单位和人员；</w:t>
      </w:r>
    </w:p>
    <w:p w14:paraId="2A18EB6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2、12个月内累计发生2起以上较大生产安全事故的生产经营单位及其主要负责人；</w:t>
      </w:r>
    </w:p>
    <w:p w14:paraId="566F343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3、发生生产安全事故，情节特别严重、影响特别恶劣，依照《中华人民共和国安全生产法》第一百一十四条的规定被处以罚款数额2倍以上5倍以下罚款的生产经营单位及其主要负责人；</w:t>
      </w:r>
    </w:p>
    <w:p w14:paraId="1E1DA3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4、瞒报、谎报生产安全事故的生产经营单位及其有关责任人员；</w:t>
      </w:r>
    </w:p>
    <w:p w14:paraId="49F568F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5、发生生产安全事故后，不立即组织抢救或者在事故调查处理期间擅离职守或者逃匿的生产经营单位主要负责人。</w:t>
      </w:r>
    </w:p>
    <w:p w14:paraId="72B7868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（二）下列未发生生产安全事故，但因安全生产违法行为，受到行政处罚的生产经营单位或者机构及其有关人员，应当列入严重失信主体名单：</w:t>
      </w:r>
    </w:p>
    <w:p w14:paraId="3C78E1A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1、未依法取得安全生产相关许可或者许可被暂扣、吊销期间从事相关生产经营活动的生产经营单位及其主要负责人；</w:t>
      </w:r>
    </w:p>
    <w:p w14:paraId="77EC91B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2、承担安全评价、认证、检测、检验职责的机构及其直接责任人员租借资质、挂靠、出具虚假报告或者证书的；</w:t>
      </w:r>
    </w:p>
    <w:p w14:paraId="2636D90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3、在应急管理部门作出行政处罚后，有执行能力拒不执行或者逃避执行的生产经营单位及其主要负责人；</w:t>
      </w:r>
    </w:p>
    <w:p w14:paraId="746FD1A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4、其他违反安全生产法律法规受到行政处罚，且性质恶劣、情节严重的。</w:t>
      </w:r>
    </w:p>
    <w:p w14:paraId="47C8C4D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依据：《安全生产严重失信主体名单管理办法》（2023年8月8日应急管理部令第11号）</w:t>
      </w:r>
    </w:p>
    <w:p w14:paraId="5B27FE0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二、环境保护领域严重失信行为：</w:t>
      </w:r>
    </w:p>
    <w:p w14:paraId="2D9A91D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（一）因为环境违法构成</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"https://baike.sogou.com/m/fullLemma?lid=10403954&amp;g_ut=3"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环境犯罪</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7033D6B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"https://baike.sogou.com/m/fullLemma?lid=76033123&amp;g_ut=3"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建设项目环境影响评价</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文件未按规定通过审批，擅自开工建设的；</w:t>
      </w:r>
    </w:p>
    <w:p w14:paraId="48BD0B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（三）建设项目环保设施未建成、环保措施未落实、未通过</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"https://baike.sogou.com/m/fullLemma?lid=6470550&amp;g_ut=3"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竣工环保验收</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或者验收不合格，主体工程正式投入生产或者使用的；</w:t>
      </w:r>
    </w:p>
    <w:p w14:paraId="018573A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（四）建设项目性质、规模、地点、采用的生产工艺或者防治污染、防止生态破坏的措施发生重大变动，未重新报批环境影响评价文件，擅自投入生产或者使用的；</w:t>
      </w:r>
    </w:p>
    <w:p w14:paraId="02FE1F4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（五）主要污染物排放总量超过控制指标的；</w:t>
      </w:r>
    </w:p>
    <w:p w14:paraId="2CE71B00">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（六）私设暗管或者利用</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"https://baike.sogou.com/m/fullLemma?lid=41657319&amp;g_ut=3"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渗井</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、渗坑、裂隙、溶洞等排放、倾倒、处置水污染物，或者通过私设旁路排放</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"https://baike.sogou.com/m/fullLemma?lid=7758328&amp;g_ut=3"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大气污染物</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的；</w:t>
      </w:r>
    </w:p>
    <w:p w14:paraId="50A8CA9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（七）非法排放、倾倒、处置危险废物，或者向无</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"https://baike.sogou.com/m/fullLemma?lid=5923292&amp;g_ut=3"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经营许可证</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或者超出经营许可范围的单位或个人提供或者委托其收集、贮存、利用、处置危险废物的；</w:t>
      </w:r>
    </w:p>
    <w:p w14:paraId="13B8C89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（八）</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"https://baike.sogou.com/m/fullLemma?lid=167759803&amp;g_ut=3"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环境违法行为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造成集中式生活饮用水水源取水中断的；</w:t>
      </w:r>
    </w:p>
    <w:p w14:paraId="4C29D21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（九）环境违法行为对生活饮用水水源保护区、自然保护区、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"https://baike.sogou.com/m/fullLemma?lid=155199213&amp;g_ut=3"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国家重点生态功能区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、风景名胜区、居住功能区、</w:t>
      </w:r>
      <w:r>
        <w:rPr>
          <w:rFonts w:hint="eastAsia" w:ascii="宋体" w:hAnsi="宋体" w:eastAsia="宋体" w:cs="宋体"/>
          <w:color w:val="auto"/>
          <w:sz w:val="24"/>
          <w:szCs w:val="24"/>
        </w:rPr>
        <w:fldChar w:fldCharType="begin"/>
      </w:r>
      <w:r>
        <w:rPr>
          <w:rFonts w:hint="eastAsia" w:ascii="宋体" w:hAnsi="宋体" w:eastAsia="宋体" w:cs="宋体"/>
          <w:color w:val="auto"/>
          <w:sz w:val="24"/>
          <w:szCs w:val="24"/>
        </w:rPr>
        <w:instrText xml:space="preserve"> HYPERLINK "https://baike.sogou.com/m/fullLemma?lid=7757164&amp;g_ut=3" \t "https://baike.sogou.com/m/_blank" </w:instrText>
      </w:r>
      <w:r>
        <w:rPr>
          <w:rFonts w:hint="eastAsia" w:ascii="宋体" w:hAnsi="宋体" w:eastAsia="宋体" w:cs="宋体"/>
          <w:color w:val="auto"/>
          <w:sz w:val="24"/>
          <w:szCs w:val="24"/>
        </w:rPr>
        <w:fldChar w:fldCharType="separate"/>
      </w:r>
      <w:r>
        <w:rPr>
          <w:rFonts w:hint="eastAsia" w:ascii="宋体" w:hAnsi="宋体" w:eastAsia="宋体" w:cs="宋体"/>
          <w:color w:val="auto"/>
          <w:sz w:val="24"/>
          <w:szCs w:val="24"/>
        </w:rPr>
        <w:t>基本农田保护区</w:t>
      </w:r>
      <w:r>
        <w:rPr>
          <w:rFonts w:hint="eastAsia" w:ascii="宋体" w:hAnsi="宋体" w:eastAsia="宋体" w:cs="宋体"/>
          <w:color w:val="auto"/>
          <w:sz w:val="24"/>
          <w:szCs w:val="24"/>
        </w:rPr>
        <w:fldChar w:fldCharType="end"/>
      </w:r>
      <w:r>
        <w:rPr>
          <w:rFonts w:hint="eastAsia" w:ascii="宋体" w:hAnsi="宋体" w:eastAsia="宋体" w:cs="宋体"/>
          <w:color w:val="auto"/>
          <w:sz w:val="24"/>
          <w:szCs w:val="24"/>
        </w:rPr>
        <w:t>等环境敏感区造成重大不利影响的；</w:t>
      </w:r>
    </w:p>
    <w:p w14:paraId="16DA445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（十）违法从事自然资源开发、交通基础设施建设，以及其他开发建设活动，造成严重生态破坏的；</w:t>
      </w:r>
    </w:p>
    <w:p w14:paraId="55730F7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（十一）发生较大及以上突发环境事件的；</w:t>
      </w:r>
    </w:p>
    <w:p w14:paraId="3EB1517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（十二）被环保部门挂牌督办，整改逾期未完成的；</w:t>
      </w:r>
    </w:p>
    <w:p w14:paraId="37E08BE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（十三）以暴力、威胁等方式拒绝、阻挠环保部门工作人员现场检查的；</w:t>
      </w:r>
    </w:p>
    <w:p w14:paraId="64B5490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（十四）违反重污染天气应急预案有关规定，对重污染天气响应不力的。</w:t>
      </w:r>
    </w:p>
    <w:p w14:paraId="0A474106">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75" w:name="OLE_LINK9"/>
      <w:bookmarkStart w:id="176" w:name="OLE_LINK8"/>
      <w:bookmarkStart w:id="177" w:name="OLE_LINK10"/>
      <w:r>
        <w:rPr>
          <w:rFonts w:hint="eastAsia" w:ascii="宋体" w:hAnsi="宋体" w:eastAsia="宋体" w:cs="宋体"/>
          <w:b/>
          <w:color w:val="auto"/>
          <w:sz w:val="24"/>
          <w:szCs w:val="24"/>
        </w:rPr>
        <w:t>关于对环境保护领域失信生产经营单位及其有关人员开展联合惩戒的合作备忘录</w:t>
      </w:r>
      <w:bookmarkEnd w:id="175"/>
      <w:bookmarkEnd w:id="176"/>
      <w:bookmarkEnd w:id="177"/>
      <w:r>
        <w:rPr>
          <w:rFonts w:hint="eastAsia" w:ascii="宋体" w:hAnsi="宋体" w:eastAsia="宋体" w:cs="宋体"/>
          <w:b/>
          <w:color w:val="auto"/>
          <w:sz w:val="24"/>
          <w:szCs w:val="24"/>
        </w:rPr>
        <w:t>》、《</w:t>
      </w:r>
      <w:bookmarkStart w:id="178" w:name="OLE_LINK12"/>
      <w:bookmarkStart w:id="179" w:name="OLE_LINK11"/>
      <w:r>
        <w:rPr>
          <w:rFonts w:hint="eastAsia" w:ascii="宋体" w:hAnsi="宋体" w:eastAsia="宋体" w:cs="宋体"/>
          <w:b/>
          <w:color w:val="auto"/>
          <w:sz w:val="24"/>
          <w:szCs w:val="24"/>
        </w:rPr>
        <w:t>企业环境信用评价办法（试行）</w:t>
      </w:r>
      <w:bookmarkEnd w:id="178"/>
      <w:bookmarkEnd w:id="179"/>
      <w:r>
        <w:rPr>
          <w:rFonts w:hint="eastAsia" w:ascii="宋体" w:hAnsi="宋体" w:eastAsia="宋体" w:cs="宋体"/>
          <w:b/>
          <w:color w:val="auto"/>
          <w:sz w:val="24"/>
          <w:szCs w:val="24"/>
        </w:rPr>
        <w:t>》（环发〔2013〕150号）</w:t>
      </w:r>
    </w:p>
    <w:p w14:paraId="7EA63CD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三、</w:t>
      </w:r>
      <w:r>
        <w:rPr>
          <w:rFonts w:hint="eastAsia" w:ascii="宋体" w:hAnsi="宋体" w:eastAsia="宋体" w:cs="宋体"/>
          <w:b/>
          <w:bCs/>
          <w:color w:val="auto"/>
          <w:sz w:val="24"/>
          <w:szCs w:val="24"/>
        </w:rPr>
        <w:t>公共资源交易领域严重失信行为</w:t>
      </w:r>
    </w:p>
    <w:p w14:paraId="0FE8FF6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（一）违反法律规定，必须进行招标的项目而不招标的，将必须进行招标的项目化整为零或者以其他任何方式规避招标的； </w:t>
      </w:r>
    </w:p>
    <w:p w14:paraId="25D9907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（二）招标代理机构违反法律规定，泄露应当保密的与招标投标活动有关的情况和资料的，或者与招标人、投标人串通损害 国家利益、社会公共利益或者他人合法权益的；</w:t>
      </w:r>
    </w:p>
    <w:p w14:paraId="0FAA6A3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（三）招标人以不合理的条件限制或者排斥潜在投标人的，对潜在投标人实行歧视待遇的，强制要求投标人组成联合体共同 投标的，或者限制投标人之间竞争的；</w:t>
      </w:r>
    </w:p>
    <w:p w14:paraId="23C2915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（四）依法必须进行招标的项目的招标人向他人透露已获取招标文件的潜在投标人的名称、数量或者可能影响公平竞争的有 关招标投标的其他情况的，或者泄露标底的；</w:t>
      </w:r>
    </w:p>
    <w:p w14:paraId="1BEC9034">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（五）投标人相互串通投标或者与招标人串通投标的，投标人以向招标人或者评标委员会成员行贿的手段谋取中标的； </w:t>
      </w:r>
    </w:p>
    <w:p w14:paraId="7D8E21E5">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（六）投标人以他人名义投标或者以其他方式弄虚作假，骗取中标的；</w:t>
      </w:r>
    </w:p>
    <w:p w14:paraId="3DC700B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（七）依法必须进行招标的项目，招标人违反法律规定，与投标人就投标价格、投标方案等实质性内容进行谈判的；</w:t>
      </w:r>
    </w:p>
    <w:p w14:paraId="50C7840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（八）评标委员会成员收受投标人的财物或者其他好处的，评标委员会成员或者参加评标的有关工作人员向他人透露对投 标文件的评审和比较、中标候选人的推荐以及与评标有关的其他 情况的； </w:t>
      </w:r>
    </w:p>
    <w:p w14:paraId="5F933AA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（九）招标人在评标委员会依法推荐的中标候选人以外确定中标人的，依法必须进行招标的项目在所有投标被评标委员会否 决后自行确定中标人的； </w:t>
      </w:r>
    </w:p>
    <w:p w14:paraId="4DCD46C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（十）中标人将中标项目转让给他人的，将中标项目肢解后分别转让给他人的，违反法律规定将中标项目的部分主体、关键 性工作分包给他人的，或者分包人再次分包的； </w:t>
      </w:r>
    </w:p>
    <w:p w14:paraId="5B32362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（十一）招标人与中标人不按照招标文件和中标人的投标文件订立合同的，或者招标人、中标人订立背离合同实质性内容的 协议的； </w:t>
      </w:r>
    </w:p>
    <w:p w14:paraId="7904753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（十二）中标人不按照与招标人订立的合同履行义务，情节严重的； </w:t>
      </w:r>
    </w:p>
    <w:p w14:paraId="731602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（十三）采购人、采购代理机构存在应当采用公开招标方式而擅自采用其他方式采购，擅自提高采购标准，以不合理的条件 对供应商实行差别待遇或者歧视待遇，在招标采购过程中与投标 人进行协商谈判，中标、成交通知书发出后不与中标、成交供应商签订采购合同，或者拒绝有关部门依法实施监督检查等情形的；</w:t>
      </w:r>
    </w:p>
    <w:p w14:paraId="5E02950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 （十四）采购人、采购代理机构及其工作人员存在与供应商 或者采购代理机构恶意串通，在采购过程中接受贿赂或者获取其 他不正当利益，在有关部门依法实施的监督检查中提供虚假情况， 或者开标前泄露标底等情形的；</w:t>
      </w:r>
    </w:p>
    <w:p w14:paraId="33B2C44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（十五）采购人对应当实行集中采购的政府采购项目，不委托集中采购机构实行集中采购的； </w:t>
      </w:r>
    </w:p>
    <w:p w14:paraId="4822127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（十六）采购人、采购代理机构违反法律规定隐匿、销毁应当保存的采购文件或者伪造、变造采购文件的； </w:t>
      </w:r>
    </w:p>
    <w:p w14:paraId="13B75D72">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（十七）供应商存在提供虚假材料谋取中标、成交，采取不 正当手段诋毁、排挤其他供应商，与采购人、其他供应商或者采 购代理机构恶意串通，向采购人、采购代理机构行贿或者提供其 他不正当利益，在招标采购过程中与采购人进行协商谈判，或拒 绝有关部门监督检查或者提供虚假情况等情形的； </w:t>
      </w:r>
    </w:p>
    <w:p w14:paraId="76CDAACA">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（十八）疫苗生产企业向县级疾病预防控制机构以外的单位或者个人销售第二类疫苗的； </w:t>
      </w:r>
    </w:p>
    <w:p w14:paraId="676C99A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（十九）存在其他违反公共资源交易法律法规行为的。</w:t>
      </w:r>
    </w:p>
    <w:p w14:paraId="54FB3063">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80" w:name="OLE_LINK13"/>
      <w:bookmarkStart w:id="181" w:name="OLE_LINK14"/>
      <w:r>
        <w:rPr>
          <w:rFonts w:hint="eastAsia" w:ascii="宋体" w:hAnsi="宋体" w:eastAsia="宋体" w:cs="宋体"/>
          <w:b/>
          <w:color w:val="auto"/>
          <w:sz w:val="24"/>
          <w:szCs w:val="24"/>
        </w:rPr>
        <w:t>关于对公共资源交易领域严重失信主体开展联合惩戒的备忘录</w:t>
      </w:r>
      <w:bookmarkEnd w:id="180"/>
      <w:bookmarkEnd w:id="181"/>
      <w:r>
        <w:rPr>
          <w:rFonts w:hint="eastAsia" w:ascii="宋体" w:hAnsi="宋体" w:eastAsia="宋体" w:cs="宋体"/>
          <w:b/>
          <w:color w:val="auto"/>
          <w:sz w:val="24"/>
          <w:szCs w:val="24"/>
        </w:rPr>
        <w:t>》（发改法规〔2018〕457号）</w:t>
      </w:r>
    </w:p>
    <w:p w14:paraId="0CEE45A4">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四、</w:t>
      </w:r>
      <w:r>
        <w:rPr>
          <w:rFonts w:hint="eastAsia" w:ascii="宋体" w:hAnsi="宋体" w:eastAsia="宋体" w:cs="宋体"/>
          <w:b/>
          <w:bCs/>
          <w:color w:val="auto"/>
          <w:sz w:val="24"/>
          <w:szCs w:val="24"/>
        </w:rPr>
        <w:t>社会保险领域严重失信行为</w:t>
      </w:r>
    </w:p>
    <w:p w14:paraId="488DE6A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（一）用人单位未按相关规定参加社会保险且拒不整改的； </w:t>
      </w:r>
    </w:p>
    <w:p w14:paraId="0D4A8926">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（二）用人单位未如实申报社会保险缴费基数且拒不整改的； </w:t>
      </w:r>
    </w:p>
    <w:p w14:paraId="7D43694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（三）应缴纳社会保险费却拒不缴纳的； </w:t>
      </w:r>
    </w:p>
    <w:p w14:paraId="0BAF919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（四）隐匿、转移、侵占、挪用社会保险费款、基金或者违规投资运营的；</w:t>
      </w:r>
    </w:p>
    <w:p w14:paraId="02513638">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（五）以欺诈、伪造证明材料或者其他手段参加、申报社会保险和骗取社会保险基金支出或社会保险待遇的； </w:t>
      </w:r>
    </w:p>
    <w:p w14:paraId="3CAB673B">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（六）非法获取、出售或变相交易社会保险个人权益数据的； </w:t>
      </w:r>
    </w:p>
    <w:p w14:paraId="20D9FCE7">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（七）社会保险服务机构违反服务协议或相关规定的； </w:t>
      </w:r>
    </w:p>
    <w:p w14:paraId="69C9CBD9">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 xml:space="preserve">（八）拒绝协助社会保险行政部门、经办机构对事故和问题进 行调查核实的；拒绝接受或协助税务部门对社会保险实施监督检查， 不如实提供与社会保险相关各项资料的； </w:t>
      </w:r>
    </w:p>
    <w:p w14:paraId="6A19F9BD">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（九）其他违反法律法规规定的。</w:t>
      </w:r>
    </w:p>
    <w:p w14:paraId="6CF9D8C2">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color w:val="auto"/>
          <w:sz w:val="24"/>
          <w:szCs w:val="24"/>
        </w:rPr>
      </w:pPr>
      <w:r>
        <w:rPr>
          <w:rFonts w:hint="eastAsia" w:ascii="宋体" w:hAnsi="宋体" w:eastAsia="宋体" w:cs="宋体"/>
          <w:b/>
          <w:color w:val="auto"/>
          <w:sz w:val="24"/>
          <w:szCs w:val="24"/>
        </w:rPr>
        <w:t>依据：《</w:t>
      </w:r>
      <w:bookmarkStart w:id="182" w:name="OLE_LINK15"/>
      <w:bookmarkStart w:id="183" w:name="OLE_LINK16"/>
      <w:r>
        <w:rPr>
          <w:rFonts w:hint="eastAsia" w:ascii="宋体" w:hAnsi="宋体" w:eastAsia="宋体" w:cs="宋体"/>
          <w:b/>
          <w:color w:val="auto"/>
          <w:sz w:val="24"/>
          <w:szCs w:val="24"/>
        </w:rPr>
        <w:t>关于对社会保险领域严重失信企业及其有关人员实施联合惩戒的合作备忘录</w:t>
      </w:r>
      <w:bookmarkEnd w:id="182"/>
      <w:bookmarkEnd w:id="183"/>
      <w:r>
        <w:rPr>
          <w:rFonts w:hint="eastAsia" w:ascii="宋体" w:hAnsi="宋体" w:eastAsia="宋体" w:cs="宋体"/>
          <w:b/>
          <w:color w:val="auto"/>
          <w:sz w:val="24"/>
          <w:szCs w:val="24"/>
        </w:rPr>
        <w:t>》（发改财金〔2018〕1704号）</w:t>
      </w:r>
    </w:p>
    <w:p w14:paraId="2C5DEA71">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bCs/>
          <w:color w:val="auto"/>
          <w:sz w:val="24"/>
          <w:szCs w:val="24"/>
        </w:rPr>
      </w:pPr>
      <w:r>
        <w:rPr>
          <w:rFonts w:hint="eastAsia" w:ascii="宋体" w:hAnsi="宋体" w:eastAsia="宋体" w:cs="宋体"/>
          <w:b/>
          <w:color w:val="auto"/>
          <w:sz w:val="24"/>
          <w:szCs w:val="24"/>
        </w:rPr>
        <w:t>五、建筑市场领域</w:t>
      </w:r>
      <w:r>
        <w:rPr>
          <w:rFonts w:hint="eastAsia" w:ascii="宋体" w:hAnsi="宋体" w:eastAsia="宋体" w:cs="宋体"/>
          <w:b/>
          <w:bCs/>
          <w:color w:val="auto"/>
          <w:sz w:val="24"/>
          <w:szCs w:val="24"/>
        </w:rPr>
        <w:t>严重失信行为</w:t>
      </w:r>
    </w:p>
    <w:p w14:paraId="49F00CFE">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（一）利用虚假材料、以欺骗手段取得企业资质的；</w:t>
      </w:r>
    </w:p>
    <w:p w14:paraId="12509533">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（二）发生转包、出借资质，受到行政处罚的；</w:t>
      </w:r>
    </w:p>
    <w:p w14:paraId="53DF6BBC">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（三）发生重大及以上工程质量安全事故，或1年内累计发生2次及以上较大工程质量安全事故，或发生性质恶劣、危害性严重、社会影响大的较大工程质量安全事故，受到行政处罚的；</w:t>
      </w:r>
    </w:p>
    <w:p w14:paraId="2CAD7ED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（四）经法院判决或仲裁机构裁决，认定为拖欠工程款,且拒不履行生效法律文书确定的义务的。</w:t>
      </w:r>
    </w:p>
    <w:p w14:paraId="34C47B01">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各级住房城乡建设主管部门应当参照建筑市场主体“黑名单”，对被人力资源社会保障行政部门列入拖欠农民工工资“黑名单”的建筑市场各方主体加强监管。</w:t>
      </w:r>
    </w:p>
    <w:p w14:paraId="78ECD242">
      <w:pPr>
        <w:keepNext w:val="0"/>
        <w:keepLines w:val="0"/>
        <w:pageBreakBefore w:val="0"/>
        <w:widowControl w:val="0"/>
        <w:kinsoku/>
        <w:wordWrap/>
        <w:overflowPunct/>
        <w:topLinePunct w:val="0"/>
        <w:autoSpaceDE/>
        <w:autoSpaceDN/>
        <w:bidi w:val="0"/>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w:t>
      </w:r>
      <w:bookmarkStart w:id="184" w:name="OLE_LINK17"/>
      <w:bookmarkStart w:id="185" w:name="OLE_LINK18"/>
      <w:r>
        <w:rPr>
          <w:rFonts w:hint="eastAsia" w:ascii="宋体" w:hAnsi="宋体" w:eastAsia="宋体" w:cs="宋体"/>
          <w:b/>
          <w:color w:val="auto"/>
          <w:sz w:val="24"/>
          <w:szCs w:val="24"/>
        </w:rPr>
        <w:t>建筑市场信用管理暂行办法</w:t>
      </w:r>
      <w:bookmarkEnd w:id="184"/>
      <w:bookmarkEnd w:id="185"/>
      <w:r>
        <w:rPr>
          <w:rFonts w:hint="eastAsia" w:ascii="宋体" w:hAnsi="宋体" w:eastAsia="宋体" w:cs="宋体"/>
          <w:b/>
          <w:color w:val="auto"/>
          <w:sz w:val="24"/>
          <w:szCs w:val="24"/>
        </w:rPr>
        <w:t>》（建市〔2017〕241号）</w:t>
      </w:r>
    </w:p>
    <w:p w14:paraId="63572175">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六、</w:t>
      </w:r>
      <w:bookmarkStart w:id="186" w:name="OLE_LINK20"/>
      <w:bookmarkStart w:id="187" w:name="OLE_LINK19"/>
      <w:r>
        <w:rPr>
          <w:rFonts w:hint="eastAsia" w:ascii="宋体" w:hAnsi="宋体" w:eastAsia="宋体" w:cs="宋体"/>
          <w:b/>
          <w:color w:val="auto"/>
          <w:sz w:val="24"/>
          <w:szCs w:val="24"/>
        </w:rPr>
        <w:t>政府采购严重失信行为</w:t>
      </w:r>
      <w:bookmarkEnd w:id="186"/>
      <w:bookmarkEnd w:id="187"/>
    </w:p>
    <w:p w14:paraId="2CEC36CF">
      <w:pPr>
        <w:keepNext w:val="0"/>
        <w:keepLines w:val="0"/>
        <w:pageBreakBefore w:val="0"/>
        <w:widowControl w:val="0"/>
        <w:kinsoku/>
        <w:wordWrap/>
        <w:overflowPunct/>
        <w:topLinePunct w:val="0"/>
        <w:autoSpaceDE/>
        <w:autoSpaceDN/>
        <w:bidi w:val="0"/>
        <w:adjustRightInd w:val="0"/>
        <w:snapToGrid w:val="0"/>
        <w:spacing w:line="560" w:lineRule="exact"/>
        <w:ind w:firstLine="480" w:firstLineChars="200"/>
        <w:jc w:val="left"/>
        <w:textAlignment w:val="auto"/>
        <w:rPr>
          <w:rFonts w:hint="eastAsia" w:ascii="宋体" w:hAnsi="宋体" w:eastAsia="宋体" w:cs="宋体"/>
          <w:color w:val="auto"/>
          <w:sz w:val="24"/>
          <w:szCs w:val="24"/>
        </w:rPr>
      </w:pPr>
      <w:r>
        <w:rPr>
          <w:rFonts w:hint="eastAsia" w:ascii="宋体" w:hAnsi="宋体" w:eastAsia="宋体" w:cs="宋体"/>
          <w:color w:val="auto"/>
          <w:sz w:val="24"/>
          <w:szCs w:val="24"/>
        </w:rPr>
        <w:t>供应商、采购代理机构在三年内受到财政部门作出下列情形之一的行政处罚，列入政府采购严重违法失信行为记录名单。</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（一）三万元以上罚款；</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（二）在一至三年内禁止参加政府采购活动（处罚期限届满的除外）；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（三）在一至三年内禁止代理政府采购业务（处罚期限届满的除外）；</w:t>
      </w:r>
      <w:r>
        <w:rPr>
          <w:rFonts w:hint="eastAsia" w:ascii="宋体" w:hAnsi="宋体" w:eastAsia="宋体" w:cs="宋体"/>
          <w:color w:val="auto"/>
          <w:sz w:val="24"/>
          <w:szCs w:val="24"/>
        </w:rPr>
        <w:br w:type="textWrapping"/>
      </w:r>
      <w:r>
        <w:rPr>
          <w:rFonts w:hint="eastAsia" w:ascii="宋体" w:hAnsi="宋体" w:eastAsia="宋体" w:cs="宋体"/>
          <w:color w:val="auto"/>
          <w:sz w:val="24"/>
          <w:szCs w:val="24"/>
        </w:rPr>
        <w:t>（四）撤销政府采购代理机构资格（仅针对《政府采购法》第78条修改前作出的处罚决定）。</w:t>
      </w:r>
    </w:p>
    <w:p w14:paraId="4806C2B7">
      <w:pPr>
        <w:keepNext w:val="0"/>
        <w:keepLines w:val="0"/>
        <w:pageBreakBefore w:val="0"/>
        <w:widowControl w:val="0"/>
        <w:kinsoku/>
        <w:wordWrap/>
        <w:overflowPunct/>
        <w:topLinePunct w:val="0"/>
        <w:autoSpaceDE/>
        <w:autoSpaceDN/>
        <w:bidi w:val="0"/>
        <w:adjustRightInd w:val="0"/>
        <w:snapToGrid w:val="0"/>
        <w:spacing w:line="56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依据：《关于报送政府采购严重违法失信行为信息记录的通知》（财办库〔2014〕526号）</w:t>
      </w:r>
    </w:p>
    <w:p w14:paraId="08E7ED82">
      <w:pPr>
        <w:keepNext w:val="0"/>
        <w:keepLines w:val="0"/>
        <w:pageBreakBefore w:val="0"/>
        <w:widowControl w:val="0"/>
        <w:kinsoku/>
        <w:wordWrap/>
        <w:overflowPunct/>
        <w:topLinePunct w:val="0"/>
        <w:autoSpaceDE/>
        <w:autoSpaceDN/>
        <w:bidi w:val="0"/>
        <w:spacing w:line="440" w:lineRule="exact"/>
        <w:ind w:firstLine="482" w:firstLineChars="200"/>
        <w:jc w:val="left"/>
        <w:textAlignment w:val="auto"/>
        <w:rPr>
          <w:rFonts w:hint="eastAsia" w:ascii="宋体" w:hAnsi="宋体" w:eastAsia="宋体" w:cs="宋体"/>
          <w:b/>
          <w:color w:val="auto"/>
          <w:sz w:val="24"/>
          <w:szCs w:val="24"/>
        </w:rPr>
      </w:pPr>
      <w:r>
        <w:rPr>
          <w:rFonts w:hint="eastAsia" w:ascii="宋体" w:hAnsi="宋体" w:eastAsia="宋体" w:cs="宋体"/>
          <w:b/>
          <w:color w:val="auto"/>
          <w:sz w:val="24"/>
          <w:szCs w:val="24"/>
        </w:rPr>
        <w:t>未列出的其他类别严重失信行为，由招标人（代理机构）根据各类别行业主管部门下发的联合惩戒文件进行判断。</w:t>
      </w:r>
    </w:p>
    <w:p w14:paraId="6BF48EF6">
      <w:pPr>
        <w:spacing w:line="360" w:lineRule="auto"/>
        <w:ind w:firstLine="435"/>
        <w:rPr>
          <w:rFonts w:hint="eastAsia" w:ascii="宋体" w:hAnsi="宋体" w:eastAsia="宋体" w:cs="宋体"/>
          <w:color w:val="auto"/>
          <w:sz w:val="24"/>
          <w:highlight w:val="none"/>
        </w:rPr>
      </w:pPr>
    </w:p>
    <w:sectPr>
      <w:headerReference r:id="rId11" w:type="default"/>
      <w:footerReference r:id="rId12"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embedRegular r:id="rId1" w:fontKey="{78EB151A-A081-46F9-A39A-8627B0911A3F}"/>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兰米小标宋">
    <w:panose1 w:val="02000503000000000000"/>
    <w:charset w:val="86"/>
    <w:family w:val="auto"/>
    <w:pitch w:val="default"/>
    <w:sig w:usb0="8000002F" w:usb1="084164F8" w:usb2="00000012" w:usb3="00000000" w:csb0="00040001" w:csb1="00000000"/>
  </w:font>
  <w:font w:name="MS Sans Serif">
    <w:altName w:val="Arial"/>
    <w:panose1 w:val="020B0500000000000000"/>
    <w:charset w:val="00"/>
    <w:family w:val="swiss"/>
    <w:pitch w:val="default"/>
    <w:sig w:usb0="00000000" w:usb1="00000000" w:usb2="00000000" w:usb3="00000000" w:csb0="00000001"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2010609030101010101"/>
    <w:charset w:val="86"/>
    <w:family w:val="modern"/>
    <w:pitch w:val="default"/>
    <w:sig w:usb0="00000000" w:usb1="0000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 w:name="创艺简黑体">
    <w:altName w:val="黑体"/>
    <w:panose1 w:val="00000000000000000000"/>
    <w:charset w:val="7A"/>
    <w:family w:val="auto"/>
    <w:pitch w:val="default"/>
    <w:sig w:usb0="00000000" w:usb1="00000000" w:usb2="00000010" w:usb3="00000000" w:csb0="0004000A" w:csb1="00000000"/>
  </w:font>
  <w:font w:name="楷体">
    <w:panose1 w:val="02010609060101010101"/>
    <w:charset w:val="86"/>
    <w:family w:val="modern"/>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embedRegular r:id="rId2" w:fontKey="{9093E577-1BD7-425F-A60E-E471F480C95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9E039F">
    <w:pPr>
      <w:pStyle w:val="3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44BD8">
    <w:pPr>
      <w:pStyle w:val="3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59C860">
                          <w:pPr>
                            <w:pStyle w:val="33"/>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2059C860">
                    <w:pPr>
                      <w:pStyle w:val="33"/>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EAD61">
    <w:pPr>
      <w:pStyle w:val="33"/>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CD1FC2C">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5CD1FC2C">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E853C">
    <w:pPr>
      <w:pStyle w:val="3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367F183">
                          <w:pPr>
                            <w:pStyle w:val="3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367F183">
                    <w:pPr>
                      <w:pStyle w:val="3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B5F66C">
    <w:pPr>
      <w:pStyle w:val="33"/>
      <w:jc w:val="center"/>
      <w:rPr>
        <w:rFonts w:asciiTheme="minorEastAsia" w:hAnsiTheme="minorEastAsia" w:eastAsiaTheme="minorEastAsia"/>
        <w:sz w:val="21"/>
        <w:szCs w:val="21"/>
      </w:rPr>
    </w:pPr>
    <w:r>
      <w:rPr>
        <w:sz w:val="21"/>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4747DB9">
                          <w:pPr>
                            <w:pStyle w:val="33"/>
                          </w:pPr>
                          <w:r>
                            <w:fldChar w:fldCharType="begin"/>
                          </w:r>
                          <w:r>
                            <w:instrText xml:space="preserve"> PAGE  \* MERGEFORMAT </w:instrText>
                          </w:r>
                          <w:r>
                            <w:fldChar w:fldCharType="separate"/>
                          </w:r>
                          <w:r>
                            <w:t>59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4747DB9">
                    <w:pPr>
                      <w:pStyle w:val="33"/>
                    </w:pPr>
                    <w:r>
                      <w:fldChar w:fldCharType="begin"/>
                    </w:r>
                    <w:r>
                      <w:instrText xml:space="preserve"> PAGE  \* MERGEFORMAT </w:instrText>
                    </w:r>
                    <w:r>
                      <w:fldChar w:fldCharType="separate"/>
                    </w:r>
                    <w:r>
                      <w:t>59</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14595">
    <w:pPr>
      <w:pStyle w:val="33"/>
      <w:rPr>
        <w:rFonts w:asciiTheme="minorEastAsia" w:hAnsiTheme="minorEastAsia" w:eastAsiaTheme="minorEastAsia"/>
        <w:sz w:val="21"/>
        <w:szCs w:val="21"/>
      </w:rPr>
    </w:pPr>
    <w:r>
      <w:rPr>
        <w:sz w:val="21"/>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F36FDB3">
                          <w:pPr>
                            <w:pStyle w:val="33"/>
                          </w:pPr>
                          <w:r>
                            <w:fldChar w:fldCharType="begin"/>
                          </w:r>
                          <w:r>
                            <w:instrText xml:space="preserve"> PAGE  \* MERGEFORMAT </w:instrText>
                          </w:r>
                          <w:r>
                            <w:fldChar w:fldCharType="separate"/>
                          </w:r>
                          <w:r>
                            <w:t>69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3F36FDB3">
                    <w:pPr>
                      <w:pStyle w:val="33"/>
                    </w:pPr>
                    <w:r>
                      <w:fldChar w:fldCharType="begin"/>
                    </w:r>
                    <w:r>
                      <w:instrText xml:space="preserve"> PAGE  \* MERGEFORMAT </w:instrText>
                    </w:r>
                    <w:r>
                      <w:fldChar w:fldCharType="separate"/>
                    </w:r>
                    <w:r>
                      <w:t>69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A36DF0">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AB0D08">
    <w:pPr>
      <w:pStyle w:val="34"/>
      <w:pBdr>
        <w:bottom w:val="none" w:color="auto" w:sz="0" w:space="1"/>
      </w:pBdr>
      <w:jc w:val="left"/>
      <w:rPr>
        <w:rFonts w:hint="eastAsia"/>
        <w:lang w:val="en-US"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4A8D42">
    <w:pPr>
      <w:pStyle w:val="34"/>
      <w:jc w:val="both"/>
    </w:pPr>
    <w:r>
      <w:rPr>
        <w:rFonts w:hint="eastAsia"/>
        <w:lang w:val="en-US" w:eastAsia="zh-CN"/>
      </w:rPr>
      <w:t>安徽省</w:t>
    </w:r>
    <w:r>
      <w:rPr>
        <w:rFonts w:hint="eastAsia" w:ascii="宋体" w:hAnsi="宋体" w:eastAsia="宋体"/>
      </w:rPr>
      <w:t>政府采购</w:t>
    </w:r>
    <w:r>
      <w:rPr>
        <w:rFonts w:hint="eastAsia" w:ascii="宋体" w:hAnsi="宋体" w:eastAsia="宋体"/>
        <w:lang w:eastAsia="zh-CN"/>
      </w:rPr>
      <w:t>项目</w:t>
    </w:r>
    <w:r>
      <w:rPr>
        <w:rFonts w:hint="eastAsia" w:ascii="宋体" w:hAnsi="宋体" w:eastAsia="宋体"/>
      </w:rPr>
      <w:t>竞争性</w:t>
    </w:r>
    <w:r>
      <w:rPr>
        <w:rFonts w:hint="eastAsia"/>
        <w:lang w:val="en-US" w:eastAsia="zh-CN"/>
      </w:rPr>
      <w:t>磋商</w:t>
    </w:r>
    <w:r>
      <w:rPr>
        <w:rFonts w:hint="eastAsia" w:ascii="宋体" w:hAnsi="宋体" w:eastAsia="宋体"/>
      </w:rPr>
      <w:t>文件</w:t>
    </w:r>
    <w:r>
      <w:rPr>
        <w:rFonts w:hint="eastAsia" w:ascii="宋体" w:hAnsi="宋体" w:eastAsia="宋体"/>
        <w:lang w:eastAsia="zh-CN"/>
      </w:rPr>
      <w:t>示范文本（</w:t>
    </w:r>
    <w:r>
      <w:rPr>
        <w:rFonts w:hint="eastAsia" w:asciiTheme="minorEastAsia" w:hAnsiTheme="minorEastAsia" w:eastAsiaTheme="minorEastAsia"/>
      </w:rPr>
      <w:t>工程类</w:t>
    </w:r>
    <w:r>
      <w:rPr>
        <w:rFonts w:hint="eastAsia" w:ascii="宋体" w:hAnsi="宋体" w:eastAsia="宋体"/>
        <w:lang w:eastAsia="zh-CN"/>
      </w:rPr>
      <w:t>）</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57DF7C">
    <w:pPr>
      <w:pStyle w:val="34"/>
      <w:jc w:val="left"/>
    </w:pPr>
    <w:r>
      <w:rPr>
        <w:rFonts w:hint="eastAsia" w:asciiTheme="minorEastAsia" w:hAnsiTheme="minorEastAsia" w:eastAsiaTheme="minorEastAsia"/>
        <w:lang w:val="en-US" w:eastAsia="zh-CN"/>
      </w:rPr>
      <w:t>安徽省</w:t>
    </w:r>
    <w:r>
      <w:rPr>
        <w:rFonts w:hint="eastAsia" w:asciiTheme="minorEastAsia" w:hAnsiTheme="minorEastAsia" w:eastAsiaTheme="minorEastAsia"/>
      </w:rPr>
      <w:t>政府采购</w:t>
    </w:r>
    <w:r>
      <w:rPr>
        <w:rFonts w:hint="eastAsia" w:asciiTheme="minorEastAsia" w:hAnsiTheme="minorEastAsia" w:eastAsiaTheme="minorEastAsia"/>
        <w:lang w:eastAsia="zh-CN"/>
      </w:rPr>
      <w:t>项目</w:t>
    </w:r>
    <w:r>
      <w:rPr>
        <w:rFonts w:hint="eastAsia" w:asciiTheme="minorEastAsia" w:hAnsiTheme="minorEastAsia" w:eastAsiaTheme="minorEastAsia"/>
      </w:rPr>
      <w:t>竞争性磋商文件</w:t>
    </w:r>
    <w:r>
      <w:rPr>
        <w:rFonts w:hint="eastAsia" w:asciiTheme="minorEastAsia" w:hAnsiTheme="minorEastAsia" w:eastAsiaTheme="minorEastAsia"/>
        <w:lang w:eastAsia="zh-CN"/>
      </w:rPr>
      <w:t>示范文本（</w:t>
    </w:r>
    <w:r>
      <w:rPr>
        <w:rFonts w:hint="eastAsia" w:asciiTheme="minorEastAsia" w:hAnsiTheme="minorEastAsia" w:eastAsiaTheme="minorEastAsia"/>
      </w:rPr>
      <w:t>工程类</w:t>
    </w:r>
    <w:r>
      <w:rPr>
        <w:rFonts w:hint="eastAsia" w:asciiTheme="minorEastAsia" w:hAnsiTheme="minorEastAsia" w:eastAsiaTheme="minorEastAsia"/>
        <w:lang w:eastAsia="zh-CN"/>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39C39"/>
    <w:multiLevelType w:val="singleLevel"/>
    <w:tmpl w:val="DAB39C39"/>
    <w:lvl w:ilvl="0" w:tentative="0">
      <w:start w:val="3"/>
      <w:numFmt w:val="chineseCounting"/>
      <w:suff w:val="space"/>
      <w:lvlText w:val="第%1节"/>
      <w:lvlJc w:val="left"/>
      <w:rPr>
        <w:rFonts w:hint="eastAsia"/>
      </w:rPr>
    </w:lvl>
  </w:abstractNum>
  <w:abstractNum w:abstractNumId="1">
    <w:nsid w:val="E360D008"/>
    <w:multiLevelType w:val="singleLevel"/>
    <w:tmpl w:val="E360D008"/>
    <w:lvl w:ilvl="0" w:tentative="0">
      <w:start w:val="1"/>
      <w:numFmt w:val="decimal"/>
      <w:lvlText w:val="%1."/>
      <w:lvlJc w:val="left"/>
      <w:pPr>
        <w:tabs>
          <w:tab w:val="left" w:pos="312"/>
        </w:tabs>
      </w:pPr>
    </w:lvl>
  </w:abstractNum>
  <w:abstractNum w:abstractNumId="2">
    <w:nsid w:val="7F7E5238"/>
    <w:multiLevelType w:val="multilevel"/>
    <w:tmpl w:val="7F7E5238"/>
    <w:lvl w:ilvl="0" w:tentative="0">
      <w:start w:val="1"/>
      <w:numFmt w:val="none"/>
      <w:pStyle w:val="177"/>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174"/>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pStyle w:val="179"/>
      <w:lvlText w:val="           "/>
      <w:lvlJc w:val="left"/>
      <w:pPr>
        <w:tabs>
          <w:tab w:val="left" w:pos="1440"/>
        </w:tabs>
        <w:ind w:left="1152" w:hanging="1152"/>
      </w:pPr>
      <w:rPr>
        <w:rFonts w:hint="eastAsia"/>
      </w:rPr>
    </w:lvl>
    <w:lvl w:ilvl="6" w:tentative="0">
      <w:start w:val="1"/>
      <w:numFmt w:val="decimal"/>
      <w:pStyle w:val="181"/>
      <w:lvlText w:val="%1.%2.%3.%4.%5.%6.%7"/>
      <w:lvlJc w:val="left"/>
      <w:pPr>
        <w:tabs>
          <w:tab w:val="left" w:pos="2520"/>
        </w:tabs>
        <w:ind w:left="1296" w:hanging="1296"/>
      </w:pPr>
      <w:rPr>
        <w:rFonts w:hint="eastAsia"/>
      </w:rPr>
    </w:lvl>
    <w:lvl w:ilvl="7" w:tentative="0">
      <w:start w:val="1"/>
      <w:numFmt w:val="decimal"/>
      <w:pStyle w:val="183"/>
      <w:lvlText w:val="%1.%2.%3.%4.%5.%6.%7.%8"/>
      <w:lvlJc w:val="left"/>
      <w:pPr>
        <w:tabs>
          <w:tab w:val="left" w:pos="1440"/>
        </w:tabs>
        <w:ind w:left="1440" w:hanging="1440"/>
      </w:pPr>
      <w:rPr>
        <w:rFonts w:hint="eastAsia"/>
      </w:rPr>
    </w:lvl>
    <w:lvl w:ilvl="8" w:tentative="0">
      <w:start w:val="1"/>
      <w:numFmt w:val="decimal"/>
      <w:pStyle w:val="185"/>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TrueTypeFonts/>
  <w:saveSubsetFonts/>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1OGJkZDZlMmJiZjgxZThhZWQ4YzE0YWIxYTUyMmQifQ=="/>
  </w:docVars>
  <w:rsids>
    <w:rsidRoot w:val="00276BA1"/>
    <w:rsid w:val="0000043F"/>
    <w:rsid w:val="000037F9"/>
    <w:rsid w:val="000049DA"/>
    <w:rsid w:val="000056B7"/>
    <w:rsid w:val="00005914"/>
    <w:rsid w:val="00007D87"/>
    <w:rsid w:val="000131F7"/>
    <w:rsid w:val="00014039"/>
    <w:rsid w:val="00016B6C"/>
    <w:rsid w:val="00020B57"/>
    <w:rsid w:val="00020B6D"/>
    <w:rsid w:val="00022976"/>
    <w:rsid w:val="000323E2"/>
    <w:rsid w:val="00040C25"/>
    <w:rsid w:val="00042139"/>
    <w:rsid w:val="00042B14"/>
    <w:rsid w:val="00044F49"/>
    <w:rsid w:val="000450C3"/>
    <w:rsid w:val="0005061B"/>
    <w:rsid w:val="00050A3F"/>
    <w:rsid w:val="00054AA3"/>
    <w:rsid w:val="00056ECB"/>
    <w:rsid w:val="00057B40"/>
    <w:rsid w:val="000623EA"/>
    <w:rsid w:val="000648D2"/>
    <w:rsid w:val="00066AD7"/>
    <w:rsid w:val="00070E0E"/>
    <w:rsid w:val="0007146E"/>
    <w:rsid w:val="00076DB7"/>
    <w:rsid w:val="00080FEB"/>
    <w:rsid w:val="00084047"/>
    <w:rsid w:val="00094D41"/>
    <w:rsid w:val="00097CB9"/>
    <w:rsid w:val="000A0161"/>
    <w:rsid w:val="000A10A9"/>
    <w:rsid w:val="000A2DA0"/>
    <w:rsid w:val="000A6693"/>
    <w:rsid w:val="000A7403"/>
    <w:rsid w:val="000A7970"/>
    <w:rsid w:val="000A7D94"/>
    <w:rsid w:val="000B1511"/>
    <w:rsid w:val="000B6249"/>
    <w:rsid w:val="000B6562"/>
    <w:rsid w:val="000C1DB1"/>
    <w:rsid w:val="000C6302"/>
    <w:rsid w:val="000D3F37"/>
    <w:rsid w:val="000E3C74"/>
    <w:rsid w:val="000E3F9B"/>
    <w:rsid w:val="000E478E"/>
    <w:rsid w:val="000E6689"/>
    <w:rsid w:val="000E69B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58BA"/>
    <w:rsid w:val="0012753E"/>
    <w:rsid w:val="00130601"/>
    <w:rsid w:val="00130690"/>
    <w:rsid w:val="00130CD3"/>
    <w:rsid w:val="00132F4D"/>
    <w:rsid w:val="00133EA0"/>
    <w:rsid w:val="00140687"/>
    <w:rsid w:val="0014543C"/>
    <w:rsid w:val="00146421"/>
    <w:rsid w:val="00153B20"/>
    <w:rsid w:val="00153DC0"/>
    <w:rsid w:val="00155F64"/>
    <w:rsid w:val="001571EE"/>
    <w:rsid w:val="00157856"/>
    <w:rsid w:val="00157B7B"/>
    <w:rsid w:val="00160729"/>
    <w:rsid w:val="00162F2F"/>
    <w:rsid w:val="0016455F"/>
    <w:rsid w:val="00165398"/>
    <w:rsid w:val="00166794"/>
    <w:rsid w:val="00166ED8"/>
    <w:rsid w:val="001714C9"/>
    <w:rsid w:val="00171515"/>
    <w:rsid w:val="00172B93"/>
    <w:rsid w:val="001776E1"/>
    <w:rsid w:val="0018119B"/>
    <w:rsid w:val="001844AB"/>
    <w:rsid w:val="001853C7"/>
    <w:rsid w:val="001903BA"/>
    <w:rsid w:val="00192879"/>
    <w:rsid w:val="001944B8"/>
    <w:rsid w:val="00196DA3"/>
    <w:rsid w:val="001971E5"/>
    <w:rsid w:val="001974FD"/>
    <w:rsid w:val="001A0C0F"/>
    <w:rsid w:val="001A68E5"/>
    <w:rsid w:val="001B25BE"/>
    <w:rsid w:val="001B2A54"/>
    <w:rsid w:val="001B2BA4"/>
    <w:rsid w:val="001B5014"/>
    <w:rsid w:val="001B7327"/>
    <w:rsid w:val="001C1E34"/>
    <w:rsid w:val="001D22EA"/>
    <w:rsid w:val="001D487F"/>
    <w:rsid w:val="001D503E"/>
    <w:rsid w:val="001D53B4"/>
    <w:rsid w:val="001E1835"/>
    <w:rsid w:val="001E3498"/>
    <w:rsid w:val="001E6BA1"/>
    <w:rsid w:val="001F28D2"/>
    <w:rsid w:val="001F2F45"/>
    <w:rsid w:val="001F3023"/>
    <w:rsid w:val="001F35F6"/>
    <w:rsid w:val="001F4AAF"/>
    <w:rsid w:val="001F74CA"/>
    <w:rsid w:val="001F7590"/>
    <w:rsid w:val="002003B6"/>
    <w:rsid w:val="0020244A"/>
    <w:rsid w:val="002049B4"/>
    <w:rsid w:val="0020520B"/>
    <w:rsid w:val="002076AD"/>
    <w:rsid w:val="00213C55"/>
    <w:rsid w:val="0021401C"/>
    <w:rsid w:val="00216DA5"/>
    <w:rsid w:val="00223CF4"/>
    <w:rsid w:val="00224B69"/>
    <w:rsid w:val="00224C4A"/>
    <w:rsid w:val="00231187"/>
    <w:rsid w:val="002329EB"/>
    <w:rsid w:val="0023407E"/>
    <w:rsid w:val="00240B40"/>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0EE7"/>
    <w:rsid w:val="002A14D1"/>
    <w:rsid w:val="002A1A1D"/>
    <w:rsid w:val="002A28AD"/>
    <w:rsid w:val="002B04FD"/>
    <w:rsid w:val="002B5318"/>
    <w:rsid w:val="002B6D27"/>
    <w:rsid w:val="002B7A09"/>
    <w:rsid w:val="002C00C4"/>
    <w:rsid w:val="002C060C"/>
    <w:rsid w:val="002C078A"/>
    <w:rsid w:val="002D05DD"/>
    <w:rsid w:val="002D0E4D"/>
    <w:rsid w:val="002D2965"/>
    <w:rsid w:val="002D3D02"/>
    <w:rsid w:val="002D4CB5"/>
    <w:rsid w:val="002D5900"/>
    <w:rsid w:val="002D684B"/>
    <w:rsid w:val="002E003E"/>
    <w:rsid w:val="002E05AB"/>
    <w:rsid w:val="002E2142"/>
    <w:rsid w:val="002E2D3A"/>
    <w:rsid w:val="002E3B26"/>
    <w:rsid w:val="002E4406"/>
    <w:rsid w:val="002E4AB8"/>
    <w:rsid w:val="002E7FC4"/>
    <w:rsid w:val="0030667B"/>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63F8C"/>
    <w:rsid w:val="00370201"/>
    <w:rsid w:val="00373A37"/>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521"/>
    <w:rsid w:val="003B25A5"/>
    <w:rsid w:val="003B4130"/>
    <w:rsid w:val="003B715B"/>
    <w:rsid w:val="003C2C62"/>
    <w:rsid w:val="003C5566"/>
    <w:rsid w:val="003C577A"/>
    <w:rsid w:val="003C7E43"/>
    <w:rsid w:val="003D1D14"/>
    <w:rsid w:val="003D6C7C"/>
    <w:rsid w:val="003D6EFB"/>
    <w:rsid w:val="003D7E52"/>
    <w:rsid w:val="003E259A"/>
    <w:rsid w:val="003E25C6"/>
    <w:rsid w:val="003E46E1"/>
    <w:rsid w:val="003F7528"/>
    <w:rsid w:val="004011AA"/>
    <w:rsid w:val="0040202C"/>
    <w:rsid w:val="00404A8F"/>
    <w:rsid w:val="00406508"/>
    <w:rsid w:val="004110F6"/>
    <w:rsid w:val="00412755"/>
    <w:rsid w:val="0041456E"/>
    <w:rsid w:val="004148E3"/>
    <w:rsid w:val="00414F7E"/>
    <w:rsid w:val="004164F8"/>
    <w:rsid w:val="00421164"/>
    <w:rsid w:val="00426F05"/>
    <w:rsid w:val="004328E1"/>
    <w:rsid w:val="004427B7"/>
    <w:rsid w:val="0044349F"/>
    <w:rsid w:val="00443AB7"/>
    <w:rsid w:val="0044541D"/>
    <w:rsid w:val="00445F1F"/>
    <w:rsid w:val="00447862"/>
    <w:rsid w:val="00451F60"/>
    <w:rsid w:val="00452BB2"/>
    <w:rsid w:val="00456054"/>
    <w:rsid w:val="0045656D"/>
    <w:rsid w:val="00462D98"/>
    <w:rsid w:val="00463E7D"/>
    <w:rsid w:val="00472498"/>
    <w:rsid w:val="00472A44"/>
    <w:rsid w:val="00473A89"/>
    <w:rsid w:val="00475899"/>
    <w:rsid w:val="00482C78"/>
    <w:rsid w:val="00483ABC"/>
    <w:rsid w:val="0048634A"/>
    <w:rsid w:val="004874AE"/>
    <w:rsid w:val="0049056F"/>
    <w:rsid w:val="0049106C"/>
    <w:rsid w:val="004916E7"/>
    <w:rsid w:val="00491FF7"/>
    <w:rsid w:val="00492217"/>
    <w:rsid w:val="00494D24"/>
    <w:rsid w:val="004951D1"/>
    <w:rsid w:val="004960BB"/>
    <w:rsid w:val="004A1BA3"/>
    <w:rsid w:val="004A27D0"/>
    <w:rsid w:val="004A4D67"/>
    <w:rsid w:val="004B7E79"/>
    <w:rsid w:val="004C13CB"/>
    <w:rsid w:val="004C5B90"/>
    <w:rsid w:val="004D3D4B"/>
    <w:rsid w:val="004D4557"/>
    <w:rsid w:val="004D5498"/>
    <w:rsid w:val="004D66A5"/>
    <w:rsid w:val="004D6B00"/>
    <w:rsid w:val="004E1D50"/>
    <w:rsid w:val="004E3266"/>
    <w:rsid w:val="004E38BA"/>
    <w:rsid w:val="004E3EB6"/>
    <w:rsid w:val="004E50CA"/>
    <w:rsid w:val="004F27A0"/>
    <w:rsid w:val="0050027D"/>
    <w:rsid w:val="00501382"/>
    <w:rsid w:val="005048FB"/>
    <w:rsid w:val="00510798"/>
    <w:rsid w:val="005119B5"/>
    <w:rsid w:val="005125F1"/>
    <w:rsid w:val="005150CC"/>
    <w:rsid w:val="0052451A"/>
    <w:rsid w:val="00524A11"/>
    <w:rsid w:val="00527768"/>
    <w:rsid w:val="00530EA4"/>
    <w:rsid w:val="005327FB"/>
    <w:rsid w:val="00533251"/>
    <w:rsid w:val="00533FCA"/>
    <w:rsid w:val="005346EF"/>
    <w:rsid w:val="005369F1"/>
    <w:rsid w:val="005470D4"/>
    <w:rsid w:val="00547BAB"/>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B3C39"/>
    <w:rsid w:val="005B7D08"/>
    <w:rsid w:val="005C1D52"/>
    <w:rsid w:val="005D0200"/>
    <w:rsid w:val="005D44EF"/>
    <w:rsid w:val="005D5112"/>
    <w:rsid w:val="005D5D67"/>
    <w:rsid w:val="005F34CC"/>
    <w:rsid w:val="005F3914"/>
    <w:rsid w:val="005F3B5A"/>
    <w:rsid w:val="005F6AB4"/>
    <w:rsid w:val="00607471"/>
    <w:rsid w:val="00610A66"/>
    <w:rsid w:val="006119B8"/>
    <w:rsid w:val="00613177"/>
    <w:rsid w:val="00613F7C"/>
    <w:rsid w:val="00614BF2"/>
    <w:rsid w:val="0061557C"/>
    <w:rsid w:val="006208E4"/>
    <w:rsid w:val="00623DE2"/>
    <w:rsid w:val="00627601"/>
    <w:rsid w:val="006300D0"/>
    <w:rsid w:val="00632012"/>
    <w:rsid w:val="00634694"/>
    <w:rsid w:val="00634D55"/>
    <w:rsid w:val="00636517"/>
    <w:rsid w:val="00636EE7"/>
    <w:rsid w:val="00637690"/>
    <w:rsid w:val="00640E1E"/>
    <w:rsid w:val="00641BA3"/>
    <w:rsid w:val="0064389A"/>
    <w:rsid w:val="00645442"/>
    <w:rsid w:val="006525CD"/>
    <w:rsid w:val="00653F7F"/>
    <w:rsid w:val="006572DE"/>
    <w:rsid w:val="00662DCD"/>
    <w:rsid w:val="00662EE8"/>
    <w:rsid w:val="00663813"/>
    <w:rsid w:val="00664AFD"/>
    <w:rsid w:val="006665DC"/>
    <w:rsid w:val="00667567"/>
    <w:rsid w:val="0067391A"/>
    <w:rsid w:val="00674173"/>
    <w:rsid w:val="0067534F"/>
    <w:rsid w:val="00676A33"/>
    <w:rsid w:val="0067717E"/>
    <w:rsid w:val="00677D87"/>
    <w:rsid w:val="00690C2D"/>
    <w:rsid w:val="00690DB1"/>
    <w:rsid w:val="00693404"/>
    <w:rsid w:val="00693E5C"/>
    <w:rsid w:val="006953D9"/>
    <w:rsid w:val="006A1269"/>
    <w:rsid w:val="006A36E7"/>
    <w:rsid w:val="006A5803"/>
    <w:rsid w:val="006A65F3"/>
    <w:rsid w:val="006A69C3"/>
    <w:rsid w:val="006A7C15"/>
    <w:rsid w:val="006B1242"/>
    <w:rsid w:val="006B1DBC"/>
    <w:rsid w:val="006B1F84"/>
    <w:rsid w:val="006B3712"/>
    <w:rsid w:val="006B7D9A"/>
    <w:rsid w:val="006C06D9"/>
    <w:rsid w:val="006C3E22"/>
    <w:rsid w:val="006C5716"/>
    <w:rsid w:val="006C64B2"/>
    <w:rsid w:val="006C74A9"/>
    <w:rsid w:val="006D07DE"/>
    <w:rsid w:val="006D361A"/>
    <w:rsid w:val="006D5B6D"/>
    <w:rsid w:val="006D6A81"/>
    <w:rsid w:val="006D7213"/>
    <w:rsid w:val="006E06D9"/>
    <w:rsid w:val="006E1D40"/>
    <w:rsid w:val="006E2E1F"/>
    <w:rsid w:val="006E5059"/>
    <w:rsid w:val="006F4C5B"/>
    <w:rsid w:val="006F5F03"/>
    <w:rsid w:val="006F5FFF"/>
    <w:rsid w:val="006F7F4C"/>
    <w:rsid w:val="00701431"/>
    <w:rsid w:val="00710804"/>
    <w:rsid w:val="00711FC6"/>
    <w:rsid w:val="00712952"/>
    <w:rsid w:val="007130B1"/>
    <w:rsid w:val="00713487"/>
    <w:rsid w:val="00715071"/>
    <w:rsid w:val="007231E9"/>
    <w:rsid w:val="00723731"/>
    <w:rsid w:val="00724F0E"/>
    <w:rsid w:val="007270A6"/>
    <w:rsid w:val="00727C59"/>
    <w:rsid w:val="007328C6"/>
    <w:rsid w:val="00733730"/>
    <w:rsid w:val="00734E5D"/>
    <w:rsid w:val="0073514E"/>
    <w:rsid w:val="00736013"/>
    <w:rsid w:val="00737BF8"/>
    <w:rsid w:val="0074339B"/>
    <w:rsid w:val="007469DD"/>
    <w:rsid w:val="00750B60"/>
    <w:rsid w:val="00756245"/>
    <w:rsid w:val="00761662"/>
    <w:rsid w:val="00764043"/>
    <w:rsid w:val="00766A36"/>
    <w:rsid w:val="007757CF"/>
    <w:rsid w:val="007769F6"/>
    <w:rsid w:val="00780F9D"/>
    <w:rsid w:val="0078128F"/>
    <w:rsid w:val="007819D9"/>
    <w:rsid w:val="0078642F"/>
    <w:rsid w:val="0078683C"/>
    <w:rsid w:val="00790EDB"/>
    <w:rsid w:val="00791538"/>
    <w:rsid w:val="0079326E"/>
    <w:rsid w:val="00796E1C"/>
    <w:rsid w:val="00796EDE"/>
    <w:rsid w:val="007A5A58"/>
    <w:rsid w:val="007B1C56"/>
    <w:rsid w:val="007B29AB"/>
    <w:rsid w:val="007C1DD7"/>
    <w:rsid w:val="007C35D3"/>
    <w:rsid w:val="007C3CD5"/>
    <w:rsid w:val="007C4756"/>
    <w:rsid w:val="007C5E88"/>
    <w:rsid w:val="007C61EF"/>
    <w:rsid w:val="007D03DE"/>
    <w:rsid w:val="007D1C0D"/>
    <w:rsid w:val="007D2D23"/>
    <w:rsid w:val="007E27D6"/>
    <w:rsid w:val="007E2B06"/>
    <w:rsid w:val="007E3921"/>
    <w:rsid w:val="00801028"/>
    <w:rsid w:val="00803793"/>
    <w:rsid w:val="00804000"/>
    <w:rsid w:val="00805254"/>
    <w:rsid w:val="008101A2"/>
    <w:rsid w:val="00817A01"/>
    <w:rsid w:val="00820937"/>
    <w:rsid w:val="00823DDD"/>
    <w:rsid w:val="00825E35"/>
    <w:rsid w:val="00830A4E"/>
    <w:rsid w:val="008334F8"/>
    <w:rsid w:val="00834249"/>
    <w:rsid w:val="00835FFD"/>
    <w:rsid w:val="0084381F"/>
    <w:rsid w:val="00843E35"/>
    <w:rsid w:val="00845F72"/>
    <w:rsid w:val="00846020"/>
    <w:rsid w:val="0084791E"/>
    <w:rsid w:val="00850A91"/>
    <w:rsid w:val="008524CE"/>
    <w:rsid w:val="00856D9D"/>
    <w:rsid w:val="00857633"/>
    <w:rsid w:val="0086440C"/>
    <w:rsid w:val="008674ED"/>
    <w:rsid w:val="00874EE6"/>
    <w:rsid w:val="00876659"/>
    <w:rsid w:val="0087734C"/>
    <w:rsid w:val="00882141"/>
    <w:rsid w:val="00886BD4"/>
    <w:rsid w:val="00886CA2"/>
    <w:rsid w:val="008876EC"/>
    <w:rsid w:val="008922A8"/>
    <w:rsid w:val="00895BD5"/>
    <w:rsid w:val="008A16C4"/>
    <w:rsid w:val="008A4A27"/>
    <w:rsid w:val="008A649F"/>
    <w:rsid w:val="008A6FED"/>
    <w:rsid w:val="008B0945"/>
    <w:rsid w:val="008B39C5"/>
    <w:rsid w:val="008B51AA"/>
    <w:rsid w:val="008C67F2"/>
    <w:rsid w:val="008C7E63"/>
    <w:rsid w:val="008D064A"/>
    <w:rsid w:val="008D2537"/>
    <w:rsid w:val="008D2B0F"/>
    <w:rsid w:val="008D5EE5"/>
    <w:rsid w:val="008D633C"/>
    <w:rsid w:val="008D76DA"/>
    <w:rsid w:val="008D7DB2"/>
    <w:rsid w:val="008E449E"/>
    <w:rsid w:val="008E4BDD"/>
    <w:rsid w:val="008E5387"/>
    <w:rsid w:val="008E770C"/>
    <w:rsid w:val="008F00F4"/>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679A2"/>
    <w:rsid w:val="009701DC"/>
    <w:rsid w:val="009715D8"/>
    <w:rsid w:val="009811A8"/>
    <w:rsid w:val="00985C4F"/>
    <w:rsid w:val="00986E3C"/>
    <w:rsid w:val="00991460"/>
    <w:rsid w:val="009932CF"/>
    <w:rsid w:val="009941BF"/>
    <w:rsid w:val="00995BF9"/>
    <w:rsid w:val="009975CC"/>
    <w:rsid w:val="009A0CAF"/>
    <w:rsid w:val="009A2207"/>
    <w:rsid w:val="009B0EDA"/>
    <w:rsid w:val="009B6C42"/>
    <w:rsid w:val="009C3F38"/>
    <w:rsid w:val="009D2998"/>
    <w:rsid w:val="009D31F7"/>
    <w:rsid w:val="009D32C2"/>
    <w:rsid w:val="009D50DB"/>
    <w:rsid w:val="009E2932"/>
    <w:rsid w:val="009E2DFA"/>
    <w:rsid w:val="009E3A0A"/>
    <w:rsid w:val="009F1936"/>
    <w:rsid w:val="009F3E91"/>
    <w:rsid w:val="009F4E0E"/>
    <w:rsid w:val="00A008DA"/>
    <w:rsid w:val="00A00C93"/>
    <w:rsid w:val="00A0571E"/>
    <w:rsid w:val="00A1397D"/>
    <w:rsid w:val="00A13A27"/>
    <w:rsid w:val="00A1499B"/>
    <w:rsid w:val="00A170D8"/>
    <w:rsid w:val="00A26BC5"/>
    <w:rsid w:val="00A27D73"/>
    <w:rsid w:val="00A30A1B"/>
    <w:rsid w:val="00A314C2"/>
    <w:rsid w:val="00A40B71"/>
    <w:rsid w:val="00A501BF"/>
    <w:rsid w:val="00A519A0"/>
    <w:rsid w:val="00A6249F"/>
    <w:rsid w:val="00A62A2E"/>
    <w:rsid w:val="00A630B4"/>
    <w:rsid w:val="00A63E86"/>
    <w:rsid w:val="00A75185"/>
    <w:rsid w:val="00A754A0"/>
    <w:rsid w:val="00A757C3"/>
    <w:rsid w:val="00A75E5B"/>
    <w:rsid w:val="00A75F4B"/>
    <w:rsid w:val="00A7684A"/>
    <w:rsid w:val="00A80C58"/>
    <w:rsid w:val="00A83B69"/>
    <w:rsid w:val="00A86533"/>
    <w:rsid w:val="00A91CA2"/>
    <w:rsid w:val="00A9220A"/>
    <w:rsid w:val="00A92FB8"/>
    <w:rsid w:val="00A948F1"/>
    <w:rsid w:val="00AA0BE3"/>
    <w:rsid w:val="00AA18F9"/>
    <w:rsid w:val="00AA1D7D"/>
    <w:rsid w:val="00AA2790"/>
    <w:rsid w:val="00AA3806"/>
    <w:rsid w:val="00AB01AC"/>
    <w:rsid w:val="00AB139D"/>
    <w:rsid w:val="00AB2A35"/>
    <w:rsid w:val="00AB2D05"/>
    <w:rsid w:val="00AB348D"/>
    <w:rsid w:val="00AB3EFB"/>
    <w:rsid w:val="00AC0B05"/>
    <w:rsid w:val="00AC1962"/>
    <w:rsid w:val="00AC7F9D"/>
    <w:rsid w:val="00AD079A"/>
    <w:rsid w:val="00AD1890"/>
    <w:rsid w:val="00AD6588"/>
    <w:rsid w:val="00AD7CCB"/>
    <w:rsid w:val="00AE2149"/>
    <w:rsid w:val="00AE2BF3"/>
    <w:rsid w:val="00AE33AE"/>
    <w:rsid w:val="00AE3F91"/>
    <w:rsid w:val="00AF5B63"/>
    <w:rsid w:val="00B0053D"/>
    <w:rsid w:val="00B00FF1"/>
    <w:rsid w:val="00B039E3"/>
    <w:rsid w:val="00B06D36"/>
    <w:rsid w:val="00B12BC4"/>
    <w:rsid w:val="00B22838"/>
    <w:rsid w:val="00B33E8F"/>
    <w:rsid w:val="00B33E95"/>
    <w:rsid w:val="00B3720B"/>
    <w:rsid w:val="00B372DF"/>
    <w:rsid w:val="00B420C8"/>
    <w:rsid w:val="00B45D0B"/>
    <w:rsid w:val="00B5558A"/>
    <w:rsid w:val="00B56513"/>
    <w:rsid w:val="00B5736B"/>
    <w:rsid w:val="00B576F1"/>
    <w:rsid w:val="00B6167E"/>
    <w:rsid w:val="00B61B64"/>
    <w:rsid w:val="00B64376"/>
    <w:rsid w:val="00B6570C"/>
    <w:rsid w:val="00B7401F"/>
    <w:rsid w:val="00B748E5"/>
    <w:rsid w:val="00B769CF"/>
    <w:rsid w:val="00B806C3"/>
    <w:rsid w:val="00B80D6F"/>
    <w:rsid w:val="00B84FCA"/>
    <w:rsid w:val="00B9089F"/>
    <w:rsid w:val="00B91826"/>
    <w:rsid w:val="00B91AEE"/>
    <w:rsid w:val="00B93568"/>
    <w:rsid w:val="00B95F5A"/>
    <w:rsid w:val="00B96EAD"/>
    <w:rsid w:val="00BA4B7C"/>
    <w:rsid w:val="00BA79F5"/>
    <w:rsid w:val="00BA7EA7"/>
    <w:rsid w:val="00BB3AB6"/>
    <w:rsid w:val="00BB766D"/>
    <w:rsid w:val="00BC007B"/>
    <w:rsid w:val="00BC26BA"/>
    <w:rsid w:val="00BC35F8"/>
    <w:rsid w:val="00BC403F"/>
    <w:rsid w:val="00BC481B"/>
    <w:rsid w:val="00BC6EB9"/>
    <w:rsid w:val="00BD08DF"/>
    <w:rsid w:val="00BD2D29"/>
    <w:rsid w:val="00BD617C"/>
    <w:rsid w:val="00BE5974"/>
    <w:rsid w:val="00BE746B"/>
    <w:rsid w:val="00BE782C"/>
    <w:rsid w:val="00BF17B4"/>
    <w:rsid w:val="00BF376F"/>
    <w:rsid w:val="00BF426A"/>
    <w:rsid w:val="00BF46A6"/>
    <w:rsid w:val="00BF572F"/>
    <w:rsid w:val="00BF6CAD"/>
    <w:rsid w:val="00BF71FB"/>
    <w:rsid w:val="00C04DBF"/>
    <w:rsid w:val="00C05C07"/>
    <w:rsid w:val="00C05E4C"/>
    <w:rsid w:val="00C06545"/>
    <w:rsid w:val="00C11D8C"/>
    <w:rsid w:val="00C134AF"/>
    <w:rsid w:val="00C220FC"/>
    <w:rsid w:val="00C24DFA"/>
    <w:rsid w:val="00C24F9D"/>
    <w:rsid w:val="00C2521C"/>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1B9E"/>
    <w:rsid w:val="00C73D09"/>
    <w:rsid w:val="00C74C5E"/>
    <w:rsid w:val="00C768B0"/>
    <w:rsid w:val="00C82558"/>
    <w:rsid w:val="00C827A2"/>
    <w:rsid w:val="00C82965"/>
    <w:rsid w:val="00C82B69"/>
    <w:rsid w:val="00C82C8E"/>
    <w:rsid w:val="00C82CB3"/>
    <w:rsid w:val="00C91B28"/>
    <w:rsid w:val="00C91F3A"/>
    <w:rsid w:val="00C92E1A"/>
    <w:rsid w:val="00C93590"/>
    <w:rsid w:val="00CA4C7F"/>
    <w:rsid w:val="00CA5446"/>
    <w:rsid w:val="00CB14E5"/>
    <w:rsid w:val="00CB15F8"/>
    <w:rsid w:val="00CB218D"/>
    <w:rsid w:val="00CB377B"/>
    <w:rsid w:val="00CB5625"/>
    <w:rsid w:val="00CB5797"/>
    <w:rsid w:val="00CC1400"/>
    <w:rsid w:val="00CC1C17"/>
    <w:rsid w:val="00CC4CD2"/>
    <w:rsid w:val="00CC4F7F"/>
    <w:rsid w:val="00CD09E1"/>
    <w:rsid w:val="00CD1BB5"/>
    <w:rsid w:val="00CE1780"/>
    <w:rsid w:val="00CE4913"/>
    <w:rsid w:val="00CE66BD"/>
    <w:rsid w:val="00CF0671"/>
    <w:rsid w:val="00CF247A"/>
    <w:rsid w:val="00CF44AD"/>
    <w:rsid w:val="00CF4D7C"/>
    <w:rsid w:val="00CF4FC0"/>
    <w:rsid w:val="00CF7486"/>
    <w:rsid w:val="00D1072F"/>
    <w:rsid w:val="00D108A5"/>
    <w:rsid w:val="00D14585"/>
    <w:rsid w:val="00D153C8"/>
    <w:rsid w:val="00D169F2"/>
    <w:rsid w:val="00D20EFF"/>
    <w:rsid w:val="00D236BB"/>
    <w:rsid w:val="00D3019D"/>
    <w:rsid w:val="00D31324"/>
    <w:rsid w:val="00D4386E"/>
    <w:rsid w:val="00D51432"/>
    <w:rsid w:val="00D53ED8"/>
    <w:rsid w:val="00D541A0"/>
    <w:rsid w:val="00D5697F"/>
    <w:rsid w:val="00D64857"/>
    <w:rsid w:val="00D6493A"/>
    <w:rsid w:val="00D649A5"/>
    <w:rsid w:val="00D660EA"/>
    <w:rsid w:val="00D66833"/>
    <w:rsid w:val="00D67875"/>
    <w:rsid w:val="00D71E86"/>
    <w:rsid w:val="00D72F0F"/>
    <w:rsid w:val="00D731C6"/>
    <w:rsid w:val="00D745C5"/>
    <w:rsid w:val="00D75327"/>
    <w:rsid w:val="00D77D6B"/>
    <w:rsid w:val="00D801FE"/>
    <w:rsid w:val="00D80C36"/>
    <w:rsid w:val="00D81A32"/>
    <w:rsid w:val="00D86EE1"/>
    <w:rsid w:val="00D945DC"/>
    <w:rsid w:val="00D95E90"/>
    <w:rsid w:val="00D96126"/>
    <w:rsid w:val="00DA090D"/>
    <w:rsid w:val="00DA0FCD"/>
    <w:rsid w:val="00DA2FD5"/>
    <w:rsid w:val="00DB0C86"/>
    <w:rsid w:val="00DB4B1C"/>
    <w:rsid w:val="00DB5085"/>
    <w:rsid w:val="00DB619F"/>
    <w:rsid w:val="00DB7211"/>
    <w:rsid w:val="00DC1062"/>
    <w:rsid w:val="00DC132C"/>
    <w:rsid w:val="00DC181A"/>
    <w:rsid w:val="00DC5727"/>
    <w:rsid w:val="00DD13B9"/>
    <w:rsid w:val="00DD149F"/>
    <w:rsid w:val="00DD43F0"/>
    <w:rsid w:val="00DD44DE"/>
    <w:rsid w:val="00DE09AB"/>
    <w:rsid w:val="00DE352F"/>
    <w:rsid w:val="00DE4A3F"/>
    <w:rsid w:val="00DE5A99"/>
    <w:rsid w:val="00DF2880"/>
    <w:rsid w:val="00DF4367"/>
    <w:rsid w:val="00DF7291"/>
    <w:rsid w:val="00E03FF0"/>
    <w:rsid w:val="00E055BF"/>
    <w:rsid w:val="00E0574A"/>
    <w:rsid w:val="00E1243D"/>
    <w:rsid w:val="00E12742"/>
    <w:rsid w:val="00E146D4"/>
    <w:rsid w:val="00E14815"/>
    <w:rsid w:val="00E21D37"/>
    <w:rsid w:val="00E220ED"/>
    <w:rsid w:val="00E22B44"/>
    <w:rsid w:val="00E233AD"/>
    <w:rsid w:val="00E26EB1"/>
    <w:rsid w:val="00E30ACD"/>
    <w:rsid w:val="00E32735"/>
    <w:rsid w:val="00E34236"/>
    <w:rsid w:val="00E44B88"/>
    <w:rsid w:val="00E50BFA"/>
    <w:rsid w:val="00E66E36"/>
    <w:rsid w:val="00E702ED"/>
    <w:rsid w:val="00E709A4"/>
    <w:rsid w:val="00E71D4A"/>
    <w:rsid w:val="00E75917"/>
    <w:rsid w:val="00E772DB"/>
    <w:rsid w:val="00E86012"/>
    <w:rsid w:val="00E860CA"/>
    <w:rsid w:val="00E86BAB"/>
    <w:rsid w:val="00E92962"/>
    <w:rsid w:val="00E94E10"/>
    <w:rsid w:val="00E96743"/>
    <w:rsid w:val="00E96A42"/>
    <w:rsid w:val="00E97497"/>
    <w:rsid w:val="00EA046F"/>
    <w:rsid w:val="00EA49C5"/>
    <w:rsid w:val="00EA6279"/>
    <w:rsid w:val="00EB402C"/>
    <w:rsid w:val="00EB5027"/>
    <w:rsid w:val="00EC1836"/>
    <w:rsid w:val="00EC3990"/>
    <w:rsid w:val="00EC484B"/>
    <w:rsid w:val="00EC7E58"/>
    <w:rsid w:val="00ED15FA"/>
    <w:rsid w:val="00ED5C9F"/>
    <w:rsid w:val="00EE050C"/>
    <w:rsid w:val="00EE2113"/>
    <w:rsid w:val="00EE5730"/>
    <w:rsid w:val="00EE6E9A"/>
    <w:rsid w:val="00EF2AC4"/>
    <w:rsid w:val="00EF397E"/>
    <w:rsid w:val="00EF762E"/>
    <w:rsid w:val="00F0340C"/>
    <w:rsid w:val="00F04CED"/>
    <w:rsid w:val="00F06F68"/>
    <w:rsid w:val="00F11241"/>
    <w:rsid w:val="00F11D35"/>
    <w:rsid w:val="00F15E9D"/>
    <w:rsid w:val="00F23FA7"/>
    <w:rsid w:val="00F24C2D"/>
    <w:rsid w:val="00F2717E"/>
    <w:rsid w:val="00F272C4"/>
    <w:rsid w:val="00F27D59"/>
    <w:rsid w:val="00F316E1"/>
    <w:rsid w:val="00F32155"/>
    <w:rsid w:val="00F32A81"/>
    <w:rsid w:val="00F40C82"/>
    <w:rsid w:val="00F4197F"/>
    <w:rsid w:val="00F438EE"/>
    <w:rsid w:val="00F44F2A"/>
    <w:rsid w:val="00F45367"/>
    <w:rsid w:val="00F46998"/>
    <w:rsid w:val="00F5093F"/>
    <w:rsid w:val="00F5382D"/>
    <w:rsid w:val="00F53D9C"/>
    <w:rsid w:val="00F5462B"/>
    <w:rsid w:val="00F54653"/>
    <w:rsid w:val="00F569DE"/>
    <w:rsid w:val="00F57205"/>
    <w:rsid w:val="00F634AD"/>
    <w:rsid w:val="00F63677"/>
    <w:rsid w:val="00F659DA"/>
    <w:rsid w:val="00F671CE"/>
    <w:rsid w:val="00F674DA"/>
    <w:rsid w:val="00F70658"/>
    <w:rsid w:val="00F74B50"/>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A7C66"/>
    <w:rsid w:val="00FB0453"/>
    <w:rsid w:val="00FB0C07"/>
    <w:rsid w:val="00FB298D"/>
    <w:rsid w:val="00FB3171"/>
    <w:rsid w:val="00FB38B5"/>
    <w:rsid w:val="00FB444E"/>
    <w:rsid w:val="00FB5DC9"/>
    <w:rsid w:val="00FC1439"/>
    <w:rsid w:val="00FC3F65"/>
    <w:rsid w:val="00FC5007"/>
    <w:rsid w:val="00FC724B"/>
    <w:rsid w:val="00FC7910"/>
    <w:rsid w:val="00FD01E0"/>
    <w:rsid w:val="00FD50FC"/>
    <w:rsid w:val="00FE1627"/>
    <w:rsid w:val="00FE2D4E"/>
    <w:rsid w:val="00FF092F"/>
    <w:rsid w:val="00FF0DA7"/>
    <w:rsid w:val="00FF2DF6"/>
    <w:rsid w:val="00FF44E0"/>
    <w:rsid w:val="00FF6C72"/>
    <w:rsid w:val="011A24F4"/>
    <w:rsid w:val="01216A43"/>
    <w:rsid w:val="04041BDD"/>
    <w:rsid w:val="042C2C6A"/>
    <w:rsid w:val="060D5ED0"/>
    <w:rsid w:val="06C33FE7"/>
    <w:rsid w:val="06EE74DB"/>
    <w:rsid w:val="072015CC"/>
    <w:rsid w:val="07AD40C1"/>
    <w:rsid w:val="08617CF0"/>
    <w:rsid w:val="09312467"/>
    <w:rsid w:val="093E5132"/>
    <w:rsid w:val="099C3247"/>
    <w:rsid w:val="09A13AF8"/>
    <w:rsid w:val="09B71227"/>
    <w:rsid w:val="0A474B2F"/>
    <w:rsid w:val="0AFC6A60"/>
    <w:rsid w:val="0B34273F"/>
    <w:rsid w:val="0B5759D8"/>
    <w:rsid w:val="0B584B6B"/>
    <w:rsid w:val="0B9A6428"/>
    <w:rsid w:val="0BC76A6E"/>
    <w:rsid w:val="0BD069A1"/>
    <w:rsid w:val="0C0B76AE"/>
    <w:rsid w:val="0C695EBF"/>
    <w:rsid w:val="0C764D16"/>
    <w:rsid w:val="0D3E7892"/>
    <w:rsid w:val="0DB72352"/>
    <w:rsid w:val="0DFC12FE"/>
    <w:rsid w:val="0DFF1A91"/>
    <w:rsid w:val="0E30091C"/>
    <w:rsid w:val="0EB116DF"/>
    <w:rsid w:val="0EB9796D"/>
    <w:rsid w:val="0ED93BBF"/>
    <w:rsid w:val="0FC76BB7"/>
    <w:rsid w:val="10F935A7"/>
    <w:rsid w:val="11D557DA"/>
    <w:rsid w:val="12E83133"/>
    <w:rsid w:val="13607801"/>
    <w:rsid w:val="1375778E"/>
    <w:rsid w:val="14E43199"/>
    <w:rsid w:val="15F23A08"/>
    <w:rsid w:val="16F15C51"/>
    <w:rsid w:val="17146EEB"/>
    <w:rsid w:val="18A85F98"/>
    <w:rsid w:val="1A455A26"/>
    <w:rsid w:val="1BF15DCA"/>
    <w:rsid w:val="1C4C792C"/>
    <w:rsid w:val="1CEE0E9A"/>
    <w:rsid w:val="1D015171"/>
    <w:rsid w:val="1D191BE5"/>
    <w:rsid w:val="1D3B78BE"/>
    <w:rsid w:val="1DEC70E9"/>
    <w:rsid w:val="1E0B00F8"/>
    <w:rsid w:val="1E112FC8"/>
    <w:rsid w:val="1F2E6A6D"/>
    <w:rsid w:val="200E78EF"/>
    <w:rsid w:val="21326E5F"/>
    <w:rsid w:val="21A12912"/>
    <w:rsid w:val="21FC7BA9"/>
    <w:rsid w:val="237C1D35"/>
    <w:rsid w:val="23912E23"/>
    <w:rsid w:val="241D3932"/>
    <w:rsid w:val="247E2DFD"/>
    <w:rsid w:val="25102EC3"/>
    <w:rsid w:val="25950217"/>
    <w:rsid w:val="265B0373"/>
    <w:rsid w:val="265E29D5"/>
    <w:rsid w:val="274D5052"/>
    <w:rsid w:val="27E85AF1"/>
    <w:rsid w:val="282018BC"/>
    <w:rsid w:val="288E11CC"/>
    <w:rsid w:val="28A96E2F"/>
    <w:rsid w:val="299627B0"/>
    <w:rsid w:val="2A1534D2"/>
    <w:rsid w:val="2B5044AE"/>
    <w:rsid w:val="2B89414F"/>
    <w:rsid w:val="2D1633EB"/>
    <w:rsid w:val="2D611D48"/>
    <w:rsid w:val="2E4811FE"/>
    <w:rsid w:val="2E992065"/>
    <w:rsid w:val="2EB60132"/>
    <w:rsid w:val="2F4B5DEA"/>
    <w:rsid w:val="2F850E2A"/>
    <w:rsid w:val="2F8779B7"/>
    <w:rsid w:val="30536D05"/>
    <w:rsid w:val="3215051D"/>
    <w:rsid w:val="323542B2"/>
    <w:rsid w:val="34152599"/>
    <w:rsid w:val="3544508A"/>
    <w:rsid w:val="362F3D70"/>
    <w:rsid w:val="36343134"/>
    <w:rsid w:val="36AD04C3"/>
    <w:rsid w:val="36E71BB0"/>
    <w:rsid w:val="385414FE"/>
    <w:rsid w:val="38CD4FE1"/>
    <w:rsid w:val="3A830258"/>
    <w:rsid w:val="3B0A6C0E"/>
    <w:rsid w:val="3B5006E0"/>
    <w:rsid w:val="3C2546B9"/>
    <w:rsid w:val="3C9227B9"/>
    <w:rsid w:val="3CEC4769"/>
    <w:rsid w:val="3F5B5E55"/>
    <w:rsid w:val="3FC85B9B"/>
    <w:rsid w:val="401A1280"/>
    <w:rsid w:val="408D59ED"/>
    <w:rsid w:val="40B54BA9"/>
    <w:rsid w:val="40C652D1"/>
    <w:rsid w:val="42E44134"/>
    <w:rsid w:val="43406525"/>
    <w:rsid w:val="439678F9"/>
    <w:rsid w:val="44CC5046"/>
    <w:rsid w:val="44F243AD"/>
    <w:rsid w:val="44FD0F02"/>
    <w:rsid w:val="45463C09"/>
    <w:rsid w:val="459F5817"/>
    <w:rsid w:val="45B649C6"/>
    <w:rsid w:val="46D629D1"/>
    <w:rsid w:val="47C27D6C"/>
    <w:rsid w:val="47D209FF"/>
    <w:rsid w:val="4838270D"/>
    <w:rsid w:val="48C345DE"/>
    <w:rsid w:val="48EC3373"/>
    <w:rsid w:val="48F007C1"/>
    <w:rsid w:val="493B64BB"/>
    <w:rsid w:val="495E079C"/>
    <w:rsid w:val="495E0E6D"/>
    <w:rsid w:val="49CD7090"/>
    <w:rsid w:val="49D47BA8"/>
    <w:rsid w:val="49D55251"/>
    <w:rsid w:val="49E704D5"/>
    <w:rsid w:val="4A852FD8"/>
    <w:rsid w:val="4AE559BD"/>
    <w:rsid w:val="4B874579"/>
    <w:rsid w:val="4BE87A98"/>
    <w:rsid w:val="4BEB3608"/>
    <w:rsid w:val="4C1743E7"/>
    <w:rsid w:val="4C2E43AC"/>
    <w:rsid w:val="4E616C92"/>
    <w:rsid w:val="4E6F2E5D"/>
    <w:rsid w:val="4F8545A9"/>
    <w:rsid w:val="4F9B25B3"/>
    <w:rsid w:val="508A5A0C"/>
    <w:rsid w:val="50B13DEA"/>
    <w:rsid w:val="50DA2DB1"/>
    <w:rsid w:val="51361FFF"/>
    <w:rsid w:val="52D4387D"/>
    <w:rsid w:val="538073BF"/>
    <w:rsid w:val="5407371F"/>
    <w:rsid w:val="55076EDB"/>
    <w:rsid w:val="557F62EE"/>
    <w:rsid w:val="565019E7"/>
    <w:rsid w:val="56861129"/>
    <w:rsid w:val="569861B6"/>
    <w:rsid w:val="56B6493F"/>
    <w:rsid w:val="56D26221"/>
    <w:rsid w:val="5809250B"/>
    <w:rsid w:val="581022AA"/>
    <w:rsid w:val="58946959"/>
    <w:rsid w:val="589E1721"/>
    <w:rsid w:val="5A5113C2"/>
    <w:rsid w:val="5C8F7148"/>
    <w:rsid w:val="5D5B355A"/>
    <w:rsid w:val="5D8C4430"/>
    <w:rsid w:val="5F6103C2"/>
    <w:rsid w:val="5FCD130C"/>
    <w:rsid w:val="5FD07FE9"/>
    <w:rsid w:val="60613CC2"/>
    <w:rsid w:val="61737CE0"/>
    <w:rsid w:val="617A62BB"/>
    <w:rsid w:val="62450E0A"/>
    <w:rsid w:val="6270505E"/>
    <w:rsid w:val="62A2790D"/>
    <w:rsid w:val="62EB49FC"/>
    <w:rsid w:val="632B05B6"/>
    <w:rsid w:val="63CE39CA"/>
    <w:rsid w:val="63D905AD"/>
    <w:rsid w:val="645F3309"/>
    <w:rsid w:val="647A03AB"/>
    <w:rsid w:val="64A32612"/>
    <w:rsid w:val="64C41452"/>
    <w:rsid w:val="652674EA"/>
    <w:rsid w:val="65B46500"/>
    <w:rsid w:val="66E2747D"/>
    <w:rsid w:val="66F7550A"/>
    <w:rsid w:val="673047EC"/>
    <w:rsid w:val="6833421D"/>
    <w:rsid w:val="683B31A6"/>
    <w:rsid w:val="6A4B69A3"/>
    <w:rsid w:val="6A9874AE"/>
    <w:rsid w:val="6AAD1A41"/>
    <w:rsid w:val="6B197784"/>
    <w:rsid w:val="6B9C347D"/>
    <w:rsid w:val="6BAC18E9"/>
    <w:rsid w:val="6C297B28"/>
    <w:rsid w:val="6D2F1B21"/>
    <w:rsid w:val="6E5F172B"/>
    <w:rsid w:val="6E87554F"/>
    <w:rsid w:val="6F5D0B2F"/>
    <w:rsid w:val="6F6117F5"/>
    <w:rsid w:val="6F84274A"/>
    <w:rsid w:val="6FBE314B"/>
    <w:rsid w:val="6FDC216E"/>
    <w:rsid w:val="70217AAF"/>
    <w:rsid w:val="70A0444C"/>
    <w:rsid w:val="71E7396A"/>
    <w:rsid w:val="74FC2405"/>
    <w:rsid w:val="76834F30"/>
    <w:rsid w:val="76B31249"/>
    <w:rsid w:val="78373BAC"/>
    <w:rsid w:val="7892370F"/>
    <w:rsid w:val="78D4376C"/>
    <w:rsid w:val="78EA354B"/>
    <w:rsid w:val="796A5DD0"/>
    <w:rsid w:val="79775D93"/>
    <w:rsid w:val="799B26EC"/>
    <w:rsid w:val="79DA107C"/>
    <w:rsid w:val="7A562609"/>
    <w:rsid w:val="7B853EC3"/>
    <w:rsid w:val="7CAE2B9E"/>
    <w:rsid w:val="7D18299B"/>
    <w:rsid w:val="7D8E3FAB"/>
    <w:rsid w:val="7DDD542C"/>
    <w:rsid w:val="7E2F57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name="index heading"/>
    <w:lsdException w:qFormat="1" w:unhideWhenUsed="0" w:uiPriority="0" w:semiHidden="0" w:name="caption"/>
    <w:lsdException w:uiPriority="99" w:name="table of figures"/>
    <w:lsdException w:uiPriority="99" w:name="envelope address"/>
    <w:lsdException w:qFormat="1" w:unhideWhenUsed="0" w:uiPriority="0" w:semiHidden="0" w:name="envelope return"/>
    <w:lsdException w:qFormat="1" w:uiPriority="0" w:semiHidden="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qFormat="1" w:unhideWhenUsed="0" w:uiPriority="0" w:semiHidden="0" w:name="List 3"/>
    <w:lsdException w:qFormat="1" w:unhideWhenUsed="0" w:uiPriority="0" w:semiHidden="0"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0" w:semiHidden="0" w:name="Body Text Indent"/>
    <w:lsdException w:qFormat="1" w:unhideWhenUsed="0" w:uiPriority="0" w:semiHidden="0" w:name="List Continue"/>
    <w:lsdException w:qFormat="1" w:unhideWhenUsed="0" w:uiPriority="0" w:semiHidden="0" w:name="List Continue 2"/>
    <w:lsdException w:uiPriority="99" w:name="List Continue 3"/>
    <w:lsdException w:qFormat="1" w:unhideWhenUsed="0" w:uiPriority="0" w:semiHidden="0"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qFormat="1" w:uiPriority="99" w:name="HTML Keyboard"/>
    <w:lsdException w:uiPriority="99" w:name="HTML Preformatted"/>
    <w:lsdException w:qFormat="1" w:unhideWhenUsed="0" w:uiPriority="0" w:semiHidden="0" w:name="HTML Sample"/>
    <w:lsdException w:qFormat="1" w:uiPriority="99" w:name="HTML Typewriter"/>
    <w:lsdException w:qFormat="1"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宋体" w:hAnsi="宋体" w:eastAsia="宋体" w:cstheme="minorBidi"/>
      <w:lang w:val="en-US" w:eastAsia="zh-CN" w:bidi="ar-SA"/>
    </w:rPr>
  </w:style>
  <w:style w:type="paragraph" w:styleId="2">
    <w:name w:val="heading 1"/>
    <w:basedOn w:val="1"/>
    <w:next w:val="1"/>
    <w:link w:val="91"/>
    <w:autoRedefine/>
    <w:qFormat/>
    <w:uiPriority w:val="0"/>
    <w:pPr>
      <w:keepNext/>
      <w:keepLines/>
      <w:spacing w:before="340" w:after="330" w:line="578" w:lineRule="auto"/>
      <w:outlineLvl w:val="0"/>
    </w:pPr>
    <w:rPr>
      <w:b/>
      <w:bCs/>
      <w:kern w:val="44"/>
      <w:sz w:val="44"/>
      <w:szCs w:val="44"/>
    </w:rPr>
  </w:style>
  <w:style w:type="paragraph" w:styleId="3">
    <w:name w:val="heading 2"/>
    <w:basedOn w:val="4"/>
    <w:next w:val="6"/>
    <w:link w:val="104"/>
    <w:autoRedefine/>
    <w:unhideWhenUsed/>
    <w:qFormat/>
    <w:uiPriority w:val="0"/>
    <w:pPr>
      <w:keepNext/>
      <w:keepLines/>
      <w:spacing w:before="260" w:after="260" w:line="416" w:lineRule="auto"/>
      <w:outlineLvl w:val="1"/>
    </w:pPr>
    <w:rPr>
      <w:rFonts w:ascii="Cambria" w:hAnsi="Cambria" w:cs="Times New Roman"/>
      <w:kern w:val="2"/>
      <w:sz w:val="32"/>
      <w:szCs w:val="32"/>
      <w:lang w:val="zh-CN"/>
    </w:rPr>
  </w:style>
  <w:style w:type="paragraph" w:styleId="6">
    <w:name w:val="heading 3"/>
    <w:basedOn w:val="5"/>
    <w:next w:val="3"/>
    <w:link w:val="93"/>
    <w:autoRedefine/>
    <w:unhideWhenUsed/>
    <w:qFormat/>
    <w:uiPriority w:val="0"/>
    <w:pPr>
      <w:keepNext/>
      <w:keepLines/>
      <w:spacing w:before="260" w:after="260" w:line="416" w:lineRule="auto"/>
      <w:outlineLvl w:val="2"/>
    </w:pPr>
    <w:rPr>
      <w:sz w:val="32"/>
      <w:szCs w:val="32"/>
    </w:rPr>
  </w:style>
  <w:style w:type="paragraph" w:styleId="4">
    <w:name w:val="heading 4"/>
    <w:basedOn w:val="1"/>
    <w:next w:val="5"/>
    <w:link w:val="98"/>
    <w:autoRedefine/>
    <w:qFormat/>
    <w:uiPriority w:val="0"/>
    <w:pPr>
      <w:keepNext/>
      <w:keepLines/>
      <w:spacing w:before="280" w:after="290" w:line="376" w:lineRule="auto"/>
      <w:outlineLvl w:val="3"/>
    </w:pPr>
    <w:rPr>
      <w:b/>
      <w:bCs/>
      <w:sz w:val="28"/>
      <w:szCs w:val="28"/>
    </w:rPr>
  </w:style>
  <w:style w:type="paragraph" w:styleId="5">
    <w:name w:val="heading 5"/>
    <w:basedOn w:val="1"/>
    <w:next w:val="1"/>
    <w:link w:val="105"/>
    <w:autoRedefine/>
    <w:qFormat/>
    <w:uiPriority w:val="0"/>
    <w:pPr>
      <w:keepNext/>
      <w:keepLines/>
      <w:spacing w:before="280" w:after="290" w:line="376" w:lineRule="auto"/>
      <w:outlineLvl w:val="4"/>
    </w:pPr>
    <w:rPr>
      <w:rFonts w:ascii="Calibri" w:hAnsi="Calibri" w:cs="Times New Roman"/>
      <w:b/>
      <w:bCs/>
      <w:kern w:val="2"/>
      <w:sz w:val="28"/>
      <w:szCs w:val="28"/>
      <w:lang w:val="zh-CN"/>
    </w:rPr>
  </w:style>
  <w:style w:type="paragraph" w:styleId="7">
    <w:name w:val="heading 6"/>
    <w:basedOn w:val="5"/>
    <w:next w:val="1"/>
    <w:link w:val="106"/>
    <w:autoRedefine/>
    <w:qFormat/>
    <w:uiPriority w:val="0"/>
    <w:pPr>
      <w:tabs>
        <w:tab w:val="left" w:pos="1440"/>
      </w:tabs>
      <w:spacing w:before="260" w:after="260" w:line="360" w:lineRule="auto"/>
      <w:ind w:left="1134" w:hanging="1134"/>
      <w:outlineLvl w:val="5"/>
    </w:pPr>
    <w:rPr>
      <w:rFonts w:ascii="Times New Roman" w:hAnsi="Times New Roman"/>
      <w:sz w:val="30"/>
      <w:szCs w:val="18"/>
    </w:rPr>
  </w:style>
  <w:style w:type="paragraph" w:styleId="8">
    <w:name w:val="heading 7"/>
    <w:basedOn w:val="7"/>
    <w:next w:val="1"/>
    <w:link w:val="107"/>
    <w:autoRedefine/>
    <w:qFormat/>
    <w:uiPriority w:val="0"/>
    <w:pPr>
      <w:tabs>
        <w:tab w:val="left" w:pos="1800"/>
        <w:tab w:val="clear" w:pos="1440"/>
      </w:tabs>
      <w:ind w:left="1276" w:hanging="1276"/>
      <w:outlineLvl w:val="6"/>
    </w:pPr>
  </w:style>
  <w:style w:type="paragraph" w:styleId="9">
    <w:name w:val="heading 8"/>
    <w:basedOn w:val="1"/>
    <w:next w:val="1"/>
    <w:link w:val="108"/>
    <w:autoRedefine/>
    <w:qFormat/>
    <w:uiPriority w:val="0"/>
    <w:pPr>
      <w:keepNext/>
      <w:keepLines/>
      <w:spacing w:line="400" w:lineRule="exact"/>
      <w:jc w:val="center"/>
      <w:outlineLvl w:val="7"/>
    </w:pPr>
    <w:rPr>
      <w:rFonts w:eastAsia="黑体" w:cs="Times New Roman"/>
      <w:kern w:val="2"/>
      <w:sz w:val="32"/>
      <w:szCs w:val="32"/>
      <w:lang w:val="zh-CN"/>
    </w:rPr>
  </w:style>
  <w:style w:type="paragraph" w:styleId="10">
    <w:name w:val="heading 9"/>
    <w:basedOn w:val="1"/>
    <w:next w:val="1"/>
    <w:link w:val="109"/>
    <w:autoRedefine/>
    <w:unhideWhenUsed/>
    <w:qFormat/>
    <w:uiPriority w:val="0"/>
    <w:pPr>
      <w:keepNext/>
      <w:keepLines/>
      <w:spacing w:before="240" w:after="64" w:line="320" w:lineRule="auto"/>
      <w:outlineLvl w:val="8"/>
    </w:pPr>
    <w:rPr>
      <w:rFonts w:ascii="Cambria" w:hAnsi="Cambria" w:cs="Times New Roman"/>
      <w:kern w:val="2"/>
      <w:sz w:val="21"/>
      <w:szCs w:val="21"/>
      <w:lang w:val="zh-CN"/>
    </w:rPr>
  </w:style>
  <w:style w:type="character" w:default="1" w:styleId="57">
    <w:name w:val="Default Paragraph Font"/>
    <w:autoRedefine/>
    <w:semiHidden/>
    <w:unhideWhenUsed/>
    <w:qFormat/>
    <w:uiPriority w:val="1"/>
  </w:style>
  <w:style w:type="table" w:default="1" w:styleId="55">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autoRedefine/>
    <w:qFormat/>
    <w:uiPriority w:val="0"/>
    <w:pPr>
      <w:ind w:left="100" w:leftChars="400" w:hanging="200" w:hangingChars="200"/>
    </w:pPr>
    <w:rPr>
      <w:rFonts w:ascii="Calibri" w:hAnsi="Calibri" w:cs="Times New Roman"/>
      <w:kern w:val="2"/>
      <w:sz w:val="21"/>
      <w:szCs w:val="22"/>
    </w:rPr>
  </w:style>
  <w:style w:type="paragraph" w:styleId="12">
    <w:name w:val="toc 7"/>
    <w:basedOn w:val="1"/>
    <w:next w:val="1"/>
    <w:autoRedefine/>
    <w:unhideWhenUsed/>
    <w:qFormat/>
    <w:uiPriority w:val="39"/>
    <w:pPr>
      <w:ind w:left="1260"/>
      <w:jc w:val="left"/>
    </w:pPr>
    <w:rPr>
      <w:rFonts w:ascii="Calibri" w:hAnsi="Calibri" w:cs="Calibri"/>
      <w:kern w:val="2"/>
      <w:sz w:val="18"/>
      <w:szCs w:val="18"/>
    </w:rPr>
  </w:style>
  <w:style w:type="paragraph" w:styleId="13">
    <w:name w:val="Normal Indent"/>
    <w:basedOn w:val="1"/>
    <w:autoRedefine/>
    <w:qFormat/>
    <w:uiPriority w:val="0"/>
    <w:pPr>
      <w:autoSpaceDE w:val="0"/>
      <w:autoSpaceDN w:val="0"/>
      <w:adjustRightInd w:val="0"/>
      <w:ind w:firstLine="420"/>
      <w:jc w:val="left"/>
    </w:pPr>
    <w:rPr>
      <w:rFonts w:hAnsi="Times New Roman" w:cs="Times New Roman"/>
      <w:sz w:val="24"/>
    </w:rPr>
  </w:style>
  <w:style w:type="paragraph" w:styleId="14">
    <w:name w:val="caption"/>
    <w:basedOn w:val="1"/>
    <w:next w:val="1"/>
    <w:autoRedefine/>
    <w:qFormat/>
    <w:uiPriority w:val="0"/>
    <w:pPr>
      <w:spacing w:before="152" w:after="160"/>
    </w:pPr>
    <w:rPr>
      <w:rFonts w:ascii="Arial" w:hAnsi="Arial" w:eastAsia="黑体" w:cs="Arial"/>
      <w:kern w:val="2"/>
    </w:rPr>
  </w:style>
  <w:style w:type="paragraph" w:styleId="15">
    <w:name w:val="Document Map"/>
    <w:basedOn w:val="1"/>
    <w:link w:val="154"/>
    <w:autoRedefine/>
    <w:qFormat/>
    <w:uiPriority w:val="0"/>
    <w:pPr>
      <w:shd w:val="clear" w:color="auto" w:fill="000080"/>
    </w:pPr>
    <w:rPr>
      <w:rFonts w:ascii="Calibri" w:hAnsi="Calibri" w:cs="Times New Roman"/>
      <w:bCs/>
      <w:kern w:val="2"/>
      <w:sz w:val="21"/>
      <w:szCs w:val="32"/>
      <w:lang w:val="zh-CN"/>
    </w:rPr>
  </w:style>
  <w:style w:type="paragraph" w:styleId="16">
    <w:name w:val="annotation text"/>
    <w:basedOn w:val="1"/>
    <w:link w:val="90"/>
    <w:autoRedefine/>
    <w:qFormat/>
    <w:uiPriority w:val="0"/>
    <w:pPr>
      <w:jc w:val="left"/>
    </w:pPr>
    <w:rPr>
      <w:rFonts w:ascii="Arial" w:hAnsi="Arial" w:eastAsia="黑体" w:cs="Arial"/>
    </w:rPr>
  </w:style>
  <w:style w:type="paragraph" w:styleId="17">
    <w:name w:val="Salutation"/>
    <w:basedOn w:val="1"/>
    <w:next w:val="1"/>
    <w:link w:val="120"/>
    <w:autoRedefine/>
    <w:qFormat/>
    <w:uiPriority w:val="0"/>
    <w:rPr>
      <w:rFonts w:ascii="仿宋_GB2312" w:hAnsi="Times New Roman" w:eastAsia="仿宋_GB2312" w:cs="Times New Roman"/>
      <w:kern w:val="2"/>
      <w:sz w:val="28"/>
      <w:lang w:val="zh-CN"/>
    </w:rPr>
  </w:style>
  <w:style w:type="paragraph" w:styleId="18">
    <w:name w:val="Body Text 3"/>
    <w:basedOn w:val="1"/>
    <w:link w:val="140"/>
    <w:autoRedefine/>
    <w:qFormat/>
    <w:uiPriority w:val="0"/>
    <w:pPr>
      <w:adjustRightInd w:val="0"/>
      <w:snapToGrid w:val="0"/>
    </w:pPr>
    <w:rPr>
      <w:rFonts w:ascii="仿宋_GB2312" w:eastAsia="仿宋_GB2312" w:cs="Times New Roman"/>
      <w:bCs/>
      <w:color w:val="000000"/>
      <w:kern w:val="2"/>
      <w:sz w:val="24"/>
      <w:szCs w:val="32"/>
      <w:lang w:val="zh-CN"/>
    </w:rPr>
  </w:style>
  <w:style w:type="paragraph" w:styleId="19">
    <w:name w:val="Body Text"/>
    <w:basedOn w:val="1"/>
    <w:link w:val="99"/>
    <w:autoRedefine/>
    <w:qFormat/>
    <w:uiPriority w:val="0"/>
    <w:pPr>
      <w:spacing w:after="120"/>
    </w:pPr>
    <w:rPr>
      <w:rFonts w:ascii="兰米小标宋" w:hAnsi="兰米小标宋" w:eastAsia="兰米小标宋" w:cs="兰米小标宋"/>
      <w:szCs w:val="24"/>
      <w:lang w:val="zh-CN"/>
    </w:rPr>
  </w:style>
  <w:style w:type="paragraph" w:styleId="20">
    <w:name w:val="Body Text Indent"/>
    <w:basedOn w:val="1"/>
    <w:next w:val="21"/>
    <w:link w:val="114"/>
    <w:autoRedefine/>
    <w:unhideWhenUsed/>
    <w:qFormat/>
    <w:uiPriority w:val="0"/>
    <w:pPr>
      <w:spacing w:after="120"/>
      <w:ind w:left="420" w:leftChars="200"/>
    </w:pPr>
    <w:rPr>
      <w:rFonts w:asciiTheme="minorHAnsi" w:hAnsiTheme="minorHAnsi"/>
      <w:kern w:val="2"/>
      <w:sz w:val="21"/>
      <w:szCs w:val="22"/>
    </w:rPr>
  </w:style>
  <w:style w:type="paragraph" w:styleId="21">
    <w:name w:val="envelope return"/>
    <w:basedOn w:val="1"/>
    <w:autoRedefine/>
    <w:qFormat/>
    <w:uiPriority w:val="0"/>
    <w:pPr>
      <w:snapToGrid w:val="0"/>
    </w:pPr>
    <w:rPr>
      <w:rFonts w:ascii="Arial" w:hAnsi="Arial"/>
    </w:rPr>
  </w:style>
  <w:style w:type="paragraph" w:styleId="22">
    <w:name w:val="List 2"/>
    <w:basedOn w:val="1"/>
    <w:autoRedefine/>
    <w:qFormat/>
    <w:uiPriority w:val="0"/>
    <w:pPr>
      <w:ind w:left="100" w:leftChars="200" w:hanging="200" w:hangingChars="200"/>
    </w:pPr>
    <w:rPr>
      <w:rFonts w:ascii="Calibri" w:hAnsi="Calibri" w:cs="Times New Roman"/>
      <w:kern w:val="2"/>
      <w:sz w:val="21"/>
      <w:szCs w:val="22"/>
    </w:rPr>
  </w:style>
  <w:style w:type="paragraph" w:styleId="23">
    <w:name w:val="List Continue"/>
    <w:basedOn w:val="1"/>
    <w:autoRedefine/>
    <w:qFormat/>
    <w:uiPriority w:val="0"/>
    <w:pPr>
      <w:spacing w:after="120"/>
      <w:ind w:left="420" w:leftChars="200"/>
    </w:pPr>
    <w:rPr>
      <w:rFonts w:ascii="Calibri" w:hAnsi="Calibri" w:cs="Times New Roman"/>
      <w:kern w:val="2"/>
      <w:sz w:val="21"/>
      <w:szCs w:val="22"/>
    </w:rPr>
  </w:style>
  <w:style w:type="paragraph" w:styleId="24">
    <w:name w:val="Block Text"/>
    <w:basedOn w:val="1"/>
    <w:autoRedefine/>
    <w:qFormat/>
    <w:uiPriority w:val="0"/>
    <w:pPr>
      <w:autoSpaceDE w:val="0"/>
      <w:autoSpaceDN w:val="0"/>
      <w:adjustRightInd w:val="0"/>
      <w:spacing w:line="1270" w:lineRule="exact"/>
      <w:ind w:left="2160" w:right="-20" w:hanging="2160" w:hangingChars="300"/>
      <w:jc w:val="left"/>
    </w:pPr>
    <w:rPr>
      <w:rFonts w:ascii="Calibri" w:hAnsi="Calibri" w:eastAsia="仿宋_GB2312" w:cs="Times New Roman"/>
      <w:kern w:val="2"/>
      <w:sz w:val="72"/>
    </w:rPr>
  </w:style>
  <w:style w:type="paragraph" w:styleId="25">
    <w:name w:val="index 4"/>
    <w:basedOn w:val="1"/>
    <w:next w:val="1"/>
    <w:autoRedefine/>
    <w:qFormat/>
    <w:uiPriority w:val="0"/>
    <w:pPr>
      <w:ind w:left="600" w:leftChars="600"/>
    </w:pPr>
    <w:rPr>
      <w:rFonts w:ascii="Times New Roman" w:hAnsi="Times New Roman" w:cs="Times New Roman"/>
      <w:kern w:val="2"/>
      <w:sz w:val="21"/>
      <w:szCs w:val="24"/>
    </w:rPr>
  </w:style>
  <w:style w:type="paragraph" w:styleId="26">
    <w:name w:val="toc 5"/>
    <w:basedOn w:val="1"/>
    <w:next w:val="1"/>
    <w:autoRedefine/>
    <w:unhideWhenUsed/>
    <w:qFormat/>
    <w:uiPriority w:val="39"/>
    <w:pPr>
      <w:ind w:left="840"/>
      <w:jc w:val="left"/>
    </w:pPr>
    <w:rPr>
      <w:rFonts w:ascii="Calibri" w:hAnsi="Calibri" w:cs="Calibri"/>
      <w:kern w:val="2"/>
      <w:sz w:val="18"/>
      <w:szCs w:val="18"/>
    </w:rPr>
  </w:style>
  <w:style w:type="paragraph" w:styleId="27">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sz w:val="22"/>
      <w:szCs w:val="22"/>
    </w:rPr>
  </w:style>
  <w:style w:type="paragraph" w:styleId="28">
    <w:name w:val="Plain Text"/>
    <w:basedOn w:val="1"/>
    <w:link w:val="79"/>
    <w:autoRedefine/>
    <w:qFormat/>
    <w:uiPriority w:val="0"/>
    <w:rPr>
      <w:rFonts w:hAnsi="Courier New" w:eastAsiaTheme="minorEastAsia"/>
      <w:szCs w:val="22"/>
    </w:rPr>
  </w:style>
  <w:style w:type="paragraph" w:styleId="29">
    <w:name w:val="toc 8"/>
    <w:basedOn w:val="1"/>
    <w:next w:val="1"/>
    <w:autoRedefine/>
    <w:unhideWhenUsed/>
    <w:qFormat/>
    <w:uiPriority w:val="39"/>
    <w:pPr>
      <w:ind w:left="1470"/>
      <w:jc w:val="left"/>
    </w:pPr>
    <w:rPr>
      <w:rFonts w:ascii="Calibri" w:hAnsi="Calibri" w:cs="Calibri"/>
      <w:kern w:val="2"/>
      <w:sz w:val="18"/>
      <w:szCs w:val="18"/>
    </w:rPr>
  </w:style>
  <w:style w:type="paragraph" w:styleId="30">
    <w:name w:val="Date"/>
    <w:basedOn w:val="1"/>
    <w:next w:val="1"/>
    <w:link w:val="86"/>
    <w:autoRedefine/>
    <w:qFormat/>
    <w:uiPriority w:val="0"/>
    <w:rPr>
      <w:rFonts w:ascii="Arial" w:hAnsi="Arial" w:cs="Arial"/>
      <w:b/>
      <w:sz w:val="28"/>
    </w:rPr>
  </w:style>
  <w:style w:type="paragraph" w:styleId="31">
    <w:name w:val="Body Text Indent 2"/>
    <w:basedOn w:val="1"/>
    <w:link w:val="136"/>
    <w:autoRedefine/>
    <w:qFormat/>
    <w:uiPriority w:val="0"/>
    <w:pPr>
      <w:widowControl/>
      <w:overflowPunct w:val="0"/>
      <w:autoSpaceDE w:val="0"/>
      <w:autoSpaceDN w:val="0"/>
      <w:adjustRightInd w:val="0"/>
      <w:spacing w:line="360" w:lineRule="auto"/>
      <w:ind w:firstLine="555"/>
      <w:textAlignment w:val="baseline"/>
    </w:pPr>
    <w:rPr>
      <w:rFonts w:hAnsi="MS Sans Serif" w:cs="Times New Roman"/>
      <w:bCs/>
      <w:spacing w:val="12"/>
      <w:sz w:val="24"/>
      <w:lang w:val="zh-CN"/>
    </w:rPr>
  </w:style>
  <w:style w:type="paragraph" w:styleId="32">
    <w:name w:val="Balloon Text"/>
    <w:basedOn w:val="1"/>
    <w:link w:val="73"/>
    <w:autoRedefine/>
    <w:unhideWhenUsed/>
    <w:qFormat/>
    <w:uiPriority w:val="0"/>
    <w:rPr>
      <w:sz w:val="18"/>
      <w:szCs w:val="18"/>
    </w:rPr>
  </w:style>
  <w:style w:type="paragraph" w:styleId="33">
    <w:name w:val="footer"/>
    <w:basedOn w:val="1"/>
    <w:link w:val="78"/>
    <w:autoRedefine/>
    <w:unhideWhenUsed/>
    <w:qFormat/>
    <w:uiPriority w:val="99"/>
    <w:pPr>
      <w:tabs>
        <w:tab w:val="center" w:pos="4153"/>
        <w:tab w:val="right" w:pos="8306"/>
      </w:tabs>
      <w:snapToGrid w:val="0"/>
      <w:jc w:val="left"/>
    </w:pPr>
    <w:rPr>
      <w:sz w:val="18"/>
      <w:szCs w:val="18"/>
    </w:rPr>
  </w:style>
  <w:style w:type="paragraph" w:styleId="34">
    <w:name w:val="header"/>
    <w:basedOn w:val="1"/>
    <w:link w:val="7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35">
    <w:name w:val="toc 1"/>
    <w:basedOn w:val="1"/>
    <w:next w:val="1"/>
    <w:autoRedefine/>
    <w:unhideWhenUsed/>
    <w:qFormat/>
    <w:uiPriority w:val="39"/>
    <w:pPr>
      <w:widowControl/>
      <w:spacing w:after="100" w:line="276" w:lineRule="auto"/>
      <w:jc w:val="left"/>
    </w:pPr>
    <w:rPr>
      <w:rFonts w:asciiTheme="minorHAnsi" w:hAnsiTheme="minorHAnsi" w:eastAsiaTheme="minorEastAsia"/>
      <w:sz w:val="22"/>
      <w:szCs w:val="22"/>
    </w:rPr>
  </w:style>
  <w:style w:type="paragraph" w:styleId="36">
    <w:name w:val="List Continue 4"/>
    <w:basedOn w:val="1"/>
    <w:autoRedefine/>
    <w:qFormat/>
    <w:uiPriority w:val="0"/>
    <w:pPr>
      <w:spacing w:after="120"/>
      <w:ind w:left="1680" w:leftChars="800"/>
    </w:pPr>
    <w:rPr>
      <w:rFonts w:ascii="Calibri" w:hAnsi="Calibri" w:cs="Times New Roman"/>
      <w:kern w:val="2"/>
      <w:sz w:val="21"/>
      <w:szCs w:val="22"/>
    </w:rPr>
  </w:style>
  <w:style w:type="paragraph" w:styleId="37">
    <w:name w:val="toc 4"/>
    <w:basedOn w:val="1"/>
    <w:next w:val="1"/>
    <w:autoRedefine/>
    <w:unhideWhenUsed/>
    <w:qFormat/>
    <w:uiPriority w:val="39"/>
    <w:pPr>
      <w:ind w:left="630"/>
      <w:jc w:val="left"/>
    </w:pPr>
    <w:rPr>
      <w:rFonts w:ascii="Calibri" w:hAnsi="Calibri" w:cs="Calibri"/>
      <w:kern w:val="2"/>
      <w:sz w:val="18"/>
      <w:szCs w:val="18"/>
    </w:rPr>
  </w:style>
  <w:style w:type="paragraph" w:styleId="38">
    <w:name w:val="index heading"/>
    <w:basedOn w:val="1"/>
    <w:next w:val="39"/>
    <w:autoRedefine/>
    <w:semiHidden/>
    <w:qFormat/>
    <w:uiPriority w:val="0"/>
    <w:rPr>
      <w:rFonts w:ascii="Times New Roman" w:hAnsi="Times New Roman" w:cs="Times New Roman"/>
      <w:kern w:val="2"/>
      <w:sz w:val="21"/>
      <w:szCs w:val="24"/>
    </w:rPr>
  </w:style>
  <w:style w:type="paragraph" w:styleId="39">
    <w:name w:val="index 1"/>
    <w:basedOn w:val="1"/>
    <w:next w:val="1"/>
    <w:autoRedefine/>
    <w:qFormat/>
    <w:uiPriority w:val="0"/>
    <w:pPr>
      <w:jc w:val="center"/>
    </w:pPr>
    <w:rPr>
      <w:rFonts w:ascii="Arial" w:hAnsi="Arial" w:eastAsia="Arial" w:cs="Arial"/>
      <w:b/>
      <w:bCs/>
      <w:sz w:val="28"/>
    </w:rPr>
  </w:style>
  <w:style w:type="paragraph" w:styleId="40">
    <w:name w:val="Subtitle"/>
    <w:basedOn w:val="1"/>
    <w:link w:val="228"/>
    <w:autoRedefine/>
    <w:qFormat/>
    <w:uiPriority w:val="0"/>
    <w:pPr>
      <w:spacing w:before="240" w:after="60" w:line="312" w:lineRule="auto"/>
      <w:jc w:val="center"/>
      <w:outlineLvl w:val="1"/>
    </w:pPr>
    <w:rPr>
      <w:rFonts w:ascii="Arial" w:hAnsi="Arial" w:cs="Times New Roman"/>
      <w:b/>
      <w:bCs/>
      <w:kern w:val="28"/>
      <w:sz w:val="32"/>
      <w:szCs w:val="32"/>
      <w:lang w:val="zh-CN"/>
    </w:rPr>
  </w:style>
  <w:style w:type="paragraph" w:styleId="41">
    <w:name w:val="List"/>
    <w:basedOn w:val="1"/>
    <w:autoRedefine/>
    <w:qFormat/>
    <w:uiPriority w:val="0"/>
    <w:pPr>
      <w:ind w:left="200" w:hanging="200" w:hangingChars="200"/>
    </w:pPr>
    <w:rPr>
      <w:rFonts w:ascii="Calibri" w:hAnsi="Calibri" w:cs="Times New Roman"/>
      <w:kern w:val="2"/>
      <w:sz w:val="21"/>
      <w:szCs w:val="22"/>
    </w:rPr>
  </w:style>
  <w:style w:type="paragraph" w:styleId="42">
    <w:name w:val="footnote text"/>
    <w:basedOn w:val="1"/>
    <w:link w:val="116"/>
    <w:autoRedefine/>
    <w:unhideWhenUsed/>
    <w:qFormat/>
    <w:uiPriority w:val="0"/>
    <w:pPr>
      <w:snapToGrid w:val="0"/>
      <w:jc w:val="left"/>
    </w:pPr>
    <w:rPr>
      <w:rFonts w:ascii="Times New Roman" w:hAnsi="Times New Roman" w:cs="Times New Roman"/>
      <w:kern w:val="2"/>
      <w:sz w:val="18"/>
      <w:szCs w:val="18"/>
      <w:lang w:val="zh-CN"/>
    </w:rPr>
  </w:style>
  <w:style w:type="paragraph" w:styleId="43">
    <w:name w:val="toc 6"/>
    <w:basedOn w:val="1"/>
    <w:next w:val="1"/>
    <w:autoRedefine/>
    <w:unhideWhenUsed/>
    <w:qFormat/>
    <w:uiPriority w:val="39"/>
    <w:pPr>
      <w:ind w:left="1050"/>
      <w:jc w:val="left"/>
    </w:pPr>
    <w:rPr>
      <w:rFonts w:ascii="Calibri" w:hAnsi="Calibri" w:cs="Calibri"/>
      <w:kern w:val="2"/>
      <w:sz w:val="18"/>
      <w:szCs w:val="18"/>
    </w:rPr>
  </w:style>
  <w:style w:type="paragraph" w:styleId="44">
    <w:name w:val="Body Text Indent 3"/>
    <w:basedOn w:val="1"/>
    <w:link w:val="135"/>
    <w:autoRedefine/>
    <w:qFormat/>
    <w:uiPriority w:val="0"/>
    <w:pPr>
      <w:widowControl/>
      <w:overflowPunct w:val="0"/>
      <w:autoSpaceDE w:val="0"/>
      <w:autoSpaceDN w:val="0"/>
      <w:adjustRightInd w:val="0"/>
      <w:spacing w:line="360" w:lineRule="auto"/>
      <w:ind w:firstLine="540"/>
      <w:textAlignment w:val="baseline"/>
    </w:pPr>
    <w:rPr>
      <w:rFonts w:hAnsi="MS Sans Serif" w:cs="Times New Roman"/>
      <w:bCs/>
      <w:color w:val="000000"/>
      <w:sz w:val="24"/>
      <w:lang w:val="zh-CN"/>
    </w:rPr>
  </w:style>
  <w:style w:type="paragraph" w:styleId="45">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sz w:val="22"/>
      <w:szCs w:val="22"/>
    </w:rPr>
  </w:style>
  <w:style w:type="paragraph" w:styleId="46">
    <w:name w:val="toc 9"/>
    <w:basedOn w:val="1"/>
    <w:next w:val="1"/>
    <w:autoRedefine/>
    <w:unhideWhenUsed/>
    <w:qFormat/>
    <w:uiPriority w:val="39"/>
    <w:pPr>
      <w:ind w:left="1680"/>
      <w:jc w:val="left"/>
    </w:pPr>
    <w:rPr>
      <w:rFonts w:ascii="Calibri" w:hAnsi="Calibri" w:cs="Calibri"/>
      <w:kern w:val="2"/>
      <w:sz w:val="18"/>
      <w:szCs w:val="18"/>
    </w:rPr>
  </w:style>
  <w:style w:type="paragraph" w:styleId="47">
    <w:name w:val="Body Text 2"/>
    <w:basedOn w:val="1"/>
    <w:link w:val="139"/>
    <w:autoRedefine/>
    <w:qFormat/>
    <w:uiPriority w:val="0"/>
    <w:pPr>
      <w:spacing w:line="360" w:lineRule="auto"/>
    </w:pPr>
    <w:rPr>
      <w:rFonts w:hAnsi="Times New Roman" w:cs="Times New Roman"/>
      <w:spacing w:val="-20"/>
      <w:kern w:val="2"/>
      <w:sz w:val="28"/>
      <w:lang w:val="zh-CN"/>
    </w:rPr>
  </w:style>
  <w:style w:type="paragraph" w:styleId="48">
    <w:name w:val="List 4"/>
    <w:basedOn w:val="1"/>
    <w:autoRedefine/>
    <w:qFormat/>
    <w:uiPriority w:val="0"/>
    <w:pPr>
      <w:ind w:left="100" w:leftChars="600" w:hanging="200" w:hangingChars="200"/>
    </w:pPr>
    <w:rPr>
      <w:rFonts w:ascii="Calibri" w:hAnsi="Calibri" w:cs="Times New Roman"/>
      <w:kern w:val="2"/>
      <w:sz w:val="21"/>
      <w:szCs w:val="22"/>
    </w:rPr>
  </w:style>
  <w:style w:type="paragraph" w:styleId="49">
    <w:name w:val="List Continue 2"/>
    <w:basedOn w:val="1"/>
    <w:autoRedefine/>
    <w:qFormat/>
    <w:uiPriority w:val="0"/>
    <w:pPr>
      <w:spacing w:after="120"/>
      <w:ind w:left="840" w:leftChars="400"/>
    </w:pPr>
    <w:rPr>
      <w:rFonts w:ascii="Calibri" w:hAnsi="Calibri" w:cs="Times New Roman"/>
      <w:kern w:val="2"/>
      <w:sz w:val="21"/>
      <w:szCs w:val="22"/>
    </w:rPr>
  </w:style>
  <w:style w:type="paragraph" w:styleId="50">
    <w:name w:val="Normal (Web)"/>
    <w:basedOn w:val="1"/>
    <w:next w:val="1"/>
    <w:autoRedefine/>
    <w:qFormat/>
    <w:uiPriority w:val="0"/>
    <w:pPr>
      <w:widowControl/>
      <w:spacing w:before="100" w:beforeAutospacing="1" w:after="100" w:afterAutospacing="1"/>
      <w:jc w:val="left"/>
    </w:pPr>
    <w:rPr>
      <w:rFonts w:cs="宋体"/>
      <w:color w:val="0066CC"/>
      <w:sz w:val="24"/>
      <w:szCs w:val="24"/>
    </w:rPr>
  </w:style>
  <w:style w:type="paragraph" w:styleId="51">
    <w:name w:val="Title"/>
    <w:basedOn w:val="3"/>
    <w:next w:val="1"/>
    <w:link w:val="143"/>
    <w:autoRedefine/>
    <w:qFormat/>
    <w:uiPriority w:val="0"/>
    <w:pPr>
      <w:spacing w:before="0" w:after="0" w:line="360" w:lineRule="auto"/>
      <w:jc w:val="center"/>
    </w:pPr>
    <w:rPr>
      <w:rFonts w:ascii="宋体" w:hAnsi="宋体" w:eastAsia="黑体"/>
      <w:bCs w:val="0"/>
      <w:smallCaps/>
      <w:snapToGrid w:val="0"/>
      <w:sz w:val="44"/>
      <w:szCs w:val="24"/>
    </w:rPr>
  </w:style>
  <w:style w:type="paragraph" w:styleId="52">
    <w:name w:val="annotation subject"/>
    <w:basedOn w:val="16"/>
    <w:next w:val="16"/>
    <w:link w:val="101"/>
    <w:autoRedefine/>
    <w:unhideWhenUsed/>
    <w:qFormat/>
    <w:uiPriority w:val="0"/>
    <w:rPr>
      <w:rFonts w:ascii="宋体" w:hAnsi="宋体" w:eastAsia="宋体" w:cstheme="minorBidi"/>
      <w:b/>
      <w:bCs/>
    </w:rPr>
  </w:style>
  <w:style w:type="paragraph" w:styleId="53">
    <w:name w:val="Body Text First Indent"/>
    <w:basedOn w:val="19"/>
    <w:autoRedefine/>
    <w:semiHidden/>
    <w:unhideWhenUsed/>
    <w:qFormat/>
    <w:uiPriority w:val="99"/>
    <w:pPr>
      <w:ind w:firstLine="420" w:firstLineChars="100"/>
    </w:pPr>
  </w:style>
  <w:style w:type="paragraph" w:styleId="54">
    <w:name w:val="Body Text First Indent 2"/>
    <w:basedOn w:val="20"/>
    <w:next w:val="1"/>
    <w:autoRedefine/>
    <w:qFormat/>
    <w:uiPriority w:val="0"/>
    <w:pPr>
      <w:keepNext w:val="0"/>
      <w:keepLines w:val="0"/>
      <w:widowControl w:val="0"/>
      <w:suppressLineNumbers w:val="0"/>
      <w:spacing w:after="120" w:afterLines="0" w:afterAutospacing="0"/>
      <w:ind w:left="420" w:leftChars="200" w:firstLine="420" w:firstLineChars="200"/>
      <w:jc w:val="both"/>
    </w:pPr>
    <w:rPr>
      <w:rFonts w:hint="default" w:ascii="Times New Roman" w:hAnsi="Times New Roman" w:cs="Times New Roman"/>
      <w:kern w:val="2"/>
      <w:sz w:val="21"/>
      <w:szCs w:val="21"/>
      <w:lang w:val="en-US" w:eastAsia="zh-CN" w:bidi="ar"/>
    </w:rPr>
  </w:style>
  <w:style w:type="table" w:styleId="56">
    <w:name w:val="Table Grid"/>
    <w:basedOn w:val="55"/>
    <w:autoRedefine/>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8">
    <w:name w:val="Strong"/>
    <w:autoRedefine/>
    <w:qFormat/>
    <w:uiPriority w:val="0"/>
    <w:rPr>
      <w:b/>
      <w:bCs/>
    </w:rPr>
  </w:style>
  <w:style w:type="character" w:styleId="59">
    <w:name w:val="page number"/>
    <w:basedOn w:val="57"/>
    <w:autoRedefine/>
    <w:qFormat/>
    <w:uiPriority w:val="0"/>
  </w:style>
  <w:style w:type="character" w:styleId="60">
    <w:name w:val="FollowedHyperlink"/>
    <w:basedOn w:val="57"/>
    <w:autoRedefine/>
    <w:semiHidden/>
    <w:unhideWhenUsed/>
    <w:qFormat/>
    <w:uiPriority w:val="99"/>
    <w:rPr>
      <w:color w:val="800080" w:themeColor="followedHyperlink"/>
      <w:u w:val="single"/>
      <w14:textFill>
        <w14:solidFill>
          <w14:schemeClr w14:val="folHlink"/>
        </w14:solidFill>
      </w14:textFill>
    </w:rPr>
  </w:style>
  <w:style w:type="character" w:styleId="61">
    <w:name w:val="Emphasis"/>
    <w:autoRedefine/>
    <w:qFormat/>
    <w:uiPriority w:val="0"/>
    <w:rPr>
      <w:color w:val="CC0033"/>
    </w:rPr>
  </w:style>
  <w:style w:type="character" w:styleId="62">
    <w:name w:val="HTML Definition"/>
    <w:basedOn w:val="57"/>
    <w:autoRedefine/>
    <w:semiHidden/>
    <w:unhideWhenUsed/>
    <w:qFormat/>
    <w:uiPriority w:val="99"/>
    <w:rPr>
      <w:vanish/>
      <w:shd w:val="clear" w:fill="FFFFFF"/>
    </w:rPr>
  </w:style>
  <w:style w:type="character" w:styleId="63">
    <w:name w:val="HTML Typewriter"/>
    <w:basedOn w:val="57"/>
    <w:autoRedefine/>
    <w:semiHidden/>
    <w:unhideWhenUsed/>
    <w:qFormat/>
    <w:uiPriority w:val="99"/>
    <w:rPr>
      <w:rFonts w:hint="default" w:ascii="monospace" w:hAnsi="monospace" w:eastAsia="monospace" w:cs="monospace"/>
      <w:sz w:val="20"/>
    </w:rPr>
  </w:style>
  <w:style w:type="character" w:styleId="64">
    <w:name w:val="HTML Acronym"/>
    <w:basedOn w:val="57"/>
    <w:autoRedefine/>
    <w:semiHidden/>
    <w:unhideWhenUsed/>
    <w:qFormat/>
    <w:uiPriority w:val="99"/>
    <w:rPr>
      <w:bdr w:val="single" w:color="EBEBEB" w:sz="2" w:space="0"/>
      <w:shd w:val="clear" w:fill="FFFFFF"/>
    </w:rPr>
  </w:style>
  <w:style w:type="character" w:styleId="65">
    <w:name w:val="HTML Variable"/>
    <w:basedOn w:val="57"/>
    <w:autoRedefine/>
    <w:semiHidden/>
    <w:unhideWhenUsed/>
    <w:qFormat/>
    <w:uiPriority w:val="99"/>
  </w:style>
  <w:style w:type="character" w:styleId="66">
    <w:name w:val="Hyperlink"/>
    <w:basedOn w:val="57"/>
    <w:autoRedefine/>
    <w:unhideWhenUsed/>
    <w:qFormat/>
    <w:uiPriority w:val="99"/>
    <w:rPr>
      <w:color w:val="0000FF" w:themeColor="hyperlink"/>
      <w:u w:val="single"/>
      <w14:textFill>
        <w14:solidFill>
          <w14:schemeClr w14:val="hlink"/>
        </w14:solidFill>
      </w14:textFill>
    </w:rPr>
  </w:style>
  <w:style w:type="character" w:styleId="67">
    <w:name w:val="HTML Code"/>
    <w:basedOn w:val="57"/>
    <w:autoRedefine/>
    <w:semiHidden/>
    <w:unhideWhenUsed/>
    <w:qFormat/>
    <w:uiPriority w:val="99"/>
    <w:rPr>
      <w:rFonts w:ascii="monospace" w:hAnsi="monospace" w:eastAsia="monospace" w:cs="monospace"/>
      <w:sz w:val="20"/>
    </w:rPr>
  </w:style>
  <w:style w:type="character" w:styleId="68">
    <w:name w:val="annotation reference"/>
    <w:basedOn w:val="57"/>
    <w:autoRedefine/>
    <w:unhideWhenUsed/>
    <w:qFormat/>
    <w:uiPriority w:val="0"/>
    <w:rPr>
      <w:sz w:val="21"/>
      <w:szCs w:val="21"/>
    </w:rPr>
  </w:style>
  <w:style w:type="character" w:styleId="69">
    <w:name w:val="HTML Cite"/>
    <w:basedOn w:val="57"/>
    <w:autoRedefine/>
    <w:semiHidden/>
    <w:unhideWhenUsed/>
    <w:qFormat/>
    <w:uiPriority w:val="99"/>
  </w:style>
  <w:style w:type="character" w:styleId="70">
    <w:name w:val="footnote reference"/>
    <w:autoRedefine/>
    <w:unhideWhenUsed/>
    <w:qFormat/>
    <w:uiPriority w:val="0"/>
    <w:rPr>
      <w:vertAlign w:val="superscript"/>
    </w:rPr>
  </w:style>
  <w:style w:type="character" w:styleId="71">
    <w:name w:val="HTML Keyboard"/>
    <w:basedOn w:val="57"/>
    <w:autoRedefine/>
    <w:semiHidden/>
    <w:unhideWhenUsed/>
    <w:qFormat/>
    <w:uiPriority w:val="99"/>
    <w:rPr>
      <w:rFonts w:hint="default" w:ascii="monospace" w:hAnsi="monospace" w:eastAsia="monospace" w:cs="monospace"/>
      <w:sz w:val="20"/>
    </w:rPr>
  </w:style>
  <w:style w:type="character" w:styleId="72">
    <w:name w:val="HTML Sample"/>
    <w:autoRedefine/>
    <w:qFormat/>
    <w:uiPriority w:val="0"/>
    <w:rPr>
      <w:rFonts w:hint="default" w:ascii="monospace" w:hAnsi="monospace" w:eastAsia="monospace" w:cs="monospace"/>
      <w:sz w:val="21"/>
      <w:szCs w:val="21"/>
    </w:rPr>
  </w:style>
  <w:style w:type="character" w:customStyle="1" w:styleId="73">
    <w:name w:val="批注框文本 Char"/>
    <w:basedOn w:val="57"/>
    <w:link w:val="32"/>
    <w:autoRedefine/>
    <w:qFormat/>
    <w:uiPriority w:val="0"/>
    <w:rPr>
      <w:rFonts w:ascii="@仿宋_GB2312" w:hAnsi="@仿宋_GB2312" w:eastAsia="@仿宋_GB2312" w:cs="@仿宋_GB2312"/>
      <w:sz w:val="18"/>
      <w:szCs w:val="18"/>
    </w:rPr>
  </w:style>
  <w:style w:type="paragraph" w:customStyle="1" w:styleId="74">
    <w:name w:val="正文（缩进）"/>
    <w:basedOn w:val="1"/>
    <w:autoRedefine/>
    <w:qFormat/>
    <w:uiPriority w:val="0"/>
    <w:pPr>
      <w:widowControl/>
      <w:spacing w:before="156" w:after="156"/>
      <w:ind w:firstLine="480" w:firstLineChars="200"/>
      <w:jc w:val="left"/>
    </w:pPr>
    <w:rPr>
      <w:sz w:val="24"/>
      <w:szCs w:val="24"/>
    </w:rPr>
  </w:style>
  <w:style w:type="paragraph" w:customStyle="1" w:styleId="75">
    <w:name w:val="xl31"/>
    <w:basedOn w:val="1"/>
    <w:autoRedefine/>
    <w:qFormat/>
    <w:uiPriority w:val="0"/>
    <w:pPr>
      <w:widowControl/>
      <w:spacing w:before="100" w:beforeAutospacing="1" w:after="100" w:afterAutospacing="1"/>
      <w:jc w:val="center"/>
    </w:pPr>
    <w:rPr>
      <w:b/>
      <w:bCs/>
      <w:sz w:val="28"/>
      <w:szCs w:val="28"/>
    </w:rPr>
  </w:style>
  <w:style w:type="paragraph" w:customStyle="1" w:styleId="76">
    <w:name w:val="D&amp;L"/>
    <w:basedOn w:val="34"/>
    <w:autoRedefine/>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77">
    <w:name w:val="页眉 Char"/>
    <w:basedOn w:val="57"/>
    <w:link w:val="34"/>
    <w:autoRedefine/>
    <w:qFormat/>
    <w:uiPriority w:val="99"/>
    <w:rPr>
      <w:rFonts w:ascii="@仿宋_GB2312" w:hAnsi="@仿宋_GB2312" w:eastAsia="@仿宋_GB2312" w:cs="@仿宋_GB2312"/>
      <w:sz w:val="18"/>
      <w:szCs w:val="18"/>
    </w:rPr>
  </w:style>
  <w:style w:type="character" w:customStyle="1" w:styleId="78">
    <w:name w:val="页脚 Char"/>
    <w:basedOn w:val="57"/>
    <w:link w:val="33"/>
    <w:autoRedefine/>
    <w:qFormat/>
    <w:uiPriority w:val="99"/>
    <w:rPr>
      <w:rFonts w:ascii="@仿宋_GB2312" w:hAnsi="@仿宋_GB2312" w:eastAsia="@仿宋_GB2312" w:cs="@仿宋_GB2312"/>
      <w:sz w:val="18"/>
      <w:szCs w:val="18"/>
    </w:rPr>
  </w:style>
  <w:style w:type="character" w:customStyle="1" w:styleId="79">
    <w:name w:val="纯文本 Char"/>
    <w:link w:val="28"/>
    <w:autoRedefine/>
    <w:qFormat/>
    <w:uiPriority w:val="0"/>
    <w:rPr>
      <w:rFonts w:ascii="宋体" w:hAnsi="Courier New"/>
    </w:rPr>
  </w:style>
  <w:style w:type="character" w:customStyle="1" w:styleId="80">
    <w:name w:val="纯文本 字符1"/>
    <w:basedOn w:val="57"/>
    <w:autoRedefine/>
    <w:semiHidden/>
    <w:qFormat/>
    <w:uiPriority w:val="99"/>
    <w:rPr>
      <w:rFonts w:hAnsi="Courier New" w:cs="Courier New" w:asciiTheme="minorEastAsia"/>
      <w:szCs w:val="20"/>
    </w:rPr>
  </w:style>
  <w:style w:type="character" w:customStyle="1" w:styleId="81">
    <w:name w:val="未处理的提及1"/>
    <w:basedOn w:val="57"/>
    <w:autoRedefine/>
    <w:semiHidden/>
    <w:unhideWhenUsed/>
    <w:qFormat/>
    <w:uiPriority w:val="99"/>
    <w:rPr>
      <w:color w:val="605E5C"/>
      <w:shd w:val="clear" w:color="auto" w:fill="E1DFDD"/>
    </w:rPr>
  </w:style>
  <w:style w:type="paragraph" w:styleId="82">
    <w:name w:val="List Paragraph"/>
    <w:basedOn w:val="1"/>
    <w:autoRedefine/>
    <w:qFormat/>
    <w:uiPriority w:val="34"/>
    <w:pPr>
      <w:ind w:firstLine="420" w:firstLineChars="200"/>
    </w:pPr>
  </w:style>
  <w:style w:type="paragraph" w:customStyle="1" w:styleId="83">
    <w:name w:val="Char Char Char Char Char Char Char1 Char"/>
    <w:basedOn w:val="1"/>
    <w:autoRedefine/>
    <w:qFormat/>
    <w:uiPriority w:val="0"/>
    <w:rPr>
      <w:rFonts w:ascii="Arial" w:hAnsi="Arial" w:cs="Arial"/>
      <w:sz w:val="24"/>
    </w:rPr>
  </w:style>
  <w:style w:type="table" w:customStyle="1" w:styleId="84">
    <w:name w:val="网格表 1 浅色1"/>
    <w:basedOn w:val="55"/>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85">
    <w:name w:val="日期 字符"/>
    <w:basedOn w:val="57"/>
    <w:autoRedefine/>
    <w:semiHidden/>
    <w:qFormat/>
    <w:uiPriority w:val="99"/>
    <w:rPr>
      <w:rFonts w:ascii="@仿宋_GB2312" w:hAnsi="@仿宋_GB2312" w:eastAsia="@仿宋_GB2312" w:cs="@仿宋_GB2312"/>
      <w:szCs w:val="20"/>
    </w:rPr>
  </w:style>
  <w:style w:type="character" w:customStyle="1" w:styleId="86">
    <w:name w:val="日期 Char"/>
    <w:link w:val="30"/>
    <w:autoRedefine/>
    <w:qFormat/>
    <w:uiPriority w:val="0"/>
    <w:rPr>
      <w:rFonts w:ascii="Arial" w:hAnsi="Arial" w:eastAsia="宋体" w:cs="Arial"/>
      <w:b/>
      <w:sz w:val="28"/>
      <w:szCs w:val="20"/>
    </w:rPr>
  </w:style>
  <w:style w:type="character" w:customStyle="1" w:styleId="87">
    <w:name w:val="纯文本 Char1"/>
    <w:link w:val="88"/>
    <w:autoRedefine/>
    <w:qFormat/>
    <w:locked/>
    <w:uiPriority w:val="99"/>
    <w:rPr>
      <w:rFonts w:ascii="Arial" w:hAnsi="Arial" w:eastAsia="Arial"/>
      <w:kern w:val="2"/>
      <w:sz w:val="21"/>
      <w:lang w:val="en-US" w:eastAsia="zh-CN" w:bidi="ar-SA"/>
    </w:rPr>
  </w:style>
  <w:style w:type="paragraph" w:customStyle="1" w:styleId="88">
    <w:name w:val="纯文本1"/>
    <w:basedOn w:val="1"/>
    <w:link w:val="87"/>
    <w:autoRedefine/>
    <w:qFormat/>
    <w:uiPriority w:val="0"/>
    <w:rPr>
      <w:rFonts w:ascii="Arial" w:hAnsi="Arial" w:eastAsia="Arial"/>
    </w:rPr>
  </w:style>
  <w:style w:type="character" w:customStyle="1" w:styleId="89">
    <w:name w:val="批注文字 Char"/>
    <w:basedOn w:val="57"/>
    <w:autoRedefine/>
    <w:qFormat/>
    <w:uiPriority w:val="0"/>
    <w:rPr>
      <w:rFonts w:ascii="@仿宋_GB2312" w:hAnsi="@仿宋_GB2312" w:eastAsia="@仿宋_GB2312" w:cs="@仿宋_GB2312"/>
      <w:szCs w:val="20"/>
    </w:rPr>
  </w:style>
  <w:style w:type="character" w:customStyle="1" w:styleId="90">
    <w:name w:val="批注文字 Char1"/>
    <w:link w:val="16"/>
    <w:autoRedefine/>
    <w:qFormat/>
    <w:uiPriority w:val="99"/>
    <w:rPr>
      <w:rFonts w:ascii="Arial" w:hAnsi="Arial" w:eastAsia="黑体" w:cs="Arial"/>
      <w:szCs w:val="20"/>
    </w:rPr>
  </w:style>
  <w:style w:type="character" w:customStyle="1" w:styleId="91">
    <w:name w:val="标题 1 Char"/>
    <w:basedOn w:val="57"/>
    <w:link w:val="2"/>
    <w:autoRedefine/>
    <w:qFormat/>
    <w:uiPriority w:val="0"/>
    <w:rPr>
      <w:rFonts w:ascii="@仿宋_GB2312" w:hAnsi="@仿宋_GB2312" w:eastAsia="@仿宋_GB2312" w:cs="@仿宋_GB2312"/>
      <w:b/>
      <w:bCs/>
      <w:kern w:val="44"/>
      <w:sz w:val="44"/>
      <w:szCs w:val="44"/>
    </w:rPr>
  </w:style>
  <w:style w:type="paragraph" w:customStyle="1" w:styleId="92">
    <w:name w:val="TOC 标题1"/>
    <w:basedOn w:val="2"/>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93">
    <w:name w:val="标题 3 Char"/>
    <w:basedOn w:val="57"/>
    <w:link w:val="6"/>
    <w:autoRedefine/>
    <w:qFormat/>
    <w:uiPriority w:val="0"/>
    <w:rPr>
      <w:rFonts w:ascii="@仿宋_GB2312" w:hAnsi="@仿宋_GB2312" w:eastAsia="@仿宋_GB2312" w:cs="@仿宋_GB2312"/>
      <w:b/>
      <w:bCs/>
      <w:sz w:val="32"/>
      <w:szCs w:val="32"/>
    </w:rPr>
  </w:style>
  <w:style w:type="character" w:customStyle="1" w:styleId="94">
    <w:name w:val="fontstyle01"/>
    <w:basedOn w:val="57"/>
    <w:autoRedefine/>
    <w:qFormat/>
    <w:uiPriority w:val="0"/>
    <w:rPr>
      <w:rFonts w:hint="eastAsia" w:ascii="宋体" w:hAnsi="宋体" w:eastAsia="宋体"/>
      <w:color w:val="000000"/>
      <w:sz w:val="22"/>
      <w:szCs w:val="22"/>
    </w:rPr>
  </w:style>
  <w:style w:type="character" w:customStyle="1" w:styleId="95">
    <w:name w:val="fontstyle21"/>
    <w:basedOn w:val="57"/>
    <w:autoRedefine/>
    <w:qFormat/>
    <w:uiPriority w:val="0"/>
    <w:rPr>
      <w:rFonts w:hint="default" w:ascii="TimesNewRomanPSMT" w:hAnsi="TimesNewRomanPSMT"/>
      <w:color w:val="000000"/>
      <w:sz w:val="22"/>
      <w:szCs w:val="22"/>
    </w:rPr>
  </w:style>
  <w:style w:type="character" w:customStyle="1" w:styleId="96">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97">
    <w:name w:val="标题 4 字符"/>
    <w:basedOn w:val="57"/>
    <w:autoRedefine/>
    <w:semiHidden/>
    <w:qFormat/>
    <w:uiPriority w:val="9"/>
    <w:rPr>
      <w:rFonts w:asciiTheme="majorHAnsi" w:hAnsiTheme="majorHAnsi" w:eastAsiaTheme="majorEastAsia" w:cstheme="majorBidi"/>
      <w:b/>
      <w:bCs/>
      <w:sz w:val="28"/>
      <w:szCs w:val="28"/>
    </w:rPr>
  </w:style>
  <w:style w:type="character" w:customStyle="1" w:styleId="98">
    <w:name w:val="标题 4 Char"/>
    <w:link w:val="4"/>
    <w:autoRedefine/>
    <w:qFormat/>
    <w:uiPriority w:val="0"/>
    <w:rPr>
      <w:rFonts w:ascii="@仿宋_GB2312" w:hAnsi="@仿宋_GB2312" w:eastAsia="@仿宋_GB2312" w:cs="@仿宋_GB2312"/>
      <w:b/>
      <w:bCs/>
      <w:sz w:val="28"/>
      <w:szCs w:val="28"/>
    </w:rPr>
  </w:style>
  <w:style w:type="character" w:customStyle="1" w:styleId="99">
    <w:name w:val="正文文本 Char"/>
    <w:basedOn w:val="57"/>
    <w:link w:val="19"/>
    <w:autoRedefine/>
    <w:qFormat/>
    <w:uiPriority w:val="0"/>
    <w:rPr>
      <w:rFonts w:ascii="兰米小标宋" w:hAnsi="兰米小标宋" w:eastAsia="兰米小标宋" w:cs="兰米小标宋"/>
      <w:szCs w:val="24"/>
      <w:lang w:val="zh-CN" w:eastAsia="zh-CN"/>
    </w:rPr>
  </w:style>
  <w:style w:type="table" w:customStyle="1" w:styleId="100">
    <w:name w:val="网格型1"/>
    <w:basedOn w:val="55"/>
    <w:autoRedefine/>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1">
    <w:name w:val="批注主题 Char"/>
    <w:basedOn w:val="90"/>
    <w:link w:val="52"/>
    <w:autoRedefine/>
    <w:qFormat/>
    <w:uiPriority w:val="0"/>
    <w:rPr>
      <w:rFonts w:ascii="Arial" w:hAnsi="Arial" w:eastAsia="黑体" w:cs="Arial"/>
      <w:b/>
      <w:bCs/>
      <w:szCs w:val="20"/>
    </w:rPr>
  </w:style>
  <w:style w:type="paragraph" w:customStyle="1" w:styleId="102">
    <w:name w:val="普通 (Web)"/>
    <w:basedOn w:val="1"/>
    <w:autoRedefine/>
    <w:qFormat/>
    <w:uiPriority w:val="0"/>
    <w:pPr>
      <w:widowControl/>
      <w:spacing w:before="100" w:beforeAutospacing="1" w:after="100" w:afterAutospacing="1"/>
      <w:jc w:val="left"/>
    </w:pPr>
    <w:rPr>
      <w:rFonts w:cs="Times New Roman"/>
      <w:sz w:val="24"/>
      <w:szCs w:val="24"/>
    </w:rPr>
  </w:style>
  <w:style w:type="table" w:customStyle="1" w:styleId="103">
    <w:name w:val="网格型2"/>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04">
    <w:name w:val="标题 2 Char"/>
    <w:basedOn w:val="57"/>
    <w:link w:val="3"/>
    <w:autoRedefine/>
    <w:qFormat/>
    <w:uiPriority w:val="0"/>
    <w:rPr>
      <w:rFonts w:ascii="Cambria" w:hAnsi="Cambria" w:cs="Times New Roman"/>
      <w:b/>
      <w:bCs/>
      <w:kern w:val="2"/>
      <w:sz w:val="32"/>
      <w:szCs w:val="32"/>
      <w:lang w:val="zh-CN" w:eastAsia="zh-CN"/>
    </w:rPr>
  </w:style>
  <w:style w:type="character" w:customStyle="1" w:styleId="105">
    <w:name w:val="标题 5 Char"/>
    <w:basedOn w:val="57"/>
    <w:link w:val="5"/>
    <w:autoRedefine/>
    <w:qFormat/>
    <w:uiPriority w:val="0"/>
    <w:rPr>
      <w:rFonts w:ascii="Calibri" w:hAnsi="Calibri" w:cs="Times New Roman"/>
      <w:b/>
      <w:bCs/>
      <w:kern w:val="2"/>
      <w:sz w:val="28"/>
      <w:szCs w:val="28"/>
      <w:lang w:val="zh-CN" w:eastAsia="zh-CN"/>
    </w:rPr>
  </w:style>
  <w:style w:type="character" w:customStyle="1" w:styleId="106">
    <w:name w:val="标题 6 Char"/>
    <w:basedOn w:val="57"/>
    <w:link w:val="7"/>
    <w:autoRedefine/>
    <w:qFormat/>
    <w:uiPriority w:val="0"/>
    <w:rPr>
      <w:rFonts w:ascii="Times New Roman" w:hAnsi="Times New Roman" w:cs="Times New Roman"/>
      <w:b/>
      <w:bCs/>
      <w:kern w:val="2"/>
      <w:sz w:val="30"/>
      <w:szCs w:val="18"/>
      <w:lang w:val="zh-CN" w:eastAsia="zh-CN"/>
    </w:rPr>
  </w:style>
  <w:style w:type="character" w:customStyle="1" w:styleId="107">
    <w:name w:val="标题 7 Char"/>
    <w:basedOn w:val="57"/>
    <w:link w:val="8"/>
    <w:autoRedefine/>
    <w:qFormat/>
    <w:uiPriority w:val="0"/>
    <w:rPr>
      <w:rFonts w:ascii="Times New Roman" w:hAnsi="Times New Roman" w:cs="Times New Roman"/>
      <w:b/>
      <w:bCs/>
      <w:kern w:val="2"/>
      <w:sz w:val="30"/>
      <w:szCs w:val="18"/>
      <w:lang w:val="zh-CN" w:eastAsia="zh-CN"/>
    </w:rPr>
  </w:style>
  <w:style w:type="character" w:customStyle="1" w:styleId="108">
    <w:name w:val="标题 8 Char"/>
    <w:basedOn w:val="57"/>
    <w:link w:val="9"/>
    <w:autoRedefine/>
    <w:qFormat/>
    <w:uiPriority w:val="0"/>
    <w:rPr>
      <w:rFonts w:eastAsia="黑体" w:cs="Times New Roman"/>
      <w:kern w:val="2"/>
      <w:sz w:val="32"/>
      <w:szCs w:val="32"/>
      <w:lang w:val="zh-CN" w:eastAsia="zh-CN"/>
    </w:rPr>
  </w:style>
  <w:style w:type="character" w:customStyle="1" w:styleId="109">
    <w:name w:val="标题 9 Char"/>
    <w:basedOn w:val="57"/>
    <w:link w:val="10"/>
    <w:autoRedefine/>
    <w:qFormat/>
    <w:uiPriority w:val="0"/>
    <w:rPr>
      <w:rFonts w:ascii="Cambria" w:hAnsi="Cambria" w:cs="Times New Roman"/>
      <w:kern w:val="2"/>
      <w:sz w:val="21"/>
      <w:szCs w:val="21"/>
      <w:lang w:val="zh-CN" w:eastAsia="zh-CN"/>
    </w:rPr>
  </w:style>
  <w:style w:type="character" w:customStyle="1" w:styleId="110">
    <w:name w:val="纯文本 Char2"/>
    <w:autoRedefine/>
    <w:qFormat/>
    <w:uiPriority w:val="0"/>
    <w:rPr>
      <w:rFonts w:ascii="宋体" w:hAnsi="Courier New"/>
    </w:rPr>
  </w:style>
  <w:style w:type="table" w:customStyle="1" w:styleId="111">
    <w:name w:val="网格型3"/>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112">
    <w:name w:val="网格表 1 浅色11"/>
    <w:basedOn w:val="55"/>
    <w:autoRedefine/>
    <w:qFormat/>
    <w:uiPriority w:val="46"/>
    <w:rPr>
      <w:rFonts w:asciiTheme="minorHAnsi" w:hAnsiTheme="minorHAnsi" w:eastAsiaTheme="minorEastAsia"/>
      <w:kern w:val="2"/>
      <w:sz w:val="21"/>
      <w:szCs w:val="22"/>
    </w:rPr>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paragraph" w:customStyle="1" w:styleId="113">
    <w:name w:val="TOC 标题2"/>
    <w:basedOn w:val="2"/>
    <w:next w:val="1"/>
    <w:autoRedefine/>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114">
    <w:name w:val="正文文本缩进 Char"/>
    <w:basedOn w:val="57"/>
    <w:link w:val="20"/>
    <w:autoRedefine/>
    <w:qFormat/>
    <w:uiPriority w:val="0"/>
    <w:rPr>
      <w:rFonts w:asciiTheme="minorHAnsi" w:hAnsiTheme="minorHAnsi"/>
      <w:kern w:val="2"/>
      <w:sz w:val="21"/>
      <w:szCs w:val="22"/>
    </w:rPr>
  </w:style>
  <w:style w:type="paragraph" w:customStyle="1" w:styleId="115">
    <w:name w:val="Char"/>
    <w:basedOn w:val="1"/>
    <w:autoRedefine/>
    <w:qFormat/>
    <w:uiPriority w:val="0"/>
    <w:rPr>
      <w:rFonts w:ascii="Tahoma" w:hAnsi="Tahoma" w:cs="Times New Roman"/>
      <w:sz w:val="24"/>
    </w:rPr>
  </w:style>
  <w:style w:type="character" w:customStyle="1" w:styleId="116">
    <w:name w:val="脚注文本 Char"/>
    <w:basedOn w:val="57"/>
    <w:link w:val="42"/>
    <w:autoRedefine/>
    <w:qFormat/>
    <w:uiPriority w:val="0"/>
    <w:rPr>
      <w:rFonts w:ascii="Times New Roman" w:hAnsi="Times New Roman" w:cs="Times New Roman"/>
      <w:kern w:val="2"/>
      <w:sz w:val="18"/>
      <w:szCs w:val="18"/>
      <w:lang w:val="zh-CN" w:eastAsia="zh-CN"/>
    </w:rPr>
  </w:style>
  <w:style w:type="paragraph" w:customStyle="1" w:styleId="117">
    <w:name w:val="样式 标题 3 + (中文) 黑体 小四 非加粗 段前: 7.8 磅 段后: 0 磅 行距: 固定值 20 磅"/>
    <w:basedOn w:val="6"/>
    <w:autoRedefine/>
    <w:qFormat/>
    <w:uiPriority w:val="0"/>
    <w:pPr>
      <w:spacing w:before="120" w:after="120" w:line="400" w:lineRule="exact"/>
      <w:jc w:val="left"/>
    </w:pPr>
    <w:rPr>
      <w:rFonts w:ascii="黑体" w:hAnsi="黑体" w:eastAsia="黑体" w:cs="宋体"/>
      <w:bCs w:val="0"/>
      <w:kern w:val="2"/>
      <w:sz w:val="24"/>
      <w:szCs w:val="20"/>
      <w:lang w:val="zh-CN"/>
    </w:rPr>
  </w:style>
  <w:style w:type="paragraph" w:customStyle="1" w:styleId="118">
    <w:name w:val="样式 标题 2 + Times New Roman 四号 非加粗 段前: 5 磅 段后: 0 磅 行距: 固定值 20..."/>
    <w:basedOn w:val="3"/>
    <w:autoRedefine/>
    <w:qFormat/>
    <w:uiPriority w:val="0"/>
    <w:pPr>
      <w:spacing w:before="100" w:after="0" w:line="400" w:lineRule="exact"/>
    </w:pPr>
    <w:rPr>
      <w:rFonts w:ascii="Times New Roman" w:hAnsi="Times New Roman" w:eastAsia="黑体" w:cs="宋体"/>
      <w:b w:val="0"/>
      <w:bCs w:val="0"/>
      <w:sz w:val="28"/>
      <w:szCs w:val="20"/>
    </w:rPr>
  </w:style>
  <w:style w:type="paragraph" w:customStyle="1" w:styleId="119">
    <w:name w:val="Normal_2"/>
    <w:autoRedefine/>
    <w:qFormat/>
    <w:uiPriority w:val="0"/>
    <w:rPr>
      <w:rFonts w:ascii="Times New Roman" w:hAnsi="Times New Roman" w:eastAsia="Times New Roman" w:cs="Times New Roman"/>
      <w:sz w:val="24"/>
      <w:szCs w:val="24"/>
      <w:lang w:val="en-US" w:eastAsia="zh-CN" w:bidi="ar-SA"/>
    </w:rPr>
  </w:style>
  <w:style w:type="character" w:customStyle="1" w:styleId="120">
    <w:name w:val="称呼 Char"/>
    <w:basedOn w:val="57"/>
    <w:link w:val="17"/>
    <w:autoRedefine/>
    <w:qFormat/>
    <w:uiPriority w:val="0"/>
    <w:rPr>
      <w:rFonts w:ascii="仿宋_GB2312" w:hAnsi="Times New Roman" w:eastAsia="仿宋_GB2312" w:cs="Times New Roman"/>
      <w:kern w:val="2"/>
      <w:sz w:val="28"/>
      <w:lang w:val="zh-CN" w:eastAsia="zh-CN"/>
    </w:rPr>
  </w:style>
  <w:style w:type="paragraph" w:customStyle="1" w:styleId="121">
    <w:name w:val="Default"/>
    <w:autoRedefine/>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paragraph" w:customStyle="1" w:styleId="122">
    <w:name w:val="正文1"/>
    <w:autoRedefine/>
    <w:qFormat/>
    <w:uiPriority w:val="0"/>
    <w:pPr>
      <w:widowControl w:val="0"/>
      <w:adjustRightInd w:val="0"/>
      <w:spacing w:line="312" w:lineRule="atLeast"/>
      <w:jc w:val="both"/>
      <w:textAlignment w:val="baseline"/>
    </w:pPr>
    <w:rPr>
      <w:rFonts w:ascii="宋体" w:hAnsi="Times New Roman" w:eastAsia="宋体" w:cs="Times New Roman"/>
      <w:sz w:val="24"/>
      <w:lang w:val="en-US" w:eastAsia="zh-CN" w:bidi="ar-SA"/>
    </w:rPr>
  </w:style>
  <w:style w:type="paragraph" w:customStyle="1" w:styleId="123">
    <w:name w:val="正文_3"/>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4">
    <w:name w:val="正文_2_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5">
    <w:name w:val="正文_2_1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126">
    <w:name w:val="Normal_1"/>
    <w:autoRedefine/>
    <w:qFormat/>
    <w:uiPriority w:val="0"/>
    <w:rPr>
      <w:rFonts w:ascii="Times New Roman" w:hAnsi="Times New Roman" w:eastAsia="Times New Roman" w:cs="Times New Roman"/>
      <w:sz w:val="24"/>
      <w:szCs w:val="24"/>
      <w:lang w:val="en-US" w:eastAsia="zh-CN" w:bidi="ar-SA"/>
    </w:rPr>
  </w:style>
  <w:style w:type="paragraph" w:customStyle="1" w:styleId="127">
    <w:name w:val="Normal_3"/>
    <w:autoRedefine/>
    <w:qFormat/>
    <w:uiPriority w:val="0"/>
    <w:rPr>
      <w:rFonts w:ascii="Times New Roman" w:hAnsi="Times New Roman" w:eastAsia="Times New Roman" w:cs="Times New Roman"/>
      <w:sz w:val="24"/>
      <w:szCs w:val="24"/>
      <w:lang w:val="en-US" w:eastAsia="zh-CN" w:bidi="ar-SA"/>
    </w:rPr>
  </w:style>
  <w:style w:type="paragraph" w:customStyle="1" w:styleId="128">
    <w:name w:val="Char Char Char Char Char Char"/>
    <w:basedOn w:val="1"/>
    <w:autoRedefine/>
    <w:qFormat/>
    <w:uiPriority w:val="0"/>
    <w:rPr>
      <w:rFonts w:ascii="Tahoma" w:hAnsi="Tahoma" w:cs="Times New Roman"/>
      <w:kern w:val="2"/>
      <w:sz w:val="24"/>
    </w:rPr>
  </w:style>
  <w:style w:type="paragraph" w:customStyle="1" w:styleId="129">
    <w:name w:val="Blockquote"/>
    <w:basedOn w:val="1"/>
    <w:link w:val="130"/>
    <w:autoRedefine/>
    <w:qFormat/>
    <w:uiPriority w:val="0"/>
    <w:pPr>
      <w:autoSpaceDE w:val="0"/>
      <w:autoSpaceDN w:val="0"/>
      <w:adjustRightInd w:val="0"/>
      <w:spacing w:before="100" w:after="100"/>
      <w:ind w:left="360" w:right="360"/>
      <w:jc w:val="left"/>
    </w:pPr>
    <w:rPr>
      <w:rFonts w:ascii="Times New Roman" w:hAnsi="Times New Roman" w:cs="Times New Roman"/>
      <w:sz w:val="24"/>
      <w:lang w:val="zh-CN"/>
    </w:rPr>
  </w:style>
  <w:style w:type="character" w:customStyle="1" w:styleId="130">
    <w:name w:val="Blockquote Char"/>
    <w:link w:val="129"/>
    <w:autoRedefine/>
    <w:qFormat/>
    <w:uiPriority w:val="0"/>
    <w:rPr>
      <w:rFonts w:ascii="Times New Roman" w:hAnsi="Times New Roman" w:cs="Times New Roman"/>
      <w:sz w:val="24"/>
      <w:lang w:val="zh-CN" w:eastAsia="zh-CN"/>
    </w:rPr>
  </w:style>
  <w:style w:type="paragraph" w:customStyle="1" w:styleId="131">
    <w:name w:val="xl22"/>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Calibri" w:hAnsi="Calibri" w:cs="Times New Roman"/>
      <w:sz w:val="24"/>
      <w:szCs w:val="22"/>
    </w:rPr>
  </w:style>
  <w:style w:type="paragraph" w:customStyle="1" w:styleId="132">
    <w:name w:val="样式1"/>
    <w:basedOn w:val="1"/>
    <w:next w:val="4"/>
    <w:autoRedefine/>
    <w:qFormat/>
    <w:uiPriority w:val="0"/>
    <w:pPr>
      <w:spacing w:line="360" w:lineRule="auto"/>
      <w:ind w:firstLine="420" w:firstLineChars="200"/>
    </w:pPr>
    <w:rPr>
      <w:rFonts w:cs="Times New Roman"/>
      <w:kern w:val="2"/>
      <w:sz w:val="21"/>
      <w:szCs w:val="21"/>
    </w:rPr>
  </w:style>
  <w:style w:type="character" w:customStyle="1" w:styleId="133">
    <w:name w:val="tdrownotice1"/>
    <w:autoRedefine/>
    <w:qFormat/>
    <w:uiPriority w:val="0"/>
    <w:rPr>
      <w:sz w:val="22"/>
    </w:rPr>
  </w:style>
  <w:style w:type="paragraph" w:customStyle="1" w:styleId="134">
    <w:name w:val="段落2"/>
    <w:basedOn w:val="1"/>
    <w:autoRedefine/>
    <w:qFormat/>
    <w:uiPriority w:val="0"/>
    <w:pPr>
      <w:spacing w:line="360" w:lineRule="auto"/>
      <w:ind w:firstLine="480" w:firstLineChars="200"/>
    </w:pPr>
    <w:rPr>
      <w:rFonts w:ascii="Calibri" w:hAnsi="Calibri" w:cs="Courier New"/>
      <w:kern w:val="2"/>
      <w:sz w:val="24"/>
      <w:szCs w:val="21"/>
    </w:rPr>
  </w:style>
  <w:style w:type="character" w:customStyle="1" w:styleId="135">
    <w:name w:val="正文文本缩进 3 Char"/>
    <w:basedOn w:val="57"/>
    <w:link w:val="44"/>
    <w:autoRedefine/>
    <w:qFormat/>
    <w:uiPriority w:val="0"/>
    <w:rPr>
      <w:rFonts w:hAnsi="MS Sans Serif" w:cs="Times New Roman"/>
      <w:bCs/>
      <w:color w:val="000000"/>
      <w:sz w:val="24"/>
      <w:lang w:val="zh-CN" w:eastAsia="zh-CN"/>
    </w:rPr>
  </w:style>
  <w:style w:type="character" w:customStyle="1" w:styleId="136">
    <w:name w:val="正文文本缩进 2 Char"/>
    <w:basedOn w:val="57"/>
    <w:link w:val="31"/>
    <w:autoRedefine/>
    <w:qFormat/>
    <w:uiPriority w:val="0"/>
    <w:rPr>
      <w:rFonts w:hAnsi="MS Sans Serif" w:cs="Times New Roman"/>
      <w:bCs/>
      <w:spacing w:val="12"/>
      <w:sz w:val="24"/>
      <w:lang w:val="zh-CN" w:eastAsia="zh-CN"/>
    </w:rPr>
  </w:style>
  <w:style w:type="paragraph" w:customStyle="1" w:styleId="137">
    <w:name w:val="目录"/>
    <w:basedOn w:val="1"/>
    <w:autoRedefine/>
    <w:qFormat/>
    <w:uiPriority w:val="0"/>
    <w:pPr>
      <w:widowControl/>
      <w:jc w:val="center"/>
    </w:pPr>
    <w:rPr>
      <w:rFonts w:hAnsi="Calibri" w:cs="Times New Roman"/>
      <w:b/>
      <w:sz w:val="36"/>
    </w:rPr>
  </w:style>
  <w:style w:type="paragraph" w:customStyle="1" w:styleId="138">
    <w:name w:val="目录文字"/>
    <w:basedOn w:val="1"/>
    <w:autoRedefine/>
    <w:qFormat/>
    <w:uiPriority w:val="0"/>
    <w:pPr>
      <w:widowControl/>
      <w:spacing w:line="480" w:lineRule="auto"/>
      <w:jc w:val="left"/>
    </w:pPr>
    <w:rPr>
      <w:rFonts w:cs="Times New Roman"/>
      <w:sz w:val="24"/>
    </w:rPr>
  </w:style>
  <w:style w:type="character" w:customStyle="1" w:styleId="139">
    <w:name w:val="正文文本 2 Char"/>
    <w:basedOn w:val="57"/>
    <w:link w:val="47"/>
    <w:autoRedefine/>
    <w:qFormat/>
    <w:uiPriority w:val="0"/>
    <w:rPr>
      <w:rFonts w:hAnsi="Times New Roman" w:cs="Times New Roman"/>
      <w:spacing w:val="-20"/>
      <w:kern w:val="2"/>
      <w:sz w:val="28"/>
      <w:lang w:val="zh-CN" w:eastAsia="zh-CN"/>
    </w:rPr>
  </w:style>
  <w:style w:type="character" w:customStyle="1" w:styleId="140">
    <w:name w:val="正文文本 3 Char"/>
    <w:basedOn w:val="57"/>
    <w:link w:val="18"/>
    <w:autoRedefine/>
    <w:qFormat/>
    <w:uiPriority w:val="0"/>
    <w:rPr>
      <w:rFonts w:ascii="仿宋_GB2312" w:eastAsia="仿宋_GB2312" w:cs="Times New Roman"/>
      <w:bCs/>
      <w:color w:val="000000"/>
      <w:kern w:val="2"/>
      <w:sz w:val="24"/>
      <w:szCs w:val="32"/>
      <w:lang w:val="zh-CN" w:eastAsia="zh-CN"/>
    </w:rPr>
  </w:style>
  <w:style w:type="paragraph" w:customStyle="1" w:styleId="141">
    <w:name w:val="Preformatted"/>
    <w:basedOn w:val="1"/>
    <w:autoRedefine/>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Times New Roman"/>
    </w:rPr>
  </w:style>
  <w:style w:type="paragraph" w:customStyle="1" w:styleId="142">
    <w:name w:val="xl33"/>
    <w:basedOn w:val="1"/>
    <w:autoRedefine/>
    <w:qFormat/>
    <w:uiPriority w:val="0"/>
    <w:pPr>
      <w:widowControl/>
      <w:pBdr>
        <w:left w:val="single" w:color="auto" w:sz="4" w:space="0"/>
      </w:pBdr>
      <w:spacing w:before="100" w:beforeAutospacing="1" w:after="100" w:afterAutospacing="1"/>
      <w:jc w:val="center"/>
      <w:textAlignment w:val="center"/>
    </w:pPr>
    <w:rPr>
      <w:rFonts w:ascii="Arial Unicode MS" w:hAnsi="Arial Unicode MS" w:eastAsia="Arial Unicode MS" w:cs="Arial Unicode MS"/>
      <w:sz w:val="28"/>
      <w:szCs w:val="28"/>
    </w:rPr>
  </w:style>
  <w:style w:type="character" w:customStyle="1" w:styleId="143">
    <w:name w:val="标题 Char"/>
    <w:basedOn w:val="57"/>
    <w:link w:val="51"/>
    <w:autoRedefine/>
    <w:qFormat/>
    <w:uiPriority w:val="0"/>
    <w:rPr>
      <w:rFonts w:eastAsia="黑体" w:cs="Times New Roman"/>
      <w:b/>
      <w:smallCaps/>
      <w:snapToGrid w:val="0"/>
      <w:kern w:val="2"/>
      <w:sz w:val="44"/>
      <w:szCs w:val="24"/>
      <w:lang w:val="zh-CN" w:eastAsia="zh-CN"/>
    </w:rPr>
  </w:style>
  <w:style w:type="paragraph" w:customStyle="1" w:styleId="144">
    <w:name w:val="段落1 Char"/>
    <w:basedOn w:val="28"/>
    <w:autoRedefine/>
    <w:qFormat/>
    <w:uiPriority w:val="0"/>
    <w:pPr>
      <w:spacing w:line="360" w:lineRule="auto"/>
    </w:pPr>
    <w:rPr>
      <w:rFonts w:ascii="Times New Roman" w:hAnsi="Times New Roman" w:eastAsia="宋体" w:cs="Times New Roman"/>
      <w:kern w:val="2"/>
      <w:sz w:val="24"/>
      <w:szCs w:val="21"/>
      <w:lang w:val="zh-CN"/>
    </w:rPr>
  </w:style>
  <w:style w:type="paragraph" w:customStyle="1" w:styleId="145">
    <w:name w:val="样式3"/>
    <w:basedOn w:val="1"/>
    <w:autoRedefine/>
    <w:qFormat/>
    <w:uiPriority w:val="0"/>
    <w:pPr>
      <w:tabs>
        <w:tab w:val="left" w:pos="560"/>
        <w:tab w:val="left" w:pos="1120"/>
      </w:tabs>
      <w:spacing w:line="480" w:lineRule="atLeast"/>
    </w:pPr>
    <w:rPr>
      <w:rFonts w:ascii="Calibri" w:hAnsi="Calibri" w:eastAsia="创艺简黑体" w:cs="Times New Roman"/>
      <w:b/>
      <w:kern w:val="2"/>
      <w:sz w:val="28"/>
    </w:rPr>
  </w:style>
  <w:style w:type="paragraph" w:customStyle="1" w:styleId="146">
    <w:name w:val="简单回函地址"/>
    <w:basedOn w:val="1"/>
    <w:autoRedefine/>
    <w:qFormat/>
    <w:uiPriority w:val="0"/>
    <w:rPr>
      <w:rFonts w:ascii="Calibri" w:hAnsi="Calibri" w:cs="Times New Roman"/>
      <w:kern w:val="2"/>
      <w:sz w:val="21"/>
      <w:szCs w:val="22"/>
    </w:rPr>
  </w:style>
  <w:style w:type="paragraph" w:customStyle="1" w:styleId="147">
    <w:name w:val="Char Char Char Char"/>
    <w:basedOn w:val="1"/>
    <w:autoRedefine/>
    <w:qFormat/>
    <w:uiPriority w:val="0"/>
    <w:pPr>
      <w:snapToGrid w:val="0"/>
      <w:spacing w:line="360" w:lineRule="auto"/>
      <w:ind w:firstLine="200" w:firstLineChars="200"/>
    </w:pPr>
    <w:rPr>
      <w:rFonts w:ascii="Calibri" w:hAnsi="Calibri" w:eastAsia="仿宋_GB2312" w:cs="Times New Roman"/>
      <w:kern w:val="2"/>
      <w:sz w:val="24"/>
      <w:szCs w:val="22"/>
    </w:rPr>
  </w:style>
  <w:style w:type="paragraph" w:customStyle="1" w:styleId="148">
    <w:name w:val="Default Paragraph Char Char Char Char"/>
    <w:basedOn w:val="1"/>
    <w:next w:val="1"/>
    <w:autoRedefine/>
    <w:qFormat/>
    <w:uiPriority w:val="0"/>
    <w:pPr>
      <w:widowControl/>
      <w:spacing w:line="360" w:lineRule="auto"/>
      <w:jc w:val="left"/>
    </w:pPr>
    <w:rPr>
      <w:rFonts w:ascii="Calibri" w:hAnsi="Calibri" w:cs="Times New Roman"/>
      <w:sz w:val="21"/>
      <w:lang w:eastAsia="en-US"/>
    </w:rPr>
  </w:style>
  <w:style w:type="character" w:customStyle="1" w:styleId="149">
    <w:name w:val="t_tag"/>
    <w:basedOn w:val="57"/>
    <w:autoRedefine/>
    <w:qFormat/>
    <w:uiPriority w:val="0"/>
  </w:style>
  <w:style w:type="table" w:customStyle="1" w:styleId="150">
    <w:name w:val="网格型11"/>
    <w:basedOn w:val="55"/>
    <w:autoRedefine/>
    <w:qFormat/>
    <w:uiPriority w:val="59"/>
    <w:rPr>
      <w:rFonts w:ascii="Times New Roman" w:hAnsi="Times New Roman" w:cs="Times New Roma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customStyle="1" w:styleId="151">
    <w:name w:val="批注框文本 Char1"/>
    <w:basedOn w:val="57"/>
    <w:autoRedefine/>
    <w:qFormat/>
    <w:uiPriority w:val="0"/>
    <w:rPr>
      <w:rFonts w:ascii="Times New Roman" w:hAnsi="Times New Roman" w:eastAsia="宋体" w:cs="Times New Roman"/>
      <w:sz w:val="18"/>
      <w:szCs w:val="18"/>
    </w:rPr>
  </w:style>
  <w:style w:type="character" w:customStyle="1" w:styleId="152">
    <w:name w:val="批注主题 Char1"/>
    <w:basedOn w:val="90"/>
    <w:autoRedefine/>
    <w:qFormat/>
    <w:uiPriority w:val="0"/>
    <w:rPr>
      <w:rFonts w:ascii="@仿宋_GB2312" w:hAnsi="@仿宋_GB2312" w:eastAsia="@仿宋_GB2312" w:cs="@仿宋_GB2312"/>
      <w:b/>
      <w:bCs/>
      <w:szCs w:val="20"/>
    </w:rPr>
  </w:style>
  <w:style w:type="paragraph" w:customStyle="1" w:styleId="153">
    <w:name w:val="Char10 Char Char Char Char Char Char Char Char Char"/>
    <w:basedOn w:val="1"/>
    <w:next w:val="1"/>
    <w:autoRedefine/>
    <w:qFormat/>
    <w:uiPriority w:val="0"/>
    <w:rPr>
      <w:rFonts w:ascii="Calibri" w:hAnsi="Calibri" w:cs="Times New Roman"/>
      <w:kern w:val="2"/>
      <w:sz w:val="21"/>
      <w:szCs w:val="22"/>
    </w:rPr>
  </w:style>
  <w:style w:type="character" w:customStyle="1" w:styleId="154">
    <w:name w:val="文档结构图 Char"/>
    <w:basedOn w:val="57"/>
    <w:link w:val="15"/>
    <w:autoRedefine/>
    <w:qFormat/>
    <w:uiPriority w:val="0"/>
    <w:rPr>
      <w:rFonts w:ascii="Calibri" w:hAnsi="Calibri" w:cs="Times New Roman"/>
      <w:bCs/>
      <w:kern w:val="2"/>
      <w:sz w:val="21"/>
      <w:szCs w:val="32"/>
      <w:shd w:val="clear" w:color="auto" w:fill="000080"/>
      <w:lang w:val="zh-CN" w:eastAsia="zh-CN"/>
    </w:rPr>
  </w:style>
  <w:style w:type="character" w:customStyle="1" w:styleId="155">
    <w:name w:val="标题 1 Char1"/>
    <w:autoRedefine/>
    <w:qFormat/>
    <w:uiPriority w:val="0"/>
    <w:rPr>
      <w:rFonts w:ascii="Calibri" w:hAnsi="Calibri" w:eastAsia="宋体"/>
      <w:b/>
      <w:kern w:val="44"/>
      <w:sz w:val="44"/>
      <w:szCs w:val="44"/>
    </w:rPr>
  </w:style>
  <w:style w:type="character" w:customStyle="1" w:styleId="156">
    <w:name w:val="标题 3 Char1"/>
    <w:autoRedefine/>
    <w:semiHidden/>
    <w:qFormat/>
    <w:uiPriority w:val="0"/>
    <w:rPr>
      <w:rFonts w:ascii="Calibri" w:hAnsi="Calibri" w:eastAsia="宋体"/>
      <w:b/>
      <w:kern w:val="2"/>
      <w:sz w:val="32"/>
    </w:rPr>
  </w:style>
  <w:style w:type="character" w:customStyle="1" w:styleId="157">
    <w:name w:val="标题 4 Char1"/>
    <w:autoRedefine/>
    <w:semiHidden/>
    <w:qFormat/>
    <w:uiPriority w:val="0"/>
    <w:rPr>
      <w:rFonts w:ascii="Cambria" w:hAnsi="Cambria" w:eastAsia="宋体"/>
      <w:b/>
      <w:kern w:val="2"/>
      <w:sz w:val="28"/>
      <w:szCs w:val="28"/>
    </w:rPr>
  </w:style>
  <w:style w:type="character" w:customStyle="1" w:styleId="158">
    <w:name w:val="标题 5 Char1"/>
    <w:autoRedefine/>
    <w:semiHidden/>
    <w:qFormat/>
    <w:uiPriority w:val="0"/>
    <w:rPr>
      <w:rFonts w:ascii="Calibri" w:hAnsi="Calibri" w:eastAsia="宋体"/>
      <w:b/>
      <w:kern w:val="2"/>
      <w:sz w:val="28"/>
      <w:szCs w:val="28"/>
    </w:rPr>
  </w:style>
  <w:style w:type="character" w:customStyle="1" w:styleId="159">
    <w:name w:val="标题 6 Char1"/>
    <w:autoRedefine/>
    <w:semiHidden/>
    <w:qFormat/>
    <w:uiPriority w:val="0"/>
    <w:rPr>
      <w:rFonts w:ascii="Cambria" w:hAnsi="Cambria" w:eastAsia="宋体"/>
      <w:b/>
      <w:kern w:val="2"/>
      <w:sz w:val="24"/>
      <w:szCs w:val="24"/>
    </w:rPr>
  </w:style>
  <w:style w:type="character" w:customStyle="1" w:styleId="160">
    <w:name w:val="标题 7 Char1"/>
    <w:autoRedefine/>
    <w:semiHidden/>
    <w:qFormat/>
    <w:uiPriority w:val="0"/>
    <w:rPr>
      <w:rFonts w:ascii="Calibri" w:hAnsi="Calibri" w:eastAsia="宋体"/>
      <w:b/>
      <w:kern w:val="2"/>
      <w:sz w:val="24"/>
      <w:szCs w:val="24"/>
    </w:rPr>
  </w:style>
  <w:style w:type="character" w:customStyle="1" w:styleId="161">
    <w:name w:val="标题 8 Char1"/>
    <w:autoRedefine/>
    <w:semiHidden/>
    <w:qFormat/>
    <w:uiPriority w:val="0"/>
    <w:rPr>
      <w:rFonts w:ascii="Cambria" w:hAnsi="Cambria" w:eastAsia="宋体"/>
      <w:kern w:val="2"/>
      <w:sz w:val="24"/>
      <w:szCs w:val="24"/>
    </w:rPr>
  </w:style>
  <w:style w:type="character" w:customStyle="1" w:styleId="162">
    <w:name w:val="标题 9 Char1"/>
    <w:autoRedefine/>
    <w:semiHidden/>
    <w:qFormat/>
    <w:uiPriority w:val="0"/>
    <w:rPr>
      <w:rFonts w:ascii="Cambria" w:hAnsi="Cambria" w:eastAsia="宋体"/>
      <w:kern w:val="2"/>
      <w:sz w:val="21"/>
      <w:szCs w:val="21"/>
    </w:rPr>
  </w:style>
  <w:style w:type="paragraph" w:customStyle="1" w:styleId="163">
    <w:name w:val="MsoNormal"/>
    <w:basedOn w:val="164"/>
    <w:autoRedefine/>
    <w:qFormat/>
    <w:uiPriority w:val="0"/>
    <w:rPr>
      <w:rFonts w:ascii="Calibri" w:hAnsi="Calibri" w:eastAsia="Calibri"/>
      <w:sz w:val="21"/>
    </w:rPr>
  </w:style>
  <w:style w:type="paragraph" w:customStyle="1" w:styleId="164">
    <w:name w:val="Normal_0"/>
    <w:autoRedefine/>
    <w:qFormat/>
    <w:uiPriority w:val="0"/>
    <w:rPr>
      <w:rFonts w:ascii="Times New Roman" w:hAnsi="Times New Roman" w:eastAsia="宋体" w:cs="Times New Roman"/>
      <w:sz w:val="24"/>
      <w:szCs w:val="24"/>
      <w:lang w:val="en-US" w:eastAsia="zh-CN" w:bidi="ar-SA"/>
    </w:rPr>
  </w:style>
  <w:style w:type="paragraph" w:customStyle="1" w:styleId="165">
    <w:name w:val="标题 2_0"/>
    <w:basedOn w:val="166"/>
    <w:next w:val="167"/>
    <w:link w:val="168"/>
    <w:autoRedefine/>
    <w:qFormat/>
    <w:uiPriority w:val="0"/>
    <w:pPr>
      <w:keepNext/>
      <w:keepLines/>
      <w:spacing w:before="260" w:after="260" w:line="500" w:lineRule="exact"/>
      <w:jc w:val="center"/>
      <w:outlineLvl w:val="1"/>
    </w:pPr>
    <w:rPr>
      <w:rFonts w:ascii="黑体" w:hAnsi="宋体" w:eastAsia="黑体"/>
      <w:b/>
      <w:smallCaps/>
      <w:snapToGrid w:val="0"/>
      <w:kern w:val="0"/>
      <w:sz w:val="36"/>
      <w:lang w:val="zh-CN"/>
    </w:rPr>
  </w:style>
  <w:style w:type="paragraph" w:customStyle="1" w:styleId="166">
    <w:name w:val="正文_0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68">
    <w:name w:val="标题 2 Char_0"/>
    <w:link w:val="165"/>
    <w:autoRedefine/>
    <w:qFormat/>
    <w:uiPriority w:val="0"/>
    <w:rPr>
      <w:rFonts w:ascii="黑体" w:eastAsia="黑体" w:cs="Times New Roman"/>
      <w:b/>
      <w:smallCaps/>
      <w:snapToGrid w:val="0"/>
      <w:sz w:val="36"/>
      <w:szCs w:val="24"/>
      <w:lang w:val="zh-CN" w:eastAsia="zh-CN"/>
    </w:rPr>
  </w:style>
  <w:style w:type="paragraph" w:customStyle="1" w:styleId="169">
    <w:name w:val="纯文本_0"/>
    <w:basedOn w:val="167"/>
    <w:link w:val="170"/>
    <w:autoRedefine/>
    <w:qFormat/>
    <w:uiPriority w:val="99"/>
    <w:rPr>
      <w:rFonts w:ascii="宋体" w:hAnsi="Courier New"/>
      <w:szCs w:val="21"/>
    </w:rPr>
  </w:style>
  <w:style w:type="character" w:customStyle="1" w:styleId="170">
    <w:name w:val="Texte Char1"/>
    <w:link w:val="169"/>
    <w:autoRedefine/>
    <w:qFormat/>
    <w:uiPriority w:val="99"/>
    <w:rPr>
      <w:rFonts w:hAnsi="Courier New" w:cs="Times New Roman"/>
      <w:kern w:val="2"/>
      <w:sz w:val="21"/>
      <w:szCs w:val="21"/>
    </w:rPr>
  </w:style>
  <w:style w:type="paragraph" w:customStyle="1" w:styleId="171">
    <w:name w:val="纯文本_1"/>
    <w:basedOn w:val="172"/>
    <w:link w:val="173"/>
    <w:autoRedefine/>
    <w:qFormat/>
    <w:uiPriority w:val="0"/>
    <w:rPr>
      <w:rFonts w:ascii="宋体" w:hAnsi="Courier New"/>
      <w:szCs w:val="21"/>
      <w:lang w:val="zh-CN"/>
    </w:rPr>
  </w:style>
  <w:style w:type="paragraph" w:customStyle="1" w:styleId="172">
    <w:name w:val="正文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73">
    <w:name w:val="纯文本 Char1_0"/>
    <w:link w:val="171"/>
    <w:autoRedefine/>
    <w:qFormat/>
    <w:uiPriority w:val="0"/>
    <w:rPr>
      <w:rFonts w:hAnsi="Courier New" w:cs="Times New Roman"/>
      <w:kern w:val="2"/>
      <w:sz w:val="21"/>
      <w:szCs w:val="21"/>
      <w:lang w:val="zh-CN" w:eastAsia="zh-CN"/>
    </w:rPr>
  </w:style>
  <w:style w:type="paragraph" w:customStyle="1" w:styleId="174">
    <w:name w:val="标题 3_0"/>
    <w:basedOn w:val="175"/>
    <w:next w:val="176"/>
    <w:link w:val="187"/>
    <w:autoRedefine/>
    <w:qFormat/>
    <w:uiPriority w:val="0"/>
    <w:pPr>
      <w:keepNext/>
      <w:keepLines/>
      <w:widowControl/>
      <w:numPr>
        <w:ilvl w:val="2"/>
        <w:numId w:val="1"/>
      </w:numPr>
      <w:spacing w:before="120" w:after="120" w:line="360" w:lineRule="auto"/>
      <w:jc w:val="center"/>
      <w:outlineLvl w:val="2"/>
    </w:pPr>
    <w:rPr>
      <w:b/>
      <w:kern w:val="0"/>
      <w:sz w:val="32"/>
      <w:szCs w:val="20"/>
      <w:lang w:val="zh-CN"/>
    </w:rPr>
  </w:style>
  <w:style w:type="paragraph" w:customStyle="1" w:styleId="175">
    <w:name w:val="正文_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6">
    <w:name w:val="正文缩进_0"/>
    <w:basedOn w:val="175"/>
    <w:autoRedefine/>
    <w:unhideWhenUsed/>
    <w:qFormat/>
    <w:uiPriority w:val="0"/>
    <w:pPr>
      <w:ind w:firstLine="420" w:firstLineChars="200"/>
    </w:pPr>
    <w:rPr>
      <w:rFonts w:ascii="Calibri" w:hAnsi="Calibri"/>
      <w:bCs/>
      <w:szCs w:val="32"/>
    </w:rPr>
  </w:style>
  <w:style w:type="paragraph" w:customStyle="1" w:styleId="177">
    <w:name w:val="标题 1_0"/>
    <w:basedOn w:val="175"/>
    <w:next w:val="175"/>
    <w:link w:val="178"/>
    <w:autoRedefine/>
    <w:qFormat/>
    <w:uiPriority w:val="0"/>
    <w:pPr>
      <w:keepNext/>
      <w:widowControl/>
      <w:numPr>
        <w:ilvl w:val="0"/>
        <w:numId w:val="1"/>
      </w:numPr>
      <w:jc w:val="center"/>
      <w:outlineLvl w:val="0"/>
    </w:pPr>
    <w:rPr>
      <w:rFonts w:ascii="黑体" w:eastAsia="黑体"/>
      <w:kern w:val="0"/>
      <w:sz w:val="52"/>
      <w:szCs w:val="20"/>
      <w:lang w:val="zh-CN"/>
    </w:rPr>
  </w:style>
  <w:style w:type="character" w:customStyle="1" w:styleId="178">
    <w:name w:val="标题 1 Char_0"/>
    <w:link w:val="177"/>
    <w:autoRedefine/>
    <w:qFormat/>
    <w:uiPriority w:val="0"/>
    <w:rPr>
      <w:rFonts w:ascii="黑体" w:hAnsi="Times New Roman" w:eastAsia="黑体" w:cs="Times New Roman"/>
      <w:sz w:val="52"/>
      <w:lang w:val="zh-CN" w:eastAsia="zh-CN"/>
    </w:rPr>
  </w:style>
  <w:style w:type="paragraph" w:customStyle="1" w:styleId="179">
    <w:name w:val="标题 6_0"/>
    <w:basedOn w:val="175"/>
    <w:next w:val="175"/>
    <w:link w:val="180"/>
    <w:autoRedefine/>
    <w:qFormat/>
    <w:uiPriority w:val="0"/>
    <w:pPr>
      <w:keepNext/>
      <w:keepLines/>
      <w:widowControl/>
      <w:numPr>
        <w:ilvl w:val="5"/>
        <w:numId w:val="1"/>
      </w:numPr>
      <w:spacing w:before="240" w:after="64" w:line="320" w:lineRule="auto"/>
      <w:jc w:val="left"/>
      <w:outlineLvl w:val="5"/>
    </w:pPr>
    <w:rPr>
      <w:rFonts w:ascii="Arial" w:hAnsi="Arial" w:eastAsia="黑体"/>
      <w:b/>
      <w:bCs/>
      <w:kern w:val="0"/>
      <w:sz w:val="24"/>
      <w:lang w:val="zh-CN"/>
    </w:rPr>
  </w:style>
  <w:style w:type="character" w:customStyle="1" w:styleId="180">
    <w:name w:val="标题 6 Char_0"/>
    <w:link w:val="179"/>
    <w:autoRedefine/>
    <w:qFormat/>
    <w:uiPriority w:val="0"/>
    <w:rPr>
      <w:rFonts w:ascii="Arial" w:hAnsi="Arial" w:eastAsia="黑体" w:cs="Times New Roman"/>
      <w:b/>
      <w:bCs/>
      <w:sz w:val="24"/>
      <w:szCs w:val="24"/>
      <w:lang w:val="zh-CN" w:eastAsia="zh-CN"/>
    </w:rPr>
  </w:style>
  <w:style w:type="paragraph" w:customStyle="1" w:styleId="181">
    <w:name w:val="标题 7_0"/>
    <w:basedOn w:val="175"/>
    <w:next w:val="175"/>
    <w:link w:val="182"/>
    <w:autoRedefine/>
    <w:qFormat/>
    <w:uiPriority w:val="0"/>
    <w:pPr>
      <w:keepNext/>
      <w:keepLines/>
      <w:widowControl/>
      <w:numPr>
        <w:ilvl w:val="6"/>
        <w:numId w:val="1"/>
      </w:numPr>
      <w:spacing w:before="240" w:after="64" w:line="320" w:lineRule="auto"/>
      <w:jc w:val="left"/>
      <w:outlineLvl w:val="6"/>
    </w:pPr>
    <w:rPr>
      <w:b/>
      <w:bCs/>
      <w:kern w:val="0"/>
      <w:sz w:val="24"/>
      <w:lang w:val="zh-CN"/>
    </w:rPr>
  </w:style>
  <w:style w:type="character" w:customStyle="1" w:styleId="182">
    <w:name w:val="标题 7 Char_0"/>
    <w:link w:val="181"/>
    <w:autoRedefine/>
    <w:qFormat/>
    <w:uiPriority w:val="0"/>
    <w:rPr>
      <w:rFonts w:ascii="Times New Roman" w:hAnsi="Times New Roman" w:cs="Times New Roman"/>
      <w:b/>
      <w:bCs/>
      <w:sz w:val="24"/>
      <w:szCs w:val="24"/>
      <w:lang w:val="zh-CN" w:eastAsia="zh-CN"/>
    </w:rPr>
  </w:style>
  <w:style w:type="paragraph" w:customStyle="1" w:styleId="183">
    <w:name w:val="标题 8_0"/>
    <w:basedOn w:val="175"/>
    <w:next w:val="175"/>
    <w:link w:val="184"/>
    <w:autoRedefine/>
    <w:qFormat/>
    <w:uiPriority w:val="0"/>
    <w:pPr>
      <w:keepNext/>
      <w:keepLines/>
      <w:widowControl/>
      <w:numPr>
        <w:ilvl w:val="7"/>
        <w:numId w:val="1"/>
      </w:numPr>
      <w:spacing w:before="240" w:after="64" w:line="320" w:lineRule="auto"/>
      <w:jc w:val="left"/>
      <w:outlineLvl w:val="7"/>
    </w:pPr>
    <w:rPr>
      <w:rFonts w:ascii="Arial" w:hAnsi="Arial" w:eastAsia="黑体"/>
      <w:kern w:val="0"/>
      <w:sz w:val="24"/>
      <w:lang w:val="zh-CN"/>
    </w:rPr>
  </w:style>
  <w:style w:type="character" w:customStyle="1" w:styleId="184">
    <w:name w:val="标题 8 Char_0"/>
    <w:link w:val="183"/>
    <w:autoRedefine/>
    <w:qFormat/>
    <w:uiPriority w:val="0"/>
    <w:rPr>
      <w:rFonts w:ascii="Arial" w:hAnsi="Arial" w:eastAsia="黑体" w:cs="Times New Roman"/>
      <w:sz w:val="24"/>
      <w:szCs w:val="24"/>
      <w:lang w:val="zh-CN" w:eastAsia="zh-CN"/>
    </w:rPr>
  </w:style>
  <w:style w:type="paragraph" w:customStyle="1" w:styleId="185">
    <w:name w:val="标题 9_0"/>
    <w:basedOn w:val="175"/>
    <w:next w:val="175"/>
    <w:link w:val="186"/>
    <w:autoRedefine/>
    <w:qFormat/>
    <w:uiPriority w:val="0"/>
    <w:pPr>
      <w:keepNext/>
      <w:keepLines/>
      <w:widowControl/>
      <w:numPr>
        <w:ilvl w:val="8"/>
        <w:numId w:val="1"/>
      </w:numPr>
      <w:spacing w:before="240" w:after="64" w:line="320" w:lineRule="auto"/>
      <w:jc w:val="left"/>
      <w:outlineLvl w:val="8"/>
    </w:pPr>
    <w:rPr>
      <w:rFonts w:ascii="Arial" w:hAnsi="Arial" w:eastAsia="黑体"/>
      <w:kern w:val="0"/>
      <w:szCs w:val="21"/>
      <w:lang w:val="zh-CN"/>
    </w:rPr>
  </w:style>
  <w:style w:type="character" w:customStyle="1" w:styleId="186">
    <w:name w:val="标题 9 Char_0"/>
    <w:link w:val="185"/>
    <w:autoRedefine/>
    <w:qFormat/>
    <w:uiPriority w:val="0"/>
    <w:rPr>
      <w:rFonts w:ascii="Arial" w:hAnsi="Arial" w:eastAsia="黑体" w:cs="Times New Roman"/>
      <w:sz w:val="21"/>
      <w:szCs w:val="21"/>
      <w:lang w:val="zh-CN" w:eastAsia="zh-CN"/>
    </w:rPr>
  </w:style>
  <w:style w:type="character" w:customStyle="1" w:styleId="187">
    <w:name w:val="标题 3 Char_0"/>
    <w:link w:val="174"/>
    <w:autoRedefine/>
    <w:qFormat/>
    <w:uiPriority w:val="0"/>
    <w:rPr>
      <w:rFonts w:ascii="Times New Roman" w:hAnsi="Times New Roman" w:cs="Times New Roman"/>
      <w:b/>
      <w:sz w:val="32"/>
      <w:lang w:val="zh-CN" w:eastAsia="zh-CN"/>
    </w:rPr>
  </w:style>
  <w:style w:type="paragraph" w:customStyle="1" w:styleId="188">
    <w:name w:val="Blockquote_0"/>
    <w:basedOn w:val="175"/>
    <w:link w:val="189"/>
    <w:autoRedefine/>
    <w:qFormat/>
    <w:uiPriority w:val="0"/>
    <w:pPr>
      <w:autoSpaceDE w:val="0"/>
      <w:autoSpaceDN w:val="0"/>
      <w:adjustRightInd w:val="0"/>
      <w:spacing w:before="100" w:after="100"/>
      <w:ind w:left="360" w:right="360"/>
      <w:jc w:val="left"/>
    </w:pPr>
    <w:rPr>
      <w:kern w:val="0"/>
      <w:sz w:val="24"/>
      <w:szCs w:val="20"/>
      <w:lang w:val="zh-CN"/>
    </w:rPr>
  </w:style>
  <w:style w:type="character" w:customStyle="1" w:styleId="189">
    <w:name w:val="Blockquote Char_0"/>
    <w:link w:val="188"/>
    <w:autoRedefine/>
    <w:qFormat/>
    <w:locked/>
    <w:uiPriority w:val="0"/>
    <w:rPr>
      <w:rFonts w:ascii="Times New Roman" w:hAnsi="Times New Roman" w:cs="Times New Roman"/>
      <w:sz w:val="24"/>
      <w:lang w:val="zh-CN" w:eastAsia="zh-CN"/>
    </w:rPr>
  </w:style>
  <w:style w:type="paragraph" w:customStyle="1" w:styleId="190">
    <w:name w:val="标题 4_0"/>
    <w:basedOn w:val="175"/>
    <w:next w:val="175"/>
    <w:link w:val="191"/>
    <w:autoRedefine/>
    <w:qFormat/>
    <w:uiPriority w:val="0"/>
    <w:pPr>
      <w:keepNext/>
      <w:keepLines/>
      <w:widowControl/>
      <w:spacing w:before="120" w:after="120" w:line="360" w:lineRule="auto"/>
      <w:jc w:val="center"/>
      <w:outlineLvl w:val="3"/>
    </w:pPr>
    <w:rPr>
      <w:rFonts w:ascii="Arial" w:hAnsi="Arial" w:eastAsia="黑体"/>
      <w:kern w:val="0"/>
      <w:sz w:val="28"/>
      <w:szCs w:val="20"/>
      <w:lang w:val="zh-CN"/>
    </w:rPr>
  </w:style>
  <w:style w:type="character" w:customStyle="1" w:styleId="191">
    <w:name w:val="标题 4 Char_0"/>
    <w:link w:val="190"/>
    <w:autoRedefine/>
    <w:qFormat/>
    <w:uiPriority w:val="0"/>
    <w:rPr>
      <w:rFonts w:ascii="Arial" w:hAnsi="Arial" w:eastAsia="黑体" w:cs="Times New Roman"/>
      <w:sz w:val="28"/>
      <w:lang w:val="zh-CN" w:eastAsia="zh-CN"/>
    </w:rPr>
  </w:style>
  <w:style w:type="paragraph" w:customStyle="1" w:styleId="192">
    <w:name w:val="纯文本_2"/>
    <w:basedOn w:val="175"/>
    <w:link w:val="193"/>
    <w:autoRedefine/>
    <w:qFormat/>
    <w:uiPriority w:val="0"/>
    <w:rPr>
      <w:rFonts w:ascii="宋体" w:hAnsi="Courier New"/>
      <w:szCs w:val="21"/>
      <w:lang w:val="zh-CN"/>
    </w:rPr>
  </w:style>
  <w:style w:type="character" w:customStyle="1" w:styleId="193">
    <w:name w:val="纯文本 Char1_1"/>
    <w:link w:val="192"/>
    <w:autoRedefine/>
    <w:qFormat/>
    <w:uiPriority w:val="0"/>
    <w:rPr>
      <w:rFonts w:hAnsi="Courier New" w:cs="Times New Roman"/>
      <w:kern w:val="2"/>
      <w:sz w:val="21"/>
      <w:szCs w:val="21"/>
      <w:lang w:val="zh-CN" w:eastAsia="zh-CN"/>
    </w:rPr>
  </w:style>
  <w:style w:type="paragraph" w:customStyle="1" w:styleId="194">
    <w:name w:val="Blockquote_0_1"/>
    <w:basedOn w:val="195"/>
    <w:link w:val="196"/>
    <w:autoRedefine/>
    <w:qFormat/>
    <w:uiPriority w:val="0"/>
    <w:pPr>
      <w:autoSpaceDE w:val="0"/>
      <w:autoSpaceDN w:val="0"/>
      <w:adjustRightInd w:val="0"/>
      <w:spacing w:before="100" w:after="100"/>
      <w:ind w:left="360" w:right="360"/>
      <w:jc w:val="left"/>
    </w:pPr>
    <w:rPr>
      <w:kern w:val="0"/>
      <w:sz w:val="24"/>
      <w:szCs w:val="20"/>
      <w:lang w:val="zh-CN"/>
    </w:rPr>
  </w:style>
  <w:style w:type="paragraph" w:customStyle="1" w:styleId="195">
    <w:name w:val="正文_1_1"/>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96">
    <w:name w:val="Blockquote Char_0_1"/>
    <w:link w:val="194"/>
    <w:autoRedefine/>
    <w:qFormat/>
    <w:locked/>
    <w:uiPriority w:val="0"/>
    <w:rPr>
      <w:rFonts w:ascii="Times New Roman" w:hAnsi="Times New Roman" w:cs="Times New Roman"/>
      <w:sz w:val="24"/>
      <w:lang w:val="zh-CN" w:eastAsia="zh-CN"/>
    </w:rPr>
  </w:style>
  <w:style w:type="paragraph" w:customStyle="1" w:styleId="197">
    <w:name w:val="正文文本_0"/>
    <w:basedOn w:val="175"/>
    <w:link w:val="198"/>
    <w:autoRedefine/>
    <w:qFormat/>
    <w:uiPriority w:val="0"/>
    <w:pPr>
      <w:spacing w:after="120"/>
    </w:pPr>
    <w:rPr>
      <w:lang w:val="zh-CN"/>
    </w:rPr>
  </w:style>
  <w:style w:type="character" w:customStyle="1" w:styleId="198">
    <w:name w:val="正文文本 Char_0"/>
    <w:link w:val="197"/>
    <w:autoRedefine/>
    <w:qFormat/>
    <w:uiPriority w:val="0"/>
    <w:rPr>
      <w:rFonts w:ascii="Times New Roman" w:hAnsi="Times New Roman" w:cs="Times New Roman"/>
      <w:kern w:val="2"/>
      <w:sz w:val="21"/>
      <w:szCs w:val="24"/>
      <w:lang w:val="zh-CN" w:eastAsia="zh-CN"/>
    </w:rPr>
  </w:style>
  <w:style w:type="paragraph" w:customStyle="1" w:styleId="199">
    <w:name w:val="普通(网站)_0"/>
    <w:basedOn w:val="175"/>
    <w:autoRedefine/>
    <w:qFormat/>
    <w:uiPriority w:val="0"/>
    <w:pPr>
      <w:widowControl/>
      <w:spacing w:before="100" w:beforeAutospacing="1" w:after="100" w:afterAutospacing="1"/>
      <w:jc w:val="left"/>
    </w:pPr>
    <w:rPr>
      <w:rFonts w:ascii="宋体" w:hAnsi="宋体"/>
      <w:kern w:val="0"/>
      <w:sz w:val="24"/>
    </w:rPr>
  </w:style>
  <w:style w:type="paragraph" w:customStyle="1" w:styleId="200">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1">
    <w:name w:val="正文_2_0"/>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02">
    <w:name w:val="脚注文本_0"/>
    <w:basedOn w:val="123"/>
    <w:link w:val="203"/>
    <w:autoRedefine/>
    <w:unhideWhenUsed/>
    <w:qFormat/>
    <w:uiPriority w:val="0"/>
    <w:pPr>
      <w:adjustRightInd w:val="0"/>
      <w:snapToGrid w:val="0"/>
      <w:spacing w:line="420" w:lineRule="atLeast"/>
      <w:ind w:firstLine="454"/>
      <w:jc w:val="left"/>
    </w:pPr>
    <w:rPr>
      <w:rFonts w:ascii="Times New Roman" w:hAnsi="Times New Roman"/>
      <w:kern w:val="0"/>
      <w:sz w:val="18"/>
      <w:szCs w:val="20"/>
      <w:lang w:val="zh-CN"/>
    </w:rPr>
  </w:style>
  <w:style w:type="character" w:customStyle="1" w:styleId="203">
    <w:name w:val="脚注文本 Char_0"/>
    <w:link w:val="202"/>
    <w:autoRedefine/>
    <w:qFormat/>
    <w:uiPriority w:val="0"/>
    <w:rPr>
      <w:rFonts w:ascii="Times New Roman" w:hAnsi="Times New Roman" w:cs="Times New Roman"/>
      <w:sz w:val="18"/>
      <w:lang w:val="zh-CN" w:eastAsia="zh-CN"/>
    </w:rPr>
  </w:style>
  <w:style w:type="paragraph" w:customStyle="1" w:styleId="204">
    <w:name w:val="font5"/>
    <w:basedOn w:val="1"/>
    <w:autoRedefine/>
    <w:qFormat/>
    <w:uiPriority w:val="0"/>
    <w:pPr>
      <w:widowControl/>
      <w:spacing w:before="100" w:beforeAutospacing="1" w:after="100" w:afterAutospacing="1"/>
      <w:jc w:val="left"/>
    </w:pPr>
    <w:rPr>
      <w:rFonts w:hint="eastAsia" w:cs="Times New Roman"/>
      <w:sz w:val="18"/>
      <w:szCs w:val="18"/>
    </w:rPr>
  </w:style>
  <w:style w:type="paragraph" w:customStyle="1" w:styleId="205">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06">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07">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08">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18"/>
      <w:szCs w:val="18"/>
    </w:rPr>
  </w:style>
  <w:style w:type="paragraph" w:customStyle="1" w:styleId="209">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0">
    <w:name w:val="xl29"/>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cs="Times New Roman"/>
      <w:sz w:val="24"/>
      <w:szCs w:val="24"/>
    </w:rPr>
  </w:style>
  <w:style w:type="paragraph" w:customStyle="1" w:styleId="211">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4"/>
      <w:szCs w:val="24"/>
    </w:rPr>
  </w:style>
  <w:style w:type="paragraph" w:customStyle="1" w:styleId="212">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18"/>
      <w:szCs w:val="18"/>
    </w:rPr>
  </w:style>
  <w:style w:type="paragraph" w:customStyle="1" w:styleId="213">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18"/>
      <w:szCs w:val="18"/>
    </w:rPr>
  </w:style>
  <w:style w:type="paragraph" w:customStyle="1" w:styleId="214">
    <w:name w:val="xl3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18"/>
      <w:szCs w:val="18"/>
    </w:rPr>
  </w:style>
  <w:style w:type="paragraph" w:customStyle="1" w:styleId="215">
    <w:name w:val="xl3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cs="Times New Roman"/>
      <w:sz w:val="22"/>
      <w:szCs w:val="22"/>
    </w:rPr>
  </w:style>
  <w:style w:type="paragraph" w:customStyle="1" w:styleId="216">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Times New Roman" w:hAnsi="Times New Roman" w:cs="Times New Roman"/>
      <w:sz w:val="24"/>
      <w:szCs w:val="24"/>
    </w:rPr>
  </w:style>
  <w:style w:type="paragraph" w:customStyle="1" w:styleId="217">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cs="Times New Roman"/>
      <w:sz w:val="24"/>
      <w:szCs w:val="24"/>
    </w:rPr>
  </w:style>
  <w:style w:type="paragraph" w:customStyle="1" w:styleId="218">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19">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0">
    <w:name w:val="xl4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cs="Times New Roman"/>
      <w:sz w:val="24"/>
      <w:szCs w:val="24"/>
    </w:rPr>
  </w:style>
  <w:style w:type="paragraph" w:customStyle="1" w:styleId="221">
    <w:name w:val="xl42"/>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2">
    <w:name w:val="xl43"/>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3">
    <w:name w:val="xl44"/>
    <w:basedOn w:val="1"/>
    <w:autoRedefine/>
    <w:qFormat/>
    <w:uiPriority w:val="0"/>
    <w:pPr>
      <w:widowControl/>
      <w:spacing w:before="100" w:beforeAutospacing="1" w:after="100" w:afterAutospacing="1"/>
      <w:jc w:val="center"/>
      <w:textAlignment w:val="center"/>
    </w:pPr>
    <w:rPr>
      <w:rFonts w:cs="Times New Roman"/>
      <w:b/>
      <w:bCs/>
      <w:sz w:val="32"/>
      <w:szCs w:val="32"/>
    </w:rPr>
  </w:style>
  <w:style w:type="paragraph" w:customStyle="1" w:styleId="224">
    <w:name w:val="xl45"/>
    <w:basedOn w:val="1"/>
    <w:autoRedefine/>
    <w:qFormat/>
    <w:uiPriority w:val="0"/>
    <w:pPr>
      <w:widowControl/>
      <w:spacing w:before="100" w:beforeAutospacing="1" w:after="100" w:afterAutospacing="1"/>
      <w:jc w:val="left"/>
      <w:textAlignment w:val="top"/>
    </w:pPr>
    <w:rPr>
      <w:rFonts w:cs="Times New Roman"/>
      <w:sz w:val="24"/>
      <w:szCs w:val="24"/>
    </w:rPr>
  </w:style>
  <w:style w:type="paragraph" w:customStyle="1" w:styleId="225">
    <w:name w:val="font6"/>
    <w:basedOn w:val="1"/>
    <w:autoRedefine/>
    <w:qFormat/>
    <w:uiPriority w:val="0"/>
    <w:pPr>
      <w:widowControl/>
      <w:spacing w:before="100" w:beforeAutospacing="1" w:after="100" w:afterAutospacing="1"/>
      <w:jc w:val="left"/>
    </w:pPr>
    <w:rPr>
      <w:rFonts w:ascii="Times New Roman" w:hAnsi="Times New Roman" w:cs="Times New Roman"/>
      <w:sz w:val="18"/>
      <w:szCs w:val="18"/>
    </w:rPr>
  </w:style>
  <w:style w:type="paragraph" w:customStyle="1" w:styleId="226">
    <w:name w:val="Char Char Char Char Char"/>
    <w:basedOn w:val="1"/>
    <w:autoRedefine/>
    <w:qFormat/>
    <w:uiPriority w:val="0"/>
    <w:rPr>
      <w:rFonts w:ascii="Tahoma" w:hAnsi="Tahoma" w:cs="Times New Roman"/>
      <w:kern w:val="2"/>
      <w:sz w:val="24"/>
    </w:rPr>
  </w:style>
  <w:style w:type="paragraph" w:customStyle="1" w:styleId="227">
    <w:name w:val="范本目录"/>
    <w:basedOn w:val="1"/>
    <w:autoRedefine/>
    <w:qFormat/>
    <w:uiPriority w:val="0"/>
    <w:pPr>
      <w:adjustRightInd w:val="0"/>
      <w:snapToGrid w:val="0"/>
      <w:spacing w:before="48" w:beforeLines="20" w:after="48" w:afterLines="20" w:line="540" w:lineRule="exact"/>
      <w:jc w:val="center"/>
    </w:pPr>
    <w:rPr>
      <w:rFonts w:ascii="Times New Roman" w:cs="Times New Roman"/>
      <w:b/>
      <w:bCs/>
      <w:kern w:val="2"/>
      <w:sz w:val="36"/>
      <w:szCs w:val="24"/>
    </w:rPr>
  </w:style>
  <w:style w:type="character" w:customStyle="1" w:styleId="228">
    <w:name w:val="副标题 Char"/>
    <w:basedOn w:val="57"/>
    <w:link w:val="40"/>
    <w:autoRedefine/>
    <w:qFormat/>
    <w:uiPriority w:val="0"/>
    <w:rPr>
      <w:rFonts w:ascii="Arial" w:hAnsi="Arial" w:cs="Times New Roman"/>
      <w:b/>
      <w:bCs/>
      <w:kern w:val="28"/>
      <w:sz w:val="32"/>
      <w:szCs w:val="32"/>
      <w:lang w:val="zh-CN" w:eastAsia="zh-CN"/>
    </w:rPr>
  </w:style>
  <w:style w:type="character" w:customStyle="1" w:styleId="229">
    <w:name w:val="Char Char"/>
    <w:autoRedefine/>
    <w:qFormat/>
    <w:uiPriority w:val="0"/>
    <w:rPr>
      <w:rFonts w:ascii="宋体" w:hAnsi="Courier New" w:eastAsia="宋体" w:cs="Courier New"/>
      <w:kern w:val="2"/>
      <w:sz w:val="21"/>
      <w:szCs w:val="21"/>
      <w:lang w:val="en-US" w:eastAsia="zh-CN" w:bidi="ar-SA"/>
    </w:rPr>
  </w:style>
  <w:style w:type="character" w:customStyle="1" w:styleId="230">
    <w:name w:val="标题4 Char Char"/>
    <w:link w:val="231"/>
    <w:autoRedefine/>
    <w:qFormat/>
    <w:uiPriority w:val="0"/>
    <w:rPr>
      <w:rFonts w:ascii="Arial" w:hAnsi="Arial"/>
      <w:b/>
      <w:bCs/>
      <w:sz w:val="24"/>
      <w:szCs w:val="32"/>
    </w:rPr>
  </w:style>
  <w:style w:type="paragraph" w:customStyle="1" w:styleId="231">
    <w:name w:val="标题4"/>
    <w:basedOn w:val="3"/>
    <w:next w:val="25"/>
    <w:link w:val="230"/>
    <w:autoRedefine/>
    <w:qFormat/>
    <w:uiPriority w:val="0"/>
    <w:pPr>
      <w:spacing w:before="0" w:after="0" w:line="413" w:lineRule="auto"/>
    </w:pPr>
    <w:rPr>
      <w:rFonts w:ascii="Arial" w:hAnsi="Arial" w:cstheme="minorBidi"/>
      <w:kern w:val="0"/>
      <w:sz w:val="24"/>
      <w:lang w:val="en-US"/>
    </w:rPr>
  </w:style>
  <w:style w:type="character" w:customStyle="1" w:styleId="232">
    <w:name w:val="明显引用 Char"/>
    <w:link w:val="233"/>
    <w:autoRedefine/>
    <w:qFormat/>
    <w:uiPriority w:val="0"/>
    <w:rPr>
      <w:b/>
      <w:bCs/>
      <w:i/>
      <w:iCs/>
      <w:color w:val="4F81BD"/>
    </w:rPr>
  </w:style>
  <w:style w:type="paragraph" w:styleId="233">
    <w:name w:val="Intense Quote"/>
    <w:basedOn w:val="1"/>
    <w:next w:val="1"/>
    <w:link w:val="232"/>
    <w:autoRedefine/>
    <w:qFormat/>
    <w:uiPriority w:val="0"/>
    <w:pPr>
      <w:pBdr>
        <w:bottom w:val="single" w:color="4F81BD" w:themeColor="accent1" w:sz="4" w:space="4"/>
      </w:pBdr>
      <w:spacing w:before="200" w:after="280"/>
      <w:ind w:left="936" w:right="936"/>
    </w:pPr>
    <w:rPr>
      <w:b/>
      <w:bCs/>
      <w:i/>
      <w:iCs/>
      <w:color w:val="4F81BD"/>
    </w:rPr>
  </w:style>
  <w:style w:type="paragraph" w:customStyle="1" w:styleId="234">
    <w:name w:val="明显引用1"/>
    <w:basedOn w:val="1"/>
    <w:next w:val="1"/>
    <w:autoRedefine/>
    <w:qFormat/>
    <w:uiPriority w:val="0"/>
    <w:pPr>
      <w:pBdr>
        <w:bottom w:val="single" w:color="4F81BD" w:sz="4" w:space="4"/>
      </w:pBdr>
      <w:spacing w:before="200" w:after="280"/>
      <w:ind w:left="936" w:right="936"/>
    </w:pPr>
    <w:rPr>
      <w:rFonts w:ascii="Calibri" w:hAnsi="Calibri" w:cs="Times New Roman"/>
      <w:b/>
      <w:bCs/>
      <w:i/>
      <w:iCs/>
      <w:color w:val="4F81BD"/>
      <w:kern w:val="2"/>
      <w:sz w:val="21"/>
      <w:szCs w:val="22"/>
    </w:rPr>
  </w:style>
  <w:style w:type="character" w:customStyle="1" w:styleId="235">
    <w:name w:val="明显引用 Char1"/>
    <w:basedOn w:val="57"/>
    <w:autoRedefine/>
    <w:qFormat/>
    <w:uiPriority w:val="30"/>
    <w:rPr>
      <w:rFonts w:ascii="Times New Roman" w:hAnsi="Times New Roman" w:eastAsia="宋体" w:cs="Times New Roman"/>
      <w:i/>
      <w:iCs/>
      <w:color w:val="5B9BD5"/>
      <w:szCs w:val="24"/>
    </w:rPr>
  </w:style>
  <w:style w:type="character" w:customStyle="1" w:styleId="236">
    <w:name w:val="标题5 Char Char"/>
    <w:link w:val="237"/>
    <w:autoRedefine/>
    <w:qFormat/>
    <w:uiPriority w:val="0"/>
    <w:rPr>
      <w:rFonts w:ascii="Arial" w:hAnsi="Arial"/>
      <w:b/>
      <w:bCs/>
      <w:sz w:val="24"/>
      <w:szCs w:val="32"/>
    </w:rPr>
  </w:style>
  <w:style w:type="paragraph" w:customStyle="1" w:styleId="237">
    <w:name w:val="标题5"/>
    <w:basedOn w:val="6"/>
    <w:link w:val="236"/>
    <w:autoRedefine/>
    <w:qFormat/>
    <w:uiPriority w:val="0"/>
    <w:pPr>
      <w:spacing w:line="413" w:lineRule="auto"/>
      <w:jc w:val="left"/>
    </w:pPr>
    <w:rPr>
      <w:rFonts w:ascii="Arial" w:hAnsi="Arial"/>
      <w:sz w:val="24"/>
    </w:rPr>
  </w:style>
  <w:style w:type="character" w:customStyle="1" w:styleId="238">
    <w:name w:val="引用 Char"/>
    <w:link w:val="239"/>
    <w:autoRedefine/>
    <w:qFormat/>
    <w:uiPriority w:val="0"/>
    <w:rPr>
      <w:i/>
      <w:iCs/>
      <w:color w:val="000000"/>
    </w:rPr>
  </w:style>
  <w:style w:type="paragraph" w:styleId="239">
    <w:name w:val="Quote"/>
    <w:basedOn w:val="1"/>
    <w:next w:val="1"/>
    <w:link w:val="238"/>
    <w:autoRedefine/>
    <w:qFormat/>
    <w:uiPriority w:val="0"/>
    <w:rPr>
      <w:i/>
      <w:iCs/>
      <w:color w:val="000000"/>
    </w:rPr>
  </w:style>
  <w:style w:type="paragraph" w:customStyle="1" w:styleId="240">
    <w:name w:val="引用1"/>
    <w:basedOn w:val="1"/>
    <w:next w:val="1"/>
    <w:autoRedefine/>
    <w:qFormat/>
    <w:uiPriority w:val="0"/>
    <w:rPr>
      <w:rFonts w:ascii="Calibri" w:hAnsi="Calibri" w:cs="Times New Roman"/>
      <w:i/>
      <w:iCs/>
      <w:color w:val="000000"/>
      <w:kern w:val="2"/>
      <w:sz w:val="21"/>
      <w:szCs w:val="22"/>
    </w:rPr>
  </w:style>
  <w:style w:type="character" w:customStyle="1" w:styleId="241">
    <w:name w:val="引用 Char1"/>
    <w:basedOn w:val="57"/>
    <w:autoRedefine/>
    <w:qFormat/>
    <w:uiPriority w:val="29"/>
    <w:rPr>
      <w:rFonts w:ascii="Times New Roman" w:hAnsi="Times New Roman" w:eastAsia="宋体" w:cs="Times New Roman"/>
      <w:i/>
      <w:iCs/>
      <w:color w:val="404040"/>
      <w:szCs w:val="24"/>
    </w:rPr>
  </w:style>
  <w:style w:type="character" w:customStyle="1" w:styleId="242">
    <w:name w:val="ask-title2"/>
    <w:autoRedefine/>
    <w:qFormat/>
    <w:uiPriority w:val="0"/>
  </w:style>
  <w:style w:type="character" w:customStyle="1" w:styleId="243">
    <w:name w:val="正文文本 Char1"/>
    <w:autoRedefine/>
    <w:qFormat/>
    <w:uiPriority w:val="0"/>
    <w:rPr>
      <w:kern w:val="2"/>
      <w:sz w:val="21"/>
      <w:szCs w:val="22"/>
    </w:rPr>
  </w:style>
  <w:style w:type="character" w:customStyle="1" w:styleId="244">
    <w:name w:val="不明显强调1"/>
    <w:autoRedefine/>
    <w:qFormat/>
    <w:uiPriority w:val="0"/>
    <w:rPr>
      <w:i/>
      <w:iCs/>
      <w:color w:val="808080"/>
    </w:rPr>
  </w:style>
  <w:style w:type="character" w:customStyle="1" w:styleId="245">
    <w:name w:val="明显参考1"/>
    <w:autoRedefine/>
    <w:qFormat/>
    <w:uiPriority w:val="0"/>
    <w:rPr>
      <w:b/>
      <w:bCs/>
      <w:smallCaps/>
      <w:color w:val="C0504D"/>
      <w:spacing w:val="5"/>
      <w:u w:val="single"/>
    </w:rPr>
  </w:style>
  <w:style w:type="character" w:customStyle="1" w:styleId="246">
    <w:name w:val="书籍标题1"/>
    <w:autoRedefine/>
    <w:qFormat/>
    <w:uiPriority w:val="0"/>
    <w:rPr>
      <w:b/>
      <w:bCs/>
      <w:smallCaps/>
      <w:spacing w:val="5"/>
    </w:rPr>
  </w:style>
  <w:style w:type="character" w:customStyle="1" w:styleId="247">
    <w:name w:val="日期 Char1"/>
    <w:autoRedefine/>
    <w:qFormat/>
    <w:uiPriority w:val="0"/>
    <w:rPr>
      <w:kern w:val="2"/>
      <w:sz w:val="21"/>
      <w:szCs w:val="22"/>
    </w:rPr>
  </w:style>
  <w:style w:type="character" w:customStyle="1" w:styleId="248">
    <w:name w:val="明显强调1"/>
    <w:autoRedefine/>
    <w:qFormat/>
    <w:uiPriority w:val="0"/>
    <w:rPr>
      <w:b/>
      <w:bCs/>
      <w:i/>
      <w:iCs/>
      <w:color w:val="4F81BD"/>
    </w:rPr>
  </w:style>
  <w:style w:type="character" w:customStyle="1" w:styleId="249">
    <w:name w:val="textcontents"/>
    <w:autoRedefine/>
    <w:qFormat/>
    <w:uiPriority w:val="0"/>
    <w:rPr>
      <w:rFonts w:cs="Times New Roman"/>
    </w:rPr>
  </w:style>
  <w:style w:type="character" w:customStyle="1" w:styleId="250">
    <w:name w:val="不明显参考1"/>
    <w:autoRedefine/>
    <w:qFormat/>
    <w:uiPriority w:val="0"/>
    <w:rPr>
      <w:smallCaps/>
      <w:color w:val="C0504D"/>
      <w:u w:val="single"/>
    </w:rPr>
  </w:style>
  <w:style w:type="character" w:customStyle="1" w:styleId="251">
    <w:name w:val="批注文字 Char Char"/>
    <w:autoRedefine/>
    <w:qFormat/>
    <w:uiPriority w:val="0"/>
    <w:rPr>
      <w:rFonts w:ascii="宋体" w:hAnsi="Times New Roman" w:eastAsia="宋体" w:cs="Times New Roman"/>
      <w:sz w:val="28"/>
      <w:szCs w:val="20"/>
    </w:rPr>
  </w:style>
  <w:style w:type="character" w:customStyle="1" w:styleId="252">
    <w:name w:val="文档结构图 Char1"/>
    <w:autoRedefine/>
    <w:qFormat/>
    <w:uiPriority w:val="0"/>
    <w:rPr>
      <w:rFonts w:ascii="宋体"/>
      <w:kern w:val="2"/>
      <w:sz w:val="18"/>
      <w:szCs w:val="18"/>
    </w:rPr>
  </w:style>
  <w:style w:type="paragraph" w:customStyle="1" w:styleId="253">
    <w:name w:val="修订1"/>
    <w:autoRedefine/>
    <w:qFormat/>
    <w:uiPriority w:val="0"/>
    <w:rPr>
      <w:rFonts w:ascii="Times New Roman" w:hAnsi="Times New Roman" w:eastAsia="宋体" w:cs="Times New Roman"/>
      <w:kern w:val="2"/>
      <w:sz w:val="21"/>
      <w:szCs w:val="24"/>
      <w:lang w:val="en-US" w:eastAsia="zh-CN" w:bidi="ar-SA"/>
    </w:rPr>
  </w:style>
  <w:style w:type="character" w:customStyle="1" w:styleId="254">
    <w:name w:val="页脚 Char1"/>
    <w:autoRedefine/>
    <w:semiHidden/>
    <w:qFormat/>
    <w:uiPriority w:val="99"/>
    <w:rPr>
      <w:kern w:val="2"/>
      <w:sz w:val="18"/>
      <w:szCs w:val="18"/>
    </w:rPr>
  </w:style>
  <w:style w:type="character" w:customStyle="1" w:styleId="255">
    <w:name w:val="批注框文本 Char2"/>
    <w:autoRedefine/>
    <w:semiHidden/>
    <w:qFormat/>
    <w:uiPriority w:val="99"/>
    <w:rPr>
      <w:kern w:val="2"/>
      <w:sz w:val="18"/>
      <w:szCs w:val="18"/>
    </w:rPr>
  </w:style>
  <w:style w:type="character" w:customStyle="1" w:styleId="256">
    <w:name w:val="批注主题 Char2"/>
    <w:autoRedefine/>
    <w:semiHidden/>
    <w:qFormat/>
    <w:uiPriority w:val="99"/>
    <w:rPr>
      <w:b/>
      <w:bCs/>
      <w:kern w:val="2"/>
      <w:sz w:val="21"/>
      <w:szCs w:val="22"/>
    </w:rPr>
  </w:style>
  <w:style w:type="character" w:customStyle="1" w:styleId="257">
    <w:name w:val="文档结构图 Char2"/>
    <w:autoRedefine/>
    <w:semiHidden/>
    <w:qFormat/>
    <w:uiPriority w:val="99"/>
    <w:rPr>
      <w:rFonts w:ascii="宋体"/>
      <w:kern w:val="2"/>
      <w:sz w:val="18"/>
      <w:szCs w:val="18"/>
    </w:rPr>
  </w:style>
  <w:style w:type="character" w:customStyle="1" w:styleId="258">
    <w:name w:val="页眉 Char1"/>
    <w:autoRedefine/>
    <w:semiHidden/>
    <w:qFormat/>
    <w:uiPriority w:val="99"/>
    <w:rPr>
      <w:kern w:val="2"/>
      <w:sz w:val="18"/>
      <w:szCs w:val="18"/>
    </w:rPr>
  </w:style>
  <w:style w:type="character" w:customStyle="1" w:styleId="259">
    <w:name w:val="日期 Char2"/>
    <w:autoRedefine/>
    <w:semiHidden/>
    <w:qFormat/>
    <w:uiPriority w:val="99"/>
    <w:rPr>
      <w:kern w:val="2"/>
      <w:sz w:val="21"/>
      <w:szCs w:val="22"/>
    </w:rPr>
  </w:style>
  <w:style w:type="character" w:customStyle="1" w:styleId="260">
    <w:name w:val="正文文本 Char2"/>
    <w:autoRedefine/>
    <w:semiHidden/>
    <w:qFormat/>
    <w:uiPriority w:val="99"/>
    <w:rPr>
      <w:kern w:val="2"/>
      <w:sz w:val="21"/>
      <w:szCs w:val="22"/>
    </w:rPr>
  </w:style>
  <w:style w:type="character" w:customStyle="1" w:styleId="261">
    <w:name w:val="标题 Char1"/>
    <w:autoRedefine/>
    <w:qFormat/>
    <w:uiPriority w:val="10"/>
    <w:rPr>
      <w:rFonts w:ascii="Cambria" w:hAnsi="Cambria" w:cs="Times New Roman"/>
      <w:b/>
      <w:bCs/>
      <w:kern w:val="2"/>
      <w:sz w:val="32"/>
      <w:szCs w:val="32"/>
    </w:rPr>
  </w:style>
  <w:style w:type="character" w:customStyle="1" w:styleId="262">
    <w:name w:val="副标题 Char1"/>
    <w:autoRedefine/>
    <w:qFormat/>
    <w:uiPriority w:val="11"/>
    <w:rPr>
      <w:rFonts w:ascii="Cambria" w:hAnsi="Cambria" w:cs="Times New Roman"/>
      <w:b/>
      <w:bCs/>
      <w:kern w:val="28"/>
      <w:sz w:val="32"/>
      <w:szCs w:val="32"/>
    </w:rPr>
  </w:style>
  <w:style w:type="paragraph" w:customStyle="1" w:styleId="263">
    <w:name w:val="空半行"/>
    <w:basedOn w:val="1"/>
    <w:autoRedefine/>
    <w:qFormat/>
    <w:uiPriority w:val="0"/>
    <w:pPr>
      <w:adjustRightInd w:val="0"/>
      <w:spacing w:line="120" w:lineRule="exact"/>
      <w:textAlignment w:val="baseline"/>
    </w:pPr>
    <w:rPr>
      <w:rFonts w:ascii="Times New Roman" w:hAnsi="Times New Roman" w:eastAsia="仿宋_GB2312" w:cs="Times New Roman"/>
      <w:color w:val="FFFFFF"/>
      <w:sz w:val="30"/>
    </w:rPr>
  </w:style>
  <w:style w:type="paragraph" w:styleId="264">
    <w:name w:val="No Spacing"/>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65">
    <w:name w:val="flNote"/>
    <w:basedOn w:val="1"/>
    <w:autoRedefine/>
    <w:qFormat/>
    <w:uiPriority w:val="0"/>
    <w:pPr>
      <w:adjustRightInd w:val="0"/>
      <w:spacing w:before="320" w:after="160" w:line="360" w:lineRule="atLeast"/>
      <w:jc w:val="center"/>
      <w:textAlignment w:val="baseline"/>
    </w:pPr>
    <w:rPr>
      <w:rFonts w:ascii="Arial" w:hAnsi="Times New Roman" w:eastAsia="黑体" w:cs="Times New Roman"/>
      <w:sz w:val="30"/>
    </w:rPr>
  </w:style>
  <w:style w:type="character" w:customStyle="1" w:styleId="266">
    <w:name w:val="正文2 Char"/>
    <w:link w:val="267"/>
    <w:autoRedefine/>
    <w:qFormat/>
    <w:uiPriority w:val="0"/>
    <w:rPr>
      <w:rFonts w:ascii="楷体" w:eastAsia="楷体"/>
      <w:b/>
      <w:color w:val="0000FF"/>
    </w:rPr>
  </w:style>
  <w:style w:type="paragraph" w:customStyle="1" w:styleId="267">
    <w:name w:val="正文2"/>
    <w:link w:val="266"/>
    <w:autoRedefine/>
    <w:qFormat/>
    <w:uiPriority w:val="0"/>
    <w:pPr>
      <w:widowControl w:val="0"/>
      <w:adjustRightInd w:val="0"/>
      <w:snapToGrid w:val="0"/>
      <w:spacing w:line="360" w:lineRule="auto"/>
      <w:ind w:firstLine="200" w:firstLineChars="200"/>
      <w:jc w:val="both"/>
      <w:textAlignment w:val="baseline"/>
    </w:pPr>
    <w:rPr>
      <w:rFonts w:ascii="楷体" w:hAnsi="宋体" w:eastAsia="楷体" w:cstheme="minorBidi"/>
      <w:b/>
      <w:color w:val="0000FF"/>
      <w:lang w:val="en-US" w:eastAsia="zh-CN" w:bidi="ar-SA"/>
    </w:rPr>
  </w:style>
  <w:style w:type="paragraph" w:customStyle="1" w:styleId="268">
    <w:name w:val="p0"/>
    <w:basedOn w:val="1"/>
    <w:autoRedefine/>
    <w:qFormat/>
    <w:uiPriority w:val="0"/>
    <w:pPr>
      <w:widowControl/>
      <w:spacing w:before="100" w:beforeAutospacing="1" w:after="100" w:afterAutospacing="1"/>
      <w:jc w:val="left"/>
    </w:pPr>
    <w:rPr>
      <w:rFonts w:cs="宋体"/>
      <w:sz w:val="24"/>
      <w:szCs w:val="24"/>
    </w:rPr>
  </w:style>
  <w:style w:type="character" w:customStyle="1" w:styleId="269">
    <w:name w:val="正文文本 (2)_"/>
    <w:link w:val="270"/>
    <w:autoRedefine/>
    <w:qFormat/>
    <w:locked/>
    <w:uiPriority w:val="99"/>
    <w:rPr>
      <w:rFonts w:ascii="MingLiU" w:eastAsia="MingLiU" w:cs="MingLiU"/>
      <w:spacing w:val="20"/>
      <w:sz w:val="22"/>
      <w:shd w:val="clear" w:color="auto" w:fill="FFFFFF"/>
    </w:rPr>
  </w:style>
  <w:style w:type="paragraph" w:customStyle="1" w:styleId="270">
    <w:name w:val="正文文本 (2)1"/>
    <w:basedOn w:val="1"/>
    <w:link w:val="269"/>
    <w:autoRedefine/>
    <w:qFormat/>
    <w:uiPriority w:val="99"/>
    <w:pPr>
      <w:shd w:val="clear" w:color="auto" w:fill="FFFFFF"/>
      <w:spacing w:before="300" w:line="439" w:lineRule="exact"/>
      <w:jc w:val="distribute"/>
    </w:pPr>
    <w:rPr>
      <w:rFonts w:ascii="MingLiU" w:eastAsia="MingLiU" w:cs="MingLiU"/>
      <w:spacing w:val="20"/>
      <w:sz w:val="22"/>
    </w:rPr>
  </w:style>
  <w:style w:type="character" w:customStyle="1" w:styleId="271">
    <w:name w:val="正文文本 (2) + 间距 0 pt5"/>
    <w:autoRedefine/>
    <w:qFormat/>
    <w:uiPriority w:val="99"/>
    <w:rPr>
      <w:rFonts w:ascii="MingLiU" w:eastAsia="MingLiU" w:cs="MingLiU"/>
      <w:spacing w:val="0"/>
      <w:sz w:val="22"/>
      <w:shd w:val="clear" w:color="auto" w:fill="FFFFFF"/>
    </w:rPr>
  </w:style>
  <w:style w:type="character" w:customStyle="1" w:styleId="272">
    <w:name w:val="访问过的超链接1"/>
    <w:basedOn w:val="57"/>
    <w:autoRedefine/>
    <w:semiHidden/>
    <w:unhideWhenUsed/>
    <w:qFormat/>
    <w:uiPriority w:val="99"/>
    <w:rPr>
      <w:color w:val="954F72"/>
      <w:u w:val="single"/>
    </w:rPr>
  </w:style>
  <w:style w:type="character" w:customStyle="1" w:styleId="273">
    <w:name w:val="明显引用 Char2"/>
    <w:basedOn w:val="57"/>
    <w:autoRedefine/>
    <w:qFormat/>
    <w:uiPriority w:val="30"/>
    <w:rPr>
      <w:b/>
      <w:bCs/>
      <w:i/>
      <w:iCs/>
      <w:color w:val="4F81BD" w:themeColor="accent1"/>
      <w14:textFill>
        <w14:solidFill>
          <w14:schemeClr w14:val="accent1"/>
        </w14:solidFill>
      </w14:textFill>
    </w:rPr>
  </w:style>
  <w:style w:type="character" w:customStyle="1" w:styleId="274">
    <w:name w:val="引用 Char2"/>
    <w:basedOn w:val="57"/>
    <w:autoRedefine/>
    <w:qFormat/>
    <w:uiPriority w:val="29"/>
    <w:rPr>
      <w:i/>
      <w:iCs/>
      <w:color w:val="000000" w:themeColor="text1"/>
      <w14:textFill>
        <w14:solidFill>
          <w14:schemeClr w14:val="tx1"/>
        </w14:solidFill>
      </w14:textFill>
    </w:rPr>
  </w:style>
  <w:style w:type="table" w:customStyle="1" w:styleId="275">
    <w:name w:val="网格型4"/>
    <w:basedOn w:val="55"/>
    <w:autoRedefine/>
    <w:unhideWhenUsed/>
    <w:qFormat/>
    <w:uiPriority w:val="59"/>
    <w:rPr>
      <w:rFonts w:asciiTheme="minorHAnsi" w:hAnsiTheme="minorHAnsi" w:eastAsiaTheme="minorEastAsia"/>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76">
    <w:name w:val="Table Normal"/>
    <w:autoRedefine/>
    <w:semiHidden/>
    <w:unhideWhenUsed/>
    <w:qFormat/>
    <w:uiPriority w:val="0"/>
    <w:tblPr>
      <w:tblCellMar>
        <w:top w:w="0" w:type="dxa"/>
        <w:left w:w="0" w:type="dxa"/>
        <w:bottom w:w="0" w:type="dxa"/>
        <w:right w:w="0" w:type="dxa"/>
      </w:tblCellMar>
    </w:tblPr>
  </w:style>
  <w:style w:type="paragraph" w:customStyle="1" w:styleId="277">
    <w:name w:val="Table Text"/>
    <w:basedOn w:val="1"/>
    <w:autoRedefine/>
    <w:semiHidden/>
    <w:qFormat/>
    <w:uiPriority w:val="0"/>
    <w:rPr>
      <w:rFonts w:ascii="Arial" w:hAnsi="Arial" w:eastAsia="Arial" w:cs="Arial"/>
      <w:sz w:val="21"/>
      <w:szCs w:val="21"/>
      <w:lang w:val="en-US" w:eastAsia="en-US" w:bidi="ar-SA"/>
    </w:rPr>
  </w:style>
  <w:style w:type="character" w:customStyle="1" w:styleId="278">
    <w:name w:val="fontstyle31"/>
    <w:autoRedefine/>
    <w:qFormat/>
    <w:uiPriority w:val="0"/>
    <w:rPr>
      <w:rFonts w:hint="default" w:ascii="Times New Roman" w:hAnsi="Times New Roman" w:cs="Times New Roman"/>
      <w:color w:val="000000"/>
      <w:sz w:val="24"/>
      <w:szCs w:val="24"/>
    </w:rPr>
  </w:style>
  <w:style w:type="paragraph" w:customStyle="1" w:styleId="279">
    <w:name w:val=" Char Char Char Char Char Char Char Char Char Char Char Char Char"/>
    <w:basedOn w:val="1"/>
    <w:autoRedefine/>
    <w:qFormat/>
    <w:uiPriority w:val="0"/>
  </w:style>
  <w:style w:type="character" w:customStyle="1" w:styleId="280">
    <w:name w:val="hover1"/>
    <w:basedOn w:val="57"/>
    <w:autoRedefine/>
    <w:qFormat/>
    <w:uiPriority w:val="0"/>
  </w:style>
  <w:style w:type="character" w:customStyle="1" w:styleId="281">
    <w:name w:val="hover2"/>
    <w:basedOn w:val="57"/>
    <w:autoRedefine/>
    <w:qFormat/>
    <w:uiPriority w:val="0"/>
    <w:rPr>
      <w:color w:val="2590EB"/>
    </w:rPr>
  </w:style>
  <w:style w:type="character" w:customStyle="1" w:styleId="282">
    <w:name w:val="hover3"/>
    <w:basedOn w:val="57"/>
    <w:autoRedefine/>
    <w:qFormat/>
    <w:uiPriority w:val="0"/>
    <w:rPr>
      <w:color w:val="2590EB"/>
    </w:rPr>
  </w:style>
  <w:style w:type="character" w:customStyle="1" w:styleId="283">
    <w:name w:val="hover4"/>
    <w:basedOn w:val="57"/>
    <w:autoRedefine/>
    <w:qFormat/>
    <w:uiPriority w:val="0"/>
    <w:rPr>
      <w:color w:val="2590EB"/>
      <w:shd w:val="clear" w:fill="E9F4FD"/>
    </w:rPr>
  </w:style>
  <w:style w:type="character" w:customStyle="1" w:styleId="284">
    <w:name w:val="hover"/>
    <w:basedOn w:val="57"/>
    <w:autoRedefine/>
    <w:qFormat/>
    <w:uiPriority w:val="0"/>
    <w:rPr>
      <w:color w:val="2590EB"/>
    </w:rPr>
  </w:style>
  <w:style w:type="paragraph" w:customStyle="1" w:styleId="285">
    <w:name w:val="1"/>
    <w:basedOn w:val="1"/>
    <w:next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footer" Target="footer5.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0E076E-A9C2-429F-926B-BF1D28797E37}">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89</Pages>
  <Words>2316</Words>
  <Characters>2693</Characters>
  <Lines>451</Lines>
  <Paragraphs>127</Paragraphs>
  <TotalTime>23</TotalTime>
  <ScaleCrop>false</ScaleCrop>
  <LinksUpToDate>false</LinksUpToDate>
  <CharactersWithSpaces>2756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2021-12-20T01:21:00Z</dcterms:created>
  <dc:creator>Anakin</dc:creator>
  <cp:lastModifiedBy>Pim Pom丶</cp:lastModifiedBy>
  <cp:lastPrinted>2025-04-16T00:41:00Z</cp:lastPrinted>
  <dcterms:modified xsi:type="dcterms:W3CDTF">2025-04-23T08:35:58Z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A839BED41DAD4048A6AB8D80A1E20075_13</vt:lpwstr>
  </property>
  <property fmtid="{D5CDD505-2E9C-101B-9397-08002B2CF9AE}" pid="4" name="KSOTemplateDocerSaveRecord">
    <vt:lpwstr>eyJoZGlkIjoiOTk1OGJkZDZlMmJiZjgxZThhZWQ4YzE0YWIxYTUyMmQiLCJ1c2VySWQiOiI0MDkyMjI1MTkifQ==</vt:lpwstr>
  </property>
</Properties>
</file>