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EB39A">
      <w:pPr>
        <w:tabs>
          <w:tab w:val="left" w:pos="315"/>
          <w:tab w:val="left" w:pos="8820"/>
        </w:tabs>
        <w:spacing w:before="240" w:beforeLines="100" w:after="120" w:afterLines="50" w:line="500" w:lineRule="exact"/>
        <w:ind w:right="254" w:rightChars="127"/>
        <w:jc w:val="center"/>
        <w:rPr>
          <w:b/>
          <w:bCs/>
          <w:color w:val="auto"/>
          <w:sz w:val="52"/>
          <w:szCs w:val="52"/>
          <w:highlight w:val="none"/>
          <w:vertAlign w:val="superscript"/>
        </w:rPr>
      </w:pPr>
    </w:p>
    <w:p w14:paraId="1E81395B">
      <w:pPr>
        <w:tabs>
          <w:tab w:val="left" w:pos="315"/>
          <w:tab w:val="left" w:pos="8820"/>
        </w:tabs>
        <w:spacing w:before="240" w:beforeLines="100" w:after="120" w:afterLines="50" w:line="500" w:lineRule="exact"/>
        <w:ind w:right="254" w:rightChars="127"/>
        <w:jc w:val="center"/>
        <w:rPr>
          <w:b/>
          <w:bCs/>
          <w:color w:val="auto"/>
          <w:sz w:val="52"/>
          <w:szCs w:val="52"/>
          <w:highlight w:val="none"/>
        </w:rPr>
      </w:pPr>
    </w:p>
    <w:p w14:paraId="503F295C">
      <w:pPr>
        <w:tabs>
          <w:tab w:val="left" w:pos="315"/>
          <w:tab w:val="left" w:pos="8820"/>
        </w:tabs>
        <w:spacing w:before="240" w:beforeLines="100" w:after="120" w:afterLines="50" w:line="500" w:lineRule="exact"/>
        <w:ind w:right="254" w:rightChars="127"/>
        <w:jc w:val="center"/>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val="en-US" w:eastAsia="zh-CN"/>
        </w:rPr>
        <w:t>安徽省</w:t>
      </w:r>
      <w:r>
        <w:rPr>
          <w:rFonts w:hint="eastAsia"/>
          <w:b/>
          <w:bCs/>
          <w:color w:val="auto"/>
          <w:sz w:val="52"/>
          <w:szCs w:val="52"/>
          <w:highlight w:val="none"/>
        </w:rPr>
        <w:t>政府采购</w:t>
      </w:r>
      <w:r>
        <w:rPr>
          <w:rFonts w:hint="eastAsia"/>
          <w:b/>
          <w:bCs/>
          <w:color w:val="auto"/>
          <w:sz w:val="52"/>
          <w:szCs w:val="52"/>
          <w:highlight w:val="none"/>
          <w:lang w:eastAsia="zh-CN"/>
        </w:rPr>
        <w:t>项目</w:t>
      </w:r>
    </w:p>
    <w:p w14:paraId="32797804">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竞争性磋商文件示范文本（工程类）</w:t>
      </w:r>
    </w:p>
    <w:p w14:paraId="11A76368">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w:t>
      </w:r>
      <w:r>
        <w:rPr>
          <w:rFonts w:hint="eastAsia"/>
          <w:b/>
          <w:bCs/>
          <w:color w:val="auto"/>
          <w:sz w:val="52"/>
          <w:szCs w:val="52"/>
          <w:highlight w:val="none"/>
          <w:lang w:val="en-US" w:eastAsia="zh-CN"/>
        </w:rPr>
        <w:t>2024版本</w:t>
      </w:r>
      <w:r>
        <w:rPr>
          <w:rFonts w:hint="eastAsia"/>
          <w:b/>
          <w:bCs/>
          <w:color w:val="auto"/>
          <w:sz w:val="52"/>
          <w:szCs w:val="52"/>
          <w:highlight w:val="none"/>
        </w:rPr>
        <w:t>）</w:t>
      </w:r>
    </w:p>
    <w:bookmarkEnd w:id="0"/>
    <w:p w14:paraId="69FA2BF9">
      <w:pPr>
        <w:tabs>
          <w:tab w:val="left" w:pos="315"/>
          <w:tab w:val="left" w:pos="8820"/>
        </w:tabs>
        <w:spacing w:before="240" w:beforeLines="100" w:after="120" w:afterLines="50" w:line="500" w:lineRule="exact"/>
        <w:ind w:right="254" w:rightChars="127"/>
        <w:jc w:val="center"/>
        <w:rPr>
          <w:bCs/>
          <w:color w:val="auto"/>
          <w:sz w:val="44"/>
          <w:szCs w:val="44"/>
          <w:highlight w:val="none"/>
        </w:rPr>
      </w:pPr>
    </w:p>
    <w:p w14:paraId="049575E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79E7EF9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9C28683">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AAD7EC1">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4713B0E5">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3CD9A44">
      <w:pPr>
        <w:tabs>
          <w:tab w:val="left" w:pos="2410"/>
        </w:tabs>
        <w:autoSpaceDE w:val="0"/>
        <w:autoSpaceDN w:val="0"/>
        <w:adjustRightInd w:val="0"/>
        <w:snapToGrid w:val="0"/>
        <w:spacing w:line="360" w:lineRule="auto"/>
        <w:ind w:right="-120" w:rightChars="-60"/>
        <w:jc w:val="left"/>
        <w:rPr>
          <w:rFonts w:hint="default" w:ascii="宋体" w:hAnsi="宋体" w:eastAsia="宋体"/>
          <w:b/>
          <w:color w:val="auto"/>
          <w:spacing w:val="20"/>
          <w:sz w:val="32"/>
          <w:szCs w:val="32"/>
          <w:highlight w:val="none"/>
          <w:u w:val="single"/>
          <w:lang w:val="en-US" w:eastAsia="zh-CN"/>
        </w:rPr>
      </w:pPr>
      <w:r>
        <w:rPr>
          <w:rFonts w:hint="eastAsia"/>
          <w:b/>
          <w:color w:val="auto"/>
          <w:spacing w:val="20"/>
          <w:sz w:val="32"/>
          <w:szCs w:val="32"/>
          <w:highlight w:val="none"/>
        </w:rPr>
        <w:t>项目名称：</w:t>
      </w:r>
      <w:r>
        <w:rPr>
          <w:rFonts w:hint="eastAsia" w:ascii="宋体" w:hAnsi="宋体" w:eastAsia="宋体"/>
          <w:b/>
          <w:color w:val="auto"/>
          <w:spacing w:val="20"/>
          <w:sz w:val="32"/>
          <w:szCs w:val="32"/>
          <w:highlight w:val="none"/>
          <w:u w:val="single"/>
          <w:lang w:val="en-US" w:eastAsia="zh-CN"/>
        </w:rPr>
        <w:t>滁州学院琅琊校区给水管网更新工程</w:t>
      </w:r>
    </w:p>
    <w:p w14:paraId="160FFA4A">
      <w:pPr>
        <w:tabs>
          <w:tab w:val="left" w:pos="2410"/>
        </w:tabs>
        <w:autoSpaceDE w:val="0"/>
        <w:autoSpaceDN w:val="0"/>
        <w:adjustRightInd w:val="0"/>
        <w:snapToGrid w:val="0"/>
        <w:spacing w:line="360" w:lineRule="auto"/>
        <w:rPr>
          <w:rFonts w:hint="default"/>
          <w:b/>
          <w:color w:val="auto"/>
          <w:spacing w:val="20"/>
          <w:sz w:val="32"/>
          <w:szCs w:val="32"/>
          <w:highlight w:val="none"/>
          <w:lang w:val="en-US"/>
        </w:rPr>
      </w:pPr>
      <w:r>
        <w:rPr>
          <w:rFonts w:hint="eastAsia"/>
          <w:b/>
          <w:color w:val="auto"/>
          <w:spacing w:val="20"/>
          <w:sz w:val="32"/>
          <w:szCs w:val="32"/>
          <w:highlight w:val="none"/>
        </w:rPr>
        <w:t>项目编号：</w:t>
      </w:r>
      <w:r>
        <w:rPr>
          <w:rFonts w:hint="eastAsia"/>
          <w:b/>
          <w:color w:val="auto"/>
          <w:spacing w:val="20"/>
          <w:sz w:val="32"/>
          <w:szCs w:val="32"/>
          <w:highlight w:val="none"/>
          <w:u w:val="single"/>
          <w:lang w:val="en-US" w:eastAsia="zh-CN"/>
        </w:rPr>
        <w:t xml:space="preserve">czsjcg202504-009 </w:t>
      </w:r>
    </w:p>
    <w:p w14:paraId="64C799BC">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 购 人：</w:t>
      </w:r>
      <w:r>
        <w:rPr>
          <w:rFonts w:hint="eastAsia"/>
          <w:b/>
          <w:color w:val="auto"/>
          <w:spacing w:val="20"/>
          <w:sz w:val="32"/>
          <w:szCs w:val="32"/>
          <w:highlight w:val="none"/>
          <w:u w:val="single"/>
          <w:lang w:val="en-US" w:eastAsia="zh-CN"/>
        </w:rPr>
        <w:t>滁州学院</w:t>
      </w:r>
    </w:p>
    <w:p w14:paraId="5699BA06">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采购代理机构：</w:t>
      </w:r>
      <w:r>
        <w:rPr>
          <w:rFonts w:hint="eastAsia" w:ascii="宋体" w:hAnsi="宋体" w:cs="宋体"/>
          <w:b/>
          <w:color w:val="auto"/>
          <w:sz w:val="32"/>
          <w:szCs w:val="32"/>
          <w:highlight w:val="none"/>
          <w:u w:val="single"/>
        </w:rPr>
        <w:t>滁州市城投工程咨询管理有限公司</w:t>
      </w:r>
    </w:p>
    <w:p w14:paraId="16464A7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7EE1CFE">
      <w:pPr>
        <w:tabs>
          <w:tab w:val="left" w:pos="2410"/>
        </w:tabs>
        <w:autoSpaceDE w:val="0"/>
        <w:autoSpaceDN w:val="0"/>
        <w:adjustRightInd w:val="0"/>
        <w:snapToGrid w:val="0"/>
        <w:spacing w:line="360" w:lineRule="auto"/>
        <w:jc w:val="center"/>
        <w:rPr>
          <w:b/>
          <w:color w:val="auto"/>
          <w:sz w:val="36"/>
          <w:highlight w:val="none"/>
        </w:rPr>
      </w:pPr>
    </w:p>
    <w:p w14:paraId="7FC91769">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rPr>
        <w:t xml:space="preserve"> </w:t>
      </w:r>
      <w:r>
        <w:rPr>
          <w:rFonts w:hint="eastAsia"/>
          <w:b/>
          <w:color w:val="auto"/>
          <w:sz w:val="36"/>
          <w:highlight w:val="none"/>
          <w:u w:val="single"/>
          <w:lang w:val="en-US" w:eastAsia="zh-CN"/>
        </w:rPr>
        <w:t>2025</w:t>
      </w:r>
      <w:r>
        <w:rPr>
          <w:rFonts w:hint="eastAsia"/>
          <w:b/>
          <w:color w:val="auto"/>
          <w:sz w:val="36"/>
          <w:highlight w:val="none"/>
          <w:u w:val="single"/>
        </w:rPr>
        <w:t xml:space="preserve"> </w:t>
      </w:r>
      <w:r>
        <w:rPr>
          <w:rFonts w:hint="eastAsia"/>
          <w:b/>
          <w:color w:val="auto"/>
          <w:sz w:val="36"/>
          <w:highlight w:val="none"/>
        </w:rPr>
        <w:t>年</w:t>
      </w:r>
      <w:r>
        <w:rPr>
          <w:rFonts w:hint="eastAsia"/>
          <w:b/>
          <w:color w:val="auto"/>
          <w:sz w:val="36"/>
          <w:highlight w:val="none"/>
          <w:u w:val="single"/>
        </w:rPr>
        <w:t xml:space="preserve"> </w:t>
      </w:r>
      <w:r>
        <w:rPr>
          <w:rFonts w:hint="eastAsia"/>
          <w:b/>
          <w:color w:val="auto"/>
          <w:sz w:val="36"/>
          <w:highlight w:val="none"/>
          <w:u w:val="single"/>
          <w:lang w:val="en-US" w:eastAsia="zh-CN"/>
        </w:rPr>
        <w:t xml:space="preserve">4 </w:t>
      </w:r>
      <w:r>
        <w:rPr>
          <w:rFonts w:hint="eastAsia"/>
          <w:b/>
          <w:color w:val="auto"/>
          <w:sz w:val="36"/>
          <w:highlight w:val="none"/>
        </w:rPr>
        <w:t>月</w:t>
      </w:r>
      <w:r>
        <w:rPr>
          <w:b/>
          <w:color w:val="auto"/>
          <w:sz w:val="36"/>
          <w:highlight w:val="none"/>
        </w:rPr>
        <w:br w:type="page"/>
      </w:r>
    </w:p>
    <w:p w14:paraId="20477CBD">
      <w:pPr>
        <w:tabs>
          <w:tab w:val="left" w:pos="2410"/>
        </w:tabs>
        <w:autoSpaceDE w:val="0"/>
        <w:autoSpaceDN w:val="0"/>
        <w:adjustRightInd w:val="0"/>
        <w:snapToGrid w:val="0"/>
        <w:spacing w:line="360" w:lineRule="auto"/>
        <w:jc w:val="center"/>
        <w:rPr>
          <w:rFonts w:hint="eastAsia"/>
          <w:b/>
          <w:color w:val="auto"/>
          <w:sz w:val="28"/>
          <w:highlight w:val="none"/>
        </w:rPr>
        <w:sectPr>
          <w:headerReference r:id="rId3" w:type="default"/>
          <w:footerReference r:id="rId4" w:type="default"/>
          <w:pgSz w:w="11907" w:h="16840"/>
          <w:pgMar w:top="1474" w:right="1493" w:bottom="1474" w:left="1814" w:header="851" w:footer="992" w:gutter="0"/>
          <w:cols w:space="720" w:num="1"/>
          <w:docGrid w:linePitch="462" w:charSpace="0"/>
        </w:sectPr>
      </w:pPr>
    </w:p>
    <w:p w14:paraId="15E44B6E">
      <w:pPr>
        <w:tabs>
          <w:tab w:val="left" w:pos="2410"/>
        </w:tabs>
        <w:autoSpaceDE w:val="0"/>
        <w:autoSpaceDN w:val="0"/>
        <w:adjustRightInd w:val="0"/>
        <w:snapToGrid w:val="0"/>
        <w:spacing w:line="360" w:lineRule="auto"/>
        <w:jc w:val="center"/>
        <w:rPr>
          <w:b/>
          <w:color w:val="auto"/>
          <w:sz w:val="28"/>
          <w:highlight w:val="none"/>
        </w:rPr>
      </w:pPr>
      <w:r>
        <w:rPr>
          <w:rFonts w:hint="eastAsia"/>
          <w:b/>
          <w:color w:val="auto"/>
          <w:sz w:val="28"/>
          <w:highlight w:val="none"/>
        </w:rPr>
        <w:t>目  录</w:t>
      </w:r>
    </w:p>
    <w:p w14:paraId="5E19F309">
      <w:pPr>
        <w:tabs>
          <w:tab w:val="left" w:pos="2410"/>
        </w:tabs>
        <w:autoSpaceDE w:val="0"/>
        <w:autoSpaceDN w:val="0"/>
        <w:adjustRightInd w:val="0"/>
        <w:snapToGrid w:val="0"/>
        <w:spacing w:line="360" w:lineRule="auto"/>
        <w:jc w:val="center"/>
        <w:rPr>
          <w:b/>
          <w:color w:val="auto"/>
          <w:sz w:val="28"/>
          <w:highlight w:val="none"/>
        </w:rPr>
      </w:pPr>
    </w:p>
    <w:p w14:paraId="6A6B1255">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TOC \o "1-2" \h \z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_Toc11403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磋商</w:t>
      </w:r>
      <w:r>
        <w:rPr>
          <w:rFonts w:hint="eastAsia" w:ascii="宋体" w:hAnsi="宋体" w:eastAsia="宋体" w:cs="宋体"/>
          <w:color w:val="auto"/>
          <w:sz w:val="21"/>
          <w:szCs w:val="21"/>
          <w:highlight w:val="none"/>
          <w:lang w:val="en-US" w:eastAsia="zh-CN"/>
        </w:rPr>
        <w:t>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fldChar w:fldCharType="end"/>
      </w:r>
    </w:p>
    <w:p w14:paraId="63BCB7B1">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供应商须知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fldChar w:fldCharType="end"/>
      </w:r>
    </w:p>
    <w:p w14:paraId="1F217A77">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_Toc30873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第三章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3</w:t>
      </w:r>
    </w:p>
    <w:p w14:paraId="14BCAC26">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_Toc11353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第四章  评审方法和标准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6</w:t>
      </w:r>
    </w:p>
    <w:p w14:paraId="1B025EA2">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第五章  政府采购合同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3</w:t>
      </w:r>
    </w:p>
    <w:p w14:paraId="6EDAD01E">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_Toc22734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第六章  响应文件格式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8</w:t>
      </w:r>
    </w:p>
    <w:p w14:paraId="396650B9">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_Toc24879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七</w:t>
      </w:r>
      <w:r>
        <w:rPr>
          <w:rFonts w:hint="eastAsia" w:ascii="宋体" w:hAnsi="宋体" w:eastAsia="宋体" w:cs="宋体"/>
          <w:bCs/>
          <w:color w:val="auto"/>
          <w:sz w:val="21"/>
          <w:szCs w:val="21"/>
          <w:highlight w:val="none"/>
        </w:rPr>
        <w:t>章  政府采购</w:t>
      </w:r>
      <w:r>
        <w:rPr>
          <w:rFonts w:hint="eastAsia" w:ascii="宋体" w:hAnsi="宋体" w:eastAsia="宋体" w:cs="宋体"/>
          <w:color w:val="auto"/>
          <w:sz w:val="21"/>
          <w:szCs w:val="21"/>
          <w:highlight w:val="none"/>
        </w:rPr>
        <w:t>供应</w:t>
      </w:r>
      <w:r>
        <w:rPr>
          <w:rFonts w:hint="eastAsia" w:ascii="宋体" w:hAnsi="宋体" w:eastAsia="宋体" w:cs="宋体"/>
          <w:bCs/>
          <w:color w:val="auto"/>
          <w:sz w:val="21"/>
          <w:szCs w:val="21"/>
          <w:highlight w:val="none"/>
        </w:rPr>
        <w:t>商询问函和质疑函范本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4</w:t>
      </w:r>
    </w:p>
    <w:p w14:paraId="1DC471CF">
      <w:pPr>
        <w:pStyle w:val="45"/>
        <w:keepNext w:val="0"/>
        <w:keepLines w:val="0"/>
        <w:pageBreakBefore w:val="0"/>
        <w:widowControl/>
        <w:tabs>
          <w:tab w:val="right" w:leader="dot" w:pos="8296"/>
        </w:tabs>
        <w:kinsoku/>
        <w:wordWrap/>
        <w:overflowPunct/>
        <w:topLinePunct w:val="0"/>
        <w:autoSpaceDE/>
        <w:autoSpaceDN/>
        <w:bidi w:val="0"/>
        <w:adjustRightInd/>
        <w:snapToGrid/>
        <w:spacing w:after="0" w:line="720" w:lineRule="exact"/>
        <w:textAlignment w:val="auto"/>
        <w:rPr>
          <w:rFonts w:asciiTheme="minorEastAsia" w:hAnsiTheme="minorEastAsia"/>
          <w:b/>
          <w:color w:val="auto"/>
          <w:szCs w:val="24"/>
          <w:highlight w:val="none"/>
        </w:rPr>
      </w:pPr>
      <w:r>
        <w:rPr>
          <w:rFonts w:hint="eastAsia" w:ascii="宋体" w:hAnsi="宋体" w:eastAsia="宋体" w:cs="宋体"/>
          <w:color w:val="auto"/>
          <w:sz w:val="21"/>
          <w:szCs w:val="21"/>
          <w:highlight w:val="none"/>
        </w:rPr>
        <w:fldChar w:fldCharType="end"/>
      </w:r>
    </w:p>
    <w:p w14:paraId="745A09A9">
      <w:pPr>
        <w:pStyle w:val="5"/>
        <w:rPr>
          <w:color w:val="auto"/>
          <w:highlight w:val="none"/>
        </w:rPr>
        <w:sectPr>
          <w:pgSz w:w="11907" w:h="16840"/>
          <w:pgMar w:top="1474" w:right="1814" w:bottom="1474" w:left="1814" w:header="851" w:footer="992" w:gutter="0"/>
          <w:cols w:space="720" w:num="1"/>
          <w:docGrid w:linePitch="462" w:charSpace="0"/>
        </w:sectPr>
      </w:pPr>
    </w:p>
    <w:p w14:paraId="0B6EBAD0">
      <w:pPr>
        <w:spacing w:line="360" w:lineRule="auto"/>
        <w:jc w:val="center"/>
        <w:outlineLvl w:val="0"/>
        <w:rPr>
          <w:rFonts w:asciiTheme="minorEastAsia" w:hAnsiTheme="minorEastAsia" w:eastAsiaTheme="minorEastAsia"/>
          <w:b/>
          <w:color w:val="auto"/>
          <w:sz w:val="28"/>
          <w:highlight w:val="none"/>
        </w:rPr>
      </w:pPr>
      <w:bookmarkStart w:id="1" w:name="_Toc1140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p>
    <w:p w14:paraId="303E376A">
      <w:pPr>
        <w:keepNext/>
        <w:keepLines/>
        <w:wordWrap w:val="0"/>
        <w:ind w:firstLine="560" w:firstLineChars="200"/>
        <w:rPr>
          <w:rFonts w:hint="eastAsia" w:ascii="仿宋" w:hAnsi="仿宋" w:eastAsia="仿宋" w:cs="仿宋"/>
          <w:color w:val="auto"/>
          <w:kern w:val="2"/>
          <w:sz w:val="28"/>
          <w:szCs w:val="28"/>
          <w:highlight w:val="none"/>
          <w:lang w:bidi="ar"/>
        </w:rPr>
      </w:pPr>
      <w:bookmarkStart w:id="2" w:name="_Toc8770"/>
      <w:bookmarkStart w:id="3" w:name="_Toc18492"/>
      <w:r>
        <w:rPr>
          <w:rFonts w:hint="eastAsia" w:ascii="仿宋" w:hAnsi="仿宋" w:eastAsia="仿宋" w:cs="仿宋"/>
          <w:color w:val="auto"/>
          <w:kern w:val="2"/>
          <w:sz w:val="28"/>
          <w:szCs w:val="28"/>
          <w:highlight w:val="none"/>
          <w:lang w:bidi="ar"/>
        </w:rPr>
        <w:t>项目概况</w:t>
      </w:r>
    </w:p>
    <w:p w14:paraId="65604FAF">
      <w:pPr>
        <w:keepNext/>
        <w:keepLines/>
        <w:wordWrap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u w:val="single"/>
          <w:lang w:val="en-US" w:eastAsia="zh-CN" w:bidi="ar"/>
        </w:rPr>
        <w:t>滁州学院琅琊校区给水管网更新工程</w:t>
      </w:r>
      <w:r>
        <w:rPr>
          <w:rFonts w:hint="eastAsia" w:ascii="仿宋" w:hAnsi="仿宋" w:eastAsia="仿宋" w:cs="仿宋"/>
          <w:color w:val="auto"/>
          <w:kern w:val="2"/>
          <w:sz w:val="28"/>
          <w:szCs w:val="28"/>
          <w:highlight w:val="none"/>
          <w:lang w:bidi="ar"/>
        </w:rPr>
        <w:t>的潜在</w:t>
      </w:r>
      <w:r>
        <w:rPr>
          <w:rFonts w:hint="eastAsia" w:ascii="仿宋" w:hAnsi="仿宋" w:eastAsia="仿宋" w:cs="仿宋"/>
          <w:color w:val="auto"/>
          <w:kern w:val="2"/>
          <w:sz w:val="28"/>
          <w:szCs w:val="28"/>
          <w:highlight w:val="none"/>
          <w:lang w:eastAsia="zh-CN" w:bidi="ar"/>
        </w:rPr>
        <w:t>供应商</w:t>
      </w:r>
      <w:r>
        <w:rPr>
          <w:rFonts w:hint="eastAsia" w:ascii="仿宋" w:hAnsi="仿宋" w:eastAsia="仿宋" w:cs="仿宋"/>
          <w:color w:val="auto"/>
          <w:kern w:val="2"/>
          <w:sz w:val="28"/>
          <w:szCs w:val="28"/>
          <w:highlight w:val="none"/>
          <w:lang w:bidi="ar"/>
        </w:rPr>
        <w:t>应在</w:t>
      </w:r>
      <w:r>
        <w:rPr>
          <w:rFonts w:hint="eastAsia" w:ascii="仿宋" w:hAnsi="仿宋" w:eastAsia="仿宋" w:cs="仿宋"/>
          <w:color w:val="auto"/>
          <w:kern w:val="2"/>
          <w:sz w:val="28"/>
          <w:szCs w:val="28"/>
          <w:highlight w:val="none"/>
          <w:u w:val="single"/>
          <w:lang w:bidi="ar"/>
        </w:rPr>
        <w:t>滁州市公共资源交易中心网（http：//ggzy.chuzhou.gov.cn/）</w:t>
      </w:r>
      <w:r>
        <w:rPr>
          <w:rFonts w:hint="eastAsia" w:ascii="仿宋" w:hAnsi="仿宋" w:eastAsia="仿宋" w:cs="仿宋"/>
          <w:color w:val="auto"/>
          <w:kern w:val="2"/>
          <w:sz w:val="28"/>
          <w:szCs w:val="28"/>
          <w:highlight w:val="none"/>
          <w:lang w:bidi="ar"/>
        </w:rPr>
        <w:t>获取</w:t>
      </w:r>
      <w:r>
        <w:rPr>
          <w:rFonts w:hint="eastAsia" w:ascii="仿宋" w:hAnsi="仿宋" w:eastAsia="仿宋" w:cs="仿宋"/>
          <w:color w:val="auto"/>
          <w:kern w:val="2"/>
          <w:sz w:val="28"/>
          <w:szCs w:val="28"/>
          <w:highlight w:val="none"/>
          <w:lang w:val="en-US" w:eastAsia="zh-CN" w:bidi="ar"/>
        </w:rPr>
        <w:t>采购</w:t>
      </w:r>
      <w:r>
        <w:rPr>
          <w:rFonts w:hint="eastAsia" w:ascii="仿宋" w:hAnsi="仿宋" w:eastAsia="仿宋" w:cs="仿宋"/>
          <w:color w:val="auto"/>
          <w:kern w:val="2"/>
          <w:sz w:val="28"/>
          <w:szCs w:val="28"/>
          <w:highlight w:val="none"/>
          <w:lang w:bidi="ar"/>
        </w:rPr>
        <w:t>文件，并于</w:t>
      </w:r>
      <w:r>
        <w:rPr>
          <w:rFonts w:hint="eastAsia" w:ascii="仿宋" w:hAnsi="仿宋" w:eastAsia="仿宋" w:cs="仿宋"/>
          <w:color w:val="auto"/>
          <w:kern w:val="2"/>
          <w:sz w:val="28"/>
          <w:szCs w:val="28"/>
          <w:highlight w:val="none"/>
          <w:u w:val="single"/>
          <w:lang w:val="en-US" w:eastAsia="zh-CN" w:bidi="ar"/>
        </w:rPr>
        <w:t>2025</w:t>
      </w:r>
      <w:r>
        <w:rPr>
          <w:rFonts w:hint="eastAsia" w:ascii="仿宋" w:hAnsi="仿宋" w:eastAsia="仿宋" w:cs="仿宋"/>
          <w:color w:val="auto"/>
          <w:kern w:val="2"/>
          <w:sz w:val="28"/>
          <w:szCs w:val="28"/>
          <w:highlight w:val="none"/>
          <w:u w:val="single"/>
          <w:lang w:bidi="ar"/>
        </w:rPr>
        <w:t>年</w:t>
      </w:r>
      <w:r>
        <w:rPr>
          <w:rFonts w:hint="eastAsia" w:ascii="仿宋" w:hAnsi="仿宋" w:eastAsia="仿宋" w:cs="仿宋"/>
          <w:color w:val="auto"/>
          <w:kern w:val="2"/>
          <w:sz w:val="28"/>
          <w:szCs w:val="28"/>
          <w:highlight w:val="none"/>
          <w:u w:val="single"/>
          <w:lang w:val="en-US" w:eastAsia="zh-CN" w:bidi="ar"/>
        </w:rPr>
        <w:t>4</w:t>
      </w:r>
      <w:r>
        <w:rPr>
          <w:rFonts w:hint="eastAsia" w:ascii="仿宋" w:hAnsi="仿宋" w:eastAsia="仿宋" w:cs="仿宋"/>
          <w:color w:val="auto"/>
          <w:kern w:val="2"/>
          <w:sz w:val="28"/>
          <w:szCs w:val="28"/>
          <w:highlight w:val="none"/>
          <w:u w:val="single"/>
          <w:lang w:bidi="ar"/>
        </w:rPr>
        <w:t>月</w:t>
      </w:r>
      <w:r>
        <w:rPr>
          <w:rFonts w:hint="eastAsia" w:ascii="仿宋" w:hAnsi="仿宋" w:eastAsia="仿宋" w:cs="仿宋"/>
          <w:color w:val="auto"/>
          <w:kern w:val="2"/>
          <w:sz w:val="28"/>
          <w:szCs w:val="28"/>
          <w:highlight w:val="none"/>
          <w:u w:val="single"/>
          <w:lang w:val="en-US" w:eastAsia="zh-CN" w:bidi="ar"/>
        </w:rPr>
        <w:t>22</w:t>
      </w:r>
      <w:r>
        <w:rPr>
          <w:rFonts w:hint="eastAsia" w:ascii="仿宋" w:hAnsi="仿宋" w:eastAsia="仿宋" w:cs="仿宋"/>
          <w:color w:val="auto"/>
          <w:kern w:val="2"/>
          <w:sz w:val="28"/>
          <w:szCs w:val="28"/>
          <w:highlight w:val="none"/>
          <w:u w:val="single"/>
          <w:lang w:bidi="ar"/>
        </w:rPr>
        <w:t>日</w:t>
      </w:r>
      <w:r>
        <w:rPr>
          <w:rFonts w:hint="eastAsia" w:ascii="仿宋" w:hAnsi="仿宋" w:eastAsia="仿宋" w:cs="仿宋"/>
          <w:color w:val="auto"/>
          <w:kern w:val="2"/>
          <w:sz w:val="28"/>
          <w:szCs w:val="28"/>
          <w:highlight w:val="none"/>
          <w:u w:val="single"/>
          <w:lang w:val="en-US" w:eastAsia="zh-CN" w:bidi="ar"/>
        </w:rPr>
        <w:t>08</w:t>
      </w:r>
      <w:r>
        <w:rPr>
          <w:rFonts w:hint="eastAsia" w:ascii="仿宋" w:hAnsi="仿宋" w:eastAsia="仿宋" w:cs="仿宋"/>
          <w:color w:val="auto"/>
          <w:kern w:val="2"/>
          <w:sz w:val="28"/>
          <w:szCs w:val="28"/>
          <w:highlight w:val="none"/>
          <w:u w:val="single"/>
          <w:lang w:bidi="ar"/>
        </w:rPr>
        <w:t>点</w:t>
      </w:r>
      <w:r>
        <w:rPr>
          <w:rFonts w:hint="eastAsia" w:ascii="仿宋" w:hAnsi="仿宋" w:eastAsia="仿宋" w:cs="仿宋"/>
          <w:color w:val="auto"/>
          <w:kern w:val="2"/>
          <w:sz w:val="28"/>
          <w:szCs w:val="28"/>
          <w:highlight w:val="none"/>
          <w:u w:val="single"/>
          <w:lang w:val="en-US" w:eastAsia="zh-CN" w:bidi="ar"/>
        </w:rPr>
        <w:t>00</w:t>
      </w:r>
      <w:r>
        <w:rPr>
          <w:rFonts w:hint="eastAsia" w:ascii="仿宋" w:hAnsi="仿宋" w:eastAsia="仿宋" w:cs="仿宋"/>
          <w:color w:val="auto"/>
          <w:kern w:val="2"/>
          <w:sz w:val="28"/>
          <w:szCs w:val="28"/>
          <w:highlight w:val="none"/>
          <w:u w:val="single"/>
          <w:lang w:bidi="ar"/>
        </w:rPr>
        <w:t>分</w:t>
      </w:r>
      <w:r>
        <w:rPr>
          <w:rFonts w:hint="eastAsia" w:ascii="仿宋" w:hAnsi="仿宋" w:eastAsia="仿宋" w:cs="仿宋"/>
          <w:color w:val="auto"/>
          <w:kern w:val="2"/>
          <w:sz w:val="28"/>
          <w:szCs w:val="28"/>
          <w:highlight w:val="none"/>
          <w:lang w:bidi="ar"/>
        </w:rPr>
        <w:t>（北京时间）前递交</w:t>
      </w:r>
      <w:r>
        <w:rPr>
          <w:rFonts w:hint="eastAsia" w:ascii="仿宋" w:hAnsi="仿宋" w:eastAsia="仿宋" w:cs="仿宋"/>
          <w:color w:val="auto"/>
          <w:kern w:val="2"/>
          <w:sz w:val="28"/>
          <w:szCs w:val="28"/>
          <w:highlight w:val="none"/>
          <w:lang w:eastAsia="zh-CN" w:bidi="ar"/>
        </w:rPr>
        <w:t>响应</w:t>
      </w:r>
      <w:r>
        <w:rPr>
          <w:rFonts w:hint="eastAsia" w:ascii="仿宋" w:hAnsi="仿宋" w:eastAsia="仿宋" w:cs="仿宋"/>
          <w:color w:val="auto"/>
          <w:kern w:val="2"/>
          <w:sz w:val="28"/>
          <w:szCs w:val="28"/>
          <w:highlight w:val="none"/>
          <w:lang w:bidi="ar"/>
        </w:rPr>
        <w:t>文件。</w:t>
      </w:r>
    </w:p>
    <w:p w14:paraId="2896158D">
      <w:pPr>
        <w:keepNext/>
        <w:keepLines/>
        <w:spacing w:before="260" w:after="260"/>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一、项目基本情况</w:t>
      </w:r>
    </w:p>
    <w:p w14:paraId="0FF89B54">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 xml:space="preserve">项目编号：czsjcg202504-009 </w:t>
      </w:r>
    </w:p>
    <w:p w14:paraId="01EC90C8">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项目名称：滁州学院琅琊校区给水管网更新工程</w:t>
      </w:r>
    </w:p>
    <w:p w14:paraId="1CD8C813">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采购方式：竞争性磋商</w:t>
      </w:r>
    </w:p>
    <w:p w14:paraId="65591FA6">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预算金额：2900000元</w:t>
      </w:r>
    </w:p>
    <w:p w14:paraId="2A2B1F6B">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最高限价：本项目最高限价为2899569.48元。高于最高限价的，其响应文件按无效响应处理。</w:t>
      </w:r>
    </w:p>
    <w:p w14:paraId="3321497D">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采购需求：本项目位于滁州学院琅琊校区，琅琊校区建校约75年，占地约250亩，原有给水管网破损腐蚀严重，拟对琅琊校区给水管网进行更新。主要内容：重新开挖铺设DN200、DN150、DN100等不同口径给水管至相应楼宇，砌筑检查井，道路、绿化恢复，配套安装无线智能远程水表、闸阀，搭建水平衡系统等。</w:t>
      </w:r>
    </w:p>
    <w:p w14:paraId="0D3E80EC">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合同履行期限：不高于120个日历天施工完毕并通过验收完成移交供水。具体开工时间以建设单位通知时间为准。</w:t>
      </w:r>
    </w:p>
    <w:p w14:paraId="304A33E9">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本项目不接受联合体。</w:t>
      </w:r>
    </w:p>
    <w:p w14:paraId="76C0FBCA">
      <w:pPr>
        <w:keepNext/>
        <w:keepLines/>
        <w:spacing w:before="260" w:after="260"/>
        <w:rPr>
          <w:rFonts w:hint="eastAsia" w:ascii="黑体" w:hAnsi="宋体" w:eastAsia="黑体" w:cs="黑体"/>
          <w:color w:val="auto"/>
          <w:kern w:val="2"/>
          <w:sz w:val="28"/>
          <w:szCs w:val="28"/>
          <w:highlight w:val="none"/>
          <w:lang w:val="en-US" w:eastAsia="zh-CN" w:bidi="ar"/>
        </w:rPr>
      </w:pPr>
      <w:bookmarkStart w:id="4" w:name="_Toc28359090"/>
      <w:bookmarkStart w:id="5" w:name="_Toc35393799"/>
      <w:bookmarkStart w:id="6" w:name="_Toc35393630"/>
      <w:bookmarkStart w:id="7" w:name="_Toc28359013"/>
      <w:r>
        <w:rPr>
          <w:rFonts w:hint="eastAsia" w:ascii="黑体" w:hAnsi="宋体" w:eastAsia="黑体" w:cs="黑体"/>
          <w:color w:val="auto"/>
          <w:kern w:val="2"/>
          <w:sz w:val="28"/>
          <w:szCs w:val="28"/>
          <w:highlight w:val="none"/>
          <w:lang w:val="en-US" w:eastAsia="zh-CN" w:bidi="ar"/>
        </w:rPr>
        <w:t>二、申请人的资格要求：</w:t>
      </w:r>
      <w:bookmarkEnd w:id="4"/>
      <w:bookmarkEnd w:id="5"/>
      <w:bookmarkEnd w:id="6"/>
      <w:bookmarkEnd w:id="7"/>
    </w:p>
    <w:p w14:paraId="387F8ED2">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1.满足《中华人民共和国政府采购法》第二十二条规定；</w:t>
      </w:r>
    </w:p>
    <w:p w14:paraId="22CAAE5B">
      <w:pPr>
        <w:ind w:firstLine="540"/>
        <w:rPr>
          <w:rFonts w:hint="eastAsia" w:ascii="仿宋" w:hAnsi="仿宋" w:eastAsia="仿宋" w:cs="仿宋"/>
          <w:color w:val="auto"/>
          <w:kern w:val="2"/>
          <w:sz w:val="28"/>
          <w:szCs w:val="28"/>
          <w:highlight w:val="none"/>
          <w:lang w:val="en-US" w:eastAsia="zh-CN" w:bidi="ar"/>
        </w:rPr>
      </w:pPr>
      <w:bookmarkStart w:id="8" w:name="_Toc28359091"/>
      <w:bookmarkStart w:id="9" w:name="_Toc28359014"/>
      <w:r>
        <w:rPr>
          <w:rFonts w:hint="eastAsia" w:ascii="仿宋" w:hAnsi="仿宋" w:eastAsia="仿宋" w:cs="仿宋"/>
          <w:color w:val="auto"/>
          <w:kern w:val="2"/>
          <w:sz w:val="28"/>
          <w:szCs w:val="28"/>
          <w:highlight w:val="none"/>
          <w:lang w:val="en-US" w:eastAsia="zh-CN" w:bidi="ar"/>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14:paraId="536FDCAF">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3.本项目的特定资格要求：</w:t>
      </w:r>
      <w:bookmarkStart w:id="10" w:name="_Toc35393800"/>
      <w:bookmarkStart w:id="11" w:name="_Toc35393631"/>
    </w:p>
    <w:p w14:paraId="1DE3F9AE">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①建筑工程施工总承包三级（或以上）资质或市政公用工程施工总承包三级（或以上）资质；</w:t>
      </w:r>
    </w:p>
    <w:p w14:paraId="7CDC18A4">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②具有有效的安全生产许可证；</w:t>
      </w:r>
    </w:p>
    <w:p w14:paraId="0D1362BB">
      <w:pPr>
        <w:ind w:firstLine="540"/>
        <w:rPr>
          <w:rFonts w:hint="eastAsia" w:ascii="仿宋" w:hAnsi="仿宋" w:eastAsia="仿宋" w:cs="仿宋"/>
          <w:color w:val="auto"/>
          <w:kern w:val="2"/>
          <w:sz w:val="28"/>
          <w:szCs w:val="28"/>
          <w:highlight w:val="none"/>
          <w:lang w:val="en-US" w:eastAsia="zh-CN" w:bidi="ar"/>
        </w:rPr>
      </w:pPr>
      <w:r>
        <w:rPr>
          <w:rFonts w:hint="default" w:ascii="仿宋" w:hAnsi="仿宋" w:eastAsia="仿宋" w:cs="仿宋"/>
          <w:color w:val="auto"/>
          <w:kern w:val="2"/>
          <w:sz w:val="28"/>
          <w:szCs w:val="28"/>
          <w:highlight w:val="none"/>
          <w:lang w:val="en-US" w:eastAsia="zh-CN" w:bidi="ar"/>
        </w:rPr>
        <w:t>③</w:t>
      </w:r>
      <w:r>
        <w:rPr>
          <w:rFonts w:hint="eastAsia" w:ascii="仿宋" w:hAnsi="仿宋" w:eastAsia="仿宋" w:cs="仿宋"/>
          <w:color w:val="auto"/>
          <w:kern w:val="2"/>
          <w:sz w:val="28"/>
          <w:szCs w:val="28"/>
          <w:highlight w:val="none"/>
          <w:lang w:val="en-US" w:eastAsia="zh-CN" w:bidi="ar"/>
        </w:rPr>
        <w:t>项目经理须具备注册在供应商的建筑工程专业（或市政公用工程专业）二级（或以上）注册建造师证书且同时具有安全生产考核合格证书（B证）；</w:t>
      </w:r>
    </w:p>
    <w:p w14:paraId="7B9C9FEB">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4.信誉要求：供应商不得存在以下情形：</w:t>
      </w:r>
    </w:p>
    <w:p w14:paraId="3999A3B8">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①被列入“信用中国”网站“失信被执行人”的；</w:t>
      </w:r>
    </w:p>
    <w:p w14:paraId="547F68C1">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②被列入“信用中国”网站“重大税收违法失信主体”的；</w:t>
      </w:r>
    </w:p>
    <w:p w14:paraId="333D6559">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③被列入“信用中国”网站 “严重失信主体名单”的；</w:t>
      </w:r>
    </w:p>
    <w:p w14:paraId="28CCDF74">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④在</w:t>
      </w:r>
      <w:bookmarkStart w:id="12" w:name="OLE_LINK129"/>
      <w:bookmarkStart w:id="13" w:name="OLE_LINK127"/>
      <w:bookmarkStart w:id="14" w:name="OLE_LINK128"/>
      <w:r>
        <w:rPr>
          <w:rFonts w:hint="eastAsia" w:ascii="仿宋" w:hAnsi="仿宋" w:eastAsia="仿宋" w:cs="仿宋"/>
          <w:color w:val="auto"/>
          <w:kern w:val="2"/>
          <w:sz w:val="28"/>
          <w:szCs w:val="28"/>
          <w:highlight w:val="none"/>
          <w:lang w:val="en-US" w:eastAsia="zh-CN" w:bidi="ar"/>
        </w:rPr>
        <w:t>“信用中国”网站</w:t>
      </w:r>
      <w:bookmarkEnd w:id="12"/>
      <w:bookmarkEnd w:id="13"/>
      <w:bookmarkEnd w:id="14"/>
      <w:r>
        <w:rPr>
          <w:rFonts w:hint="eastAsia" w:ascii="仿宋" w:hAnsi="仿宋" w:eastAsia="仿宋" w:cs="仿宋"/>
          <w:color w:val="auto"/>
          <w:kern w:val="2"/>
          <w:sz w:val="28"/>
          <w:szCs w:val="28"/>
          <w:highlight w:val="none"/>
          <w:lang w:val="en-US" w:eastAsia="zh-CN" w:bidi="ar"/>
        </w:rPr>
        <w:t>上披露的仍在公示期的严重失信行为(具体行为类别及判定依据见“信用中国”查询的严重失信行为类别及判定依据)的。</w:t>
      </w:r>
    </w:p>
    <w:p w14:paraId="2BB2EFDE">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⑤被列入国家企业信用信息公示系统网站“经营异常名录”或者“严重违法失信名单”的。</w:t>
      </w:r>
    </w:p>
    <w:p w14:paraId="04781AB4">
      <w:pPr>
        <w:ind w:firstLine="540"/>
        <w:rPr>
          <w:rFonts w:hint="eastAsia" w:ascii="仿宋" w:hAnsi="仿宋" w:eastAsia="仿宋" w:cs="仿宋"/>
          <w:color w:val="auto"/>
          <w:kern w:val="2"/>
          <w:sz w:val="28"/>
          <w:szCs w:val="28"/>
          <w:highlight w:val="none"/>
          <w:lang w:val="en-US" w:eastAsia="zh-CN" w:bidi="ar"/>
        </w:rPr>
      </w:pPr>
      <w:bookmarkStart w:id="15" w:name="OLE_LINK113"/>
      <w:bookmarkStart w:id="16" w:name="OLE_LINK114"/>
      <w:r>
        <w:rPr>
          <w:rFonts w:hint="eastAsia" w:ascii="仿宋" w:hAnsi="仿宋" w:eastAsia="仿宋" w:cs="仿宋"/>
          <w:color w:val="auto"/>
          <w:kern w:val="2"/>
          <w:sz w:val="28"/>
          <w:szCs w:val="28"/>
          <w:highlight w:val="none"/>
          <w:lang w:val="en-US" w:eastAsia="zh-CN" w:bidi="ar"/>
        </w:rPr>
        <w:t>⑥</w:t>
      </w:r>
      <w:bookmarkEnd w:id="15"/>
      <w:bookmarkEnd w:id="16"/>
      <w:r>
        <w:rPr>
          <w:rFonts w:hint="eastAsia" w:ascii="仿宋" w:hAnsi="仿宋" w:eastAsia="仿宋" w:cs="仿宋"/>
          <w:color w:val="auto"/>
          <w:kern w:val="2"/>
          <w:sz w:val="28"/>
          <w:szCs w:val="28"/>
          <w:highlight w:val="none"/>
          <w:lang w:val="en-US" w:eastAsia="zh-CN" w:bidi="ar"/>
        </w:rPr>
        <w:t>被列入中国政府采购网站“政府采购严重违法失信行为信息记录”的。</w:t>
      </w:r>
    </w:p>
    <w:p w14:paraId="2FD71BCE">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⑦前三年有行贿犯罪行为的单位和个人。</w:t>
      </w:r>
    </w:p>
    <w:p w14:paraId="21CED3A6">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5.供应商所属分公司、办事处等分支机构存在第4条信誉要求①-⑦项情形之一的，接受其被确定为成交供应商。</w:t>
      </w:r>
    </w:p>
    <w:p w14:paraId="3B3A26F5">
      <w:pPr>
        <w:ind w:firstLine="54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备注：第4、5条按照“关于联合惩戒失信行为加强信用查询管理的通知”查询或承诺。</w:t>
      </w:r>
    </w:p>
    <w:p w14:paraId="2B3BBF81">
      <w:pPr>
        <w:keepNext/>
        <w:keepLines/>
        <w:spacing w:before="260" w:after="260"/>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三、获取采购文件</w:t>
      </w:r>
      <w:bookmarkEnd w:id="8"/>
      <w:bookmarkEnd w:id="9"/>
      <w:bookmarkEnd w:id="10"/>
      <w:bookmarkEnd w:id="11"/>
    </w:p>
    <w:p w14:paraId="0C707402">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时间：</w:t>
      </w:r>
      <w:r>
        <w:rPr>
          <w:rFonts w:hint="eastAsia" w:ascii="仿宋" w:hAnsi="仿宋" w:eastAsia="仿宋" w:cs="仿宋"/>
          <w:color w:val="auto"/>
          <w:kern w:val="2"/>
          <w:sz w:val="28"/>
          <w:szCs w:val="28"/>
          <w:highlight w:val="none"/>
          <w:lang w:val="en-US" w:eastAsia="zh-CN" w:bidi="ar"/>
        </w:rPr>
        <w:t>2025</w:t>
      </w:r>
      <w:r>
        <w:rPr>
          <w:rFonts w:hint="eastAsia" w:ascii="仿宋" w:hAnsi="仿宋" w:eastAsia="仿宋" w:cs="仿宋"/>
          <w:color w:val="auto"/>
          <w:kern w:val="2"/>
          <w:sz w:val="28"/>
          <w:szCs w:val="28"/>
          <w:highlight w:val="none"/>
          <w:lang w:bidi="ar"/>
        </w:rPr>
        <w:t>年</w:t>
      </w:r>
      <w:r>
        <w:rPr>
          <w:rFonts w:hint="eastAsia" w:ascii="仿宋" w:hAnsi="仿宋" w:eastAsia="仿宋" w:cs="仿宋"/>
          <w:color w:val="auto"/>
          <w:kern w:val="2"/>
          <w:sz w:val="28"/>
          <w:szCs w:val="28"/>
          <w:highlight w:val="none"/>
          <w:lang w:val="en-US" w:eastAsia="zh-CN" w:bidi="ar"/>
        </w:rPr>
        <w:t>4</w:t>
      </w:r>
      <w:r>
        <w:rPr>
          <w:rFonts w:hint="eastAsia" w:ascii="仿宋" w:hAnsi="仿宋" w:eastAsia="仿宋" w:cs="仿宋"/>
          <w:color w:val="auto"/>
          <w:kern w:val="2"/>
          <w:sz w:val="28"/>
          <w:szCs w:val="28"/>
          <w:highlight w:val="none"/>
          <w:lang w:bidi="ar"/>
        </w:rPr>
        <w:t>月</w:t>
      </w:r>
      <w:r>
        <w:rPr>
          <w:rFonts w:hint="eastAsia" w:ascii="仿宋" w:hAnsi="仿宋" w:eastAsia="仿宋" w:cs="仿宋"/>
          <w:color w:val="auto"/>
          <w:kern w:val="2"/>
          <w:sz w:val="28"/>
          <w:szCs w:val="28"/>
          <w:highlight w:val="none"/>
          <w:lang w:val="en-US" w:eastAsia="zh-CN" w:bidi="ar"/>
        </w:rPr>
        <w:t>9</w:t>
      </w:r>
      <w:r>
        <w:rPr>
          <w:rFonts w:hint="eastAsia" w:ascii="仿宋" w:hAnsi="仿宋" w:eastAsia="仿宋" w:cs="仿宋"/>
          <w:color w:val="auto"/>
          <w:kern w:val="2"/>
          <w:sz w:val="28"/>
          <w:szCs w:val="28"/>
          <w:highlight w:val="none"/>
          <w:lang w:bidi="ar"/>
        </w:rPr>
        <w:t>日至</w:t>
      </w:r>
      <w:r>
        <w:rPr>
          <w:rFonts w:hint="eastAsia" w:ascii="仿宋" w:hAnsi="仿宋" w:eastAsia="仿宋" w:cs="仿宋"/>
          <w:color w:val="auto"/>
          <w:kern w:val="2"/>
          <w:sz w:val="28"/>
          <w:szCs w:val="28"/>
          <w:highlight w:val="none"/>
          <w:lang w:val="en-US" w:eastAsia="zh-CN" w:bidi="ar"/>
        </w:rPr>
        <w:t>2025</w:t>
      </w:r>
      <w:r>
        <w:rPr>
          <w:rFonts w:hint="eastAsia" w:ascii="仿宋" w:hAnsi="仿宋" w:eastAsia="仿宋" w:cs="仿宋"/>
          <w:color w:val="auto"/>
          <w:kern w:val="2"/>
          <w:sz w:val="28"/>
          <w:szCs w:val="28"/>
          <w:highlight w:val="none"/>
          <w:lang w:bidi="ar"/>
        </w:rPr>
        <w:t>年</w:t>
      </w:r>
      <w:r>
        <w:rPr>
          <w:rFonts w:hint="eastAsia" w:ascii="仿宋" w:hAnsi="仿宋" w:eastAsia="仿宋" w:cs="仿宋"/>
          <w:color w:val="auto"/>
          <w:kern w:val="2"/>
          <w:sz w:val="28"/>
          <w:szCs w:val="28"/>
          <w:highlight w:val="none"/>
          <w:lang w:val="en-US" w:eastAsia="zh-CN" w:bidi="ar"/>
        </w:rPr>
        <w:t>4</w:t>
      </w:r>
      <w:r>
        <w:rPr>
          <w:rFonts w:hint="eastAsia" w:ascii="仿宋" w:hAnsi="仿宋" w:eastAsia="仿宋" w:cs="仿宋"/>
          <w:color w:val="auto"/>
          <w:kern w:val="2"/>
          <w:sz w:val="28"/>
          <w:szCs w:val="28"/>
          <w:highlight w:val="none"/>
          <w:lang w:bidi="ar"/>
        </w:rPr>
        <w:t>月</w:t>
      </w:r>
      <w:r>
        <w:rPr>
          <w:rFonts w:hint="eastAsia" w:ascii="仿宋" w:hAnsi="仿宋" w:eastAsia="仿宋" w:cs="仿宋"/>
          <w:color w:val="auto"/>
          <w:kern w:val="2"/>
          <w:sz w:val="28"/>
          <w:szCs w:val="28"/>
          <w:highlight w:val="none"/>
          <w:lang w:val="en-US" w:eastAsia="zh-CN" w:bidi="ar"/>
        </w:rPr>
        <w:t>22</w:t>
      </w:r>
      <w:r>
        <w:rPr>
          <w:rFonts w:hint="eastAsia" w:ascii="仿宋" w:hAnsi="仿宋" w:eastAsia="仿宋" w:cs="仿宋"/>
          <w:color w:val="auto"/>
          <w:kern w:val="2"/>
          <w:sz w:val="28"/>
          <w:szCs w:val="28"/>
          <w:highlight w:val="none"/>
          <w:lang w:bidi="ar"/>
        </w:rPr>
        <w:t>日</w:t>
      </w:r>
    </w:p>
    <w:p w14:paraId="761A133B">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地点：滁州市公共资源交易中心网</w:t>
      </w:r>
    </w:p>
    <w:p w14:paraId="20E3C48A">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方式：</w:t>
      </w:r>
      <w:r>
        <w:rPr>
          <w:rFonts w:hint="eastAsia" w:ascii="仿宋" w:hAnsi="仿宋" w:eastAsia="仿宋" w:cs="仿宋"/>
          <w:color w:val="auto"/>
          <w:kern w:val="2"/>
          <w:sz w:val="28"/>
          <w:szCs w:val="28"/>
          <w:highlight w:val="none"/>
          <w:lang w:eastAsia="zh-CN" w:bidi="ar"/>
        </w:rPr>
        <w:t>网上下载</w:t>
      </w:r>
    </w:p>
    <w:p w14:paraId="3BBD60FC">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售价：</w:t>
      </w:r>
      <w:r>
        <w:rPr>
          <w:rFonts w:hint="eastAsia" w:ascii="仿宋" w:hAnsi="仿宋" w:eastAsia="仿宋" w:cs="仿宋"/>
          <w:color w:val="auto"/>
          <w:kern w:val="2"/>
          <w:sz w:val="28"/>
          <w:szCs w:val="28"/>
          <w:highlight w:val="none"/>
          <w:lang w:val="en-US" w:eastAsia="zh-CN" w:bidi="ar"/>
        </w:rPr>
        <w:t>0元</w:t>
      </w:r>
    </w:p>
    <w:p w14:paraId="68AEDBD2">
      <w:pPr>
        <w:keepNext/>
        <w:keepLines/>
        <w:spacing w:before="260" w:after="260"/>
        <w:rPr>
          <w:rFonts w:hint="eastAsia" w:ascii="黑体" w:hAnsi="宋体" w:eastAsia="黑体" w:cs="黑体"/>
          <w:color w:val="auto"/>
          <w:kern w:val="2"/>
          <w:sz w:val="28"/>
          <w:szCs w:val="28"/>
          <w:highlight w:val="none"/>
          <w:lang w:val="en-US" w:eastAsia="zh-CN" w:bidi="ar"/>
        </w:rPr>
      </w:pPr>
      <w:bookmarkStart w:id="17" w:name="_Toc28359015"/>
      <w:bookmarkStart w:id="18" w:name="_Toc35393801"/>
      <w:bookmarkStart w:id="19" w:name="_Toc35393632"/>
      <w:bookmarkStart w:id="20" w:name="_Toc28359092"/>
      <w:r>
        <w:rPr>
          <w:rFonts w:hint="eastAsia" w:ascii="黑体" w:hAnsi="宋体" w:eastAsia="黑体" w:cs="黑体"/>
          <w:color w:val="auto"/>
          <w:kern w:val="2"/>
          <w:sz w:val="28"/>
          <w:szCs w:val="28"/>
          <w:highlight w:val="none"/>
          <w:lang w:val="en-US" w:eastAsia="zh-CN" w:bidi="ar"/>
        </w:rPr>
        <w:t>四、响应文件提交</w:t>
      </w:r>
      <w:bookmarkEnd w:id="17"/>
      <w:bookmarkEnd w:id="18"/>
      <w:bookmarkEnd w:id="19"/>
      <w:bookmarkEnd w:id="20"/>
    </w:p>
    <w:p w14:paraId="1296F74E">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截止时间：</w:t>
      </w:r>
      <w:r>
        <w:rPr>
          <w:rFonts w:hint="eastAsia" w:ascii="仿宋" w:hAnsi="仿宋" w:eastAsia="仿宋" w:cs="仿宋"/>
          <w:color w:val="auto"/>
          <w:kern w:val="2"/>
          <w:sz w:val="28"/>
          <w:szCs w:val="28"/>
          <w:highlight w:val="none"/>
          <w:lang w:val="en-US" w:eastAsia="zh-CN" w:bidi="ar"/>
        </w:rPr>
        <w:t>2025</w:t>
      </w:r>
      <w:r>
        <w:rPr>
          <w:rFonts w:hint="eastAsia" w:ascii="仿宋" w:hAnsi="仿宋" w:eastAsia="仿宋" w:cs="仿宋"/>
          <w:color w:val="auto"/>
          <w:kern w:val="2"/>
          <w:sz w:val="28"/>
          <w:szCs w:val="28"/>
          <w:highlight w:val="none"/>
          <w:lang w:bidi="ar"/>
        </w:rPr>
        <w:t>年</w:t>
      </w:r>
      <w:r>
        <w:rPr>
          <w:rFonts w:hint="eastAsia" w:ascii="仿宋" w:hAnsi="仿宋" w:eastAsia="仿宋" w:cs="仿宋"/>
          <w:color w:val="auto"/>
          <w:kern w:val="2"/>
          <w:sz w:val="28"/>
          <w:szCs w:val="28"/>
          <w:highlight w:val="none"/>
          <w:lang w:val="en-US" w:eastAsia="zh-CN" w:bidi="ar"/>
        </w:rPr>
        <w:t>4</w:t>
      </w:r>
      <w:r>
        <w:rPr>
          <w:rFonts w:hint="eastAsia" w:ascii="仿宋" w:hAnsi="仿宋" w:eastAsia="仿宋" w:cs="仿宋"/>
          <w:color w:val="auto"/>
          <w:kern w:val="2"/>
          <w:sz w:val="28"/>
          <w:szCs w:val="28"/>
          <w:highlight w:val="none"/>
          <w:lang w:bidi="ar"/>
        </w:rPr>
        <w:t>月</w:t>
      </w:r>
      <w:r>
        <w:rPr>
          <w:rFonts w:hint="eastAsia" w:ascii="仿宋" w:hAnsi="仿宋" w:eastAsia="仿宋" w:cs="仿宋"/>
          <w:color w:val="auto"/>
          <w:kern w:val="2"/>
          <w:sz w:val="28"/>
          <w:szCs w:val="28"/>
          <w:highlight w:val="none"/>
          <w:lang w:val="en-US" w:eastAsia="zh-CN" w:bidi="ar"/>
        </w:rPr>
        <w:t>22</w:t>
      </w:r>
      <w:r>
        <w:rPr>
          <w:rFonts w:hint="eastAsia" w:ascii="仿宋" w:hAnsi="仿宋" w:eastAsia="仿宋" w:cs="仿宋"/>
          <w:color w:val="auto"/>
          <w:kern w:val="2"/>
          <w:sz w:val="28"/>
          <w:szCs w:val="28"/>
          <w:highlight w:val="none"/>
          <w:lang w:bidi="ar"/>
        </w:rPr>
        <w:t>日</w:t>
      </w:r>
      <w:r>
        <w:rPr>
          <w:rFonts w:hint="eastAsia" w:ascii="仿宋" w:hAnsi="仿宋" w:eastAsia="仿宋" w:cs="仿宋"/>
          <w:color w:val="auto"/>
          <w:kern w:val="2"/>
          <w:sz w:val="28"/>
          <w:szCs w:val="28"/>
          <w:highlight w:val="none"/>
          <w:lang w:val="en-US" w:eastAsia="zh-CN" w:bidi="ar"/>
        </w:rPr>
        <w:t>08</w:t>
      </w:r>
      <w:r>
        <w:rPr>
          <w:rFonts w:hint="eastAsia" w:ascii="仿宋" w:hAnsi="仿宋" w:eastAsia="仿宋" w:cs="仿宋"/>
          <w:color w:val="auto"/>
          <w:kern w:val="2"/>
          <w:sz w:val="28"/>
          <w:szCs w:val="28"/>
          <w:highlight w:val="none"/>
          <w:lang w:bidi="ar"/>
        </w:rPr>
        <w:t>点</w:t>
      </w:r>
      <w:r>
        <w:rPr>
          <w:rFonts w:hint="eastAsia" w:ascii="仿宋" w:hAnsi="仿宋" w:eastAsia="仿宋" w:cs="仿宋"/>
          <w:color w:val="auto"/>
          <w:kern w:val="2"/>
          <w:sz w:val="28"/>
          <w:szCs w:val="28"/>
          <w:highlight w:val="none"/>
          <w:lang w:val="en-US" w:eastAsia="zh-CN" w:bidi="ar"/>
        </w:rPr>
        <w:t>00</w:t>
      </w:r>
      <w:r>
        <w:rPr>
          <w:rFonts w:hint="eastAsia" w:ascii="仿宋" w:hAnsi="仿宋" w:eastAsia="仿宋" w:cs="仿宋"/>
          <w:color w:val="auto"/>
          <w:kern w:val="2"/>
          <w:sz w:val="28"/>
          <w:szCs w:val="28"/>
          <w:highlight w:val="none"/>
          <w:lang w:bidi="ar"/>
        </w:rPr>
        <w:t>分（北京时间）</w:t>
      </w:r>
    </w:p>
    <w:p w14:paraId="4E4994EB">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地点：滁州市公共资源交易平台电子交易系统</w:t>
      </w:r>
    </w:p>
    <w:p w14:paraId="0C0C46EA">
      <w:pPr>
        <w:keepNext/>
        <w:keepLines/>
        <w:spacing w:before="260" w:after="260"/>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五、开启</w:t>
      </w:r>
    </w:p>
    <w:p w14:paraId="44532A48">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时间：</w:t>
      </w:r>
      <w:r>
        <w:rPr>
          <w:rFonts w:hint="eastAsia" w:ascii="仿宋" w:hAnsi="仿宋" w:eastAsia="仿宋" w:cs="仿宋"/>
          <w:color w:val="auto"/>
          <w:kern w:val="2"/>
          <w:sz w:val="28"/>
          <w:szCs w:val="28"/>
          <w:highlight w:val="none"/>
          <w:lang w:val="en-US" w:eastAsia="zh-CN" w:bidi="ar"/>
        </w:rPr>
        <w:t>2025</w:t>
      </w:r>
      <w:r>
        <w:rPr>
          <w:rFonts w:hint="eastAsia" w:ascii="仿宋" w:hAnsi="仿宋" w:eastAsia="仿宋" w:cs="仿宋"/>
          <w:color w:val="auto"/>
          <w:kern w:val="2"/>
          <w:sz w:val="28"/>
          <w:szCs w:val="28"/>
          <w:highlight w:val="none"/>
          <w:lang w:bidi="ar"/>
        </w:rPr>
        <w:t>年</w:t>
      </w:r>
      <w:r>
        <w:rPr>
          <w:rFonts w:hint="eastAsia" w:ascii="仿宋" w:hAnsi="仿宋" w:eastAsia="仿宋" w:cs="仿宋"/>
          <w:color w:val="auto"/>
          <w:kern w:val="2"/>
          <w:sz w:val="28"/>
          <w:szCs w:val="28"/>
          <w:highlight w:val="none"/>
          <w:lang w:val="en-US" w:eastAsia="zh-CN" w:bidi="ar"/>
        </w:rPr>
        <w:t>4</w:t>
      </w:r>
      <w:r>
        <w:rPr>
          <w:rFonts w:hint="eastAsia" w:ascii="仿宋" w:hAnsi="仿宋" w:eastAsia="仿宋" w:cs="仿宋"/>
          <w:color w:val="auto"/>
          <w:kern w:val="2"/>
          <w:sz w:val="28"/>
          <w:szCs w:val="28"/>
          <w:highlight w:val="none"/>
          <w:lang w:bidi="ar"/>
        </w:rPr>
        <w:t>月</w:t>
      </w:r>
      <w:r>
        <w:rPr>
          <w:rFonts w:hint="eastAsia" w:ascii="仿宋" w:hAnsi="仿宋" w:eastAsia="仿宋" w:cs="仿宋"/>
          <w:color w:val="auto"/>
          <w:kern w:val="2"/>
          <w:sz w:val="28"/>
          <w:szCs w:val="28"/>
          <w:highlight w:val="none"/>
          <w:lang w:val="en-US" w:eastAsia="zh-CN" w:bidi="ar"/>
        </w:rPr>
        <w:t>22</w:t>
      </w:r>
      <w:r>
        <w:rPr>
          <w:rFonts w:hint="eastAsia" w:ascii="仿宋" w:hAnsi="仿宋" w:eastAsia="仿宋" w:cs="仿宋"/>
          <w:color w:val="auto"/>
          <w:kern w:val="2"/>
          <w:sz w:val="28"/>
          <w:szCs w:val="28"/>
          <w:highlight w:val="none"/>
          <w:lang w:bidi="ar"/>
        </w:rPr>
        <w:t>日</w:t>
      </w:r>
      <w:r>
        <w:rPr>
          <w:rFonts w:hint="eastAsia" w:ascii="仿宋" w:hAnsi="仿宋" w:eastAsia="仿宋" w:cs="仿宋"/>
          <w:color w:val="auto"/>
          <w:kern w:val="2"/>
          <w:sz w:val="28"/>
          <w:szCs w:val="28"/>
          <w:highlight w:val="none"/>
          <w:lang w:val="en-US" w:eastAsia="zh-CN" w:bidi="ar"/>
        </w:rPr>
        <w:t>08</w:t>
      </w:r>
      <w:r>
        <w:rPr>
          <w:rFonts w:hint="eastAsia" w:ascii="仿宋" w:hAnsi="仿宋" w:eastAsia="仿宋" w:cs="仿宋"/>
          <w:color w:val="auto"/>
          <w:kern w:val="2"/>
          <w:sz w:val="28"/>
          <w:szCs w:val="28"/>
          <w:highlight w:val="none"/>
          <w:lang w:bidi="ar"/>
        </w:rPr>
        <w:t>点</w:t>
      </w:r>
      <w:r>
        <w:rPr>
          <w:rFonts w:hint="eastAsia" w:ascii="仿宋" w:hAnsi="仿宋" w:eastAsia="仿宋" w:cs="仿宋"/>
          <w:color w:val="auto"/>
          <w:kern w:val="2"/>
          <w:sz w:val="28"/>
          <w:szCs w:val="28"/>
          <w:highlight w:val="none"/>
          <w:lang w:val="en-US" w:eastAsia="zh-CN" w:bidi="ar"/>
        </w:rPr>
        <w:t>00</w:t>
      </w:r>
      <w:r>
        <w:rPr>
          <w:rFonts w:hint="eastAsia" w:ascii="仿宋" w:hAnsi="仿宋" w:eastAsia="仿宋" w:cs="仿宋"/>
          <w:color w:val="auto"/>
          <w:kern w:val="2"/>
          <w:sz w:val="28"/>
          <w:szCs w:val="28"/>
          <w:highlight w:val="none"/>
          <w:lang w:bidi="ar"/>
        </w:rPr>
        <w:t>分（北京时间）</w:t>
      </w:r>
    </w:p>
    <w:p w14:paraId="651BEBE7">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地点：滁州市公共资源交易平台电子交易系统</w:t>
      </w:r>
    </w:p>
    <w:p w14:paraId="225F5D47">
      <w:pPr>
        <w:keepNext/>
        <w:keepLines/>
        <w:spacing w:before="260" w:after="260"/>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六、公告期限</w:t>
      </w:r>
    </w:p>
    <w:p w14:paraId="561F3638">
      <w:pPr>
        <w:ind w:firstLine="560" w:firstLineChars="200"/>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eastAsia="zh-CN" w:bidi="ar"/>
        </w:rPr>
        <w:t>自本公告发布之日起</w:t>
      </w: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eastAsia="zh-CN" w:bidi="ar"/>
        </w:rPr>
        <w:t>个工作日。</w:t>
      </w:r>
    </w:p>
    <w:p w14:paraId="524466D6">
      <w:pPr>
        <w:keepNext/>
        <w:keepLines/>
        <w:spacing w:before="260" w:after="260"/>
        <w:rPr>
          <w:rFonts w:hint="default"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七、保证金金额及缴纳账户</w:t>
      </w:r>
    </w:p>
    <w:p w14:paraId="14D4909D">
      <w:pPr>
        <w:ind w:firstLine="560" w:firstLineChars="200"/>
        <w:rPr>
          <w:rFonts w:hint="eastAsia" w:ascii="黑体" w:eastAsia="黑体" w:cs="黑体"/>
          <w:color w:val="auto"/>
          <w:kern w:val="2"/>
          <w:sz w:val="28"/>
          <w:szCs w:val="28"/>
          <w:highlight w:val="none"/>
          <w:lang w:val="en-US" w:eastAsia="zh-CN" w:bidi="ar"/>
        </w:rPr>
      </w:pPr>
      <w:r>
        <w:rPr>
          <w:rFonts w:hint="eastAsia" w:ascii="仿宋" w:hAnsi="仿宋" w:eastAsia="仿宋" w:cs="仿宋"/>
          <w:color w:val="auto"/>
          <w:kern w:val="0"/>
          <w:sz w:val="28"/>
          <w:szCs w:val="28"/>
          <w:highlight w:val="none"/>
          <w:lang w:eastAsia="zh-CN" w:bidi="ar"/>
        </w:rPr>
        <w:t>是否要求供应商提交保证金：不要求。</w:t>
      </w:r>
    </w:p>
    <w:p w14:paraId="3DEE8831">
      <w:pPr>
        <w:keepNext/>
        <w:keepLines/>
        <w:spacing w:before="260" w:after="260"/>
        <w:rPr>
          <w:rFonts w:hint="default" w:ascii="黑体" w:hAnsi="宋体" w:eastAsia="黑体" w:cs="黑体"/>
          <w:color w:val="auto"/>
          <w:kern w:val="2"/>
          <w:sz w:val="28"/>
          <w:szCs w:val="28"/>
          <w:highlight w:val="none"/>
          <w:lang w:val="en-US" w:eastAsia="zh-CN" w:bidi="ar"/>
        </w:rPr>
      </w:pPr>
      <w:r>
        <w:rPr>
          <w:rFonts w:hint="eastAsia" w:ascii="黑体" w:eastAsia="黑体" w:cs="黑体"/>
          <w:color w:val="auto"/>
          <w:kern w:val="2"/>
          <w:sz w:val="28"/>
          <w:szCs w:val="28"/>
          <w:highlight w:val="none"/>
          <w:lang w:val="en-US" w:eastAsia="zh-CN" w:bidi="ar"/>
        </w:rPr>
        <w:t>八</w:t>
      </w:r>
      <w:r>
        <w:rPr>
          <w:rFonts w:hint="eastAsia" w:ascii="黑体" w:hAnsi="宋体" w:eastAsia="黑体" w:cs="黑体"/>
          <w:color w:val="auto"/>
          <w:kern w:val="2"/>
          <w:sz w:val="28"/>
          <w:szCs w:val="28"/>
          <w:highlight w:val="none"/>
          <w:lang w:val="en-US" w:eastAsia="zh-CN" w:bidi="ar"/>
        </w:rPr>
        <w:t>、其他补充事宜</w:t>
      </w:r>
    </w:p>
    <w:p w14:paraId="3B00E50D">
      <w:pPr>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1.本项目只接受在安徽省公共资源交易市场主体库（</w:t>
      </w:r>
      <w:r>
        <w:rPr>
          <w:rFonts w:hint="eastAsia" w:ascii="仿宋" w:hAnsi="仿宋" w:eastAsia="仿宋" w:cs="仿宋"/>
          <w:color w:val="auto"/>
          <w:kern w:val="2"/>
          <w:sz w:val="28"/>
          <w:szCs w:val="28"/>
          <w:highlight w:val="none"/>
          <w:lang w:eastAsia="zh-CN" w:bidi="ar"/>
        </w:rPr>
        <w:t>http://ggzy.ah.gov.cn/ahggfwpt-zhutiku/dengludenglu</w:t>
      </w:r>
      <w:r>
        <w:rPr>
          <w:rFonts w:hint="eastAsia" w:ascii="仿宋" w:hAnsi="仿宋" w:eastAsia="仿宋" w:cs="仿宋"/>
          <w:color w:val="auto"/>
          <w:kern w:val="2"/>
          <w:sz w:val="28"/>
          <w:szCs w:val="28"/>
          <w:highlight w:val="none"/>
          <w:lang w:bidi="ar"/>
        </w:rPr>
        <w:t>）登记并进行信息确认提交的</w:t>
      </w:r>
      <w:r>
        <w:rPr>
          <w:rFonts w:hint="eastAsia" w:ascii="仿宋" w:hAnsi="仿宋" w:eastAsia="仿宋" w:cs="仿宋"/>
          <w:color w:val="auto"/>
          <w:kern w:val="2"/>
          <w:sz w:val="28"/>
          <w:szCs w:val="28"/>
          <w:highlight w:val="none"/>
          <w:lang w:val="en-US" w:eastAsia="zh-CN" w:bidi="ar"/>
        </w:rPr>
        <w:t>供应商参加</w:t>
      </w:r>
      <w:r>
        <w:rPr>
          <w:rFonts w:hint="eastAsia" w:ascii="仿宋" w:hAnsi="仿宋" w:eastAsia="仿宋" w:cs="仿宋"/>
          <w:color w:val="auto"/>
          <w:kern w:val="2"/>
          <w:sz w:val="28"/>
          <w:szCs w:val="28"/>
          <w:highlight w:val="none"/>
          <w:lang w:bidi="ar"/>
        </w:rPr>
        <w:t>，未登记的</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请及时办理CA数字证书并登录安徽省公共资源交易市场主体库进行信息填写及确认提交；已办理过CA数字证书视为已在省库登记，进行信息更新及确认提交即可。办理流程为登</w:t>
      </w:r>
      <w:r>
        <w:rPr>
          <w:rFonts w:hint="eastAsia" w:ascii="仿宋" w:hAnsi="仿宋" w:eastAsia="仿宋" w:cs="仿宋"/>
          <w:color w:val="auto"/>
          <w:kern w:val="2"/>
          <w:sz w:val="28"/>
          <w:szCs w:val="28"/>
          <w:highlight w:val="none"/>
          <w:lang w:val="en-US" w:eastAsia="zh-CN" w:bidi="ar"/>
        </w:rPr>
        <w:t>录</w:t>
      </w:r>
      <w:r>
        <w:rPr>
          <w:rFonts w:hint="eastAsia" w:ascii="仿宋" w:hAnsi="仿宋" w:eastAsia="仿宋" w:cs="仿宋"/>
          <w:color w:val="auto"/>
          <w:kern w:val="2"/>
          <w:sz w:val="28"/>
          <w:szCs w:val="28"/>
          <w:highlight w:val="none"/>
          <w:lang w:bidi="ar"/>
        </w:rPr>
        <w:t>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的，责任自负。为保证系统使用过程中产生的问题能够及时得到解决，请各主体在工作时间进行主体信息登记、更新、</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文件制作等相关操作。</w:t>
      </w:r>
    </w:p>
    <w:p w14:paraId="3D2B4658">
      <w:pPr>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2.请</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登录滁州市公共资源交易中心网站查看参加本项目的程序。（具体操作步骤和程序请参见服务指南&gt;交易须知&gt;投标人填写投标信息、下载文件及网上提问操作手册）。</w:t>
      </w:r>
    </w:p>
    <w:p w14:paraId="333457C3">
      <w:pPr>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3.本项目采用不见面开标（远程解密)方式，</w:t>
      </w:r>
      <w:r>
        <w:rPr>
          <w:rFonts w:hint="eastAsia" w:ascii="仿宋" w:hAnsi="仿宋" w:eastAsia="仿宋" w:cs="仿宋"/>
          <w:color w:val="auto"/>
          <w:kern w:val="2"/>
          <w:sz w:val="28"/>
          <w:szCs w:val="28"/>
          <w:highlight w:val="none"/>
          <w:lang w:val="en-US" w:eastAsia="zh-CN" w:bidi="ar"/>
        </w:rPr>
        <w:t>开启</w:t>
      </w:r>
      <w:r>
        <w:rPr>
          <w:rFonts w:hint="eastAsia" w:ascii="仿宋" w:hAnsi="仿宋" w:eastAsia="仿宋" w:cs="仿宋"/>
          <w:color w:val="auto"/>
          <w:kern w:val="2"/>
          <w:sz w:val="28"/>
          <w:szCs w:val="28"/>
          <w:highlight w:val="none"/>
          <w:lang w:bidi="ar"/>
        </w:rPr>
        <w:t>时</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无须至</w:t>
      </w:r>
      <w:r>
        <w:rPr>
          <w:rFonts w:hint="eastAsia" w:ascii="仿宋" w:hAnsi="仿宋" w:eastAsia="仿宋" w:cs="仿宋"/>
          <w:color w:val="auto"/>
          <w:kern w:val="2"/>
          <w:sz w:val="28"/>
          <w:szCs w:val="28"/>
          <w:highlight w:val="none"/>
          <w:lang w:val="en-US" w:eastAsia="zh-CN" w:bidi="ar"/>
        </w:rPr>
        <w:t>磋商</w:t>
      </w:r>
      <w:r>
        <w:rPr>
          <w:rFonts w:hint="eastAsia" w:ascii="仿宋" w:hAnsi="仿宋" w:eastAsia="仿宋" w:cs="仿宋"/>
          <w:color w:val="auto"/>
          <w:kern w:val="2"/>
          <w:sz w:val="28"/>
          <w:szCs w:val="28"/>
          <w:highlight w:val="none"/>
          <w:lang w:bidi="ar"/>
        </w:rPr>
        <w:t>现场进行解密，</w:t>
      </w:r>
      <w:r>
        <w:rPr>
          <w:rFonts w:hint="eastAsia" w:ascii="仿宋" w:hAnsi="仿宋" w:eastAsia="仿宋" w:cs="仿宋"/>
          <w:color w:val="auto"/>
          <w:kern w:val="2"/>
          <w:sz w:val="28"/>
          <w:szCs w:val="28"/>
          <w:highlight w:val="none"/>
          <w:lang w:val="en-US" w:eastAsia="zh-CN" w:bidi="ar"/>
        </w:rPr>
        <w:t>磋商</w:t>
      </w:r>
      <w:r>
        <w:rPr>
          <w:rFonts w:hint="eastAsia" w:ascii="仿宋" w:hAnsi="仿宋" w:eastAsia="仿宋" w:cs="仿宋"/>
          <w:color w:val="auto"/>
          <w:kern w:val="2"/>
          <w:sz w:val="28"/>
          <w:szCs w:val="28"/>
          <w:highlight w:val="none"/>
          <w:lang w:bidi="ar"/>
        </w:rPr>
        <w:t>采取远程解密方式解密</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文件，</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在</w:t>
      </w:r>
      <w:r>
        <w:rPr>
          <w:rFonts w:hint="eastAsia" w:ascii="仿宋" w:hAnsi="仿宋" w:eastAsia="仿宋" w:cs="仿宋"/>
          <w:color w:val="auto"/>
          <w:kern w:val="2"/>
          <w:sz w:val="28"/>
          <w:szCs w:val="28"/>
          <w:highlight w:val="none"/>
          <w:lang w:val="en-US" w:eastAsia="zh-CN" w:bidi="ar"/>
        </w:rPr>
        <w:t>开启</w:t>
      </w:r>
      <w:r>
        <w:rPr>
          <w:rFonts w:hint="eastAsia" w:ascii="仿宋" w:hAnsi="仿宋" w:eastAsia="仿宋" w:cs="仿宋"/>
          <w:color w:val="auto"/>
          <w:kern w:val="2"/>
          <w:sz w:val="28"/>
          <w:szCs w:val="28"/>
          <w:highlight w:val="none"/>
          <w:lang w:bidi="ar"/>
        </w:rPr>
        <w:t>时间前使用CA数字证书登录滁州市“不见面开标系统”，网址为https://ggzy.chuzhou.gov.cn/BidOpening,等待</w:t>
      </w:r>
      <w:r>
        <w:rPr>
          <w:rFonts w:hint="eastAsia" w:ascii="仿宋" w:hAnsi="仿宋" w:eastAsia="仿宋" w:cs="仿宋"/>
          <w:color w:val="auto"/>
          <w:kern w:val="2"/>
          <w:sz w:val="28"/>
          <w:szCs w:val="28"/>
          <w:highlight w:val="none"/>
          <w:lang w:val="en-US" w:eastAsia="zh-CN" w:bidi="ar"/>
        </w:rPr>
        <w:t>开启</w:t>
      </w:r>
      <w:r>
        <w:rPr>
          <w:rFonts w:hint="eastAsia" w:ascii="仿宋" w:hAnsi="仿宋" w:eastAsia="仿宋" w:cs="仿宋"/>
          <w:color w:val="auto"/>
          <w:kern w:val="2"/>
          <w:sz w:val="28"/>
          <w:szCs w:val="28"/>
          <w:highlight w:val="none"/>
          <w:lang w:bidi="ar"/>
        </w:rPr>
        <w:t>并按系统提示进行相应的</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解密等事项，无需到</w:t>
      </w:r>
      <w:r>
        <w:rPr>
          <w:rFonts w:hint="eastAsia" w:ascii="仿宋" w:hAnsi="仿宋" w:eastAsia="仿宋" w:cs="仿宋"/>
          <w:color w:val="auto"/>
          <w:kern w:val="2"/>
          <w:sz w:val="28"/>
          <w:szCs w:val="28"/>
          <w:highlight w:val="none"/>
          <w:lang w:val="en-US" w:eastAsia="zh-CN" w:bidi="ar"/>
        </w:rPr>
        <w:t>磋商</w:t>
      </w:r>
      <w:r>
        <w:rPr>
          <w:rFonts w:hint="eastAsia" w:ascii="仿宋" w:hAnsi="仿宋" w:eastAsia="仿宋" w:cs="仿宋"/>
          <w:color w:val="auto"/>
          <w:kern w:val="2"/>
          <w:sz w:val="28"/>
          <w:szCs w:val="28"/>
          <w:highlight w:val="none"/>
          <w:lang w:bidi="ar"/>
        </w:rPr>
        <w:t>现场。采用本方式可以观看</w:t>
      </w:r>
      <w:r>
        <w:rPr>
          <w:rFonts w:hint="eastAsia" w:ascii="仿宋" w:hAnsi="仿宋" w:eastAsia="仿宋" w:cs="仿宋"/>
          <w:color w:val="auto"/>
          <w:kern w:val="2"/>
          <w:sz w:val="28"/>
          <w:szCs w:val="28"/>
          <w:highlight w:val="none"/>
          <w:lang w:val="en-US" w:eastAsia="zh-CN" w:bidi="ar"/>
        </w:rPr>
        <w:t>磋商</w:t>
      </w:r>
      <w:r>
        <w:rPr>
          <w:rFonts w:hint="eastAsia" w:ascii="仿宋" w:hAnsi="仿宋" w:eastAsia="仿宋" w:cs="仿宋"/>
          <w:color w:val="auto"/>
          <w:kern w:val="2"/>
          <w:sz w:val="28"/>
          <w:szCs w:val="28"/>
          <w:highlight w:val="none"/>
          <w:lang w:bidi="ar"/>
        </w:rPr>
        <w:t>现场音视频直播并进行互动交流。具体操作方法见中心网站&gt;服务指南&gt;交易须知中的《滁州市不见面开标系统操作手册》。</w:t>
      </w:r>
    </w:p>
    <w:p w14:paraId="46D5C646">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bidi="ar"/>
        </w:rPr>
        <w:t>4.</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接到远程解密指令后，须在规定时间内解密。因</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自身原因导致</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文件在规定时间内未能解密、解密失败或解密超时，</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文件无效；因采购代理机构原因或网上平台发生故障，导致无法按时完成</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文件解密的，经采购代理机构申请后可延迟解密时间</w:t>
      </w:r>
      <w:r>
        <w:rPr>
          <w:rFonts w:hint="eastAsia" w:ascii="仿宋" w:hAnsi="仿宋" w:eastAsia="仿宋" w:cs="仿宋"/>
          <w:color w:val="auto"/>
          <w:kern w:val="2"/>
          <w:sz w:val="28"/>
          <w:szCs w:val="28"/>
          <w:highlight w:val="none"/>
          <w:lang w:val="en-US" w:eastAsia="zh-CN" w:bidi="ar"/>
        </w:rPr>
        <w:t>。</w:t>
      </w:r>
    </w:p>
    <w:p w14:paraId="20D1FB1F">
      <w:pPr>
        <w:keepNext/>
        <w:keepLines/>
        <w:spacing w:before="260" w:after="260"/>
        <w:rPr>
          <w:rFonts w:hint="eastAsia" w:ascii="黑体" w:hAnsi="宋体" w:eastAsia="黑体" w:cs="黑体"/>
          <w:color w:val="auto"/>
          <w:kern w:val="2"/>
          <w:sz w:val="28"/>
          <w:szCs w:val="28"/>
          <w:highlight w:val="none"/>
          <w:lang w:bidi="ar"/>
        </w:rPr>
      </w:pPr>
      <w:r>
        <w:rPr>
          <w:rFonts w:hint="eastAsia" w:ascii="黑体" w:eastAsia="黑体" w:cs="黑体"/>
          <w:color w:val="auto"/>
          <w:kern w:val="2"/>
          <w:sz w:val="28"/>
          <w:szCs w:val="28"/>
          <w:highlight w:val="none"/>
          <w:lang w:val="en-US" w:eastAsia="zh-CN" w:bidi="ar"/>
        </w:rPr>
        <w:t>九</w:t>
      </w:r>
      <w:r>
        <w:rPr>
          <w:rFonts w:hint="eastAsia" w:ascii="黑体" w:hAnsi="宋体" w:eastAsia="黑体" w:cs="黑体"/>
          <w:color w:val="auto"/>
          <w:kern w:val="2"/>
          <w:sz w:val="28"/>
          <w:szCs w:val="28"/>
          <w:highlight w:val="none"/>
          <w:lang w:bidi="ar"/>
        </w:rPr>
        <w:t>、对本次招标提出询问，请按以下方式联系</w:t>
      </w:r>
    </w:p>
    <w:bookmarkEnd w:id="2"/>
    <w:bookmarkEnd w:id="3"/>
    <w:p w14:paraId="2B3711A8">
      <w:pPr>
        <w:wordWrap w:val="0"/>
        <w:autoSpaceDE w:val="0"/>
        <w:ind w:firstLine="560" w:firstLineChars="200"/>
        <w:rPr>
          <w:rFonts w:hint="eastAsia" w:ascii="仿宋" w:hAnsi="仿宋" w:eastAsia="仿宋" w:cs="仿宋"/>
          <w:color w:val="auto"/>
          <w:kern w:val="2"/>
          <w:sz w:val="28"/>
          <w:szCs w:val="28"/>
          <w:highlight w:val="none"/>
          <w:lang w:val="en-US" w:eastAsia="zh-CN" w:bidi="ar"/>
        </w:rPr>
      </w:pPr>
      <w:bookmarkStart w:id="21" w:name="_Toc13220"/>
      <w:r>
        <w:rPr>
          <w:rFonts w:hint="eastAsia" w:ascii="仿宋" w:hAnsi="仿宋" w:eastAsia="仿宋" w:cs="仿宋"/>
          <w:color w:val="auto"/>
          <w:kern w:val="2"/>
          <w:sz w:val="28"/>
          <w:szCs w:val="28"/>
          <w:highlight w:val="none"/>
          <w:lang w:bidi="ar"/>
        </w:rPr>
        <w:t>1.采购人</w:t>
      </w:r>
      <w:r>
        <w:rPr>
          <w:rFonts w:hint="eastAsia" w:ascii="仿宋" w:hAnsi="仿宋" w:eastAsia="仿宋" w:cs="仿宋"/>
          <w:color w:val="auto"/>
          <w:kern w:val="2"/>
          <w:sz w:val="28"/>
          <w:szCs w:val="28"/>
          <w:highlight w:val="none"/>
          <w:lang w:val="en-US" w:eastAsia="zh-CN" w:bidi="ar"/>
        </w:rPr>
        <w:t>信息</w:t>
      </w:r>
    </w:p>
    <w:p w14:paraId="3201BC0A">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名  称</w:t>
      </w:r>
      <w:r>
        <w:rPr>
          <w:rFonts w:hint="eastAsia" w:ascii="仿宋" w:hAnsi="仿宋" w:eastAsia="仿宋" w:cs="仿宋"/>
          <w:color w:val="auto"/>
          <w:kern w:val="2"/>
          <w:sz w:val="28"/>
          <w:szCs w:val="28"/>
          <w:highlight w:val="none"/>
          <w:lang w:bidi="ar"/>
        </w:rPr>
        <w:t>：</w:t>
      </w:r>
      <w:r>
        <w:rPr>
          <w:rFonts w:hint="eastAsia" w:ascii="仿宋" w:hAnsi="仿宋" w:eastAsia="仿宋" w:cs="仿宋"/>
          <w:color w:val="auto"/>
          <w:kern w:val="2"/>
          <w:sz w:val="28"/>
          <w:szCs w:val="28"/>
          <w:highlight w:val="none"/>
          <w:u w:val="single"/>
          <w:lang w:val="en-US" w:eastAsia="zh-CN" w:bidi="ar"/>
        </w:rPr>
        <w:t>滁州学院</w:t>
      </w:r>
    </w:p>
    <w:p w14:paraId="270DD523">
      <w:pPr>
        <w:tabs>
          <w:tab w:val="left" w:pos="1600"/>
        </w:tabs>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地  址：</w:t>
      </w:r>
      <w:r>
        <w:rPr>
          <w:rFonts w:hint="eastAsia" w:ascii="仿宋" w:hAnsi="仿宋" w:eastAsia="仿宋" w:cs="仿宋"/>
          <w:color w:val="auto"/>
          <w:kern w:val="2"/>
          <w:sz w:val="28"/>
          <w:szCs w:val="28"/>
          <w:highlight w:val="none"/>
          <w:u w:val="single"/>
          <w:lang w:val="en-US" w:eastAsia="zh-CN" w:bidi="ar"/>
        </w:rPr>
        <w:t>安徽省滁州市会峰西路1号滁州学院会峰校区</w:t>
      </w:r>
    </w:p>
    <w:p w14:paraId="372AA640">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联系人：</w:t>
      </w:r>
      <w:r>
        <w:rPr>
          <w:rFonts w:hint="eastAsia" w:ascii="仿宋" w:hAnsi="仿宋" w:eastAsia="仿宋" w:cs="仿宋"/>
          <w:color w:val="auto"/>
          <w:kern w:val="2"/>
          <w:sz w:val="28"/>
          <w:szCs w:val="28"/>
          <w:highlight w:val="none"/>
          <w:u w:val="single"/>
          <w:lang w:val="en-US" w:eastAsia="zh-CN" w:bidi="ar"/>
        </w:rPr>
        <w:t>王老师</w:t>
      </w:r>
    </w:p>
    <w:p w14:paraId="7F82B665">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bidi="ar"/>
        </w:rPr>
        <w:t>联系</w:t>
      </w:r>
      <w:r>
        <w:rPr>
          <w:rFonts w:hint="eastAsia" w:ascii="仿宋" w:hAnsi="仿宋" w:eastAsia="仿宋" w:cs="仿宋"/>
          <w:color w:val="auto"/>
          <w:kern w:val="2"/>
          <w:sz w:val="28"/>
          <w:szCs w:val="28"/>
          <w:highlight w:val="none"/>
          <w:lang w:val="en-US" w:eastAsia="zh-CN" w:bidi="ar"/>
        </w:rPr>
        <w:t>方式</w:t>
      </w:r>
      <w:r>
        <w:rPr>
          <w:rFonts w:hint="eastAsia" w:ascii="仿宋" w:hAnsi="仿宋" w:eastAsia="仿宋" w:cs="仿宋"/>
          <w:color w:val="auto"/>
          <w:kern w:val="2"/>
          <w:sz w:val="28"/>
          <w:szCs w:val="28"/>
          <w:highlight w:val="none"/>
          <w:lang w:bidi="ar"/>
        </w:rPr>
        <w:t>：</w:t>
      </w:r>
      <w:r>
        <w:rPr>
          <w:rFonts w:hint="eastAsia" w:ascii="仿宋" w:hAnsi="仿宋" w:eastAsia="仿宋" w:cs="仿宋"/>
          <w:color w:val="auto"/>
          <w:kern w:val="2"/>
          <w:sz w:val="28"/>
          <w:szCs w:val="28"/>
          <w:highlight w:val="none"/>
          <w:u w:val="single"/>
          <w:lang w:val="en-US" w:eastAsia="zh-CN" w:bidi="ar"/>
        </w:rPr>
        <w:t>0550-3512003</w:t>
      </w:r>
    </w:p>
    <w:p w14:paraId="3FF3D95A">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bidi="ar"/>
        </w:rPr>
        <w:t>2.采购代理机构</w:t>
      </w:r>
      <w:r>
        <w:rPr>
          <w:rFonts w:hint="eastAsia" w:ascii="仿宋" w:hAnsi="仿宋" w:eastAsia="仿宋" w:cs="仿宋"/>
          <w:color w:val="auto"/>
          <w:kern w:val="2"/>
          <w:sz w:val="28"/>
          <w:szCs w:val="28"/>
          <w:highlight w:val="none"/>
          <w:lang w:val="en-US" w:eastAsia="zh-CN" w:bidi="ar"/>
        </w:rPr>
        <w:t>信息</w:t>
      </w:r>
    </w:p>
    <w:p w14:paraId="132AFF22">
      <w:pPr>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val="en-US" w:eastAsia="zh-CN" w:bidi="ar"/>
        </w:rPr>
        <w:t>名  称</w:t>
      </w:r>
      <w:r>
        <w:rPr>
          <w:rFonts w:hint="eastAsia" w:ascii="仿宋" w:hAnsi="仿宋" w:eastAsia="仿宋" w:cs="仿宋"/>
          <w:color w:val="auto"/>
          <w:kern w:val="2"/>
          <w:sz w:val="28"/>
          <w:szCs w:val="28"/>
          <w:highlight w:val="none"/>
          <w:lang w:bidi="ar"/>
        </w:rPr>
        <w:t>：</w:t>
      </w:r>
      <w:r>
        <w:rPr>
          <w:rFonts w:hint="eastAsia" w:ascii="仿宋" w:hAnsi="仿宋" w:eastAsia="仿宋" w:cs="仿宋"/>
          <w:color w:val="auto"/>
          <w:kern w:val="2"/>
          <w:sz w:val="28"/>
          <w:szCs w:val="28"/>
          <w:highlight w:val="none"/>
          <w:u w:val="single"/>
          <w:lang w:bidi="ar"/>
        </w:rPr>
        <w:t>滁州市城投工程咨询管理有限公司</w:t>
      </w:r>
    </w:p>
    <w:p w14:paraId="538B37A1">
      <w:pPr>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地  址：</w:t>
      </w:r>
      <w:r>
        <w:rPr>
          <w:rFonts w:hint="eastAsia" w:ascii="仿宋" w:hAnsi="仿宋" w:eastAsia="仿宋" w:cs="仿宋"/>
          <w:color w:val="auto"/>
          <w:kern w:val="2"/>
          <w:sz w:val="28"/>
          <w:szCs w:val="28"/>
          <w:highlight w:val="none"/>
          <w:u w:val="single"/>
          <w:lang w:bidi="ar"/>
        </w:rPr>
        <w:t>滁州市龙蟠大道109号房产大厦6楼</w:t>
      </w:r>
    </w:p>
    <w:p w14:paraId="5143C1C7">
      <w:pPr>
        <w:wordWrap w:val="0"/>
        <w:autoSpaceDE w:val="0"/>
        <w:ind w:firstLine="560" w:firstLineChars="200"/>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联系人：</w:t>
      </w:r>
      <w:r>
        <w:rPr>
          <w:rFonts w:hint="eastAsia" w:ascii="仿宋" w:hAnsi="仿宋" w:eastAsia="仿宋" w:cs="仿宋"/>
          <w:color w:val="auto"/>
          <w:kern w:val="2"/>
          <w:sz w:val="28"/>
          <w:szCs w:val="28"/>
          <w:highlight w:val="none"/>
          <w:u w:val="single"/>
          <w:lang w:val="en-US" w:eastAsia="zh-CN" w:bidi="ar"/>
        </w:rPr>
        <w:t>杨韦</w:t>
      </w:r>
    </w:p>
    <w:p w14:paraId="647D1786">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联系方式：</w:t>
      </w:r>
      <w:r>
        <w:rPr>
          <w:rFonts w:hint="eastAsia" w:ascii="仿宋" w:hAnsi="仿宋" w:eastAsia="仿宋" w:cs="仿宋"/>
          <w:color w:val="auto"/>
          <w:kern w:val="2"/>
          <w:sz w:val="28"/>
          <w:szCs w:val="28"/>
          <w:highlight w:val="none"/>
          <w:u w:val="single"/>
          <w:lang w:val="en-US" w:eastAsia="zh-CN" w:bidi="ar"/>
        </w:rPr>
        <w:t>0550-3519590、18005501210</w:t>
      </w:r>
    </w:p>
    <w:p w14:paraId="30AE3065">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3.</w:t>
      </w:r>
      <w:bookmarkEnd w:id="21"/>
      <w:r>
        <w:rPr>
          <w:rFonts w:hint="eastAsia" w:ascii="仿宋" w:hAnsi="仿宋" w:eastAsia="仿宋" w:cs="仿宋"/>
          <w:color w:val="auto"/>
          <w:kern w:val="2"/>
          <w:sz w:val="28"/>
          <w:szCs w:val="28"/>
          <w:highlight w:val="none"/>
          <w:lang w:val="en-US" w:eastAsia="zh-CN" w:bidi="ar"/>
        </w:rPr>
        <w:t>政府采购监督管理部门信息</w:t>
      </w:r>
    </w:p>
    <w:p w14:paraId="6EBFB184">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名  称：</w:t>
      </w:r>
      <w:r>
        <w:rPr>
          <w:rFonts w:hint="eastAsia" w:ascii="仿宋" w:hAnsi="仿宋" w:eastAsia="仿宋" w:cs="仿宋"/>
          <w:color w:val="auto"/>
          <w:kern w:val="2"/>
          <w:sz w:val="28"/>
          <w:szCs w:val="28"/>
          <w:highlight w:val="none"/>
          <w:u w:val="single"/>
          <w:lang w:val="en-US" w:eastAsia="zh-CN" w:bidi="ar"/>
        </w:rPr>
        <w:t>安徽省财政厅</w:t>
      </w:r>
    </w:p>
    <w:p w14:paraId="6E716B14">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地  址：</w:t>
      </w:r>
      <w:r>
        <w:rPr>
          <w:rFonts w:hint="eastAsia" w:ascii="仿宋" w:hAnsi="仿宋" w:eastAsia="仿宋" w:cs="仿宋"/>
          <w:color w:val="auto"/>
          <w:kern w:val="2"/>
          <w:sz w:val="28"/>
          <w:szCs w:val="28"/>
          <w:highlight w:val="none"/>
          <w:u w:val="single"/>
          <w:lang w:val="en-US" w:eastAsia="zh-CN" w:bidi="ar"/>
        </w:rPr>
        <w:t>合肥市阜南西路238号</w:t>
      </w:r>
    </w:p>
    <w:p w14:paraId="6A599BF6">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联系方式：</w:t>
      </w:r>
      <w:r>
        <w:rPr>
          <w:rFonts w:hint="eastAsia" w:ascii="仿宋" w:hAnsi="仿宋" w:eastAsia="仿宋" w:cs="仿宋"/>
          <w:color w:val="auto"/>
          <w:kern w:val="2"/>
          <w:sz w:val="28"/>
          <w:szCs w:val="28"/>
          <w:highlight w:val="none"/>
          <w:u w:val="single"/>
          <w:lang w:val="en-US" w:eastAsia="zh-CN" w:bidi="ar"/>
        </w:rPr>
        <w:t>0551-68150413</w:t>
      </w:r>
    </w:p>
    <w:p w14:paraId="3217537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br w:type="page"/>
      </w:r>
    </w:p>
    <w:p w14:paraId="3758282A">
      <w:pPr>
        <w:spacing w:line="360" w:lineRule="auto"/>
        <w:jc w:val="center"/>
        <w:outlineLvl w:val="0"/>
        <w:rPr>
          <w:rFonts w:hint="eastAsia" w:asciiTheme="minorEastAsia" w:hAnsiTheme="minorEastAsia" w:eastAsiaTheme="minorEastAsia"/>
          <w:b/>
          <w:color w:val="auto"/>
          <w:sz w:val="28"/>
          <w:highlight w:val="none"/>
        </w:rPr>
      </w:pPr>
      <w:bookmarkStart w:id="22" w:name="_Toc28080"/>
      <w:r>
        <w:rPr>
          <w:rFonts w:hint="eastAsia" w:asciiTheme="minorEastAsia" w:hAnsiTheme="minorEastAsia" w:eastAsiaTheme="minorEastAsia"/>
          <w:b/>
          <w:color w:val="auto"/>
          <w:sz w:val="28"/>
          <w:highlight w:val="none"/>
        </w:rPr>
        <w:t>第二章  供应商须知</w:t>
      </w:r>
      <w:bookmarkEnd w:id="22"/>
    </w:p>
    <w:p w14:paraId="50558D52">
      <w:pPr>
        <w:keepNext w:val="0"/>
        <w:keepLines w:val="0"/>
        <w:pageBreakBefore w:val="0"/>
        <w:kinsoku/>
        <w:overflowPunct/>
        <w:autoSpaceDE/>
        <w:autoSpaceDN/>
        <w:bidi w:val="0"/>
        <w:spacing w:line="520" w:lineRule="exact"/>
        <w:jc w:val="center"/>
        <w:textAlignment w:val="auto"/>
        <w:outlineLvl w:val="1"/>
        <w:rPr>
          <w:rFonts w:asciiTheme="minorEastAsia" w:hAnsiTheme="minorEastAsia" w:eastAsiaTheme="minorEastAsia"/>
          <w:b/>
          <w:color w:val="auto"/>
          <w:sz w:val="24"/>
          <w:highlight w:val="none"/>
        </w:rPr>
      </w:pPr>
      <w:bookmarkStart w:id="23" w:name="_Toc18621"/>
      <w:bookmarkStart w:id="24" w:name="_Toc12027"/>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3"/>
      <w:bookmarkEnd w:id="24"/>
    </w:p>
    <w:p w14:paraId="110D67C9">
      <w:pPr>
        <w:keepNext w:val="0"/>
        <w:keepLines w:val="0"/>
        <w:pageBreakBefore w:val="0"/>
        <w:kinsoku/>
        <w:overflowPunct/>
        <w:autoSpaceDE/>
        <w:autoSpaceDN/>
        <w:bidi w:val="0"/>
        <w:spacing w:line="520" w:lineRule="exact"/>
        <w:ind w:firstLine="435"/>
        <w:textAlignment w:val="auto"/>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253"/>
        <w:gridCol w:w="6767"/>
      </w:tblGrid>
      <w:tr w14:paraId="12F1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540ECC1B">
            <w:pPr>
              <w:pStyle w:val="69"/>
              <w:keepNext w:val="0"/>
              <w:keepLines w:val="0"/>
              <w:pageBreakBefore w:val="0"/>
              <w:widowControl w:val="0"/>
              <w:kinsoku/>
              <w:overflowPunct/>
              <w:autoSpaceDE/>
              <w:autoSpaceDN/>
              <w:bidi w:val="0"/>
              <w:spacing w:before="0" w:beforeAutospacing="0" w:after="0" w:afterAutospacing="0" w:line="52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条款号</w:t>
            </w:r>
          </w:p>
        </w:tc>
        <w:tc>
          <w:tcPr>
            <w:tcW w:w="1110" w:type="pct"/>
            <w:vAlign w:val="center"/>
          </w:tcPr>
          <w:p w14:paraId="0EFC7E71">
            <w:pPr>
              <w:pStyle w:val="69"/>
              <w:keepNext w:val="0"/>
              <w:keepLines w:val="0"/>
              <w:pageBreakBefore w:val="0"/>
              <w:widowControl w:val="0"/>
              <w:kinsoku/>
              <w:overflowPunct/>
              <w:autoSpaceDE/>
              <w:autoSpaceDN/>
              <w:bidi w:val="0"/>
              <w:spacing w:before="0" w:beforeAutospacing="0" w:after="0" w:afterAutospacing="0" w:line="52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条款名称</w:t>
            </w:r>
          </w:p>
        </w:tc>
        <w:tc>
          <w:tcPr>
            <w:tcW w:w="3334" w:type="pct"/>
            <w:vAlign w:val="center"/>
          </w:tcPr>
          <w:p w14:paraId="6D7A729E">
            <w:pPr>
              <w:pStyle w:val="69"/>
              <w:keepNext w:val="0"/>
              <w:keepLines w:val="0"/>
              <w:pageBreakBefore w:val="0"/>
              <w:widowControl w:val="0"/>
              <w:kinsoku/>
              <w:overflowPunct/>
              <w:autoSpaceDE/>
              <w:autoSpaceDN/>
              <w:bidi w:val="0"/>
              <w:spacing w:before="0" w:beforeAutospacing="0" w:after="0" w:afterAutospacing="0" w:line="52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内容、说明与要求</w:t>
            </w:r>
          </w:p>
        </w:tc>
      </w:tr>
      <w:tr w14:paraId="2D8B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54C1A309">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2</w:t>
            </w:r>
          </w:p>
        </w:tc>
        <w:tc>
          <w:tcPr>
            <w:tcW w:w="1110" w:type="pct"/>
            <w:vAlign w:val="center"/>
          </w:tcPr>
          <w:p w14:paraId="1F84D242">
            <w:pPr>
              <w:pStyle w:val="69"/>
              <w:keepNext w:val="0"/>
              <w:keepLines w:val="0"/>
              <w:pageBreakBefore w:val="0"/>
              <w:widowControl w:val="0"/>
              <w:kinsoku/>
              <w:overflowPunct/>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现场考察</w:t>
            </w:r>
            <w:r>
              <w:rPr>
                <w:rFonts w:hint="eastAsia" w:ascii="宋体" w:hAnsi="宋体" w:eastAsia="宋体" w:cs="宋体"/>
                <w:b w:val="0"/>
                <w:color w:val="auto"/>
                <w:sz w:val="24"/>
                <w:szCs w:val="24"/>
                <w:highlight w:val="none"/>
                <w:lang w:val="en-US" w:eastAsia="zh-CN"/>
              </w:rPr>
              <w:t>或标前答疑会</w:t>
            </w:r>
          </w:p>
        </w:tc>
        <w:tc>
          <w:tcPr>
            <w:tcW w:w="3334" w:type="pct"/>
            <w:vAlign w:val="center"/>
          </w:tcPr>
          <w:p w14:paraId="4878E7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val="en-US" w:eastAsia="zh-CN"/>
              </w:rPr>
              <w:t>或不召开</w:t>
            </w:r>
          </w:p>
          <w:p w14:paraId="68E8A79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统一组织</w:t>
            </w:r>
            <w:r>
              <w:rPr>
                <w:rFonts w:hint="eastAsia" w:ascii="宋体" w:hAnsi="宋体" w:eastAsia="宋体" w:cs="宋体"/>
                <w:bCs/>
                <w:color w:val="auto"/>
                <w:sz w:val="24"/>
                <w:szCs w:val="24"/>
                <w:highlight w:val="none"/>
                <w:lang w:val="en-US" w:eastAsia="zh-CN"/>
              </w:rPr>
              <w:t>或统一召开</w:t>
            </w:r>
          </w:p>
          <w:p w14:paraId="60C24F60">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分</w:t>
            </w:r>
          </w:p>
          <w:p w14:paraId="659FB3D1">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p>
          <w:p w14:paraId="49802FA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联系人及联系电话：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p>
          <w:p w14:paraId="5AE37992">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eastAsia="zh-CN"/>
              </w:rPr>
              <w:t>注：</w:t>
            </w:r>
            <w:r>
              <w:rPr>
                <w:rFonts w:hint="eastAsia" w:ascii="宋体" w:hAnsi="宋体" w:eastAsia="宋体" w:cs="宋体"/>
                <w:bCs w:val="0"/>
                <w:color w:val="auto"/>
                <w:sz w:val="24"/>
                <w:szCs w:val="24"/>
                <w:highlight w:val="none"/>
              </w:rPr>
              <w:t>如</w:t>
            </w:r>
            <w:r>
              <w:rPr>
                <w:rFonts w:hint="eastAsia" w:ascii="宋体" w:hAnsi="宋体" w:eastAsia="宋体" w:cs="宋体"/>
                <w:bCs w:val="0"/>
                <w:color w:val="auto"/>
                <w:sz w:val="24"/>
                <w:szCs w:val="24"/>
                <w:highlight w:val="none"/>
                <w:lang w:val="en-US" w:eastAsia="zh-CN"/>
              </w:rPr>
              <w:t>供应商</w:t>
            </w:r>
            <w:r>
              <w:rPr>
                <w:rFonts w:hint="eastAsia" w:ascii="宋体" w:hAnsi="宋体" w:eastAsia="宋体" w:cs="宋体"/>
                <w:bCs w:val="0"/>
                <w:color w:val="auto"/>
                <w:sz w:val="24"/>
                <w:szCs w:val="24"/>
                <w:highlight w:val="none"/>
              </w:rPr>
              <w:t>未参加采购人统一组织的现场考察</w:t>
            </w:r>
            <w:r>
              <w:rPr>
                <w:rFonts w:hint="eastAsia" w:ascii="宋体" w:hAnsi="宋体" w:eastAsia="宋体" w:cs="宋体"/>
                <w:bCs w:val="0"/>
                <w:color w:val="auto"/>
                <w:sz w:val="24"/>
                <w:szCs w:val="24"/>
                <w:highlight w:val="none"/>
                <w:lang w:val="en-US" w:eastAsia="zh-CN"/>
              </w:rPr>
              <w:t>或采购人统一召开的标前答疑会</w:t>
            </w:r>
            <w:r>
              <w:rPr>
                <w:rFonts w:hint="eastAsia" w:ascii="宋体" w:hAnsi="宋体" w:eastAsia="宋体" w:cs="宋体"/>
                <w:bCs w:val="0"/>
                <w:color w:val="auto"/>
                <w:sz w:val="24"/>
                <w:szCs w:val="24"/>
                <w:highlight w:val="none"/>
              </w:rPr>
              <w:t>，视同放弃现场考察</w:t>
            </w:r>
            <w:r>
              <w:rPr>
                <w:rFonts w:hint="eastAsia" w:ascii="宋体" w:hAnsi="宋体" w:eastAsia="宋体" w:cs="宋体"/>
                <w:bCs w:val="0"/>
                <w:color w:val="auto"/>
                <w:sz w:val="24"/>
                <w:szCs w:val="24"/>
                <w:highlight w:val="none"/>
                <w:lang w:val="en-US" w:eastAsia="zh-CN"/>
              </w:rPr>
              <w:t>或标前答疑会</w:t>
            </w:r>
            <w:r>
              <w:rPr>
                <w:rFonts w:hint="eastAsia" w:ascii="宋体" w:hAnsi="宋体" w:eastAsia="宋体" w:cs="宋体"/>
                <w:bCs w:val="0"/>
                <w:color w:val="auto"/>
                <w:sz w:val="24"/>
                <w:szCs w:val="24"/>
                <w:highlight w:val="none"/>
              </w:rPr>
              <w:t>，由此引起的一切责任由</w:t>
            </w:r>
            <w:r>
              <w:rPr>
                <w:rFonts w:hint="eastAsia" w:ascii="宋体" w:hAnsi="宋体" w:eastAsia="宋体" w:cs="宋体"/>
                <w:bCs w:val="0"/>
                <w:color w:val="auto"/>
                <w:sz w:val="24"/>
                <w:szCs w:val="24"/>
                <w:highlight w:val="none"/>
                <w:lang w:val="en-US" w:eastAsia="zh-CN"/>
              </w:rPr>
              <w:t>供应商</w:t>
            </w:r>
            <w:r>
              <w:rPr>
                <w:rFonts w:hint="eastAsia" w:ascii="宋体" w:hAnsi="宋体" w:eastAsia="宋体" w:cs="宋体"/>
                <w:bCs w:val="0"/>
                <w:color w:val="auto"/>
                <w:sz w:val="24"/>
                <w:szCs w:val="24"/>
                <w:highlight w:val="none"/>
              </w:rPr>
              <w:t>自行承担。</w:t>
            </w:r>
          </w:p>
        </w:tc>
      </w:tr>
      <w:tr w14:paraId="4240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pct"/>
            <w:vAlign w:val="center"/>
          </w:tcPr>
          <w:p w14:paraId="34B3B673">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rPr>
              <w:t>.1</w:t>
            </w:r>
          </w:p>
        </w:tc>
        <w:tc>
          <w:tcPr>
            <w:tcW w:w="1110" w:type="pct"/>
            <w:vAlign w:val="center"/>
          </w:tcPr>
          <w:p w14:paraId="50C375F9">
            <w:pPr>
              <w:pStyle w:val="69"/>
              <w:keepNext w:val="0"/>
              <w:keepLines w:val="0"/>
              <w:pageBreakBefore w:val="0"/>
              <w:widowControl w:val="0"/>
              <w:kinsoku/>
              <w:overflowPunct/>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网上询问截止时间</w:t>
            </w:r>
          </w:p>
        </w:tc>
        <w:tc>
          <w:tcPr>
            <w:tcW w:w="3334" w:type="pct"/>
            <w:vAlign w:val="center"/>
          </w:tcPr>
          <w:p w14:paraId="26E0831A">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default" w:ascii="宋体" w:hAnsi="宋体" w:eastAsia="宋体" w:cs="宋体"/>
                <w:b w:val="0"/>
                <w:color w:val="auto"/>
                <w:sz w:val="24"/>
                <w:szCs w:val="24"/>
                <w:highlight w:val="none"/>
                <w:lang w:val="en-US" w:eastAsia="zh-CN"/>
              </w:rPr>
            </w:pPr>
            <w:r>
              <w:rPr>
                <w:rFonts w:hint="eastAsia"/>
                <w:b w:val="0"/>
                <w:color w:val="auto"/>
                <w:sz w:val="24"/>
                <w:highlight w:val="none"/>
              </w:rPr>
              <w:t>202</w:t>
            </w:r>
            <w:r>
              <w:rPr>
                <w:rFonts w:hint="eastAsia"/>
                <w:b w:val="0"/>
                <w:color w:val="auto"/>
                <w:sz w:val="24"/>
                <w:highlight w:val="none"/>
                <w:lang w:val="en-US" w:eastAsia="zh-CN"/>
              </w:rPr>
              <w:t>5</w:t>
            </w:r>
            <w:r>
              <w:rPr>
                <w:rFonts w:hint="eastAsia"/>
                <w:b w:val="0"/>
                <w:color w:val="auto"/>
                <w:sz w:val="24"/>
                <w:highlight w:val="none"/>
              </w:rPr>
              <w:t>年</w:t>
            </w:r>
            <w:r>
              <w:rPr>
                <w:rFonts w:hint="eastAsia"/>
                <w:b w:val="0"/>
                <w:color w:val="auto"/>
                <w:sz w:val="24"/>
                <w:highlight w:val="none"/>
                <w:lang w:val="en-US" w:eastAsia="zh-CN"/>
              </w:rPr>
              <w:t>4</w:t>
            </w:r>
            <w:r>
              <w:rPr>
                <w:rFonts w:hint="eastAsia"/>
                <w:b w:val="0"/>
                <w:color w:val="auto"/>
                <w:sz w:val="24"/>
                <w:highlight w:val="none"/>
              </w:rPr>
              <w:t>月</w:t>
            </w:r>
            <w:r>
              <w:rPr>
                <w:rFonts w:hint="eastAsia"/>
                <w:b w:val="0"/>
                <w:color w:val="auto"/>
                <w:sz w:val="24"/>
                <w:highlight w:val="none"/>
                <w:lang w:val="en-US" w:eastAsia="zh-CN"/>
              </w:rPr>
              <w:t>14</w:t>
            </w:r>
            <w:r>
              <w:rPr>
                <w:rFonts w:hint="eastAsia"/>
                <w:b w:val="0"/>
                <w:color w:val="auto"/>
                <w:sz w:val="24"/>
                <w:highlight w:val="none"/>
              </w:rPr>
              <w:t>日</w:t>
            </w:r>
            <w:r>
              <w:rPr>
                <w:rFonts w:hint="eastAsia"/>
                <w:b w:val="0"/>
                <w:color w:val="auto"/>
                <w:sz w:val="24"/>
                <w:highlight w:val="none"/>
                <w:lang w:val="en-US" w:eastAsia="zh-CN"/>
              </w:rPr>
              <w:t>17</w:t>
            </w:r>
            <w:r>
              <w:rPr>
                <w:rFonts w:hint="eastAsia"/>
                <w:b w:val="0"/>
                <w:color w:val="auto"/>
                <w:sz w:val="24"/>
                <w:highlight w:val="none"/>
              </w:rPr>
              <w:t>点</w:t>
            </w:r>
            <w:r>
              <w:rPr>
                <w:rFonts w:hint="eastAsia"/>
                <w:b w:val="0"/>
                <w:color w:val="auto"/>
                <w:sz w:val="24"/>
                <w:highlight w:val="none"/>
                <w:lang w:val="en-US" w:eastAsia="zh-CN"/>
              </w:rPr>
              <w:t>30</w:t>
            </w:r>
            <w:r>
              <w:rPr>
                <w:rFonts w:hint="eastAsia"/>
                <w:b w:val="0"/>
                <w:color w:val="auto"/>
                <w:sz w:val="24"/>
                <w:highlight w:val="none"/>
              </w:rPr>
              <w:t>分</w:t>
            </w:r>
          </w:p>
        </w:tc>
      </w:tr>
      <w:tr w14:paraId="5C80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55" w:type="pct"/>
            <w:vAlign w:val="center"/>
          </w:tcPr>
          <w:p w14:paraId="54E5149A">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.1</w:t>
            </w:r>
          </w:p>
        </w:tc>
        <w:tc>
          <w:tcPr>
            <w:tcW w:w="1110" w:type="pct"/>
            <w:vAlign w:val="center"/>
          </w:tcPr>
          <w:p w14:paraId="06FA0E65">
            <w:pPr>
              <w:pStyle w:val="69"/>
              <w:keepNext w:val="0"/>
              <w:keepLines w:val="0"/>
              <w:pageBreakBefore w:val="0"/>
              <w:widowControl w:val="0"/>
              <w:kinsoku/>
              <w:overflowPunct/>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334" w:type="pct"/>
            <w:vAlign w:val="center"/>
          </w:tcPr>
          <w:p w14:paraId="193BFBA2">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szCs w:val="24"/>
                <w:highlight w:val="none"/>
              </w:rPr>
              <w:t>不分包     □分为  个包</w:t>
            </w:r>
          </w:p>
          <w:p w14:paraId="6A9FEDAD">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供应商参加多个包磋商的成交包数规定：</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w:t>
            </w:r>
          </w:p>
        </w:tc>
      </w:tr>
      <w:tr w14:paraId="043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55" w:type="pct"/>
            <w:vAlign w:val="center"/>
          </w:tcPr>
          <w:p w14:paraId="53EB16E7">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.1</w:t>
            </w:r>
          </w:p>
        </w:tc>
        <w:tc>
          <w:tcPr>
            <w:tcW w:w="1110" w:type="pct"/>
            <w:vAlign w:val="center"/>
          </w:tcPr>
          <w:p w14:paraId="4798014A">
            <w:pPr>
              <w:pStyle w:val="69"/>
              <w:keepNext w:val="0"/>
              <w:keepLines w:val="0"/>
              <w:pageBreakBefore w:val="0"/>
              <w:widowControl w:val="0"/>
              <w:kinsoku/>
              <w:overflowPunct/>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磋商保证金</w:t>
            </w:r>
          </w:p>
        </w:tc>
        <w:tc>
          <w:tcPr>
            <w:tcW w:w="3334" w:type="pct"/>
            <w:vAlign w:val="center"/>
          </w:tcPr>
          <w:p w14:paraId="48D9418D">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不收取</w:t>
            </w:r>
          </w:p>
        </w:tc>
      </w:tr>
      <w:tr w14:paraId="0D22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291A0513">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10" w:type="pct"/>
            <w:vAlign w:val="center"/>
          </w:tcPr>
          <w:p w14:paraId="728944AA">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磋商有效期</w:t>
            </w:r>
          </w:p>
        </w:tc>
        <w:tc>
          <w:tcPr>
            <w:tcW w:w="3334" w:type="pct"/>
            <w:vAlign w:val="center"/>
          </w:tcPr>
          <w:p w14:paraId="2E3F6345">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90</w:t>
            </w:r>
            <w:r>
              <w:rPr>
                <w:rFonts w:hint="eastAsia" w:ascii="宋体" w:hAnsi="宋体" w:eastAsia="宋体" w:cs="宋体"/>
                <w:b w:val="0"/>
                <w:color w:val="auto"/>
                <w:sz w:val="24"/>
                <w:szCs w:val="24"/>
                <w:highlight w:val="none"/>
              </w:rPr>
              <w:t>日历日</w:t>
            </w:r>
          </w:p>
        </w:tc>
      </w:tr>
      <w:tr w14:paraId="0A27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683EB6CF">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.3</w:t>
            </w:r>
          </w:p>
        </w:tc>
        <w:tc>
          <w:tcPr>
            <w:tcW w:w="1110" w:type="pct"/>
            <w:vAlign w:val="center"/>
          </w:tcPr>
          <w:p w14:paraId="127F98ED">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响应文件解密时间</w:t>
            </w:r>
          </w:p>
        </w:tc>
        <w:tc>
          <w:tcPr>
            <w:tcW w:w="3334" w:type="pct"/>
            <w:vAlign w:val="center"/>
          </w:tcPr>
          <w:p w14:paraId="4AE0F42F">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u w:val="none"/>
              </w:rPr>
              <w:t>响应文件提交截止时间后</w:t>
            </w:r>
            <w:r>
              <w:rPr>
                <w:rFonts w:hint="eastAsia" w:ascii="宋体" w:hAnsi="宋体" w:eastAsia="宋体" w:cs="宋体"/>
                <w:b w:val="0"/>
                <w:color w:val="auto"/>
                <w:sz w:val="24"/>
                <w:szCs w:val="24"/>
                <w:highlight w:val="none"/>
                <w:u w:val="single"/>
                <w:lang w:val="en-US" w:eastAsia="zh-CN"/>
              </w:rPr>
              <w:t xml:space="preserve"> 60 </w:t>
            </w:r>
            <w:r>
              <w:rPr>
                <w:rFonts w:hint="eastAsia" w:ascii="宋体" w:hAnsi="宋体" w:eastAsia="宋体" w:cs="宋体"/>
                <w:b w:val="0"/>
                <w:color w:val="auto"/>
                <w:sz w:val="24"/>
                <w:szCs w:val="24"/>
                <w:highlight w:val="none"/>
                <w:u w:val="none"/>
              </w:rPr>
              <w:t>分钟内</w:t>
            </w:r>
          </w:p>
        </w:tc>
      </w:tr>
      <w:tr w14:paraId="601E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9D6E859">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.3</w:t>
            </w:r>
          </w:p>
        </w:tc>
        <w:tc>
          <w:tcPr>
            <w:tcW w:w="1110" w:type="pct"/>
            <w:vAlign w:val="center"/>
          </w:tcPr>
          <w:p w14:paraId="6C054C7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评审方法</w:t>
            </w:r>
          </w:p>
        </w:tc>
        <w:tc>
          <w:tcPr>
            <w:tcW w:w="3334" w:type="pct"/>
            <w:vAlign w:val="center"/>
          </w:tcPr>
          <w:p w14:paraId="2D54683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none"/>
              </w:rPr>
              <w:t>综合评分法</w:t>
            </w:r>
          </w:p>
        </w:tc>
      </w:tr>
      <w:tr w14:paraId="668A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20D91A0F">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.4</w:t>
            </w:r>
          </w:p>
        </w:tc>
        <w:tc>
          <w:tcPr>
            <w:tcW w:w="1110" w:type="pct"/>
            <w:vAlign w:val="center"/>
          </w:tcPr>
          <w:p w14:paraId="21BB81C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最后报价扣除</w:t>
            </w:r>
          </w:p>
        </w:tc>
        <w:tc>
          <w:tcPr>
            <w:tcW w:w="3334" w:type="pct"/>
            <w:vAlign w:val="center"/>
          </w:tcPr>
          <w:p w14:paraId="118DE736">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2CF8ADE2">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4F5A6C45">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0901AB5D">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（4）符合条件的联合体价格扣除：</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2C36D4A">
            <w:pPr>
              <w:pStyle w:val="69"/>
              <w:keepNext w:val="0"/>
              <w:keepLines w:val="0"/>
              <w:pageBreakBefore w:val="0"/>
              <w:widowControl w:val="0"/>
              <w:kinsoku/>
              <w:overflowPunct/>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val="0"/>
                <w:color w:val="auto"/>
                <w:sz w:val="24"/>
                <w:szCs w:val="24"/>
                <w:highlight w:val="none"/>
              </w:rPr>
              <w:t>。</w:t>
            </w:r>
          </w:p>
        </w:tc>
      </w:tr>
      <w:tr w14:paraId="7CA8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Merge w:val="restart"/>
            <w:vAlign w:val="center"/>
          </w:tcPr>
          <w:p w14:paraId="6BF558E1">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19</w:t>
            </w:r>
            <w:r>
              <w:rPr>
                <w:rFonts w:hint="eastAsia" w:ascii="宋体" w:hAnsi="宋体" w:eastAsia="宋体" w:cs="宋体"/>
                <w:bCs/>
                <w:color w:val="auto"/>
                <w:kern w:val="2"/>
                <w:sz w:val="24"/>
                <w:szCs w:val="24"/>
                <w:highlight w:val="none"/>
              </w:rPr>
              <w:t>.1</w:t>
            </w:r>
          </w:p>
        </w:tc>
        <w:tc>
          <w:tcPr>
            <w:tcW w:w="1110" w:type="pct"/>
            <w:vMerge w:val="restart"/>
            <w:vAlign w:val="center"/>
          </w:tcPr>
          <w:p w14:paraId="13D2D815">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确定成交候选供应商和成交供应商</w:t>
            </w:r>
          </w:p>
        </w:tc>
        <w:tc>
          <w:tcPr>
            <w:tcW w:w="3334" w:type="pct"/>
            <w:vAlign w:val="center"/>
          </w:tcPr>
          <w:p w14:paraId="0541D53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磋商小组推荐成交候选供应商的数量：3家</w:t>
            </w:r>
          </w:p>
          <w:p w14:paraId="18788C2D">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lang w:val="en-US" w:eastAsia="zh-CN"/>
              </w:rPr>
              <w:t>注：法律、法规另有规定的，从其规定</w:t>
            </w:r>
          </w:p>
        </w:tc>
      </w:tr>
      <w:tr w14:paraId="4611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Merge w:val="continue"/>
            <w:vAlign w:val="center"/>
          </w:tcPr>
          <w:p w14:paraId="0E6989E6">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p>
        </w:tc>
        <w:tc>
          <w:tcPr>
            <w:tcW w:w="1110" w:type="pct"/>
            <w:vMerge w:val="continue"/>
            <w:vAlign w:val="center"/>
          </w:tcPr>
          <w:p w14:paraId="0449184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p>
        </w:tc>
        <w:tc>
          <w:tcPr>
            <w:tcW w:w="3334" w:type="pct"/>
            <w:vAlign w:val="center"/>
          </w:tcPr>
          <w:p w14:paraId="3A3D3BDF">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确定成交供应商：</w:t>
            </w:r>
          </w:p>
          <w:p w14:paraId="161FAE6C">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sym w:font="Wingdings" w:char="00FE"/>
            </w:r>
            <w:r>
              <w:rPr>
                <w:rFonts w:hint="eastAsia" w:ascii="宋体" w:hAnsi="宋体" w:eastAsia="宋体" w:cs="宋体"/>
                <w:b w:val="0"/>
                <w:color w:val="auto"/>
                <w:sz w:val="24"/>
                <w:szCs w:val="24"/>
                <w:highlight w:val="none"/>
              </w:rPr>
              <w:t xml:space="preserve">采购人委托磋商小组确定     </w:t>
            </w:r>
            <w:r>
              <w:rPr>
                <w:rFonts w:hint="eastAsia" w:cs="宋体"/>
                <w:b w:val="0"/>
                <w:color w:val="auto"/>
                <w:sz w:val="24"/>
                <w:szCs w:val="24"/>
                <w:highlight w:val="none"/>
                <w:lang w:eastAsia="zh-CN"/>
              </w:rPr>
              <w:t>□</w:t>
            </w:r>
            <w:r>
              <w:rPr>
                <w:rFonts w:hint="eastAsia" w:ascii="宋体" w:hAnsi="宋体" w:eastAsia="宋体" w:cs="宋体"/>
                <w:b w:val="0"/>
                <w:color w:val="auto"/>
                <w:sz w:val="24"/>
                <w:szCs w:val="24"/>
                <w:highlight w:val="none"/>
              </w:rPr>
              <w:t>采购人确定</w:t>
            </w:r>
          </w:p>
        </w:tc>
      </w:tr>
      <w:tr w14:paraId="7311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EC37C86">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.2</w:t>
            </w:r>
          </w:p>
        </w:tc>
        <w:tc>
          <w:tcPr>
            <w:tcW w:w="1110" w:type="pct"/>
            <w:vAlign w:val="center"/>
          </w:tcPr>
          <w:p w14:paraId="426521AC">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随成交结果公告同时公告的内容</w:t>
            </w:r>
          </w:p>
        </w:tc>
        <w:tc>
          <w:tcPr>
            <w:tcW w:w="3334" w:type="pct"/>
            <w:vAlign w:val="center"/>
          </w:tcPr>
          <w:p w14:paraId="7DA80C8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1</w:t>
            </w:r>
            <w:r>
              <w:rPr>
                <w:rFonts w:hint="eastAsia" w:ascii="宋体" w:hAnsi="宋体" w:eastAsia="宋体" w:cs="宋体"/>
                <w:b w:val="0"/>
                <w:color w:val="auto"/>
                <w:sz w:val="24"/>
                <w:szCs w:val="24"/>
                <w:highlight w:val="none"/>
                <w:u w:val="none"/>
              </w:rPr>
              <w:t>）中小企业声明函；</w:t>
            </w:r>
            <w:r>
              <w:rPr>
                <w:rFonts w:hint="eastAsia" w:ascii="宋体" w:hAnsi="宋体" w:eastAsia="宋体" w:cs="宋体"/>
                <w:b w:val="0"/>
                <w:i/>
                <w:iCs/>
                <w:color w:val="auto"/>
                <w:sz w:val="24"/>
                <w:szCs w:val="24"/>
                <w:highlight w:val="none"/>
                <w:u w:val="none"/>
              </w:rPr>
              <w:t>（如有）</w:t>
            </w:r>
          </w:p>
          <w:p w14:paraId="2BD6D07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i/>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残疾人福利性单位声明函；</w:t>
            </w:r>
            <w:r>
              <w:rPr>
                <w:rFonts w:hint="eastAsia" w:ascii="宋体" w:hAnsi="宋体" w:eastAsia="宋体" w:cs="宋体"/>
                <w:b w:val="0"/>
                <w:i/>
                <w:iCs/>
                <w:color w:val="auto"/>
                <w:sz w:val="24"/>
                <w:szCs w:val="24"/>
                <w:highlight w:val="none"/>
                <w:u w:val="none"/>
              </w:rPr>
              <w:t>（如有）</w:t>
            </w:r>
          </w:p>
          <w:p w14:paraId="03324272">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u w:val="none"/>
                <w:lang w:eastAsia="zh-CN"/>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3</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中标</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成交</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供应商的评审总得分</w:t>
            </w:r>
          </w:p>
          <w:p w14:paraId="229C243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4</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 xml:space="preserve">成交供应商的评审业绩  </w:t>
            </w:r>
          </w:p>
        </w:tc>
      </w:tr>
      <w:tr w14:paraId="1E8C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2AB7D094">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.1</w:t>
            </w:r>
          </w:p>
        </w:tc>
        <w:tc>
          <w:tcPr>
            <w:tcW w:w="1110" w:type="pct"/>
            <w:vAlign w:val="center"/>
          </w:tcPr>
          <w:p w14:paraId="66F224C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成交通知书发出的形式</w:t>
            </w:r>
          </w:p>
        </w:tc>
        <w:tc>
          <w:tcPr>
            <w:tcW w:w="3334" w:type="pct"/>
            <w:vAlign w:val="center"/>
          </w:tcPr>
          <w:p w14:paraId="19730238">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color w:val="auto"/>
                <w:sz w:val="24"/>
                <w:szCs w:val="24"/>
                <w:highlight w:val="none"/>
              </w:rPr>
              <w:t>数据电文</w:t>
            </w:r>
          </w:p>
        </w:tc>
      </w:tr>
      <w:tr w14:paraId="48D7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1EB6D043">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24.1</w:t>
            </w:r>
          </w:p>
        </w:tc>
        <w:tc>
          <w:tcPr>
            <w:tcW w:w="1110" w:type="pct"/>
            <w:vAlign w:val="center"/>
          </w:tcPr>
          <w:p w14:paraId="56697AF6">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告知磋商结果的形式</w:t>
            </w:r>
          </w:p>
        </w:tc>
        <w:tc>
          <w:tcPr>
            <w:tcW w:w="3334" w:type="pct"/>
            <w:vAlign w:val="center"/>
          </w:tcPr>
          <w:p w14:paraId="113A9DB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sym w:font="Wingdings" w:char="00FE"/>
            </w:r>
            <w:r>
              <w:rPr>
                <w:rFonts w:hint="eastAsia" w:ascii="宋体" w:hAnsi="宋体" w:eastAsia="宋体" w:cs="宋体"/>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val="0"/>
                <w:color w:val="auto"/>
                <w:sz w:val="24"/>
                <w:szCs w:val="24"/>
                <w:highlight w:val="none"/>
              </w:rPr>
              <w:t>系统查看</w:t>
            </w:r>
          </w:p>
          <w:p w14:paraId="700E3A98">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□磋商现场告知</w:t>
            </w:r>
          </w:p>
        </w:tc>
      </w:tr>
      <w:tr w14:paraId="4EB2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63D15BF1">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25</w:t>
            </w:r>
            <w:r>
              <w:rPr>
                <w:rFonts w:hint="eastAsia" w:ascii="宋体" w:hAnsi="宋体" w:eastAsia="宋体" w:cs="宋体"/>
                <w:bCs/>
                <w:color w:val="auto"/>
                <w:kern w:val="2"/>
                <w:sz w:val="24"/>
                <w:szCs w:val="24"/>
                <w:highlight w:val="none"/>
              </w:rPr>
              <w:t>.1</w:t>
            </w:r>
          </w:p>
        </w:tc>
        <w:tc>
          <w:tcPr>
            <w:tcW w:w="1110" w:type="pct"/>
            <w:vAlign w:val="center"/>
          </w:tcPr>
          <w:p w14:paraId="5AD53629">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334" w:type="pct"/>
          </w:tcPr>
          <w:p w14:paraId="6F4B15A5">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（1）金额：</w:t>
            </w:r>
          </w:p>
          <w:p w14:paraId="6EEB68FF">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□免收</w:t>
            </w:r>
          </w:p>
          <w:p w14:paraId="0C0B590C">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合同价的</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rPr>
              <w:t>%</w:t>
            </w:r>
          </w:p>
          <w:p w14:paraId="0AD41B2E">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□定额收取：人民币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p>
          <w:p w14:paraId="73D5E54D">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（2）支付方式：</w:t>
            </w:r>
          </w:p>
          <w:p w14:paraId="665C8DDE">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转账/电汇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支票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汇票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本票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保险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保函</w:t>
            </w:r>
          </w:p>
          <w:p w14:paraId="35749F2D">
            <w:pPr>
              <w:keepNext w:val="0"/>
              <w:keepLines w:val="0"/>
              <w:pageBreakBefore w:val="0"/>
              <w:numPr>
                <w:ilvl w:val="0"/>
                <w:numId w:val="0"/>
              </w:numPr>
              <w:kinsoku/>
              <w:overflowPunct/>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收取单位：</w:t>
            </w:r>
            <w:r>
              <w:rPr>
                <w:rFonts w:hint="eastAsia" w:ascii="宋体" w:hAnsi="宋体" w:eastAsia="宋体" w:cs="宋体"/>
                <w:bCs/>
                <w:color w:val="auto"/>
                <w:kern w:val="0"/>
                <w:sz w:val="24"/>
                <w:szCs w:val="24"/>
                <w:highlight w:val="none"/>
                <w:u w:val="single"/>
                <w:lang w:val="en-US" w:eastAsia="zh-CN"/>
              </w:rPr>
              <w:t>滁州学院</w:t>
            </w:r>
            <w:r>
              <w:rPr>
                <w:rFonts w:hint="eastAsia" w:ascii="宋体" w:hAnsi="宋体" w:eastAsia="宋体" w:cs="宋体"/>
                <w:bCs/>
                <w:color w:val="auto"/>
                <w:kern w:val="0"/>
                <w:sz w:val="24"/>
                <w:szCs w:val="24"/>
                <w:highlight w:val="none"/>
              </w:rPr>
              <w:t xml:space="preserve">              </w:t>
            </w:r>
          </w:p>
          <w:p w14:paraId="2D780170">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（4）收取账号：</w:t>
            </w:r>
            <w:r>
              <w:rPr>
                <w:rFonts w:hint="eastAsia" w:ascii="宋体" w:hAnsi="宋体" w:eastAsia="宋体" w:cs="宋体"/>
                <w:bCs/>
                <w:color w:val="auto"/>
                <w:kern w:val="0"/>
                <w:sz w:val="24"/>
                <w:szCs w:val="24"/>
                <w:highlight w:val="none"/>
                <w:u w:val="single"/>
                <w:lang w:val="en-US" w:eastAsia="zh-CN"/>
              </w:rPr>
              <w:t>另行通知</w:t>
            </w:r>
          </w:p>
          <w:p w14:paraId="69E36C6B">
            <w:pPr>
              <w:keepNext w:val="0"/>
              <w:keepLines w:val="0"/>
              <w:pageBreakBefore w:val="0"/>
              <w:kinsoku/>
              <w:overflowPunct/>
              <w:autoSpaceDE/>
              <w:autoSpaceDN/>
              <w:bidi w:val="0"/>
              <w:spacing w:line="5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退还时间：</w:t>
            </w:r>
            <w:r>
              <w:rPr>
                <w:rFonts w:hint="eastAsia" w:ascii="宋体" w:hAnsi="宋体" w:eastAsia="宋体" w:cs="宋体"/>
                <w:bCs/>
                <w:color w:val="auto"/>
                <w:kern w:val="0"/>
                <w:sz w:val="24"/>
                <w:szCs w:val="24"/>
                <w:highlight w:val="none"/>
                <w:u w:val="single"/>
                <w:lang w:val="en-US" w:eastAsia="zh-CN"/>
              </w:rPr>
              <w:t>验收合格后，一次性退还。</w:t>
            </w:r>
          </w:p>
          <w:p w14:paraId="410FFAAA">
            <w:pPr>
              <w:keepNext w:val="0"/>
              <w:keepLines w:val="0"/>
              <w:pageBreakBefore w:val="0"/>
              <w:kinsoku/>
              <w:overflowPunct/>
              <w:autoSpaceDE/>
              <w:autoSpaceDN/>
              <w:bidi w:val="0"/>
              <w:spacing w:line="5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5D329802">
            <w:pPr>
              <w:keepNext w:val="0"/>
              <w:keepLines w:val="0"/>
              <w:pageBreakBefore w:val="0"/>
              <w:kinsoku/>
              <w:overflowPunct/>
              <w:autoSpaceDE/>
              <w:autoSpaceDN/>
              <w:bidi w:val="0"/>
              <w:spacing w:line="5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（1）以上各类机构出具的以担保函、保证保险承担责任的方式均须满足无条件见索即付条件。</w:t>
            </w:r>
          </w:p>
          <w:p w14:paraId="0250C8D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（2）以担保函、保证保险形式缴纳履约保证金的，受益人和收取单位须为采购人。</w:t>
            </w:r>
          </w:p>
        </w:tc>
      </w:tr>
      <w:tr w14:paraId="3580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58D73C45">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26.1</w:t>
            </w:r>
          </w:p>
        </w:tc>
        <w:tc>
          <w:tcPr>
            <w:tcW w:w="1110" w:type="pct"/>
            <w:vAlign w:val="center"/>
          </w:tcPr>
          <w:p w14:paraId="2C2CAB6C">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代理费用</w:t>
            </w:r>
          </w:p>
        </w:tc>
        <w:tc>
          <w:tcPr>
            <w:tcW w:w="3334" w:type="pct"/>
            <w:vAlign w:val="center"/>
          </w:tcPr>
          <w:p w14:paraId="5BF09AA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color w:val="auto"/>
                <w:spacing w:val="14"/>
                <w:sz w:val="24"/>
                <w:szCs w:val="24"/>
                <w:highlight w:val="none"/>
                <w:lang w:val="en-US" w:eastAsia="zh-CN"/>
              </w:rPr>
              <w:t>成交供应商</w:t>
            </w:r>
          </w:p>
          <w:p w14:paraId="2939D70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Cs/>
                <w:color w:val="auto"/>
                <w:kern w:val="0"/>
                <w:sz w:val="24"/>
                <w:szCs w:val="24"/>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成交供应商</w:t>
            </w:r>
            <w:r>
              <w:rPr>
                <w:rFonts w:hint="eastAsia" w:ascii="宋体" w:hAnsi="宋体" w:eastAsia="宋体" w:cs="宋体"/>
                <w:color w:val="auto"/>
                <w:sz w:val="24"/>
                <w:szCs w:val="24"/>
                <w:highlight w:val="none"/>
                <w:u w:val="single"/>
              </w:rPr>
              <w:t>在获取成交通知书时一次性支付给代理机构</w:t>
            </w:r>
          </w:p>
          <w:p w14:paraId="251687A6">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color w:val="auto"/>
                <w:kern w:val="0"/>
                <w:sz w:val="24"/>
                <w:szCs w:val="24"/>
                <w:highlight w:val="none"/>
                <w:lang w:val="en-US" w:eastAsia="zh-CN" w:bidi="ar-SA"/>
              </w:rPr>
              <w:t>收费标准：</w:t>
            </w:r>
            <w:r>
              <w:rPr>
                <w:rFonts w:hint="eastAsia" w:ascii="宋体" w:hAnsi="宋体" w:eastAsia="宋体" w:cs="宋体"/>
                <w:b w:val="0"/>
                <w:bCs/>
                <w:color w:val="auto"/>
                <w:kern w:val="0"/>
                <w:sz w:val="24"/>
                <w:szCs w:val="24"/>
                <w:highlight w:val="none"/>
                <w:u w:val="single"/>
                <w:lang w:val="en-US" w:eastAsia="zh-CN" w:bidi="ar-SA"/>
              </w:rPr>
              <w:t>按照计价格[2002]1980 号文规定标准的80%收取采购代理服务费。</w:t>
            </w:r>
          </w:p>
        </w:tc>
      </w:tr>
      <w:tr w14:paraId="5839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9DAD583">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rPr>
              <w:t>27.1</w:t>
            </w:r>
          </w:p>
        </w:tc>
        <w:tc>
          <w:tcPr>
            <w:tcW w:w="1110" w:type="pct"/>
            <w:vAlign w:val="center"/>
          </w:tcPr>
          <w:p w14:paraId="21232A95">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签订合同和合同公告时间</w:t>
            </w:r>
          </w:p>
        </w:tc>
        <w:tc>
          <w:tcPr>
            <w:tcW w:w="3334" w:type="pct"/>
            <w:vAlign w:val="center"/>
          </w:tcPr>
          <w:p w14:paraId="15D1C99C">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（1）采购人与成交供应商应当自发出成交通知书之日起7个工作日内签订合同，采购合同签订之日起2个工作日内完成政府采购合同公开。</w:t>
            </w:r>
          </w:p>
          <w:p w14:paraId="5ACCFC49">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不得擅自变更合同，依照政府采购法确需变更政府采购合同内容的，采购人应当自合同变更之日起2个工作日内在安徽省政府采购网、滁州市公共资源交易中心网发布政府采购合同变更公告，但涉及国家秘密、商业秘密的信息和其他依法不得公开的信息除外。</w:t>
            </w:r>
          </w:p>
        </w:tc>
      </w:tr>
      <w:tr w14:paraId="40EA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5D39CA15">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29.3</w:t>
            </w:r>
          </w:p>
        </w:tc>
        <w:tc>
          <w:tcPr>
            <w:tcW w:w="1110" w:type="pct"/>
            <w:vAlign w:val="center"/>
          </w:tcPr>
          <w:p w14:paraId="7F99C022">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334" w:type="pct"/>
            <w:vAlign w:val="center"/>
          </w:tcPr>
          <w:p w14:paraId="6F59D3B8">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递交方式：</w:t>
            </w:r>
            <w:r>
              <w:rPr>
                <w:rFonts w:hint="eastAsia" w:ascii="宋体" w:hAnsi="宋体" w:eastAsia="宋体" w:cs="宋体"/>
                <w:b w:val="0"/>
                <w:color w:val="auto"/>
                <w:sz w:val="24"/>
                <w:szCs w:val="24"/>
                <w:highlight w:val="none"/>
                <w:u w:val="single"/>
                <w:lang w:val="en-US" w:eastAsia="zh-CN"/>
              </w:rPr>
              <w:t>如供应商对磋商文件有质疑，依据中华人民共和国财政部令第94号《政府采购质疑和投诉办法》规定提出质疑；</w:t>
            </w:r>
            <w:r>
              <w:rPr>
                <w:rFonts w:hint="eastAsia" w:ascii="宋体" w:hAnsi="宋体" w:eastAsia="宋体" w:cs="宋体"/>
                <w:b w:val="0"/>
                <w:bCs w:val="0"/>
                <w:color w:val="auto"/>
                <w:sz w:val="24"/>
                <w:szCs w:val="24"/>
                <w:highlight w:val="none"/>
                <w:u w:val="single"/>
                <w:lang w:val="en-US" w:eastAsia="zh-CN"/>
              </w:rPr>
              <w:t xml:space="preserve">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 </w:t>
            </w:r>
          </w:p>
          <w:p w14:paraId="55D21FE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接收部门：</w:t>
            </w:r>
            <w:r>
              <w:rPr>
                <w:rFonts w:hint="eastAsia" w:ascii="宋体" w:hAnsi="宋体" w:eastAsia="宋体" w:cs="宋体"/>
                <w:b w:val="0"/>
                <w:bCs w:val="0"/>
                <w:color w:val="auto"/>
                <w:sz w:val="24"/>
                <w:szCs w:val="24"/>
                <w:highlight w:val="none"/>
                <w:u w:val="single"/>
                <w:lang w:val="en-US" w:eastAsia="zh-CN"/>
              </w:rPr>
              <w:t xml:space="preserve">滁州学院、滁州市城投工程咨询管理有限公司 </w:t>
            </w:r>
            <w:r>
              <w:rPr>
                <w:rFonts w:hint="eastAsia" w:ascii="宋体" w:hAnsi="宋体" w:eastAsia="宋体" w:cs="宋体"/>
                <w:bCs/>
                <w:color w:val="auto"/>
                <w:kern w:val="0"/>
                <w:sz w:val="24"/>
                <w:szCs w:val="24"/>
                <w:highlight w:val="none"/>
                <w:u w:val="single"/>
              </w:rPr>
              <w:t xml:space="preserve">  </w:t>
            </w:r>
          </w:p>
          <w:p w14:paraId="68BE1BF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rPr>
              <w:t>联系电话</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u w:val="single"/>
                <w:lang w:val="en-US" w:eastAsia="zh-CN"/>
              </w:rPr>
              <w:t>0550-3512003、0550-3159590</w:t>
            </w:r>
            <w:r>
              <w:rPr>
                <w:rFonts w:hint="eastAsia" w:ascii="宋体" w:hAnsi="宋体" w:eastAsia="宋体" w:cs="宋体"/>
                <w:b w:val="0"/>
                <w:bCs/>
                <w:color w:val="auto"/>
                <w:kern w:val="0"/>
                <w:sz w:val="24"/>
                <w:szCs w:val="24"/>
                <w:highlight w:val="none"/>
                <w:u w:val="single"/>
              </w:rPr>
              <w:t xml:space="preserve"> </w:t>
            </w:r>
          </w:p>
          <w:p w14:paraId="6CA7910F">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bCs/>
                <w:color w:val="auto"/>
                <w:sz w:val="24"/>
                <w:szCs w:val="24"/>
                <w:highlight w:val="none"/>
              </w:rPr>
              <w:t>通讯地址：</w:t>
            </w:r>
            <w:r>
              <w:rPr>
                <w:rFonts w:hint="eastAsia" w:ascii="宋体" w:hAnsi="宋体" w:eastAsia="宋体" w:cs="宋体"/>
                <w:b w:val="0"/>
                <w:bCs/>
                <w:color w:val="auto"/>
                <w:kern w:val="0"/>
                <w:sz w:val="24"/>
                <w:szCs w:val="24"/>
                <w:highlight w:val="none"/>
                <w:u w:val="single"/>
              </w:rPr>
              <w:t>安徽省滁州市会峰西路1号滁州学院会峰校区</w:t>
            </w:r>
            <w:r>
              <w:rPr>
                <w:rFonts w:hint="eastAsia" w:ascii="宋体" w:hAnsi="宋体" w:eastAsia="宋体" w:cs="宋体"/>
                <w:b w:val="0"/>
                <w:bCs/>
                <w:color w:val="auto"/>
                <w:kern w:val="0"/>
                <w:sz w:val="24"/>
                <w:szCs w:val="24"/>
                <w:highlight w:val="none"/>
                <w:u w:val="single"/>
                <w:lang w:eastAsia="zh-CN"/>
              </w:rPr>
              <w:t>、滁州市龙蟠大道109号房产大厦6楼</w:t>
            </w:r>
          </w:p>
        </w:tc>
      </w:tr>
      <w:tr w14:paraId="2670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477403E8">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p>
        </w:tc>
        <w:tc>
          <w:tcPr>
            <w:tcW w:w="1110" w:type="pct"/>
            <w:vAlign w:val="center"/>
          </w:tcPr>
          <w:p w14:paraId="21A7F1FA">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其他内容</w:t>
            </w:r>
          </w:p>
        </w:tc>
        <w:tc>
          <w:tcPr>
            <w:tcW w:w="3334" w:type="pct"/>
            <w:vAlign w:val="center"/>
          </w:tcPr>
          <w:p w14:paraId="71D4295A">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1、系统中提供的表格与磋商文件中不一致时，以磋商文件中提供的表格格式为准。</w:t>
            </w:r>
          </w:p>
          <w:p w14:paraId="2A1996DD">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2、本磋商文件前后条款若有不一致之处，在澄清答疑时又未作出明确规定时，各供应商的响应文件只要满足其中任一条款，均视为对本磋商文件的响应。</w:t>
            </w:r>
          </w:p>
          <w:p w14:paraId="37AE58AE">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3、本项目竞争性磋商公告与本磋商文件不一致之处，以本磋商文件为准；如供应商须知前附表的规定与供应商须知的规定不一致，以供应商须知前附表为准。</w:t>
            </w:r>
          </w:p>
          <w:p w14:paraId="40833524">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4、本文件的最终解释权归采购人、采购代理机构所有。</w:t>
            </w:r>
          </w:p>
          <w:p w14:paraId="7E877247">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5、投诉</w:t>
            </w:r>
          </w:p>
          <w:p w14:paraId="4C1176D0">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2EA85779">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5802CBCD">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（3）政府采购监督管理部门在处理投诉事项期间，可以视具体情况书面通知采购人暂停采购活动，但暂停时间最长不得超过30日。</w:t>
            </w:r>
          </w:p>
        </w:tc>
      </w:tr>
      <w:tr w14:paraId="0985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55" w:type="pct"/>
            <w:vAlign w:val="center"/>
          </w:tcPr>
          <w:p w14:paraId="2FBA7619">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.1</w:t>
            </w:r>
          </w:p>
        </w:tc>
        <w:tc>
          <w:tcPr>
            <w:tcW w:w="1110" w:type="pct"/>
            <w:vAlign w:val="center"/>
          </w:tcPr>
          <w:p w14:paraId="09128B84">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承包方式</w:t>
            </w:r>
          </w:p>
        </w:tc>
        <w:tc>
          <w:tcPr>
            <w:tcW w:w="3334" w:type="pct"/>
            <w:vAlign w:val="center"/>
          </w:tcPr>
          <w:p w14:paraId="0CC9B21F">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cs="宋体"/>
                <w:b w:val="0"/>
                <w:color w:val="auto"/>
                <w:sz w:val="24"/>
                <w:szCs w:val="24"/>
                <w:highlight w:val="none"/>
                <w:lang w:eastAsia="zh-CN"/>
              </w:rPr>
              <w:t>☑</w:t>
            </w:r>
            <w:r>
              <w:rPr>
                <w:rFonts w:hint="eastAsia" w:ascii="宋体" w:hAnsi="宋体" w:eastAsia="宋体" w:cs="宋体"/>
                <w:b w:val="0"/>
                <w:color w:val="auto"/>
                <w:sz w:val="24"/>
                <w:szCs w:val="24"/>
                <w:highlight w:val="none"/>
              </w:rPr>
              <w:t xml:space="preserve">施工总承包  </w:t>
            </w:r>
            <w:r>
              <w:rPr>
                <w:rFonts w:hint="eastAsia" w:cs="宋体"/>
                <w:b w:val="0"/>
                <w:color w:val="auto"/>
                <w:sz w:val="24"/>
                <w:szCs w:val="24"/>
                <w:highlight w:val="none"/>
                <w:lang w:eastAsia="zh-CN"/>
              </w:rPr>
              <w:t>□</w:t>
            </w:r>
            <w:r>
              <w:rPr>
                <w:rFonts w:hint="eastAsia" w:ascii="宋体" w:hAnsi="宋体" w:eastAsia="宋体" w:cs="宋体"/>
                <w:b w:val="0"/>
                <w:color w:val="auto"/>
                <w:sz w:val="24"/>
                <w:szCs w:val="24"/>
                <w:highlight w:val="none"/>
              </w:rPr>
              <w:t>专业承包</w:t>
            </w:r>
          </w:p>
        </w:tc>
      </w:tr>
      <w:tr w14:paraId="2EEF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A4183C4">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.2</w:t>
            </w:r>
          </w:p>
        </w:tc>
        <w:tc>
          <w:tcPr>
            <w:tcW w:w="1110" w:type="pct"/>
            <w:vAlign w:val="center"/>
          </w:tcPr>
          <w:p w14:paraId="520A8AA5">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计价方式</w:t>
            </w:r>
          </w:p>
        </w:tc>
        <w:tc>
          <w:tcPr>
            <w:tcW w:w="3334" w:type="pct"/>
            <w:vAlign w:val="center"/>
          </w:tcPr>
          <w:p w14:paraId="472E3025">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工程量清单综合单价报价法</w:t>
            </w:r>
          </w:p>
          <w:p w14:paraId="0666EB95">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□全费用综合单价报价法</w:t>
            </w:r>
          </w:p>
        </w:tc>
      </w:tr>
      <w:tr w14:paraId="5654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4CA15AB0">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.3</w:t>
            </w:r>
          </w:p>
        </w:tc>
        <w:tc>
          <w:tcPr>
            <w:tcW w:w="1110" w:type="pct"/>
            <w:vAlign w:val="center"/>
          </w:tcPr>
          <w:p w14:paraId="5467F0C9">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p>
        </w:tc>
        <w:tc>
          <w:tcPr>
            <w:tcW w:w="3334" w:type="pct"/>
            <w:vAlign w:val="center"/>
          </w:tcPr>
          <w:p w14:paraId="313C2F74">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计划工期：</w:t>
            </w:r>
            <w:r>
              <w:rPr>
                <w:rFonts w:hint="eastAsia" w:ascii="宋体" w:hAnsi="宋体" w:eastAsia="宋体" w:cs="宋体"/>
                <w:b w:val="0"/>
                <w:color w:val="auto"/>
                <w:sz w:val="24"/>
                <w:szCs w:val="24"/>
                <w:highlight w:val="none"/>
                <w:lang w:val="en-US" w:eastAsia="zh-CN"/>
              </w:rPr>
              <w:t>不高于120个日历天施工完毕并通过验收完成移交供水。具体开工时间以建设单位通知时间为准。</w:t>
            </w:r>
          </w:p>
          <w:p w14:paraId="52A054F2">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计划开工日期：</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日，具体开工时间以开工令</w:t>
            </w:r>
            <w:r>
              <w:rPr>
                <w:rFonts w:hint="eastAsia" w:ascii="宋体" w:hAnsi="宋体" w:eastAsia="宋体" w:cs="宋体"/>
                <w:b w:val="0"/>
                <w:color w:val="auto"/>
                <w:sz w:val="24"/>
                <w:szCs w:val="24"/>
                <w:highlight w:val="none"/>
                <w:lang w:val="en-US" w:eastAsia="zh-CN"/>
              </w:rPr>
              <w:t>载明的时间</w:t>
            </w:r>
            <w:r>
              <w:rPr>
                <w:rFonts w:hint="eastAsia" w:ascii="宋体" w:hAnsi="宋体" w:eastAsia="宋体" w:cs="宋体"/>
                <w:b w:val="0"/>
                <w:color w:val="auto"/>
                <w:sz w:val="24"/>
                <w:szCs w:val="24"/>
                <w:highlight w:val="none"/>
              </w:rPr>
              <w:t>为准</w:t>
            </w:r>
            <w:r>
              <w:rPr>
                <w:rFonts w:hint="eastAsia" w:cs="宋体"/>
                <w:b w:val="0"/>
                <w:color w:val="auto"/>
                <w:sz w:val="24"/>
                <w:szCs w:val="24"/>
                <w:highlight w:val="none"/>
                <w:lang w:eastAsia="zh-CN"/>
              </w:rPr>
              <w:t>。</w:t>
            </w:r>
          </w:p>
        </w:tc>
      </w:tr>
      <w:tr w14:paraId="56B4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1ABEA758">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.4</w:t>
            </w:r>
          </w:p>
        </w:tc>
        <w:tc>
          <w:tcPr>
            <w:tcW w:w="1110" w:type="pct"/>
            <w:vAlign w:val="center"/>
          </w:tcPr>
          <w:p w14:paraId="48F93F1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质量标准要求</w:t>
            </w:r>
          </w:p>
        </w:tc>
        <w:tc>
          <w:tcPr>
            <w:tcW w:w="3334" w:type="pct"/>
            <w:vAlign w:val="center"/>
          </w:tcPr>
          <w:p w14:paraId="61C272CF">
            <w:pPr>
              <w:pStyle w:val="96"/>
              <w:keepNext w:val="0"/>
              <w:keepLines w:val="0"/>
              <w:pageBreakBefore w:val="0"/>
              <w:tabs>
                <w:tab w:val="left" w:pos="1152"/>
              </w:tabs>
              <w:kinsoku/>
              <w:overflowPunct/>
              <w:autoSpaceDE/>
              <w:autoSpaceDN/>
              <w:bidi w:val="0"/>
              <w:spacing w:before="0" w:beforeAutospacing="0" w:after="0" w:afterAutospacing="0" w:line="5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bidi="ar-SA"/>
              </w:rPr>
              <w:t>工程质量必须达到国家工程施工质量验收合格标准</w:t>
            </w:r>
          </w:p>
        </w:tc>
      </w:tr>
      <w:tr w14:paraId="3B8C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C45B267">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5</w:t>
            </w:r>
          </w:p>
        </w:tc>
        <w:tc>
          <w:tcPr>
            <w:tcW w:w="1110" w:type="pct"/>
            <w:vAlign w:val="center"/>
          </w:tcPr>
          <w:p w14:paraId="37B54C7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安全文明要求</w:t>
            </w:r>
          </w:p>
        </w:tc>
        <w:tc>
          <w:tcPr>
            <w:tcW w:w="3334" w:type="pct"/>
            <w:vAlign w:val="center"/>
          </w:tcPr>
          <w:p w14:paraId="76643497">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必须确保安全文明施工，符合国家和项目所在地现行相关规定</w:t>
            </w:r>
          </w:p>
        </w:tc>
      </w:tr>
      <w:tr w14:paraId="7A48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7A97C47">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6</w:t>
            </w:r>
          </w:p>
        </w:tc>
        <w:tc>
          <w:tcPr>
            <w:tcW w:w="1110" w:type="pct"/>
            <w:vAlign w:val="center"/>
          </w:tcPr>
          <w:p w14:paraId="1556A5BD">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总包及分包规定</w:t>
            </w:r>
          </w:p>
        </w:tc>
        <w:tc>
          <w:tcPr>
            <w:tcW w:w="3334" w:type="pct"/>
            <w:vAlign w:val="center"/>
          </w:tcPr>
          <w:p w14:paraId="3B94E46D">
            <w:pPr>
              <w:keepNext w:val="0"/>
              <w:keepLines w:val="0"/>
              <w:pageBreakBefore w:val="0"/>
              <w:kinsoku/>
              <w:overflowPunct/>
              <w:autoSpaceDE/>
              <w:autoSpaceDN/>
              <w:bidi w:val="0"/>
              <w:spacing w:line="520" w:lineRule="exac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供应商不得在成交后将工程转包给其它施工单位。</w:t>
            </w:r>
          </w:p>
          <w:p w14:paraId="40B9ACD2">
            <w:pPr>
              <w:keepNext w:val="0"/>
              <w:keepLines w:val="0"/>
              <w:pageBreakBefore w:val="0"/>
              <w:kinsoku/>
              <w:overflowPunct/>
              <w:autoSpaceDE/>
              <w:autoSpaceDN/>
              <w:bidi w:val="0"/>
              <w:spacing w:line="520" w:lineRule="exact"/>
              <w:jc w:val="left"/>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rPr>
              <w:t>分包情况</w:t>
            </w:r>
            <w:r>
              <w:rPr>
                <w:rFonts w:hint="eastAsia" w:cs="宋体"/>
                <w:b w:val="0"/>
                <w:bCs w:val="0"/>
                <w:color w:val="auto"/>
                <w:kern w:val="2"/>
                <w:sz w:val="24"/>
                <w:szCs w:val="24"/>
                <w:highlight w:val="none"/>
                <w:lang w:eastAsia="zh-CN"/>
              </w:rPr>
              <w:t>：</w:t>
            </w:r>
          </w:p>
          <w:p w14:paraId="4CC4DB5C">
            <w:pPr>
              <w:keepNext w:val="0"/>
              <w:keepLines w:val="0"/>
              <w:pageBreakBefore w:val="0"/>
              <w:kinsoku/>
              <w:overflowPunct/>
              <w:autoSpaceDE/>
              <w:autoSpaceDN/>
              <w:bidi w:val="0"/>
              <w:spacing w:line="520" w:lineRule="exact"/>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□允许专业分包，分包项目、内容及分包商须经采购人及监理单位同意和认可</w:t>
            </w:r>
          </w:p>
          <w:p w14:paraId="613A6B2C">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不允许</w:t>
            </w:r>
          </w:p>
        </w:tc>
      </w:tr>
      <w:tr w14:paraId="7BBC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176B5CD9">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7</w:t>
            </w:r>
          </w:p>
        </w:tc>
        <w:tc>
          <w:tcPr>
            <w:tcW w:w="1110" w:type="pct"/>
            <w:vAlign w:val="center"/>
          </w:tcPr>
          <w:p w14:paraId="5EF9EBD4">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现场条件</w:t>
            </w:r>
          </w:p>
        </w:tc>
        <w:tc>
          <w:tcPr>
            <w:tcW w:w="3334" w:type="pct"/>
            <w:vAlign w:val="center"/>
          </w:tcPr>
          <w:p w14:paraId="48E1E98C">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具备开工条件</w:t>
            </w:r>
          </w:p>
        </w:tc>
      </w:tr>
      <w:tr w14:paraId="63BA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0AA47B75">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8</w:t>
            </w:r>
          </w:p>
        </w:tc>
        <w:tc>
          <w:tcPr>
            <w:tcW w:w="1110" w:type="pct"/>
            <w:vAlign w:val="center"/>
          </w:tcPr>
          <w:p w14:paraId="2D07E47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采购人提供的资料</w:t>
            </w:r>
          </w:p>
        </w:tc>
        <w:tc>
          <w:tcPr>
            <w:tcW w:w="3334" w:type="pct"/>
            <w:vAlign w:val="center"/>
          </w:tcPr>
          <w:p w14:paraId="6BCBD53A">
            <w:pPr>
              <w:keepNext w:val="0"/>
              <w:keepLines w:val="0"/>
              <w:pageBreakBefore w:val="0"/>
              <w:kinsoku/>
              <w:overflowPunct/>
              <w:autoSpaceDE/>
              <w:autoSpaceDN/>
              <w:bidi w:val="0"/>
              <w:adjustRightInd w:val="0"/>
              <w:snapToGrid w:val="0"/>
              <w:spacing w:line="52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磋商文件</w:t>
            </w:r>
          </w:p>
          <w:p w14:paraId="2BBBE4EC">
            <w:pPr>
              <w:keepNext w:val="0"/>
              <w:keepLines w:val="0"/>
              <w:pageBreakBefore w:val="0"/>
              <w:kinsoku/>
              <w:overflowPunct/>
              <w:autoSpaceDE/>
              <w:autoSpaceDN/>
              <w:bidi w:val="0"/>
              <w:adjustRightInd w:val="0"/>
              <w:snapToGrid w:val="0"/>
              <w:spacing w:line="52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工程量清单</w:t>
            </w:r>
          </w:p>
          <w:p w14:paraId="0B324A6B">
            <w:pPr>
              <w:keepNext w:val="0"/>
              <w:keepLines w:val="0"/>
              <w:pageBreakBefore w:val="0"/>
              <w:kinsoku/>
              <w:overflowPunct/>
              <w:autoSpaceDE/>
              <w:autoSpaceDN/>
              <w:bidi w:val="0"/>
              <w:adjustRightInd w:val="0"/>
              <w:snapToGrid w:val="0"/>
              <w:spacing w:line="52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最高投标限价</w:t>
            </w:r>
          </w:p>
          <w:p w14:paraId="2A133846">
            <w:pPr>
              <w:keepNext w:val="0"/>
              <w:keepLines w:val="0"/>
              <w:pageBreakBefore w:val="0"/>
              <w:kinsoku/>
              <w:overflowPunct/>
              <w:autoSpaceDE/>
              <w:autoSpaceDN/>
              <w:bidi w:val="0"/>
              <w:adjustRightInd w:val="0"/>
              <w:snapToGrid w:val="0"/>
              <w:spacing w:line="52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电子版图纸</w:t>
            </w:r>
          </w:p>
          <w:p w14:paraId="48540C66">
            <w:pPr>
              <w:keepNext w:val="0"/>
              <w:keepLines w:val="0"/>
              <w:pageBreakBefore w:val="0"/>
              <w:kinsoku/>
              <w:overflowPunct/>
              <w:autoSpaceDE/>
              <w:autoSpaceDN/>
              <w:bidi w:val="0"/>
              <w:adjustRightInd w:val="0"/>
              <w:snapToGrid w:val="0"/>
              <w:spacing w:line="52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获得方式：</w:t>
            </w:r>
            <w:r>
              <w:rPr>
                <w:rFonts w:hint="eastAsia" w:ascii="宋体" w:hAnsi="宋体" w:eastAsia="宋体" w:cs="宋体"/>
                <w:bCs/>
                <w:color w:val="auto"/>
                <w:sz w:val="24"/>
                <w:szCs w:val="24"/>
                <w:highlight w:val="none"/>
                <w:lang w:val="en-US" w:eastAsia="zh-CN"/>
              </w:rPr>
              <w:t>网上下载</w:t>
            </w:r>
          </w:p>
          <w:p w14:paraId="04FB4B8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上述资料请供应商在获取磋商文件后，自行登录电子交易系统下载本项目附件。</w:t>
            </w:r>
          </w:p>
        </w:tc>
      </w:tr>
      <w:tr w14:paraId="1307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4AA7DC28">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9</w:t>
            </w:r>
          </w:p>
        </w:tc>
        <w:tc>
          <w:tcPr>
            <w:tcW w:w="1110" w:type="pct"/>
            <w:vAlign w:val="center"/>
          </w:tcPr>
          <w:p w14:paraId="4877358A">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工程量清单和最高投标限价编制费</w:t>
            </w:r>
          </w:p>
        </w:tc>
        <w:tc>
          <w:tcPr>
            <w:tcW w:w="3334" w:type="pct"/>
            <w:vAlign w:val="center"/>
          </w:tcPr>
          <w:p w14:paraId="72D4E12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2"/>
                <w:sz w:val="24"/>
                <w:szCs w:val="24"/>
                <w:highlight w:val="none"/>
                <w:u w:val="single"/>
                <w:lang w:val="en-US" w:eastAsia="zh-CN"/>
              </w:rPr>
              <w:t>采购人</w:t>
            </w:r>
          </w:p>
          <w:p w14:paraId="4FC4E4D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转账</w:t>
            </w:r>
          </w:p>
          <w:p w14:paraId="554ACAD2">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color w:val="auto"/>
                <w:kern w:val="0"/>
                <w:sz w:val="24"/>
                <w:szCs w:val="24"/>
                <w:highlight w:val="none"/>
                <w:lang w:val="en-US" w:eastAsia="zh-CN" w:bidi="ar-SA"/>
              </w:rPr>
              <w:t>收费标准：</w:t>
            </w:r>
            <w:r>
              <w:rPr>
                <w:rFonts w:hint="eastAsia" w:ascii="宋体" w:hAnsi="宋体" w:eastAsia="宋体" w:cs="宋体"/>
                <w:b w:val="0"/>
                <w:bCs/>
                <w:color w:val="auto"/>
                <w:kern w:val="0"/>
                <w:sz w:val="24"/>
                <w:szCs w:val="24"/>
                <w:highlight w:val="none"/>
                <w:u w:val="single"/>
                <w:lang w:val="en-US" w:eastAsia="zh-CN" w:bidi="ar-SA"/>
              </w:rPr>
              <w:t>双方约定为准</w:t>
            </w:r>
          </w:p>
        </w:tc>
      </w:tr>
      <w:tr w14:paraId="5966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0868AF1E">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0</w:t>
            </w:r>
          </w:p>
        </w:tc>
        <w:tc>
          <w:tcPr>
            <w:tcW w:w="1110" w:type="pct"/>
            <w:vAlign w:val="center"/>
          </w:tcPr>
          <w:p w14:paraId="2A310EB7">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其他补充说明</w:t>
            </w:r>
          </w:p>
        </w:tc>
        <w:tc>
          <w:tcPr>
            <w:tcW w:w="3334" w:type="pct"/>
            <w:vAlign w:val="center"/>
          </w:tcPr>
          <w:p w14:paraId="5A1A6E97">
            <w:pPr>
              <w:keepNext w:val="0"/>
              <w:keepLines w:val="0"/>
              <w:pageBreakBefore w:val="0"/>
              <w:numPr>
                <w:ilvl w:val="0"/>
                <w:numId w:val="0"/>
              </w:numPr>
              <w:kinsoku/>
              <w:overflowPunct/>
              <w:autoSpaceDE/>
              <w:autoSpaceDN/>
              <w:bidi w:val="0"/>
              <w:spacing w:line="52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1、解释权：</w:t>
            </w:r>
          </w:p>
          <w:p w14:paraId="35817117">
            <w:pPr>
              <w:keepNext w:val="0"/>
              <w:keepLines w:val="0"/>
              <w:pageBreakBefore w:val="0"/>
              <w:numPr>
                <w:ilvl w:val="0"/>
                <w:numId w:val="0"/>
              </w:numPr>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（1）构成本磋商文件的各个组成文件应互为解释，互为说明；</w:t>
            </w:r>
          </w:p>
          <w:p w14:paraId="62AC985F">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1517BD1E">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3048A44F">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（4）除磋商文件中有特别规定外，仅适用于磋商及响应文件提交阶段的规定，按竞争性磋商公告、磋商邀请、供应商须知、评审方法和标准、响应文件格式的先后顺序解释；</w:t>
            </w:r>
          </w:p>
          <w:p w14:paraId="4623FC59">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（5）按本款前述规定仍不能形成结论的，由采购人负责解释。</w:t>
            </w:r>
          </w:p>
          <w:p w14:paraId="35BC089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p>
          <w:p w14:paraId="75DA9EF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p w14:paraId="7897E558">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4、部分可提供线下政采贷的金融机构</w:t>
            </w:r>
          </w:p>
          <w:p w14:paraId="1A5BB10E">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市本级</w:t>
            </w:r>
          </w:p>
          <w:p w14:paraId="261B5D04">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金融机构名称：兴业银行滁州分行</w:t>
            </w:r>
          </w:p>
          <w:p w14:paraId="1BB3DD7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安徽省滁州市琅琊区丰乐大道1090号</w:t>
            </w:r>
          </w:p>
          <w:p w14:paraId="3E3FE02F">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伏庚：17755080811</w:t>
            </w:r>
          </w:p>
        </w:tc>
      </w:tr>
      <w:tr w14:paraId="7962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263F5F8C">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30.11</w:t>
            </w:r>
          </w:p>
        </w:tc>
        <w:tc>
          <w:tcPr>
            <w:tcW w:w="1110" w:type="pct"/>
            <w:vAlign w:val="center"/>
          </w:tcPr>
          <w:p w14:paraId="432125E1">
            <w:pPr>
              <w:keepNext w:val="0"/>
              <w:keepLines w:val="0"/>
              <w:pageBreakBefore w:val="0"/>
              <w:kinsoku/>
              <w:overflowPunct/>
              <w:autoSpaceDE/>
              <w:autoSpaceDN/>
              <w:bidi w:val="0"/>
              <w:spacing w:line="520" w:lineRule="exact"/>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color w:val="auto"/>
                <w:sz w:val="24"/>
                <w:szCs w:val="24"/>
                <w:highlight w:val="none"/>
              </w:rPr>
              <w:t>特别提示</w:t>
            </w:r>
          </w:p>
        </w:tc>
        <w:tc>
          <w:tcPr>
            <w:tcW w:w="3334" w:type="pct"/>
            <w:vAlign w:val="top"/>
          </w:tcPr>
          <w:p w14:paraId="42F5AE64">
            <w:pPr>
              <w:keepNext w:val="0"/>
              <w:keepLines w:val="0"/>
              <w:pageBreakBefore w:val="0"/>
              <w:numPr>
                <w:ilvl w:val="0"/>
                <w:numId w:val="0"/>
              </w:numPr>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lang w:bidi="ar"/>
              </w:rPr>
              <w:t>应填写信息并下载磋商文件，否则无法上传响应文件。</w:t>
            </w:r>
          </w:p>
          <w:p w14:paraId="3F26C05E">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2.本项目采用电子磋商，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评审委员会否决其磋商资格，责任自负。如有技术问题请联系0550-3801701，4009980000。</w:t>
            </w:r>
          </w:p>
          <w:p w14:paraId="4F5FD5B4">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3.如果过程中出现磋商文件更改，应以最后发布的招标答疑澄清文件中的模板制作本项目最新响应文件。</w:t>
            </w:r>
          </w:p>
          <w:p w14:paraId="110A420D">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 xml:space="preserve">4.供应商应当用本单位CA数字证书制作响应文件，制作成功后进行响应文件上传。 </w:t>
            </w:r>
          </w:p>
          <w:p w14:paraId="5D094E90">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w:t>
            </w:r>
            <w:r>
              <w:rPr>
                <w:rFonts w:hint="eastAsia" w:cs="宋体"/>
                <w:bCs/>
                <w:color w:val="auto"/>
                <w:sz w:val="24"/>
                <w:szCs w:val="24"/>
                <w:highlight w:val="none"/>
                <w:lang w:val="en-US" w:eastAsia="zh-CN" w:bidi="ar"/>
              </w:rPr>
              <w:t>参与</w:t>
            </w:r>
            <w:r>
              <w:rPr>
                <w:rFonts w:hint="eastAsia" w:ascii="宋体" w:hAnsi="宋体" w:eastAsia="宋体" w:cs="宋体"/>
                <w:bCs/>
                <w:color w:val="auto"/>
                <w:sz w:val="24"/>
                <w:szCs w:val="24"/>
                <w:highlight w:val="none"/>
                <w:lang w:bidi="ar"/>
              </w:rPr>
              <w:t>的，责任自负。</w:t>
            </w:r>
          </w:p>
          <w:p w14:paraId="6DE0B085">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6.请供应商注意加密响应文件CA数字证书的有效期，不在有效期的CA数字证书无法解密响应文件。</w:t>
            </w:r>
          </w:p>
          <w:p w14:paraId="789FFCF2">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7.供应商响应MAC地址或供应商联系人或联系电话相同的，否决其响应，并报告监管部门作不良行为处理和进一步调查。</w:t>
            </w:r>
          </w:p>
          <w:p w14:paraId="110B104C">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8.供应商单方面出现其他供应商材料的，否决其磋商资格。</w:t>
            </w:r>
          </w:p>
          <w:p w14:paraId="027473A0">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9.评审时查询响应文件制作机器码、文件创建标识码及造价软件加密锁号。若存在响应文件制作机器码或创建标识码或造价软件加密锁号信息与其他供应商</w:t>
            </w:r>
            <w:r>
              <w:rPr>
                <w:rFonts w:hint="eastAsia" w:ascii="宋体" w:hAnsi="宋体" w:eastAsia="宋体" w:cs="宋体"/>
                <w:bCs/>
                <w:color w:val="auto"/>
                <w:spacing w:val="-4"/>
                <w:sz w:val="24"/>
                <w:szCs w:val="24"/>
                <w:highlight w:val="none"/>
                <w:lang w:bidi="ar"/>
              </w:rPr>
              <w:t>雷同的，</w:t>
            </w:r>
            <w:r>
              <w:rPr>
                <w:rFonts w:hint="eastAsia" w:cs="宋体"/>
                <w:bCs/>
                <w:color w:val="auto"/>
                <w:spacing w:val="-4"/>
                <w:sz w:val="24"/>
                <w:szCs w:val="24"/>
                <w:highlight w:val="none"/>
                <w:lang w:val="en-US" w:eastAsia="zh-CN" w:bidi="ar"/>
              </w:rPr>
              <w:t>由评审委员会</w:t>
            </w:r>
            <w:r>
              <w:rPr>
                <w:rFonts w:hint="eastAsia" w:ascii="宋体" w:hAnsi="宋体" w:eastAsia="宋体" w:cs="宋体"/>
                <w:bCs/>
                <w:color w:val="auto"/>
                <w:spacing w:val="-4"/>
                <w:sz w:val="24"/>
                <w:szCs w:val="24"/>
                <w:highlight w:val="none"/>
                <w:lang w:bidi="ar"/>
              </w:rPr>
              <w:t>否决其磋商资格，依法依规予以处理。</w:t>
            </w:r>
          </w:p>
          <w:p w14:paraId="6D0C2681">
            <w:pPr>
              <w:keepNext w:val="0"/>
              <w:keepLines w:val="0"/>
              <w:pageBreakBefore w:val="0"/>
              <w:kinsoku/>
              <w:overflowPunct/>
              <w:autoSpaceDE/>
              <w:autoSpaceDN/>
              <w:bidi w:val="0"/>
              <w:spacing w:line="520" w:lineRule="exact"/>
              <w:jc w:val="lef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Cs/>
                <w:color w:val="auto"/>
                <w:sz w:val="24"/>
                <w:szCs w:val="24"/>
                <w:highlight w:val="none"/>
                <w:lang w:bidi="ar"/>
              </w:rPr>
              <w:t>10.</w:t>
            </w:r>
            <w:r>
              <w:rPr>
                <w:rFonts w:hint="eastAsia" w:ascii="宋体" w:hAnsi="宋体" w:eastAsia="宋体" w:cs="宋体"/>
                <w:color w:val="auto"/>
                <w:sz w:val="24"/>
                <w:szCs w:val="24"/>
                <w:highlight w:val="none"/>
                <w:lang w:bidi="ar"/>
              </w:rPr>
              <w:t>电子加密响应文件上传到系统后，需要供应商和代理公司到磋商截止时间后共同解锁，不存在商务报价等信息通过系统泄密的风险；磋商截止时间前，已上传的响应文件也可以撤回修改。集中到磋商截止时间前上传电子加密响应文件，可能出现由于供应商制作电子响应文件不熟练、网络拥堵等不可预知的情况而且无法及时解决，丧失磋商机会，请各供应商提前制作、上传电子加密响应文件，否则由于无法及时上传电子加密响应文件而无效响应的情况，责任自负！</w:t>
            </w:r>
          </w:p>
        </w:tc>
      </w:tr>
      <w:tr w14:paraId="2810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4D45EC0">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30.12</w:t>
            </w:r>
          </w:p>
        </w:tc>
        <w:tc>
          <w:tcPr>
            <w:tcW w:w="1110" w:type="pct"/>
            <w:vAlign w:val="center"/>
          </w:tcPr>
          <w:p w14:paraId="0D756265">
            <w:pPr>
              <w:keepNext w:val="0"/>
              <w:keepLines w:val="0"/>
              <w:pageBreakBefore w:val="0"/>
              <w:kinsoku/>
              <w:overflowPunct/>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rPr>
              <w:t>重要要求</w:t>
            </w:r>
          </w:p>
        </w:tc>
        <w:tc>
          <w:tcPr>
            <w:tcW w:w="3334" w:type="pct"/>
            <w:vAlign w:val="top"/>
          </w:tcPr>
          <w:p w14:paraId="0283658B">
            <w:pPr>
              <w:keepNext w:val="0"/>
              <w:keepLines w:val="0"/>
              <w:pageBreakBefore w:val="0"/>
              <w:kinsoku/>
              <w:overflowPunct/>
              <w:topLinePunct/>
              <w:autoSpaceDE/>
              <w:autoSpaceDN/>
              <w:bidi w:val="0"/>
              <w:spacing w:line="5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1.本项目为面向中小企业预留份额的采购包，专门面向中小企业采购。专门面向中小企业采购的项目或者采购包，不再执行价格评审优惠的扶持政策。</w:t>
            </w:r>
          </w:p>
          <w:p w14:paraId="638DAD11">
            <w:pPr>
              <w:keepNext w:val="0"/>
              <w:keepLines w:val="0"/>
              <w:pageBreakBefore w:val="0"/>
              <w:kinsoku/>
              <w:overflowPunct/>
              <w:topLinePunct/>
              <w:autoSpaceDE/>
              <w:autoSpaceDN/>
              <w:bidi w:val="0"/>
              <w:spacing w:line="520" w:lineRule="exact"/>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rPr>
              <w:t>2.采购标的对应的中小企业划分标准所属行业：建筑业。</w:t>
            </w:r>
          </w:p>
        </w:tc>
      </w:tr>
      <w:tr w14:paraId="477F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6D0FB987">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30.13</w:t>
            </w:r>
          </w:p>
        </w:tc>
        <w:tc>
          <w:tcPr>
            <w:tcW w:w="1110" w:type="pct"/>
            <w:vAlign w:val="center"/>
          </w:tcPr>
          <w:p w14:paraId="690259F6">
            <w:pPr>
              <w:keepNext w:val="0"/>
              <w:keepLines w:val="0"/>
              <w:pageBreakBefore w:val="0"/>
              <w:widowControl/>
              <w:kinsoku/>
              <w:overflowPunct/>
              <w:autoSpaceDE/>
              <w:autoSpaceDN/>
              <w:bidi w:val="0"/>
              <w:spacing w:line="52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评审过程中的澄清、说明或补正</w:t>
            </w:r>
          </w:p>
        </w:tc>
        <w:tc>
          <w:tcPr>
            <w:tcW w:w="3334" w:type="pct"/>
            <w:vAlign w:val="center"/>
          </w:tcPr>
          <w:p w14:paraId="332ADE31">
            <w:pPr>
              <w:keepNext w:val="0"/>
              <w:keepLines w:val="0"/>
              <w:pageBreakBefore w:val="0"/>
              <w:widowControl/>
              <w:kinsoku/>
              <w:overflowPunct/>
              <w:autoSpaceDE/>
              <w:autoSpaceDN/>
              <w:bidi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（1）磋商小组通过网上招投标系统将需要澄清、说明或补正的内容以询标函的形式发送给供应商，供应商应安排专人登录网上招投标系统并保持在线状态，以便及时接收磋商小组可能发出的询标函。</w:t>
            </w:r>
          </w:p>
          <w:p w14:paraId="722B7780">
            <w:pPr>
              <w:keepNext w:val="0"/>
              <w:keepLines w:val="0"/>
              <w:pageBreakBefore w:val="0"/>
              <w:widowControl/>
              <w:kinsoku/>
              <w:overflowPunct/>
              <w:autoSpaceDE/>
              <w:autoSpaceDN/>
              <w:bidi w:val="0"/>
              <w:spacing w:line="52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因供应商未登录网上招投标系统导致无法及时接收询标函（远程网上询标）或未在规定时间内按磋商小组要求进行澄清、说明或补正内容的视同供应商放弃澄清、说明或补正内容的权利，磋商小组可按对供应商不利的解释进行判定。</w:t>
            </w:r>
          </w:p>
        </w:tc>
      </w:tr>
    </w:tbl>
    <w:p w14:paraId="1775CE8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color w:val="auto"/>
          <w:sz w:val="24"/>
          <w:highlight w:val="none"/>
        </w:rPr>
      </w:pPr>
      <w:r>
        <w:rPr>
          <w:rFonts w:asciiTheme="minorEastAsia" w:hAnsiTheme="minorEastAsia" w:eastAsiaTheme="minorEastAsia"/>
          <w:b/>
          <w:color w:val="auto"/>
          <w:sz w:val="28"/>
          <w:highlight w:val="none"/>
        </w:rPr>
        <w:br w:type="page"/>
      </w:r>
      <w:bookmarkStart w:id="25" w:name="_Toc26858"/>
      <w:bookmarkStart w:id="26" w:name="_Toc18784"/>
      <w:r>
        <w:rPr>
          <w:rFonts w:hint="eastAsia" w:ascii="宋体" w:hAnsi="宋体" w:eastAsia="宋体" w:cs="宋体"/>
          <w:b/>
          <w:color w:val="auto"/>
          <w:sz w:val="24"/>
          <w:highlight w:val="none"/>
        </w:rPr>
        <w:t>二、供应商须知正文</w:t>
      </w:r>
      <w:bookmarkEnd w:id="25"/>
      <w:bookmarkEnd w:id="26"/>
    </w:p>
    <w:p w14:paraId="481CD8C6">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.采购人、采购代理机构及供应商</w:t>
      </w:r>
    </w:p>
    <w:p w14:paraId="6C3A352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371EB0C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5CF204C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.4供应商：是指向采购人提供货物、工程或者服务的法人、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组织或者自然人。分支机构不得参加政府采购活动，但银行、保险、石油石化、电力、电信等特殊行业除外。本项目的供应商须满足以下条件：</w:t>
      </w:r>
    </w:p>
    <w:p w14:paraId="7ACFC6B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642DD6F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以采购代理机构认可的方式获得了本项目的磋商文件。</w:t>
      </w:r>
    </w:p>
    <w:p w14:paraId="219DC00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8"/>
          <w:highlight w:val="none"/>
          <w:lang w:val="en-US" w:eastAsia="zh-CN"/>
        </w:rPr>
        <w:t>1</w:t>
      </w:r>
      <w:r>
        <w:rPr>
          <w:rFonts w:hint="eastAsia" w:ascii="宋体" w:hAnsi="宋体" w:eastAsia="宋体" w:cs="宋体"/>
          <w:bCs/>
          <w:color w:val="auto"/>
          <w:sz w:val="24"/>
          <w:szCs w:val="28"/>
          <w:highlight w:val="none"/>
        </w:rPr>
        <w:t>.5若竞争性磋商公告中允许联合体参加磋商，对联合体规定如下：</w:t>
      </w:r>
    </w:p>
    <w:p w14:paraId="2C61534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.5.1两个以上供应商可以组成一个磋商联合体，以一个供应商的身份磋商。</w:t>
      </w:r>
      <w:r>
        <w:rPr>
          <w:rFonts w:hint="eastAsia" w:ascii="宋体" w:hAnsi="宋体" w:eastAsia="宋体" w:cs="宋体"/>
          <w:b w:val="0"/>
          <w:color w:val="auto"/>
          <w:sz w:val="24"/>
          <w:highlight w:val="none"/>
        </w:rPr>
        <w:t>联合体参加磋商的，磋商文件获取手续由联合体中任一成员单位办理均可。</w:t>
      </w:r>
    </w:p>
    <w:p w14:paraId="6389142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3821084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.5.3采购人根据采购项目对供应商的特殊要求，联合体中至少应当有一方符合相关规定。</w:t>
      </w:r>
    </w:p>
    <w:p w14:paraId="66774C5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.5.4联合体各方应签订联合协议，明确约定联合体各方承担的工作和相应的责任，并将联合协议作为响应文件的一部分提交。</w:t>
      </w:r>
    </w:p>
    <w:p w14:paraId="5C32CF4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.5.5大中型企业、其他自然人、法人或者非法人组织与小型、微型企业组成联合体共同参加磋商，联合协议中应写明小型、微型企业的协议合同金额占到联合协议合同总金额的比例。</w:t>
      </w:r>
    </w:p>
    <w:p w14:paraId="157F3C6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193D887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.5.7以联合体形式参加政府采购活动的，联合体各方不得再单独参加或者与其他供应商另外组成联合体参加本项目磋商，否则相关响应文件将被认定为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6B1B89F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.5.8对联合体参加磋商的其他资格要求见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0CB15399">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.资金</w:t>
      </w:r>
      <w:r>
        <w:rPr>
          <w:rFonts w:hint="eastAsia" w:ascii="宋体" w:hAnsi="宋体" w:eastAsia="宋体" w:cs="宋体"/>
          <w:b/>
          <w:color w:val="auto"/>
          <w:sz w:val="24"/>
          <w:highlight w:val="none"/>
          <w:lang w:val="en-US" w:eastAsia="zh-CN"/>
        </w:rPr>
        <w:t>落实情况</w:t>
      </w:r>
    </w:p>
    <w:p w14:paraId="6EBAB16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.1本项目的采购人已获得足以支付本次磋商后所签订的合同项下的资金。</w:t>
      </w:r>
    </w:p>
    <w:p w14:paraId="4E4C55B9">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.磋商费用</w:t>
      </w:r>
    </w:p>
    <w:p w14:paraId="448D4705">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不论磋商的结果如何，供应商应承担其所有与准备和参加磋商有关的费用。</w:t>
      </w:r>
    </w:p>
    <w:p w14:paraId="34D3C418">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.适用法律</w:t>
      </w:r>
    </w:p>
    <w:p w14:paraId="6E8C48F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0B7770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.磋商文件构成</w:t>
      </w:r>
    </w:p>
    <w:p w14:paraId="17AB6D0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.1磋商文件包括下列内容：</w:t>
      </w:r>
    </w:p>
    <w:p w14:paraId="728115ED">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磋商邀请</w:t>
      </w:r>
    </w:p>
    <w:p w14:paraId="4F7D3052">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供应商须知</w:t>
      </w:r>
    </w:p>
    <w:p w14:paraId="19399515">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31E026D4">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评审方法和标准</w:t>
      </w:r>
    </w:p>
    <w:p w14:paraId="780C21E1">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3793ECC6">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响应文件格式</w:t>
      </w:r>
    </w:p>
    <w:p w14:paraId="014166C6">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政府采购供应商询问函和质疑函范本</w:t>
      </w:r>
    </w:p>
    <w:p w14:paraId="1305850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04E70AD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供应商应认真阅读磋商文件所有的事项、格式、条款和技术规范等。</w:t>
      </w:r>
    </w:p>
    <w:p w14:paraId="4AB1202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.磋商文件的澄清与修改</w:t>
      </w:r>
    </w:p>
    <w:p w14:paraId="25FB879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.1供应商如对磋商文件内容有疑问，必须在</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规定的网上询问截止时间前以网上提问形式（电子交易系统）提交给采购代理机构。</w:t>
      </w:r>
    </w:p>
    <w:p w14:paraId="44291D4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答复供应商</w:t>
      </w:r>
      <w:r>
        <w:rPr>
          <w:rFonts w:hint="eastAsia" w:ascii="宋体" w:hAnsi="宋体" w:eastAsia="宋体" w:cs="宋体"/>
          <w:color w:val="auto"/>
          <w:sz w:val="24"/>
          <w:highlight w:val="none"/>
        </w:rPr>
        <w:t>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文件进行澄清与修改。采购代理机构将在</w:t>
      </w:r>
      <w:bookmarkStart w:id="27" w:name="_Hlk16458572"/>
      <w:r>
        <w:rPr>
          <w:rFonts w:hint="eastAsia" w:ascii="宋体" w:hAnsi="宋体" w:eastAsia="宋体" w:cs="宋体"/>
          <w:color w:val="auto"/>
          <w:sz w:val="24"/>
          <w:szCs w:val="18"/>
          <w:highlight w:val="none"/>
        </w:rPr>
        <w:t>安徽省政府采购网</w:t>
      </w:r>
      <w:bookmarkEnd w:id="27"/>
      <w:r>
        <w:rPr>
          <w:rFonts w:hint="eastAsia" w:ascii="宋体" w:hAnsi="宋体" w:eastAsia="宋体" w:cs="宋体"/>
          <w:color w:val="auto"/>
          <w:sz w:val="24"/>
          <w:highlight w:val="none"/>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58CF61B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5CA3313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.4对于没有提出询问又参与了本项目磋商的供应商将被视为完全认同本磋商文件（含更正公告的内容）</w:t>
      </w:r>
      <w:r>
        <w:rPr>
          <w:rFonts w:hint="eastAsia" w:ascii="宋体" w:hAnsi="宋体" w:eastAsia="宋体" w:cs="宋体"/>
          <w:i/>
          <w:color w:val="auto"/>
          <w:sz w:val="24"/>
          <w:highlight w:val="none"/>
        </w:rPr>
        <w:t>。</w:t>
      </w:r>
    </w:p>
    <w:p w14:paraId="7F809E2B">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.磋商范围及响应文件中标准和计量单位的使用</w:t>
      </w:r>
    </w:p>
    <w:p w14:paraId="62C6A5C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.1项目有分包的，供应商可参与其中某一个或多个分包的磋商，成交包数详见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w:t>
      </w:r>
    </w:p>
    <w:p w14:paraId="2C860C5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.2无论磋商文件中是否要求，供应商所承担工程及伴随的货物和服务均应符合国家强制性标准。</w:t>
      </w:r>
    </w:p>
    <w:p w14:paraId="76BD9EF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7EA4B5A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.4除磋商文件中有特殊要求外，响应文件中所使用的计量单位，应采用中华人民共和国法定计量单位。</w:t>
      </w:r>
    </w:p>
    <w:p w14:paraId="27C15124">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.响应文件构成</w:t>
      </w:r>
    </w:p>
    <w:p w14:paraId="2A952C8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.1供应商应完整地按磋商文件提供的响应文件格式及要求编写响应文件，具体内容详见第六章响应文件格式的相关内容。</w:t>
      </w:r>
    </w:p>
    <w:p w14:paraId="6519D89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供应商应提交磋商文件要求的证明文件，证明其响应内容符合磋商文件规定。该证明文件是响应文件的一部分。证明文件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8" w:name="_Hlk11703583"/>
      <w:r>
        <w:rPr>
          <w:rFonts w:hint="eastAsia" w:ascii="宋体" w:hAnsi="宋体" w:eastAsia="宋体" w:cs="宋体"/>
          <w:color w:val="auto"/>
          <w:sz w:val="24"/>
          <w:highlight w:val="none"/>
        </w:rPr>
        <w:t>。</w:t>
      </w:r>
      <w:bookmarkEnd w:id="28"/>
    </w:p>
    <w:p w14:paraId="3BA3A6B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为保证公平公正，除非磋商文件另有规定或说明，供应商对同一项目磋商时，不得同时提供备选磋商方案。</w:t>
      </w:r>
    </w:p>
    <w:p w14:paraId="192110C6">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.报价</w:t>
      </w:r>
    </w:p>
    <w:p w14:paraId="21930A3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.1供应商的报价应当包括满足本次磋商全部内容。所有报价均应以人民币报价，供应商的磋商报价应遵守《中华人民共和国价格法》。</w:t>
      </w:r>
    </w:p>
    <w:p w14:paraId="2114EA2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最后报价均不得高于磋商文件（公告）列明的项目预算、最高投标限价，否则其响应文件将被认定为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4582984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报价在合同履行过程中是固定不变的，不得以任何理由予以变更。任何包含价格调整要求的报价，其响应文件将被认定为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1700E4A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采购人不接受具有附加条件的报价。</w:t>
      </w:r>
    </w:p>
    <w:p w14:paraId="5EFD97C1">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.磋商保证金</w:t>
      </w:r>
    </w:p>
    <w:p w14:paraId="13F41F8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.1本项目不收取磋商保证金。</w:t>
      </w:r>
    </w:p>
    <w:p w14:paraId="0A017F52">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.磋商有效期</w:t>
      </w:r>
    </w:p>
    <w:p w14:paraId="131DB28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.1磋商有效期为从响应文件提交截止之日算起的日历天数，磋商有效期详见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45C2304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.2在磋商有效期内，供应商的磋商保持有效，供应商不得要求撤销或修改其响应文件。磋商有效期不满足要求的响应，其响应文件将被认定为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5886825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605A3D7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.响应文件的提交、修改与撤回</w:t>
      </w:r>
    </w:p>
    <w:p w14:paraId="23ADE0E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.1响应文件的提交</w:t>
      </w:r>
    </w:p>
    <w:p w14:paraId="6A06FEC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滁州市公共资源交易中心网，利用用户名或CA锁登录下载磋商文件(.czzf格式)后，在下载“响应文件制作工具”安装后，在线制作响应文件，制作好的响应文件格式有2种:第一种.cztf格式加密响应文件；第二种.ncztf格式是非加密响应文件。请供应商将第一种响应文件通过系统“上传响应文件”上传到系统中。</w:t>
      </w:r>
    </w:p>
    <w:p w14:paraId="449CD64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（2）如果一个项目有多个标段，则需按标段下载对应标段磋商文件分别生成对应的响应文件，通过系统“上传响应文件”按标段分别上传到系统中。</w:t>
      </w:r>
    </w:p>
    <w:p w14:paraId="3E65144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（3）请供应商通过系统下载“响应文件制作工具”制作响应文件，并利用CA锁进行上传响应文件，上传已加密的响应文件，务必通过此方式上传响应文件。</w:t>
      </w:r>
    </w:p>
    <w:p w14:paraId="1153A82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（4）供应商在响应文件编制、签章、上传过程中如有任何操作的疑问请及时联系技术支持，电话：0550-3801701。</w:t>
      </w:r>
    </w:p>
    <w:p w14:paraId="49FF5F4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如果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162804E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6CC18F8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.3供应商应在</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规定的解密时间前对</w:t>
      </w:r>
      <w:r>
        <w:rPr>
          <w:rFonts w:hint="eastAsia" w:ascii="宋体" w:hAnsi="宋体" w:eastAsia="宋体" w:cs="宋体"/>
          <w:color w:val="auto"/>
          <w:sz w:val="24"/>
          <w:highlight w:val="none"/>
          <w:lang w:val="en-US" w:eastAsia="zh-CN"/>
        </w:rPr>
        <w:t>其</w:t>
      </w:r>
      <w:r>
        <w:rPr>
          <w:rFonts w:hint="eastAsia" w:ascii="宋体" w:hAnsi="宋体" w:eastAsia="宋体" w:cs="宋体"/>
          <w:color w:val="auto"/>
          <w:sz w:val="24"/>
          <w:highlight w:val="none"/>
        </w:rPr>
        <w:t>响应文件进行解密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未在规定时间内进行解密的，</w:t>
      </w:r>
      <w:r>
        <w:rPr>
          <w:rFonts w:hint="eastAsia" w:ascii="宋体" w:hAnsi="宋体" w:eastAsia="宋体" w:cs="宋体"/>
          <w:b/>
          <w:color w:val="auto"/>
          <w:sz w:val="24"/>
          <w:highlight w:val="none"/>
        </w:rPr>
        <w:t>响应无效</w:t>
      </w:r>
      <w:r>
        <w:rPr>
          <w:rFonts w:hint="eastAsia" w:ascii="宋体" w:hAnsi="宋体" w:eastAsia="宋体" w:cs="宋体"/>
          <w:b/>
          <w:color w:val="auto"/>
          <w:sz w:val="24"/>
          <w:highlight w:val="none"/>
          <w:lang w:eastAsia="zh-CN"/>
        </w:rPr>
        <w:t>。</w:t>
      </w:r>
    </w:p>
    <w:p w14:paraId="61C06B9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.4在响应文件提交截止时间之后，供应商不得对其响应文件做任何修改。但属于磋商小组在评审中发现的计算错误并进行核实的修改、按照磋商文件的变动情况和磋商小组的要求重新提交响应文件的，不在此列。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30F4FE67">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rPr>
        <w:t>.磋商小组</w:t>
      </w:r>
    </w:p>
    <w:p w14:paraId="06CCCA9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.1本项目将依法组建磋商小组，磋商小组成员由3人以上单数组成，磋商小组及其成员应当依照政府采购的有关规定履行相关职责和义务。</w:t>
      </w:r>
    </w:p>
    <w:p w14:paraId="6CD1A90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.2磋商小组依法对响应文件进行评审，并根据磋商文件规定的程序、评定成交的标准等事项与实质性响应磋商文件要求的供应商进行磋商。</w:t>
      </w:r>
    </w:p>
    <w:p w14:paraId="44A9DF3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.3磋商小组应当从质量和服务均能满足磋商文件实质性响应要求的供应商中，按照评审方法和标准推荐成交候选供应商，并编写评审报告。</w:t>
      </w:r>
    </w:p>
    <w:p w14:paraId="18E090C1">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.响应文件的评审与磋商</w:t>
      </w:r>
    </w:p>
    <w:p w14:paraId="795CA80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.1采购人和采购代理机构将在</w:t>
      </w:r>
      <w:r>
        <w:rPr>
          <w:rFonts w:hint="eastAsia" w:ascii="宋体" w:hAnsi="宋体" w:eastAsia="宋体" w:cs="宋体"/>
          <w:color w:val="auto"/>
          <w:kern w:val="2"/>
          <w:sz w:val="24"/>
          <w:highlight w:val="none"/>
          <w:u w:val="none"/>
          <w:lang w:val="en-US" w:eastAsia="zh-CN"/>
        </w:rPr>
        <w:t>竞争性磋商公告</w:t>
      </w:r>
      <w:r>
        <w:rPr>
          <w:rFonts w:hint="eastAsia" w:ascii="宋体" w:hAnsi="宋体" w:eastAsia="宋体" w:cs="宋体"/>
          <w:color w:val="auto"/>
          <w:sz w:val="24"/>
          <w:highlight w:val="none"/>
        </w:rPr>
        <w:t>规定的时间和地点组织磋商。</w:t>
      </w:r>
    </w:p>
    <w:p w14:paraId="5772888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.2竞争性磋商活动采用综合评分法评审。</w:t>
      </w:r>
    </w:p>
    <w:p w14:paraId="2E88E58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综合评分法，是指响应文件满足磋商文件全部实质性要求且按评审因素的量化指标评审得分最高的供应商为成交候选供应商的评审方法。</w:t>
      </w:r>
    </w:p>
    <w:p w14:paraId="434EAAC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.3磋商小组将按照磋商文件规定的评审方法和标准对供应商独立进行评审。评审程序如下：</w:t>
      </w:r>
    </w:p>
    <w:p w14:paraId="587D5CA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.3.1</w:t>
      </w:r>
      <w:r>
        <w:rPr>
          <w:rFonts w:hint="eastAsia" w:ascii="宋体" w:hAnsi="宋体" w:eastAsia="宋体" w:cs="宋体"/>
          <w:b/>
          <w:color w:val="auto"/>
          <w:sz w:val="24"/>
          <w:highlight w:val="none"/>
        </w:rPr>
        <w:t>初审</w:t>
      </w:r>
      <w:r>
        <w:rPr>
          <w:rFonts w:hint="eastAsia" w:ascii="宋体" w:hAnsi="宋体" w:eastAsia="宋体" w:cs="宋体"/>
          <w:color w:val="auto"/>
          <w:sz w:val="24"/>
          <w:highlight w:val="none"/>
        </w:rPr>
        <w:t>。磋商小组对供应商必须满足和实质性响应的内容进行评审，供应商未实质性响应磋商文件要求导致响应无效的，磋商小组将以书面询标的方式告知有关供应商。</w:t>
      </w:r>
    </w:p>
    <w:p w14:paraId="3CECA06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305195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20AC41D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2E58DD0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.3.2</w:t>
      </w:r>
      <w:r>
        <w:rPr>
          <w:rFonts w:hint="eastAsia" w:ascii="宋体" w:hAnsi="宋体" w:eastAsia="宋体" w:cs="宋体"/>
          <w:b/>
          <w:color w:val="auto"/>
          <w:sz w:val="24"/>
          <w:highlight w:val="none"/>
        </w:rPr>
        <w:t>磋商</w:t>
      </w:r>
      <w:r>
        <w:rPr>
          <w:rFonts w:hint="eastAsia" w:ascii="宋体" w:hAnsi="宋体" w:eastAsia="宋体" w:cs="宋体"/>
          <w:color w:val="auto"/>
          <w:sz w:val="24"/>
          <w:highlight w:val="none"/>
        </w:rPr>
        <w:t>。初审合格后，磋商小组将按网上加密电子响应文件提交顺序集中与单一供应商分别进行磋商，并给予所有参加磋商的供应商平等的磋商机会。</w:t>
      </w:r>
    </w:p>
    <w:p w14:paraId="41164D6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.3.3</w:t>
      </w:r>
      <w:r>
        <w:rPr>
          <w:rFonts w:hint="eastAsia" w:ascii="宋体" w:hAnsi="宋体" w:eastAsia="宋体" w:cs="宋体"/>
          <w:b/>
          <w:color w:val="auto"/>
          <w:sz w:val="24"/>
          <w:highlight w:val="none"/>
        </w:rPr>
        <w:t>报价</w:t>
      </w:r>
      <w:r>
        <w:rPr>
          <w:rFonts w:hint="eastAsia" w:ascii="宋体" w:hAnsi="宋体" w:eastAsia="宋体" w:cs="宋体"/>
          <w:color w:val="auto"/>
          <w:sz w:val="24"/>
          <w:highlight w:val="none"/>
        </w:rPr>
        <w:t>。磋商结束后，磋商小组应当要求所有实质性响应的供应商在规定时间内提交最后报价。</w:t>
      </w:r>
    </w:p>
    <w:p w14:paraId="7B3D76E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.3.4</w:t>
      </w:r>
      <w:r>
        <w:rPr>
          <w:rFonts w:hint="eastAsia" w:ascii="宋体" w:hAnsi="宋体" w:eastAsia="宋体" w:cs="宋体"/>
          <w:b/>
          <w:color w:val="auto"/>
          <w:sz w:val="24"/>
          <w:highlight w:val="none"/>
        </w:rPr>
        <w:t>综合评分</w:t>
      </w:r>
      <w:r>
        <w:rPr>
          <w:rFonts w:hint="eastAsia" w:ascii="宋体" w:hAnsi="宋体" w:eastAsia="宋体" w:cs="宋体"/>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2A52E4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.4相关说明。</w:t>
      </w:r>
    </w:p>
    <w:p w14:paraId="2E48581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.4.1为保证磋商活动顺利进行，供应商可派相关技术人员进行网上答疑； </w:t>
      </w:r>
    </w:p>
    <w:p w14:paraId="48A4BA7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3BF0E3C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宋体" w:hAnsi="宋体" w:eastAsia="宋体" w:cs="宋体"/>
          <w:b/>
          <w:color w:val="auto"/>
          <w:sz w:val="24"/>
          <w:highlight w:val="none"/>
        </w:rPr>
        <w:t>响应无效。</w:t>
      </w:r>
    </w:p>
    <w:p w14:paraId="368A18F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.4.4无论何种原因，即使供应商磋商时携带了证书材料的原件，但响应文件中未提供与之内容完全一致的扫描件的，磋商小组可以视同其未提供。</w:t>
      </w:r>
    </w:p>
    <w:p w14:paraId="390C955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.4.5磋商小组决定响应文件的响应性及符合性只根据响应文件本身的内容，而不寻求其他外部证据。</w:t>
      </w:r>
    </w:p>
    <w:p w14:paraId="5EE4F7E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.5供应商授权代表对磋商过程有疑义，以及认为采购人、采购代理机构相关工作人员有需要回避的情形的，应当场提出询问或者回避申请，并说明理由。 </w:t>
      </w:r>
    </w:p>
    <w:p w14:paraId="79CBED60">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.终止竞争性磋商</w:t>
      </w:r>
    </w:p>
    <w:p w14:paraId="65C144B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.1出现下列情况之一时，采购人和采购代理机构有权宣布终止竞争性磋商采购，并将理由通知所有供应商：</w:t>
      </w:r>
    </w:p>
    <w:p w14:paraId="7BA089B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（1）有效供应商数量不足，导致本次磋商缺乏竞争的；</w:t>
      </w:r>
    </w:p>
    <w:p w14:paraId="1820110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628BF38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（3）因重大变故，采购任务取消的；</w:t>
      </w:r>
    </w:p>
    <w:p w14:paraId="2BE26A7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（4）政府采购法律法规规定的其他情形。</w:t>
      </w:r>
    </w:p>
    <w:p w14:paraId="1B757E76">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16</w:t>
      </w:r>
      <w:r>
        <w:rPr>
          <w:rFonts w:hint="eastAsia" w:ascii="宋体" w:hAnsi="宋体" w:eastAsia="宋体" w:cs="宋体"/>
          <w:b/>
          <w:color w:val="auto"/>
          <w:sz w:val="24"/>
          <w:highlight w:val="none"/>
        </w:rPr>
        <w:t>.响应文件的澄清、说明或更正</w:t>
      </w:r>
    </w:p>
    <w:p w14:paraId="5C5AA146">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29F0BFDE">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72CF7F0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cs="宋体"/>
          <w:b/>
          <w:bCs/>
          <w:color w:val="auto"/>
          <w:sz w:val="24"/>
          <w:highlight w:val="none"/>
        </w:rPr>
        <w:t>、没有及时登录系统等情形</w:t>
      </w:r>
      <w:r>
        <w:rPr>
          <w:rFonts w:hint="eastAsia" w:ascii="宋体" w:hAnsi="宋体" w:eastAsia="宋体" w:cs="宋体"/>
          <w:b/>
          <w:color w:val="auto"/>
          <w:sz w:val="24"/>
          <w:highlight w:val="none"/>
        </w:rPr>
        <w:t>而无法接受磋商小组询标的，供应商自行承担相关风险。</w:t>
      </w:r>
    </w:p>
    <w:p w14:paraId="0B763787">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17</w:t>
      </w:r>
      <w:r>
        <w:rPr>
          <w:rFonts w:hint="eastAsia" w:ascii="宋体" w:hAnsi="宋体" w:eastAsia="宋体" w:cs="宋体"/>
          <w:b/>
          <w:color w:val="auto"/>
          <w:sz w:val="24"/>
          <w:highlight w:val="none"/>
        </w:rPr>
        <w:t>.最后报价</w:t>
      </w:r>
    </w:p>
    <w:p w14:paraId="295C349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.1磋商并不限定只进行二轮报价，如果磋商小组认为有必要，可以要求供应商进行多轮报价。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本项目约定为两次报价</w:t>
      </w:r>
      <w:r>
        <w:rPr>
          <w:rFonts w:hint="eastAsia" w:ascii="宋体" w:hAnsi="宋体" w:eastAsia="宋体" w:cs="宋体"/>
          <w:color w:val="auto"/>
          <w:sz w:val="24"/>
          <w:highlight w:val="none"/>
          <w:lang w:eastAsia="zh-CN"/>
        </w:rPr>
        <w:t>）</w:t>
      </w:r>
    </w:p>
    <w:p w14:paraId="168A79E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szCs w:val="20"/>
          <w:highlight w:val="none"/>
          <w:lang w:val="en-US" w:eastAsia="zh-CN" w:bidi="ar-SA"/>
        </w:rPr>
        <w:t>本次磋商实行两次报价。第一次报价为供应商在响应文件中填报的报价，第二次报价在响应文件通过评审后，由磋商小组通过评标系统以询标方式，向响应文件评审有效的各供应商进行询标，各供应商应在评标系统询标规定的时间内，通过“评标澄清回复”进行二次报价。各供应商应及时查看系统质询问题并及时进行二次报价，第二次报价即为最后报价，若供应商未在系统询标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其一次报价，否则取消其磋商资格。望各供应商务必全程在线，及时进行回复，否则，因此给其造成相关后果，自行承担。</w:t>
      </w:r>
    </w:p>
    <w:p w14:paraId="6D3EACC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.2在磋商内容不做实质性变更或重大调整的前提下，供应商下轮报价不得高于上一轮报价。</w:t>
      </w:r>
    </w:p>
    <w:p w14:paraId="2F800F3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.3最后报价是供应商响应文件的有效组成部分，最后报价也是签订合同的依据。</w:t>
      </w:r>
    </w:p>
    <w:p w14:paraId="03CC064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bookmarkStart w:id="29" w:name="_Hlk60607655"/>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4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中规定的标准扣除后的价格参与评审。对于同时属于小微企业、监狱企业或残疾人福利性单位的，不重复进行最后报价扣除。</w:t>
      </w:r>
    </w:p>
    <w:p w14:paraId="69D150D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450F407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bookmarkEnd w:id="29"/>
    </w:p>
    <w:p w14:paraId="307320D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17</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16852C3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2D9BAE5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4DBE8AC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8</w:t>
      </w:r>
      <w:r>
        <w:rPr>
          <w:rFonts w:hint="eastAsia" w:ascii="宋体" w:hAnsi="宋体" w:eastAsia="宋体" w:cs="宋体"/>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786C06F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工程造价的确定与控制</w:t>
      </w:r>
    </w:p>
    <w:p w14:paraId="6F82512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.1本工程确定成交供应商后，工程总造价在磋商范围内包定，除经批准的设计变更、经济签证外，其它工程造价增减均不予签证计价。</w:t>
      </w:r>
    </w:p>
    <w:p w14:paraId="4B93DF7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62DB73A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55928A3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4</w:t>
      </w:r>
      <w:r>
        <w:rPr>
          <w:rFonts w:hint="eastAsia" w:ascii="宋体" w:hAnsi="宋体" w:eastAsia="宋体" w:cs="宋体"/>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642BAAE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17.10</w:t>
      </w:r>
      <w:r>
        <w:rPr>
          <w:rFonts w:hint="eastAsia" w:ascii="宋体" w:hAnsi="宋体" w:eastAsia="宋体" w:cs="宋体"/>
          <w:color w:val="auto"/>
          <w:kern w:val="2"/>
          <w:sz w:val="24"/>
          <w:highlight w:val="none"/>
        </w:rPr>
        <w:t>成交供应商在工程量清单报价书中所报的综合单价一律不予调整。</w:t>
      </w:r>
    </w:p>
    <w:p w14:paraId="1A2E669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rPr>
        <w:t>17.11</w:t>
      </w:r>
      <w:r>
        <w:rPr>
          <w:rFonts w:hint="eastAsia" w:ascii="宋体" w:hAnsi="宋体" w:eastAsia="宋体" w:cs="宋体"/>
          <w:color w:val="auto"/>
          <w:kern w:val="2"/>
          <w:sz w:val="24"/>
          <w:highlight w:val="none"/>
        </w:rPr>
        <w:t>本工程不接受恶意不平衡报价，不保证最低价成交。</w:t>
      </w:r>
    </w:p>
    <w:p w14:paraId="359B88D8">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.成交候选供应商的推荐原则及标准</w:t>
      </w:r>
    </w:p>
    <w:p w14:paraId="3C3A033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12E546F">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.确定成交候选供应商和成交供应商</w:t>
      </w:r>
    </w:p>
    <w:p w14:paraId="7943E8BB">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.1磋商小组根据综合评分的结果和</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中规定确定成交候选供应商，并标明排列顺序。按</w:t>
      </w:r>
      <w:r>
        <w:rPr>
          <w:rFonts w:hint="eastAsia" w:ascii="宋体" w:hAnsi="宋体" w:eastAsia="宋体" w:cs="宋体"/>
          <w:color w:val="auto"/>
          <w:sz w:val="24"/>
          <w:highlight w:val="none"/>
          <w:u w:val="single"/>
          <w:lang w:val="en-US" w:eastAsia="zh-CN"/>
        </w:rPr>
        <w:t>供应商</w:t>
      </w:r>
      <w:r>
        <w:rPr>
          <w:rFonts w:hint="eastAsia" w:ascii="宋体" w:hAnsi="宋体" w:eastAsia="宋体" w:cs="宋体"/>
          <w:color w:val="auto"/>
          <w:sz w:val="24"/>
          <w:highlight w:val="none"/>
          <w:u w:val="single"/>
        </w:rPr>
        <w:t>须知前附表</w:t>
      </w:r>
      <w:r>
        <w:rPr>
          <w:rFonts w:hint="eastAsia" w:ascii="宋体" w:hAnsi="宋体" w:eastAsia="宋体" w:cs="宋体"/>
          <w:color w:val="auto"/>
          <w:sz w:val="24"/>
          <w:highlight w:val="none"/>
        </w:rPr>
        <w:t>中规定，由</w:t>
      </w:r>
      <w:r>
        <w:rPr>
          <w:rFonts w:hint="eastAsia" w:ascii="宋体" w:hAnsi="宋体" w:eastAsia="宋体" w:cs="宋体"/>
          <w:color w:val="auto"/>
          <w:sz w:val="24"/>
          <w:highlight w:val="none"/>
          <w:lang w:val="en-US" w:eastAsia="zh-CN"/>
        </w:rPr>
        <w:t>磋商小组</w:t>
      </w:r>
      <w:r>
        <w:rPr>
          <w:rFonts w:hint="eastAsia" w:ascii="宋体" w:hAnsi="宋体" w:eastAsia="宋体" w:cs="宋体"/>
          <w:color w:val="auto"/>
          <w:sz w:val="24"/>
          <w:highlight w:val="none"/>
        </w:rPr>
        <w:t>或采购人确定</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w:t>
      </w:r>
    </w:p>
    <w:p w14:paraId="2E0AB5F5">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.编写评审报告</w:t>
      </w:r>
    </w:p>
    <w:p w14:paraId="017AFB4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6BF20423">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.保密要求</w:t>
      </w:r>
    </w:p>
    <w:p w14:paraId="7E497F4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.1评审将在严格保密的情况下进行。</w:t>
      </w:r>
    </w:p>
    <w:p w14:paraId="6353224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.2有关人员应当遵守评审工作纪律，不得泄露评审文件、评审情况和评审中获悉的国家秘密、商业秘密。</w:t>
      </w:r>
    </w:p>
    <w:p w14:paraId="74E1550A">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.成交结果公告</w:t>
      </w:r>
    </w:p>
    <w:p w14:paraId="25A4481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.1为体现“公开、公平、公正”的原则，磋商结束后，采购代理机构将</w:t>
      </w:r>
      <w:r>
        <w:rPr>
          <w:rFonts w:hint="eastAsia" w:ascii="宋体" w:hAnsi="宋体" w:eastAsia="宋体" w:cs="宋体"/>
          <w:color w:val="auto"/>
          <w:sz w:val="24"/>
          <w:szCs w:val="18"/>
          <w:highlight w:val="none"/>
        </w:rPr>
        <w:t>在安徽省政府采购网（www.ccgp-anhui.gov.cn）上</w:t>
      </w:r>
      <w:r>
        <w:rPr>
          <w:rFonts w:hint="eastAsia" w:ascii="宋体" w:hAnsi="宋体" w:eastAsia="宋体" w:cs="宋体"/>
          <w:color w:val="auto"/>
          <w:sz w:val="24"/>
          <w:highlight w:val="none"/>
        </w:rPr>
        <w:t>发布成交结果公告。</w:t>
      </w:r>
    </w:p>
    <w:p w14:paraId="26BADF4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中约定进行公告的内容。</w:t>
      </w:r>
    </w:p>
    <w:p w14:paraId="755CB237">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23</w:t>
      </w:r>
      <w:r>
        <w:rPr>
          <w:rFonts w:hint="eastAsia" w:ascii="宋体" w:hAnsi="宋体" w:eastAsia="宋体" w:cs="宋体"/>
          <w:b/>
          <w:color w:val="auto"/>
          <w:sz w:val="24"/>
          <w:highlight w:val="none"/>
        </w:rPr>
        <w:t>.成交通知书</w:t>
      </w:r>
    </w:p>
    <w:p w14:paraId="3A282A5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.1采购代理机构发布成交结果公告的同时以</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规定的形式向成交供应商发出成交通知书。</w:t>
      </w:r>
    </w:p>
    <w:p w14:paraId="5A404EB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.2成交通知书对采购人和成交供应商具有同等法律效力。成交通知书发出以后，采购人改变成交结果或者成交供应商放弃成交资格，应当承担相应的法律责任。</w:t>
      </w:r>
    </w:p>
    <w:p w14:paraId="6C26413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.3成交通知书是合同的组成部分。</w:t>
      </w:r>
    </w:p>
    <w:p w14:paraId="6D9F87E5">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.告知磋商结果</w:t>
      </w:r>
    </w:p>
    <w:p w14:paraId="669A7BB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.1在公告成交结果的同时，采购代理机构同时以</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规定的形式告知未成交供应商本人的评审得分和排序。</w:t>
      </w:r>
    </w:p>
    <w:p w14:paraId="5A5FEA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.2采购代理机构对未成交的供应商不做未成交原因的解释。</w:t>
      </w:r>
    </w:p>
    <w:p w14:paraId="3D54AA61">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.履约保证金</w:t>
      </w:r>
    </w:p>
    <w:p w14:paraId="26E91EF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.1成交供应商应按照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规定缴纳履约保证金。</w:t>
      </w:r>
    </w:p>
    <w:p w14:paraId="34C4B96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7E66B408">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14BF5C8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的规定执行。</w:t>
      </w:r>
    </w:p>
    <w:p w14:paraId="37748362">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154A54B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7AB2921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.2磋商文件、成交供应商的响应文件及其澄清文件等，均为签订合同的依据。</w:t>
      </w:r>
    </w:p>
    <w:p w14:paraId="7E8B6D67">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3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14:paraId="75F8D04E">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bookmarkStart w:id="30" w:name="_Hlk60264926"/>
      <w:r>
        <w:rPr>
          <w:rFonts w:hint="eastAsia" w:ascii="宋体" w:hAnsi="宋体" w:eastAsia="宋体" w:cs="宋体"/>
          <w:color w:val="auto"/>
          <w:sz w:val="24"/>
          <w:highlight w:val="none"/>
          <w:lang w:val="en-US" w:eastAsia="zh-CN"/>
        </w:rPr>
        <w:t>27.4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bookmarkEnd w:id="30"/>
    </w:p>
    <w:p w14:paraId="6C29E7E3">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.廉洁自律规定</w:t>
      </w:r>
    </w:p>
    <w:p w14:paraId="6838D59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32371B1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08B0CA9C">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29</w:t>
      </w:r>
      <w:r>
        <w:rPr>
          <w:rFonts w:hint="eastAsia" w:ascii="宋体" w:hAnsi="宋体" w:eastAsia="宋体" w:cs="宋体"/>
          <w:b/>
          <w:color w:val="auto"/>
          <w:sz w:val="24"/>
          <w:highlight w:val="none"/>
        </w:rPr>
        <w:t>.质疑的提出与接收</w:t>
      </w:r>
    </w:p>
    <w:p w14:paraId="70C563C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3877326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067F75A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4D569CC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0214A255">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.需要补充的其他内容</w:t>
      </w:r>
    </w:p>
    <w:p w14:paraId="1E3D6A1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599BACE5">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75B8129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Theme="minorEastAsia" w:hAnsiTheme="minorEastAsia" w:eastAsiaTheme="minorEastAsia"/>
          <w:b/>
          <w:color w:val="auto"/>
          <w:sz w:val="28"/>
          <w:highlight w:val="none"/>
        </w:rPr>
      </w:pPr>
      <w:bookmarkStart w:id="31" w:name="_Toc30873"/>
      <w:r>
        <w:rPr>
          <w:rFonts w:hint="eastAsia" w:asciiTheme="minorEastAsia" w:hAnsiTheme="minorEastAsia" w:eastAsiaTheme="minorEastAsia"/>
          <w:b/>
          <w:color w:val="auto"/>
          <w:sz w:val="28"/>
          <w:highlight w:val="none"/>
        </w:rPr>
        <w:t>第三章  采购需求</w:t>
      </w:r>
      <w:bookmarkEnd w:id="31"/>
    </w:p>
    <w:tbl>
      <w:tblPr>
        <w:tblStyle w:val="97"/>
        <w:tblW w:w="5711" w:type="pct"/>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020"/>
        <w:gridCol w:w="7906"/>
      </w:tblGrid>
      <w:tr w14:paraId="3C9A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6F68BE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522" w:type="pct"/>
            <w:vAlign w:val="center"/>
          </w:tcPr>
          <w:p w14:paraId="0BFD464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4045" w:type="pct"/>
            <w:vAlign w:val="center"/>
          </w:tcPr>
          <w:p w14:paraId="5C3A4A2A">
            <w:pPr>
              <w:keepNext w:val="0"/>
              <w:keepLines w:val="0"/>
              <w:pageBreakBefore w:val="0"/>
              <w:widowControl w:val="0"/>
              <w:kinsoku/>
              <w:wordWrap/>
              <w:overflowPunct/>
              <w:topLinePunct w:val="0"/>
              <w:autoSpaceDE/>
              <w:autoSpaceDN/>
              <w:bidi w:val="0"/>
              <w:adjustRightInd/>
              <w:snapToGrid/>
              <w:spacing w:line="520" w:lineRule="exact"/>
              <w:ind w:firstLine="435"/>
              <w:jc w:val="center"/>
              <w:textAlignment w:val="auto"/>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531F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4900037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522" w:type="pct"/>
            <w:vAlign w:val="center"/>
          </w:tcPr>
          <w:p w14:paraId="7E72410E">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4045" w:type="pct"/>
            <w:vAlign w:val="center"/>
          </w:tcPr>
          <w:p w14:paraId="5D38900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项目经理每月在施工现场的时间要求：驻场时间每月不少于24天，每缺席一天支付2000元/天的违约金。</w:t>
            </w:r>
          </w:p>
          <w:p w14:paraId="55CCD6C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1、项目经理驻场要求:不得更换项目经理；项目经理驻场累计时间不得低于实际工期的80%，不得无故脱离施工现场，缺少一天按2000元/天从工程结算价抵扣；无故不参加采购召开的例会、连续缺勤3天、累计缺勤5天或在施工关键技术环节缺勤的，采购人终止合同并对已完工程不予以计量计价，视为成交人违约并承担一切损失和赔偿。</w:t>
            </w:r>
          </w:p>
          <w:p w14:paraId="76DBC1F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2、成交人在施工期间，做好采购人既有设施设备的保护和管理，因施工给采购人带来损失的，应予以修复或赔偿,赔偿款从工程结算款价中抵扣。工程结束后提交验收前应做好现场保洁，确保整洁干净。</w:t>
            </w:r>
          </w:p>
          <w:p w14:paraId="311DE0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3、本项目工程，成交人在施工中所使用的水电费，据实结算，从工程结算款价中抵扣。对无法装表计量的用水用电，分别按工程结算价款的0.3%和0.4%收取水电费。</w:t>
            </w:r>
          </w:p>
        </w:tc>
      </w:tr>
      <w:tr w14:paraId="1F9B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138C94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522" w:type="pct"/>
            <w:vAlign w:val="center"/>
          </w:tcPr>
          <w:p w14:paraId="3A0C657F">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4045" w:type="pct"/>
            <w:vAlign w:val="center"/>
          </w:tcPr>
          <w:p w14:paraId="197075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供应商在响应文件中需明确主材品牌</w:t>
            </w:r>
            <w:r>
              <w:rPr>
                <w:rFonts w:hint="eastAsia" w:cs="@仿宋_GB2312" w:asciiTheme="minorEastAsia" w:hAnsiTheme="minorEastAsia" w:eastAsiaTheme="minorEastAsia"/>
                <w:b/>
                <w:bCs/>
                <w:color w:val="auto"/>
                <w:kern w:val="2"/>
                <w:sz w:val="24"/>
                <w:szCs w:val="22"/>
                <w:highlight w:val="none"/>
                <w:lang w:eastAsia="zh-CN"/>
              </w:rPr>
              <w:t>（</w:t>
            </w:r>
            <w:r>
              <w:rPr>
                <w:rFonts w:hint="eastAsia" w:cs="@仿宋_GB2312" w:asciiTheme="minorEastAsia" w:hAnsiTheme="minorEastAsia" w:eastAsiaTheme="minorEastAsia"/>
                <w:b/>
                <w:bCs/>
                <w:color w:val="auto"/>
                <w:kern w:val="2"/>
                <w:sz w:val="24"/>
                <w:szCs w:val="22"/>
                <w:highlight w:val="none"/>
                <w:lang w:val="en-US" w:eastAsia="zh-CN"/>
              </w:rPr>
              <w:t>具体表格详见第六章响应文件格式）</w:t>
            </w:r>
            <w:r>
              <w:rPr>
                <w:rFonts w:hint="eastAsia" w:cs="@仿宋_GB2312" w:asciiTheme="minorEastAsia" w:hAnsiTheme="minorEastAsia" w:eastAsiaTheme="minorEastAsia"/>
                <w:color w:val="auto"/>
                <w:kern w:val="2"/>
                <w:sz w:val="24"/>
                <w:szCs w:val="22"/>
                <w:highlight w:val="none"/>
              </w:rPr>
              <w:t>，承诺主材进场前提供主材产品检测报告或出厂检测合格证</w:t>
            </w:r>
            <w:r>
              <w:rPr>
                <w:rFonts w:hint="eastAsia" w:cs="@仿宋_GB2312" w:asciiTheme="minorEastAsia" w:hAnsiTheme="minorEastAsia" w:eastAsiaTheme="minorEastAsia"/>
                <w:b/>
                <w:bCs/>
                <w:color w:val="auto"/>
                <w:kern w:val="2"/>
                <w:sz w:val="24"/>
                <w:szCs w:val="22"/>
                <w:highlight w:val="none"/>
                <w:lang w:eastAsia="zh-CN"/>
              </w:rPr>
              <w:t>（</w:t>
            </w:r>
            <w:r>
              <w:rPr>
                <w:rFonts w:hint="eastAsia" w:cs="@仿宋_GB2312" w:asciiTheme="minorEastAsia" w:hAnsiTheme="minorEastAsia" w:eastAsiaTheme="minorEastAsia"/>
                <w:b/>
                <w:bCs/>
                <w:color w:val="auto"/>
                <w:kern w:val="2"/>
                <w:sz w:val="24"/>
                <w:szCs w:val="22"/>
                <w:highlight w:val="none"/>
                <w:lang w:val="en-US" w:eastAsia="zh-CN"/>
              </w:rPr>
              <w:t>提供承诺函，格式自拟）</w:t>
            </w:r>
            <w:r>
              <w:rPr>
                <w:rFonts w:hint="eastAsia" w:cs="@仿宋_GB2312" w:asciiTheme="minorEastAsia" w:hAnsiTheme="minorEastAsia" w:eastAsiaTheme="minorEastAsia"/>
                <w:color w:val="auto"/>
                <w:kern w:val="2"/>
                <w:sz w:val="24"/>
                <w:szCs w:val="22"/>
                <w:highlight w:val="none"/>
              </w:rPr>
              <w:t>。本项目无线远传智能水表</w:t>
            </w:r>
            <w:r>
              <w:rPr>
                <w:rFonts w:hint="eastAsia" w:cs="@仿宋_GB2312" w:asciiTheme="minorEastAsia" w:hAnsiTheme="minorEastAsia" w:eastAsiaTheme="minorEastAsia"/>
                <w:color w:val="auto"/>
                <w:kern w:val="2"/>
                <w:sz w:val="24"/>
                <w:szCs w:val="22"/>
                <w:highlight w:val="none"/>
                <w:lang w:val="en-US" w:eastAsia="zh-CN"/>
              </w:rPr>
              <w:t>须</w:t>
            </w:r>
            <w:r>
              <w:rPr>
                <w:rFonts w:hint="eastAsia" w:cs="@仿宋_GB2312" w:asciiTheme="minorEastAsia" w:hAnsiTheme="minorEastAsia" w:eastAsiaTheme="minorEastAsia"/>
                <w:color w:val="auto"/>
                <w:kern w:val="2"/>
                <w:sz w:val="24"/>
                <w:szCs w:val="22"/>
                <w:highlight w:val="none"/>
              </w:rPr>
              <w:t>连接至学校现有能源监管平台，投标人自行勘查现场，投标报价已包含对接、开发系统、调试等费用。</w:t>
            </w:r>
          </w:p>
          <w:p w14:paraId="701E78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2.</w:t>
            </w:r>
            <w:r>
              <w:rPr>
                <w:rFonts w:hint="eastAsia" w:cs="@仿宋_GB2312" w:asciiTheme="minorEastAsia" w:hAnsiTheme="minorEastAsia" w:eastAsiaTheme="minorEastAsia"/>
                <w:color w:val="auto"/>
                <w:kern w:val="2"/>
                <w:sz w:val="24"/>
                <w:szCs w:val="22"/>
                <w:highlight w:val="none"/>
              </w:rPr>
              <w:t>供应商竣工后提供</w:t>
            </w:r>
            <w:r>
              <w:rPr>
                <w:rFonts w:hint="eastAsia" w:cs="@仿宋_GB2312" w:asciiTheme="minorEastAsia" w:hAnsiTheme="minorEastAsia" w:eastAsiaTheme="minorEastAsia"/>
                <w:color w:val="auto"/>
                <w:kern w:val="2"/>
                <w:sz w:val="24"/>
                <w:szCs w:val="22"/>
                <w:highlight w:val="none"/>
                <w:lang w:val="en-US" w:eastAsia="zh-CN"/>
              </w:rPr>
              <w:t>给水管网更新工程竣工图，详细标注位置、埋深、坐标等</w:t>
            </w:r>
            <w:r>
              <w:rPr>
                <w:rFonts w:hint="eastAsia" w:cs="@仿宋_GB2312" w:asciiTheme="minorEastAsia" w:hAnsiTheme="minorEastAsia" w:eastAsiaTheme="minorEastAsia"/>
                <w:color w:val="auto"/>
                <w:kern w:val="2"/>
                <w:sz w:val="24"/>
                <w:szCs w:val="22"/>
                <w:highlight w:val="none"/>
              </w:rPr>
              <w:t>，其费用包含在工程内。</w:t>
            </w:r>
          </w:p>
          <w:p w14:paraId="5C468D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3.</w:t>
            </w:r>
            <w:r>
              <w:rPr>
                <w:rFonts w:hint="eastAsia" w:cs="@仿宋_GB2312" w:asciiTheme="minorEastAsia" w:hAnsiTheme="minorEastAsia" w:eastAsiaTheme="minorEastAsia"/>
                <w:color w:val="auto"/>
                <w:kern w:val="2"/>
                <w:sz w:val="24"/>
                <w:szCs w:val="22"/>
                <w:highlight w:val="none"/>
              </w:rPr>
              <w:t>所有主材和辅材、主件和配件应为市面可见的全新正规产品，不得使用二手产品；所购设备及材料必须符合招标要求和国家相关安全、环保标准。</w:t>
            </w:r>
          </w:p>
        </w:tc>
      </w:tr>
      <w:tr w14:paraId="2B5F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43839D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522" w:type="pct"/>
            <w:vAlign w:val="center"/>
          </w:tcPr>
          <w:p w14:paraId="456855D9">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4045" w:type="pct"/>
            <w:vAlign w:val="center"/>
          </w:tcPr>
          <w:p w14:paraId="617863FE">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b/>
                <w:bCs/>
                <w:color w:val="auto"/>
                <w:kern w:val="2"/>
                <w:sz w:val="24"/>
                <w:szCs w:val="22"/>
                <w:highlight w:val="none"/>
                <w:lang w:val="en-US" w:eastAsia="zh-CN"/>
              </w:rPr>
            </w:pPr>
            <w:r>
              <w:rPr>
                <w:rFonts w:hint="eastAsia" w:cs="@仿宋_GB2312" w:asciiTheme="minorEastAsia" w:hAnsiTheme="minorEastAsia" w:eastAsiaTheme="minorEastAsia"/>
                <w:b/>
                <w:bCs/>
                <w:color w:val="auto"/>
                <w:kern w:val="2"/>
                <w:sz w:val="24"/>
                <w:szCs w:val="22"/>
                <w:highlight w:val="none"/>
                <w:lang w:val="en-US" w:eastAsia="zh-CN"/>
              </w:rPr>
              <w:t>1、</w:t>
            </w:r>
            <w:r>
              <w:rPr>
                <w:rFonts w:hint="default" w:cs="@仿宋_GB2312" w:asciiTheme="minorEastAsia" w:hAnsiTheme="minorEastAsia" w:eastAsiaTheme="minorEastAsia"/>
                <w:b/>
                <w:bCs/>
                <w:color w:val="auto"/>
                <w:kern w:val="2"/>
                <w:sz w:val="24"/>
                <w:szCs w:val="22"/>
                <w:highlight w:val="none"/>
                <w:lang w:val="en-US" w:eastAsia="zh-CN"/>
              </w:rPr>
              <w:t>项目位于校园内，注意安全文明施工，施工时间不得影响正常的教学生活，停水施工需在夜间进行，施工场地设置安全防护栏，道路设置钢板，保证师生通行</w:t>
            </w:r>
            <w:r>
              <w:rPr>
                <w:rFonts w:hint="eastAsia" w:cs="@仿宋_GB2312" w:asciiTheme="minorEastAsia" w:hAnsiTheme="minorEastAsia" w:eastAsiaTheme="minorEastAsia"/>
                <w:b/>
                <w:bCs/>
                <w:color w:val="auto"/>
                <w:kern w:val="2"/>
                <w:sz w:val="24"/>
                <w:szCs w:val="22"/>
                <w:highlight w:val="none"/>
                <w:lang w:val="en-US" w:eastAsia="zh-CN"/>
              </w:rPr>
              <w:t>。</w:t>
            </w:r>
          </w:p>
          <w:p w14:paraId="6B582F98">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cs="@仿宋_GB2312" w:asciiTheme="minorEastAsia" w:hAnsiTheme="minorEastAsia" w:eastAsiaTheme="minorEastAsia"/>
                <w:b/>
                <w:bCs/>
                <w:color w:val="auto"/>
                <w:kern w:val="2"/>
                <w:sz w:val="24"/>
                <w:szCs w:val="22"/>
                <w:highlight w:val="none"/>
                <w:lang w:val="en-US" w:eastAsia="zh-CN"/>
              </w:rPr>
            </w:pPr>
            <w:r>
              <w:rPr>
                <w:rFonts w:hint="eastAsia" w:cs="@仿宋_GB2312" w:asciiTheme="minorEastAsia" w:hAnsiTheme="minorEastAsia" w:eastAsiaTheme="minorEastAsia"/>
                <w:b/>
                <w:bCs/>
                <w:color w:val="auto"/>
                <w:kern w:val="2"/>
                <w:sz w:val="24"/>
                <w:szCs w:val="22"/>
                <w:highlight w:val="none"/>
                <w:lang w:val="en-US" w:eastAsia="zh-CN"/>
              </w:rPr>
              <w:t>2、</w:t>
            </w:r>
            <w:r>
              <w:rPr>
                <w:rFonts w:hint="default" w:cs="@仿宋_GB2312" w:asciiTheme="minorEastAsia" w:hAnsiTheme="minorEastAsia" w:eastAsiaTheme="minorEastAsia"/>
                <w:b/>
                <w:bCs/>
                <w:color w:val="auto"/>
                <w:kern w:val="2"/>
                <w:sz w:val="24"/>
                <w:szCs w:val="22"/>
                <w:highlight w:val="none"/>
                <w:lang w:val="en-US" w:eastAsia="zh-CN"/>
              </w:rPr>
              <w:t>我校琅琊校区因建设年代久远，地下管线复杂，人员密集，需要人工开挖，确保不出现挖断水电燃气管线情况。</w:t>
            </w:r>
          </w:p>
          <w:p w14:paraId="3DBC02F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b/>
                <w:bCs/>
                <w:color w:val="auto"/>
                <w:kern w:val="2"/>
                <w:sz w:val="24"/>
                <w:szCs w:val="22"/>
                <w:highlight w:val="none"/>
                <w:lang w:val="en-US" w:eastAsia="zh-CN"/>
              </w:rPr>
              <w:t>3、成交人</w:t>
            </w:r>
            <w:r>
              <w:rPr>
                <w:rFonts w:hint="default" w:cs="@仿宋_GB2312" w:asciiTheme="minorEastAsia" w:hAnsiTheme="minorEastAsia" w:eastAsiaTheme="minorEastAsia"/>
                <w:b/>
                <w:bCs/>
                <w:color w:val="auto"/>
                <w:kern w:val="2"/>
                <w:sz w:val="24"/>
                <w:szCs w:val="22"/>
                <w:highlight w:val="none"/>
                <w:lang w:val="en-US" w:eastAsia="zh-CN"/>
              </w:rPr>
              <w:t>提前对接燃气公司，自来水公司，供电公司等，做好管网保护。请</w:t>
            </w:r>
            <w:r>
              <w:rPr>
                <w:rFonts w:hint="eastAsia" w:cs="@仿宋_GB2312" w:asciiTheme="minorEastAsia" w:hAnsiTheme="minorEastAsia" w:eastAsiaTheme="minorEastAsia"/>
                <w:b/>
                <w:bCs/>
                <w:color w:val="auto"/>
                <w:kern w:val="2"/>
                <w:sz w:val="24"/>
                <w:szCs w:val="22"/>
                <w:highlight w:val="none"/>
                <w:lang w:val="en-US" w:eastAsia="zh-CN"/>
              </w:rPr>
              <w:t>供应商</w:t>
            </w:r>
            <w:r>
              <w:rPr>
                <w:rFonts w:hint="default" w:cs="@仿宋_GB2312" w:asciiTheme="minorEastAsia" w:hAnsiTheme="minorEastAsia" w:eastAsiaTheme="minorEastAsia"/>
                <w:b/>
                <w:bCs/>
                <w:color w:val="auto"/>
                <w:kern w:val="2"/>
                <w:sz w:val="24"/>
                <w:szCs w:val="22"/>
                <w:highlight w:val="none"/>
                <w:lang w:val="en-US" w:eastAsia="zh-CN"/>
              </w:rPr>
              <w:t>充分谨慎考虑以上施工重难点，自行勘察现场，相关费用已包含在投标报价中。</w:t>
            </w:r>
          </w:p>
        </w:tc>
      </w:tr>
      <w:tr w14:paraId="38E1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31" w:type="pct"/>
            <w:vAlign w:val="center"/>
          </w:tcPr>
          <w:p w14:paraId="1776A1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522" w:type="pct"/>
            <w:vAlign w:val="center"/>
          </w:tcPr>
          <w:p w14:paraId="51B22E53">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4045" w:type="pct"/>
            <w:vAlign w:val="center"/>
          </w:tcPr>
          <w:p w14:paraId="0960E68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eastAsia="@微软简标宋"/>
                <w:color w:val="auto"/>
                <w:kern w:val="2"/>
                <w:sz w:val="21"/>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供应商最后报价均不得高于磋商文件（公告）列明的项目预算、最高投标限价，否则其响应文件将被认定为响应无效。</w:t>
            </w:r>
          </w:p>
        </w:tc>
      </w:tr>
      <w:tr w14:paraId="1224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3A7C4C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522" w:type="pct"/>
            <w:vAlign w:val="center"/>
          </w:tcPr>
          <w:p w14:paraId="00530AB3">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4045" w:type="pct"/>
            <w:vAlign w:val="center"/>
          </w:tcPr>
          <w:p w14:paraId="2DF7766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olor w:val="auto"/>
                <w:kern w:val="2"/>
                <w:sz w:val="24"/>
                <w:szCs w:val="18"/>
                <w:highlight w:val="none"/>
              </w:rPr>
            </w:pPr>
            <w:r>
              <w:rPr>
                <w:rFonts w:hint="eastAsia" w:cs="宋体"/>
                <w:color w:val="auto"/>
                <w:kern w:val="2"/>
                <w:sz w:val="24"/>
                <w:szCs w:val="24"/>
                <w:highlight w:val="none"/>
                <w:lang w:val="en-US" w:eastAsia="zh-CN"/>
              </w:rPr>
              <w:t>1、</w:t>
            </w:r>
            <w:r>
              <w:rPr>
                <w:rFonts w:ascii="宋体" w:hAnsi="宋体" w:eastAsia="宋体" w:cs="宋体"/>
                <w:color w:val="auto"/>
                <w:kern w:val="2"/>
                <w:sz w:val="24"/>
                <w:szCs w:val="24"/>
                <w:highlight w:val="none"/>
              </w:rPr>
              <w:t>政府采购政策（包括但不限于下列具体政策要求</w:t>
            </w:r>
            <w:r>
              <w:rPr>
                <w:rFonts w:hint="eastAsia" w:ascii="宋体" w:hAnsi="宋体" w:eastAsia="宋体" w:cs="宋体"/>
                <w:color w:val="auto"/>
                <w:kern w:val="2"/>
                <w:sz w:val="24"/>
                <w:szCs w:val="24"/>
                <w:highlight w:val="none"/>
                <w:lang w:eastAsia="zh-CN"/>
              </w:rPr>
              <w:t>）</w:t>
            </w:r>
            <w:r>
              <w:rPr>
                <w:rFonts w:hint="eastAsia" w:ascii="宋体" w:hAnsi="宋体" w:eastAsia="宋体"/>
                <w:color w:val="auto"/>
                <w:kern w:val="2"/>
                <w:sz w:val="24"/>
                <w:szCs w:val="18"/>
                <w:highlight w:val="none"/>
              </w:rPr>
              <w:t>：</w:t>
            </w:r>
          </w:p>
          <w:p w14:paraId="3E49235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1F19B5C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237B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62C5A20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522" w:type="pct"/>
            <w:vAlign w:val="center"/>
          </w:tcPr>
          <w:p w14:paraId="2409BA8D">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4045" w:type="pct"/>
            <w:vAlign w:val="center"/>
          </w:tcPr>
          <w:p w14:paraId="5B24C546">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见第一章《磋商邀请》</w:t>
            </w:r>
          </w:p>
        </w:tc>
      </w:tr>
      <w:tr w14:paraId="3CE6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166C3DE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522" w:type="pct"/>
            <w:vAlign w:val="center"/>
          </w:tcPr>
          <w:p w14:paraId="0B70AB11">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4045" w:type="pct"/>
            <w:vAlign w:val="center"/>
          </w:tcPr>
          <w:p w14:paraId="07EAFD4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heme="minorEastAsia" w:hAnsiTheme="minorEastAsia"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val="en-US" w:eastAsia="zh-CN"/>
              </w:rPr>
              <w:t>滁州学院琅琊校区给水管网更新工程</w:t>
            </w:r>
          </w:p>
          <w:p w14:paraId="4599643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HAnsi" w:hAnsiTheme="minorHAnsi"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rPr>
              <w:t>所属行业：</w:t>
            </w:r>
            <w:r>
              <w:rPr>
                <w:rFonts w:hint="eastAsia" w:asciiTheme="minorEastAsia" w:hAnsiTheme="minorEastAsia" w:eastAsiaTheme="minorEastAsia"/>
                <w:color w:val="auto"/>
                <w:kern w:val="2"/>
                <w:sz w:val="24"/>
                <w:szCs w:val="22"/>
                <w:highlight w:val="none"/>
                <w:lang w:val="en-US" w:eastAsia="zh-CN"/>
              </w:rPr>
              <w:t>建筑业</w:t>
            </w:r>
          </w:p>
        </w:tc>
      </w:tr>
      <w:tr w14:paraId="643C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1644807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522" w:type="pct"/>
            <w:vAlign w:val="center"/>
          </w:tcPr>
          <w:p w14:paraId="6E011D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质保期</w:t>
            </w:r>
          </w:p>
        </w:tc>
        <w:tc>
          <w:tcPr>
            <w:tcW w:w="4045" w:type="pct"/>
            <w:vAlign w:val="center"/>
          </w:tcPr>
          <w:p w14:paraId="0D4529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验收合格之日起最低年限2年，具体期限以成交人评审时承诺的期限为准。</w:t>
            </w:r>
          </w:p>
        </w:tc>
      </w:tr>
      <w:tr w14:paraId="4526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014C78A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9</w:t>
            </w:r>
          </w:p>
        </w:tc>
        <w:tc>
          <w:tcPr>
            <w:tcW w:w="522" w:type="pct"/>
            <w:vAlign w:val="center"/>
          </w:tcPr>
          <w:p w14:paraId="7C9C4E4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现场管理要求</w:t>
            </w:r>
          </w:p>
        </w:tc>
        <w:tc>
          <w:tcPr>
            <w:tcW w:w="4045" w:type="pct"/>
            <w:vAlign w:val="center"/>
          </w:tcPr>
          <w:p w14:paraId="5B410A5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详见合同</w:t>
            </w:r>
          </w:p>
        </w:tc>
      </w:tr>
      <w:tr w14:paraId="3731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44A7D6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10</w:t>
            </w:r>
          </w:p>
        </w:tc>
        <w:tc>
          <w:tcPr>
            <w:tcW w:w="522" w:type="pct"/>
            <w:vAlign w:val="center"/>
          </w:tcPr>
          <w:p w14:paraId="03A19BF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ascii="宋体" w:hAnsi="宋体" w:cs="@仿宋_GB2312"/>
                <w:color w:val="auto"/>
                <w:kern w:val="2"/>
                <w:sz w:val="24"/>
                <w:szCs w:val="22"/>
                <w:highlight w:val="none"/>
              </w:rPr>
              <w:t>其他要求</w:t>
            </w:r>
          </w:p>
        </w:tc>
        <w:tc>
          <w:tcPr>
            <w:tcW w:w="4045" w:type="pct"/>
            <w:vAlign w:val="center"/>
          </w:tcPr>
          <w:p w14:paraId="6E3059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详见合同</w:t>
            </w:r>
          </w:p>
        </w:tc>
      </w:tr>
      <w:tr w14:paraId="032D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3A0F5E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11</w:t>
            </w:r>
          </w:p>
        </w:tc>
        <w:tc>
          <w:tcPr>
            <w:tcW w:w="522" w:type="pct"/>
            <w:vAlign w:val="center"/>
          </w:tcPr>
          <w:p w14:paraId="06B7FD5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仿宋_GB2312"/>
                <w:color w:val="auto"/>
                <w:kern w:val="2"/>
                <w:sz w:val="24"/>
                <w:szCs w:val="22"/>
                <w:highlight w:val="none"/>
                <w:lang w:val="en-US" w:eastAsia="zh-CN"/>
              </w:rPr>
            </w:pPr>
            <w:r>
              <w:rPr>
                <w:rFonts w:hint="eastAsia" w:ascii="宋体" w:hAnsi="宋体" w:cs="@仿宋_GB2312"/>
                <w:color w:val="auto"/>
                <w:kern w:val="2"/>
                <w:sz w:val="24"/>
                <w:szCs w:val="22"/>
                <w:highlight w:val="none"/>
                <w:lang w:val="en-US" w:eastAsia="zh-CN"/>
              </w:rPr>
              <w:t>技术标准</w:t>
            </w:r>
          </w:p>
        </w:tc>
        <w:tc>
          <w:tcPr>
            <w:tcW w:w="4045" w:type="pct"/>
            <w:vAlign w:val="center"/>
          </w:tcPr>
          <w:p w14:paraId="287E61D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《室外给水设计标准》GB50013-2018、《建筑给水排水设计标准》GB50015-2019、《建筑设计防火规范》GB50016-2014、《消防给水及消火栓系统技术规范》GB50974-2014。</w:t>
            </w:r>
          </w:p>
          <w:p w14:paraId="75A5AA4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《给排水管道施工及验收规范》(GB50268-2008)和《建筑给排水与采暖工程施工及验收规范》(GB50242-2002)</w:t>
            </w:r>
          </w:p>
        </w:tc>
      </w:tr>
    </w:tbl>
    <w:p w14:paraId="62711D81">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5955048">
      <w:pPr>
        <w:spacing w:line="360" w:lineRule="auto"/>
        <w:jc w:val="center"/>
        <w:outlineLvl w:val="0"/>
        <w:rPr>
          <w:rFonts w:hint="eastAsia" w:ascii="宋体" w:hAnsi="宋体" w:eastAsia="宋体" w:cs="宋体"/>
          <w:b/>
          <w:color w:val="auto"/>
          <w:sz w:val="28"/>
          <w:highlight w:val="none"/>
        </w:rPr>
      </w:pPr>
      <w:bookmarkStart w:id="32" w:name="_Toc11353"/>
      <w:r>
        <w:rPr>
          <w:rFonts w:hint="eastAsia" w:ascii="宋体" w:hAnsi="宋体" w:eastAsia="宋体" w:cs="宋体"/>
          <w:b/>
          <w:color w:val="auto"/>
          <w:sz w:val="28"/>
          <w:highlight w:val="none"/>
        </w:rPr>
        <w:t>第四章  评审方法和标准</w:t>
      </w:r>
      <w:bookmarkEnd w:id="32"/>
    </w:p>
    <w:p w14:paraId="7EF52C9B">
      <w:pPr>
        <w:keepNext w:val="0"/>
        <w:keepLines w:val="0"/>
        <w:pageBreakBefore w:val="0"/>
        <w:kinsoku/>
        <w:wordWrap/>
        <w:overflowPunct/>
        <w:topLinePunct w:val="0"/>
        <w:autoSpaceDE/>
        <w:autoSpaceDN/>
        <w:bidi w:val="0"/>
        <w:spacing w:line="520" w:lineRule="exact"/>
        <w:ind w:firstLine="437"/>
        <w:outlineLvl w:val="1"/>
        <w:rPr>
          <w:rFonts w:hint="eastAsia" w:ascii="宋体" w:hAnsi="宋体" w:eastAsia="宋体" w:cs="宋体"/>
          <w:b/>
          <w:color w:val="auto"/>
          <w:sz w:val="24"/>
          <w:szCs w:val="24"/>
          <w:highlight w:val="none"/>
        </w:rPr>
      </w:pPr>
      <w:bookmarkStart w:id="33" w:name="_Toc31533"/>
      <w:bookmarkStart w:id="34" w:name="_Toc3679"/>
      <w:r>
        <w:rPr>
          <w:rFonts w:hint="eastAsia" w:ascii="宋体" w:hAnsi="宋体" w:eastAsia="宋体" w:cs="宋体"/>
          <w:b/>
          <w:color w:val="auto"/>
          <w:sz w:val="24"/>
          <w:szCs w:val="24"/>
          <w:highlight w:val="none"/>
        </w:rPr>
        <w:t>一、总则</w:t>
      </w:r>
      <w:bookmarkEnd w:id="33"/>
      <w:bookmarkEnd w:id="34"/>
    </w:p>
    <w:p w14:paraId="1D3CC003">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本项目将按照磋商文件第二章供应商须知的相关要求及本章的规定评审。</w:t>
      </w:r>
    </w:p>
    <w:p w14:paraId="78876612">
      <w:pPr>
        <w:keepNext w:val="0"/>
        <w:keepLines w:val="0"/>
        <w:pageBreakBefore w:val="0"/>
        <w:kinsoku/>
        <w:wordWrap/>
        <w:overflowPunct/>
        <w:topLinePunct w:val="0"/>
        <w:autoSpaceDE/>
        <w:autoSpaceDN/>
        <w:bidi w:val="0"/>
        <w:spacing w:line="520" w:lineRule="exact"/>
        <w:ind w:firstLine="437"/>
        <w:outlineLvl w:val="1"/>
        <w:rPr>
          <w:rFonts w:hint="eastAsia" w:ascii="宋体" w:hAnsi="宋体" w:eastAsia="宋体" w:cs="宋体"/>
          <w:b/>
          <w:color w:val="auto"/>
          <w:sz w:val="24"/>
          <w:szCs w:val="24"/>
          <w:highlight w:val="none"/>
        </w:rPr>
      </w:pPr>
      <w:bookmarkStart w:id="35" w:name="_Toc13405"/>
      <w:bookmarkStart w:id="36" w:name="_Toc16232"/>
      <w:r>
        <w:rPr>
          <w:rFonts w:hint="eastAsia" w:ascii="宋体" w:hAnsi="宋体" w:eastAsia="宋体" w:cs="宋体"/>
          <w:b/>
          <w:color w:val="auto"/>
          <w:sz w:val="24"/>
          <w:szCs w:val="24"/>
          <w:highlight w:val="none"/>
        </w:rPr>
        <w:t>二、评审方法</w:t>
      </w:r>
      <w:bookmarkEnd w:id="35"/>
      <w:bookmarkEnd w:id="36"/>
    </w:p>
    <w:p w14:paraId="0D2A3336">
      <w:pPr>
        <w:keepNext w:val="0"/>
        <w:keepLines w:val="0"/>
        <w:pageBreakBefore w:val="0"/>
        <w:kinsoku/>
        <w:wordWrap/>
        <w:overflowPunct/>
        <w:topLinePunct w:val="0"/>
        <w:autoSpaceDE/>
        <w:autoSpaceDN/>
        <w:bidi w:val="0"/>
        <w:spacing w:line="520" w:lineRule="exact"/>
        <w:ind w:firstLine="435"/>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2.1初审</w:t>
      </w:r>
    </w:p>
    <w:p w14:paraId="37CFDB9A">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361"/>
        <w:gridCol w:w="3881"/>
        <w:gridCol w:w="2609"/>
      </w:tblGrid>
      <w:tr w14:paraId="415C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1FD44679">
            <w:pPr>
              <w:keepNext w:val="0"/>
              <w:keepLines w:val="0"/>
              <w:pageBreakBefore w:val="0"/>
              <w:kinsoku/>
              <w:wordWrap/>
              <w:overflowPunct/>
              <w:topLinePunct w:val="0"/>
              <w:autoSpaceDE/>
              <w:autoSpaceDN/>
              <w:bidi w:val="0"/>
              <w:adjustRightInd w:val="0"/>
              <w:snapToGrid w:val="0"/>
              <w:spacing w:line="520" w:lineRule="exact"/>
              <w:ind w:right="-1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初审表</w:t>
            </w:r>
          </w:p>
        </w:tc>
      </w:tr>
      <w:tr w14:paraId="7F60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32B51DD0">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序号</w:t>
            </w:r>
          </w:p>
        </w:tc>
        <w:tc>
          <w:tcPr>
            <w:tcW w:w="796" w:type="pct"/>
            <w:tcBorders>
              <w:bottom w:val="single" w:color="auto" w:sz="4" w:space="0"/>
            </w:tcBorders>
            <w:vAlign w:val="center"/>
          </w:tcPr>
          <w:p w14:paraId="5B251186">
            <w:pPr>
              <w:pStyle w:val="70"/>
              <w:keepNext w:val="0"/>
              <w:keepLines w:val="0"/>
              <w:pageBreakBefore w:val="0"/>
              <w:pBdr>
                <w:bottom w:val="none" w:color="auto" w:sz="0" w:space="0"/>
              </w:pBdr>
              <w:tabs>
                <w:tab w:val="clear" w:pos="4153"/>
                <w:tab w:val="clear" w:pos="8306"/>
              </w:tabs>
              <w:kinsoku/>
              <w:wordWrap/>
              <w:overflowPunct/>
              <w:topLinePunct w:val="0"/>
              <w:autoSpaceDE/>
              <w:autoSpaceDN/>
              <w:bidi w:val="0"/>
              <w:snapToGrid w:val="0"/>
              <w:spacing w:line="520" w:lineRule="exact"/>
              <w:ind w:right="-10" w:rightChars="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审查因素</w:t>
            </w:r>
          </w:p>
        </w:tc>
        <w:tc>
          <w:tcPr>
            <w:tcW w:w="2268" w:type="pct"/>
            <w:tcBorders>
              <w:bottom w:val="single" w:color="auto" w:sz="4" w:space="0"/>
            </w:tcBorders>
            <w:vAlign w:val="center"/>
          </w:tcPr>
          <w:p w14:paraId="1055E586">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lang w:val="en-US" w:eastAsia="zh-CN"/>
              </w:rPr>
              <w:t>审查内容</w:t>
            </w:r>
          </w:p>
        </w:tc>
        <w:tc>
          <w:tcPr>
            <w:tcW w:w="1524" w:type="pct"/>
            <w:tcBorders>
              <w:bottom w:val="single" w:color="auto" w:sz="4" w:space="0"/>
            </w:tcBorders>
            <w:vAlign w:val="center"/>
          </w:tcPr>
          <w:p w14:paraId="20C3E984">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格式要求</w:t>
            </w:r>
          </w:p>
        </w:tc>
      </w:tr>
      <w:tr w14:paraId="2F52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2C2153B8">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796" w:type="pct"/>
            <w:tcBorders>
              <w:bottom w:val="single" w:color="auto" w:sz="4" w:space="0"/>
            </w:tcBorders>
            <w:vAlign w:val="center"/>
          </w:tcPr>
          <w:p w14:paraId="024906E5">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268" w:type="pct"/>
            <w:tcBorders>
              <w:bottom w:val="single" w:color="auto" w:sz="4" w:space="0"/>
            </w:tcBorders>
            <w:vAlign w:val="center"/>
          </w:tcPr>
          <w:p w14:paraId="3B9CD6C9">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供有效的营业执照；</w:t>
            </w:r>
          </w:p>
          <w:p w14:paraId="73C5EB6B">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供有效的事业单位法人证书；</w:t>
            </w:r>
          </w:p>
          <w:p w14:paraId="4EC23B89">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登记证书等证明文件；</w:t>
            </w:r>
          </w:p>
          <w:p w14:paraId="068A1325">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供有效的个体工商户营业执照；</w:t>
            </w:r>
          </w:p>
          <w:p w14:paraId="63CB1683">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供有效的自然人身份证明。</w:t>
            </w:r>
          </w:p>
        </w:tc>
        <w:tc>
          <w:tcPr>
            <w:tcW w:w="1524" w:type="pct"/>
            <w:tcBorders>
              <w:bottom w:val="single" w:color="auto" w:sz="4" w:space="0"/>
            </w:tcBorders>
            <w:vAlign w:val="center"/>
          </w:tcPr>
          <w:p w14:paraId="26D38FE9">
            <w:pPr>
              <w:keepNext w:val="0"/>
              <w:keepLines w:val="0"/>
              <w:pageBreakBefore w:val="0"/>
              <w:kinsoku/>
              <w:wordWrap/>
              <w:overflowPunct/>
              <w:topLinePunct w:val="0"/>
              <w:autoSpaceDE/>
              <w:autoSpaceDN/>
              <w:bidi w:val="0"/>
              <w:spacing w:line="520" w:lineRule="exact"/>
              <w:jc w:val="left"/>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08BB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77259A07">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2</w:t>
            </w:r>
          </w:p>
        </w:tc>
        <w:tc>
          <w:tcPr>
            <w:tcW w:w="796" w:type="pct"/>
            <w:vAlign w:val="center"/>
          </w:tcPr>
          <w:p w14:paraId="70B05121">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供应商资格声明书</w:t>
            </w:r>
          </w:p>
        </w:tc>
        <w:tc>
          <w:tcPr>
            <w:tcW w:w="2268" w:type="pct"/>
            <w:vAlign w:val="center"/>
          </w:tcPr>
          <w:p w14:paraId="5E6091DB">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524" w:type="pct"/>
            <w:vAlign w:val="center"/>
          </w:tcPr>
          <w:p w14:paraId="4A80991E">
            <w:pPr>
              <w:keepNext w:val="0"/>
              <w:keepLines w:val="0"/>
              <w:pageBreakBefore w:val="0"/>
              <w:kinsoku/>
              <w:wordWrap/>
              <w:overflowPunct/>
              <w:topLinePunct w:val="0"/>
              <w:autoSpaceDE/>
              <w:autoSpaceDN/>
              <w:bidi w:val="0"/>
              <w:spacing w:line="520" w:lineRule="exact"/>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详见第六章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lang w:eastAsia="zh-CN"/>
              </w:rPr>
              <w:t>。</w:t>
            </w:r>
          </w:p>
        </w:tc>
      </w:tr>
      <w:tr w14:paraId="4FD5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9A541CB">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3</w:t>
            </w:r>
          </w:p>
        </w:tc>
        <w:tc>
          <w:tcPr>
            <w:tcW w:w="796" w:type="pct"/>
            <w:vAlign w:val="center"/>
          </w:tcPr>
          <w:p w14:paraId="0ED074A0">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64A7722E">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s="宋体"/>
                <w:color w:val="auto"/>
                <w:sz w:val="24"/>
                <w:szCs w:val="24"/>
                <w:highlight w:val="none"/>
              </w:rPr>
              <w:t>的不良信用记录情形</w:t>
            </w:r>
          </w:p>
        </w:tc>
        <w:tc>
          <w:tcPr>
            <w:tcW w:w="1524" w:type="pct"/>
            <w:vAlign w:val="center"/>
          </w:tcPr>
          <w:p w14:paraId="0E349258">
            <w:pPr>
              <w:keepNext w:val="0"/>
              <w:keepLines w:val="0"/>
              <w:pageBreakBefore w:val="0"/>
              <w:kinsoku/>
              <w:wordWrap/>
              <w:overflowPunct/>
              <w:topLinePunct w:val="0"/>
              <w:autoSpaceDE/>
              <w:autoSpaceDN/>
              <w:bidi w:val="0"/>
              <w:spacing w:line="520" w:lineRule="exact"/>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0BB0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78D97540">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4</w:t>
            </w:r>
          </w:p>
        </w:tc>
        <w:tc>
          <w:tcPr>
            <w:tcW w:w="796" w:type="pct"/>
            <w:vAlign w:val="center"/>
          </w:tcPr>
          <w:p w14:paraId="45C54716">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中小企业证明文件</w:t>
            </w:r>
          </w:p>
        </w:tc>
        <w:tc>
          <w:tcPr>
            <w:tcW w:w="2268" w:type="pct"/>
            <w:vAlign w:val="top"/>
          </w:tcPr>
          <w:p w14:paraId="347AC655">
            <w:pPr>
              <w:keepNext w:val="0"/>
              <w:keepLines w:val="0"/>
              <w:pageBreakBefore w:val="0"/>
              <w:kinsoku/>
              <w:wordWrap/>
              <w:overflowPunct/>
              <w:topLinePunct w:val="0"/>
              <w:autoSpaceDE/>
              <w:autoSpaceDN/>
              <w:bidi w:val="0"/>
              <w:spacing w:after="50" w:line="520" w:lineRule="exact"/>
              <w:ind w:right="-1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申请人的</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中落实政府采购政策需满足的资格要求</w:t>
            </w:r>
            <w:r>
              <w:rPr>
                <w:rFonts w:hint="eastAsia" w:ascii="宋体" w:hAnsi="宋体" w:eastAsia="宋体" w:cs="宋体"/>
                <w:color w:val="auto"/>
                <w:sz w:val="24"/>
                <w:szCs w:val="24"/>
                <w:highlight w:val="none"/>
                <w:lang w:eastAsia="zh-CN"/>
              </w:rPr>
              <w:t>：</w:t>
            </w:r>
          </w:p>
          <w:p w14:paraId="13116C3E">
            <w:pPr>
              <w:keepNext w:val="0"/>
              <w:keepLines w:val="0"/>
              <w:pageBreakBefore w:val="0"/>
              <w:kinsoku/>
              <w:wordWrap/>
              <w:overflowPunct/>
              <w:topLinePunct w:val="0"/>
              <w:autoSpaceDE/>
              <w:autoSpaceDN/>
              <w:bidi w:val="0"/>
              <w:spacing w:after="50" w:line="52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442DF6A4">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文件关于预留份额的要求。</w:t>
            </w:r>
          </w:p>
        </w:tc>
        <w:tc>
          <w:tcPr>
            <w:tcW w:w="1524" w:type="pct"/>
            <w:vAlign w:val="center"/>
          </w:tcPr>
          <w:p w14:paraId="0DE278EF">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详见第六章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lang w:eastAsia="zh-CN"/>
              </w:rPr>
              <w:t>。</w:t>
            </w:r>
          </w:p>
        </w:tc>
      </w:tr>
      <w:tr w14:paraId="237B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7DFFEE9E">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cs="宋体"/>
                <w:color w:val="auto"/>
                <w:sz w:val="24"/>
                <w:szCs w:val="24"/>
                <w:highlight w:val="none"/>
                <w:lang w:val="en-US" w:eastAsia="zh-CN"/>
              </w:rPr>
              <w:t>5</w:t>
            </w:r>
          </w:p>
        </w:tc>
        <w:tc>
          <w:tcPr>
            <w:tcW w:w="796" w:type="pct"/>
            <w:vAlign w:val="center"/>
          </w:tcPr>
          <w:p w14:paraId="29C83AF8">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10"/>
                <w:sz w:val="24"/>
                <w:szCs w:val="24"/>
                <w:highlight w:val="none"/>
              </w:rPr>
              <w:t>其他特定资格要求</w:t>
            </w:r>
          </w:p>
        </w:tc>
        <w:tc>
          <w:tcPr>
            <w:tcW w:w="2268" w:type="pct"/>
            <w:vAlign w:val="center"/>
          </w:tcPr>
          <w:p w14:paraId="08C1C5C4">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10"/>
                <w:sz w:val="24"/>
                <w:szCs w:val="24"/>
                <w:highlight w:val="none"/>
              </w:rPr>
              <w:t>如有，见第一章《</w:t>
            </w:r>
            <w:r>
              <w:rPr>
                <w:rFonts w:hint="eastAsia" w:ascii="宋体" w:hAnsi="宋体" w:eastAsia="宋体" w:cs="宋体"/>
                <w:color w:val="auto"/>
                <w:spacing w:val="10"/>
                <w:sz w:val="24"/>
                <w:szCs w:val="24"/>
                <w:highlight w:val="none"/>
                <w:lang w:val="en-US" w:eastAsia="zh-CN"/>
              </w:rPr>
              <w:t>磋商</w:t>
            </w:r>
            <w:r>
              <w:rPr>
                <w:rFonts w:hint="eastAsia" w:ascii="宋体" w:hAnsi="宋体" w:eastAsia="宋体" w:cs="宋体"/>
                <w:color w:val="auto"/>
                <w:spacing w:val="10"/>
                <w:sz w:val="24"/>
                <w:szCs w:val="24"/>
                <w:highlight w:val="none"/>
              </w:rPr>
              <w:t>邀请》</w:t>
            </w:r>
          </w:p>
        </w:tc>
        <w:tc>
          <w:tcPr>
            <w:tcW w:w="1524" w:type="pct"/>
            <w:vAlign w:val="center"/>
          </w:tcPr>
          <w:p w14:paraId="16E90450">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r>
              <w:rPr>
                <w:rFonts w:hint="eastAsia" w:ascii="宋体" w:hAnsi="宋体" w:eastAsia="宋体" w:cs="宋体"/>
                <w:b w:val="0"/>
                <w:bCs w:val="0"/>
                <w:color w:val="auto"/>
                <w:sz w:val="24"/>
                <w:szCs w:val="24"/>
                <w:highlight w:val="none"/>
                <w:lang w:eastAsia="zh-CN"/>
              </w:rPr>
              <w:t>。</w:t>
            </w:r>
          </w:p>
        </w:tc>
      </w:tr>
      <w:tr w14:paraId="5C37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11CBB4F">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6</w:t>
            </w:r>
          </w:p>
        </w:tc>
        <w:tc>
          <w:tcPr>
            <w:tcW w:w="796" w:type="pct"/>
            <w:vAlign w:val="center"/>
          </w:tcPr>
          <w:p w14:paraId="7071F9D6">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授权书</w:t>
            </w:r>
          </w:p>
        </w:tc>
        <w:tc>
          <w:tcPr>
            <w:tcW w:w="2268" w:type="pct"/>
            <w:vAlign w:val="center"/>
          </w:tcPr>
          <w:p w14:paraId="1745AE67">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格式、填写要求符合磋商文件规定并加盖供应商电子签章</w:t>
            </w:r>
          </w:p>
        </w:tc>
        <w:tc>
          <w:tcPr>
            <w:tcW w:w="1524" w:type="pct"/>
            <w:vAlign w:val="center"/>
          </w:tcPr>
          <w:p w14:paraId="0350C389">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法定代表人参加磋商的无需此件，提供身份证明即可。详见第六章响应文件格式。</w:t>
            </w:r>
          </w:p>
        </w:tc>
      </w:tr>
      <w:tr w14:paraId="242A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E5B4971">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7</w:t>
            </w:r>
          </w:p>
        </w:tc>
        <w:tc>
          <w:tcPr>
            <w:tcW w:w="796" w:type="pct"/>
            <w:vAlign w:val="center"/>
          </w:tcPr>
          <w:p w14:paraId="29A1A462">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响应函</w:t>
            </w:r>
          </w:p>
        </w:tc>
        <w:tc>
          <w:tcPr>
            <w:tcW w:w="2268" w:type="pct"/>
            <w:vAlign w:val="center"/>
          </w:tcPr>
          <w:p w14:paraId="54ADEA44">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符合磋商文件要求</w:t>
            </w:r>
          </w:p>
        </w:tc>
        <w:tc>
          <w:tcPr>
            <w:tcW w:w="1524" w:type="pct"/>
            <w:vAlign w:val="center"/>
          </w:tcPr>
          <w:p w14:paraId="58EFC1B7">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详见第六章响应文件格式</w:t>
            </w:r>
          </w:p>
        </w:tc>
      </w:tr>
      <w:tr w14:paraId="4AC6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D5C59D6">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lang w:eastAsia="zh-CN"/>
              </w:rPr>
            </w:pPr>
            <w:r>
              <w:rPr>
                <w:rFonts w:hint="eastAsia" w:cs="宋体"/>
                <w:color w:val="auto"/>
                <w:sz w:val="24"/>
                <w:szCs w:val="24"/>
                <w:highlight w:val="none"/>
                <w:lang w:val="en-US" w:eastAsia="zh-CN"/>
              </w:rPr>
              <w:t>8</w:t>
            </w:r>
          </w:p>
        </w:tc>
        <w:tc>
          <w:tcPr>
            <w:tcW w:w="796" w:type="pct"/>
            <w:vAlign w:val="center"/>
          </w:tcPr>
          <w:p w14:paraId="43666FFE">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w:t>
            </w:r>
          </w:p>
        </w:tc>
        <w:tc>
          <w:tcPr>
            <w:tcW w:w="2268" w:type="pct"/>
            <w:vAlign w:val="center"/>
          </w:tcPr>
          <w:p w14:paraId="313C248A">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c>
          <w:tcPr>
            <w:tcW w:w="1524" w:type="pct"/>
            <w:vAlign w:val="center"/>
          </w:tcPr>
          <w:p w14:paraId="4A5A9A11">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p>
        </w:tc>
      </w:tr>
      <w:tr w14:paraId="7BE6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56C08420">
            <w:pPr>
              <w:keepNext w:val="0"/>
              <w:keepLines w:val="0"/>
              <w:pageBreakBefore w:val="0"/>
              <w:kinsoku/>
              <w:wordWrap/>
              <w:overflowPunct/>
              <w:topLinePunct w:val="0"/>
              <w:autoSpaceDE/>
              <w:autoSpaceDN/>
              <w:bidi w:val="0"/>
              <w:adjustRightInd w:val="0"/>
              <w:snapToGrid w:val="0"/>
              <w:spacing w:line="520" w:lineRule="exact"/>
              <w:ind w:right="-1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评审指标通过标准：供应商必须通过上述全部指标。</w:t>
            </w:r>
          </w:p>
        </w:tc>
        <w:tc>
          <w:tcPr>
            <w:tcW w:w="1524" w:type="pct"/>
            <w:tcBorders>
              <w:bottom w:val="single" w:color="auto" w:sz="4" w:space="0"/>
            </w:tcBorders>
            <w:vAlign w:val="center"/>
          </w:tcPr>
          <w:p w14:paraId="2020F581">
            <w:pPr>
              <w:keepNext w:val="0"/>
              <w:keepLines w:val="0"/>
              <w:pageBreakBefore w:val="0"/>
              <w:kinsoku/>
              <w:wordWrap/>
              <w:overflowPunct/>
              <w:topLinePunct w:val="0"/>
              <w:autoSpaceDE/>
              <w:autoSpaceDN/>
              <w:bidi w:val="0"/>
              <w:adjustRightInd w:val="0"/>
              <w:snapToGrid w:val="0"/>
              <w:spacing w:line="520" w:lineRule="exact"/>
              <w:ind w:right="-10"/>
              <w:jc w:val="left"/>
              <w:rPr>
                <w:rFonts w:hint="eastAsia" w:ascii="宋体" w:hAnsi="宋体" w:eastAsia="宋体" w:cs="宋体"/>
                <w:color w:val="auto"/>
                <w:kern w:val="2"/>
                <w:sz w:val="24"/>
                <w:szCs w:val="24"/>
                <w:highlight w:val="none"/>
              </w:rPr>
            </w:pPr>
          </w:p>
        </w:tc>
      </w:tr>
    </w:tbl>
    <w:p w14:paraId="3631FE8C">
      <w:pPr>
        <w:keepNext w:val="0"/>
        <w:keepLines w:val="0"/>
        <w:pageBreakBefore w:val="0"/>
        <w:kinsoku/>
        <w:wordWrap/>
        <w:overflowPunct/>
        <w:topLinePunct w:val="0"/>
        <w:autoSpaceDE/>
        <w:autoSpaceDN/>
        <w:bidi w:val="0"/>
        <w:spacing w:line="520" w:lineRule="exact"/>
        <w:ind w:firstLine="581" w:firstLineChars="241"/>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color w:val="auto"/>
          <w:sz w:val="24"/>
          <w:szCs w:val="24"/>
          <w:highlight w:val="none"/>
        </w:rPr>
        <w:t>供应商拟委任</w:t>
      </w:r>
      <w:r>
        <w:rPr>
          <w:rFonts w:hint="eastAsia" w:ascii="宋体" w:hAnsi="宋体" w:eastAsia="宋体" w:cs="宋体"/>
          <w:b/>
          <w:color w:val="auto"/>
          <w:sz w:val="24"/>
          <w:szCs w:val="24"/>
          <w:highlight w:val="none"/>
          <w:lang w:val="en-US" w:eastAsia="zh-CN"/>
        </w:rPr>
        <w:t>项目经理</w:t>
      </w:r>
      <w:r>
        <w:rPr>
          <w:rFonts w:hint="eastAsia" w:ascii="宋体" w:hAnsi="宋体" w:eastAsia="宋体" w:cs="宋体"/>
          <w:b/>
          <w:color w:val="auto"/>
          <w:sz w:val="24"/>
          <w:szCs w:val="24"/>
          <w:highlight w:val="none"/>
        </w:rPr>
        <w:t>为注册建造师（含一级、二级）的，须提供有效的纸质版电子证书。一级建造师打印电子证书后，应在个人签名处手写本人签名，未手写签名或与签名图像笔迹不一致的，该电子证书无效。</w:t>
      </w:r>
    </w:p>
    <w:p w14:paraId="5270C5A6">
      <w:pPr>
        <w:keepNext w:val="0"/>
        <w:keepLines w:val="0"/>
        <w:pageBreakBefore w:val="0"/>
        <w:kinsoku/>
        <w:wordWrap/>
        <w:overflowPunct/>
        <w:topLinePunct w:val="0"/>
        <w:autoSpaceDE/>
        <w:autoSpaceDN/>
        <w:bidi w:val="0"/>
        <w:spacing w:line="520" w:lineRule="exact"/>
        <w:ind w:firstLine="581" w:firstLineChars="241"/>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p>
    <w:p w14:paraId="5E843AE5">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初审指标通过标准：</w:t>
      </w:r>
      <w:r>
        <w:rPr>
          <w:rFonts w:hint="eastAsia" w:ascii="宋体" w:hAnsi="宋体" w:eastAsia="宋体" w:cs="宋体"/>
          <w:color w:val="auto"/>
          <w:sz w:val="24"/>
          <w:szCs w:val="24"/>
          <w:highlight w:val="none"/>
        </w:rPr>
        <w:t>供应商必须通过初审表中的全部评审指标。</w:t>
      </w:r>
    </w:p>
    <w:p w14:paraId="26EC2E18">
      <w:pPr>
        <w:keepNext w:val="0"/>
        <w:keepLines w:val="0"/>
        <w:pageBreakBefore w:val="0"/>
        <w:kinsoku/>
        <w:wordWrap/>
        <w:overflowPunct/>
        <w:topLinePunct w:val="0"/>
        <w:autoSpaceDE/>
        <w:autoSpaceDN/>
        <w:bidi w:val="0"/>
        <w:spacing w:line="520" w:lineRule="exact"/>
        <w:ind w:firstLine="435"/>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2.2综合评分</w:t>
      </w:r>
    </w:p>
    <w:p w14:paraId="7578813D">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2.2.1磋商小组按照下表对进入综合评分的所有供应商的响应文件进行综合评分。</w:t>
      </w:r>
    </w:p>
    <w:p w14:paraId="71F7A033">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2.2.2本项目综合评分满分为100分，其中：资信分值占总分值的权重为</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rPr>
        <w:t>%技术分值占总分值的权重为</w:t>
      </w:r>
      <w:r>
        <w:rPr>
          <w:rFonts w:hint="eastAsia" w:cs="宋体"/>
          <w:color w:val="auto"/>
          <w:sz w:val="24"/>
          <w:szCs w:val="24"/>
          <w:highlight w:val="none"/>
          <w:u w:val="single"/>
          <w:lang w:val="en-US" w:eastAsia="zh-CN"/>
        </w:rPr>
        <w:t>50</w:t>
      </w:r>
      <w:r>
        <w:rPr>
          <w:rFonts w:hint="eastAsia" w:ascii="宋体" w:hAnsi="宋体" w:eastAsia="宋体" w:cs="宋体"/>
          <w:color w:val="auto"/>
          <w:sz w:val="24"/>
          <w:szCs w:val="24"/>
          <w:highlight w:val="none"/>
        </w:rPr>
        <w:t>%，价格分值占总分值的权重为</w:t>
      </w:r>
      <w:r>
        <w:rPr>
          <w:rFonts w:hint="eastAsia" w:cs="宋体"/>
          <w:color w:val="auto"/>
          <w:sz w:val="24"/>
          <w:szCs w:val="24"/>
          <w:highlight w:val="none"/>
          <w:u w:val="single"/>
          <w:lang w:val="en-US" w:eastAsia="zh-CN"/>
        </w:rPr>
        <w:t>41</w:t>
      </w:r>
      <w:r>
        <w:rPr>
          <w:rFonts w:hint="eastAsia" w:ascii="宋体" w:hAnsi="宋体" w:eastAsia="宋体" w:cs="宋体"/>
          <w:color w:val="auto"/>
          <w:sz w:val="24"/>
          <w:szCs w:val="24"/>
          <w:highlight w:val="none"/>
        </w:rPr>
        <w:t>%。具体评分细则如下：</w:t>
      </w:r>
    </w:p>
    <w:tbl>
      <w:tblPr>
        <w:tblStyle w:val="55"/>
        <w:tblW w:w="6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420"/>
        <w:gridCol w:w="6906"/>
        <w:gridCol w:w="881"/>
      </w:tblGrid>
      <w:tr w14:paraId="41D9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90" w:type="pct"/>
            <w:tcBorders>
              <w:top w:val="single" w:color="auto" w:sz="4" w:space="0"/>
              <w:left w:val="single" w:color="auto" w:sz="4" w:space="0"/>
              <w:bottom w:val="single" w:color="auto" w:sz="4" w:space="0"/>
              <w:right w:val="single" w:color="auto" w:sz="4" w:space="0"/>
            </w:tcBorders>
            <w:noWrap w:val="0"/>
            <w:vAlign w:val="center"/>
          </w:tcPr>
          <w:p w14:paraId="75181EEA">
            <w:pPr>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类别</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064EDDA9">
            <w:pPr>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评分内容</w:t>
            </w:r>
          </w:p>
        </w:tc>
        <w:tc>
          <w:tcPr>
            <w:tcW w:w="3307" w:type="pct"/>
            <w:tcBorders>
              <w:top w:val="single" w:color="auto" w:sz="4" w:space="0"/>
              <w:left w:val="single" w:color="auto" w:sz="4" w:space="0"/>
              <w:bottom w:val="single" w:color="auto" w:sz="4" w:space="0"/>
              <w:right w:val="single" w:color="auto" w:sz="4" w:space="0"/>
            </w:tcBorders>
            <w:noWrap w:val="0"/>
            <w:vAlign w:val="center"/>
          </w:tcPr>
          <w:p w14:paraId="24F609EF">
            <w:pPr>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评分标准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09A4C8F0">
            <w:pPr>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分值范围</w:t>
            </w:r>
          </w:p>
        </w:tc>
      </w:tr>
      <w:tr w14:paraId="0306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restart"/>
            <w:tcBorders>
              <w:top w:val="single" w:color="auto" w:sz="4" w:space="0"/>
              <w:left w:val="single" w:color="auto" w:sz="4" w:space="0"/>
              <w:right w:val="single" w:color="auto" w:sz="4" w:space="0"/>
            </w:tcBorders>
            <w:noWrap w:val="0"/>
            <w:vAlign w:val="center"/>
          </w:tcPr>
          <w:p w14:paraId="663BA6DE">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资信分</w:t>
            </w:r>
          </w:p>
          <w:p w14:paraId="0AAA8703">
            <w:pPr>
              <w:spacing w:line="360" w:lineRule="auto"/>
              <w:jc w:val="center"/>
              <w:rPr>
                <w:rFonts w:ascii="宋体" w:hAnsi="宋体" w:eastAsia="宋体"/>
                <w:b/>
                <w:bCs/>
                <w:color w:val="auto"/>
                <w:sz w:val="24"/>
                <w:highlight w:val="none"/>
              </w:rPr>
            </w:pPr>
            <w:r>
              <w:rPr>
                <w:rFonts w:hint="eastAsia" w:ascii="宋体" w:hAnsi="宋体" w:eastAsia="宋体"/>
                <w:color w:val="auto"/>
                <w:sz w:val="24"/>
                <w:highlight w:val="none"/>
              </w:rPr>
              <w:t>（</w:t>
            </w:r>
            <w:r>
              <w:rPr>
                <w:rFonts w:hint="eastAsia"/>
                <w:color w:val="auto"/>
                <w:sz w:val="24"/>
                <w:highlight w:val="none"/>
                <w:u w:val="single"/>
                <w:lang w:val="en-US" w:eastAsia="zh-CN"/>
              </w:rPr>
              <w:t>9</w:t>
            </w:r>
            <w:r>
              <w:rPr>
                <w:rFonts w:hint="eastAsia" w:ascii="宋体" w:hAnsi="宋体" w:eastAsia="宋体"/>
                <w:color w:val="auto"/>
                <w:sz w:val="24"/>
                <w:highlight w:val="none"/>
              </w:rPr>
              <w:t>分）</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02701073">
            <w:pPr>
              <w:widowControl/>
              <w:spacing w:line="440" w:lineRule="exact"/>
              <w:textAlignment w:val="baseline"/>
              <w:rPr>
                <w:rFonts w:ascii="宋体" w:hAnsi="宋体" w:eastAsia="宋体"/>
                <w:bCs/>
                <w:color w:val="auto"/>
                <w:sz w:val="24"/>
                <w:highlight w:val="none"/>
              </w:rPr>
            </w:pPr>
            <w:r>
              <w:rPr>
                <w:rFonts w:hint="eastAsia" w:ascii="宋体" w:hAnsi="宋体" w:eastAsia="宋体"/>
                <w:bCs/>
                <w:color w:val="auto"/>
                <w:sz w:val="24"/>
                <w:highlight w:val="none"/>
                <w:lang w:eastAsia="zh-CN"/>
              </w:rPr>
              <w:t>供应商</w:t>
            </w:r>
            <w:r>
              <w:rPr>
                <w:rFonts w:hint="eastAsia" w:ascii="宋体" w:hAnsi="宋体" w:eastAsia="宋体"/>
                <w:bCs/>
                <w:color w:val="auto"/>
                <w:sz w:val="24"/>
                <w:highlight w:val="none"/>
              </w:rPr>
              <w:t>业绩</w:t>
            </w:r>
          </w:p>
        </w:tc>
        <w:tc>
          <w:tcPr>
            <w:tcW w:w="3307" w:type="pct"/>
            <w:tcBorders>
              <w:top w:val="single" w:color="auto" w:sz="4" w:space="0"/>
              <w:left w:val="single" w:color="auto" w:sz="4" w:space="0"/>
              <w:bottom w:val="single" w:color="auto" w:sz="4" w:space="0"/>
              <w:right w:val="single" w:color="auto" w:sz="4" w:space="0"/>
            </w:tcBorders>
            <w:noWrap w:val="0"/>
            <w:vAlign w:val="center"/>
          </w:tcPr>
          <w:p w14:paraId="5D9784D8">
            <w:pPr>
              <w:spacing w:line="360" w:lineRule="auto"/>
              <w:jc w:val="left"/>
              <w:rPr>
                <w:rFonts w:hint="eastAsia" w:ascii="宋体" w:hAnsi="宋体" w:eastAsia="宋体"/>
                <w:bCs/>
                <w:color w:val="auto"/>
                <w:sz w:val="24"/>
                <w:highlight w:val="none"/>
              </w:rPr>
            </w:pPr>
            <w:r>
              <w:rPr>
                <w:rFonts w:hint="eastAsia" w:ascii="宋体" w:hAnsi="宋体" w:eastAsia="宋体"/>
                <w:bCs/>
                <w:color w:val="auto"/>
                <w:sz w:val="24"/>
                <w:highlight w:val="none"/>
              </w:rPr>
              <w:t>自202</w:t>
            </w:r>
            <w:r>
              <w:rPr>
                <w:rFonts w:hint="eastAsia" w:ascii="宋体" w:hAnsi="宋体" w:eastAsia="宋体"/>
                <w:bCs/>
                <w:color w:val="auto"/>
                <w:sz w:val="24"/>
                <w:highlight w:val="none"/>
                <w:lang w:val="en-US" w:eastAsia="zh-CN"/>
              </w:rPr>
              <w:t>2</w:t>
            </w:r>
            <w:r>
              <w:rPr>
                <w:rFonts w:hint="eastAsia" w:ascii="宋体" w:hAnsi="宋体" w:eastAsia="宋体"/>
                <w:bCs/>
                <w:color w:val="auto"/>
                <w:sz w:val="24"/>
                <w:highlight w:val="none"/>
              </w:rPr>
              <w:t>年1月1日以来（时间以合同签订日期为准），供应商具有一个</w:t>
            </w:r>
            <w:r>
              <w:rPr>
                <w:rFonts w:hint="eastAsia" w:ascii="宋体" w:hAnsi="宋体" w:eastAsia="宋体"/>
                <w:bCs/>
                <w:color w:val="auto"/>
                <w:sz w:val="24"/>
                <w:highlight w:val="none"/>
                <w:lang w:val="en-US" w:eastAsia="zh-CN"/>
              </w:rPr>
              <w:t>市政</w:t>
            </w:r>
            <w:r>
              <w:rPr>
                <w:rFonts w:hint="eastAsia" w:ascii="宋体" w:hAnsi="宋体" w:eastAsia="宋体"/>
                <w:bCs/>
                <w:color w:val="auto"/>
                <w:sz w:val="24"/>
                <w:highlight w:val="none"/>
              </w:rPr>
              <w:t>工程施工项目</w:t>
            </w:r>
            <w:r>
              <w:rPr>
                <w:rFonts w:hint="eastAsia" w:ascii="宋体" w:hAnsi="宋体" w:eastAsia="宋体"/>
                <w:bCs/>
                <w:color w:val="auto"/>
                <w:sz w:val="24"/>
                <w:highlight w:val="none"/>
                <w:lang w:val="en-US" w:eastAsia="zh-CN"/>
              </w:rPr>
              <w:t>或房屋建筑工程</w:t>
            </w:r>
            <w:r>
              <w:rPr>
                <w:rFonts w:hint="eastAsia"/>
                <w:bCs/>
                <w:color w:val="auto"/>
                <w:sz w:val="24"/>
                <w:highlight w:val="none"/>
                <w:lang w:val="en-US" w:eastAsia="zh-CN"/>
              </w:rPr>
              <w:t>施工项目</w:t>
            </w:r>
            <w:r>
              <w:rPr>
                <w:rFonts w:hint="eastAsia" w:ascii="宋体" w:hAnsi="宋体" w:eastAsia="宋体"/>
                <w:bCs/>
                <w:color w:val="auto"/>
                <w:sz w:val="24"/>
                <w:highlight w:val="none"/>
              </w:rPr>
              <w:t>业绩的，得 2分，满分 2分。</w:t>
            </w:r>
          </w:p>
          <w:p w14:paraId="2921C4D1">
            <w:pPr>
              <w:spacing w:line="360" w:lineRule="auto"/>
              <w:jc w:val="left"/>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注：1.响应文件中提供业绩合同</w:t>
            </w:r>
            <w:r>
              <w:rPr>
                <w:rFonts w:hint="eastAsia" w:ascii="宋体" w:hAnsi="宋体" w:eastAsia="宋体"/>
                <w:b/>
                <w:bCs w:val="0"/>
                <w:color w:val="auto"/>
                <w:sz w:val="24"/>
                <w:highlight w:val="none"/>
                <w:lang w:eastAsia="zh-CN"/>
              </w:rPr>
              <w:t>，</w:t>
            </w:r>
            <w:r>
              <w:rPr>
                <w:rFonts w:hint="eastAsia" w:ascii="宋体" w:hAnsi="宋体" w:eastAsia="宋体"/>
                <w:b/>
                <w:bCs w:val="0"/>
                <w:color w:val="auto"/>
                <w:sz w:val="24"/>
                <w:highlight w:val="none"/>
              </w:rPr>
              <w:t>如前述证明材料无法体现时间、工程内容等评审因素的，须另提供加盖业主单位公章的证明材料予以明确说明。</w:t>
            </w:r>
          </w:p>
          <w:p w14:paraId="5A496AC7">
            <w:pPr>
              <w:spacing w:line="360" w:lineRule="auto"/>
              <w:jc w:val="left"/>
              <w:rPr>
                <w:rFonts w:hint="eastAsia" w:ascii="宋体" w:hAnsi="宋体" w:eastAsia="宋体"/>
                <w:bCs/>
                <w:color w:val="auto"/>
                <w:sz w:val="24"/>
                <w:highlight w:val="none"/>
              </w:rPr>
            </w:pPr>
            <w:r>
              <w:rPr>
                <w:rFonts w:hint="eastAsia" w:ascii="宋体" w:hAnsi="宋体" w:eastAsia="宋体"/>
                <w:b/>
                <w:bCs w:val="0"/>
                <w:color w:val="auto"/>
                <w:sz w:val="24"/>
                <w:highlight w:val="none"/>
              </w:rPr>
              <w:t>2.项目经理业绩与供应商业绩不得重复加分。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0D138012">
            <w:pPr>
              <w:spacing w:line="360" w:lineRule="auto"/>
              <w:jc w:val="center"/>
              <w:rPr>
                <w:rFonts w:hint="default" w:ascii="宋体" w:hAnsi="宋体" w:eastAsia="宋体"/>
                <w:b/>
                <w:bCs/>
                <w:color w:val="auto"/>
                <w:sz w:val="24"/>
                <w:highlight w:val="none"/>
                <w:lang w:val="en-US" w:eastAsia="zh-CN"/>
              </w:rPr>
            </w:pPr>
            <w:r>
              <w:rPr>
                <w:rFonts w:hint="eastAsia"/>
                <w:b/>
                <w:bCs/>
                <w:color w:val="auto"/>
                <w:sz w:val="24"/>
                <w:highlight w:val="none"/>
                <w:lang w:val="en-US" w:eastAsia="zh-CN"/>
              </w:rPr>
              <w:t>2</w:t>
            </w:r>
            <w:r>
              <w:rPr>
                <w:rFonts w:hint="eastAsia" w:ascii="宋体" w:hAnsi="宋体" w:eastAsia="宋体"/>
                <w:b/>
                <w:bCs/>
                <w:color w:val="auto"/>
                <w:sz w:val="24"/>
                <w:highlight w:val="none"/>
                <w:lang w:val="en-US" w:eastAsia="zh-CN"/>
              </w:rPr>
              <w:t>分</w:t>
            </w:r>
          </w:p>
        </w:tc>
      </w:tr>
      <w:tr w14:paraId="5F22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76D30941">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731C4727">
            <w:pPr>
              <w:widowControl/>
              <w:spacing w:line="440" w:lineRule="exact"/>
              <w:textAlignment w:val="baseline"/>
              <w:rPr>
                <w:rFonts w:hint="default" w:ascii="宋体" w:hAnsi="宋体" w:eastAsia="宋体"/>
                <w:bCs/>
                <w:color w:val="auto"/>
                <w:sz w:val="24"/>
                <w:highlight w:val="none"/>
                <w:lang w:val="en-US" w:eastAsia="zh-CN"/>
              </w:rPr>
            </w:pPr>
            <w:r>
              <w:rPr>
                <w:rFonts w:hint="eastAsia"/>
                <w:bCs/>
                <w:color w:val="auto"/>
                <w:sz w:val="24"/>
                <w:highlight w:val="none"/>
                <w:lang w:val="en-US" w:eastAsia="zh-CN"/>
              </w:rPr>
              <w:t>项目经理业绩</w:t>
            </w:r>
          </w:p>
        </w:tc>
        <w:tc>
          <w:tcPr>
            <w:tcW w:w="3307" w:type="pct"/>
            <w:tcBorders>
              <w:top w:val="single" w:color="auto" w:sz="4" w:space="0"/>
              <w:left w:val="single" w:color="auto" w:sz="4" w:space="0"/>
              <w:bottom w:val="single" w:color="auto" w:sz="4" w:space="0"/>
              <w:right w:val="single" w:color="auto" w:sz="4" w:space="0"/>
            </w:tcBorders>
            <w:noWrap w:val="0"/>
            <w:vAlign w:val="center"/>
          </w:tcPr>
          <w:p w14:paraId="374BF7CD">
            <w:pPr>
              <w:spacing w:line="360" w:lineRule="auto"/>
              <w:jc w:val="left"/>
              <w:rPr>
                <w:rFonts w:hint="eastAsia" w:ascii="宋体" w:hAnsi="宋体" w:eastAsia="宋体"/>
                <w:bCs/>
                <w:color w:val="auto"/>
                <w:sz w:val="24"/>
                <w:highlight w:val="none"/>
              </w:rPr>
            </w:pPr>
            <w:r>
              <w:rPr>
                <w:rFonts w:hint="eastAsia" w:ascii="宋体" w:hAnsi="宋体" w:eastAsia="宋体"/>
                <w:bCs/>
                <w:color w:val="auto"/>
                <w:sz w:val="24"/>
                <w:highlight w:val="none"/>
              </w:rPr>
              <w:t>自202</w:t>
            </w:r>
            <w:r>
              <w:rPr>
                <w:rFonts w:hint="eastAsia" w:ascii="宋体" w:hAnsi="宋体" w:eastAsia="宋体"/>
                <w:bCs/>
                <w:color w:val="auto"/>
                <w:sz w:val="24"/>
                <w:highlight w:val="none"/>
                <w:lang w:val="en-US" w:eastAsia="zh-CN"/>
              </w:rPr>
              <w:t>2</w:t>
            </w:r>
            <w:r>
              <w:rPr>
                <w:rFonts w:hint="eastAsia" w:ascii="宋体" w:hAnsi="宋体" w:eastAsia="宋体"/>
                <w:bCs/>
                <w:color w:val="auto"/>
                <w:sz w:val="24"/>
                <w:highlight w:val="none"/>
              </w:rPr>
              <w:t>年1月1日以来（时间以合同签订日期为准），拟派项目</w:t>
            </w:r>
            <w:r>
              <w:rPr>
                <w:rFonts w:hint="eastAsia" w:ascii="宋体" w:hAnsi="宋体" w:eastAsia="宋体"/>
                <w:bCs/>
                <w:color w:val="auto"/>
                <w:sz w:val="24"/>
                <w:highlight w:val="none"/>
                <w:lang w:val="en-US" w:eastAsia="zh-CN"/>
              </w:rPr>
              <w:t>经理</w:t>
            </w:r>
            <w:r>
              <w:rPr>
                <w:rFonts w:hint="eastAsia" w:ascii="宋体" w:hAnsi="宋体" w:eastAsia="宋体"/>
                <w:bCs/>
                <w:color w:val="auto"/>
                <w:sz w:val="24"/>
                <w:highlight w:val="none"/>
              </w:rPr>
              <w:t>具有一个</w:t>
            </w:r>
            <w:r>
              <w:rPr>
                <w:rFonts w:hint="eastAsia" w:ascii="宋体" w:hAnsi="宋体" w:eastAsia="宋体"/>
                <w:bCs/>
                <w:color w:val="auto"/>
                <w:sz w:val="24"/>
                <w:highlight w:val="none"/>
                <w:lang w:val="en-US" w:eastAsia="zh-CN"/>
              </w:rPr>
              <w:t>市政</w:t>
            </w:r>
            <w:r>
              <w:rPr>
                <w:rFonts w:hint="eastAsia" w:ascii="宋体" w:hAnsi="宋体" w:eastAsia="宋体"/>
                <w:bCs/>
                <w:color w:val="auto"/>
                <w:sz w:val="24"/>
                <w:highlight w:val="none"/>
              </w:rPr>
              <w:t>工程施工项目</w:t>
            </w:r>
            <w:r>
              <w:rPr>
                <w:rFonts w:hint="eastAsia" w:ascii="宋体" w:hAnsi="宋体" w:eastAsia="宋体"/>
                <w:bCs/>
                <w:color w:val="auto"/>
                <w:sz w:val="24"/>
                <w:highlight w:val="none"/>
                <w:lang w:val="en-US" w:eastAsia="zh-CN"/>
              </w:rPr>
              <w:t>或房屋建筑工程施工项目</w:t>
            </w:r>
            <w:r>
              <w:rPr>
                <w:rFonts w:hint="eastAsia" w:ascii="宋体" w:hAnsi="宋体" w:eastAsia="宋体"/>
                <w:bCs/>
                <w:color w:val="auto"/>
                <w:sz w:val="24"/>
                <w:highlight w:val="none"/>
              </w:rPr>
              <w:t>业绩的，得2分，满分2分。</w:t>
            </w:r>
          </w:p>
          <w:p w14:paraId="499440A0">
            <w:pPr>
              <w:spacing w:line="360" w:lineRule="auto"/>
              <w:jc w:val="left"/>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注：1.响应文件中提供业绩合同</w:t>
            </w:r>
            <w:r>
              <w:rPr>
                <w:rFonts w:hint="eastAsia" w:ascii="宋体" w:hAnsi="宋体" w:eastAsia="宋体"/>
                <w:b/>
                <w:bCs w:val="0"/>
                <w:color w:val="auto"/>
                <w:sz w:val="24"/>
                <w:highlight w:val="none"/>
                <w:lang w:eastAsia="zh-CN"/>
              </w:rPr>
              <w:t>。</w:t>
            </w:r>
            <w:r>
              <w:rPr>
                <w:rFonts w:hint="eastAsia" w:ascii="宋体" w:hAnsi="宋体" w:eastAsia="宋体"/>
                <w:b/>
                <w:bCs w:val="0"/>
                <w:color w:val="auto"/>
                <w:sz w:val="24"/>
                <w:highlight w:val="none"/>
              </w:rPr>
              <w:t>如前述证明材料无法体现时间、工程内容</w:t>
            </w:r>
            <w:r>
              <w:rPr>
                <w:rFonts w:hint="eastAsia" w:ascii="宋体" w:hAnsi="宋体" w:eastAsia="宋体"/>
                <w:b/>
                <w:bCs w:val="0"/>
                <w:color w:val="auto"/>
                <w:sz w:val="24"/>
                <w:highlight w:val="none"/>
                <w:lang w:eastAsia="zh-CN"/>
              </w:rPr>
              <w:t>、</w:t>
            </w:r>
            <w:r>
              <w:rPr>
                <w:rFonts w:hint="eastAsia" w:ascii="宋体" w:hAnsi="宋体" w:eastAsia="宋体"/>
                <w:b/>
                <w:bCs w:val="0"/>
                <w:color w:val="auto"/>
                <w:sz w:val="24"/>
                <w:highlight w:val="none"/>
                <w:lang w:val="en-US" w:eastAsia="zh-CN"/>
              </w:rPr>
              <w:t>项目经理姓名</w:t>
            </w:r>
            <w:r>
              <w:rPr>
                <w:rFonts w:hint="eastAsia" w:ascii="宋体" w:hAnsi="宋体" w:eastAsia="宋体"/>
                <w:b/>
                <w:bCs w:val="0"/>
                <w:color w:val="auto"/>
                <w:sz w:val="24"/>
                <w:highlight w:val="none"/>
              </w:rPr>
              <w:t>等评审因素的，须另提供加盖业主单位公章的证明材料予以明确说明。</w:t>
            </w:r>
          </w:p>
          <w:p w14:paraId="55542159">
            <w:pPr>
              <w:spacing w:line="360" w:lineRule="auto"/>
              <w:jc w:val="left"/>
              <w:rPr>
                <w:rFonts w:hint="eastAsia" w:ascii="宋体" w:hAnsi="宋体" w:eastAsia="宋体" w:cs="宋体"/>
                <w:b/>
                <w:bCs w:val="0"/>
                <w:color w:val="auto"/>
                <w:kern w:val="0"/>
                <w:sz w:val="21"/>
                <w:szCs w:val="21"/>
                <w:highlight w:val="none"/>
                <w:lang w:val="en-US" w:eastAsia="zh-CN"/>
              </w:rPr>
            </w:pPr>
            <w:r>
              <w:rPr>
                <w:rFonts w:hint="eastAsia" w:ascii="宋体" w:hAnsi="宋体" w:eastAsia="宋体"/>
                <w:b/>
                <w:bCs w:val="0"/>
                <w:color w:val="auto"/>
                <w:sz w:val="24"/>
                <w:highlight w:val="none"/>
              </w:rPr>
              <w:t>2.项目经理业绩与供应商业绩不得重复加分。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1F1C9480">
            <w:pPr>
              <w:spacing w:line="360" w:lineRule="auto"/>
              <w:jc w:val="center"/>
              <w:rPr>
                <w:rFonts w:hint="default" w:ascii="宋体" w:hAnsi="宋体" w:eastAsia="宋体"/>
                <w:b/>
                <w:bCs/>
                <w:color w:val="auto"/>
                <w:sz w:val="24"/>
                <w:highlight w:val="none"/>
                <w:lang w:val="en-US" w:eastAsia="zh-CN"/>
              </w:rPr>
            </w:pPr>
            <w:r>
              <w:rPr>
                <w:rFonts w:hint="eastAsia"/>
                <w:b/>
                <w:bCs/>
                <w:color w:val="auto"/>
                <w:sz w:val="24"/>
                <w:highlight w:val="none"/>
                <w:lang w:val="en-US" w:eastAsia="zh-CN"/>
              </w:rPr>
              <w:t>2分</w:t>
            </w:r>
          </w:p>
        </w:tc>
      </w:tr>
      <w:tr w14:paraId="1B8C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58C9356B">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5B5A11EA">
            <w:pPr>
              <w:widowControl/>
              <w:spacing w:line="440" w:lineRule="exact"/>
              <w:textAlignment w:val="baseline"/>
              <w:rPr>
                <w:rFonts w:hint="default"/>
                <w:bCs/>
                <w:color w:val="auto"/>
                <w:sz w:val="24"/>
                <w:highlight w:val="none"/>
                <w:lang w:val="en-US" w:eastAsia="zh-CN"/>
              </w:rPr>
            </w:pPr>
            <w:r>
              <w:rPr>
                <w:rFonts w:hint="eastAsia"/>
                <w:bCs/>
                <w:color w:val="auto"/>
                <w:sz w:val="24"/>
                <w:highlight w:val="none"/>
                <w:lang w:val="en-US" w:eastAsia="zh-CN"/>
              </w:rPr>
              <w:t>质保期</w:t>
            </w:r>
          </w:p>
        </w:tc>
        <w:tc>
          <w:tcPr>
            <w:tcW w:w="3307" w:type="pct"/>
            <w:tcBorders>
              <w:top w:val="single" w:color="auto" w:sz="4" w:space="0"/>
              <w:left w:val="single" w:color="auto" w:sz="4" w:space="0"/>
              <w:bottom w:val="single" w:color="auto" w:sz="4" w:space="0"/>
              <w:right w:val="single" w:color="auto" w:sz="4" w:space="0"/>
            </w:tcBorders>
            <w:noWrap w:val="0"/>
            <w:vAlign w:val="center"/>
          </w:tcPr>
          <w:p w14:paraId="2E01E6B3">
            <w:pPr>
              <w:spacing w:line="360" w:lineRule="auto"/>
              <w:jc w:val="left"/>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 xml:space="preserve">本项目质保期为2年，每延保一年得1分，满分5分。延保期间按合同执行，且质保金同时一并延期。延长不足一年的部分不得分。 </w:t>
            </w:r>
          </w:p>
          <w:p w14:paraId="3E3699A8">
            <w:pPr>
              <w:spacing w:line="360" w:lineRule="auto"/>
              <w:jc w:val="left"/>
              <w:rPr>
                <w:rFonts w:hint="eastAsia" w:ascii="宋体" w:hAnsi="宋体" w:eastAsia="宋体"/>
                <w:bCs/>
                <w:color w:val="auto"/>
                <w:sz w:val="24"/>
                <w:highlight w:val="none"/>
                <w:lang w:val="en-US" w:eastAsia="zh-CN"/>
              </w:rPr>
            </w:pPr>
            <w:r>
              <w:rPr>
                <w:rFonts w:hint="eastAsia" w:ascii="宋体" w:hAnsi="宋体" w:eastAsia="宋体"/>
                <w:b/>
                <w:bCs w:val="0"/>
                <w:color w:val="auto"/>
                <w:sz w:val="24"/>
                <w:highlight w:val="none"/>
                <w:lang w:val="en-US" w:eastAsia="zh-CN"/>
              </w:rPr>
              <w:t>注：以供应商承诺的免费质保期为准。提供承诺函扫描件。</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E92DA4A">
            <w:pPr>
              <w:spacing w:line="360" w:lineRule="auto"/>
              <w:jc w:val="center"/>
              <w:rPr>
                <w:rFonts w:hint="default"/>
                <w:b/>
                <w:bCs/>
                <w:color w:val="auto"/>
                <w:sz w:val="24"/>
                <w:highlight w:val="none"/>
                <w:lang w:val="en-US" w:eastAsia="zh-CN"/>
              </w:rPr>
            </w:pPr>
            <w:r>
              <w:rPr>
                <w:rFonts w:hint="eastAsia"/>
                <w:b/>
                <w:bCs/>
                <w:color w:val="auto"/>
                <w:sz w:val="24"/>
                <w:highlight w:val="none"/>
                <w:lang w:val="en-US" w:eastAsia="zh-CN"/>
              </w:rPr>
              <w:t>5分</w:t>
            </w:r>
          </w:p>
        </w:tc>
      </w:tr>
      <w:tr w14:paraId="63D4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restart"/>
            <w:tcBorders>
              <w:left w:val="single" w:color="auto" w:sz="4" w:space="0"/>
              <w:right w:val="single" w:color="auto" w:sz="4" w:space="0"/>
            </w:tcBorders>
            <w:noWrap w:val="0"/>
            <w:vAlign w:val="center"/>
          </w:tcPr>
          <w:p w14:paraId="4462FA60">
            <w:pPr>
              <w:spacing w:line="360" w:lineRule="auto"/>
              <w:jc w:val="center"/>
              <w:rPr>
                <w:rFonts w:hint="default" w:ascii="宋体" w:hAnsi="宋体" w:eastAsia="宋体"/>
                <w:color w:val="auto"/>
                <w:sz w:val="24"/>
                <w:highlight w:val="none"/>
                <w:lang w:val="en-US" w:eastAsia="zh-CN"/>
              </w:rPr>
            </w:pPr>
            <w:r>
              <w:rPr>
                <w:rFonts w:hint="eastAsia"/>
                <w:color w:val="auto"/>
                <w:sz w:val="24"/>
                <w:highlight w:val="none"/>
                <w:lang w:val="en-US" w:eastAsia="zh-CN"/>
              </w:rPr>
              <w:t>技术分值（50分）</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77DE74">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项目总体方案</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0EDC971">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根据供应商提供的该项目总体方案进行综合评分：</w:t>
            </w:r>
          </w:p>
          <w:p w14:paraId="2201188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1.总体方案与布置完全符合本项目实际情况，能完全满足施工现场的施工需求、充分调动现场的各项资源，能高效组织施工顺序、场地管理、材料运输，得5分；</w:t>
            </w:r>
          </w:p>
          <w:p w14:paraId="1469616C">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2.总体方案与布置符合本项目实际情况，能较好满足施工现场的施工需求、调动现场的各项资源，能较好组织施工顺序、场地管理、材料运输，得4分；</w:t>
            </w:r>
          </w:p>
          <w:p w14:paraId="095B3D0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3.总体方案与布置基本符合项目实际情况，能基本满足施工现场的施工需求、调动现场的各项资源，能基本组织施工顺序、场地管理、材料运输，得3分；</w:t>
            </w:r>
          </w:p>
          <w:p w14:paraId="75EF035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4.不符合项目实际或未提供的不得分。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3331C5E">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5318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4F2F3E8D">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5277FD">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重难点分析及应对措施</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6D147C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根据供应商提供的各分部分项工程的工程重难点及应对措施进行综合评分：</w:t>
            </w:r>
          </w:p>
          <w:p w14:paraId="36EA934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1.对施工中可能会产生的重点、难点进行分析梳理全面、详细，处理方法及步骤清晰，可行性、实用性、针对性强的，得5分；</w:t>
            </w:r>
          </w:p>
          <w:p w14:paraId="7428030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2.对施工中可能会产生的重点、难点进行分析梳理较清楚，处理方法及步骤较清晰，具有可行性、实用性、针对性，得4分；</w:t>
            </w:r>
          </w:p>
          <w:p w14:paraId="644073CC">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3.对施工中可能会产生的重点、难点进行分析梳理不完整，可行性、实用性、针对性有待改善，得3分；</w:t>
            </w:r>
          </w:p>
          <w:p w14:paraId="3B9E6F86">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4.无专门针对该项目治理过程中重点、难点分析内容和解决措施的或者未提供的不得分。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4D36B1F7">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36AF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1D347F06">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6CC3E3">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主要施工技术方案</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C7E9883">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根据供应商提供的各分部分项工程的主要施工技术方案进行综合评分：</w:t>
            </w:r>
          </w:p>
          <w:p w14:paraId="088B776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1.施工技术方案贴合项目实际，方案详尽，工艺先进、方法可行，能够高质高效的施工并确保安全的，得5分；</w:t>
            </w:r>
          </w:p>
          <w:p w14:paraId="4BF175A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2.施工技术方案基本符合项目实际，工艺技术大部分符合施工需求，可以指导施工并确保安全的，得4分；</w:t>
            </w:r>
          </w:p>
          <w:p w14:paraId="2B8A26B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3.施工技术方案需要再完善，不能完全指导具体施工的，得3分；</w:t>
            </w:r>
          </w:p>
          <w:p w14:paraId="1285D51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4.方案不能满足项目实施要求或未提供的不得分。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36E78EE">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3E61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509F8F67">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7E2A77">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工程质量控制措施</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F14C121">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根据供应商提供的各分部分项工程质量的控制措施进行综合评分：</w:t>
            </w:r>
          </w:p>
          <w:p w14:paraId="3E726B71">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1.工程质量的控制措施内容分析全面、详细，处理方法及步骤清晰，有专门的质量技术管理班子和制度，且人员配备齐全，制度健全，能有效的保证技术质量，达到承诺的质量标准的，得5分；</w:t>
            </w:r>
          </w:p>
          <w:p w14:paraId="17CB1498">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2.工程质量的控制措施内容分析清楚，处理方法及步骤较清晰，符合实际，有专门的质量技术管理班子和制度，且人员配备较齐全，制度比较健全，能够保证技术质量，基本达到承诺的质量标准的，得4分；</w:t>
            </w:r>
          </w:p>
          <w:p w14:paraId="0B68B67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3.工程质量的控制措施内容分析不完整，方案需完善，处理方法步骤不全，存在不足的，得3分；</w:t>
            </w:r>
          </w:p>
          <w:p w14:paraId="77E4067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4.无专门针对该项目分析内容和解决措施的或者未提供的不得分。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70B6B406">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3793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6D078FA6">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6B862B">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安全生产管理措施</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6D5720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根据供应商提供的各分部分项工程的安全生产的管理措施进行综合评分：</w:t>
            </w:r>
          </w:p>
          <w:p w14:paraId="44C5600C">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安全生产的管理措施应有专门的安全管理人员和制度，且人员配备齐全，制度健全，各道工序安全技术措施针对性强，符合实际且满足有关安全技术标准要求。现场防火、社会治安安全措施得力，处理方法及步骤清晰，可行性强的，得5分；</w:t>
            </w:r>
          </w:p>
          <w:p w14:paraId="6584AFC8">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安全生产的管理措施有专门的安全管理人员和制度，且人员配备较齐全，制度比较健全，各道工序安全技术措施较完善，基本符合实际且满足有关安全技术标准要求。现场防火、社会治安安全措施比较得力，处理方法及步骤较清晰，符合实际的，得4分；</w:t>
            </w:r>
          </w:p>
          <w:p w14:paraId="60EC46F8">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3.安全生产的管理措施内容、人员配备、制度、工序等环节不完善，得3分；</w:t>
            </w:r>
          </w:p>
          <w:p w14:paraId="713FB98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4.无专门针对该项目分析内容和解决措施的或者未提供的不得分。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3B55D40E">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3268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4FC2E337">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F0D2AA">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工程进度控制措施</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2180706">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根据供应商提供的各分部分项工程的工程进度控制进行综合评分：</w:t>
            </w:r>
          </w:p>
          <w:p w14:paraId="4A6B6901">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1.工程进度在施工工艺、施工工序、流水节拍、施工方法、不可以预见性事件等方面有保证工期的具体措施且措施得当，控制工期的施工进度计划合理，得5分；</w:t>
            </w:r>
          </w:p>
          <w:p w14:paraId="47D255F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2.工程进度在施工工艺、施工工序、流水节拍、施工方法、不可以预见性事件等方面有保证工期的措施且措施比较得当，有控制工期的施工进度计划，得4分；</w:t>
            </w:r>
          </w:p>
          <w:p w14:paraId="26502EA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3.工程进度在施工工艺、施工工序、流水节拍、施工方法、不可以预见性事件等保证工期的具体措施不详细，还需要完善的，得3分；</w:t>
            </w:r>
          </w:p>
          <w:p w14:paraId="62333753">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4.无专门针对该项目分析内容和解决措施的或者未提供的不得分。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035D31F">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3A30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0E99CBC6">
            <w:pPr>
              <w:spacing w:line="360" w:lineRule="auto"/>
              <w:jc w:val="center"/>
              <w:rPr>
                <w:rFonts w:hint="eastAsia" w:ascii="宋体" w:hAnsi="宋体" w:eastAsia="宋体"/>
                <w:color w:val="auto"/>
                <w:sz w:val="24"/>
                <w:highlight w:val="none"/>
              </w:rPr>
            </w:pPr>
          </w:p>
          <w:p w14:paraId="388AB1D1">
            <w:pPr>
              <w:pStyle w:val="54"/>
              <w:rPr>
                <w:rFonts w:hint="eastAsia"/>
                <w:color w:val="auto"/>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6DD306">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投入的劳动力计划</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47A5CD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根据供应商投入的各部分工程劳动力计划进行综合评分：</w:t>
            </w:r>
          </w:p>
          <w:p w14:paraId="7FE75C39">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1.施工工序应有详细周密的劳动力安排计划明细，有各工种劳动力安排计划，劳动力投入计划可行性、实用性、针对性强，得5分；</w:t>
            </w:r>
          </w:p>
          <w:p w14:paraId="7457DCE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2.施工工序应有劳动力安排计划，有各工种劳动力安排计划，劳动力投入计划具有可行性、实用性、针对性，得4分；</w:t>
            </w:r>
          </w:p>
          <w:p w14:paraId="6116C8D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3.劳动力安排计划需调整，各工种劳动力安排计划可行性、实用性、针对性有待改善的，得3分；</w:t>
            </w:r>
          </w:p>
          <w:p w14:paraId="0BDD2561">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4.计划不能满足项目实施要求或未提供的不得分。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1AC64DE">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3154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0040803D">
            <w:pPr>
              <w:pStyle w:val="54"/>
              <w:rPr>
                <w:rFonts w:hint="eastAsia"/>
                <w:color w:val="auto"/>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EB6D49">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文明施工管理措施</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2DD1B73">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根据供应商提供的各分部分项工程文明施工的管理措施进行综合评分：</w:t>
            </w:r>
          </w:p>
          <w:p w14:paraId="6F9EDDA1">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1.针对本项目特点，有现场文明施工计划，环境保护措施，各项措施周全、具体、有效。有具体实现现场文明施工目标的承诺，得5分；</w:t>
            </w:r>
          </w:p>
          <w:p w14:paraId="4CFB1A3C">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2.针对本项目特点，有现场文明施工计划，环境保护措施，得4分；</w:t>
            </w:r>
          </w:p>
          <w:p w14:paraId="68990DE9">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3.针对本项目特点，现场文明施工计划、环境保护措施不完整，还需要完善的，得3分；</w:t>
            </w:r>
          </w:p>
          <w:p w14:paraId="4407AC5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4.无专门针对该项目分析内容和解决措施的或者未提供的不得分。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8DD4356">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59C8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Merge w:val="continue"/>
            <w:tcBorders>
              <w:left w:val="single" w:color="auto" w:sz="4" w:space="0"/>
              <w:right w:val="single" w:color="auto" w:sz="4" w:space="0"/>
            </w:tcBorders>
            <w:noWrap w:val="0"/>
            <w:vAlign w:val="center"/>
          </w:tcPr>
          <w:p w14:paraId="29378905">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EC792E">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施工机械设备计划</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6A6B86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根据供应商投入的施工机械设备计划进行综合评分：</w:t>
            </w:r>
          </w:p>
          <w:p w14:paraId="37DA536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1.施工机械设备计划内容完整、详细，时间安排可行性强，保证措施完整、清楚，投入的施工机械、设备、机具有详细计划且计划周密，设备数量、选型配置、进场数量，完全满足要求的，得5分；</w:t>
            </w:r>
          </w:p>
          <w:p w14:paraId="0FE34D1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2.施工机械设备计划内容较完整，时间安排具有可行性，保证措施需完善，基本满足服务工期要求的，得4分；</w:t>
            </w:r>
          </w:p>
          <w:p w14:paraId="1B290F9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3.投入的施工机械、设备、机具设备数量基本满足要求、选型配置、进场数量、时间安排有待改善的，得3分；</w:t>
            </w:r>
          </w:p>
          <w:p w14:paraId="7169C42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 计划不能满足项目实施要求或未提供的不得分。。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3FEF0B5C">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6C74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025EE5CE">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C93000">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质保期</w:t>
            </w:r>
            <w:r>
              <w:rPr>
                <w:rFonts w:hint="eastAsia" w:ascii="宋体" w:hAnsi="宋体" w:eastAsia="宋体" w:cs="宋体"/>
                <w:bCs/>
                <w:color w:val="auto"/>
                <w:sz w:val="24"/>
                <w:szCs w:val="24"/>
                <w:highlight w:val="none"/>
                <w:lang w:val="en-US" w:eastAsia="zh-CN"/>
              </w:rPr>
              <w:t>内服务方案</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1CACFB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根据采购文件要求和投标提供的</w:t>
            </w:r>
            <w:r>
              <w:rPr>
                <w:rFonts w:hint="eastAsia" w:cs="宋体"/>
                <w:bCs/>
                <w:color w:val="auto"/>
                <w:sz w:val="24"/>
                <w:szCs w:val="24"/>
                <w:highlight w:val="none"/>
                <w:lang w:val="en-US" w:eastAsia="zh-CN"/>
              </w:rPr>
              <w:t>质保</w:t>
            </w:r>
            <w:r>
              <w:rPr>
                <w:rFonts w:hint="eastAsia" w:ascii="宋体" w:hAnsi="宋体" w:eastAsia="宋体" w:cs="宋体"/>
                <w:bCs/>
                <w:color w:val="auto"/>
                <w:sz w:val="24"/>
                <w:szCs w:val="24"/>
                <w:highlight w:val="none"/>
                <w:lang w:val="en-US" w:eastAsia="zh-CN"/>
              </w:rPr>
              <w:t>期内服务方案进行综合评分：</w:t>
            </w:r>
          </w:p>
          <w:p w14:paraId="080CDFF8">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1.方案符合实际，方案可行性、实用性、针对性强的，得5分；</w:t>
            </w:r>
          </w:p>
          <w:p w14:paraId="5BA25A76">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2.方案符合实际，方案具有可行性、实用性、针对性，得4分；</w:t>
            </w:r>
          </w:p>
          <w:p w14:paraId="6644BFF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3.方案不符合实际，方案可行性、实用性、针对性有待改善，得3分；</w:t>
            </w:r>
          </w:p>
          <w:p w14:paraId="41B52AF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4.方案不符合项目实际或未提供的不得分。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38315BBE">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0068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tcBorders>
              <w:left w:val="single" w:color="auto" w:sz="4" w:space="0"/>
              <w:right w:val="single" w:color="auto" w:sz="4" w:space="0"/>
            </w:tcBorders>
            <w:noWrap w:val="0"/>
            <w:vAlign w:val="center"/>
          </w:tcPr>
          <w:p w14:paraId="1005B9D7">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29C1EA21">
            <w:pPr>
              <w:keepNext w:val="0"/>
              <w:keepLines w:val="0"/>
              <w:pageBreakBefore w:val="0"/>
              <w:kinsoku/>
              <w:wordWrap/>
              <w:overflowPunct/>
              <w:topLinePunct w:val="0"/>
              <w:autoSpaceDE/>
              <w:autoSpaceDN/>
              <w:bidi w:val="0"/>
              <w:spacing w:line="520" w:lineRule="exact"/>
              <w:jc w:val="center"/>
              <w:rPr>
                <w:rFonts w:ascii="宋体" w:hAnsi="宋体" w:eastAsia="宋体"/>
                <w:b/>
                <w:bCs/>
                <w:color w:val="auto"/>
                <w:sz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u w:val="single"/>
                <w:lang w:val="en-US" w:eastAsia="zh-CN"/>
              </w:rPr>
              <w:t>41</w:t>
            </w:r>
            <w:r>
              <w:rPr>
                <w:rFonts w:hint="eastAsia" w:ascii="宋体" w:hAnsi="宋体" w:eastAsia="宋体" w:cs="宋体"/>
                <w:color w:val="auto"/>
                <w:sz w:val="24"/>
                <w:szCs w:val="24"/>
                <w:highlight w:val="none"/>
              </w:rPr>
              <w:t>分）</w:t>
            </w:r>
          </w:p>
        </w:tc>
        <w:tc>
          <w:tcPr>
            <w:tcW w:w="4409" w:type="pct"/>
            <w:gridSpan w:val="3"/>
            <w:tcBorders>
              <w:top w:val="single" w:color="auto" w:sz="4" w:space="0"/>
              <w:left w:val="single" w:color="auto" w:sz="4" w:space="0"/>
              <w:bottom w:val="single" w:color="auto" w:sz="4" w:space="0"/>
              <w:right w:val="single" w:color="auto" w:sz="4" w:space="0"/>
            </w:tcBorders>
            <w:noWrap w:val="0"/>
            <w:vAlign w:val="center"/>
          </w:tcPr>
          <w:p w14:paraId="6167C53F">
            <w:pPr>
              <w:keepNext w:val="0"/>
              <w:keepLines w:val="0"/>
              <w:pageBreakBefore w:val="0"/>
              <w:kinsoku/>
              <w:wordWrap/>
              <w:overflowPunct/>
              <w:topLinePunct w:val="0"/>
              <w:autoSpaceDE/>
              <w:autoSpaceDN/>
              <w:bidi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价格分统一采用低价优先法，即满足磋商文件要求且最后报价最低的供应商的价格为磋商基准价，其价格分为满分</w:t>
            </w:r>
            <w:r>
              <w:rPr>
                <w:rFonts w:hint="eastAsia" w:cs="宋体"/>
                <w:color w:val="auto"/>
                <w:sz w:val="24"/>
                <w:szCs w:val="24"/>
                <w:highlight w:val="none"/>
                <w:u w:val="single"/>
                <w:lang w:val="en-US" w:eastAsia="zh-CN"/>
              </w:rPr>
              <w:t>41</w:t>
            </w:r>
            <w:r>
              <w:rPr>
                <w:rFonts w:hint="eastAsia" w:ascii="宋体" w:hAnsi="宋体" w:eastAsia="宋体" w:cs="宋体"/>
                <w:color w:val="auto"/>
                <w:sz w:val="24"/>
                <w:szCs w:val="24"/>
                <w:highlight w:val="none"/>
              </w:rPr>
              <w:t>分。其他供应商的价格分统一按照下列公式计算：</w:t>
            </w:r>
          </w:p>
          <w:p w14:paraId="7EA75FB6">
            <w:pPr>
              <w:keepNext w:val="0"/>
              <w:keepLines w:val="0"/>
              <w:pageBreakBefore w:val="0"/>
              <w:kinsoku/>
              <w:wordWrap/>
              <w:overflowPunct/>
              <w:topLinePunct w:val="0"/>
              <w:autoSpaceDE/>
              <w:autoSpaceDN/>
              <w:bidi w:val="0"/>
              <w:spacing w:line="520" w:lineRule="exact"/>
              <w:rPr>
                <w:rFonts w:ascii="宋体" w:hAnsi="宋体" w:eastAsia="宋体"/>
                <w:b/>
                <w:bCs/>
                <w:color w:val="auto"/>
                <w:sz w:val="24"/>
                <w:highlight w:val="none"/>
              </w:rPr>
            </w:pPr>
            <w:r>
              <w:rPr>
                <w:rFonts w:hint="eastAsia" w:ascii="宋体" w:hAnsi="宋体" w:eastAsia="宋体" w:cs="宋体"/>
                <w:color w:val="auto"/>
                <w:sz w:val="24"/>
                <w:szCs w:val="24"/>
                <w:highlight w:val="none"/>
              </w:rPr>
              <w:t>磋商报价得分＝（磋商基准价/最后磋商报价）×</w:t>
            </w:r>
            <w:r>
              <w:rPr>
                <w:rFonts w:hint="eastAsia" w:cs="宋体"/>
                <w:color w:val="auto"/>
                <w:sz w:val="24"/>
                <w:szCs w:val="24"/>
                <w:highlight w:val="none"/>
                <w:u w:val="single"/>
                <w:lang w:val="en-US" w:eastAsia="zh-CN"/>
              </w:rPr>
              <w:t>41</w:t>
            </w:r>
            <w:r>
              <w:rPr>
                <w:rFonts w:hint="eastAsia" w:ascii="宋体" w:hAnsi="宋体" w:eastAsia="宋体" w:cs="宋体"/>
                <w:color w:val="auto"/>
                <w:sz w:val="24"/>
                <w:szCs w:val="24"/>
                <w:highlight w:val="none"/>
              </w:rPr>
              <w:t>％×100</w:t>
            </w:r>
          </w:p>
        </w:tc>
      </w:tr>
    </w:tbl>
    <w:p w14:paraId="60E6733E">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2.2.3分值汇总</w:t>
      </w:r>
    </w:p>
    <w:p w14:paraId="7CFF2370">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604301A6">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（2）将每个供应商的技术资信分加上根据上述标准计算出的价格分，即为该供应商的综合总得分。</w:t>
      </w:r>
    </w:p>
    <w:p w14:paraId="3FA0D553">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B32BAF9">
      <w:pPr>
        <w:spacing w:line="360" w:lineRule="auto"/>
        <w:jc w:val="center"/>
        <w:outlineLvl w:val="0"/>
        <w:rPr>
          <w:rFonts w:hint="eastAsia" w:asciiTheme="minorEastAsia" w:hAnsiTheme="minorEastAsia" w:eastAsiaTheme="minorEastAsia"/>
          <w:b/>
          <w:color w:val="auto"/>
          <w:sz w:val="28"/>
          <w:highlight w:val="none"/>
        </w:rPr>
      </w:pPr>
      <w:bookmarkStart w:id="37" w:name="_Toc31277"/>
      <w:r>
        <w:rPr>
          <w:rFonts w:hint="eastAsia" w:asciiTheme="minorEastAsia" w:hAnsiTheme="minorEastAsia" w:eastAsiaTheme="minorEastAsia"/>
          <w:b/>
          <w:color w:val="auto"/>
          <w:sz w:val="28"/>
          <w:highlight w:val="none"/>
        </w:rPr>
        <w:t>第五章  政府采购合同</w:t>
      </w:r>
      <w:bookmarkEnd w:id="37"/>
    </w:p>
    <w:p w14:paraId="0D95FEA8">
      <w:pPr>
        <w:pStyle w:val="20"/>
        <w:spacing w:before="293" w:line="234" w:lineRule="auto"/>
        <w:jc w:val="both"/>
        <w:outlineLvl w:val="0"/>
        <w:rPr>
          <w:rFonts w:hint="default" w:eastAsia="方正小标宋简体"/>
          <w:color w:val="auto"/>
          <w:spacing w:val="15"/>
          <w:sz w:val="28"/>
          <w:szCs w:val="28"/>
          <w:highlight w:val="none"/>
          <w:u w:val="single"/>
          <w:lang w:val="en-US" w:eastAsia="zh-CN"/>
        </w:rPr>
      </w:pPr>
      <w:bookmarkStart w:id="38" w:name="_Toc28799376"/>
      <w:bookmarkStart w:id="39" w:name="_Toc130919120"/>
      <w:bookmarkStart w:id="40" w:name="_Toc9907"/>
      <w:r>
        <w:rPr>
          <w:rFonts w:hint="eastAsia" w:ascii="方正小标宋简体" w:hAnsi="方正小标宋简体" w:eastAsia="方正小标宋简体" w:cs="方正小标宋简体"/>
          <w:color w:val="auto"/>
          <w:spacing w:val="15"/>
          <w:sz w:val="28"/>
          <w:szCs w:val="28"/>
          <w:highlight w:val="none"/>
          <w:lang w:val="en-US" w:eastAsia="zh-CN"/>
        </w:rPr>
        <w:t>合同编号：</w:t>
      </w:r>
      <w:r>
        <w:rPr>
          <w:rFonts w:hint="eastAsia" w:ascii="方正小标宋简体" w:hAnsi="方正小标宋简体" w:eastAsia="方正小标宋简体" w:cs="方正小标宋简体"/>
          <w:color w:val="auto"/>
          <w:spacing w:val="15"/>
          <w:sz w:val="28"/>
          <w:szCs w:val="28"/>
          <w:highlight w:val="none"/>
          <w:u w:val="single"/>
          <w:lang w:val="en-US" w:eastAsia="zh-CN"/>
        </w:rPr>
        <w:t xml:space="preserve">           </w:t>
      </w:r>
    </w:p>
    <w:p w14:paraId="148B9CDA">
      <w:pPr>
        <w:pStyle w:val="20"/>
        <w:spacing w:before="287" w:line="185" w:lineRule="auto"/>
        <w:ind w:left="596"/>
        <w:outlineLvl w:val="0"/>
        <w:rPr>
          <w:rFonts w:hint="eastAsia" w:ascii="方正小标宋简体" w:hAnsi="方正小标宋简体" w:eastAsia="方正小标宋简体" w:cs="方正小标宋简体"/>
          <w:color w:val="auto"/>
          <w:spacing w:val="12"/>
          <w:sz w:val="72"/>
          <w:szCs w:val="72"/>
          <w:highlight w:val="none"/>
        </w:rPr>
      </w:pPr>
    </w:p>
    <w:p w14:paraId="04B27DA9">
      <w:pPr>
        <w:pStyle w:val="20"/>
        <w:spacing w:before="287" w:line="185" w:lineRule="auto"/>
        <w:ind w:left="596"/>
        <w:outlineLvl w:val="0"/>
        <w:rPr>
          <w:color w:val="auto"/>
          <w:sz w:val="72"/>
          <w:szCs w:val="72"/>
          <w:highlight w:val="none"/>
        </w:rPr>
      </w:pPr>
      <w:r>
        <w:rPr>
          <w:rFonts w:hint="eastAsia" w:ascii="方正小标宋简体" w:hAnsi="方正小标宋简体" w:eastAsia="方正小标宋简体" w:cs="方正小标宋简体"/>
          <w:color w:val="auto"/>
          <w:spacing w:val="12"/>
          <w:sz w:val="72"/>
          <w:szCs w:val="72"/>
          <w:highlight w:val="none"/>
        </w:rPr>
        <w:t>滁州学院政府采购合同</w:t>
      </w:r>
    </w:p>
    <w:p w14:paraId="14E1C961">
      <w:pPr>
        <w:spacing w:line="242" w:lineRule="auto"/>
        <w:rPr>
          <w:rFonts w:ascii="Arial"/>
          <w:color w:val="auto"/>
          <w:sz w:val="72"/>
          <w:szCs w:val="72"/>
          <w:highlight w:val="none"/>
        </w:rPr>
      </w:pPr>
    </w:p>
    <w:p w14:paraId="24416ACC">
      <w:pPr>
        <w:spacing w:line="242" w:lineRule="auto"/>
        <w:rPr>
          <w:rFonts w:ascii="Arial"/>
          <w:color w:val="auto"/>
          <w:sz w:val="21"/>
          <w:highlight w:val="none"/>
        </w:rPr>
      </w:pPr>
    </w:p>
    <w:p w14:paraId="4BE9FCE9">
      <w:pPr>
        <w:spacing w:line="242" w:lineRule="auto"/>
        <w:rPr>
          <w:rFonts w:ascii="Arial"/>
          <w:color w:val="auto"/>
          <w:sz w:val="21"/>
          <w:highlight w:val="none"/>
        </w:rPr>
      </w:pPr>
    </w:p>
    <w:p w14:paraId="326624EC">
      <w:pPr>
        <w:spacing w:line="243" w:lineRule="auto"/>
        <w:rPr>
          <w:rFonts w:ascii="Arial"/>
          <w:color w:val="auto"/>
          <w:sz w:val="21"/>
          <w:highlight w:val="none"/>
        </w:rPr>
      </w:pPr>
    </w:p>
    <w:p w14:paraId="2CE6B732">
      <w:pPr>
        <w:pStyle w:val="20"/>
        <w:spacing w:before="226" w:line="182" w:lineRule="auto"/>
        <w:ind w:left="2749"/>
        <w:rPr>
          <w:color w:val="auto"/>
          <w:sz w:val="52"/>
          <w:szCs w:val="52"/>
          <w:highlight w:val="none"/>
        </w:rPr>
      </w:pPr>
      <w:r>
        <w:rPr>
          <w:rFonts w:hint="eastAsia" w:ascii="方正小标宋简体" w:hAnsi="方正小标宋简体" w:eastAsia="方正小标宋简体" w:cs="方正小标宋简体"/>
          <w:color w:val="auto"/>
          <w:spacing w:val="-4"/>
          <w:sz w:val="52"/>
          <w:szCs w:val="52"/>
          <w:highlight w:val="none"/>
        </w:rPr>
        <w:t>（ 工程类</w:t>
      </w:r>
      <w:r>
        <w:rPr>
          <w:rFonts w:hint="eastAsia" w:ascii="方正小标宋简体" w:hAnsi="方正小标宋简体" w:eastAsia="方正小标宋简体" w:cs="方正小标宋简体"/>
          <w:color w:val="auto"/>
          <w:spacing w:val="-63"/>
          <w:sz w:val="52"/>
          <w:szCs w:val="52"/>
          <w:highlight w:val="none"/>
        </w:rPr>
        <w:t xml:space="preserve"> </w:t>
      </w:r>
      <w:r>
        <w:rPr>
          <w:rFonts w:hint="eastAsia" w:ascii="方正小标宋简体" w:hAnsi="方正小标宋简体" w:eastAsia="方正小标宋简体" w:cs="方正小标宋简体"/>
          <w:color w:val="auto"/>
          <w:spacing w:val="-4"/>
          <w:sz w:val="52"/>
          <w:szCs w:val="52"/>
          <w:highlight w:val="none"/>
        </w:rPr>
        <w:t>）</w:t>
      </w:r>
    </w:p>
    <w:p w14:paraId="5B0A2BE9">
      <w:pPr>
        <w:spacing w:line="246" w:lineRule="auto"/>
        <w:rPr>
          <w:rFonts w:ascii="Arial"/>
          <w:color w:val="auto"/>
          <w:sz w:val="21"/>
          <w:highlight w:val="none"/>
        </w:rPr>
      </w:pPr>
    </w:p>
    <w:p w14:paraId="23B66954">
      <w:pPr>
        <w:spacing w:line="246" w:lineRule="auto"/>
        <w:rPr>
          <w:rFonts w:ascii="Arial"/>
          <w:color w:val="auto"/>
          <w:sz w:val="21"/>
          <w:highlight w:val="none"/>
        </w:rPr>
      </w:pPr>
    </w:p>
    <w:p w14:paraId="0B741FDA">
      <w:pPr>
        <w:spacing w:line="246" w:lineRule="auto"/>
        <w:rPr>
          <w:rFonts w:ascii="Arial"/>
          <w:color w:val="auto"/>
          <w:sz w:val="21"/>
          <w:highlight w:val="none"/>
        </w:rPr>
      </w:pPr>
    </w:p>
    <w:p w14:paraId="3AB0B2B1">
      <w:pPr>
        <w:spacing w:line="246" w:lineRule="auto"/>
        <w:rPr>
          <w:rFonts w:ascii="Arial"/>
          <w:color w:val="auto"/>
          <w:sz w:val="21"/>
          <w:highlight w:val="none"/>
        </w:rPr>
      </w:pPr>
    </w:p>
    <w:p w14:paraId="55BC9AC7">
      <w:pPr>
        <w:spacing w:line="246" w:lineRule="auto"/>
        <w:rPr>
          <w:rFonts w:ascii="Arial"/>
          <w:color w:val="auto"/>
          <w:sz w:val="21"/>
          <w:highlight w:val="none"/>
        </w:rPr>
      </w:pPr>
    </w:p>
    <w:p w14:paraId="6A81FB81">
      <w:pPr>
        <w:spacing w:line="246" w:lineRule="auto"/>
        <w:rPr>
          <w:rFonts w:ascii="Arial"/>
          <w:color w:val="auto"/>
          <w:sz w:val="21"/>
          <w:highlight w:val="none"/>
        </w:rPr>
      </w:pPr>
    </w:p>
    <w:p w14:paraId="7F807081">
      <w:pPr>
        <w:spacing w:line="246" w:lineRule="auto"/>
        <w:rPr>
          <w:rFonts w:ascii="Arial"/>
          <w:color w:val="auto"/>
          <w:sz w:val="21"/>
          <w:highlight w:val="none"/>
        </w:rPr>
      </w:pPr>
    </w:p>
    <w:p w14:paraId="2B0420D6">
      <w:pPr>
        <w:spacing w:line="246" w:lineRule="auto"/>
        <w:rPr>
          <w:rFonts w:ascii="Arial"/>
          <w:color w:val="auto"/>
          <w:sz w:val="21"/>
          <w:highlight w:val="none"/>
        </w:rPr>
      </w:pPr>
    </w:p>
    <w:p w14:paraId="198CF57A">
      <w:pPr>
        <w:spacing w:line="246" w:lineRule="auto"/>
        <w:rPr>
          <w:rFonts w:ascii="Arial"/>
          <w:color w:val="auto"/>
          <w:sz w:val="21"/>
          <w:highlight w:val="none"/>
        </w:rPr>
      </w:pPr>
    </w:p>
    <w:p w14:paraId="41024BB9">
      <w:pPr>
        <w:pStyle w:val="54"/>
        <w:rPr>
          <w:color w:val="auto"/>
          <w:highlight w:val="none"/>
        </w:rPr>
      </w:pPr>
    </w:p>
    <w:p w14:paraId="521ACEFD">
      <w:pPr>
        <w:spacing w:line="246" w:lineRule="auto"/>
        <w:rPr>
          <w:rFonts w:ascii="Arial"/>
          <w:color w:val="auto"/>
          <w:sz w:val="21"/>
          <w:highlight w:val="none"/>
        </w:rPr>
      </w:pPr>
    </w:p>
    <w:p w14:paraId="7AC0D748">
      <w:pPr>
        <w:spacing w:line="247" w:lineRule="auto"/>
        <w:rPr>
          <w:rFonts w:ascii="Arial"/>
          <w:color w:val="auto"/>
          <w:sz w:val="21"/>
          <w:highlight w:val="none"/>
        </w:rPr>
      </w:pPr>
    </w:p>
    <w:p w14:paraId="467F98DA">
      <w:pPr>
        <w:pStyle w:val="20"/>
        <w:keepNext w:val="0"/>
        <w:keepLines w:val="0"/>
        <w:pageBreakBefore w:val="0"/>
        <w:widowControl w:val="0"/>
        <w:kinsoku/>
        <w:wordWrap/>
        <w:overflowPunct/>
        <w:topLinePunct w:val="0"/>
        <w:autoSpaceDE/>
        <w:autoSpaceDN/>
        <w:bidi w:val="0"/>
        <w:adjustRightInd/>
        <w:snapToGrid/>
        <w:spacing w:before="122" w:line="500" w:lineRule="exact"/>
        <w:ind w:left="0" w:leftChars="0" w:right="0"/>
        <w:textAlignment w:val="auto"/>
        <w:rPr>
          <w:rFonts w:hint="eastAsia" w:ascii="方正小标宋简体" w:hAnsi="方正小标宋简体" w:eastAsia="方正小标宋简体" w:cs="方正小标宋简体"/>
          <w:color w:val="auto"/>
          <w:spacing w:val="2"/>
          <w:sz w:val="28"/>
          <w:szCs w:val="28"/>
          <w:highlight w:val="none"/>
          <w:u w:val="single" w:color="auto"/>
        </w:rPr>
      </w:pPr>
      <w:r>
        <w:rPr>
          <w:rFonts w:hint="eastAsia" w:ascii="方正小标宋简体" w:hAnsi="方正小标宋简体" w:eastAsia="方正小标宋简体" w:cs="方正小标宋简体"/>
          <w:color w:val="auto"/>
          <w:spacing w:val="3"/>
          <w:sz w:val="28"/>
          <w:szCs w:val="28"/>
          <w:highlight w:val="none"/>
        </w:rPr>
        <w:t>项目名称：</w:t>
      </w:r>
      <w:r>
        <w:rPr>
          <w:rFonts w:hint="eastAsia" w:ascii="方正小标宋简体" w:hAnsi="方正小标宋简体" w:eastAsia="方正小标宋简体" w:cs="方正小标宋简体"/>
          <w:color w:val="auto"/>
          <w:spacing w:val="3"/>
          <w:sz w:val="28"/>
          <w:szCs w:val="28"/>
          <w:highlight w:val="none"/>
          <w:u w:val="single" w:color="auto"/>
        </w:rPr>
        <w:t xml:space="preserve"> </w:t>
      </w:r>
      <w:r>
        <w:rPr>
          <w:rFonts w:hint="eastAsia" w:ascii="方正小标宋简体" w:hAnsi="方正小标宋简体" w:eastAsia="方正小标宋简体" w:cs="方正小标宋简体"/>
          <w:color w:val="auto"/>
          <w:spacing w:val="3"/>
          <w:sz w:val="28"/>
          <w:szCs w:val="28"/>
          <w:highlight w:val="none"/>
          <w:u w:val="single" w:color="auto"/>
          <w:lang w:val="en-US" w:eastAsia="zh-CN"/>
        </w:rPr>
        <w:t>滁州学院琅琊校区给水管网更新工程</w:t>
      </w:r>
    </w:p>
    <w:p w14:paraId="6609FFDD">
      <w:pPr>
        <w:pStyle w:val="20"/>
        <w:keepNext w:val="0"/>
        <w:keepLines w:val="0"/>
        <w:pageBreakBefore w:val="0"/>
        <w:widowControl w:val="0"/>
        <w:tabs>
          <w:tab w:val="left" w:pos="6914"/>
          <w:tab w:val="left" w:pos="6937"/>
          <w:tab w:val="left" w:pos="7047"/>
        </w:tabs>
        <w:kinsoku/>
        <w:wordWrap/>
        <w:overflowPunct/>
        <w:topLinePunct w:val="0"/>
        <w:autoSpaceDE/>
        <w:autoSpaceDN/>
        <w:bidi w:val="0"/>
        <w:adjustRightInd/>
        <w:snapToGrid/>
        <w:spacing w:before="122" w:line="500" w:lineRule="exact"/>
        <w:ind w:left="280" w:leftChars="0" w:right="0" w:hanging="280" w:hangingChars="100"/>
        <w:jc w:val="both"/>
        <w:textAlignment w:val="auto"/>
        <w:rPr>
          <w:rFonts w:hint="eastAsia" w:ascii="方正小标宋简体" w:hAnsi="方正小标宋简体" w:eastAsia="方正小标宋简体" w:cs="方正小标宋简体"/>
          <w:color w:val="auto"/>
          <w:sz w:val="28"/>
          <w:szCs w:val="28"/>
          <w:highlight w:val="none"/>
          <w:u w:val="single" w:color="auto"/>
          <w:lang w:val="en-US" w:eastAsia="zh-CN"/>
        </w:rPr>
      </w:pPr>
      <w:r>
        <w:rPr>
          <w:rFonts w:hint="eastAsia" w:ascii="方正小标宋简体" w:hAnsi="方正小标宋简体" w:eastAsia="方正小标宋简体" w:cs="方正小标宋简体"/>
          <w:color w:val="auto"/>
          <w:sz w:val="28"/>
          <w:szCs w:val="28"/>
          <w:highlight w:val="none"/>
        </w:rPr>
        <w:t>项目编号：</w:t>
      </w:r>
      <w:r>
        <w:rPr>
          <w:rFonts w:hint="eastAsia" w:ascii="方正小标宋简体" w:hAnsi="方正小标宋简体" w:eastAsia="方正小标宋简体" w:cs="方正小标宋简体"/>
          <w:color w:val="auto"/>
          <w:sz w:val="28"/>
          <w:szCs w:val="28"/>
          <w:highlight w:val="none"/>
          <w:u w:val="single" w:color="auto"/>
        </w:rPr>
        <w:t xml:space="preserve">          </w:t>
      </w:r>
      <w:r>
        <w:rPr>
          <w:rFonts w:hint="eastAsia" w:ascii="方正小标宋简体" w:hAnsi="方正小标宋简体" w:eastAsia="方正小标宋简体" w:cs="方正小标宋简体"/>
          <w:color w:val="auto"/>
          <w:sz w:val="28"/>
          <w:szCs w:val="28"/>
          <w:highlight w:val="none"/>
          <w:u w:val="single" w:color="auto"/>
          <w:lang w:val="en-US" w:eastAsia="zh-CN"/>
        </w:rPr>
        <w:t xml:space="preserve">            </w:t>
      </w:r>
    </w:p>
    <w:p w14:paraId="73CAEACB">
      <w:pPr>
        <w:pStyle w:val="20"/>
        <w:keepNext w:val="0"/>
        <w:keepLines w:val="0"/>
        <w:pageBreakBefore w:val="0"/>
        <w:widowControl w:val="0"/>
        <w:tabs>
          <w:tab w:val="left" w:pos="6914"/>
          <w:tab w:val="left" w:pos="6937"/>
          <w:tab w:val="left" w:pos="7047"/>
        </w:tabs>
        <w:kinsoku/>
        <w:wordWrap/>
        <w:overflowPunct/>
        <w:topLinePunct w:val="0"/>
        <w:autoSpaceDE/>
        <w:autoSpaceDN/>
        <w:bidi w:val="0"/>
        <w:adjustRightInd/>
        <w:snapToGrid/>
        <w:spacing w:before="122" w:line="500" w:lineRule="exact"/>
        <w:ind w:left="270" w:leftChars="0" w:right="0" w:hanging="270" w:hangingChars="100"/>
        <w:jc w:val="both"/>
        <w:textAlignment w:val="auto"/>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pacing w:val="-5"/>
          <w:sz w:val="28"/>
          <w:szCs w:val="28"/>
          <w:highlight w:val="none"/>
        </w:rPr>
        <w:t>甲方（发包人</w:t>
      </w:r>
      <w:r>
        <w:rPr>
          <w:rFonts w:hint="eastAsia" w:ascii="方正小标宋简体" w:hAnsi="方正小标宋简体" w:eastAsia="方正小标宋简体" w:cs="方正小标宋简体"/>
          <w:color w:val="auto"/>
          <w:spacing w:val="5"/>
          <w:sz w:val="28"/>
          <w:szCs w:val="28"/>
          <w:highlight w:val="none"/>
        </w:rPr>
        <w:t>）：</w:t>
      </w:r>
      <w:r>
        <w:rPr>
          <w:rFonts w:hint="eastAsia" w:ascii="方正小标宋简体" w:hAnsi="方正小标宋简体" w:eastAsia="方正小标宋简体" w:cs="方正小标宋简体"/>
          <w:color w:val="auto"/>
          <w:sz w:val="28"/>
          <w:szCs w:val="28"/>
          <w:highlight w:val="none"/>
          <w:u w:val="single" w:color="auto"/>
        </w:rPr>
        <w:t xml:space="preserve">   </w:t>
      </w:r>
      <w:r>
        <w:rPr>
          <w:rFonts w:hint="eastAsia" w:ascii="方正小标宋简体" w:hAnsi="方正小标宋简体" w:eastAsia="方正小标宋简体" w:cs="方正小标宋简体"/>
          <w:color w:val="auto"/>
          <w:spacing w:val="-5"/>
          <w:sz w:val="28"/>
          <w:szCs w:val="28"/>
          <w:highlight w:val="none"/>
          <w:u w:val="single" w:color="auto"/>
        </w:rPr>
        <w:t>滁州学院</w:t>
      </w:r>
      <w:r>
        <w:rPr>
          <w:rFonts w:hint="eastAsia" w:ascii="方正小标宋简体" w:hAnsi="方正小标宋简体" w:eastAsia="方正小标宋简体" w:cs="方正小标宋简体"/>
          <w:color w:val="auto"/>
          <w:spacing w:val="-5"/>
          <w:sz w:val="28"/>
          <w:szCs w:val="28"/>
          <w:highlight w:val="none"/>
          <w:u w:val="single" w:color="auto"/>
          <w:lang w:val="en-US" w:eastAsia="zh-CN"/>
        </w:rPr>
        <w:t xml:space="preserve">                       </w:t>
      </w:r>
      <w:r>
        <w:rPr>
          <w:rFonts w:hint="eastAsia" w:ascii="方正小标宋简体" w:hAnsi="方正小标宋简体" w:eastAsia="方正小标宋简体" w:cs="方正小标宋简体"/>
          <w:color w:val="auto"/>
          <w:sz w:val="28"/>
          <w:szCs w:val="28"/>
          <w:highlight w:val="none"/>
        </w:rPr>
        <w:t xml:space="preserve">  </w:t>
      </w:r>
    </w:p>
    <w:p w14:paraId="6EF1C1BE">
      <w:pPr>
        <w:pStyle w:val="20"/>
        <w:keepNext w:val="0"/>
        <w:keepLines w:val="0"/>
        <w:pageBreakBefore w:val="0"/>
        <w:widowControl w:val="0"/>
        <w:tabs>
          <w:tab w:val="left" w:pos="6914"/>
          <w:tab w:val="left" w:pos="6937"/>
          <w:tab w:val="left" w:pos="7047"/>
        </w:tabs>
        <w:kinsoku/>
        <w:wordWrap/>
        <w:overflowPunct/>
        <w:topLinePunct w:val="0"/>
        <w:autoSpaceDE/>
        <w:autoSpaceDN/>
        <w:bidi w:val="0"/>
        <w:adjustRightInd/>
        <w:snapToGrid/>
        <w:spacing w:before="122" w:line="500" w:lineRule="exact"/>
        <w:ind w:left="272" w:leftChars="0" w:right="0" w:hanging="272" w:hangingChars="100"/>
        <w:jc w:val="both"/>
        <w:textAlignment w:val="auto"/>
        <w:rPr>
          <w:rFonts w:hint="default" w:ascii="方正小标宋简体" w:hAnsi="方正小标宋简体" w:eastAsia="方正小标宋简体" w:cs="方正小标宋简体"/>
          <w:color w:val="auto"/>
          <w:spacing w:val="4"/>
          <w:sz w:val="28"/>
          <w:szCs w:val="28"/>
          <w:highlight w:val="none"/>
          <w:u w:val="single" w:color="auto"/>
          <w:lang w:val="en-US" w:eastAsia="zh-CN"/>
        </w:rPr>
      </w:pPr>
      <w:r>
        <w:rPr>
          <w:rFonts w:hint="eastAsia" w:ascii="方正小标宋简体" w:hAnsi="方正小标宋简体" w:eastAsia="方正小标宋简体" w:cs="方正小标宋简体"/>
          <w:color w:val="auto"/>
          <w:spacing w:val="-4"/>
          <w:sz w:val="28"/>
          <w:szCs w:val="28"/>
          <w:highlight w:val="none"/>
        </w:rPr>
        <w:t>乙方（承包人</w:t>
      </w:r>
      <w:r>
        <w:rPr>
          <w:rFonts w:hint="eastAsia" w:ascii="方正小标宋简体" w:hAnsi="方正小标宋简体" w:eastAsia="方正小标宋简体" w:cs="方正小标宋简体"/>
          <w:color w:val="auto"/>
          <w:spacing w:val="14"/>
          <w:sz w:val="28"/>
          <w:szCs w:val="28"/>
          <w:highlight w:val="none"/>
        </w:rPr>
        <w:t>）：</w:t>
      </w:r>
      <w:r>
        <w:rPr>
          <w:rFonts w:hint="eastAsia" w:ascii="方正小标宋简体" w:hAnsi="方正小标宋简体" w:eastAsia="方正小标宋简体" w:cs="方正小标宋简体"/>
          <w:color w:val="auto"/>
          <w:spacing w:val="4"/>
          <w:sz w:val="28"/>
          <w:szCs w:val="28"/>
          <w:highlight w:val="none"/>
          <w:u w:val="single" w:color="auto"/>
        </w:rPr>
        <w:t xml:space="preserve">  </w:t>
      </w:r>
      <w:r>
        <w:rPr>
          <w:rFonts w:hint="eastAsia" w:ascii="方正小标宋简体" w:hAnsi="方正小标宋简体" w:eastAsia="方正小标宋简体" w:cs="方正小标宋简体"/>
          <w:color w:val="auto"/>
          <w:spacing w:val="4"/>
          <w:sz w:val="28"/>
          <w:szCs w:val="28"/>
          <w:highlight w:val="none"/>
          <w:u w:val="single" w:color="auto"/>
          <w:lang w:val="en-US" w:eastAsia="zh-CN"/>
        </w:rPr>
        <w:t xml:space="preserve">                              </w:t>
      </w:r>
    </w:p>
    <w:p w14:paraId="2D30797A">
      <w:pPr>
        <w:pStyle w:val="20"/>
        <w:keepNext w:val="0"/>
        <w:keepLines w:val="0"/>
        <w:pageBreakBefore w:val="0"/>
        <w:widowControl w:val="0"/>
        <w:tabs>
          <w:tab w:val="left" w:pos="6914"/>
          <w:tab w:val="left" w:pos="6937"/>
          <w:tab w:val="left" w:pos="7047"/>
        </w:tabs>
        <w:kinsoku/>
        <w:wordWrap/>
        <w:overflowPunct/>
        <w:topLinePunct w:val="0"/>
        <w:autoSpaceDE/>
        <w:autoSpaceDN/>
        <w:bidi w:val="0"/>
        <w:adjustRightInd/>
        <w:snapToGrid/>
        <w:spacing w:before="122" w:line="500" w:lineRule="exact"/>
        <w:ind w:left="0" w:leftChars="0" w:right="0" w:hanging="2"/>
        <w:jc w:val="both"/>
        <w:textAlignment w:val="auto"/>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pacing w:val="-1"/>
          <w:sz w:val="28"/>
          <w:szCs w:val="28"/>
          <w:highlight w:val="none"/>
        </w:rPr>
        <w:t>签订地点：</w:t>
      </w:r>
      <w:r>
        <w:rPr>
          <w:rFonts w:hint="eastAsia" w:ascii="方正小标宋简体" w:hAnsi="方正小标宋简体" w:eastAsia="方正小标宋简体" w:cs="方正小标宋简体"/>
          <w:color w:val="auto"/>
          <w:spacing w:val="-1"/>
          <w:sz w:val="28"/>
          <w:szCs w:val="28"/>
          <w:highlight w:val="none"/>
          <w:u w:val="single" w:color="auto"/>
        </w:rPr>
        <w:t xml:space="preserve">          </w:t>
      </w:r>
      <w:r>
        <w:rPr>
          <w:rFonts w:hint="eastAsia" w:ascii="方正小标宋简体" w:hAnsi="方正小标宋简体" w:eastAsia="方正小标宋简体" w:cs="方正小标宋简体"/>
          <w:color w:val="auto"/>
          <w:spacing w:val="-1"/>
          <w:sz w:val="28"/>
          <w:szCs w:val="28"/>
          <w:highlight w:val="none"/>
          <w:u w:val="single" w:color="auto"/>
          <w:lang w:val="en-US" w:eastAsia="zh-CN"/>
        </w:rPr>
        <w:t xml:space="preserve"> </w:t>
      </w:r>
      <w:r>
        <w:rPr>
          <w:rFonts w:hint="eastAsia" w:ascii="方正小标宋简体" w:hAnsi="方正小标宋简体" w:eastAsia="方正小标宋简体" w:cs="方正小标宋简体"/>
          <w:color w:val="auto"/>
          <w:sz w:val="28"/>
          <w:szCs w:val="28"/>
          <w:highlight w:val="none"/>
          <w:u w:val="single" w:color="auto"/>
        </w:rPr>
        <w:tab/>
      </w:r>
      <w:r>
        <w:rPr>
          <w:rFonts w:hint="eastAsia" w:ascii="方正小标宋简体" w:hAnsi="方正小标宋简体" w:eastAsia="方正小标宋简体" w:cs="方正小标宋简体"/>
          <w:color w:val="auto"/>
          <w:sz w:val="28"/>
          <w:szCs w:val="28"/>
          <w:highlight w:val="none"/>
          <w:u w:val="single" w:color="auto"/>
        </w:rPr>
        <w:tab/>
      </w:r>
      <w:r>
        <w:rPr>
          <w:rFonts w:hint="eastAsia" w:ascii="方正小标宋简体" w:hAnsi="方正小标宋简体" w:eastAsia="方正小标宋简体" w:cs="方正小标宋简体"/>
          <w:color w:val="auto"/>
          <w:sz w:val="28"/>
          <w:szCs w:val="28"/>
          <w:highlight w:val="none"/>
          <w:u w:val="single" w:color="auto"/>
        </w:rPr>
        <w:tab/>
      </w:r>
      <w:r>
        <w:rPr>
          <w:rFonts w:hint="eastAsia" w:ascii="方正小标宋简体" w:hAnsi="方正小标宋简体" w:eastAsia="方正小标宋简体" w:cs="方正小标宋简体"/>
          <w:color w:val="auto"/>
          <w:sz w:val="28"/>
          <w:szCs w:val="28"/>
          <w:highlight w:val="none"/>
        </w:rPr>
        <w:t xml:space="preserve"> </w:t>
      </w:r>
    </w:p>
    <w:p w14:paraId="02723C0B">
      <w:pPr>
        <w:pStyle w:val="20"/>
        <w:keepNext w:val="0"/>
        <w:keepLines w:val="0"/>
        <w:pageBreakBefore w:val="0"/>
        <w:widowControl w:val="0"/>
        <w:tabs>
          <w:tab w:val="left" w:pos="6914"/>
          <w:tab w:val="left" w:pos="6937"/>
          <w:tab w:val="left" w:pos="7047"/>
        </w:tabs>
        <w:kinsoku/>
        <w:wordWrap/>
        <w:overflowPunct/>
        <w:topLinePunct w:val="0"/>
        <w:autoSpaceDE/>
        <w:autoSpaceDN/>
        <w:bidi w:val="0"/>
        <w:adjustRightInd/>
        <w:snapToGrid/>
        <w:spacing w:before="122" w:line="500" w:lineRule="exact"/>
        <w:ind w:left="0" w:leftChars="0" w:right="0" w:hanging="2"/>
        <w:jc w:val="both"/>
        <w:textAlignment w:val="auto"/>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pacing w:val="-2"/>
          <w:sz w:val="28"/>
          <w:szCs w:val="28"/>
          <w:highlight w:val="none"/>
        </w:rPr>
        <w:t>签订日期：</w:t>
      </w:r>
      <w:r>
        <w:rPr>
          <w:rFonts w:hint="eastAsia" w:ascii="方正小标宋简体" w:hAnsi="方正小标宋简体" w:eastAsia="方正小标宋简体" w:cs="方正小标宋简体"/>
          <w:color w:val="auto"/>
          <w:spacing w:val="-2"/>
          <w:sz w:val="28"/>
          <w:szCs w:val="28"/>
          <w:highlight w:val="none"/>
          <w:u w:val="single" w:color="auto"/>
        </w:rPr>
        <w:t xml:space="preserve"> </w:t>
      </w:r>
      <w:r>
        <w:rPr>
          <w:rFonts w:hint="eastAsia" w:ascii="方正小标宋简体" w:hAnsi="方正小标宋简体" w:eastAsia="方正小标宋简体" w:cs="方正小标宋简体"/>
          <w:color w:val="auto"/>
          <w:spacing w:val="-2"/>
          <w:sz w:val="28"/>
          <w:szCs w:val="28"/>
          <w:highlight w:val="none"/>
          <w:u w:val="single" w:color="auto"/>
          <w:lang w:val="en-US" w:eastAsia="zh-CN"/>
        </w:rPr>
        <w:t xml:space="preserve">  2025  </w:t>
      </w:r>
      <w:r>
        <w:rPr>
          <w:rFonts w:hint="eastAsia" w:ascii="方正小标宋简体" w:hAnsi="方正小标宋简体" w:eastAsia="方正小标宋简体" w:cs="方正小标宋简体"/>
          <w:color w:val="auto"/>
          <w:spacing w:val="-29"/>
          <w:sz w:val="28"/>
          <w:szCs w:val="28"/>
          <w:highlight w:val="none"/>
        </w:rPr>
        <w:t xml:space="preserve"> </w:t>
      </w:r>
      <w:r>
        <w:rPr>
          <w:rFonts w:hint="eastAsia" w:ascii="方正小标宋简体" w:hAnsi="方正小标宋简体" w:eastAsia="方正小标宋简体" w:cs="方正小标宋简体"/>
          <w:color w:val="auto"/>
          <w:spacing w:val="-2"/>
          <w:sz w:val="28"/>
          <w:szCs w:val="28"/>
          <w:highlight w:val="none"/>
        </w:rPr>
        <w:t>年</w:t>
      </w:r>
      <w:r>
        <w:rPr>
          <w:rFonts w:hint="eastAsia" w:ascii="方正小标宋简体" w:hAnsi="方正小标宋简体" w:eastAsia="方正小标宋简体" w:cs="方正小标宋简体"/>
          <w:color w:val="auto"/>
          <w:spacing w:val="-2"/>
          <w:sz w:val="28"/>
          <w:szCs w:val="28"/>
          <w:highlight w:val="none"/>
          <w:u w:val="single" w:color="auto"/>
        </w:rPr>
        <w:t xml:space="preserve"> </w:t>
      </w:r>
      <w:r>
        <w:rPr>
          <w:rFonts w:hint="eastAsia" w:ascii="方正小标宋简体" w:hAnsi="方正小标宋简体" w:eastAsia="方正小标宋简体" w:cs="方正小标宋简体"/>
          <w:color w:val="auto"/>
          <w:spacing w:val="-2"/>
          <w:sz w:val="28"/>
          <w:szCs w:val="28"/>
          <w:highlight w:val="none"/>
          <w:u w:val="single" w:color="auto"/>
          <w:lang w:val="en-US" w:eastAsia="zh-CN"/>
        </w:rPr>
        <w:t xml:space="preserve">   </w:t>
      </w:r>
      <w:r>
        <w:rPr>
          <w:rFonts w:hint="eastAsia" w:ascii="方正小标宋简体" w:hAnsi="方正小标宋简体" w:eastAsia="方正小标宋简体" w:cs="方正小标宋简体"/>
          <w:color w:val="auto"/>
          <w:spacing w:val="-3"/>
          <w:sz w:val="28"/>
          <w:szCs w:val="28"/>
          <w:highlight w:val="none"/>
        </w:rPr>
        <w:t>月</w:t>
      </w:r>
      <w:r>
        <w:rPr>
          <w:rFonts w:hint="eastAsia" w:ascii="方正小标宋简体" w:hAnsi="方正小标宋简体" w:eastAsia="方正小标宋简体" w:cs="方正小标宋简体"/>
          <w:color w:val="auto"/>
          <w:spacing w:val="-3"/>
          <w:sz w:val="28"/>
          <w:szCs w:val="28"/>
          <w:highlight w:val="none"/>
          <w:u w:val="single" w:color="auto"/>
        </w:rPr>
        <w:t xml:space="preserve"> </w:t>
      </w:r>
      <w:r>
        <w:rPr>
          <w:rFonts w:hint="eastAsia" w:ascii="方正小标宋简体" w:hAnsi="方正小标宋简体" w:eastAsia="方正小标宋简体" w:cs="方正小标宋简体"/>
          <w:color w:val="auto"/>
          <w:spacing w:val="-3"/>
          <w:sz w:val="28"/>
          <w:szCs w:val="28"/>
          <w:highlight w:val="none"/>
          <w:u w:val="single" w:color="auto"/>
          <w:lang w:val="en-US" w:eastAsia="zh-CN"/>
        </w:rPr>
        <w:t xml:space="preserve">   </w:t>
      </w:r>
      <w:r>
        <w:rPr>
          <w:rFonts w:hint="eastAsia" w:ascii="方正小标宋简体" w:hAnsi="方正小标宋简体" w:eastAsia="方正小标宋简体" w:cs="方正小标宋简体"/>
          <w:color w:val="auto"/>
          <w:spacing w:val="7"/>
          <w:sz w:val="28"/>
          <w:szCs w:val="28"/>
          <w:highlight w:val="none"/>
        </w:rPr>
        <w:t xml:space="preserve"> </w:t>
      </w:r>
      <w:r>
        <w:rPr>
          <w:rFonts w:hint="eastAsia" w:ascii="方正小标宋简体" w:hAnsi="方正小标宋简体" w:eastAsia="方正小标宋简体" w:cs="方正小标宋简体"/>
          <w:color w:val="auto"/>
          <w:spacing w:val="-3"/>
          <w:sz w:val="28"/>
          <w:szCs w:val="28"/>
          <w:highlight w:val="none"/>
        </w:rPr>
        <w:t>日</w:t>
      </w:r>
    </w:p>
    <w:p w14:paraId="2F8785D4">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方正小标宋简体" w:hAnsi="方正小标宋简体" w:eastAsia="方正小标宋简体" w:cs="方正小标宋简体"/>
          <w:color w:val="auto"/>
          <w:sz w:val="28"/>
          <w:szCs w:val="28"/>
          <w:highlight w:val="none"/>
        </w:rPr>
        <w:sectPr>
          <w:footerReference r:id="rId5" w:type="default"/>
          <w:pgSz w:w="11906" w:h="16840"/>
          <w:pgMar w:top="1431" w:right="1785" w:bottom="0" w:left="1785" w:header="0" w:footer="0" w:gutter="0"/>
          <w:pgNumType w:fmt="numberInDash" w:start="1"/>
          <w:cols w:space="720" w:num="1"/>
        </w:sectPr>
      </w:pPr>
    </w:p>
    <w:p w14:paraId="6F1D0B48">
      <w:pPr>
        <w:keepNext/>
        <w:keepLines/>
        <w:pageBreakBefore w:val="0"/>
        <w:widowControl w:val="0"/>
        <w:kinsoku/>
        <w:wordWrap/>
        <w:overflowPunct/>
        <w:topLinePunct w:val="0"/>
        <w:autoSpaceDE/>
        <w:autoSpaceDN/>
        <w:bidi w:val="0"/>
        <w:adjustRightInd/>
        <w:snapToGrid w:val="0"/>
        <w:spacing w:beforeAutospacing="0" w:line="500" w:lineRule="exact"/>
        <w:jc w:val="center"/>
        <w:textAlignment w:val="auto"/>
        <w:outlineLvl w:val="1"/>
        <w:rPr>
          <w:rFonts w:cs="宋体"/>
          <w:b/>
          <w:bCs/>
          <w:color w:val="auto"/>
          <w:sz w:val="24"/>
          <w:szCs w:val="24"/>
          <w:highlight w:val="none"/>
        </w:rPr>
      </w:pPr>
      <w:r>
        <w:rPr>
          <w:rFonts w:hint="eastAsia" w:cs="宋体"/>
          <w:b/>
          <w:bCs/>
          <w:color w:val="auto"/>
          <w:sz w:val="24"/>
          <w:szCs w:val="24"/>
          <w:highlight w:val="none"/>
        </w:rPr>
        <w:t>第一节  合同协议书</w:t>
      </w:r>
      <w:bookmarkEnd w:id="38"/>
      <w:bookmarkEnd w:id="39"/>
      <w:bookmarkEnd w:id="40"/>
    </w:p>
    <w:p w14:paraId="433EEB06">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color w:val="auto"/>
          <w:sz w:val="21"/>
          <w:szCs w:val="21"/>
          <w:highlight w:val="none"/>
        </w:rPr>
      </w:pPr>
      <w:bookmarkStart w:id="41" w:name="_Toc130919121"/>
      <w:bookmarkStart w:id="42" w:name="_Toc28799377"/>
      <w:bookmarkStart w:id="43" w:name="_Toc30550"/>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滁州学院琅琊校区给水管网更新工程 </w:t>
      </w:r>
      <w:r>
        <w:rPr>
          <w:rFonts w:hint="eastAsia" w:ascii="宋体" w:hAnsi="宋体" w:eastAsia="宋体" w:cs="宋体"/>
          <w:color w:val="auto"/>
          <w:sz w:val="21"/>
          <w:szCs w:val="21"/>
          <w:highlight w:val="none"/>
        </w:rPr>
        <w:t>工程施工及有关事项协商一致，共同达成如下协议：</w:t>
      </w:r>
    </w:p>
    <w:p w14:paraId="601145AF">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一、工程概况</w:t>
      </w:r>
    </w:p>
    <w:p w14:paraId="2983ACF5">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 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滁州学院琅琊校区给水管网更新工程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E17B89D">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工程地点：</w:t>
      </w:r>
      <w:r>
        <w:rPr>
          <w:rFonts w:hint="eastAsia" w:ascii="宋体" w:hAnsi="宋体" w:eastAsia="宋体" w:cs="宋体"/>
          <w:bCs/>
          <w:color w:val="auto"/>
          <w:sz w:val="21"/>
          <w:szCs w:val="21"/>
          <w:highlight w:val="none"/>
          <w:u w:val="single"/>
        </w:rPr>
        <w:t>滁州学院</w:t>
      </w:r>
      <w:r>
        <w:rPr>
          <w:rFonts w:hint="eastAsia" w:ascii="宋体" w:hAnsi="宋体" w:eastAsia="宋体" w:cs="宋体"/>
          <w:bCs/>
          <w:color w:val="auto"/>
          <w:sz w:val="21"/>
          <w:szCs w:val="21"/>
          <w:highlight w:val="none"/>
          <w:u w:val="single"/>
          <w:lang w:val="en-US" w:eastAsia="zh-CN"/>
        </w:rPr>
        <w:t>琅琊</w:t>
      </w:r>
      <w:r>
        <w:rPr>
          <w:rFonts w:hint="eastAsia" w:ascii="宋体" w:hAnsi="宋体" w:eastAsia="宋体" w:cs="宋体"/>
          <w:bCs/>
          <w:color w:val="auto"/>
          <w:sz w:val="21"/>
          <w:szCs w:val="21"/>
          <w:highlight w:val="none"/>
          <w:u w:val="single"/>
        </w:rPr>
        <w:t>校区内，采购人指定地点</w:t>
      </w:r>
      <w:r>
        <w:rPr>
          <w:rFonts w:hint="eastAsia" w:ascii="宋体" w:hAnsi="宋体" w:eastAsia="宋体" w:cs="宋体"/>
          <w:color w:val="auto"/>
          <w:sz w:val="21"/>
          <w:szCs w:val="21"/>
          <w:highlight w:val="none"/>
          <w:u w:val="single"/>
        </w:rPr>
        <w:t>。</w:t>
      </w:r>
    </w:p>
    <w:p w14:paraId="43D8C73A">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工程立项批准文号：</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bCs/>
          <w:color w:val="auto"/>
          <w:sz w:val="21"/>
          <w:szCs w:val="21"/>
          <w:highlight w:val="none"/>
        </w:rPr>
        <w:t>。</w:t>
      </w:r>
    </w:p>
    <w:p w14:paraId="0E5F0332">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资金来源：</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财政资金</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5577FB43">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 工程内容：</w:t>
      </w:r>
      <w:r>
        <w:rPr>
          <w:rFonts w:hint="eastAsia" w:ascii="宋体" w:hAnsi="宋体" w:eastAsia="宋体" w:cs="宋体"/>
          <w:bCs/>
          <w:color w:val="auto"/>
          <w:sz w:val="21"/>
          <w:szCs w:val="21"/>
          <w:highlight w:val="none"/>
          <w:u w:val="single"/>
          <w:lang w:val="en-US" w:eastAsia="zh-CN"/>
        </w:rPr>
        <w:t xml:space="preserve"> 给水管更换、闸阀、表计安装等        </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30D17A63">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14:paraId="62AE2794">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 工程承包范围：</w:t>
      </w:r>
    </w:p>
    <w:p w14:paraId="1D4284A9">
      <w:pPr>
        <w:keepNext w:val="0"/>
        <w:keepLines w:val="0"/>
        <w:pageBreakBefore w:val="0"/>
        <w:widowControl w:val="0"/>
        <w:kinsoku/>
        <w:wordWrap/>
        <w:overflowPunct/>
        <w:topLinePunct w:val="0"/>
        <w:bidi w:val="0"/>
        <w:snapToGrid w:val="0"/>
        <w:spacing w:beforeAutospacing="0" w:line="500" w:lineRule="exact"/>
        <w:ind w:firstLine="405" w:firstLineChars="19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工程量清单范围内的所有内容</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不在范围内的以签证为准。</w:t>
      </w:r>
      <w:r>
        <w:rPr>
          <w:rFonts w:hint="eastAsia" w:ascii="宋体" w:hAnsi="宋体" w:eastAsia="宋体" w:cs="宋体"/>
          <w:color w:val="auto"/>
          <w:sz w:val="21"/>
          <w:szCs w:val="21"/>
          <w:highlight w:val="none"/>
          <w:u w:val="single"/>
        </w:rPr>
        <w:t xml:space="preserve">    </w:t>
      </w:r>
    </w:p>
    <w:p w14:paraId="763FAAE4">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rPr>
      </w:pPr>
      <w:bookmarkStart w:id="44" w:name="_Toc351203482"/>
      <w:r>
        <w:rPr>
          <w:rFonts w:hint="eastAsia" w:ascii="宋体" w:hAnsi="宋体" w:eastAsia="宋体" w:cs="宋体"/>
          <w:b/>
          <w:color w:val="auto"/>
          <w:sz w:val="21"/>
          <w:szCs w:val="21"/>
          <w:highlight w:val="none"/>
        </w:rPr>
        <w:t>二、合同工期</w:t>
      </w:r>
      <w:bookmarkEnd w:id="44"/>
    </w:p>
    <w:p w14:paraId="1B98401C">
      <w:pPr>
        <w:keepNext w:val="0"/>
        <w:keepLines w:val="0"/>
        <w:pageBreakBefore w:val="0"/>
        <w:widowControl w:val="0"/>
        <w:kinsoku/>
        <w:wordWrap/>
        <w:overflowPunct/>
        <w:topLinePunct w:val="0"/>
        <w:bidi w:val="0"/>
        <w:snapToGrid w:val="0"/>
        <w:spacing w:beforeAutospacing="0" w:line="50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5503923C">
      <w:pPr>
        <w:keepNext w:val="0"/>
        <w:keepLines w:val="0"/>
        <w:pageBreakBefore w:val="0"/>
        <w:widowControl w:val="0"/>
        <w:kinsoku/>
        <w:wordWrap/>
        <w:overflowPunct/>
        <w:topLinePunct w:val="0"/>
        <w:bidi w:val="0"/>
        <w:snapToGrid w:val="0"/>
        <w:spacing w:beforeAutospacing="0" w:line="50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71062D7D">
      <w:pPr>
        <w:keepNext w:val="0"/>
        <w:keepLines w:val="0"/>
        <w:pageBreakBefore w:val="0"/>
        <w:widowControl w:val="0"/>
        <w:kinsoku/>
        <w:wordWrap/>
        <w:overflowPunct/>
        <w:topLinePunct w:val="0"/>
        <w:bidi w:val="0"/>
        <w:snapToGrid w:val="0"/>
        <w:spacing w:beforeAutospacing="0" w:line="50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lang w:val="en-US" w:eastAsia="zh-CN"/>
        </w:rPr>
        <w:t>不高于120个日历天。具体开工时间以建设单位通知时间为准。成交供应商按合同工期要求，每延迟一天，按 5000元/天处以违约金，从工程结算款中扣除。如延误工期超出合同工期50%的，不予支付工程款</w:t>
      </w:r>
      <w:r>
        <w:rPr>
          <w:rFonts w:hint="eastAsia" w:cs="宋体"/>
          <w:color w:val="auto"/>
          <w:sz w:val="21"/>
          <w:szCs w:val="21"/>
          <w:highlight w:val="none"/>
          <w:u w:val="single"/>
          <w:lang w:val="en-US" w:eastAsia="zh-CN"/>
        </w:rPr>
        <w:t>，招标人有权解除合同</w:t>
      </w:r>
      <w:r>
        <w:rPr>
          <w:rFonts w:hint="eastAsia" w:ascii="宋体" w:hAnsi="宋体" w:eastAsia="宋体" w:cs="宋体"/>
          <w:color w:val="auto"/>
          <w:sz w:val="21"/>
          <w:szCs w:val="21"/>
          <w:highlight w:val="none"/>
          <w:u w:val="single"/>
          <w:lang w:val="en-US" w:eastAsia="zh-CN"/>
        </w:rPr>
        <w:t>。如因采购人要求增加工程量、教育教学、重大活动、极端天气等不可抗拒因素造成延期，经采购人和成交供应商书面确认后，工期予以顺延，具体以实际发生时间为依据。</w:t>
      </w:r>
    </w:p>
    <w:p w14:paraId="6D2D1F24">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rPr>
      </w:pPr>
      <w:bookmarkStart w:id="45" w:name="_Toc351203483"/>
      <w:r>
        <w:rPr>
          <w:rFonts w:hint="eastAsia" w:ascii="宋体" w:hAnsi="宋体" w:eastAsia="宋体" w:cs="宋体"/>
          <w:b/>
          <w:color w:val="auto"/>
          <w:sz w:val="21"/>
          <w:szCs w:val="21"/>
          <w:highlight w:val="none"/>
        </w:rPr>
        <w:t>三、质量标准</w:t>
      </w:r>
      <w:bookmarkEnd w:id="45"/>
    </w:p>
    <w:p w14:paraId="24EB6DD1">
      <w:pPr>
        <w:keepNext w:val="0"/>
        <w:keepLines w:val="0"/>
        <w:pageBreakBefore w:val="0"/>
        <w:widowControl w:val="0"/>
        <w:kinsoku/>
        <w:wordWrap/>
        <w:overflowPunct/>
        <w:topLinePunct w:val="0"/>
        <w:bidi w:val="0"/>
        <w:snapToGrid w:val="0"/>
        <w:spacing w:beforeAutospacing="0" w:line="50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 xml:space="preserve"> 合格 </w:t>
      </w:r>
      <w:r>
        <w:rPr>
          <w:rFonts w:hint="eastAsia" w:ascii="宋体" w:hAnsi="宋体" w:eastAsia="宋体" w:cs="宋体"/>
          <w:color w:val="auto"/>
          <w:sz w:val="21"/>
          <w:szCs w:val="21"/>
          <w:highlight w:val="none"/>
        </w:rPr>
        <w:t>标准。</w:t>
      </w:r>
    </w:p>
    <w:p w14:paraId="1EB66A49">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rPr>
      </w:pPr>
      <w:bookmarkStart w:id="46" w:name="_Toc351203484"/>
      <w:r>
        <w:rPr>
          <w:rFonts w:hint="eastAsia" w:ascii="宋体" w:hAnsi="宋体" w:eastAsia="宋体" w:cs="宋体"/>
          <w:b/>
          <w:color w:val="auto"/>
          <w:sz w:val="21"/>
          <w:szCs w:val="21"/>
          <w:highlight w:val="none"/>
        </w:rPr>
        <w:t>四、签约合同价与合同价格形式</w:t>
      </w:r>
      <w:bookmarkEnd w:id="46"/>
    </w:p>
    <w:p w14:paraId="28D83FA7">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签约合同价为：</w:t>
      </w:r>
    </w:p>
    <w:p w14:paraId="36E2A938">
      <w:pPr>
        <w:keepNext w:val="0"/>
        <w:keepLines w:val="0"/>
        <w:pageBreakBefore w:val="0"/>
        <w:widowControl w:val="0"/>
        <w:kinsoku/>
        <w:wordWrap/>
        <w:overflowPunct/>
        <w:topLinePunct w:val="0"/>
        <w:bidi w:val="0"/>
        <w:snapToGrid w:val="0"/>
        <w:spacing w:beforeAutospacing="0" w:line="50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万元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14:paraId="1B819EED">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471E102D">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12C4B56D">
      <w:pPr>
        <w:keepNext w:val="0"/>
        <w:keepLines w:val="0"/>
        <w:pageBreakBefore w:val="0"/>
        <w:widowControl w:val="0"/>
        <w:kinsoku/>
        <w:wordWrap/>
        <w:overflowPunct/>
        <w:topLinePunct w:val="0"/>
        <w:bidi w:val="0"/>
        <w:snapToGrid w:val="0"/>
        <w:spacing w:beforeAutospacing="0" w:line="500" w:lineRule="exact"/>
        <w:ind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C62D726">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708E9D7E">
      <w:pPr>
        <w:keepNext w:val="0"/>
        <w:keepLines w:val="0"/>
        <w:pageBreakBefore w:val="0"/>
        <w:widowControl w:val="0"/>
        <w:kinsoku/>
        <w:wordWrap/>
        <w:overflowPunct/>
        <w:topLinePunct w:val="0"/>
        <w:bidi w:val="0"/>
        <w:snapToGrid w:val="0"/>
        <w:spacing w:beforeAutospacing="0" w:line="500" w:lineRule="exact"/>
        <w:ind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25D43CD5">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1DE28642">
      <w:pPr>
        <w:keepNext w:val="0"/>
        <w:keepLines w:val="0"/>
        <w:pageBreakBefore w:val="0"/>
        <w:widowControl w:val="0"/>
        <w:kinsoku/>
        <w:wordWrap/>
        <w:overflowPunct/>
        <w:topLinePunct w:val="0"/>
        <w:bidi w:val="0"/>
        <w:snapToGrid w:val="0"/>
        <w:spacing w:beforeAutospacing="0" w:line="500" w:lineRule="exact"/>
        <w:ind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0461B998">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472D3D53">
      <w:pPr>
        <w:keepNext w:val="0"/>
        <w:keepLines w:val="0"/>
        <w:pageBreakBefore w:val="0"/>
        <w:widowControl w:val="0"/>
        <w:kinsoku/>
        <w:wordWrap/>
        <w:overflowPunct/>
        <w:topLinePunct w:val="0"/>
        <w:bidi w:val="0"/>
        <w:snapToGrid w:val="0"/>
        <w:spacing w:beforeAutospacing="0" w:line="500" w:lineRule="exact"/>
        <w:ind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05812878">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合同价格形式：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固定单价合同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7759A2">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lang w:val="en-US" w:eastAsia="zh-CN"/>
        </w:rPr>
      </w:pPr>
      <w:bookmarkStart w:id="47" w:name="_Toc351203485"/>
      <w:r>
        <w:rPr>
          <w:rFonts w:hint="eastAsia" w:ascii="宋体" w:hAnsi="宋体" w:eastAsia="宋体" w:cs="宋体"/>
          <w:b/>
          <w:color w:val="auto"/>
          <w:sz w:val="21"/>
          <w:szCs w:val="21"/>
          <w:highlight w:val="none"/>
        </w:rPr>
        <w:t>五、</w:t>
      </w:r>
      <w:bookmarkEnd w:id="47"/>
      <w:r>
        <w:rPr>
          <w:rFonts w:hint="eastAsia" w:ascii="宋体" w:hAnsi="宋体" w:eastAsia="宋体" w:cs="宋体"/>
          <w:b/>
          <w:color w:val="auto"/>
          <w:sz w:val="21"/>
          <w:szCs w:val="21"/>
          <w:highlight w:val="none"/>
        </w:rPr>
        <w:t>项目经理</w:t>
      </w:r>
      <w:r>
        <w:rPr>
          <w:rFonts w:hint="eastAsia" w:ascii="宋体" w:hAnsi="宋体" w:eastAsia="宋体" w:cs="宋体"/>
          <w:b/>
          <w:color w:val="auto"/>
          <w:sz w:val="21"/>
          <w:szCs w:val="21"/>
          <w:highlight w:val="none"/>
          <w:lang w:val="en-US" w:eastAsia="zh-CN"/>
        </w:rPr>
        <w:t>及技术负责人</w:t>
      </w:r>
    </w:p>
    <w:p w14:paraId="0E147D8A">
      <w:pPr>
        <w:keepNext w:val="0"/>
        <w:keepLines w:val="0"/>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48" w:name="_Toc351203486"/>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建造师注册执业号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联系号码：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p>
    <w:p w14:paraId="0B1C2EE1">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六、合同文件构成</w:t>
      </w:r>
      <w:bookmarkEnd w:id="48"/>
    </w:p>
    <w:p w14:paraId="271B1AB7">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0765E3F2">
      <w:pPr>
        <w:keepNext w:val="0"/>
        <w:keepLines w:val="0"/>
        <w:pageBreakBefore w:val="0"/>
        <w:widowControl w:val="0"/>
        <w:kinsoku/>
        <w:wordWrap/>
        <w:overflowPunct/>
        <w:topLinePunct w:val="0"/>
        <w:autoSpaceDE w:val="0"/>
        <w:autoSpaceDN w:val="0"/>
        <w:bidi w:val="0"/>
        <w:adjustRightInd w:val="0"/>
        <w:snapToGrid w:val="0"/>
        <w:spacing w:beforeAutospacing="0"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（1）中标通知书（如果有）；（2）投标函及其附录（如果有）； </w:t>
      </w:r>
    </w:p>
    <w:p w14:paraId="59E9001E">
      <w:pPr>
        <w:keepNext w:val="0"/>
        <w:keepLines w:val="0"/>
        <w:pageBreakBefore w:val="0"/>
        <w:widowControl w:val="0"/>
        <w:kinsoku/>
        <w:wordWrap/>
        <w:overflowPunct/>
        <w:topLinePunct w:val="0"/>
        <w:autoSpaceDE w:val="0"/>
        <w:autoSpaceDN w:val="0"/>
        <w:bidi w:val="0"/>
        <w:adjustRightInd w:val="0"/>
        <w:snapToGrid w:val="0"/>
        <w:spacing w:beforeAutospacing="0"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（3）专用合同条款及其附件；（4）通用合同条款；（5）技术标准和要求；</w:t>
      </w:r>
    </w:p>
    <w:p w14:paraId="4EF132CD">
      <w:pPr>
        <w:keepNext w:val="0"/>
        <w:keepLines w:val="0"/>
        <w:pageBreakBefore w:val="0"/>
        <w:widowControl w:val="0"/>
        <w:kinsoku/>
        <w:wordWrap/>
        <w:overflowPunct/>
        <w:topLinePunct w:val="0"/>
        <w:autoSpaceDE w:val="0"/>
        <w:autoSpaceDN w:val="0"/>
        <w:bidi w:val="0"/>
        <w:adjustRightInd w:val="0"/>
        <w:snapToGrid w:val="0"/>
        <w:spacing w:beforeAutospacing="0"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（6）图纸；（7）已标价工程量清单或预算书；（8）其他合同文件。</w:t>
      </w:r>
    </w:p>
    <w:p w14:paraId="73F718E3">
      <w:pPr>
        <w:keepNext w:val="0"/>
        <w:keepLines w:val="0"/>
        <w:pageBreakBefore w:val="0"/>
        <w:widowControl w:val="0"/>
        <w:kinsoku/>
        <w:wordWrap/>
        <w:overflowPunct/>
        <w:topLinePunct w:val="0"/>
        <w:autoSpaceDE w:val="0"/>
        <w:autoSpaceDN w:val="0"/>
        <w:bidi w:val="0"/>
        <w:adjustRightInd w:val="0"/>
        <w:snapToGrid w:val="0"/>
        <w:spacing w:beforeAutospacing="0"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69A75B55">
      <w:pPr>
        <w:keepNext w:val="0"/>
        <w:keepLines w:val="0"/>
        <w:pageBreakBefore w:val="0"/>
        <w:widowControl w:val="0"/>
        <w:kinsoku/>
        <w:wordWrap/>
        <w:overflowPunct/>
        <w:topLinePunct w:val="0"/>
        <w:autoSpaceDE w:val="0"/>
        <w:autoSpaceDN w:val="0"/>
        <w:bidi w:val="0"/>
        <w:adjustRightInd w:val="0"/>
        <w:snapToGrid w:val="0"/>
        <w:spacing w:beforeAutospacing="0"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0D7C0244">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rPr>
      </w:pPr>
      <w:bookmarkStart w:id="49" w:name="_Toc351203487"/>
      <w:r>
        <w:rPr>
          <w:rFonts w:hint="eastAsia" w:ascii="宋体" w:hAnsi="宋体" w:eastAsia="宋体" w:cs="宋体"/>
          <w:b/>
          <w:color w:val="auto"/>
          <w:sz w:val="21"/>
          <w:szCs w:val="21"/>
          <w:highlight w:val="none"/>
        </w:rPr>
        <w:t>七、承诺</w:t>
      </w:r>
      <w:bookmarkEnd w:id="49"/>
    </w:p>
    <w:p w14:paraId="2EAC86FB">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发包人承诺按照法律规定履行项目审批手续、筹集工程建设资金并按照合同约定的期限和方式支付合同价款。</w:t>
      </w:r>
    </w:p>
    <w:p w14:paraId="6364DA78">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承包人承诺按照法律规定及合同约定组织完成工程施工，确保工程质量和安全，不进行转包及违法分包，并在缺陷责任期及保修期内承担相应的工程维修责任。</w:t>
      </w:r>
    </w:p>
    <w:p w14:paraId="50B79DEF">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发包人和承包人通过招投标形式签订合同的，双方理解并承诺不再就同一工程另行签订与合同实质性内容相背离的协议。</w:t>
      </w:r>
    </w:p>
    <w:p w14:paraId="44FFCA83">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rPr>
      </w:pPr>
      <w:bookmarkStart w:id="50" w:name="_Toc351203488"/>
      <w:r>
        <w:rPr>
          <w:rFonts w:hint="eastAsia" w:ascii="宋体" w:hAnsi="宋体" w:eastAsia="宋体" w:cs="宋体"/>
          <w:b/>
          <w:color w:val="auto"/>
          <w:sz w:val="21"/>
          <w:szCs w:val="21"/>
          <w:highlight w:val="none"/>
        </w:rPr>
        <w:t>八、词语含义</w:t>
      </w:r>
      <w:bookmarkEnd w:id="50"/>
    </w:p>
    <w:p w14:paraId="4ACE6876">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5D98E763">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rPr>
      </w:pPr>
      <w:bookmarkStart w:id="51" w:name="_Toc351203489"/>
      <w:r>
        <w:rPr>
          <w:rFonts w:hint="eastAsia" w:ascii="宋体" w:hAnsi="宋体" w:eastAsia="宋体" w:cs="宋体"/>
          <w:b/>
          <w:color w:val="auto"/>
          <w:sz w:val="21"/>
          <w:szCs w:val="21"/>
          <w:highlight w:val="none"/>
        </w:rPr>
        <w:t>九、签订时间</w:t>
      </w:r>
      <w:bookmarkEnd w:id="51"/>
    </w:p>
    <w:p w14:paraId="683B106F">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2025</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6D6FCC8B">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rPr>
      </w:pPr>
      <w:bookmarkStart w:id="52" w:name="_Toc351203490"/>
      <w:r>
        <w:rPr>
          <w:rFonts w:hint="eastAsia" w:ascii="宋体" w:hAnsi="宋体" w:eastAsia="宋体" w:cs="宋体"/>
          <w:b/>
          <w:color w:val="auto"/>
          <w:sz w:val="21"/>
          <w:szCs w:val="21"/>
          <w:highlight w:val="none"/>
        </w:rPr>
        <w:t>十、签订地点</w:t>
      </w:r>
      <w:bookmarkEnd w:id="52"/>
    </w:p>
    <w:p w14:paraId="069AD83B">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滁州学院会峰校区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49846842">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rPr>
      </w:pPr>
      <w:bookmarkStart w:id="53" w:name="_Toc351203491"/>
      <w:r>
        <w:rPr>
          <w:rFonts w:hint="eastAsia" w:ascii="宋体" w:hAnsi="宋体" w:eastAsia="宋体" w:cs="宋体"/>
          <w:b/>
          <w:color w:val="auto"/>
          <w:sz w:val="21"/>
          <w:szCs w:val="21"/>
          <w:highlight w:val="none"/>
        </w:rPr>
        <w:t>十一、补充协议</w:t>
      </w:r>
      <w:bookmarkEnd w:id="53"/>
    </w:p>
    <w:p w14:paraId="07F4E76B">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2B87EBAC">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rPr>
      </w:pPr>
      <w:bookmarkStart w:id="54" w:name="_Toc351203492"/>
      <w:r>
        <w:rPr>
          <w:rFonts w:hint="eastAsia" w:ascii="宋体" w:hAnsi="宋体" w:eastAsia="宋体" w:cs="宋体"/>
          <w:b/>
          <w:color w:val="auto"/>
          <w:sz w:val="21"/>
          <w:szCs w:val="21"/>
          <w:highlight w:val="none"/>
        </w:rPr>
        <w:t>十二、合同生效</w:t>
      </w:r>
      <w:bookmarkEnd w:id="54"/>
    </w:p>
    <w:p w14:paraId="0B195C9F">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双方签字盖章 </w:t>
      </w:r>
      <w:r>
        <w:rPr>
          <w:rFonts w:hint="eastAsia" w:ascii="宋体" w:hAnsi="宋体" w:eastAsia="宋体" w:cs="宋体"/>
          <w:bCs/>
          <w:color w:val="auto"/>
          <w:sz w:val="21"/>
          <w:szCs w:val="21"/>
          <w:highlight w:val="none"/>
        </w:rPr>
        <w:t>生效。</w:t>
      </w:r>
    </w:p>
    <w:p w14:paraId="6C9BECC5">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ascii="宋体" w:hAnsi="宋体" w:eastAsia="宋体" w:cs="宋体"/>
          <w:b/>
          <w:color w:val="auto"/>
          <w:sz w:val="21"/>
          <w:szCs w:val="21"/>
          <w:highlight w:val="none"/>
        </w:rPr>
      </w:pPr>
      <w:bookmarkStart w:id="55" w:name="_Toc351203493"/>
      <w:r>
        <w:rPr>
          <w:rFonts w:hint="eastAsia" w:ascii="宋体" w:hAnsi="宋体" w:eastAsia="宋体" w:cs="宋体"/>
          <w:b/>
          <w:color w:val="auto"/>
          <w:sz w:val="21"/>
          <w:szCs w:val="21"/>
          <w:highlight w:val="none"/>
        </w:rPr>
        <w:t>十三、合同份数</w:t>
      </w:r>
      <w:bookmarkEnd w:id="55"/>
    </w:p>
    <w:p w14:paraId="6EA9BFC1">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捌</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贰</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14:paraId="51DEF3C6">
      <w:pPr>
        <w:keepNext w:val="0"/>
        <w:keepLines w:val="0"/>
        <w:pageBreakBefore w:val="0"/>
        <w:widowControl w:val="0"/>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lang w:val="en-US" w:eastAsia="zh-CN"/>
        </w:rPr>
        <w:t>滁州学院</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公章）</w:t>
      </w:r>
    </w:p>
    <w:p w14:paraId="568FAE56">
      <w:pPr>
        <w:keepNext w:val="0"/>
        <w:keepLines w:val="0"/>
        <w:pageBreakBefore w:val="0"/>
        <w:widowControl w:val="0"/>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252EFF8C">
      <w:pPr>
        <w:keepNext w:val="0"/>
        <w:keepLines w:val="0"/>
        <w:pageBreakBefore w:val="0"/>
        <w:widowControl w:val="0"/>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0D1100F">
      <w:pPr>
        <w:keepNext w:val="0"/>
        <w:keepLines w:val="0"/>
        <w:pageBreakBefore w:val="0"/>
        <w:widowControl w:val="0"/>
        <w:tabs>
          <w:tab w:val="left" w:pos="4410"/>
        </w:tabs>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123400004860905355</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p>
    <w:p w14:paraId="1382988B">
      <w:pPr>
        <w:keepNext w:val="0"/>
        <w:keepLines w:val="0"/>
        <w:pageBreakBefore w:val="0"/>
        <w:widowControl w:val="0"/>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安徽省滁州市南谯区会</w:t>
      </w:r>
      <w:r>
        <w:rPr>
          <w:rFonts w:hint="eastAsia" w:ascii="宋体" w:hAnsi="宋体" w:eastAsia="宋体" w:cs="宋体"/>
          <w:color w:val="auto"/>
          <w:sz w:val="21"/>
          <w:szCs w:val="21"/>
          <w:highlight w:val="none"/>
          <w:u w:val="single"/>
          <w:lang w:val="en-US" w:eastAsia="zh-CN"/>
        </w:rPr>
        <w:t>峰</w:t>
      </w:r>
      <w:r>
        <w:rPr>
          <w:rFonts w:hint="eastAsia" w:ascii="宋体" w:hAnsi="宋体" w:eastAsia="宋体" w:cs="宋体"/>
          <w:color w:val="auto"/>
          <w:sz w:val="21"/>
          <w:szCs w:val="21"/>
          <w:highlight w:val="none"/>
          <w:u w:val="single"/>
        </w:rPr>
        <w:t xml:space="preserve">西路1号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   </w:t>
      </w:r>
    </w:p>
    <w:p w14:paraId="10FB460E">
      <w:pPr>
        <w:keepNext w:val="0"/>
        <w:keepLines w:val="0"/>
        <w:pageBreakBefore w:val="0"/>
        <w:widowControl w:val="0"/>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239000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5B7862FB">
      <w:pPr>
        <w:keepNext w:val="0"/>
        <w:keepLines w:val="0"/>
        <w:pageBreakBefore w:val="0"/>
        <w:widowControl w:val="0"/>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p>
    <w:p w14:paraId="68DFAC2C">
      <w:pPr>
        <w:keepNext w:val="0"/>
        <w:keepLines w:val="0"/>
        <w:pageBreakBefore w:val="0"/>
        <w:widowControl w:val="0"/>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64DCBC70">
      <w:pPr>
        <w:keepNext w:val="0"/>
        <w:keepLines w:val="0"/>
        <w:pageBreakBefore w:val="0"/>
        <w:widowControl w:val="0"/>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66047F92">
      <w:pPr>
        <w:keepNext w:val="0"/>
        <w:keepLines w:val="0"/>
        <w:pageBreakBefore w:val="0"/>
        <w:widowControl w:val="0"/>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w:t>
      </w:r>
    </w:p>
    <w:p w14:paraId="52523013">
      <w:pPr>
        <w:keepNext w:val="0"/>
        <w:keepLines w:val="0"/>
        <w:pageBreakBefore w:val="0"/>
        <w:widowControl w:val="0"/>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w:t>
      </w:r>
    </w:p>
    <w:p w14:paraId="544EEAC6">
      <w:pPr>
        <w:keepNext w:val="0"/>
        <w:keepLines w:val="0"/>
        <w:pageBreakBefore w:val="0"/>
        <w:widowControl w:val="0"/>
        <w:kinsoku/>
        <w:wordWrap/>
        <w:overflowPunct/>
        <w:topLinePunct w:val="0"/>
        <w:bidi w:val="0"/>
        <w:snapToGrid w:val="0"/>
        <w:spacing w:beforeAutospacing="0" w:line="5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中国工商银行滁州市醉翁亭支行</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w:t>
      </w:r>
    </w:p>
    <w:p w14:paraId="73440541">
      <w:pPr>
        <w:keepNext w:val="0"/>
        <w:keepLines w:val="0"/>
        <w:pageBreakBefore w:val="0"/>
        <w:widowControl w:val="0"/>
        <w:kinsoku/>
        <w:wordWrap/>
        <w:overflowPunct/>
        <w:topLinePunct w:val="0"/>
        <w:bidi w:val="0"/>
        <w:snapToGrid w:val="0"/>
        <w:spacing w:beforeAutospacing="0" w:line="500" w:lineRule="exact"/>
        <w:textAlignment w:val="auto"/>
        <w:rPr>
          <w:rFonts w:hint="eastAsia" w:cs="宋体"/>
          <w:color w:val="auto"/>
          <w:sz w:val="21"/>
          <w:szCs w:val="21"/>
          <w:highlight w:val="none"/>
          <w:u w:val="singl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1313062809024904784</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5A45B533">
      <w:pPr>
        <w:rPr>
          <w:rFonts w:hint="eastAsia" w:cs="宋体"/>
          <w:color w:val="auto"/>
          <w:sz w:val="21"/>
          <w:szCs w:val="21"/>
          <w:highlight w:val="none"/>
          <w:u w:val="single"/>
        </w:rPr>
      </w:pPr>
      <w:r>
        <w:rPr>
          <w:rFonts w:hint="eastAsia" w:cs="宋体"/>
          <w:color w:val="auto"/>
          <w:sz w:val="21"/>
          <w:szCs w:val="21"/>
          <w:highlight w:val="none"/>
          <w:u w:val="single"/>
        </w:rPr>
        <w:br w:type="page"/>
      </w:r>
    </w:p>
    <w:p w14:paraId="1D9F61A6">
      <w:pPr>
        <w:keepNext w:val="0"/>
        <w:keepLines w:val="0"/>
        <w:pageBreakBefore w:val="0"/>
        <w:widowControl w:val="0"/>
        <w:kinsoku/>
        <w:wordWrap/>
        <w:overflowPunct/>
        <w:topLinePunct w:val="0"/>
        <w:bidi w:val="0"/>
        <w:snapToGrid w:val="0"/>
        <w:spacing w:beforeAutospacing="0" w:line="500" w:lineRule="exact"/>
        <w:textAlignment w:val="auto"/>
        <w:rPr>
          <w:rFonts w:cs="宋体"/>
          <w:bCs/>
          <w:color w:val="auto"/>
          <w:sz w:val="21"/>
          <w:szCs w:val="21"/>
          <w:highlight w:val="none"/>
        </w:rPr>
      </w:pPr>
      <w:r>
        <w:rPr>
          <w:rFonts w:hint="eastAsia" w:cs="宋体"/>
          <w:b/>
          <w:bCs/>
          <w:color w:val="auto"/>
          <w:sz w:val="21"/>
          <w:szCs w:val="21"/>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第二节  通用合同条款</w:t>
      </w:r>
      <w:bookmarkEnd w:id="41"/>
      <w:bookmarkEnd w:id="42"/>
      <w:bookmarkEnd w:id="43"/>
    </w:p>
    <w:p w14:paraId="1EACA06D">
      <w:pPr>
        <w:spacing w:line="360" w:lineRule="auto"/>
        <w:ind w:firstLine="560" w:firstLineChars="200"/>
        <w:rPr>
          <w:rFonts w:cs="Times New Roman"/>
          <w:snapToGrid w:val="0"/>
          <w:color w:val="auto"/>
          <w:sz w:val="28"/>
          <w:szCs w:val="24"/>
          <w:highlight w:val="none"/>
        </w:rPr>
      </w:pPr>
      <w:r>
        <w:rPr>
          <w:rFonts w:hint="eastAsia" w:cs="Times New Roman"/>
          <w:snapToGrid w:val="0"/>
          <w:color w:val="auto"/>
          <w:sz w:val="28"/>
          <w:szCs w:val="24"/>
          <w:highlight w:val="none"/>
        </w:rPr>
        <w:t>采用《建设工程施工合同（示范文本）》（GF-2017-0201）中通用合同条款。上述资料由承包人自行准备。</w:t>
      </w:r>
    </w:p>
    <w:p w14:paraId="6A4A6ED5">
      <w:pPr>
        <w:keepNext/>
        <w:keepLines/>
        <w:pageBreakBefore w:val="0"/>
        <w:widowControl w:val="0"/>
        <w:kinsoku/>
        <w:wordWrap/>
        <w:overflowPunct/>
        <w:topLinePunct w:val="0"/>
        <w:autoSpaceDE/>
        <w:autoSpaceDN/>
        <w:bidi w:val="0"/>
        <w:adjustRightInd/>
        <w:snapToGrid w:val="0"/>
        <w:spacing w:beforeAutospacing="0" w:line="500" w:lineRule="exact"/>
        <w:jc w:val="center"/>
        <w:textAlignment w:val="auto"/>
        <w:outlineLvl w:val="1"/>
        <w:rPr>
          <w:rFonts w:cs="宋体"/>
          <w:bCs/>
          <w:color w:val="auto"/>
          <w:sz w:val="21"/>
          <w:szCs w:val="21"/>
          <w:highlight w:val="none"/>
        </w:rPr>
      </w:pPr>
      <w:r>
        <w:rPr>
          <w:rFonts w:hint="eastAsia" w:cs="宋体"/>
          <w:b/>
          <w:bCs/>
          <w:color w:val="auto"/>
          <w:sz w:val="21"/>
          <w:szCs w:val="21"/>
          <w:highlight w:val="none"/>
        </w:rPr>
        <w:br w:type="page"/>
      </w:r>
      <w:bookmarkStart w:id="56" w:name="_Toc31931"/>
      <w:bookmarkStart w:id="57" w:name="_Toc130919122"/>
      <w:bookmarkStart w:id="58" w:name="_Toc28799378"/>
      <w:r>
        <w:rPr>
          <w:rFonts w:hint="eastAsia" w:ascii="宋体" w:hAnsi="宋体" w:eastAsia="宋体" w:cs="宋体"/>
          <w:b/>
          <w:bCs/>
          <w:color w:val="auto"/>
          <w:sz w:val="24"/>
          <w:szCs w:val="24"/>
          <w:highlight w:val="none"/>
        </w:rPr>
        <w:t>第三节  专用合同条款</w:t>
      </w:r>
      <w:bookmarkEnd w:id="56"/>
      <w:bookmarkEnd w:id="57"/>
      <w:bookmarkEnd w:id="58"/>
    </w:p>
    <w:p w14:paraId="62D46601">
      <w:pPr>
        <w:pageBreakBefore w:val="0"/>
        <w:kinsoku/>
        <w:topLinePunct w:val="0"/>
        <w:bidi w:val="0"/>
        <w:snapToGrid w:val="0"/>
        <w:spacing w:beforeAutospacing="0" w:line="520" w:lineRule="exact"/>
        <w:jc w:val="center"/>
        <w:outlineLvl w:val="2"/>
        <w:rPr>
          <w:rFonts w:hint="eastAsia" w:ascii="宋体" w:hAnsi="宋体" w:eastAsia="宋体" w:cs="宋体"/>
          <w:color w:val="auto"/>
          <w:sz w:val="21"/>
          <w:szCs w:val="21"/>
          <w:highlight w:val="none"/>
        </w:rPr>
      </w:pPr>
      <w:bookmarkStart w:id="59" w:name="_Toc351203633"/>
      <w:r>
        <w:rPr>
          <w:rFonts w:hint="eastAsia" w:ascii="宋体" w:hAnsi="宋体" w:eastAsia="宋体" w:cs="宋体"/>
          <w:color w:val="auto"/>
          <w:sz w:val="21"/>
          <w:szCs w:val="21"/>
          <w:highlight w:val="none"/>
        </w:rPr>
        <w:t>专用合同条款数据表</w:t>
      </w:r>
    </w:p>
    <w:p w14:paraId="654000C9">
      <w:pPr>
        <w:pStyle w:val="21"/>
        <w:pageBreakBefore w:val="0"/>
        <w:kinsoku/>
        <w:topLinePunct w:val="0"/>
        <w:bidi w:val="0"/>
        <w:snapToGrid w:val="0"/>
        <w:spacing w:beforeAutospacing="0" w:after="0" w:line="520" w:lineRule="exact"/>
        <w:ind w:left="400"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说明：本数据表是项目专用合同条款中适用于本招标项目的信息和数据的归纳与提示，是项目专用合同条款的组成部分。</w:t>
      </w:r>
    </w:p>
    <w:tbl>
      <w:tblPr>
        <w:tblStyle w:val="55"/>
        <w:tblW w:w="10089" w:type="dxa"/>
        <w:tblInd w:w="-1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25"/>
        <w:gridCol w:w="8184"/>
      </w:tblGrid>
      <w:tr w14:paraId="763C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80" w:type="dxa"/>
            <w:noWrap w:val="0"/>
            <w:vAlign w:val="center"/>
          </w:tcPr>
          <w:p w14:paraId="30309730">
            <w:pPr>
              <w:pageBreakBefore w:val="0"/>
              <w:widowControl w:val="0"/>
              <w:kinsoku/>
              <w:wordWrap/>
              <w:overflowPunct/>
              <w:topLinePunct w:val="0"/>
              <w:autoSpaceDE/>
              <w:autoSpaceDN/>
              <w:bidi w:val="0"/>
              <w:snapToGrid w:val="0"/>
              <w:spacing w:beforeAutospacing="0" w:line="500" w:lineRule="exact"/>
              <w:ind w:left="-100" w:leftChars="-50" w:right="-100"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25" w:type="dxa"/>
            <w:noWrap w:val="0"/>
            <w:vAlign w:val="center"/>
          </w:tcPr>
          <w:p w14:paraId="55FFA0B9">
            <w:pPr>
              <w:pageBreakBefore w:val="0"/>
              <w:widowControl w:val="0"/>
              <w:kinsoku/>
              <w:wordWrap/>
              <w:overflowPunct/>
              <w:topLinePunct w:val="0"/>
              <w:autoSpaceDE/>
              <w:autoSpaceDN/>
              <w:bidi w:val="0"/>
              <w:snapToGrid w:val="0"/>
              <w:spacing w:beforeAutospacing="0" w:line="500" w:lineRule="exact"/>
              <w:ind w:left="-100" w:leftChars="-50" w:right="-100"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条目号</w:t>
            </w:r>
          </w:p>
        </w:tc>
        <w:tc>
          <w:tcPr>
            <w:tcW w:w="8184" w:type="dxa"/>
            <w:noWrap w:val="0"/>
            <w:vAlign w:val="center"/>
          </w:tcPr>
          <w:p w14:paraId="1151F448">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信息或数据</w:t>
            </w:r>
          </w:p>
        </w:tc>
      </w:tr>
      <w:tr w14:paraId="0B86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8CE3F50">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p>
        </w:tc>
        <w:tc>
          <w:tcPr>
            <w:tcW w:w="1125" w:type="dxa"/>
            <w:noWrap w:val="0"/>
            <w:vAlign w:val="center"/>
          </w:tcPr>
          <w:p w14:paraId="4765B8E9">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w:t>
            </w:r>
          </w:p>
        </w:tc>
        <w:tc>
          <w:tcPr>
            <w:tcW w:w="8184" w:type="dxa"/>
            <w:noWrap w:val="0"/>
            <w:vAlign w:val="center"/>
          </w:tcPr>
          <w:p w14:paraId="2F674A08">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发包人提供资金来源证明的期限要求：</w:t>
            </w:r>
            <w:r>
              <w:rPr>
                <w:rFonts w:hint="eastAsia" w:ascii="宋体" w:hAnsi="宋体" w:eastAsia="宋体" w:cs="宋体"/>
                <w:color w:val="auto"/>
                <w:spacing w:val="9"/>
                <w:sz w:val="21"/>
                <w:szCs w:val="21"/>
                <w:highlight w:val="none"/>
                <w:u w:val="single" w:color="auto"/>
              </w:rPr>
              <w:t>财政资金，不需提供</w:t>
            </w:r>
            <w:r>
              <w:rPr>
                <w:rFonts w:hint="eastAsia" w:ascii="宋体" w:hAnsi="宋体" w:eastAsia="宋体" w:cs="宋体"/>
                <w:color w:val="auto"/>
                <w:spacing w:val="3"/>
                <w:sz w:val="21"/>
                <w:szCs w:val="21"/>
                <w:highlight w:val="none"/>
                <w:u w:val="single" w:color="auto"/>
              </w:rPr>
              <w:t xml:space="preserve"> </w:t>
            </w:r>
          </w:p>
          <w:p w14:paraId="0852373F">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发包人是否提供支付担保：</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color="auto"/>
              </w:rPr>
              <w:t>财政资金，不需提供</w:t>
            </w:r>
            <w:r>
              <w:rPr>
                <w:rFonts w:hint="eastAsia" w:ascii="宋体" w:hAnsi="宋体" w:eastAsia="宋体" w:cs="宋体"/>
                <w:color w:val="auto"/>
                <w:spacing w:val="3"/>
                <w:sz w:val="21"/>
                <w:szCs w:val="21"/>
                <w:highlight w:val="none"/>
                <w:u w:val="single" w:color="auto"/>
              </w:rPr>
              <w:t xml:space="preserve"> </w:t>
            </w:r>
          </w:p>
          <w:p w14:paraId="1F1B8915">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u w:val="single"/>
                <w:lang w:val="en-US"/>
              </w:rPr>
            </w:pPr>
            <w:r>
              <w:rPr>
                <w:rFonts w:hint="eastAsia" w:ascii="宋体" w:hAnsi="宋体" w:eastAsia="宋体" w:cs="宋体"/>
                <w:bCs/>
                <w:color w:val="auto"/>
                <w:sz w:val="21"/>
                <w:szCs w:val="21"/>
                <w:highlight w:val="none"/>
              </w:rPr>
              <w:t>发包人提供支付担保的形式</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pacing w:val="9"/>
                <w:sz w:val="21"/>
                <w:szCs w:val="21"/>
                <w:highlight w:val="none"/>
                <w:u w:val="single" w:color="auto"/>
              </w:rPr>
              <w:t>财政资金，不需提供</w:t>
            </w:r>
            <w:r>
              <w:rPr>
                <w:rFonts w:hint="eastAsia" w:ascii="宋体" w:hAnsi="宋体" w:eastAsia="宋体" w:cs="宋体"/>
                <w:color w:val="auto"/>
                <w:spacing w:val="3"/>
                <w:sz w:val="21"/>
                <w:szCs w:val="21"/>
                <w:highlight w:val="none"/>
                <w:u w:val="single" w:color="auto"/>
              </w:rPr>
              <w:t xml:space="preserve"> </w:t>
            </w:r>
          </w:p>
        </w:tc>
      </w:tr>
      <w:tr w14:paraId="5752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EFDB396">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p>
        </w:tc>
        <w:tc>
          <w:tcPr>
            <w:tcW w:w="1125" w:type="dxa"/>
            <w:noWrap w:val="0"/>
            <w:vAlign w:val="center"/>
          </w:tcPr>
          <w:p w14:paraId="7358C3D1">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3.2.1</w:t>
            </w:r>
          </w:p>
        </w:tc>
        <w:tc>
          <w:tcPr>
            <w:tcW w:w="8184" w:type="dxa"/>
            <w:noWrap w:val="0"/>
            <w:vAlign w:val="center"/>
          </w:tcPr>
          <w:p w14:paraId="23EC5143">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w:t>
            </w:r>
          </w:p>
          <w:p w14:paraId="0C325C53">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    名：</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420E6E85">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身份证号：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04A7BE1">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建造师执业资格等级：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C3DF416">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建造师注册证书号：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48F187F9">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承包人对项目经理的授权范围如下：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项目整体</w:t>
            </w:r>
            <w:r>
              <w:rPr>
                <w:rFonts w:hint="eastAsia" w:ascii="宋体" w:hAnsi="宋体" w:eastAsia="宋体" w:cs="宋体"/>
                <w:bCs/>
                <w:color w:val="auto"/>
                <w:sz w:val="21"/>
                <w:szCs w:val="21"/>
                <w:highlight w:val="none"/>
                <w:u w:val="single"/>
              </w:rPr>
              <w:t xml:space="preserve">          </w:t>
            </w:r>
          </w:p>
          <w:p w14:paraId="7269F63C">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承包人项目经理每月在施工现场的时间：驻场时间每月不少于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24</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天，每天在岗工作时间不得少于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小时。</w:t>
            </w:r>
          </w:p>
        </w:tc>
      </w:tr>
      <w:tr w14:paraId="273A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C717776">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p>
        </w:tc>
        <w:tc>
          <w:tcPr>
            <w:tcW w:w="1125" w:type="dxa"/>
            <w:noWrap w:val="0"/>
            <w:vAlign w:val="center"/>
          </w:tcPr>
          <w:p w14:paraId="1AD7FBDC">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3.7</w:t>
            </w:r>
          </w:p>
        </w:tc>
        <w:tc>
          <w:tcPr>
            <w:tcW w:w="8184" w:type="dxa"/>
            <w:noWrap w:val="0"/>
            <w:vAlign w:val="center"/>
          </w:tcPr>
          <w:p w14:paraId="0C3F706E">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承包人是否提供履约保证金：</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是</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697A825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承包人提供履约保证金的形式：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支持</w:t>
            </w:r>
            <w:r>
              <w:rPr>
                <w:rFonts w:hint="eastAsia" w:ascii="宋体" w:hAnsi="宋体" w:eastAsia="宋体" w:cs="宋体"/>
                <w:bCs/>
                <w:color w:val="auto"/>
                <w:sz w:val="21"/>
                <w:szCs w:val="21"/>
                <w:highlight w:val="none"/>
                <w:u w:val="single"/>
              </w:rPr>
              <w:t xml:space="preserve">转账/电汇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支票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汇票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本票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保险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保函</w:t>
            </w:r>
            <w:r>
              <w:rPr>
                <w:rFonts w:hint="eastAsia" w:ascii="宋体" w:hAnsi="宋体" w:eastAsia="宋体" w:cs="宋体"/>
                <w:bCs/>
                <w:color w:val="auto"/>
                <w:sz w:val="21"/>
                <w:szCs w:val="21"/>
                <w:highlight w:val="none"/>
                <w:u w:val="single"/>
                <w:lang w:eastAsia="zh-CN"/>
              </w:rPr>
              <w:t>。</w:t>
            </w:r>
          </w:p>
          <w:p w14:paraId="2BDFB805">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履约保证金的金额：中标合同金额的</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2.5</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3307787B">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履约保证金提交期限的要求：</w:t>
            </w:r>
            <w:r>
              <w:rPr>
                <w:rFonts w:hint="eastAsia" w:ascii="宋体" w:hAnsi="宋体" w:eastAsia="宋体" w:cs="宋体"/>
                <w:bCs/>
                <w:color w:val="auto"/>
                <w:sz w:val="21"/>
                <w:szCs w:val="21"/>
                <w:highlight w:val="none"/>
                <w:u w:val="single"/>
              </w:rPr>
              <w:t>成交人取得中标通知书后7个工作日内缴纳履约保证金。</w:t>
            </w:r>
          </w:p>
          <w:p w14:paraId="2C0CB53C">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履约保证金退还时限：</w:t>
            </w:r>
            <w:r>
              <w:rPr>
                <w:rFonts w:hint="eastAsia" w:ascii="宋体" w:hAnsi="宋体" w:eastAsia="宋体" w:cs="宋体"/>
                <w:bCs/>
                <w:color w:val="auto"/>
                <w:sz w:val="21"/>
                <w:szCs w:val="21"/>
                <w:highlight w:val="none"/>
                <w:u w:val="single"/>
              </w:rPr>
              <w:t xml:space="preserve"> 验收合格后，一次性退还 </w:t>
            </w:r>
            <w:r>
              <w:rPr>
                <w:rFonts w:hint="eastAsia" w:ascii="宋体" w:hAnsi="宋体" w:eastAsia="宋体" w:cs="宋体"/>
                <w:bCs/>
                <w:color w:val="auto"/>
                <w:sz w:val="21"/>
                <w:szCs w:val="21"/>
                <w:highlight w:val="none"/>
              </w:rPr>
              <w:t>。</w:t>
            </w:r>
          </w:p>
        </w:tc>
      </w:tr>
      <w:tr w14:paraId="69F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65808FD">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sz w:val="21"/>
                <w:szCs w:val="21"/>
                <w:highlight w:val="none"/>
              </w:rPr>
            </w:pPr>
          </w:p>
        </w:tc>
        <w:tc>
          <w:tcPr>
            <w:tcW w:w="1125" w:type="dxa"/>
            <w:noWrap w:val="0"/>
            <w:vAlign w:val="center"/>
          </w:tcPr>
          <w:p w14:paraId="38BD425C">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5.1.1</w:t>
            </w:r>
          </w:p>
        </w:tc>
        <w:tc>
          <w:tcPr>
            <w:tcW w:w="8184" w:type="dxa"/>
            <w:noWrap w:val="0"/>
            <w:vAlign w:val="center"/>
          </w:tcPr>
          <w:p w14:paraId="49AC6753">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5.1.1 特殊质量标准和要求：</w:t>
            </w:r>
            <w:r>
              <w:rPr>
                <w:rFonts w:hint="eastAsia" w:ascii="宋体" w:hAnsi="宋体" w:eastAsia="宋体" w:cs="宋体"/>
                <w:bCs/>
                <w:color w:val="auto"/>
                <w:sz w:val="21"/>
                <w:szCs w:val="21"/>
                <w:highlight w:val="none"/>
                <w:u w:val="single"/>
              </w:rPr>
              <w:t>工程质量必须达到国家工程施工质量验收合格标准 。</w:t>
            </w:r>
          </w:p>
          <w:p w14:paraId="2EDFB3CF">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关于工程奖项的约定：</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1D80EF11">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关于建造要求：</w:t>
            </w:r>
          </w:p>
          <w:p w14:paraId="4FE4760D">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（1）绿色建筑等级要求：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00353A89">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（2）智慧工地管理要求：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3421169D">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（3）建筑垃圾减量化目标：</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26350320">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（4）装配式建筑装配率要求：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tc>
      </w:tr>
      <w:tr w14:paraId="0BD6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A1660BB">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p>
        </w:tc>
        <w:tc>
          <w:tcPr>
            <w:tcW w:w="1125" w:type="dxa"/>
            <w:noWrap w:val="0"/>
            <w:vAlign w:val="center"/>
          </w:tcPr>
          <w:p w14:paraId="7607CCEF">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7.5.2</w:t>
            </w:r>
          </w:p>
        </w:tc>
        <w:tc>
          <w:tcPr>
            <w:tcW w:w="8184" w:type="dxa"/>
            <w:tcBorders>
              <w:bottom w:val="single" w:color="auto" w:sz="4" w:space="0"/>
            </w:tcBorders>
            <w:noWrap w:val="0"/>
            <w:vAlign w:val="center"/>
          </w:tcPr>
          <w:p w14:paraId="0D19F3F4">
            <w:pPr>
              <w:keepNext w:val="0"/>
              <w:keepLines w:val="0"/>
              <w:pageBreakBefore w:val="0"/>
              <w:widowControl w:val="0"/>
              <w:kinsoku/>
              <w:wordWrap/>
              <w:overflowPunct/>
              <w:topLinePunct w:val="0"/>
              <w:bidi w:val="0"/>
              <w:snapToGrid w:val="0"/>
              <w:spacing w:beforeAutospacing="0" w:line="500" w:lineRule="exact"/>
              <w:ind w:firstLine="459"/>
              <w:textAlignment w:val="auto"/>
              <w:rPr>
                <w:rFonts w:hint="eastAsia" w:ascii="宋体" w:hAnsi="宋体" w:eastAsia="宋体" w:cs="宋体"/>
                <w:bCs/>
                <w:color w:val="auto"/>
                <w:kern w:val="2"/>
                <w:sz w:val="21"/>
                <w:szCs w:val="21"/>
                <w:highlight w:val="none"/>
                <w:u w:val="single"/>
              </w:rPr>
            </w:pPr>
            <w:r>
              <w:rPr>
                <w:rFonts w:hint="eastAsia" w:ascii="宋体" w:hAnsi="宋体" w:eastAsia="宋体" w:cs="宋体"/>
                <w:bCs/>
                <w:color w:val="auto"/>
                <w:kern w:val="2"/>
                <w:sz w:val="21"/>
                <w:szCs w:val="21"/>
                <w:highlight w:val="none"/>
              </w:rPr>
              <w:t>因承包人原因造成工期延误，逾期竣工违约金的计算方法为：</w:t>
            </w:r>
            <w:r>
              <w:rPr>
                <w:rFonts w:hint="eastAsia" w:ascii="宋体" w:hAnsi="宋体" w:eastAsia="宋体" w:cs="宋体"/>
                <w:bCs/>
                <w:color w:val="auto"/>
                <w:kern w:val="2"/>
                <w:sz w:val="21"/>
                <w:szCs w:val="21"/>
                <w:highlight w:val="none"/>
                <w:u w:val="single"/>
              </w:rPr>
              <w:t>具体开工时间以</w:t>
            </w:r>
            <w:r>
              <w:rPr>
                <w:rFonts w:hint="eastAsia" w:ascii="宋体" w:hAnsi="宋体" w:eastAsia="宋体" w:cs="宋体"/>
                <w:bCs/>
                <w:color w:val="auto"/>
                <w:kern w:val="2"/>
                <w:sz w:val="21"/>
                <w:szCs w:val="21"/>
                <w:highlight w:val="none"/>
                <w:u w:val="single"/>
                <w:lang w:val="en-US" w:eastAsia="zh-CN"/>
              </w:rPr>
              <w:t>建设单位通知</w:t>
            </w:r>
            <w:r>
              <w:rPr>
                <w:rFonts w:hint="eastAsia" w:ascii="宋体" w:hAnsi="宋体" w:eastAsia="宋体" w:cs="宋体"/>
                <w:bCs/>
                <w:color w:val="auto"/>
                <w:kern w:val="2"/>
                <w:sz w:val="21"/>
                <w:szCs w:val="21"/>
                <w:highlight w:val="none"/>
                <w:u w:val="single"/>
              </w:rPr>
              <w:t>为准。成交人按合同工期要求，每延迟一天，按</w:t>
            </w:r>
            <w:r>
              <w:rPr>
                <w:rFonts w:hint="eastAsia" w:ascii="宋体" w:hAnsi="宋体" w:eastAsia="宋体" w:cs="宋体"/>
                <w:bCs/>
                <w:color w:val="auto"/>
                <w:kern w:val="2"/>
                <w:sz w:val="21"/>
                <w:szCs w:val="21"/>
                <w:highlight w:val="none"/>
                <w:u w:val="single"/>
                <w:lang w:val="en-US" w:eastAsia="zh-CN"/>
              </w:rPr>
              <w:t>5</w:t>
            </w:r>
            <w:r>
              <w:rPr>
                <w:rFonts w:hint="eastAsia" w:ascii="宋体" w:hAnsi="宋体" w:eastAsia="宋体" w:cs="宋体"/>
                <w:bCs/>
                <w:color w:val="auto"/>
                <w:kern w:val="2"/>
                <w:sz w:val="21"/>
                <w:szCs w:val="21"/>
                <w:highlight w:val="none"/>
                <w:u w:val="single"/>
              </w:rPr>
              <w:t>000元/天处以违约金</w:t>
            </w:r>
            <w:r>
              <w:rPr>
                <w:rFonts w:hint="eastAsia" w:ascii="宋体" w:hAnsi="宋体" w:eastAsia="宋体" w:cs="宋体"/>
                <w:bCs/>
                <w:color w:val="auto"/>
                <w:kern w:val="2"/>
                <w:sz w:val="21"/>
                <w:szCs w:val="21"/>
                <w:highlight w:val="none"/>
                <w:u w:val="single"/>
                <w:lang w:eastAsia="zh-CN"/>
              </w:rPr>
              <w:t>，</w:t>
            </w:r>
            <w:r>
              <w:rPr>
                <w:rFonts w:hint="eastAsia" w:ascii="宋体" w:hAnsi="宋体" w:eastAsia="宋体" w:cs="宋体"/>
                <w:bCs/>
                <w:color w:val="auto"/>
                <w:kern w:val="2"/>
                <w:sz w:val="21"/>
                <w:szCs w:val="21"/>
                <w:highlight w:val="none"/>
                <w:u w:val="single"/>
              </w:rPr>
              <w:t>从工程结算款中扣除。如延误工期超出合同工期50%的，不予支付工程款</w:t>
            </w:r>
            <w:r>
              <w:rPr>
                <w:rFonts w:hint="eastAsia" w:ascii="宋体" w:hAnsi="宋体" w:eastAsia="宋体" w:cs="宋体"/>
                <w:bCs/>
                <w:color w:val="auto"/>
                <w:kern w:val="2"/>
                <w:sz w:val="21"/>
                <w:szCs w:val="21"/>
                <w:highlight w:val="none"/>
                <w:u w:val="single"/>
                <w:lang w:eastAsia="zh-CN"/>
              </w:rPr>
              <w:t>，</w:t>
            </w:r>
            <w:r>
              <w:rPr>
                <w:rFonts w:hint="eastAsia" w:ascii="宋体" w:hAnsi="宋体" w:eastAsia="宋体" w:cs="宋体"/>
                <w:bCs/>
                <w:color w:val="auto"/>
                <w:kern w:val="2"/>
                <w:sz w:val="21"/>
                <w:szCs w:val="21"/>
                <w:highlight w:val="none"/>
                <w:u w:val="single"/>
                <w:lang w:val="en-US" w:eastAsia="zh-CN"/>
              </w:rPr>
              <w:t>招标人有权解除合同</w:t>
            </w:r>
            <w:r>
              <w:rPr>
                <w:rFonts w:hint="eastAsia" w:ascii="宋体" w:hAnsi="宋体" w:eastAsia="宋体" w:cs="宋体"/>
                <w:bCs/>
                <w:color w:val="auto"/>
                <w:kern w:val="2"/>
                <w:sz w:val="21"/>
                <w:szCs w:val="21"/>
                <w:highlight w:val="none"/>
                <w:u w:val="single"/>
              </w:rPr>
              <w:t>。如因采购人要求增加工程量、教育教学、重大活动、极端天气等不可抗拒因素造成，经采购人和成交人书面确认后，工期予以顺延，具体以实际发生时间为依据。</w:t>
            </w:r>
          </w:p>
          <w:p w14:paraId="3CCB689F">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因承包人原因造成工期延误，逾期竣工违约金的上限：</w:t>
            </w:r>
            <w:r>
              <w:rPr>
                <w:rFonts w:hint="eastAsia" w:cs="宋体"/>
                <w:color w:val="auto"/>
                <w:sz w:val="21"/>
                <w:szCs w:val="21"/>
                <w:highlight w:val="none"/>
                <w:u w:val="single"/>
                <w:lang w:val="en-US" w:eastAsia="zh-CN"/>
              </w:rPr>
              <w:t>/</w:t>
            </w:r>
            <w:r>
              <w:rPr>
                <w:rFonts w:hint="eastAsia" w:ascii="宋体" w:hAnsi="宋体" w:eastAsia="宋体" w:cs="宋体"/>
                <w:bCs/>
                <w:color w:val="auto"/>
                <w:kern w:val="2"/>
                <w:sz w:val="21"/>
                <w:szCs w:val="21"/>
                <w:highlight w:val="none"/>
              </w:rPr>
              <w:t>。</w:t>
            </w:r>
          </w:p>
        </w:tc>
      </w:tr>
      <w:tr w14:paraId="5F26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CCDDCBF">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p>
        </w:tc>
        <w:tc>
          <w:tcPr>
            <w:tcW w:w="1125" w:type="dxa"/>
            <w:noWrap w:val="0"/>
            <w:vAlign w:val="center"/>
          </w:tcPr>
          <w:p w14:paraId="1C2E5218">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7.9.2</w:t>
            </w:r>
          </w:p>
        </w:tc>
        <w:tc>
          <w:tcPr>
            <w:tcW w:w="8184" w:type="dxa"/>
            <w:tcBorders>
              <w:bottom w:val="single" w:color="auto" w:sz="4" w:space="0"/>
            </w:tcBorders>
            <w:noWrap w:val="0"/>
            <w:vAlign w:val="center"/>
          </w:tcPr>
          <w:p w14:paraId="40D5E2AB">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3983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ADA4667">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p>
        </w:tc>
        <w:tc>
          <w:tcPr>
            <w:tcW w:w="1125" w:type="dxa"/>
            <w:noWrap w:val="0"/>
            <w:vAlign w:val="center"/>
          </w:tcPr>
          <w:p w14:paraId="7C5E7106">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11.1</w:t>
            </w:r>
          </w:p>
        </w:tc>
        <w:tc>
          <w:tcPr>
            <w:tcW w:w="8184" w:type="dxa"/>
            <w:tcBorders>
              <w:bottom w:val="single" w:color="auto" w:sz="4" w:space="0"/>
            </w:tcBorders>
            <w:noWrap w:val="0"/>
            <w:vAlign w:val="center"/>
          </w:tcPr>
          <w:p w14:paraId="515FB552">
            <w:pPr>
              <w:pStyle w:val="33"/>
              <w:pageBreakBefore w:val="0"/>
              <w:widowControl w:val="0"/>
              <w:tabs>
                <w:tab w:val="clear" w:pos="4153"/>
                <w:tab w:val="clear" w:pos="8306"/>
              </w:tabs>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市场价格波动是否调整合同价格的约定：</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不调价</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tc>
      </w:tr>
      <w:tr w14:paraId="3BE6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34A9056">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sz w:val="21"/>
                <w:szCs w:val="21"/>
                <w:highlight w:val="none"/>
              </w:rPr>
            </w:pPr>
          </w:p>
        </w:tc>
        <w:tc>
          <w:tcPr>
            <w:tcW w:w="1125" w:type="dxa"/>
            <w:noWrap w:val="0"/>
            <w:vAlign w:val="center"/>
          </w:tcPr>
          <w:p w14:paraId="6055F384">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12.1</w:t>
            </w:r>
          </w:p>
        </w:tc>
        <w:tc>
          <w:tcPr>
            <w:tcW w:w="8184" w:type="dxa"/>
            <w:tcBorders>
              <w:bottom w:val="single" w:color="auto" w:sz="4" w:space="0"/>
            </w:tcBorders>
            <w:noWrap w:val="0"/>
            <w:vAlign w:val="center"/>
          </w:tcPr>
          <w:p w14:paraId="4FCD4C0A">
            <w:pPr>
              <w:pStyle w:val="33"/>
              <w:pageBreakBefore w:val="0"/>
              <w:widowControl w:val="0"/>
              <w:tabs>
                <w:tab w:val="clear" w:pos="4153"/>
                <w:tab w:val="clear" w:pos="8306"/>
              </w:tabs>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合同价格形式</w:t>
            </w:r>
          </w:p>
          <w:p w14:paraId="2845F790">
            <w:pPr>
              <w:pStyle w:val="33"/>
              <w:pageBreakBefore w:val="0"/>
              <w:widowControl w:val="0"/>
              <w:tabs>
                <w:tab w:val="clear" w:pos="4153"/>
                <w:tab w:val="clear" w:pos="8306"/>
              </w:tabs>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(1)单价合同。</w:t>
            </w:r>
          </w:p>
          <w:p w14:paraId="55F5B7B9">
            <w:pPr>
              <w:pStyle w:val="33"/>
              <w:pageBreakBefore w:val="0"/>
              <w:widowControl w:val="0"/>
              <w:tabs>
                <w:tab w:val="clear" w:pos="4153"/>
                <w:tab w:val="clear" w:pos="8306"/>
              </w:tabs>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综合单价包含的风险范围：</w:t>
            </w:r>
            <w:r>
              <w:rPr>
                <w:rFonts w:hint="eastAsia" w:ascii="宋体" w:hAnsi="宋体" w:eastAsia="宋体" w:cs="宋体"/>
                <w:color w:val="auto"/>
                <w:sz w:val="21"/>
                <w:szCs w:val="21"/>
                <w:highlight w:val="none"/>
                <w:u w:val="single"/>
              </w:rPr>
              <w:t>隐含于已标价工程量清单综合单价中，用于化解发承包双方在工程合同中约定内容和范围内的市场价格波动风险的费用。综合单价包括为完成本项目所需要的一切费用,包括但不限于人工费、材料费、施工机械费、管理费、利润、风险费用、总包管理费、赶工措施费、相关交易费及完成本工程交易文件及合同条款内容等所有费用。</w:t>
            </w:r>
          </w:p>
          <w:p w14:paraId="5E90CCF6">
            <w:pPr>
              <w:pageBreakBefore w:val="0"/>
              <w:widowControl w:val="0"/>
              <w:kinsoku/>
              <w:wordWrap/>
              <w:overflowPunct/>
              <w:topLinePunct w:val="0"/>
              <w:autoSpaceDE/>
              <w:autoSpaceDN/>
              <w:bidi w:val="0"/>
              <w:adjustRightInd w:val="0"/>
              <w:snapToGrid w:val="0"/>
              <w:spacing w:beforeAutospacing="0"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承包人自行考虑，包含在报价中 。</w:t>
            </w:r>
          </w:p>
          <w:p w14:paraId="789D5A1A">
            <w:pPr>
              <w:pageBreakBefore w:val="0"/>
              <w:widowControl w:val="0"/>
              <w:kinsoku/>
              <w:wordWrap/>
              <w:overflowPunct/>
              <w:topLinePunct w:val="0"/>
              <w:autoSpaceDE/>
              <w:autoSpaceDN/>
              <w:bidi w:val="0"/>
              <w:adjustRightInd w:val="0"/>
              <w:snapToGrid w:val="0"/>
              <w:spacing w:beforeAutospacing="0" w:line="50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风险范围以外合同价格的调整方法：</w:t>
            </w:r>
            <w:r>
              <w:rPr>
                <w:rFonts w:hint="eastAsia" w:ascii="宋体" w:hAnsi="宋体" w:eastAsia="宋体" w:cs="宋体"/>
                <w:color w:val="auto"/>
                <w:spacing w:val="9"/>
                <w:sz w:val="21"/>
                <w:szCs w:val="21"/>
                <w:highlight w:val="none"/>
                <w:u w:val="single" w:color="auto"/>
              </w:rPr>
              <w:t>按照国家级省市政策要求</w:t>
            </w:r>
            <w:r>
              <w:rPr>
                <w:rFonts w:hint="eastAsia" w:ascii="宋体" w:hAnsi="宋体" w:eastAsia="宋体" w:cs="宋体"/>
                <w:color w:val="auto"/>
                <w:spacing w:val="9"/>
                <w:sz w:val="21"/>
                <w:szCs w:val="21"/>
                <w:highlight w:val="none"/>
                <w:u w:val="single" w:color="auto"/>
                <w:lang w:eastAsia="zh-CN"/>
              </w:rPr>
              <w:t>。</w:t>
            </w:r>
          </w:p>
          <w:p w14:paraId="0D93F5BC">
            <w:pPr>
              <w:pStyle w:val="33"/>
              <w:pageBreakBefore w:val="0"/>
              <w:widowControl w:val="0"/>
              <w:tabs>
                <w:tab w:val="clear" w:pos="4153"/>
                <w:tab w:val="clear" w:pos="8306"/>
              </w:tabs>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(2)总价合同。</w:t>
            </w:r>
          </w:p>
          <w:p w14:paraId="6D316186">
            <w:pPr>
              <w:pStyle w:val="33"/>
              <w:pageBreakBefore w:val="0"/>
              <w:widowControl w:val="0"/>
              <w:tabs>
                <w:tab w:val="clear" w:pos="4153"/>
                <w:tab w:val="clear" w:pos="8306"/>
              </w:tabs>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总价包含的风险范围：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p>
          <w:p w14:paraId="76036867">
            <w:pPr>
              <w:pStyle w:val="33"/>
              <w:pageBreakBefore w:val="0"/>
              <w:widowControl w:val="0"/>
              <w:tabs>
                <w:tab w:val="clear" w:pos="4153"/>
                <w:tab w:val="clear" w:pos="8306"/>
              </w:tabs>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风险费用的计算方法：</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7BC46270">
            <w:pPr>
              <w:pStyle w:val="33"/>
              <w:pageBreakBefore w:val="0"/>
              <w:widowControl w:val="0"/>
              <w:tabs>
                <w:tab w:val="clear" w:pos="4153"/>
                <w:tab w:val="clear" w:pos="8306"/>
              </w:tabs>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风险范围以外合同价格的调整方法：</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50E8D8BF">
            <w:pPr>
              <w:pStyle w:val="33"/>
              <w:pageBreakBefore w:val="0"/>
              <w:widowControl w:val="0"/>
              <w:tabs>
                <w:tab w:val="clear" w:pos="4153"/>
                <w:tab w:val="clear" w:pos="8306"/>
              </w:tabs>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（3）其他价格方式：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tc>
      </w:tr>
      <w:tr w14:paraId="0516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0A878E6">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p>
        </w:tc>
        <w:tc>
          <w:tcPr>
            <w:tcW w:w="1125" w:type="dxa"/>
            <w:noWrap w:val="0"/>
            <w:vAlign w:val="center"/>
          </w:tcPr>
          <w:p w14:paraId="6D1ECD94">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 xml:space="preserve">12.2.1 </w:t>
            </w:r>
          </w:p>
        </w:tc>
        <w:tc>
          <w:tcPr>
            <w:tcW w:w="8184" w:type="dxa"/>
            <w:tcBorders>
              <w:bottom w:val="single" w:color="auto" w:sz="4" w:space="0"/>
            </w:tcBorders>
            <w:noWrap w:val="0"/>
            <w:vAlign w:val="center"/>
          </w:tcPr>
          <w:p w14:paraId="3CA0F636">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预付款的支付</w:t>
            </w:r>
          </w:p>
          <w:p w14:paraId="114DF87E">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预付款支付比例或金额：</w:t>
            </w:r>
            <w:r>
              <w:rPr>
                <w:rFonts w:hint="eastAsia" w:ascii="宋体" w:hAnsi="宋体" w:eastAsia="宋体" w:cs="宋体"/>
                <w:color w:val="auto"/>
                <w:sz w:val="21"/>
                <w:szCs w:val="21"/>
                <w:highlight w:val="none"/>
                <w:u w:val="single"/>
              </w:rPr>
              <w:t>合同价款的40%（预付款支付前，成交人须提供同等金额的见索即付保函)。</w:t>
            </w:r>
          </w:p>
          <w:p w14:paraId="0861C578">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预付款支付期限：</w:t>
            </w:r>
            <w:r>
              <w:rPr>
                <w:rFonts w:hint="eastAsia" w:ascii="宋体" w:hAnsi="宋体" w:eastAsia="宋体" w:cs="宋体"/>
                <w:color w:val="auto"/>
                <w:sz w:val="21"/>
                <w:szCs w:val="21"/>
                <w:highlight w:val="none"/>
                <w:u w:val="single"/>
              </w:rPr>
              <w:t xml:space="preserve">合同签订具备实施条件后支付合同价的40% </w:t>
            </w:r>
            <w:r>
              <w:rPr>
                <w:rFonts w:hint="eastAsia" w:ascii="宋体" w:hAnsi="宋体" w:eastAsia="宋体" w:cs="宋体"/>
                <w:bCs/>
                <w:color w:val="auto"/>
                <w:sz w:val="21"/>
                <w:szCs w:val="21"/>
                <w:highlight w:val="none"/>
                <w:u w:val="single"/>
              </w:rPr>
              <w:t xml:space="preserve"> </w:t>
            </w:r>
          </w:p>
          <w:p w14:paraId="797A3F55">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预付款扣回的方式：</w:t>
            </w:r>
            <w:r>
              <w:rPr>
                <w:rFonts w:hint="eastAsia" w:ascii="宋体" w:hAnsi="宋体" w:eastAsia="宋体" w:cs="宋体"/>
                <w:color w:val="auto"/>
                <w:spacing w:val="8"/>
                <w:sz w:val="21"/>
                <w:szCs w:val="21"/>
                <w:highlight w:val="none"/>
                <w:u w:val="single" w:color="auto"/>
              </w:rPr>
              <w:t>总结算时扣除</w:t>
            </w:r>
            <w:r>
              <w:rPr>
                <w:rFonts w:hint="eastAsia" w:ascii="宋体" w:hAnsi="宋体" w:eastAsia="宋体" w:cs="宋体"/>
                <w:bCs/>
                <w:color w:val="auto"/>
                <w:sz w:val="21"/>
                <w:szCs w:val="21"/>
                <w:highlight w:val="none"/>
                <w:u w:val="single"/>
              </w:rPr>
              <w:t xml:space="preserve"> </w:t>
            </w:r>
          </w:p>
        </w:tc>
      </w:tr>
      <w:tr w14:paraId="7E86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80" w:type="dxa"/>
            <w:noWrap w:val="0"/>
            <w:vAlign w:val="center"/>
          </w:tcPr>
          <w:p w14:paraId="778ACA27">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p>
        </w:tc>
        <w:tc>
          <w:tcPr>
            <w:tcW w:w="1125" w:type="dxa"/>
            <w:noWrap w:val="0"/>
            <w:vAlign w:val="center"/>
          </w:tcPr>
          <w:p w14:paraId="7CA519C8">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12.2.2</w:t>
            </w:r>
          </w:p>
        </w:tc>
        <w:tc>
          <w:tcPr>
            <w:tcW w:w="8184" w:type="dxa"/>
            <w:tcBorders>
              <w:bottom w:val="single" w:color="auto" w:sz="4" w:space="0"/>
            </w:tcBorders>
            <w:noWrap w:val="0"/>
            <w:vAlign w:val="center"/>
          </w:tcPr>
          <w:p w14:paraId="74FB4244">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预付款担保</w:t>
            </w:r>
          </w:p>
          <w:p w14:paraId="05A223BC">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承包人提交预付款担保的期限：</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pacing w:val="9"/>
                <w:sz w:val="21"/>
                <w:szCs w:val="21"/>
                <w:highlight w:val="none"/>
                <w:u w:val="single" w:color="auto"/>
              </w:rPr>
              <w:t xml:space="preserve">预付款支付前 </w:t>
            </w:r>
            <w:r>
              <w:rPr>
                <w:rFonts w:hint="eastAsia" w:ascii="宋体" w:hAnsi="宋体" w:eastAsia="宋体" w:cs="宋体"/>
                <w:bCs/>
                <w:color w:val="auto"/>
                <w:sz w:val="21"/>
                <w:szCs w:val="21"/>
                <w:highlight w:val="none"/>
                <w:u w:val="single"/>
              </w:rPr>
              <w:t xml:space="preserve"> </w:t>
            </w:r>
          </w:p>
          <w:p w14:paraId="2446BDF0">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预付款担保的形式为：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保函</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pacing w:val="8"/>
                <w:sz w:val="21"/>
                <w:szCs w:val="21"/>
                <w:highlight w:val="none"/>
                <w:u w:val="single" w:color="auto"/>
              </w:rPr>
              <w:t>（见索即付）</w:t>
            </w:r>
            <w:r>
              <w:rPr>
                <w:rFonts w:hint="eastAsia" w:ascii="宋体" w:hAnsi="宋体" w:eastAsia="宋体" w:cs="宋体"/>
                <w:bCs/>
                <w:color w:val="auto"/>
                <w:sz w:val="21"/>
                <w:szCs w:val="21"/>
                <w:highlight w:val="none"/>
                <w:u w:val="single"/>
              </w:rPr>
              <w:t xml:space="preserve">  </w:t>
            </w:r>
          </w:p>
        </w:tc>
      </w:tr>
      <w:tr w14:paraId="7223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07162FA">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p>
        </w:tc>
        <w:tc>
          <w:tcPr>
            <w:tcW w:w="1125" w:type="dxa"/>
            <w:noWrap w:val="0"/>
            <w:vAlign w:val="center"/>
          </w:tcPr>
          <w:p w14:paraId="13E489AD">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12.4.1</w:t>
            </w:r>
          </w:p>
        </w:tc>
        <w:tc>
          <w:tcPr>
            <w:tcW w:w="8184" w:type="dxa"/>
            <w:tcBorders>
              <w:bottom w:val="single" w:color="auto" w:sz="4" w:space="0"/>
            </w:tcBorders>
            <w:noWrap w:val="0"/>
            <w:vAlign w:val="center"/>
          </w:tcPr>
          <w:p w14:paraId="6FB67F93">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付款周期</w:t>
            </w:r>
          </w:p>
          <w:p w14:paraId="64129946">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关于付款周期的约定：</w:t>
            </w:r>
            <w:r>
              <w:rPr>
                <w:rFonts w:hint="eastAsia" w:ascii="宋体" w:hAnsi="宋体" w:eastAsia="宋体" w:cs="宋体"/>
                <w:bCs/>
                <w:color w:val="auto"/>
                <w:sz w:val="21"/>
                <w:szCs w:val="21"/>
                <w:highlight w:val="none"/>
                <w:lang w:val="en-US" w:eastAsia="zh-CN"/>
              </w:rPr>
              <w:t>本项目有预付款，签订合同并具备实施条件后支付合同总价的40%作为预付款（预付款支付前，中标人须提供同等金额的见索即付保函），施工完成并验收合格完成结算审核后付至审计价款的100%，支付最后一笔工程款前承包人须缴纳审计价款的2%作为工程质量保证金。质量保证金支持保函（银行保函、担保机构担保、保证保险）使用，保函有效期须与工程缺陷责任期截止时间保持一致。缺陷责任期满后，办理缺陷责任期验收手续和质保金退还结算，符合要求后，一个月内退还</w:t>
            </w:r>
            <w:r>
              <w:rPr>
                <w:rFonts w:hint="eastAsia" w:ascii="宋体" w:hAnsi="宋体" w:eastAsia="宋体" w:cs="宋体"/>
                <w:bCs/>
                <w:color w:val="auto"/>
                <w:sz w:val="21"/>
                <w:szCs w:val="21"/>
                <w:highlight w:val="none"/>
                <w:u w:val="none"/>
                <w:lang w:val="en-US" w:eastAsia="zh-CN"/>
              </w:rPr>
              <w:t>。</w:t>
            </w:r>
          </w:p>
        </w:tc>
      </w:tr>
      <w:tr w14:paraId="5B95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8734D3E">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p>
        </w:tc>
        <w:tc>
          <w:tcPr>
            <w:tcW w:w="1125" w:type="dxa"/>
            <w:noWrap w:val="0"/>
            <w:vAlign w:val="center"/>
          </w:tcPr>
          <w:p w14:paraId="62DAD2C4">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15.2.1</w:t>
            </w:r>
          </w:p>
        </w:tc>
        <w:tc>
          <w:tcPr>
            <w:tcW w:w="8184" w:type="dxa"/>
            <w:noWrap w:val="0"/>
            <w:vAlign w:val="center"/>
          </w:tcPr>
          <w:p w14:paraId="4B9241A0">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缺陷责任期限：</w:t>
            </w:r>
            <w:r>
              <w:rPr>
                <w:rFonts w:hint="eastAsia" w:ascii="宋体" w:hAnsi="宋体" w:eastAsia="宋体" w:cs="宋体"/>
                <w:color w:val="auto"/>
                <w:sz w:val="21"/>
                <w:szCs w:val="21"/>
                <w:highlight w:val="none"/>
                <w:u w:val="single"/>
                <w:lang w:val="en-US" w:eastAsia="zh-CN"/>
              </w:rPr>
              <w:t>自验收合格之日起满2年。</w:t>
            </w:r>
          </w:p>
          <w:p w14:paraId="3F8F677F">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lang w:val="en-US" w:eastAsia="zh-CN"/>
              </w:rPr>
              <w:t>质保期：</w:t>
            </w:r>
            <w:r>
              <w:rPr>
                <w:rFonts w:hint="eastAsia" w:ascii="宋体" w:hAnsi="宋体" w:eastAsia="宋体" w:cs="宋体"/>
                <w:color w:val="auto"/>
                <w:sz w:val="21"/>
                <w:szCs w:val="21"/>
                <w:highlight w:val="none"/>
                <w:u w:val="single"/>
              </w:rPr>
              <w:t xml:space="preserve"> 验收合格之日</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质保期最低2</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具体以投标人承诺为准。</w:t>
            </w:r>
            <w:r>
              <w:rPr>
                <w:rFonts w:hint="eastAsia" w:ascii="宋体" w:hAnsi="宋体" w:eastAsia="宋体" w:cs="宋体"/>
                <w:color w:val="auto"/>
                <w:sz w:val="21"/>
                <w:szCs w:val="21"/>
                <w:highlight w:val="none"/>
                <w:u w:val="single"/>
              </w:rPr>
              <w:t>质保期内发生</w:t>
            </w:r>
            <w:r>
              <w:rPr>
                <w:rFonts w:hint="eastAsia" w:ascii="宋体" w:hAnsi="宋体" w:eastAsia="宋体" w:cs="宋体"/>
                <w:color w:val="auto"/>
                <w:sz w:val="21"/>
                <w:szCs w:val="21"/>
                <w:highlight w:val="none"/>
                <w:u w:val="single"/>
                <w:lang w:val="en-US" w:eastAsia="zh-CN"/>
              </w:rPr>
              <w:t>设备运行故障</w:t>
            </w:r>
            <w:r>
              <w:rPr>
                <w:rFonts w:hint="eastAsia" w:ascii="宋体" w:hAnsi="宋体" w:eastAsia="宋体" w:cs="宋体"/>
                <w:color w:val="auto"/>
                <w:sz w:val="21"/>
                <w:szCs w:val="21"/>
                <w:highlight w:val="none"/>
                <w:u w:val="single"/>
              </w:rPr>
              <w:t>等问题，成交人收到采购人通知时，</w:t>
            </w:r>
            <w:r>
              <w:rPr>
                <w:rFonts w:hint="eastAsia" w:ascii="宋体" w:hAnsi="宋体" w:eastAsia="宋体" w:cs="宋体"/>
                <w:color w:val="auto"/>
                <w:sz w:val="21"/>
                <w:szCs w:val="21"/>
                <w:highlight w:val="none"/>
                <w:u w:val="single"/>
                <w:lang w:val="en-US" w:eastAsia="zh-CN"/>
              </w:rPr>
              <w:t>应及时响应及时现场排查故障</w:t>
            </w:r>
            <w:r>
              <w:rPr>
                <w:rFonts w:hint="eastAsia" w:ascii="宋体" w:hAnsi="宋体" w:eastAsia="宋体" w:cs="宋体"/>
                <w:color w:val="auto"/>
                <w:sz w:val="21"/>
                <w:szCs w:val="21"/>
                <w:highlight w:val="none"/>
                <w:u w:val="single"/>
              </w:rPr>
              <w:t>，符合维修条件时，3天内完成</w:t>
            </w:r>
            <w:r>
              <w:rPr>
                <w:rFonts w:hint="eastAsia" w:ascii="宋体" w:hAnsi="宋体" w:eastAsia="宋体" w:cs="宋体"/>
                <w:color w:val="auto"/>
                <w:sz w:val="21"/>
                <w:szCs w:val="21"/>
                <w:highlight w:val="none"/>
                <w:u w:val="single"/>
                <w:lang w:val="en-US" w:eastAsia="zh-CN"/>
              </w:rPr>
              <w:t>修复</w:t>
            </w:r>
            <w:r>
              <w:rPr>
                <w:rFonts w:hint="eastAsia" w:ascii="宋体" w:hAnsi="宋体" w:eastAsia="宋体" w:cs="宋体"/>
                <w:color w:val="auto"/>
                <w:sz w:val="21"/>
                <w:szCs w:val="21"/>
                <w:highlight w:val="none"/>
                <w:u w:val="single"/>
              </w:rPr>
              <w:t>，如遇紧急情况，按采购人要求执行。不能按采购人要求及时到达及时维修的，由采购人组织维修，费用从质保金中支付，其发生的费用无需征得成交人同意。质保金费用不足以支付的，应由成交人另行支付。质保期内</w:t>
            </w:r>
            <w:r>
              <w:rPr>
                <w:rFonts w:hint="eastAsia" w:ascii="宋体" w:hAnsi="宋体" w:eastAsia="宋体" w:cs="宋体"/>
                <w:color w:val="auto"/>
                <w:sz w:val="21"/>
                <w:szCs w:val="21"/>
                <w:highlight w:val="none"/>
                <w:u w:val="single"/>
                <w:lang w:val="en-US" w:eastAsia="zh-CN"/>
              </w:rPr>
              <w:t>同一地点同一故障累计</w:t>
            </w:r>
            <w:r>
              <w:rPr>
                <w:rFonts w:hint="eastAsia" w:ascii="宋体" w:hAnsi="宋体" w:eastAsia="宋体" w:cs="宋体"/>
                <w:color w:val="auto"/>
                <w:sz w:val="21"/>
                <w:szCs w:val="21"/>
                <w:highlight w:val="none"/>
                <w:u w:val="single"/>
              </w:rPr>
              <w:t>发生</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次以上的，全额扣除质量保证金。成交人不服从采购人要求，给采购人造成损失或社会不良影响的，视为违约行为，采购人依法依规追究其法律责任。</w:t>
            </w:r>
          </w:p>
        </w:tc>
      </w:tr>
      <w:tr w14:paraId="5D32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CAEB2A2">
            <w:pPr>
              <w:pageBreakBefore w:val="0"/>
              <w:widowControl w:val="0"/>
              <w:numPr>
                <w:ilvl w:val="0"/>
                <w:numId w:val="2"/>
              </w:numPr>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p>
        </w:tc>
        <w:tc>
          <w:tcPr>
            <w:tcW w:w="1125" w:type="dxa"/>
            <w:noWrap w:val="0"/>
            <w:vAlign w:val="center"/>
          </w:tcPr>
          <w:p w14:paraId="392A00BA">
            <w:pPr>
              <w:pageBreakBefore w:val="0"/>
              <w:widowControl w:val="0"/>
              <w:kinsoku/>
              <w:wordWrap/>
              <w:overflowPunct/>
              <w:topLinePunct w:val="0"/>
              <w:autoSpaceDE/>
              <w:autoSpaceDN/>
              <w:bidi w:val="0"/>
              <w:snapToGrid w:val="0"/>
              <w:spacing w:beforeAutospacing="0" w:line="50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15.3.1</w:t>
            </w:r>
          </w:p>
        </w:tc>
        <w:tc>
          <w:tcPr>
            <w:tcW w:w="8184" w:type="dxa"/>
            <w:noWrap w:val="0"/>
            <w:vAlign w:val="center"/>
          </w:tcPr>
          <w:p w14:paraId="5C458737">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质量保证金可采用以下任意一种方式：</w:t>
            </w:r>
          </w:p>
          <w:p w14:paraId="16F72AF0">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工程结算款</w:t>
            </w:r>
            <w:r>
              <w:rPr>
                <w:rFonts w:hint="eastAsia" w:ascii="宋体" w:hAnsi="宋体" w:eastAsia="宋体" w:cs="宋体"/>
                <w:color w:val="auto"/>
                <w:sz w:val="21"/>
                <w:szCs w:val="21"/>
                <w:highlight w:val="none"/>
                <w:u w:val="single"/>
              </w:rPr>
              <w:t>的2% ；</w:t>
            </w:r>
          </w:p>
          <w:p w14:paraId="4CED3910">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对公转账</w:t>
            </w:r>
            <w:r>
              <w:rPr>
                <w:rFonts w:hint="eastAsia" w:ascii="宋体" w:hAnsi="宋体" w:eastAsia="宋体" w:cs="宋体"/>
                <w:color w:val="auto"/>
                <w:sz w:val="21"/>
                <w:szCs w:val="21"/>
                <w:highlight w:val="none"/>
                <w:u w:val="single"/>
              </w:rPr>
              <w:t xml:space="preserve">       ；</w:t>
            </w:r>
          </w:p>
          <w:p w14:paraId="31CCD988">
            <w:pPr>
              <w:pageBreakBefore w:val="0"/>
              <w:widowControl w:val="0"/>
              <w:kinsoku/>
              <w:wordWrap/>
              <w:overflowPunct/>
              <w:topLinePunct w:val="0"/>
              <w:autoSpaceDE/>
              <w:autoSpaceDN/>
              <w:bidi w:val="0"/>
              <w:adjustRightInd w:val="0"/>
              <w:snapToGrid w:val="0"/>
              <w:spacing w:beforeAutospacing="0" w:line="5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55CDCA24">
            <w:pPr>
              <w:pStyle w:val="5"/>
              <w:pageBreakBefore w:val="0"/>
              <w:widowControl w:val="0"/>
              <w:kinsoku/>
              <w:wordWrap/>
              <w:overflowPunct/>
              <w:topLinePunct w:val="0"/>
              <w:autoSpaceDE/>
              <w:autoSpaceDN/>
              <w:bidi w:val="0"/>
              <w:snapToGrid w:val="0"/>
              <w:spacing w:before="0" w:beforeAutospacing="0" w:after="0" w:line="500" w:lineRule="exact"/>
              <w:textAlignment w:val="auto"/>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sz w:val="21"/>
                <w:szCs w:val="21"/>
                <w:highlight w:val="none"/>
              </w:rPr>
              <w:t>注：以现金形式提交质量保证金的（含从工程款中以扣留方式提交的），同时退还银行同期活期存款利息。</w:t>
            </w:r>
          </w:p>
        </w:tc>
      </w:tr>
    </w:tbl>
    <w:p w14:paraId="490BC514">
      <w:pPr>
        <w:pStyle w:val="6"/>
        <w:pageBreakBefore w:val="0"/>
        <w:kinsoku/>
        <w:topLinePunct w:val="0"/>
        <w:bidi w:val="0"/>
        <w:snapToGrid w:val="0"/>
        <w:spacing w:before="0" w:beforeAutospacing="0" w:after="0" w:line="520" w:lineRule="exact"/>
        <w:rPr>
          <w:rFonts w:hint="eastAsia" w:ascii="宋体" w:hAnsi="宋体" w:eastAsia="宋体" w:cs="宋体"/>
          <w:color w:val="auto"/>
          <w:sz w:val="21"/>
          <w:szCs w:val="21"/>
          <w:highlight w:val="none"/>
        </w:rPr>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color w:val="auto"/>
          <w:sz w:val="21"/>
          <w:szCs w:val="21"/>
          <w:highlight w:val="none"/>
        </w:rPr>
        <w:br w:type="page"/>
      </w:r>
      <w:bookmarkStart w:id="60" w:name="_Toc16309"/>
      <w:bookmarkStart w:id="61" w:name="_Toc417623614"/>
    </w:p>
    <w:bookmarkEnd w:id="60"/>
    <w:bookmarkEnd w:id="61"/>
    <w:p w14:paraId="10050002">
      <w:pPr>
        <w:pageBreakBefore w:val="0"/>
        <w:kinsoku/>
        <w:wordWrap/>
        <w:topLinePunct w:val="0"/>
        <w:bidi w:val="0"/>
        <w:snapToGrid w:val="0"/>
        <w:spacing w:beforeAutospacing="0" w:line="520" w:lineRule="exact"/>
        <w:outlineLvl w:val="2"/>
        <w:rPr>
          <w:rFonts w:cs="宋体"/>
          <w:color w:val="auto"/>
          <w:sz w:val="21"/>
          <w:szCs w:val="21"/>
          <w:highlight w:val="none"/>
        </w:rPr>
      </w:pPr>
      <w:r>
        <w:rPr>
          <w:rFonts w:hint="eastAsia" w:cs="宋体"/>
          <w:color w:val="auto"/>
          <w:sz w:val="21"/>
          <w:szCs w:val="21"/>
          <w:highlight w:val="none"/>
        </w:rPr>
        <w:t>1</w:t>
      </w:r>
      <w:bookmarkStart w:id="62" w:name="_Toc292559866"/>
      <w:bookmarkStart w:id="63" w:name="_Toc296890984"/>
      <w:bookmarkStart w:id="64" w:name="_Toc296503156"/>
      <w:bookmarkStart w:id="65" w:name="_Toc296346657"/>
      <w:bookmarkStart w:id="66" w:name="_Toc296347155"/>
      <w:bookmarkStart w:id="67" w:name="_Toc292559361"/>
      <w:bookmarkStart w:id="68" w:name="_Toc297048342"/>
      <w:bookmarkStart w:id="69" w:name="_Toc296891196"/>
      <w:bookmarkStart w:id="70" w:name="_Toc296944495"/>
      <w:bookmarkStart w:id="71" w:name="_Toc297120456"/>
      <w:r>
        <w:rPr>
          <w:rFonts w:hint="eastAsia" w:cs="宋体"/>
          <w:color w:val="auto"/>
          <w:sz w:val="21"/>
          <w:szCs w:val="21"/>
          <w:highlight w:val="none"/>
        </w:rPr>
        <w:t>. 一般约定</w:t>
      </w:r>
    </w:p>
    <w:bookmarkEnd w:id="62"/>
    <w:bookmarkEnd w:id="63"/>
    <w:bookmarkEnd w:id="64"/>
    <w:bookmarkEnd w:id="65"/>
    <w:bookmarkEnd w:id="66"/>
    <w:bookmarkEnd w:id="67"/>
    <w:bookmarkEnd w:id="68"/>
    <w:bookmarkEnd w:id="69"/>
    <w:bookmarkEnd w:id="70"/>
    <w:bookmarkEnd w:id="71"/>
    <w:p w14:paraId="7FAA5F19">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1.1 词语定义与解释</w:t>
      </w:r>
    </w:p>
    <w:p w14:paraId="6A5072D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1.1.1 合同</w:t>
      </w:r>
    </w:p>
    <w:p w14:paraId="51FAEA5D">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cs="宋体"/>
          <w:color w:val="auto"/>
          <w:sz w:val="21"/>
          <w:szCs w:val="21"/>
          <w:highlight w:val="none"/>
        </w:rPr>
        <w:t>1.1.1.10 其他合同文件包括：</w:t>
      </w:r>
      <w:r>
        <w:rPr>
          <w:rFonts w:hint="eastAsia" w:ascii="宋体" w:hAnsi="宋体" w:eastAsia="宋体" w:cs="宋体"/>
          <w:color w:val="auto"/>
          <w:sz w:val="21"/>
          <w:szCs w:val="21"/>
          <w:highlight w:val="none"/>
          <w:u w:val="single"/>
        </w:rPr>
        <w:t xml:space="preserve">本项目招标文件、在合同订立及履行过程中形成的与合同有关的文件均构成合同文件组成部分。 </w:t>
      </w:r>
    </w:p>
    <w:p w14:paraId="4EEE9AC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1.1.2 合同当事人及其他相关方</w:t>
      </w:r>
    </w:p>
    <w:p w14:paraId="0BEE866D">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6"/>
          <w:sz w:val="19"/>
          <w:szCs w:val="19"/>
          <w:highlight w:val="none"/>
          <w:u w:val="single" w:color="auto"/>
        </w:rPr>
        <w:t xml:space="preserve"> 详见监理合同</w:t>
      </w:r>
      <w:r>
        <w:rPr>
          <w:rFonts w:hint="eastAsia" w:ascii="宋体" w:hAnsi="宋体" w:eastAsia="宋体" w:cs="宋体"/>
          <w:color w:val="auto"/>
          <w:spacing w:val="1"/>
          <w:sz w:val="19"/>
          <w:szCs w:val="19"/>
          <w:highlight w:val="none"/>
          <w:u w:val="single" w:color="auto"/>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C7B728F">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6"/>
          <w:sz w:val="19"/>
          <w:szCs w:val="19"/>
          <w:highlight w:val="none"/>
          <w:u w:val="single" w:color="auto"/>
        </w:rPr>
        <w:t xml:space="preserve"> 详见监理合同</w:t>
      </w:r>
      <w:r>
        <w:rPr>
          <w:rFonts w:hint="eastAsia" w:ascii="宋体" w:hAnsi="宋体" w:eastAsia="宋体" w:cs="宋体"/>
          <w:color w:val="auto"/>
          <w:spacing w:val="1"/>
          <w:sz w:val="19"/>
          <w:szCs w:val="19"/>
          <w:highlight w:val="none"/>
          <w:u w:val="single" w:color="auto"/>
        </w:rPr>
        <w:t xml:space="preserve">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1AE2CF4">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6"/>
          <w:sz w:val="19"/>
          <w:szCs w:val="19"/>
          <w:highlight w:val="none"/>
          <w:u w:val="single" w:color="auto"/>
        </w:rPr>
        <w:t xml:space="preserve"> 详见监理合同</w:t>
      </w:r>
      <w:r>
        <w:rPr>
          <w:rFonts w:hint="eastAsia" w:ascii="宋体" w:hAnsi="宋体" w:eastAsia="宋体" w:cs="宋体"/>
          <w:color w:val="auto"/>
          <w:spacing w:val="1"/>
          <w:sz w:val="19"/>
          <w:szCs w:val="19"/>
          <w:highlight w:val="none"/>
          <w:u w:val="single" w:color="auto"/>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F17442">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6"/>
          <w:sz w:val="19"/>
          <w:szCs w:val="19"/>
          <w:highlight w:val="none"/>
          <w:u w:val="single" w:color="auto"/>
        </w:rPr>
        <w:t xml:space="preserve"> 详见监理合同</w:t>
      </w:r>
      <w:r>
        <w:rPr>
          <w:rFonts w:hint="eastAsia" w:ascii="宋体" w:hAnsi="宋体" w:eastAsia="宋体" w:cs="宋体"/>
          <w:color w:val="auto"/>
          <w:spacing w:val="1"/>
          <w:sz w:val="19"/>
          <w:szCs w:val="19"/>
          <w:highlight w:val="none"/>
          <w:u w:val="single" w:color="auto"/>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D30A34C">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6"/>
          <w:sz w:val="19"/>
          <w:szCs w:val="19"/>
          <w:highlight w:val="none"/>
          <w:u w:val="single" w:color="auto"/>
        </w:rPr>
        <w:t xml:space="preserve"> 详见监理合同</w:t>
      </w:r>
      <w:r>
        <w:rPr>
          <w:rFonts w:hint="eastAsia" w:ascii="宋体" w:hAnsi="宋体" w:eastAsia="宋体" w:cs="宋体"/>
          <w:color w:val="auto"/>
          <w:spacing w:val="1"/>
          <w:sz w:val="19"/>
          <w:szCs w:val="19"/>
          <w:highlight w:val="none"/>
          <w:u w:val="single" w:color="auto"/>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653C4AE">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348A5963">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详见设计合同                  </w:t>
      </w:r>
      <w:r>
        <w:rPr>
          <w:rFonts w:hint="eastAsia" w:ascii="宋体" w:hAnsi="宋体" w:eastAsia="宋体" w:cs="宋体"/>
          <w:color w:val="auto"/>
          <w:sz w:val="21"/>
          <w:szCs w:val="21"/>
          <w:highlight w:val="none"/>
        </w:rPr>
        <w:t>；</w:t>
      </w:r>
    </w:p>
    <w:p w14:paraId="18BA4051">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详见设计合同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6D3E39F">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详见设计合同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00DA2BA">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详见设计合同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00C51CD">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详见设计合同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84D2042">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037E99AC">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见</w:t>
      </w:r>
      <w:r>
        <w:rPr>
          <w:rFonts w:hint="eastAsia" w:cs="宋体"/>
          <w:color w:val="auto"/>
          <w:sz w:val="21"/>
          <w:szCs w:val="21"/>
          <w:highlight w:val="none"/>
          <w:u w:val="single"/>
          <w:lang w:val="en-US" w:eastAsia="zh-CN"/>
        </w:rPr>
        <w:t>图和</w:t>
      </w:r>
      <w:r>
        <w:rPr>
          <w:rFonts w:hint="eastAsia" w:ascii="宋体" w:hAnsi="宋体" w:eastAsia="宋体" w:cs="宋体"/>
          <w:color w:val="auto"/>
          <w:sz w:val="21"/>
          <w:szCs w:val="21"/>
          <w:highlight w:val="none"/>
          <w:u w:val="single"/>
        </w:rPr>
        <w:t>现场确定</w:t>
      </w:r>
      <w:r>
        <w:rPr>
          <w:rFonts w:hint="eastAsia" w:ascii="宋体" w:hAnsi="宋体" w:eastAsia="宋体" w:cs="宋体"/>
          <w:color w:val="auto"/>
          <w:sz w:val="21"/>
          <w:szCs w:val="21"/>
          <w:highlight w:val="none"/>
        </w:rPr>
        <w:t>。</w:t>
      </w:r>
    </w:p>
    <w:p w14:paraId="533F9FB1">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sz w:val="21"/>
          <w:szCs w:val="21"/>
          <w:highlight w:val="none"/>
          <w:u w:val="single"/>
        </w:rPr>
        <w:t xml:space="preserve">  见</w:t>
      </w:r>
      <w:r>
        <w:rPr>
          <w:rFonts w:hint="eastAsia" w:cs="宋体"/>
          <w:color w:val="auto"/>
          <w:sz w:val="21"/>
          <w:szCs w:val="21"/>
          <w:highlight w:val="none"/>
          <w:u w:val="single"/>
          <w:lang w:val="en-US" w:eastAsia="zh-CN"/>
        </w:rPr>
        <w:t>图和</w:t>
      </w:r>
      <w:r>
        <w:rPr>
          <w:rFonts w:hint="eastAsia" w:ascii="宋体" w:hAnsi="宋体" w:eastAsia="宋体" w:cs="宋体"/>
          <w:color w:val="auto"/>
          <w:sz w:val="21"/>
          <w:szCs w:val="21"/>
          <w:highlight w:val="none"/>
          <w:u w:val="single"/>
        </w:rPr>
        <w:t>现场确定</w:t>
      </w:r>
      <w:r>
        <w:rPr>
          <w:rFonts w:hint="eastAsia" w:ascii="宋体" w:hAnsi="宋体" w:eastAsia="宋体" w:cs="宋体"/>
          <w:color w:val="auto"/>
          <w:kern w:val="0"/>
          <w:sz w:val="21"/>
          <w:szCs w:val="21"/>
          <w:highlight w:val="none"/>
        </w:rPr>
        <w:t>。</w:t>
      </w:r>
    </w:p>
    <w:p w14:paraId="532CC081">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 xml:space="preserve">   现场确定</w:t>
      </w:r>
      <w:r>
        <w:rPr>
          <w:rFonts w:hint="eastAsia" w:ascii="宋体" w:hAnsi="宋体" w:eastAsia="宋体" w:cs="宋体"/>
          <w:color w:val="auto"/>
          <w:kern w:val="0"/>
          <w:sz w:val="21"/>
          <w:szCs w:val="21"/>
          <w:highlight w:val="none"/>
        </w:rPr>
        <w:t>。</w:t>
      </w:r>
    </w:p>
    <w:p w14:paraId="2CACACD7">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 xml:space="preserve">1.3 法律 </w:t>
      </w:r>
    </w:p>
    <w:p w14:paraId="78AC5CB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适用于合同的其他规范性文件：</w:t>
      </w:r>
      <w:r>
        <w:rPr>
          <w:rFonts w:hint="eastAsia" w:cs="宋体"/>
          <w:color w:val="auto"/>
          <w:sz w:val="21"/>
          <w:szCs w:val="21"/>
          <w:highlight w:val="none"/>
          <w:u w:val="single"/>
        </w:rPr>
        <w:t>《中华人民共和国民法典》、《中华人民共和国建筑法》、《中华人民共和国政府采购法》、《中华人民共和国招标投标法》、《建设工程质量管理条例》、《建设工程安全生产管理条例》等国家及工程所在地现行有效的法律法规和规章</w:t>
      </w:r>
      <w:r>
        <w:rPr>
          <w:rFonts w:hint="eastAsia" w:cs="宋体"/>
          <w:color w:val="auto"/>
          <w:sz w:val="21"/>
          <w:szCs w:val="21"/>
          <w:highlight w:val="none"/>
        </w:rPr>
        <w:t>。</w:t>
      </w:r>
    </w:p>
    <w:p w14:paraId="0F712B3B">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1.4 标准和规范</w:t>
      </w:r>
    </w:p>
    <w:p w14:paraId="61F425F1">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1.4.1 适用于工程的标准规范包括：</w:t>
      </w:r>
      <w:r>
        <w:rPr>
          <w:rFonts w:hint="eastAsia" w:ascii="宋体" w:hAnsi="宋体" w:eastAsia="宋体" w:cs="宋体"/>
          <w:color w:val="auto"/>
          <w:sz w:val="21"/>
          <w:szCs w:val="21"/>
          <w:highlight w:val="none"/>
          <w:u w:val="single"/>
        </w:rPr>
        <w:t>中华人民共和国住房和城乡建设部等部门及省、市发布的有关文件</w:t>
      </w:r>
      <w:r>
        <w:rPr>
          <w:rFonts w:hint="eastAsia" w:ascii="宋体" w:hAnsi="宋体" w:eastAsia="宋体" w:cs="宋体"/>
          <w:color w:val="auto"/>
          <w:sz w:val="21"/>
          <w:szCs w:val="21"/>
          <w:highlight w:val="none"/>
        </w:rPr>
        <w:t>。</w:t>
      </w:r>
    </w:p>
    <w:p w14:paraId="50729C8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1.4.2 发包人提供国外标准、规范的名称：</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承包人自备国内现行适用的标准、规范</w:t>
      </w:r>
      <w:r>
        <w:rPr>
          <w:rFonts w:hint="eastAsia" w:cs="宋体"/>
          <w:color w:val="auto"/>
          <w:sz w:val="21"/>
          <w:szCs w:val="21"/>
          <w:highlight w:val="none"/>
        </w:rPr>
        <w:t>；</w:t>
      </w:r>
    </w:p>
    <w:p w14:paraId="4D93315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发包人提供国外标准、规范的份数：</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65B81B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发包人提供国外标准、规范的时间：</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2DA13E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1.4.3 发包人对工程的技术标准和功能要求的特殊要求：</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按现行规范执行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DD7A078">
      <w:pPr>
        <w:keepNext/>
        <w:keepLines/>
        <w:pageBreakBefore w:val="0"/>
        <w:kinsoku/>
        <w:wordWrap/>
        <w:topLinePunct w:val="0"/>
        <w:bidi w:val="0"/>
        <w:snapToGrid w:val="0"/>
        <w:spacing w:beforeAutospacing="0" w:line="520" w:lineRule="exact"/>
        <w:ind w:firstLine="420" w:firstLineChars="200"/>
        <w:outlineLvl w:val="3"/>
        <w:rPr>
          <w:rFonts w:hint="eastAsia" w:cs="宋体"/>
          <w:bCs/>
          <w:color w:val="auto"/>
          <w:sz w:val="21"/>
          <w:szCs w:val="21"/>
          <w:highlight w:val="none"/>
        </w:rPr>
      </w:pPr>
      <w:r>
        <w:rPr>
          <w:rFonts w:hint="eastAsia" w:cs="宋体"/>
          <w:bCs/>
          <w:color w:val="auto"/>
          <w:sz w:val="21"/>
          <w:szCs w:val="21"/>
          <w:highlight w:val="none"/>
        </w:rPr>
        <w:t>1.5 合同文件的优先顺序</w:t>
      </w:r>
    </w:p>
    <w:p w14:paraId="0159DDAC">
      <w:pPr>
        <w:keepNext/>
        <w:keepLines/>
        <w:pageBreakBefore w:val="0"/>
        <w:kinsoku/>
        <w:wordWrap/>
        <w:topLinePunct w:val="0"/>
        <w:bidi w:val="0"/>
        <w:snapToGrid w:val="0"/>
        <w:spacing w:beforeAutospacing="0" w:line="520" w:lineRule="exact"/>
        <w:ind w:firstLine="420" w:firstLineChars="200"/>
        <w:outlineLvl w:val="3"/>
        <w:rPr>
          <w:rFonts w:cs="宋体"/>
          <w:b/>
          <w:color w:val="auto"/>
          <w:sz w:val="21"/>
          <w:szCs w:val="21"/>
          <w:highlight w:val="none"/>
          <w:u w:val="single"/>
        </w:rPr>
      </w:pPr>
      <w:r>
        <w:rPr>
          <w:rFonts w:hint="eastAsia"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1）合同协议书；（2）中标通知书；（3）投标函及其附录；（4）招标文件；（5）专用合同条款及其附件；（6）通用合同条款；（7）技术标准和要求；（8）图纸；（9）已标价工程量清单或预算书；（10）其他合同文件。</w:t>
      </w:r>
    </w:p>
    <w:p w14:paraId="1317EDAA">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1.6 图纸和承包人文件</w:t>
      </w:r>
      <w:r>
        <w:rPr>
          <w:rFonts w:hint="eastAsia" w:cs="宋体"/>
          <w:bCs/>
          <w:color w:val="auto"/>
          <w:sz w:val="21"/>
          <w:szCs w:val="21"/>
          <w:highlight w:val="none"/>
        </w:rPr>
        <w:tab/>
      </w:r>
    </w:p>
    <w:p w14:paraId="0AC46FD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1.6.1 图纸的提供和交底</w:t>
      </w:r>
    </w:p>
    <w:p w14:paraId="59E1A0B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开工前10个日历日向承包人提供图纸</w:t>
      </w:r>
      <w:r>
        <w:rPr>
          <w:rFonts w:hint="eastAsia" w:cs="宋体"/>
          <w:color w:val="auto"/>
          <w:sz w:val="21"/>
          <w:szCs w:val="21"/>
          <w:highlight w:val="none"/>
        </w:rPr>
        <w:t>；</w:t>
      </w:r>
    </w:p>
    <w:p w14:paraId="6D021EE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1套本工程图</w:t>
      </w:r>
      <w:r>
        <w:rPr>
          <w:rFonts w:hint="eastAsia" w:cs="宋体"/>
          <w:color w:val="auto"/>
          <w:sz w:val="21"/>
          <w:szCs w:val="21"/>
          <w:highlight w:val="none"/>
          <w:u w:val="single"/>
          <w:lang w:val="en-US" w:eastAsia="zh-CN"/>
        </w:rPr>
        <w:t>纸</w:t>
      </w:r>
      <w:r>
        <w:rPr>
          <w:rFonts w:hint="eastAsia" w:ascii="宋体" w:hAnsi="宋体" w:eastAsia="宋体" w:cs="宋体"/>
          <w:color w:val="auto"/>
          <w:sz w:val="21"/>
          <w:szCs w:val="21"/>
          <w:highlight w:val="none"/>
          <w:u w:val="single"/>
        </w:rPr>
        <w:t>，承包人如需增加，由承包人自行复制并承担费用，所有设计图纸和设计变更文件须经设计单位和发包人盖章确认方有效</w:t>
      </w:r>
      <w:r>
        <w:rPr>
          <w:rFonts w:hint="eastAsia" w:cs="宋体"/>
          <w:color w:val="auto"/>
          <w:sz w:val="21"/>
          <w:szCs w:val="21"/>
          <w:highlight w:val="none"/>
          <w:u w:val="single"/>
        </w:rPr>
        <w:t>；</w:t>
      </w:r>
    </w:p>
    <w:p w14:paraId="39F2DC4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发包人向承包人提供图纸的内容：</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施工范围的图纸</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FF5F76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1.6.4 承包人文件</w:t>
      </w:r>
    </w:p>
    <w:p w14:paraId="34E5E1E1">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包括但不限于施工组织设计、总进度计划、阶段性进度计划、月度进度计划、工程计量报告、竣工资料、归档资料电子档、影像资料及工程结算送审资料及发包人、监理人要求提供的等其他文件；</w:t>
      </w:r>
    </w:p>
    <w:p w14:paraId="74D6F5D4">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 xml:space="preserve">按照合同相关约定或发包人、监理人书面要求执行    </w:t>
      </w:r>
      <w:r>
        <w:rPr>
          <w:rFonts w:hint="eastAsia" w:ascii="宋体" w:hAnsi="宋体" w:eastAsia="宋体" w:cs="宋体"/>
          <w:color w:val="auto"/>
          <w:sz w:val="21"/>
          <w:szCs w:val="21"/>
          <w:highlight w:val="none"/>
        </w:rPr>
        <w:t>；</w:t>
      </w:r>
    </w:p>
    <w:p w14:paraId="499DDECD">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xml:space="preserve"> 按照合同相关约定或发包人、监理人书面要求执行   </w:t>
      </w:r>
      <w:r>
        <w:rPr>
          <w:rFonts w:hint="eastAsia" w:ascii="宋体" w:hAnsi="宋体" w:eastAsia="宋体" w:cs="宋体"/>
          <w:color w:val="auto"/>
          <w:sz w:val="21"/>
          <w:szCs w:val="21"/>
          <w:highlight w:val="none"/>
        </w:rPr>
        <w:t>；</w:t>
      </w:r>
    </w:p>
    <w:p w14:paraId="4403BD82">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xml:space="preserve">按照合同相关约定或发包人、监理人书面要求执行  </w:t>
      </w:r>
      <w:r>
        <w:rPr>
          <w:rFonts w:hint="eastAsia" w:ascii="宋体" w:hAnsi="宋体" w:eastAsia="宋体" w:cs="宋体"/>
          <w:color w:val="auto"/>
          <w:sz w:val="21"/>
          <w:szCs w:val="21"/>
          <w:highlight w:val="none"/>
        </w:rPr>
        <w:t>；</w:t>
      </w:r>
    </w:p>
    <w:p w14:paraId="79C4AD0D">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 按照合同相关约定或发包人、监理人书面要求执行</w:t>
      </w:r>
      <w:r>
        <w:rPr>
          <w:rFonts w:hint="eastAsia" w:ascii="宋体" w:hAnsi="宋体" w:eastAsia="宋体" w:cs="宋体"/>
          <w:color w:val="auto"/>
          <w:sz w:val="21"/>
          <w:szCs w:val="21"/>
          <w:highlight w:val="none"/>
        </w:rPr>
        <w:t>。</w:t>
      </w:r>
    </w:p>
    <w:p w14:paraId="1CCB0AED">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图纸和承包人文件的保管</w:t>
      </w:r>
    </w:p>
    <w:p w14:paraId="5ACFFF06">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ascii="宋体" w:hAnsi="宋体" w:eastAsia="宋体" w:cs="宋体"/>
          <w:color w:val="auto"/>
          <w:sz w:val="21"/>
          <w:szCs w:val="21"/>
          <w:highlight w:val="none"/>
        </w:rPr>
        <w:t>关于图纸和承包人文件的保管的约定：</w:t>
      </w:r>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1CB736AB">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1.7 联络</w:t>
      </w:r>
    </w:p>
    <w:p w14:paraId="52BC3946">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sz w:val="21"/>
          <w:szCs w:val="21"/>
          <w:highlight w:val="none"/>
          <w:u w:val="single"/>
        </w:rPr>
        <w:t xml:space="preserve">发包人办公室  </w:t>
      </w:r>
      <w:r>
        <w:rPr>
          <w:rFonts w:hint="eastAsia" w:ascii="宋体" w:hAnsi="宋体" w:eastAsia="宋体" w:cs="宋体"/>
          <w:color w:val="auto"/>
          <w:kern w:val="0"/>
          <w:sz w:val="21"/>
          <w:szCs w:val="21"/>
          <w:highlight w:val="none"/>
        </w:rPr>
        <w:t>；</w:t>
      </w:r>
    </w:p>
    <w:p w14:paraId="56E23148">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发包人指派的项目负责人</w:t>
      </w:r>
      <w:r>
        <w:rPr>
          <w:rFonts w:hint="eastAsia" w:ascii="宋体" w:hAnsi="宋体" w:eastAsia="宋体" w:cs="宋体"/>
          <w:color w:val="auto"/>
          <w:kern w:val="0"/>
          <w:sz w:val="21"/>
          <w:szCs w:val="21"/>
          <w:highlight w:val="none"/>
        </w:rPr>
        <w:t>；</w:t>
      </w:r>
    </w:p>
    <w:p w14:paraId="40BA3E22">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项目部</w:t>
      </w:r>
      <w:r>
        <w:rPr>
          <w:rFonts w:hint="eastAsia" w:ascii="宋体" w:hAnsi="宋体" w:eastAsia="宋体" w:cs="宋体"/>
          <w:color w:val="auto"/>
          <w:kern w:val="0"/>
          <w:sz w:val="21"/>
          <w:szCs w:val="21"/>
          <w:highlight w:val="none"/>
        </w:rPr>
        <w:t>；</w:t>
      </w:r>
    </w:p>
    <w:p w14:paraId="4ABDBB63">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项目负责人</w:t>
      </w:r>
      <w:r>
        <w:rPr>
          <w:rFonts w:hint="eastAsia" w:ascii="宋体" w:hAnsi="宋体" w:eastAsia="宋体" w:cs="宋体"/>
          <w:color w:val="auto"/>
          <w:kern w:val="0"/>
          <w:sz w:val="21"/>
          <w:szCs w:val="21"/>
          <w:highlight w:val="none"/>
        </w:rPr>
        <w:t>。</w:t>
      </w:r>
    </w:p>
    <w:p w14:paraId="2B2A6FAB">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监理部</w:t>
      </w:r>
      <w:r>
        <w:rPr>
          <w:rFonts w:hint="eastAsia" w:ascii="宋体" w:hAnsi="宋体" w:eastAsia="宋体" w:cs="宋体"/>
          <w:color w:val="auto"/>
          <w:kern w:val="0"/>
          <w:sz w:val="21"/>
          <w:szCs w:val="21"/>
          <w:highlight w:val="none"/>
        </w:rPr>
        <w:t>；</w:t>
      </w:r>
    </w:p>
    <w:p w14:paraId="3D4B7AEE">
      <w:pPr>
        <w:keepNext/>
        <w:keepLines/>
        <w:pageBreakBefore w:val="0"/>
        <w:kinsoku/>
        <w:wordWrap/>
        <w:topLinePunct w:val="0"/>
        <w:bidi w:val="0"/>
        <w:snapToGrid w:val="0"/>
        <w:spacing w:beforeAutospacing="0" w:line="520" w:lineRule="exact"/>
        <w:ind w:firstLine="420" w:firstLineChars="200"/>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sz w:val="21"/>
          <w:szCs w:val="21"/>
          <w:highlight w:val="none"/>
          <w:u w:val="single"/>
        </w:rPr>
        <w:t>总监理工程师</w:t>
      </w:r>
      <w:r>
        <w:rPr>
          <w:rFonts w:hint="eastAsia" w:ascii="宋体" w:hAnsi="宋体" w:eastAsia="宋体" w:cs="宋体"/>
          <w:color w:val="auto"/>
          <w:kern w:val="0"/>
          <w:sz w:val="21"/>
          <w:szCs w:val="21"/>
          <w:highlight w:val="none"/>
        </w:rPr>
        <w:t>。</w:t>
      </w:r>
    </w:p>
    <w:p w14:paraId="6DFE439F">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1.10 交通运输</w:t>
      </w:r>
    </w:p>
    <w:p w14:paraId="65C7D3C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w:t>
      </w:r>
      <w:bookmarkStart w:id="72" w:name="_Toc312677986"/>
      <w:bookmarkStart w:id="73" w:name="_Toc318581155"/>
      <w:bookmarkStart w:id="74" w:name="_Toc304295521"/>
      <w:bookmarkStart w:id="75" w:name="_Toc303539100"/>
      <w:bookmarkStart w:id="76" w:name="_Toc300934943"/>
      <w:r>
        <w:rPr>
          <w:rFonts w:hint="eastAsia" w:cs="宋体"/>
          <w:color w:val="auto"/>
          <w:sz w:val="21"/>
          <w:szCs w:val="21"/>
          <w:highlight w:val="none"/>
        </w:rPr>
        <w:t>.10.1 出入现场的权利</w:t>
      </w:r>
    </w:p>
    <w:p w14:paraId="0A0D80AB">
      <w:pPr>
        <w:pageBreakBefore w:val="0"/>
        <w:kinsoku/>
        <w:wordWrap/>
        <w:topLinePunct w:val="0"/>
        <w:bidi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费用由中标人承担，按有关规定办理有关施工场地交通、环卫和施工噪音管理等手续，费用由承包人负责。施工中建筑垃圾需运出施工现场外时，承包人需到城管部门办理相关手续并按城管部门指定地点放置。承包人违反城管、环卫等有关管理的规定，被处以违约金的，由承包人承担。在本工程施工期间，施工单位使用的运输车辆须满足公安、市容城管、交通管理部门等的规定并按要求依法遵照有关规定办理运输许可证，严禁使用无牌无证车辆进行施工，若因以上原因造成的各种行政违约金等费用，由施工单位自行承担，发包人不具有协调等责任义务。如由此造成影响导致业主声誉受损，发包人将向承包人收取违约金5000元/次。</w:t>
      </w:r>
    </w:p>
    <w:bookmarkEnd w:id="72"/>
    <w:bookmarkEnd w:id="73"/>
    <w:bookmarkEnd w:id="74"/>
    <w:bookmarkEnd w:id="75"/>
    <w:bookmarkEnd w:id="76"/>
    <w:p w14:paraId="40842D6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w:t>
      </w:r>
      <w:bookmarkStart w:id="77" w:name="_Toc303539101"/>
      <w:bookmarkStart w:id="78" w:name="_Toc304295522"/>
      <w:bookmarkStart w:id="79" w:name="_Toc318581156"/>
      <w:bookmarkStart w:id="80" w:name="_Toc300934944"/>
      <w:bookmarkStart w:id="81" w:name="_Toc312677987"/>
      <w:r>
        <w:rPr>
          <w:rFonts w:hint="eastAsia" w:cs="宋体"/>
          <w:color w:val="auto"/>
          <w:sz w:val="21"/>
          <w:szCs w:val="21"/>
          <w:highlight w:val="none"/>
        </w:rPr>
        <w:t>.10.3 场内交通</w:t>
      </w:r>
    </w:p>
    <w:p w14:paraId="501261EF">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u w:val="single"/>
        </w:rPr>
      </w:pPr>
      <w:r>
        <w:rPr>
          <w:rFonts w:hint="eastAsia"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场内交通设施和道路由承包人负责建设，发包人不另支付费用，场内交通边界现场确定</w:t>
      </w:r>
      <w:r>
        <w:rPr>
          <w:rFonts w:hint="eastAsia" w:ascii="宋体" w:hAnsi="宋体" w:eastAsia="宋体" w:cs="宋体"/>
          <w:color w:val="auto"/>
          <w:sz w:val="21"/>
          <w:szCs w:val="21"/>
          <w:highlight w:val="none"/>
        </w:rPr>
        <w:t>。</w:t>
      </w:r>
    </w:p>
    <w:p w14:paraId="7898AB2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自行踏勘，自行解决</w:t>
      </w:r>
      <w:r>
        <w:rPr>
          <w:rFonts w:hint="eastAsia" w:cs="宋体"/>
          <w:color w:val="auto"/>
          <w:sz w:val="21"/>
          <w:szCs w:val="21"/>
          <w:highlight w:val="none"/>
        </w:rPr>
        <w:t>。</w:t>
      </w:r>
      <w:bookmarkEnd w:id="77"/>
      <w:bookmarkEnd w:id="78"/>
      <w:bookmarkEnd w:id="79"/>
      <w:bookmarkEnd w:id="80"/>
      <w:bookmarkEnd w:id="81"/>
      <w:bookmarkStart w:id="82" w:name="_Toc318581157"/>
    </w:p>
    <w:p w14:paraId="070E61D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1.10.4 超大件和超重件的运输</w:t>
      </w:r>
    </w:p>
    <w:p w14:paraId="4903978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运输超大件或超重件所需的道路和桥梁临时加固改造费用和其他有关费用由</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承包人</w:t>
      </w:r>
      <w:r>
        <w:rPr>
          <w:rFonts w:hint="eastAsia" w:cs="宋体"/>
          <w:color w:val="auto"/>
          <w:sz w:val="21"/>
          <w:szCs w:val="21"/>
          <w:highlight w:val="none"/>
          <w:u w:val="single"/>
        </w:rPr>
        <w:t xml:space="preserve"> </w:t>
      </w:r>
      <w:r>
        <w:rPr>
          <w:rFonts w:hint="eastAsia" w:cs="宋体"/>
          <w:color w:val="auto"/>
          <w:sz w:val="21"/>
          <w:szCs w:val="21"/>
          <w:highlight w:val="none"/>
        </w:rPr>
        <w:t>承担。</w:t>
      </w:r>
    </w:p>
    <w:bookmarkEnd w:id="82"/>
    <w:p w14:paraId="6EEC2C3D">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1.11 知识产权</w:t>
      </w:r>
    </w:p>
    <w:p w14:paraId="4A4704C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发包人</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899641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未经发包人同意不得复制，不得向承包人以外的人员泄漏有关图纸内容，工程竣工后，原图全部收回</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649F2C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1.11.2 关于承包人为实施工程所编制文件的著作权的归属：</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发包人</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0369F6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E99A1F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1.11.4 承包人在施工过程中所采用的专利、专有技术、技术秘密的使用费的承担方式：</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F61CB11">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1.13 工程量清单错误的修正</w:t>
      </w:r>
    </w:p>
    <w:p w14:paraId="28D0C8B7">
      <w:pPr>
        <w:pStyle w:val="2"/>
        <w:pageBreakBefore w:val="0"/>
        <w:kinsoku/>
        <w:wordWrap/>
        <w:topLinePunct w:val="0"/>
        <w:bidi w:val="0"/>
        <w:spacing w:beforeAutospacing="0" w:line="520" w:lineRule="exact"/>
        <w:ind w:firstLine="468" w:firstLineChars="200"/>
        <w:rPr>
          <w:rFonts w:hint="eastAsia" w:ascii="宋体" w:hAnsi="宋体" w:eastAsia="宋体" w:cs="宋体"/>
          <w:color w:val="auto"/>
          <w:sz w:val="21"/>
          <w:szCs w:val="21"/>
          <w:highlight w:val="none"/>
        </w:rPr>
      </w:pPr>
      <w:r>
        <w:rPr>
          <w:rFonts w:hint="eastAsia"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是，具体调整方式见下款</w:t>
      </w:r>
      <w:r>
        <w:rPr>
          <w:rFonts w:hint="eastAsia" w:ascii="宋体" w:hAnsi="宋体" w:eastAsia="宋体" w:cs="宋体"/>
          <w:color w:val="auto"/>
          <w:sz w:val="21"/>
          <w:szCs w:val="21"/>
          <w:highlight w:val="none"/>
        </w:rPr>
        <w:t>。</w:t>
      </w:r>
    </w:p>
    <w:p w14:paraId="5F2F56ED">
      <w:pPr>
        <w:pageBreakBefore w:val="0"/>
        <w:kinsoku/>
        <w:wordWrap/>
        <w:topLinePunct w:val="0"/>
        <w:bidi w:val="0"/>
        <w:snapToGrid w:val="0"/>
        <w:spacing w:beforeAutospacing="0" w:line="520" w:lineRule="exact"/>
        <w:ind w:firstLine="420" w:firstLineChars="200"/>
        <w:rPr>
          <w:rFonts w:cs="宋体"/>
          <w:b/>
          <w:bCs/>
          <w:i/>
          <w:iCs/>
          <w:color w:val="auto"/>
          <w:kern w:val="2"/>
          <w:sz w:val="21"/>
          <w:szCs w:val="21"/>
          <w:highlight w:val="none"/>
          <w:shd w:val="clear" w:color="FFFFFF" w:fill="D9D9D9"/>
        </w:rPr>
      </w:pPr>
      <w:r>
        <w:rPr>
          <w:rFonts w:hint="eastAsia" w:ascii="宋体" w:hAnsi="宋体" w:eastAsia="宋体" w:cs="宋体"/>
          <w:color w:val="auto"/>
          <w:sz w:val="21"/>
          <w:szCs w:val="21"/>
          <w:highlight w:val="none"/>
          <w:u w:val="single"/>
        </w:rPr>
        <w:t xml:space="preserve">允许调整合同价格的工程量偏差范围：发包人指令调整施工内容及范围（包括但不限于取消或增加项目，变更设计方案及材料，改变施工工艺、施工方法，调整施工顺序等），工程量无论增减，承包人必须无条件执行，否则视为违约，发包人视情节轻重给予违约处罚，发包人将向承包人收取5-50万元的违约金。结算时，工程量按实计算。结算工程量减少0-100%或增加15%以内（含 15%）部分的，执行中标单价；超出15%以外部分，投标综合单价高于（控制价×投标让利幅度）时，按（控制价×投标让利幅度）计算，投标综合单价低于（控制价×投标让利幅度）时，执行中标单价。组价明显错误或人材机含量及单价明显异常的（明显异常指承包人单价超出清单控制价中相应单价20%及以上的）应予纠正；新增项目单价按照控制价的编制原则重新组价×投标让利幅度（投标让利幅度为中标价/控制价，其中中标价和控制价均扣除暂定金额、暂估价），重新组价价格最终以竣工结算审计核定为准。 </w:t>
      </w:r>
    </w:p>
    <w:p w14:paraId="72E932C0">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2.</w:t>
      </w:r>
      <w:r>
        <w:rPr>
          <w:rFonts w:hint="eastAsia" w:cs="宋体"/>
          <w:bCs/>
          <w:color w:val="auto"/>
          <w:sz w:val="21"/>
          <w:szCs w:val="21"/>
          <w:highlight w:val="none"/>
          <w:lang w:val="en-US" w:eastAsia="zh-CN"/>
        </w:rPr>
        <w:t>1</w:t>
      </w:r>
      <w:r>
        <w:rPr>
          <w:rFonts w:hint="eastAsia" w:cs="宋体"/>
          <w:bCs/>
          <w:color w:val="auto"/>
          <w:sz w:val="21"/>
          <w:szCs w:val="21"/>
          <w:highlight w:val="none"/>
        </w:rPr>
        <w:t xml:space="preserve"> 施工现场、施工条件和基础资料的提供</w:t>
      </w:r>
    </w:p>
    <w:p w14:paraId="06759CA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lang w:val="en-US" w:eastAsia="zh-CN"/>
        </w:rPr>
        <w:t>1</w:t>
      </w:r>
      <w:r>
        <w:rPr>
          <w:rFonts w:hint="eastAsia" w:cs="宋体"/>
          <w:color w:val="auto"/>
          <w:sz w:val="21"/>
          <w:szCs w:val="21"/>
          <w:highlight w:val="none"/>
        </w:rPr>
        <w:t>.1 提供施工现场</w:t>
      </w:r>
    </w:p>
    <w:p w14:paraId="76EB9A6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关于发包人移交施工现场的期限要求：</w:t>
      </w:r>
      <w:r>
        <w:rPr>
          <w:rFonts w:hint="eastAsia" w:cs="宋体"/>
          <w:color w:val="auto"/>
          <w:sz w:val="21"/>
          <w:szCs w:val="21"/>
          <w:highlight w:val="none"/>
          <w:u w:val="single"/>
          <w:lang w:val="en-US" w:eastAsia="zh-CN"/>
        </w:rPr>
        <w:t>开工前</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6BDF36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lang w:val="en-US" w:eastAsia="zh-CN"/>
        </w:rPr>
        <w:t>1</w:t>
      </w:r>
      <w:r>
        <w:rPr>
          <w:rFonts w:hint="eastAsia" w:cs="宋体"/>
          <w:color w:val="auto"/>
          <w:sz w:val="21"/>
          <w:szCs w:val="21"/>
          <w:highlight w:val="none"/>
        </w:rPr>
        <w:t>.2 提供施工条件</w:t>
      </w:r>
    </w:p>
    <w:p w14:paraId="2ACA093B">
      <w:pPr>
        <w:pageBreakBefore w:val="0"/>
        <w:kinsoku/>
        <w:wordWrap/>
        <w:topLinePunct w:val="0"/>
        <w:bidi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不提供，本项目施工所需要的条件及手续和工程未完全交付发包人前所有的水电费用均由承包人自行办理且相关费用已包含在合同价款中，由承包人承担</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若需从学校搭接水电，需经建设单位同意，</w:t>
      </w:r>
      <w:r>
        <w:rPr>
          <w:rFonts w:hint="eastAsia" w:cs="宋体"/>
          <w:color w:val="auto"/>
          <w:sz w:val="21"/>
          <w:szCs w:val="21"/>
          <w:highlight w:val="none"/>
          <w:u w:val="single"/>
          <w:lang w:eastAsia="zh-CN"/>
        </w:rPr>
        <w:t>据实结算，从工程结算款价中抵扣或电子转账。对无法装表计量的用水、用电，按工程结算价款的3‰、4‰分别收取水、电费</w:t>
      </w:r>
      <w:r>
        <w:rPr>
          <w:rFonts w:hint="eastAsia" w:ascii="宋体" w:hAnsi="宋体" w:eastAsia="宋体" w:cs="宋体"/>
          <w:color w:val="auto"/>
          <w:sz w:val="21"/>
          <w:szCs w:val="21"/>
          <w:highlight w:val="none"/>
          <w:u w:val="single"/>
        </w:rPr>
        <w:t>。</w:t>
      </w:r>
    </w:p>
    <w:p w14:paraId="549B0E18">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2.</w:t>
      </w:r>
      <w:r>
        <w:rPr>
          <w:rFonts w:hint="eastAsia" w:cs="宋体"/>
          <w:bCs/>
          <w:color w:val="auto"/>
          <w:sz w:val="21"/>
          <w:szCs w:val="21"/>
          <w:highlight w:val="none"/>
          <w:lang w:val="en-US" w:eastAsia="zh-CN"/>
        </w:rPr>
        <w:t>2</w:t>
      </w:r>
      <w:r>
        <w:rPr>
          <w:rFonts w:hint="eastAsia" w:cs="宋体"/>
          <w:bCs/>
          <w:color w:val="auto"/>
          <w:sz w:val="21"/>
          <w:szCs w:val="21"/>
          <w:highlight w:val="none"/>
        </w:rPr>
        <w:t xml:space="preserve"> 资金来源证明及支付担保</w:t>
      </w:r>
    </w:p>
    <w:p w14:paraId="0545BAD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发包人提供资金来源证明的期限要求：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0BD0D9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发包人是否提供支付担保：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FF3443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发包人提供支付担保的形式：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F35F68A">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83" w:name="_Toc351203635"/>
      <w:r>
        <w:rPr>
          <w:rFonts w:hint="eastAsia" w:cs="宋体"/>
          <w:color w:val="auto"/>
          <w:sz w:val="21"/>
          <w:szCs w:val="21"/>
          <w:highlight w:val="none"/>
        </w:rPr>
        <w:t>3</w:t>
      </w:r>
      <w:bookmarkStart w:id="84" w:name="_Toc296503158"/>
      <w:bookmarkStart w:id="85" w:name="_Toc296890986"/>
      <w:bookmarkStart w:id="86" w:name="_Toc297048344"/>
      <w:bookmarkStart w:id="87" w:name="_Toc296944497"/>
      <w:bookmarkStart w:id="88" w:name="_Toc296347157"/>
      <w:bookmarkStart w:id="89" w:name="_Toc296346659"/>
      <w:bookmarkStart w:id="90" w:name="_Toc297120458"/>
      <w:bookmarkStart w:id="91" w:name="_Toc296891198"/>
      <w:bookmarkStart w:id="92" w:name="_Toc292559363"/>
      <w:bookmarkStart w:id="93" w:name="_Toc292559868"/>
      <w:r>
        <w:rPr>
          <w:rFonts w:hint="eastAsia" w:cs="宋体"/>
          <w:color w:val="auto"/>
          <w:sz w:val="21"/>
          <w:szCs w:val="21"/>
          <w:highlight w:val="none"/>
        </w:rPr>
        <w:t>. 承包人</w:t>
      </w:r>
      <w:bookmarkEnd w:id="83"/>
    </w:p>
    <w:bookmarkEnd w:id="84"/>
    <w:bookmarkEnd w:id="85"/>
    <w:bookmarkEnd w:id="86"/>
    <w:bookmarkEnd w:id="87"/>
    <w:bookmarkEnd w:id="88"/>
    <w:bookmarkEnd w:id="89"/>
    <w:bookmarkEnd w:id="90"/>
    <w:bookmarkEnd w:id="91"/>
    <w:bookmarkEnd w:id="92"/>
    <w:bookmarkEnd w:id="93"/>
    <w:p w14:paraId="5D92B503">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3.1 承包人的一般义务</w:t>
      </w:r>
    </w:p>
    <w:p w14:paraId="3E88970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（9）承包人提交的竣工资料的内容</w:t>
      </w:r>
      <w:r>
        <w:rPr>
          <w:rFonts w:hint="eastAsia" w:cs="宋体"/>
          <w:b/>
          <w:bCs/>
          <w:color w:val="auto"/>
          <w:sz w:val="21"/>
          <w:szCs w:val="21"/>
          <w:highlight w:val="none"/>
        </w:rPr>
        <w:t>：</w:t>
      </w:r>
      <w:r>
        <w:rPr>
          <w:rFonts w:hint="eastAsia" w:cs="宋体"/>
          <w:b/>
          <w:bCs/>
          <w:color w:val="auto"/>
          <w:sz w:val="21"/>
          <w:szCs w:val="21"/>
          <w:highlight w:val="none"/>
          <w:u w:val="single"/>
        </w:rPr>
        <w:t>承包人提供全套竣工图，所有竣工图应为新图纸</w:t>
      </w:r>
      <w:r>
        <w:rPr>
          <w:rFonts w:hint="eastAsia" w:cs="宋体"/>
          <w:b/>
          <w:bCs/>
          <w:color w:val="auto"/>
          <w:sz w:val="21"/>
          <w:szCs w:val="21"/>
          <w:highlight w:val="none"/>
          <w:u w:val="single"/>
          <w:lang w:eastAsia="zh-CN"/>
        </w:rPr>
        <w:t>（</w:t>
      </w:r>
      <w:r>
        <w:rPr>
          <w:rFonts w:hint="eastAsia" w:cs="宋体"/>
          <w:b/>
          <w:bCs/>
          <w:color w:val="auto"/>
          <w:sz w:val="21"/>
          <w:szCs w:val="21"/>
          <w:highlight w:val="none"/>
          <w:u w:val="single"/>
          <w:lang w:val="en-US" w:eastAsia="zh-CN"/>
        </w:rPr>
        <w:t>需定位明确具体管道位置和深度</w:t>
      </w:r>
      <w:r>
        <w:rPr>
          <w:rFonts w:hint="eastAsia" w:cs="宋体"/>
          <w:b/>
          <w:bCs/>
          <w:color w:val="auto"/>
          <w:sz w:val="21"/>
          <w:szCs w:val="21"/>
          <w:highlight w:val="none"/>
          <w:u w:val="single"/>
          <w:lang w:eastAsia="zh-CN"/>
        </w:rPr>
        <w:t>）</w:t>
      </w:r>
      <w:r>
        <w:rPr>
          <w:rFonts w:hint="eastAsia" w:cs="宋体"/>
          <w:color w:val="auto"/>
          <w:sz w:val="21"/>
          <w:szCs w:val="21"/>
          <w:highlight w:val="none"/>
        </w:rPr>
        <w:t>。</w:t>
      </w:r>
    </w:p>
    <w:p w14:paraId="7C77A2F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承包人需要提交的竣工资料套数：</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纸质材料2套、电子资料1套</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D4861E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承包人提交的竣工资料的费用承担：</w:t>
      </w:r>
      <w:r>
        <w:rPr>
          <w:rFonts w:hint="eastAsia" w:cs="宋体"/>
          <w:color w:val="auto"/>
          <w:sz w:val="21"/>
          <w:szCs w:val="21"/>
          <w:highlight w:val="none"/>
          <w:u w:val="single"/>
        </w:rPr>
        <w:t>承包人承担</w:t>
      </w:r>
      <w:r>
        <w:rPr>
          <w:rFonts w:hint="eastAsia" w:cs="宋体"/>
          <w:color w:val="auto"/>
          <w:sz w:val="21"/>
          <w:szCs w:val="21"/>
          <w:highlight w:val="none"/>
        </w:rPr>
        <w:t>。</w:t>
      </w:r>
    </w:p>
    <w:p w14:paraId="20C42C7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工程竣工验收合格后</w:t>
      </w:r>
      <w:r>
        <w:rPr>
          <w:rFonts w:hint="eastAsia"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个</w:t>
      </w:r>
      <w:r>
        <w:rPr>
          <w:rFonts w:hint="eastAsia" w:cs="宋体"/>
          <w:color w:val="auto"/>
          <w:sz w:val="21"/>
          <w:szCs w:val="21"/>
          <w:highlight w:val="none"/>
          <w:u w:val="single"/>
          <w:lang w:val="en-US" w:eastAsia="zh-CN"/>
        </w:rPr>
        <w:t>工作日内</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74CDF1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承包人提交的竣工资料形式要求：</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纸质材料和电子资料</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1B6A63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（10）承包人应履行的其他义务：</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接受发包人的要求</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001060D">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3.2 项目经理</w:t>
      </w:r>
    </w:p>
    <w:p w14:paraId="2C0F3E8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3.2.1 项目经理：</w:t>
      </w:r>
    </w:p>
    <w:p w14:paraId="401316A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02F555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身份证号：</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988BEB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建造师执业资格等级：</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0FC118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建造师注册证书号：</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874832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建造师执业印章号：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052686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安全生产考核合格证书号：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2D75C0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53B5A7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C0A23E2">
      <w:pPr>
        <w:pageBreakBefore w:val="0"/>
        <w:kinsoku/>
        <w:wordWrap/>
        <w:topLinePunct w:val="0"/>
        <w:bidi w:val="0"/>
        <w:adjustRightInd w:val="0"/>
        <w:snapToGrid w:val="0"/>
        <w:spacing w:beforeAutospacing="0" w:line="520" w:lineRule="exact"/>
        <w:ind w:firstLine="420" w:firstLineChars="200"/>
        <w:rPr>
          <w:rFonts w:hint="eastAsia"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E5E2FA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按承包人书面授权书约定</w:t>
      </w:r>
      <w:r>
        <w:rPr>
          <w:rFonts w:hint="eastAsia" w:cs="宋体"/>
          <w:color w:val="auto"/>
          <w:sz w:val="21"/>
          <w:szCs w:val="21"/>
          <w:highlight w:val="none"/>
        </w:rPr>
        <w:t>。</w:t>
      </w:r>
    </w:p>
    <w:p w14:paraId="039B97F8">
      <w:pPr>
        <w:pageBreakBefore w:val="0"/>
        <w:kinsoku/>
        <w:wordWrap/>
        <w:topLinePunct w:val="0"/>
        <w:bidi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关于项目经理每月在施工现场的时间要求：</w:t>
      </w:r>
      <w:r>
        <w:rPr>
          <w:rFonts w:hint="eastAsia" w:cs="宋体"/>
          <w:color w:val="auto"/>
          <w:sz w:val="21"/>
          <w:szCs w:val="21"/>
          <w:highlight w:val="none"/>
          <w:u w:val="single"/>
          <w:lang w:val="en-US" w:eastAsia="zh-CN"/>
        </w:rPr>
        <w:t>不得更换项目经理，驻场时间每月不少于24天，项目经理驻场累计时间不得低于实际工期的80%，不得无故脱离施工现场，缺少一天按2000元/天从工程结算价抵扣；无故不参加采购人召开的例会、连续缺勤3天、累计缺勤5天或在施工关键技术环节缺勤的，采购人终止合同并对已完工程不予以计量计价，视为成交人违约并承担一切损失和赔偿</w:t>
      </w:r>
      <w:r>
        <w:rPr>
          <w:rFonts w:hint="eastAsia" w:cs="宋体"/>
          <w:color w:val="auto"/>
          <w:sz w:val="21"/>
          <w:szCs w:val="21"/>
          <w:highlight w:val="none"/>
          <w:u w:val="single"/>
        </w:rPr>
        <w:t>。</w:t>
      </w:r>
      <w:r>
        <w:rPr>
          <w:rFonts w:hint="eastAsia" w:ascii="宋体" w:hAnsi="宋体" w:eastAsia="宋体" w:cs="宋体"/>
          <w:color w:val="auto"/>
          <w:kern w:val="0"/>
          <w:sz w:val="21"/>
          <w:szCs w:val="21"/>
          <w:highlight w:val="none"/>
          <w:u w:val="single"/>
        </w:rPr>
        <w:t>项目经理必须自行解决好与发包人项目现有施工单位的沟通、协调问题。承包人必须配备专职质量员，不得由项目经理、现场负责人、技术负责人等兼任。</w:t>
      </w:r>
    </w:p>
    <w:p w14:paraId="684DC05C">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cs="宋体"/>
          <w:color w:val="auto"/>
          <w:sz w:val="21"/>
          <w:szCs w:val="21"/>
          <w:highlight w:val="none"/>
        </w:rPr>
        <w:t>承包人未提交劳动合同，以及没有为项目经理缴纳社会保险证明的违约责任：</w:t>
      </w:r>
      <w:r>
        <w:rPr>
          <w:rFonts w:hint="eastAsia" w:ascii="宋体" w:hAnsi="宋体" w:eastAsia="宋体" w:cs="宋体"/>
          <w:color w:val="auto"/>
          <w:kern w:val="0"/>
          <w:sz w:val="21"/>
          <w:szCs w:val="21"/>
          <w:highlight w:val="none"/>
          <w:u w:val="single"/>
        </w:rPr>
        <w:t>承包人未按要求递交项目经理劳动合同及提供社保证明，视同为允许他人以承包人名义承揽工程。发包人将依法上报有关部门追究承包人法律责任，发包人有权处以承包人违约金5万元。承包人需一次性向发包人现金转账支付违约金，否则发包人有权在进度款支付中扣除。</w:t>
      </w:r>
    </w:p>
    <w:p w14:paraId="0988137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项目经理未经批准，擅自离开施工现场的违约责任：</w:t>
      </w:r>
      <w:r>
        <w:rPr>
          <w:rFonts w:hint="eastAsia" w:cs="宋体"/>
          <w:color w:val="auto"/>
          <w:sz w:val="21"/>
          <w:szCs w:val="21"/>
          <w:highlight w:val="none"/>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465A8B6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3.2.3 承包人擅自更换项目经理的违约责任：</w:t>
      </w:r>
    </w:p>
    <w:p w14:paraId="595ECB6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同时</w:t>
      </w:r>
      <w:r>
        <w:rPr>
          <w:rFonts w:hint="eastAsia" w:ascii="宋体" w:hAnsi="宋体" w:eastAsia="宋体" w:cs="宋体"/>
          <w:color w:val="auto"/>
          <w:sz w:val="21"/>
          <w:szCs w:val="21"/>
          <w:highlight w:val="none"/>
          <w:u w:val="single"/>
        </w:rPr>
        <w:t>承包人应向发包人支付人民币</w:t>
      </w:r>
      <w:r>
        <w:rPr>
          <w:rFonts w:hint="eastAsia"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万元整的违约金</w:t>
      </w:r>
      <w:r>
        <w:rPr>
          <w:rFonts w:hint="eastAsia" w:cs="宋体"/>
          <w:color w:val="auto"/>
          <w:sz w:val="21"/>
          <w:szCs w:val="21"/>
          <w:highlight w:val="none"/>
          <w:u w:val="single"/>
        </w:rPr>
        <w:t>。</w:t>
      </w:r>
    </w:p>
    <w:p w14:paraId="527E3905">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当发包人认为项目经理不能满足工程要求时，书面告知承包人后，承包人应当在</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个工作日内更换项目经理，并支付5万元的违约金。若未按要求及时更换项目经理，发包人有权处以承包人违约金10万元。承包人需一次性向发包人现金转账支付违约金，否则发包人有权在</w:t>
      </w:r>
      <w:r>
        <w:rPr>
          <w:rFonts w:hint="eastAsia" w:cs="宋体"/>
          <w:color w:val="auto"/>
          <w:sz w:val="21"/>
          <w:szCs w:val="21"/>
          <w:highlight w:val="none"/>
          <w:u w:val="single"/>
          <w:lang w:val="en-US" w:eastAsia="zh-CN"/>
        </w:rPr>
        <w:t>结算款</w:t>
      </w:r>
      <w:r>
        <w:rPr>
          <w:rFonts w:hint="eastAsia" w:ascii="宋体" w:hAnsi="宋体" w:eastAsia="宋体" w:cs="宋体"/>
          <w:color w:val="auto"/>
          <w:sz w:val="21"/>
          <w:szCs w:val="21"/>
          <w:highlight w:val="none"/>
          <w:u w:val="single"/>
        </w:rPr>
        <w:t>中扣除。如承包人拒不更换项目经理，发包人有权要求承包人退场并解除合同。更换后的项目经理资质、业绩经验不得低于变更前项目负责人资质、业绩经验。且由此增加的费用和（或）延误的工期由承包人承担。</w:t>
      </w:r>
    </w:p>
    <w:p w14:paraId="6E8A1157">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3.3 承包人人员</w:t>
      </w:r>
    </w:p>
    <w:p w14:paraId="12C6277C">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承包人应在合同签订后7日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35C6AB6">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发包人可以要求承包人更换其认为不称职或不符合要求的项目主要施工管理人员，承包人应予以执行。承包人必须在收到发包人更换项目施工管理人员书面通知的7天内负责更换，更换的项目施工管理人员应得到发包人的书面确认。承包人无正当理由拒绝更换项目施工管理人员的，自承包人接到发包人更换项目施工管理人员通知之第8日起，承包人向发包人支付违约金</w:t>
      </w:r>
      <w:r>
        <w:rPr>
          <w:rFonts w:hint="eastAsia"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000元/天，直至更换符合发包人要求的项目施工管理人员为止，由此增加的费用和（或）延误的工期及其它责任由承包人承担</w:t>
      </w:r>
      <w:r>
        <w:rPr>
          <w:rFonts w:hint="eastAsia" w:ascii="宋体" w:hAnsi="宋体" w:eastAsia="宋体" w:cs="宋体"/>
          <w:color w:val="auto"/>
          <w:sz w:val="21"/>
          <w:szCs w:val="21"/>
          <w:highlight w:val="none"/>
        </w:rPr>
        <w:t>。</w:t>
      </w:r>
    </w:p>
    <w:p w14:paraId="6857C632">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需离开时必须事先征得发包人和监理人同意后方可离开。</w:t>
      </w:r>
    </w:p>
    <w:p w14:paraId="1F63866D">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如果没有得到发包人和监理工程师的事先同意，承包人不得更改项目施工管理人员（不含项目经理和技术负责人），否则将视为承包人违约，承包人应向发包人支付人民币1万元</w:t>
      </w:r>
      <w:r>
        <w:rPr>
          <w:rFonts w:hint="eastAsia" w:cs="宋体"/>
          <w:color w:val="auto"/>
          <w:sz w:val="21"/>
          <w:szCs w:val="21"/>
          <w:highlight w:val="none"/>
          <w:u w:val="single"/>
          <w:lang w:val="en-US" w:eastAsia="zh-CN"/>
        </w:rPr>
        <w:t>/人·次</w:t>
      </w:r>
      <w:r>
        <w:rPr>
          <w:rFonts w:hint="eastAsia" w:ascii="宋体" w:hAnsi="宋体" w:eastAsia="宋体" w:cs="宋体"/>
          <w:color w:val="auto"/>
          <w:sz w:val="21"/>
          <w:szCs w:val="21"/>
          <w:highlight w:val="none"/>
          <w:u w:val="single"/>
        </w:rPr>
        <w:t>的违约金。</w:t>
      </w:r>
    </w:p>
    <w:p w14:paraId="590A1A11">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w:t>
      </w:r>
      <w:bookmarkStart w:id="94" w:name="_Toc312677988"/>
      <w:bookmarkStart w:id="95" w:name="_Toc296891199"/>
      <w:bookmarkStart w:id="96" w:name="_Toc303539102"/>
      <w:bookmarkStart w:id="97" w:name="_Toc296890987"/>
      <w:bookmarkStart w:id="98" w:name="_Toc296346660"/>
      <w:bookmarkStart w:id="99" w:name="_Toc304295523"/>
      <w:bookmarkStart w:id="100" w:name="_Toc297216151"/>
      <w:bookmarkStart w:id="101" w:name="_Toc300934945"/>
      <w:bookmarkStart w:id="102" w:name="_Toc296944498"/>
      <w:bookmarkStart w:id="103" w:name="_Toc297120459"/>
      <w:bookmarkStart w:id="104" w:name="_Toc296347158"/>
      <w:bookmarkStart w:id="105" w:name="_Toc296503159"/>
      <w:bookmarkStart w:id="106" w:name="_Toc292559364"/>
      <w:bookmarkStart w:id="107" w:name="_Toc292559869"/>
      <w:bookmarkStart w:id="108" w:name="_Toc297123492"/>
      <w:bookmarkStart w:id="109" w:name="_Toc297048345"/>
      <w:r>
        <w:rPr>
          <w:rFonts w:hint="eastAsia" w:cs="宋体"/>
          <w:bCs/>
          <w:color w:val="auto"/>
          <w:sz w:val="21"/>
          <w:szCs w:val="21"/>
          <w:highlight w:val="none"/>
        </w:rPr>
        <w:t>.5 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374CAFF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w:t>
      </w:r>
      <w:bookmarkStart w:id="110" w:name="_Toc296890988"/>
      <w:bookmarkStart w:id="111" w:name="_Toc296503160"/>
      <w:bookmarkStart w:id="112" w:name="_Toc296891200"/>
      <w:bookmarkStart w:id="113" w:name="_Toc297120460"/>
      <w:bookmarkStart w:id="114" w:name="_Toc303539103"/>
      <w:bookmarkStart w:id="115" w:name="_Toc297216152"/>
      <w:bookmarkStart w:id="116" w:name="_Toc297048346"/>
      <w:bookmarkStart w:id="117" w:name="_Toc304295524"/>
      <w:bookmarkStart w:id="118" w:name="_Toc296347159"/>
      <w:bookmarkStart w:id="119" w:name="_Toc300934946"/>
      <w:bookmarkStart w:id="120" w:name="_Toc297123493"/>
      <w:bookmarkStart w:id="121" w:name="_Toc296944499"/>
      <w:bookmarkStart w:id="122" w:name="_Toc296346661"/>
      <w:bookmarkStart w:id="123" w:name="_Toc292559365"/>
      <w:bookmarkStart w:id="124" w:name="_Toc292559870"/>
      <w:bookmarkStart w:id="125" w:name="_Toc312677989"/>
      <w:bookmarkStart w:id="126" w:name="_Toc318581158"/>
      <w:r>
        <w:rPr>
          <w:rFonts w:hint="eastAsia" w:cs="宋体"/>
          <w:color w:val="auto"/>
          <w:sz w:val="21"/>
          <w:szCs w:val="21"/>
          <w:highlight w:val="none"/>
        </w:rPr>
        <w:t>.5.1 分包的一般约定</w:t>
      </w:r>
    </w:p>
    <w:p w14:paraId="5A2A37D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禁止分包的工程包括：</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禁止分包</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F17D80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主体结构、关键性工作的范围：</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7123494"/>
      <w:bookmarkStart w:id="128" w:name="_Toc303539104"/>
      <w:bookmarkStart w:id="129" w:name="_Toc296891201"/>
      <w:bookmarkStart w:id="130" w:name="_Toc297120461"/>
      <w:bookmarkStart w:id="131" w:name="_Toc300934947"/>
      <w:bookmarkStart w:id="132" w:name="_Toc304295525"/>
      <w:bookmarkStart w:id="133" w:name="_Toc297048347"/>
      <w:bookmarkStart w:id="134" w:name="_Toc297216153"/>
      <w:bookmarkStart w:id="135" w:name="_Toc296890989"/>
      <w:bookmarkStart w:id="136" w:name="_Toc296346662"/>
      <w:bookmarkStart w:id="137" w:name="_Toc296347160"/>
      <w:bookmarkStart w:id="138" w:name="_Toc296503161"/>
      <w:bookmarkStart w:id="139" w:name="_Toc296944500"/>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216638B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w:t>
      </w:r>
      <w:bookmarkStart w:id="140" w:name="_Toc312677990"/>
      <w:bookmarkStart w:id="141" w:name="_Toc318581159"/>
      <w:r>
        <w:rPr>
          <w:rFonts w:hint="eastAsia" w:cs="宋体"/>
          <w:color w:val="auto"/>
          <w:sz w:val="21"/>
          <w:szCs w:val="21"/>
          <w:highlight w:val="none"/>
        </w:rPr>
        <w:t>.5.2 分包的确定</w:t>
      </w:r>
    </w:p>
    <w:p w14:paraId="6A85B24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允许分包的专业工程包括：</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653143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其他关于分包的约定：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B06304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3.5.4 分包合同价款</w:t>
      </w:r>
    </w:p>
    <w:p w14:paraId="09C3D936">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bookmarkEnd w:id="140"/>
    <w:bookmarkEnd w:id="141"/>
    <w:p w14:paraId="7414D957">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3.6 工程照管与成品、半成品保护</w:t>
      </w:r>
    </w:p>
    <w:p w14:paraId="525D41D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承包人负责照管工程及工程相关的材料、工程设备的起始时间：</w:t>
      </w:r>
      <w:r>
        <w:rPr>
          <w:rFonts w:hint="eastAsia" w:cs="宋体"/>
          <w:color w:val="auto"/>
          <w:sz w:val="21"/>
          <w:szCs w:val="21"/>
          <w:highlight w:val="none"/>
          <w:u w:val="single"/>
        </w:rPr>
        <w:t>自发包人向承包人移交施工现场之日起，承包人应负责照管工程及工程相关的材料、工程设备，直到颁发工程接收证书之日止。</w:t>
      </w:r>
    </w:p>
    <w:p w14:paraId="3D3F7615">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3.7 履约保证金</w:t>
      </w:r>
    </w:p>
    <w:p w14:paraId="25E94BE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承包人是否提供履约保证金：</w:t>
      </w:r>
      <w:r>
        <w:rPr>
          <w:rFonts w:hint="eastAsia" w:ascii="宋体" w:hAnsi="宋体" w:eastAsia="宋体" w:cs="宋体"/>
          <w:color w:val="auto"/>
          <w:sz w:val="21"/>
          <w:szCs w:val="21"/>
          <w:highlight w:val="none"/>
          <w:u w:val="single"/>
        </w:rPr>
        <w:t>提供</w:t>
      </w:r>
      <w:r>
        <w:rPr>
          <w:rFonts w:hint="eastAsia" w:cs="宋体"/>
          <w:color w:val="auto"/>
          <w:sz w:val="21"/>
          <w:szCs w:val="21"/>
          <w:highlight w:val="none"/>
        </w:rPr>
        <w:t>。</w:t>
      </w:r>
    </w:p>
    <w:p w14:paraId="6E7F8AFA">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承包人提供履约保证金的形式：</w:t>
      </w:r>
      <w:r>
        <w:rPr>
          <w:rFonts w:hint="eastAsia" w:cs="宋体"/>
          <w:color w:val="auto"/>
          <w:sz w:val="21"/>
          <w:szCs w:val="21"/>
          <w:highlight w:val="none"/>
          <w:u w:val="single"/>
          <w:lang w:val="en-US" w:eastAsia="zh-CN"/>
        </w:rPr>
        <w:t>支持</w:t>
      </w:r>
      <w:r>
        <w:rPr>
          <w:rFonts w:hint="eastAsia" w:cs="宋体"/>
          <w:color w:val="auto"/>
          <w:sz w:val="21"/>
          <w:szCs w:val="21"/>
          <w:highlight w:val="none"/>
          <w:u w:val="single"/>
        </w:rPr>
        <w:t xml:space="preserve">转账/电汇 </w:t>
      </w:r>
      <w:r>
        <w:rPr>
          <w:rFonts w:hint="eastAsia" w:cs="宋体"/>
          <w:color w:val="auto"/>
          <w:sz w:val="21"/>
          <w:szCs w:val="21"/>
          <w:highlight w:val="none"/>
          <w:u w:val="single"/>
          <w:lang w:eastAsia="zh-CN"/>
        </w:rPr>
        <w:t>、</w:t>
      </w:r>
      <w:r>
        <w:rPr>
          <w:rFonts w:hint="eastAsia" w:cs="宋体"/>
          <w:color w:val="auto"/>
          <w:sz w:val="21"/>
          <w:szCs w:val="21"/>
          <w:highlight w:val="none"/>
          <w:u w:val="single"/>
        </w:rPr>
        <w:t xml:space="preserve">支票 </w:t>
      </w:r>
      <w:r>
        <w:rPr>
          <w:rFonts w:hint="eastAsia" w:cs="宋体"/>
          <w:color w:val="auto"/>
          <w:sz w:val="21"/>
          <w:szCs w:val="21"/>
          <w:highlight w:val="none"/>
          <w:u w:val="single"/>
          <w:lang w:eastAsia="zh-CN"/>
        </w:rPr>
        <w:t>、</w:t>
      </w:r>
      <w:r>
        <w:rPr>
          <w:rFonts w:hint="eastAsia" w:cs="宋体"/>
          <w:color w:val="auto"/>
          <w:sz w:val="21"/>
          <w:szCs w:val="21"/>
          <w:highlight w:val="none"/>
          <w:u w:val="single"/>
        </w:rPr>
        <w:t xml:space="preserve">汇票 </w:t>
      </w:r>
      <w:r>
        <w:rPr>
          <w:rFonts w:hint="eastAsia" w:cs="宋体"/>
          <w:color w:val="auto"/>
          <w:sz w:val="21"/>
          <w:szCs w:val="21"/>
          <w:highlight w:val="none"/>
          <w:u w:val="single"/>
          <w:lang w:eastAsia="zh-CN"/>
        </w:rPr>
        <w:t>、</w:t>
      </w:r>
      <w:r>
        <w:rPr>
          <w:rFonts w:hint="eastAsia" w:cs="宋体"/>
          <w:color w:val="auto"/>
          <w:sz w:val="21"/>
          <w:szCs w:val="21"/>
          <w:highlight w:val="none"/>
          <w:u w:val="single"/>
        </w:rPr>
        <w:t xml:space="preserve">本票 </w:t>
      </w:r>
      <w:r>
        <w:rPr>
          <w:rFonts w:hint="eastAsia" w:cs="宋体"/>
          <w:color w:val="auto"/>
          <w:sz w:val="21"/>
          <w:szCs w:val="21"/>
          <w:highlight w:val="none"/>
          <w:u w:val="single"/>
          <w:lang w:eastAsia="zh-CN"/>
        </w:rPr>
        <w:t>、</w:t>
      </w:r>
      <w:r>
        <w:rPr>
          <w:rFonts w:hint="eastAsia" w:cs="宋体"/>
          <w:color w:val="auto"/>
          <w:sz w:val="21"/>
          <w:szCs w:val="21"/>
          <w:highlight w:val="none"/>
          <w:u w:val="single"/>
        </w:rPr>
        <w:t xml:space="preserve">保险 </w:t>
      </w:r>
      <w:r>
        <w:rPr>
          <w:rFonts w:hint="eastAsia" w:cs="宋体"/>
          <w:color w:val="auto"/>
          <w:sz w:val="21"/>
          <w:szCs w:val="21"/>
          <w:highlight w:val="none"/>
          <w:u w:val="single"/>
          <w:lang w:eastAsia="zh-CN"/>
        </w:rPr>
        <w:t>、</w:t>
      </w:r>
      <w:r>
        <w:rPr>
          <w:rFonts w:hint="eastAsia" w:cs="宋体"/>
          <w:color w:val="auto"/>
          <w:sz w:val="21"/>
          <w:szCs w:val="21"/>
          <w:highlight w:val="none"/>
          <w:u w:val="single"/>
        </w:rPr>
        <w:t>保函。</w:t>
      </w:r>
    </w:p>
    <w:p w14:paraId="7ACD5C0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履约保证金的金额：</w:t>
      </w:r>
      <w:r>
        <w:rPr>
          <w:rFonts w:hint="eastAsia" w:ascii="宋体" w:hAnsi="宋体" w:eastAsia="宋体" w:cs="宋体"/>
          <w:color w:val="auto"/>
          <w:sz w:val="21"/>
          <w:szCs w:val="21"/>
          <w:highlight w:val="none"/>
          <w:u w:val="single"/>
        </w:rPr>
        <w:t>中标合同金额×2.5％</w:t>
      </w:r>
      <w:r>
        <w:rPr>
          <w:rFonts w:hint="eastAsia" w:cs="宋体"/>
          <w:color w:val="auto"/>
          <w:sz w:val="21"/>
          <w:szCs w:val="21"/>
          <w:highlight w:val="none"/>
        </w:rPr>
        <w:t>。</w:t>
      </w:r>
    </w:p>
    <w:p w14:paraId="6B0C590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履约保证金提交期限的要求：</w:t>
      </w:r>
      <w:r>
        <w:rPr>
          <w:rFonts w:hint="eastAsia" w:cs="宋体"/>
          <w:color w:val="auto"/>
          <w:sz w:val="21"/>
          <w:szCs w:val="21"/>
          <w:highlight w:val="none"/>
          <w:u w:val="single"/>
        </w:rPr>
        <w:t>见《专用合同条款数据表》。</w:t>
      </w:r>
    </w:p>
    <w:p w14:paraId="7F68F749">
      <w:pPr>
        <w:pageBreakBefore w:val="0"/>
        <w:kinsoku/>
        <w:wordWrap/>
        <w:topLinePunct w:val="0"/>
        <w:bidi w:val="0"/>
        <w:adjustRightInd w:val="0"/>
        <w:snapToGrid w:val="0"/>
        <w:spacing w:beforeAutospacing="0" w:line="520" w:lineRule="exact"/>
        <w:ind w:firstLine="420" w:firstLineChars="200"/>
        <w:rPr>
          <w:rFonts w:hint="eastAsia" w:cs="宋体"/>
          <w:color w:val="auto"/>
          <w:sz w:val="21"/>
          <w:szCs w:val="21"/>
          <w:highlight w:val="none"/>
          <w:u w:val="single"/>
        </w:rPr>
      </w:pPr>
      <w:r>
        <w:rPr>
          <w:rFonts w:hint="eastAsia" w:cs="宋体"/>
          <w:bCs/>
          <w:snapToGrid w:val="0"/>
          <w:color w:val="auto"/>
          <w:sz w:val="21"/>
          <w:szCs w:val="21"/>
          <w:highlight w:val="none"/>
        </w:rPr>
        <w:t>履约保证金退还时限：</w:t>
      </w:r>
      <w:r>
        <w:rPr>
          <w:rFonts w:hint="eastAsia" w:cs="宋体"/>
          <w:color w:val="auto"/>
          <w:sz w:val="21"/>
          <w:szCs w:val="21"/>
          <w:highlight w:val="none"/>
          <w:u w:val="single"/>
        </w:rPr>
        <w:t>见《专用合同条款数据表》。</w:t>
      </w:r>
    </w:p>
    <w:p w14:paraId="5E695B09">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142" w:name="_Toc351203636"/>
      <w:r>
        <w:rPr>
          <w:rFonts w:hint="eastAsia" w:cs="宋体"/>
          <w:color w:val="auto"/>
          <w:sz w:val="21"/>
          <w:szCs w:val="21"/>
          <w:highlight w:val="none"/>
        </w:rPr>
        <w:t>4</w:t>
      </w:r>
      <w:bookmarkStart w:id="143" w:name="_Toc292559871"/>
      <w:bookmarkStart w:id="144" w:name="_Toc267251413"/>
      <w:bookmarkStart w:id="145" w:name="_Toc296944501"/>
      <w:bookmarkStart w:id="146" w:name="_Toc296347161"/>
      <w:bookmarkStart w:id="147" w:name="_Toc296890990"/>
      <w:bookmarkStart w:id="148" w:name="_Toc297048348"/>
      <w:bookmarkStart w:id="149" w:name="_Toc297120462"/>
      <w:bookmarkStart w:id="150" w:name="_Toc296891202"/>
      <w:bookmarkStart w:id="151" w:name="_Toc292559366"/>
      <w:bookmarkStart w:id="152" w:name="_Toc296503162"/>
      <w:bookmarkStart w:id="153" w:name="_Toc296346663"/>
      <w:r>
        <w:rPr>
          <w:rFonts w:hint="eastAsia" w:cs="宋体"/>
          <w:color w:val="auto"/>
          <w:sz w:val="21"/>
          <w:szCs w:val="21"/>
          <w:highlight w:val="none"/>
        </w:rPr>
        <w:t>. 监</w:t>
      </w:r>
      <w:bookmarkEnd w:id="143"/>
      <w:bookmarkEnd w:id="144"/>
      <w:bookmarkEnd w:id="145"/>
      <w:bookmarkEnd w:id="146"/>
      <w:bookmarkEnd w:id="147"/>
      <w:bookmarkEnd w:id="148"/>
      <w:bookmarkEnd w:id="149"/>
      <w:bookmarkEnd w:id="150"/>
      <w:bookmarkEnd w:id="151"/>
      <w:bookmarkEnd w:id="152"/>
      <w:bookmarkEnd w:id="153"/>
      <w:r>
        <w:rPr>
          <w:rFonts w:hint="eastAsia" w:cs="宋体"/>
          <w:color w:val="auto"/>
          <w:sz w:val="21"/>
          <w:szCs w:val="21"/>
          <w:highlight w:val="none"/>
        </w:rPr>
        <w:t>理人</w:t>
      </w:r>
      <w:bookmarkEnd w:id="142"/>
    </w:p>
    <w:p w14:paraId="5B05477E">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4.1 监理人的一般规定</w:t>
      </w:r>
    </w:p>
    <w:p w14:paraId="6932035E">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关于监理人的监理内容：</w:t>
      </w:r>
      <w:r>
        <w:rPr>
          <w:rFonts w:hint="eastAsia" w:ascii="宋体" w:hAnsi="宋体" w:eastAsia="宋体" w:cs="宋体"/>
          <w:color w:val="auto"/>
          <w:sz w:val="21"/>
          <w:szCs w:val="21"/>
          <w:highlight w:val="none"/>
          <w:u w:val="single"/>
        </w:rPr>
        <w:t>详见监理合同</w:t>
      </w:r>
      <w:r>
        <w:rPr>
          <w:rFonts w:hint="eastAsia" w:cs="宋体"/>
          <w:color w:val="auto"/>
          <w:sz w:val="21"/>
          <w:szCs w:val="21"/>
          <w:highlight w:val="none"/>
        </w:rPr>
        <w:t>。</w:t>
      </w:r>
    </w:p>
    <w:p w14:paraId="104E4E54">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关于监理人的监理权限：</w:t>
      </w:r>
      <w:r>
        <w:rPr>
          <w:rFonts w:hint="eastAsia" w:ascii="宋体" w:hAnsi="宋体" w:eastAsia="宋体" w:cs="宋体"/>
          <w:color w:val="auto"/>
          <w:sz w:val="21"/>
          <w:szCs w:val="21"/>
          <w:highlight w:val="none"/>
          <w:u w:val="single"/>
        </w:rPr>
        <w:t>工程质量的监督权；工程上使用的材料和施工质量检验权、确认权；工程施工进度、安全的检查、监督权；工程款支付的审核权；向承包人提出施工组织设计和技术方案的建议权；发包人和承包人间的组织协调的主持权；撤换不合格的工程建设分包单位和注册建造师及有关人员的建议权；分包单位资质及能力的审查权及《建设工程监理规范》规定的法定职权等。</w:t>
      </w:r>
    </w:p>
    <w:p w14:paraId="0D477381">
      <w:pPr>
        <w:pageBreakBefore w:val="0"/>
        <w:kinsoku/>
        <w:wordWrap/>
        <w:topLinePunct w:val="0"/>
        <w:bidi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承包人提供和承担，含在签约合同价之内，同时为跟踪审计人员在施工现场提供必要的办公场所、办公家具、办公设备等。</w:t>
      </w:r>
    </w:p>
    <w:p w14:paraId="0DDA1A6F">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4.2 监理人员</w:t>
      </w:r>
    </w:p>
    <w:p w14:paraId="0A0E1CA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总监理工程师：</w:t>
      </w:r>
    </w:p>
    <w:p w14:paraId="230A8CE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详见监理合同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061FE7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职    务：</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26EDE9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监理工程师执业资格证书号：</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CE5FA7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938274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D5ED18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AE6F90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关于监理人的其他约定：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2FB62D4">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4.4 商定或确定</w:t>
      </w:r>
    </w:p>
    <w:p w14:paraId="68CFF13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bookmarkStart w:id="154" w:name="_Toc267251418"/>
      <w:r>
        <w:rPr>
          <w:rFonts w:hint="eastAsia" w:cs="宋体"/>
          <w:color w:val="auto"/>
          <w:sz w:val="21"/>
          <w:szCs w:val="21"/>
          <w:highlight w:val="none"/>
        </w:rPr>
        <w:t>在发包人和承包人不能通过协商达成一致意见时，发包人授权监理人对以下事项进行确定：</w:t>
      </w:r>
    </w:p>
    <w:p w14:paraId="078F10C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施工方案</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460141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索赔事项等</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BB8615C">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155" w:name="_Toc351203637"/>
      <w:r>
        <w:rPr>
          <w:rFonts w:hint="eastAsia" w:cs="宋体"/>
          <w:color w:val="auto"/>
          <w:sz w:val="21"/>
          <w:szCs w:val="21"/>
          <w:highlight w:val="none"/>
        </w:rPr>
        <w:t>5</w:t>
      </w:r>
      <w:bookmarkEnd w:id="154"/>
      <w:bookmarkStart w:id="156" w:name="_Toc292559872"/>
      <w:bookmarkStart w:id="157" w:name="_Toc297048349"/>
      <w:bookmarkStart w:id="158" w:name="_Toc296944502"/>
      <w:bookmarkStart w:id="159" w:name="_Toc296347162"/>
      <w:bookmarkStart w:id="160" w:name="_Toc292559367"/>
      <w:bookmarkStart w:id="161" w:name="_Toc296891203"/>
      <w:bookmarkStart w:id="162" w:name="_Toc296503163"/>
      <w:bookmarkStart w:id="163" w:name="_Toc296890991"/>
      <w:bookmarkStart w:id="164" w:name="_Toc297120463"/>
      <w:bookmarkStart w:id="165" w:name="_Toc296346664"/>
      <w:r>
        <w:rPr>
          <w:rFonts w:hint="eastAsia" w:cs="宋体"/>
          <w:color w:val="auto"/>
          <w:sz w:val="21"/>
          <w:szCs w:val="21"/>
          <w:highlight w:val="none"/>
        </w:rPr>
        <w:t>. 工程质量</w:t>
      </w:r>
      <w:bookmarkEnd w:id="155"/>
    </w:p>
    <w:p w14:paraId="22CF0FF6">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5.1 质量要求</w:t>
      </w:r>
    </w:p>
    <w:p w14:paraId="2133F59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5</w:t>
      </w:r>
      <w:bookmarkStart w:id="166" w:name="_Toc300934949"/>
      <w:bookmarkStart w:id="167" w:name="_Toc297216155"/>
      <w:bookmarkStart w:id="168" w:name="_Toc312677997"/>
      <w:bookmarkStart w:id="169" w:name="_Toc297123496"/>
      <w:bookmarkStart w:id="170" w:name="_Toc303539106"/>
      <w:bookmarkStart w:id="171" w:name="_Toc304295527"/>
      <w:bookmarkStart w:id="172" w:name="_Toc318581164"/>
      <w:r>
        <w:rPr>
          <w:rFonts w:hint="eastAsia" w:cs="宋体"/>
          <w:color w:val="auto"/>
          <w:sz w:val="21"/>
          <w:szCs w:val="21"/>
          <w:highlight w:val="none"/>
        </w:rPr>
        <w:t>.1.1 特殊质量标准和要求：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A7F52E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关于工程奖项的约定：</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FB87598">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rPr>
      </w:pPr>
      <w:bookmarkStart w:id="173" w:name="_Toc351203638"/>
      <w:r>
        <w:rPr>
          <w:rFonts w:hint="eastAsia" w:cs="宋体"/>
          <w:color w:val="auto"/>
          <w:sz w:val="21"/>
          <w:szCs w:val="21"/>
          <w:highlight w:val="none"/>
        </w:rPr>
        <w:t>关于建造要求：</w:t>
      </w:r>
    </w:p>
    <w:p w14:paraId="77D2D873">
      <w:pPr>
        <w:pStyle w:val="14"/>
        <w:pageBreakBefore w:val="0"/>
        <w:kinsoku/>
        <w:wordWrap/>
        <w:topLinePunct w:val="0"/>
        <w:bidi w:val="0"/>
        <w:snapToGrid w:val="0"/>
        <w:spacing w:beforeAutospacing="0" w:line="520" w:lineRule="exact"/>
        <w:ind w:firstLine="480"/>
        <w:rPr>
          <w:rFonts w:hAnsi="宋体" w:cs="宋体"/>
          <w:color w:val="auto"/>
          <w:sz w:val="21"/>
          <w:szCs w:val="21"/>
          <w:highlight w:val="none"/>
        </w:rPr>
      </w:pPr>
      <w:r>
        <w:rPr>
          <w:rFonts w:hint="eastAsia" w:hAnsi="宋体" w:cs="宋体"/>
          <w:color w:val="auto"/>
          <w:sz w:val="21"/>
          <w:szCs w:val="21"/>
          <w:highlight w:val="none"/>
        </w:rPr>
        <w:t>（1）绿色建筑等级要求：</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3C799834">
      <w:pPr>
        <w:pStyle w:val="14"/>
        <w:pageBreakBefore w:val="0"/>
        <w:kinsoku/>
        <w:wordWrap/>
        <w:topLinePunct w:val="0"/>
        <w:bidi w:val="0"/>
        <w:snapToGrid w:val="0"/>
        <w:spacing w:beforeAutospacing="0" w:line="520" w:lineRule="exact"/>
        <w:ind w:firstLine="480"/>
        <w:rPr>
          <w:rFonts w:hAnsi="宋体" w:cs="宋体"/>
          <w:color w:val="auto"/>
          <w:sz w:val="21"/>
          <w:szCs w:val="21"/>
          <w:highlight w:val="none"/>
        </w:rPr>
      </w:pPr>
      <w:r>
        <w:rPr>
          <w:rFonts w:hint="eastAsia" w:hAnsi="宋体" w:cs="宋体"/>
          <w:color w:val="auto"/>
          <w:sz w:val="21"/>
          <w:szCs w:val="21"/>
          <w:highlight w:val="none"/>
        </w:rPr>
        <w:t>（2）智慧工地管理要求：</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1B122F6C">
      <w:pPr>
        <w:pStyle w:val="14"/>
        <w:pageBreakBefore w:val="0"/>
        <w:kinsoku/>
        <w:wordWrap/>
        <w:topLinePunct w:val="0"/>
        <w:bidi w:val="0"/>
        <w:snapToGrid w:val="0"/>
        <w:spacing w:beforeAutospacing="0" w:line="520" w:lineRule="exact"/>
        <w:ind w:firstLine="480"/>
        <w:rPr>
          <w:rFonts w:hAnsi="宋体" w:cs="宋体"/>
          <w:color w:val="auto"/>
          <w:sz w:val="21"/>
          <w:szCs w:val="21"/>
          <w:highlight w:val="none"/>
        </w:rPr>
      </w:pPr>
      <w:r>
        <w:rPr>
          <w:rFonts w:hint="eastAsia" w:hAnsi="宋体" w:cs="宋体"/>
          <w:color w:val="auto"/>
          <w:sz w:val="21"/>
          <w:szCs w:val="21"/>
          <w:highlight w:val="none"/>
        </w:rPr>
        <w:t>（3）建筑垃圾减量化目标：</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35537D97">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rPr>
      </w:pPr>
      <w:r>
        <w:rPr>
          <w:rFonts w:hint="eastAsia" w:cs="宋体"/>
          <w:color w:val="auto"/>
          <w:sz w:val="21"/>
          <w:szCs w:val="21"/>
          <w:highlight w:val="none"/>
        </w:rPr>
        <w:t>（4）装配式建筑装配率要求：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DF48CEC">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rPr>
      </w:pPr>
      <w:r>
        <w:rPr>
          <w:rFonts w:hint="eastAsia" w:cs="宋体"/>
          <w:color w:val="auto"/>
          <w:sz w:val="21"/>
          <w:szCs w:val="21"/>
          <w:highlight w:val="none"/>
        </w:rPr>
        <w:t>（5）</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541FC34">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5.3 隐蔽工程检查</w:t>
      </w:r>
    </w:p>
    <w:p w14:paraId="2AD97267">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隐蔽工程隐蔽前，承包人需自行自检，自检合格后通知发包人和监理单位验收，发包人及监理单位按设计图、规范、标准和施工组织设计或施工方案到现场进行验收，确认验收合格并办理签证后方可隐蔽。验收不合格，承包人在限定时间内整改后重新验收。</w:t>
      </w:r>
    </w:p>
    <w:p w14:paraId="18539D55">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5.3.2 承包人提前通知监理人隐蔽工程检查的期限的约定：</w:t>
      </w:r>
      <w:r>
        <w:rPr>
          <w:rFonts w:hint="eastAsia" w:ascii="宋体" w:hAnsi="宋体" w:eastAsia="宋体" w:cs="宋体"/>
          <w:color w:val="auto"/>
          <w:sz w:val="21"/>
          <w:szCs w:val="21"/>
          <w:highlight w:val="none"/>
          <w:u w:val="single"/>
        </w:rPr>
        <w:t>工程具备隐蔽条件或达到中间验收部位时，承包人自检合格后，在隐蔽和中间验收48小时前书面通知甲方代表和监理工程师参加。通知应包含承包人自检记录、隐蔽和中间验收的内容、时间和地点。承包人准备验收记录，验收合格，甲方代表及监理工程师在验收记录上签字后，方可进行隐蔽和继续施工。验收不合格，承包人在限定时间内重新验收。承包人不服从质量管理的，发包人有权解除本合同并责令承包人清退其出场，承包人给发包人造成损失的，还应并赔偿因此而造成的一切损失。</w:t>
      </w:r>
    </w:p>
    <w:p w14:paraId="5945071F">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092C7EB9">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004B45BB">
      <w:pPr>
        <w:pageBreakBefore w:val="0"/>
        <w:kinsoku/>
        <w:wordWrap/>
        <w:topLinePunct w:val="0"/>
        <w:bidi w:val="0"/>
        <w:snapToGrid w:val="0"/>
        <w:spacing w:beforeAutospacing="0" w:line="520" w:lineRule="exact"/>
        <w:outlineLvl w:val="2"/>
        <w:rPr>
          <w:rFonts w:cs="宋体"/>
          <w:color w:val="auto"/>
          <w:sz w:val="21"/>
          <w:szCs w:val="21"/>
          <w:highlight w:val="none"/>
        </w:rPr>
      </w:pPr>
      <w:r>
        <w:rPr>
          <w:rFonts w:hint="eastAsia" w:cs="宋体"/>
          <w:color w:val="auto"/>
          <w:sz w:val="21"/>
          <w:szCs w:val="21"/>
          <w:highlight w:val="none"/>
        </w:rPr>
        <w:t>6. 安全文明施工与环境保护</w:t>
      </w:r>
      <w:bookmarkEnd w:id="173"/>
    </w:p>
    <w:bookmarkEnd w:id="166"/>
    <w:bookmarkEnd w:id="167"/>
    <w:bookmarkEnd w:id="168"/>
    <w:bookmarkEnd w:id="169"/>
    <w:bookmarkEnd w:id="170"/>
    <w:bookmarkEnd w:id="171"/>
    <w:bookmarkEnd w:id="172"/>
    <w:p w14:paraId="408FB19D">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7B0214BE">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承包人应按《建筑施工企业安全生产管理机构设置及专职安全生产管理人员配备办法》（建质【2008】91 号）设置专职安全生产管理人员，并按照工程建设安全生产有关管理规定及技术标准和要求采取有效的安全措施，确保自身和第三人及周边环境的安全。达到安全生产无事故的目标。由于承包人安全措施不力造成事故的责任和因此发生的费用，由承包人承担 。 </w:t>
      </w:r>
    </w:p>
    <w:p w14:paraId="3EDF2608">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承包人在履行合同前应制订安全稳定事故应急处理预案并报发包人备案，在合同履行过程中如发生安全稳定事故（指造成人身伤害、财产损失或影响生产经营活动正常进行的一切意外事件或群体事件等），承包人应立即通知发包人并按事先制订的预案进行处理。 </w:t>
      </w:r>
    </w:p>
    <w:p w14:paraId="7E81D2DD">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遵守工程建设安全生产有关管理规定，严格按安全标准组织施工，并随时接受行业安全检查人员依法实施的监督检查，采取必要的安全防护措施，消除事故隐患。一旦发生任何事故，承包人应尽快向监理工程师和发包人报告事故的详情。此外，在发生任何死亡或重大事故时，承包人应立即用最快的可行方法通知监理工程师、发包人。承包人处理安全事故方案应事先征求发包人的意见。除非法律另有规定，未经发包人书面同意，承包人不得就所发生的安全事故向任何第三方予以披露。如安全生产事故系因承包人（包含其员工、代理人及其他一切关联方）的原因所引起的，则承包人应承担由此引起的一切法律责任及经济损失，发包人有权在承包人工程款中直接等额扣除相应损失金额，同时承包人还应按每个事故向发包人支付人民币3-50万元的违约金（具体金额由发包人按以下标准在相应幅度内确定后一并在工程款中予以扣除，事故被公司层面通报的为3－10万；事故被发包人职能部门通报的为10－20万；事故被市级职能部门通报的为20－30万；事故被市级以上职能部门通报的为40－50万）以作为给发包人带来不便和增加工作的补偿，这不包括有关当局由于上述事故而规定的任何罚金或采取措施的费用。如发包人因此产生对第三方赔偿、补偿等负担义务的，由承包人最终承担。</w:t>
      </w:r>
    </w:p>
    <w:p w14:paraId="529711F2">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如发生的安全生产事故导致人员伤亡或经济损失在10万元以上的，则发包人有权解除与承包人的合同，承包人应承担由此引起的一切法律责任及经济损失。 </w:t>
      </w:r>
    </w:p>
    <w:p w14:paraId="149E5323">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安全防护文明施工措施费已包含在合同价款中，承包人应自行承担该费用。</w:t>
      </w:r>
    </w:p>
    <w:p w14:paraId="08F0FF4E">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承包人应与当地公安部门协商，在现场建立治安管理机构或联防组织，统一管理施工场地的治安保卫事项，履行合同工程的治安保卫职责。承包人除应协助现场治安管理机构或联防组织维护施工场地的社会治安外，还应做好包括生活区在内的承包人管辖区的治安保卫工作 。 </w:t>
      </w:r>
    </w:p>
    <w:p w14:paraId="5DA63AEB">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承包人编制，监理人审核，其它按照通用合同条款约定执行。 </w:t>
      </w:r>
    </w:p>
    <w:p w14:paraId="309527F6">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43272CD9">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同当事人对文明施工的要求：（1）符合项目建设地文明施工要求；（2）承包人应按照《安徽省建筑施工安全质量标准化示范工地申报考核办法》的通知要求申报省级“安全质量标准化示范工地”，费用自理。（3）发生安全事故，承包人应按照有关规定立即上报有关部门并通知工程师，同时按照政府有关要求处理，由事故责任方承担发生的费用。发包人根据事故的分类对承包人进行处以违约，事故分类：《生产安全事故报告和调查处理条例》（国务院令第493号）中第三条指出根据生产安全事故（以下简称事故）造成的人员伤亡或者直接经济损失，事故一般分为以下等级：</w:t>
      </w:r>
    </w:p>
    <w:p w14:paraId="2F413EB3">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（一）特别重大事故，是指造成30人以上死亡，或者100人以上重伤（包括急性工业中毒，下同），或者1亿元以上直接经济损失的事故；</w:t>
      </w:r>
    </w:p>
    <w:p w14:paraId="27C86A4C">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（二）重大事故，是指造成10人以上30人以下死亡，或者50人以上100人以下重伤，或者5000万元以上1亿元以下直接经济损失的事故；</w:t>
      </w:r>
    </w:p>
    <w:p w14:paraId="6B29B584">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（三）较大事故，是指造成3人以上10人以下死亡，或者10人以上50人以下重伤，或者1000万元以上5000万元以下直接经济损失的事故；</w:t>
      </w:r>
    </w:p>
    <w:p w14:paraId="18585958">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（四）一般事故，是指造成3人以下死亡，或者10人以下重伤，或者1000万元以下直接经济损失的事故。</w:t>
      </w:r>
    </w:p>
    <w:p w14:paraId="1F695679">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（以上包括本数，以下不包括本数。）</w:t>
      </w:r>
    </w:p>
    <w:p w14:paraId="1752A431">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如国家颁布新标准规定，以新划分标准执行。</w:t>
      </w:r>
    </w:p>
    <w:p w14:paraId="05445B1E">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6.1.6 发生质量事故，承包人应按照有关规定立即上报有关部门并通知工程师，同时按照政府有关要求处理，由事故责任方承担发生的费用。发包人根据事故的分类对承包人进行处以违约： </w:t>
      </w:r>
    </w:p>
    <w:p w14:paraId="4F86759E">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1）特别重大质量事故，发包人对承包人处以 50 万元的人民币违约金； </w:t>
      </w:r>
    </w:p>
    <w:p w14:paraId="32E4C786">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2）重大质量事故，发包人对承包人处以 30 万元的人民币违约金； </w:t>
      </w:r>
    </w:p>
    <w:p w14:paraId="122144B9">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3）严重质量事故，发包人对承包人处以 20 万元的人民币违约金； </w:t>
      </w:r>
    </w:p>
    <w:p w14:paraId="666CA77F">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4）一般质量事故，发包人对承包人处以 10 万元的人民币违约金；并承担因施工质量事故给本工程建设单位、项目管理单位和监理人带来的经济损失。 </w:t>
      </w:r>
    </w:p>
    <w:p w14:paraId="205BE2F1">
      <w:pPr>
        <w:pStyle w:val="54"/>
        <w:pageBreakBefore w:val="0"/>
        <w:kinsoku/>
        <w:wordWrap/>
        <w:topLinePunct w:val="0"/>
        <w:bidi w:val="0"/>
        <w:spacing w:beforeAutospacing="0" w:after="0" w:line="520" w:lineRule="exact"/>
        <w:ind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质量事故等级标准划分，按国家相关规范执行。</w:t>
      </w:r>
    </w:p>
    <w:p w14:paraId="71E9E894">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6.1.7 发生安全事故，承包人应按照有关规定立即上报有关部门并通知工程师，同时按照政府有关要求处理，由事故责任方承担发生的费用。发包人根据事故的分类对承包人进行处以违约：</w:t>
      </w:r>
    </w:p>
    <w:p w14:paraId="48CE51AA">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1）特别重大事故，发包人对承包人处以50万元的人民币违约金；</w:t>
      </w:r>
    </w:p>
    <w:p w14:paraId="3F503226">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2）重大事故，发包人对承包人处以30万元的人民币违约金；</w:t>
      </w:r>
    </w:p>
    <w:p w14:paraId="79EC1E55">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3）较大事故，发包人对承包人处以20万元的人民币违约金；</w:t>
      </w:r>
    </w:p>
    <w:p w14:paraId="2809A159">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4）一般事故，发包人对承包人处以10万元的人民币违约金；并承担因施工安全事故给本工程建设单位、项目管理单位和监理人带来的经济损失。</w:t>
      </w:r>
    </w:p>
    <w:p w14:paraId="584D9F73">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6.1.8关于安全文明施工费支付比例和支付期限的约定：</w:t>
      </w:r>
      <w:r>
        <w:rPr>
          <w:rFonts w:hint="eastAsia" w:ascii="宋体" w:hAnsi="宋体" w:eastAsia="宋体" w:cs="宋体"/>
          <w:color w:val="auto"/>
          <w:sz w:val="21"/>
          <w:szCs w:val="21"/>
          <w:highlight w:val="none"/>
          <w:u w:val="single"/>
        </w:rPr>
        <w:t>与工程款同期同比例支付。施工单位须按滁州市相关规定及监理单位、建设单位、安监站要求做好现场安全文明措施</w:t>
      </w:r>
      <w:r>
        <w:rPr>
          <w:rFonts w:hint="eastAsia" w:ascii="宋体" w:hAnsi="宋体" w:eastAsia="宋体" w:cs="宋体"/>
          <w:color w:val="auto"/>
          <w:sz w:val="21"/>
          <w:szCs w:val="21"/>
          <w:highlight w:val="none"/>
        </w:rPr>
        <w:t>。</w:t>
      </w:r>
    </w:p>
    <w:p w14:paraId="4DEFC49F">
      <w:pPr>
        <w:pStyle w:val="6"/>
        <w:pageBreakBefore w:val="0"/>
        <w:kinsoku/>
        <w:wordWrap/>
        <w:topLinePunct w:val="0"/>
        <w:bidi w:val="0"/>
        <w:snapToGrid w:val="0"/>
        <w:spacing w:before="0" w:beforeAutospacing="0" w:after="0" w:line="520" w:lineRule="exact"/>
        <w:ind w:firstLine="420" w:firstLineChars="200"/>
        <w:rPr>
          <w:rFonts w:hint="eastAsia" w:ascii="宋体" w:hAnsi="宋体" w:eastAsia="宋体" w:cs="宋体"/>
          <w:b w:val="0"/>
          <w:color w:val="auto"/>
          <w:sz w:val="21"/>
          <w:szCs w:val="21"/>
          <w:highlight w:val="none"/>
        </w:rPr>
      </w:pPr>
      <w:bookmarkStart w:id="174" w:name="_Toc417623620"/>
      <w:bookmarkStart w:id="175" w:name="_Toc1377"/>
      <w:r>
        <w:rPr>
          <w:rFonts w:hint="eastAsia" w:ascii="宋体" w:hAnsi="宋体" w:eastAsia="宋体" w:cs="宋体"/>
          <w:b w:val="0"/>
          <w:color w:val="auto"/>
          <w:sz w:val="21"/>
          <w:szCs w:val="21"/>
          <w:highlight w:val="none"/>
        </w:rPr>
        <w:t>7. 工期和进度</w:t>
      </w:r>
      <w:bookmarkEnd w:id="174"/>
      <w:bookmarkEnd w:id="175"/>
    </w:p>
    <w:p w14:paraId="5DC185A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7.1 施工组织设计</w:t>
      </w:r>
    </w:p>
    <w:p w14:paraId="0FF73B6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7.1.1 合同当事人约定的施工组织设计应包括的其他内容：</w:t>
      </w:r>
      <w:r>
        <w:rPr>
          <w:rFonts w:hint="eastAsia" w:cs="宋体"/>
          <w:color w:val="auto"/>
          <w:sz w:val="21"/>
          <w:szCs w:val="21"/>
          <w:highlight w:val="none"/>
          <w:u w:val="single"/>
        </w:rPr>
        <w:t>总进度计划须含网络图、横道图。</w:t>
      </w:r>
    </w:p>
    <w:p w14:paraId="7E42071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7.1.2 施工组织设计的提交和修改</w:t>
      </w:r>
    </w:p>
    <w:p w14:paraId="0E905786">
      <w:pPr>
        <w:pageBreakBefore w:val="0"/>
        <w:kinsoku/>
        <w:wordWrap/>
        <w:topLinePunct w:val="0"/>
        <w:autoSpaceDE w:val="0"/>
        <w:autoSpaceDN w:val="0"/>
        <w:bidi w:val="0"/>
        <w:adjustRightInd w:val="0"/>
        <w:snapToGrid w:val="0"/>
        <w:spacing w:beforeAutospacing="0" w:line="520" w:lineRule="exact"/>
        <w:ind w:firstLine="420" w:firstLineChars="200"/>
        <w:jc w:val="left"/>
        <w:rPr>
          <w:rFonts w:hint="eastAsia" w:ascii="宋体" w:hAnsi="宋体" w:eastAsia="宋体" w:cs="宋体"/>
          <w:color w:val="auto"/>
          <w:kern w:val="0"/>
          <w:sz w:val="21"/>
          <w:szCs w:val="21"/>
          <w:highlight w:val="none"/>
          <w:u w:val="single"/>
        </w:rPr>
      </w:pPr>
      <w:r>
        <w:rPr>
          <w:rFonts w:hint="eastAsia" w:cs="宋体"/>
          <w:color w:val="auto"/>
          <w:sz w:val="21"/>
          <w:szCs w:val="21"/>
          <w:highlight w:val="none"/>
        </w:rPr>
        <w:t>承包人提交详细施工组织设计的期限的约定：</w:t>
      </w:r>
      <w:r>
        <w:rPr>
          <w:rFonts w:hint="eastAsia" w:ascii="宋体" w:hAnsi="宋体" w:eastAsia="宋体" w:cs="宋体"/>
          <w:color w:val="auto"/>
          <w:kern w:val="0"/>
          <w:sz w:val="21"/>
          <w:szCs w:val="21"/>
          <w:highlight w:val="none"/>
          <w:u w:val="single"/>
        </w:rPr>
        <w:t>图纸会审及设计交底后一周内提供标后施工组织设计和进度计划、机械设备进场计划、物资计划、劳动力计划。</w:t>
      </w:r>
    </w:p>
    <w:p w14:paraId="57038E8B">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监理工程师应于收到承包人资料一周内予以确认，逾期不批复，可视为该施工组织设计（施工方案）已经批准。乙方必须按照批准的进度计划组织施工，接受甲方和监理对进度的检查、监督。工程实际进展与进度计划不符时，承包人应立即修改进度计划和采取赶工措施，调整后的进度计划及相应的措施报告上报监理、甲方批准后执行。 </w:t>
      </w:r>
    </w:p>
    <w:p w14:paraId="60127917">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176" w:name="_Toc300934966"/>
      <w:bookmarkStart w:id="177" w:name="_Toc304295541"/>
      <w:bookmarkStart w:id="178" w:name="_Toc303539123"/>
      <w:bookmarkStart w:id="179" w:name="_Toc297216173"/>
      <w:bookmarkStart w:id="180" w:name="_Toc312678005"/>
      <w:bookmarkStart w:id="181" w:name="_Toc312677479"/>
      <w:bookmarkStart w:id="182" w:name="_Toc297123514"/>
      <w:r>
        <w:rPr>
          <w:rFonts w:hint="eastAsia" w:cs="宋体"/>
          <w:bCs/>
          <w:color w:val="auto"/>
          <w:sz w:val="21"/>
          <w:szCs w:val="21"/>
          <w:highlight w:val="none"/>
        </w:rPr>
        <w:t>.2 施工进度计划</w:t>
      </w:r>
    </w:p>
    <w:p w14:paraId="285D383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7.2.2 施工进度计划的修订</w:t>
      </w:r>
    </w:p>
    <w:p w14:paraId="63483EF8">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监理工程师应于收到承包人资料一周内予以确认，逾期不批复，可视为该施工组织设计（施工方案）已经批准。乙方必须按照批准的进度计划组织施工，接受甲方和监理对进度的检查、监督。工程实际进展与进度计划不符时，承包人应立即修改进度计划和采取赶工措施，调整后的进度计划及相应的措施报告上报监理、甲方批准后执行。</w:t>
      </w:r>
    </w:p>
    <w:p w14:paraId="4D88703B">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7.3 开工</w:t>
      </w:r>
    </w:p>
    <w:p w14:paraId="419C7AC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7.3.1 开工准备</w:t>
      </w:r>
    </w:p>
    <w:p w14:paraId="1C604B7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rPr>
        <w:t>。</w:t>
      </w:r>
    </w:p>
    <w:p w14:paraId="7110ACA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rPr>
        <w:t>。</w:t>
      </w:r>
    </w:p>
    <w:p w14:paraId="591F4D0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rPr>
        <w:t>。</w:t>
      </w:r>
    </w:p>
    <w:p w14:paraId="50CDD8C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7.3.2 开工通知</w:t>
      </w:r>
    </w:p>
    <w:p w14:paraId="760DA84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因发包人原因造成监理人未能在计划开工日期之日起</w:t>
      </w:r>
      <w:r>
        <w:rPr>
          <w:rFonts w:hint="eastAsia" w:cs="宋体"/>
          <w:color w:val="auto"/>
          <w:sz w:val="21"/>
          <w:szCs w:val="21"/>
          <w:highlight w:val="none"/>
          <w:u w:val="single"/>
          <w:lang w:val="en-US" w:eastAsia="zh-CN"/>
        </w:rPr>
        <w:t>/</w:t>
      </w:r>
      <w:r>
        <w:rPr>
          <w:rFonts w:hint="eastAsia" w:cs="宋体"/>
          <w:color w:val="auto"/>
          <w:sz w:val="21"/>
          <w:szCs w:val="21"/>
          <w:highlight w:val="none"/>
        </w:rPr>
        <w:t>天内发出开工通知的，承包人有权提出价格调整要求，或者解除合同。</w:t>
      </w:r>
    </w:p>
    <w:bookmarkEnd w:id="176"/>
    <w:bookmarkEnd w:id="177"/>
    <w:bookmarkEnd w:id="178"/>
    <w:bookmarkEnd w:id="179"/>
    <w:bookmarkEnd w:id="180"/>
    <w:bookmarkEnd w:id="181"/>
    <w:bookmarkEnd w:id="182"/>
    <w:p w14:paraId="4DAD6565">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7.4 测量放线</w:t>
      </w:r>
    </w:p>
    <w:p w14:paraId="29E5995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7.4.1 发包人通过监理人向承包人提供测量基准点、基准线和水准点及其书面资料的期限：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259D85B">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183" w:name="_Toc303539125"/>
      <w:bookmarkStart w:id="184" w:name="_Toc312678010"/>
      <w:bookmarkStart w:id="185" w:name="_Toc304295546"/>
      <w:bookmarkStart w:id="186" w:name="_Toc300934968"/>
      <w:bookmarkStart w:id="187" w:name="_Toc297216175"/>
      <w:bookmarkStart w:id="188" w:name="_Toc297123516"/>
      <w:bookmarkStart w:id="189" w:name="_Toc312677484"/>
      <w:r>
        <w:rPr>
          <w:rFonts w:hint="eastAsia" w:cs="宋体"/>
          <w:bCs/>
          <w:color w:val="auto"/>
          <w:sz w:val="21"/>
          <w:szCs w:val="21"/>
          <w:highlight w:val="none"/>
        </w:rPr>
        <w:t>.5 工期延误</w:t>
      </w:r>
    </w:p>
    <w:bookmarkEnd w:id="183"/>
    <w:bookmarkEnd w:id="184"/>
    <w:bookmarkEnd w:id="185"/>
    <w:bookmarkEnd w:id="186"/>
    <w:bookmarkEnd w:id="187"/>
    <w:bookmarkEnd w:id="188"/>
    <w:bookmarkEnd w:id="189"/>
    <w:p w14:paraId="658C3A1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7.5.1 因发包人原因导致工期延误</w:t>
      </w:r>
    </w:p>
    <w:p w14:paraId="5AA7D790">
      <w:pPr>
        <w:pStyle w:val="54"/>
        <w:pageBreakBefore w:val="0"/>
        <w:kinsoku/>
        <w:wordWrap/>
        <w:topLinePunct w:val="0"/>
        <w:bidi w:val="0"/>
        <w:spacing w:beforeAutospacing="0" w:after="0" w:line="520" w:lineRule="exact"/>
        <w:ind w:firstLine="420"/>
        <w:rPr>
          <w:rFonts w:hint="eastAsia" w:ascii="宋体" w:hAnsi="宋体" w:eastAsia="宋体" w:cs="宋体"/>
          <w:color w:val="auto"/>
          <w:sz w:val="21"/>
          <w:szCs w:val="21"/>
          <w:highlight w:val="none"/>
        </w:rPr>
      </w:pPr>
      <w:r>
        <w:rPr>
          <w:rFonts w:hint="eastAsia"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具体开工时间以</w:t>
      </w:r>
      <w:r>
        <w:rPr>
          <w:rFonts w:hint="eastAsia" w:ascii="宋体" w:hAnsi="宋体" w:cs="宋体"/>
          <w:color w:val="auto"/>
          <w:sz w:val="21"/>
          <w:szCs w:val="21"/>
          <w:highlight w:val="none"/>
          <w:u w:val="single"/>
          <w:lang w:val="en-US" w:eastAsia="zh-CN"/>
        </w:rPr>
        <w:t>建设单位通知</w:t>
      </w:r>
      <w:r>
        <w:rPr>
          <w:rFonts w:hint="eastAsia" w:ascii="宋体" w:hAnsi="宋体" w:eastAsia="宋体" w:cs="宋体"/>
          <w:color w:val="auto"/>
          <w:sz w:val="21"/>
          <w:szCs w:val="21"/>
          <w:highlight w:val="none"/>
          <w:u w:val="single"/>
        </w:rPr>
        <w:t>时间为准。成交单位按合同工期要求，每延迟一天，按</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000元/天处以违约金，从工程结算款中扣除。如延误工期超出合同工期50%的，不予支付工程款</w:t>
      </w:r>
      <w:r>
        <w:rPr>
          <w:rFonts w:hint="eastAsia" w:ascii="宋体" w:hAnsi="宋体" w:cs="宋体"/>
          <w:color w:val="auto"/>
          <w:sz w:val="21"/>
          <w:szCs w:val="21"/>
          <w:highlight w:val="none"/>
          <w:u w:val="single"/>
          <w:lang w:eastAsia="zh-CN"/>
        </w:rPr>
        <w:t>，</w:t>
      </w:r>
      <w:r>
        <w:rPr>
          <w:rFonts w:hint="eastAsia" w:cs="宋体"/>
          <w:bCs/>
          <w:color w:val="auto"/>
          <w:kern w:val="2"/>
          <w:sz w:val="21"/>
          <w:szCs w:val="21"/>
          <w:highlight w:val="none"/>
          <w:u w:val="single"/>
          <w:lang w:val="en-US" w:eastAsia="zh-CN"/>
        </w:rPr>
        <w:t>招标人有权解除合同</w:t>
      </w:r>
      <w:r>
        <w:rPr>
          <w:rFonts w:hint="eastAsia" w:ascii="宋体" w:hAnsi="宋体" w:eastAsia="宋体" w:cs="宋体"/>
          <w:color w:val="auto"/>
          <w:sz w:val="21"/>
          <w:szCs w:val="21"/>
          <w:highlight w:val="none"/>
          <w:u w:val="single"/>
        </w:rPr>
        <w:t>。如因学校要求增加工程量、教育教学、重大活动、极端天气等不可抗拒因素造成，经学校和成交单位书面确认后，工期予以顺延，具体以实际发生时间为依据。</w:t>
      </w:r>
    </w:p>
    <w:p w14:paraId="4913F1A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w:t>
      </w:r>
      <w:bookmarkStart w:id="190" w:name="_Toc312678012"/>
      <w:bookmarkStart w:id="191" w:name="_Toc318581169"/>
      <w:bookmarkStart w:id="192" w:name="_Toc312677486"/>
      <w:bookmarkStart w:id="193" w:name="_Toc297216177"/>
      <w:bookmarkStart w:id="194" w:name="_Toc300934970"/>
      <w:bookmarkStart w:id="195" w:name="_Toc297123518"/>
      <w:bookmarkStart w:id="196" w:name="_Toc303539127"/>
      <w:bookmarkStart w:id="197" w:name="_Toc304295548"/>
      <w:r>
        <w:rPr>
          <w:rFonts w:hint="eastAsia" w:cs="宋体"/>
          <w:color w:val="auto"/>
          <w:sz w:val="21"/>
          <w:szCs w:val="21"/>
          <w:highlight w:val="none"/>
        </w:rPr>
        <w:t>.5.2 因承包人原因导致工期延误</w:t>
      </w:r>
    </w:p>
    <w:bookmarkEnd w:id="190"/>
    <w:bookmarkEnd w:id="191"/>
    <w:bookmarkEnd w:id="192"/>
    <w:p w14:paraId="5325571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因</w:t>
      </w:r>
      <w:bookmarkStart w:id="198" w:name="_Toc312678013"/>
      <w:bookmarkStart w:id="199" w:name="_Toc312677487"/>
      <w:bookmarkStart w:id="200" w:name="_Toc318581170"/>
      <w:r>
        <w:rPr>
          <w:rFonts w:hint="eastAsia" w:cs="宋体"/>
          <w:color w:val="auto"/>
          <w:sz w:val="21"/>
          <w:szCs w:val="21"/>
          <w:highlight w:val="none"/>
        </w:rPr>
        <w:t>承包人原因造成工期延误，逾期竣工违约金的计算方法为：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bookmarkEnd w:id="193"/>
      <w:bookmarkEnd w:id="194"/>
      <w:bookmarkEnd w:id="195"/>
      <w:bookmarkEnd w:id="196"/>
      <w:bookmarkEnd w:id="197"/>
      <w:bookmarkEnd w:id="198"/>
      <w:bookmarkEnd w:id="199"/>
    </w:p>
    <w:bookmarkEnd w:id="200"/>
    <w:p w14:paraId="2FCECB45">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因承包人原因造成工期延误，逾</w:t>
      </w:r>
      <w:bookmarkStart w:id="201" w:name="_Toc318581171"/>
      <w:bookmarkStart w:id="202" w:name="_Toc312678014"/>
      <w:r>
        <w:rPr>
          <w:rFonts w:hint="eastAsia" w:cs="宋体"/>
          <w:color w:val="auto"/>
          <w:sz w:val="21"/>
          <w:szCs w:val="21"/>
          <w:highlight w:val="none"/>
        </w:rPr>
        <w:t>期竣工违约金的上限：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bookmarkEnd w:id="201"/>
    <w:bookmarkEnd w:id="202"/>
    <w:p w14:paraId="0097D03C">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203" w:name="_Toc297123519"/>
      <w:bookmarkStart w:id="204" w:name="_Toc312678015"/>
      <w:bookmarkStart w:id="205" w:name="_Toc297216178"/>
      <w:bookmarkStart w:id="206" w:name="_Toc304295549"/>
      <w:bookmarkStart w:id="207" w:name="_Toc303539128"/>
      <w:bookmarkStart w:id="208" w:name="_Toc300934971"/>
      <w:r>
        <w:rPr>
          <w:rFonts w:hint="eastAsia" w:cs="宋体"/>
          <w:bCs/>
          <w:color w:val="auto"/>
          <w:sz w:val="21"/>
          <w:szCs w:val="21"/>
          <w:highlight w:val="none"/>
        </w:rPr>
        <w:t>.6 不</w:t>
      </w:r>
      <w:bookmarkEnd w:id="203"/>
      <w:bookmarkEnd w:id="204"/>
      <w:bookmarkEnd w:id="205"/>
      <w:bookmarkEnd w:id="206"/>
      <w:bookmarkEnd w:id="207"/>
      <w:bookmarkEnd w:id="208"/>
      <w:r>
        <w:rPr>
          <w:rFonts w:hint="eastAsia" w:cs="宋体"/>
          <w:bCs/>
          <w:color w:val="auto"/>
          <w:sz w:val="21"/>
          <w:szCs w:val="21"/>
          <w:highlight w:val="none"/>
        </w:rPr>
        <w:t>利物质条件</w:t>
      </w:r>
    </w:p>
    <w:p w14:paraId="50E3B125">
      <w:pPr>
        <w:pageBreakBefore w:val="0"/>
        <w:kinsoku/>
        <w:wordWrap/>
        <w:topLinePunct w:val="0"/>
        <w:bidi w:val="0"/>
        <w:adjustRightInd w:val="0"/>
        <w:snapToGrid w:val="0"/>
        <w:spacing w:beforeAutospacing="0" w:line="520" w:lineRule="exact"/>
        <w:ind w:firstLine="420" w:firstLineChars="200"/>
        <w:rPr>
          <w:rFonts w:hint="eastAsia" w:eastAsia="宋体" w:cs="宋体"/>
          <w:b/>
          <w:color w:val="auto"/>
          <w:sz w:val="21"/>
          <w:szCs w:val="21"/>
          <w:highlight w:val="none"/>
          <w:u w:val="single"/>
          <w:lang w:val="en-US" w:eastAsia="zh-CN"/>
        </w:rPr>
      </w:pPr>
      <w:bookmarkStart w:id="209" w:name="_Toc300934972"/>
      <w:bookmarkStart w:id="210" w:name="_Toc303539129"/>
      <w:bookmarkStart w:id="211" w:name="_Toc297123520"/>
      <w:bookmarkStart w:id="212" w:name="_Toc318581172"/>
      <w:bookmarkStart w:id="213" w:name="_Toc312678016"/>
      <w:bookmarkStart w:id="214" w:name="_Toc304295550"/>
      <w:bookmarkStart w:id="215" w:name="_Toc297216179"/>
      <w:r>
        <w:rPr>
          <w:rFonts w:hint="eastAsia"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承包人应了解</w:t>
      </w:r>
      <w:r>
        <w:rPr>
          <w:rFonts w:hint="eastAsia" w:cs="宋体"/>
          <w:color w:val="auto"/>
          <w:sz w:val="21"/>
          <w:szCs w:val="21"/>
          <w:highlight w:val="none"/>
          <w:u w:val="single"/>
          <w:lang w:val="en-US" w:eastAsia="zh-CN"/>
        </w:rPr>
        <w:t>本项配电安装工程所有内容</w:t>
      </w:r>
      <w:r>
        <w:rPr>
          <w:rFonts w:hint="eastAsia" w:ascii="宋体" w:hAnsi="宋体" w:eastAsia="宋体" w:cs="宋体"/>
          <w:color w:val="auto"/>
          <w:sz w:val="21"/>
          <w:szCs w:val="21"/>
          <w:highlight w:val="none"/>
          <w:u w:val="single"/>
        </w:rPr>
        <w:t>，中标后不得以不利物质条件为由提出索赔</w:t>
      </w:r>
      <w:r>
        <w:rPr>
          <w:rFonts w:hint="eastAsia" w:cs="宋体"/>
          <w:color w:val="auto"/>
          <w:sz w:val="21"/>
          <w:szCs w:val="21"/>
          <w:highlight w:val="none"/>
        </w:rPr>
        <w:t>。</w:t>
      </w:r>
      <w:r>
        <w:rPr>
          <w:rFonts w:hint="eastAsia" w:cs="宋体"/>
          <w:color w:val="auto"/>
          <w:sz w:val="21"/>
          <w:szCs w:val="21"/>
          <w:highlight w:val="none"/>
          <w:lang w:val="en-US" w:eastAsia="zh-CN"/>
        </w:rPr>
        <w:t xml:space="preserve"> </w:t>
      </w:r>
    </w:p>
    <w:bookmarkEnd w:id="209"/>
    <w:bookmarkEnd w:id="210"/>
    <w:bookmarkEnd w:id="211"/>
    <w:bookmarkEnd w:id="212"/>
    <w:bookmarkEnd w:id="213"/>
    <w:bookmarkEnd w:id="214"/>
    <w:bookmarkEnd w:id="215"/>
    <w:p w14:paraId="45C8F006">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216" w:name="_Toc297216180"/>
      <w:bookmarkStart w:id="217" w:name="_Toc300934973"/>
      <w:bookmarkStart w:id="218" w:name="_Toc312678017"/>
      <w:bookmarkStart w:id="219" w:name="_Toc304295551"/>
      <w:bookmarkStart w:id="220" w:name="_Toc297123521"/>
      <w:bookmarkStart w:id="221" w:name="_Toc303539130"/>
      <w:r>
        <w:rPr>
          <w:rFonts w:hint="eastAsia" w:cs="宋体"/>
          <w:bCs/>
          <w:color w:val="auto"/>
          <w:sz w:val="21"/>
          <w:szCs w:val="21"/>
          <w:highlight w:val="none"/>
        </w:rPr>
        <w:t>.7 异常恶劣的气候条件</w:t>
      </w:r>
    </w:p>
    <w:bookmarkEnd w:id="216"/>
    <w:bookmarkEnd w:id="217"/>
    <w:bookmarkEnd w:id="218"/>
    <w:bookmarkEnd w:id="219"/>
    <w:bookmarkEnd w:id="220"/>
    <w:bookmarkEnd w:id="221"/>
    <w:p w14:paraId="3154403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发包人和承包人同意以下情形视为异常恶劣的气候条件：</w:t>
      </w:r>
    </w:p>
    <w:p w14:paraId="11281134">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（1） 七级以上（含七级）大风连续 8 小时 ； </w:t>
      </w:r>
    </w:p>
    <w:p w14:paraId="34E4DF1B">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（2） 日最高温度大于 40 摄氏度，日最低温度小于-4 摄氏度 ； </w:t>
      </w:r>
    </w:p>
    <w:p w14:paraId="6984B3EB">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rPr>
      </w:pPr>
      <w:r>
        <w:rPr>
          <w:rFonts w:hint="eastAsia" w:ascii="宋体" w:hAnsi="宋体" w:eastAsia="宋体" w:cs="宋体"/>
          <w:color w:val="auto"/>
          <w:sz w:val="21"/>
          <w:szCs w:val="21"/>
          <w:highlight w:val="none"/>
          <w:u w:val="single"/>
        </w:rPr>
        <w:t xml:space="preserve">（3） 日（昼夜）平均积雪量超过 200mm 的恶劣天气影响 。 </w:t>
      </w:r>
    </w:p>
    <w:p w14:paraId="6ED5EC1F">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7.9 提前竣工</w:t>
      </w:r>
    </w:p>
    <w:p w14:paraId="437643B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7.9.2 提前竣工的奖励：</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DEC9B93">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222" w:name="_Toc351203640"/>
      <w:r>
        <w:rPr>
          <w:rFonts w:hint="eastAsia" w:cs="宋体"/>
          <w:color w:val="auto"/>
          <w:sz w:val="21"/>
          <w:szCs w:val="21"/>
          <w:highlight w:val="none"/>
        </w:rPr>
        <w:t>8. 材料与设备</w:t>
      </w:r>
      <w:bookmarkEnd w:id="222"/>
    </w:p>
    <w:bookmarkEnd w:id="156"/>
    <w:bookmarkEnd w:id="157"/>
    <w:bookmarkEnd w:id="158"/>
    <w:bookmarkEnd w:id="159"/>
    <w:bookmarkEnd w:id="160"/>
    <w:bookmarkEnd w:id="161"/>
    <w:bookmarkEnd w:id="162"/>
    <w:bookmarkEnd w:id="163"/>
    <w:bookmarkEnd w:id="164"/>
    <w:bookmarkEnd w:id="165"/>
    <w:p w14:paraId="2367334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8</w:t>
      </w:r>
      <w:bookmarkStart w:id="223" w:name="_Toc296347166"/>
      <w:bookmarkStart w:id="224" w:name="_Toc297216186"/>
      <w:bookmarkStart w:id="225" w:name="_Toc296890995"/>
      <w:bookmarkStart w:id="226" w:name="_Toc292559877"/>
      <w:bookmarkStart w:id="227" w:name="_Toc280868654"/>
      <w:bookmarkStart w:id="228" w:name="_Toc296346668"/>
      <w:bookmarkStart w:id="229" w:name="_Toc296944506"/>
      <w:bookmarkStart w:id="230" w:name="_Toc312678019"/>
      <w:bookmarkStart w:id="231" w:name="_Toc297120467"/>
      <w:bookmarkStart w:id="232" w:name="_Toc300934979"/>
      <w:bookmarkStart w:id="233" w:name="_Toc296891207"/>
      <w:bookmarkStart w:id="234" w:name="_Toc312677493"/>
      <w:bookmarkStart w:id="235" w:name="_Toc292559372"/>
      <w:bookmarkStart w:id="236" w:name="_Toc296503167"/>
      <w:bookmarkStart w:id="237" w:name="_Toc297123527"/>
      <w:bookmarkStart w:id="238" w:name="_Toc304295556"/>
      <w:bookmarkStart w:id="239" w:name="_Toc297048353"/>
      <w:bookmarkStart w:id="240" w:name="_Toc303539136"/>
      <w:bookmarkStart w:id="241" w:name="_Toc280868656"/>
      <w:bookmarkStart w:id="242" w:name="_Toc280868655"/>
      <w:bookmarkStart w:id="243" w:name="_Toc267251424"/>
      <w:r>
        <w:rPr>
          <w:rFonts w:hint="eastAsia" w:cs="宋体"/>
          <w:color w:val="auto"/>
          <w:sz w:val="21"/>
          <w:szCs w:val="21"/>
          <w:highlight w:val="none"/>
        </w:rPr>
        <w:t>.4 材料与工程设备的保管与使用</w:t>
      </w: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14:paraId="5B89C5C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8</w:t>
      </w:r>
      <w:bookmarkStart w:id="244" w:name="_Toc292559878"/>
      <w:bookmarkStart w:id="245" w:name="_Toc292559373"/>
      <w:bookmarkStart w:id="246" w:name="_Toc297120468"/>
      <w:bookmarkStart w:id="247" w:name="_Toc296944507"/>
      <w:bookmarkStart w:id="248" w:name="_Toc300934980"/>
      <w:bookmarkStart w:id="249" w:name="_Toc312677494"/>
      <w:bookmarkStart w:id="250" w:name="_Toc297048354"/>
      <w:bookmarkStart w:id="251" w:name="_Toc297123528"/>
      <w:bookmarkStart w:id="252" w:name="_Toc296891208"/>
      <w:bookmarkStart w:id="253" w:name="_Toc296346669"/>
      <w:bookmarkStart w:id="254" w:name="_Toc312678020"/>
      <w:bookmarkStart w:id="255" w:name="_Toc296503168"/>
      <w:bookmarkStart w:id="256" w:name="_Toc303539137"/>
      <w:bookmarkStart w:id="257" w:name="_Toc297216187"/>
      <w:bookmarkStart w:id="258" w:name="_Toc318581173"/>
      <w:bookmarkStart w:id="259" w:name="_Toc296347167"/>
      <w:bookmarkStart w:id="260" w:name="_Toc296890996"/>
      <w:bookmarkStart w:id="261" w:name="_Toc304295557"/>
      <w:r>
        <w:rPr>
          <w:rFonts w:hint="eastAsia" w:cs="宋体"/>
          <w:color w:val="auto"/>
          <w:sz w:val="21"/>
          <w:szCs w:val="21"/>
          <w:highlight w:val="none"/>
        </w:rPr>
        <w:t>.4.1 发包人供应的材料设备的保管费用的承担：</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承包人承担</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含在工程费用内</w:t>
      </w:r>
      <w:r>
        <w:rPr>
          <w:rFonts w:hint="eastAsia" w:cs="宋体"/>
          <w:color w:val="auto"/>
          <w:sz w:val="21"/>
          <w:szCs w:val="21"/>
          <w:highlight w:val="none"/>
        </w:rPr>
        <w:t>。</w:t>
      </w:r>
      <w:bookmarkEnd w:id="244"/>
      <w:bookmarkEnd w:id="245"/>
    </w:p>
    <w:p w14:paraId="276A269C">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8.6 样品</w:t>
      </w:r>
    </w:p>
    <w:p w14:paraId="1387BE6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8.6.1 样品的报送与封存</w:t>
      </w:r>
    </w:p>
    <w:p w14:paraId="1B212014">
      <w:pPr>
        <w:pageBreakBefore w:val="0"/>
        <w:kinsoku/>
        <w:wordWrap/>
        <w:topLinePunct w:val="0"/>
        <w:bidi w:val="0"/>
        <w:snapToGrid w:val="0"/>
        <w:spacing w:beforeAutospacing="0" w:line="520" w:lineRule="exact"/>
        <w:ind w:firstLine="420" w:firstLineChars="200"/>
        <w:rPr>
          <w:rFonts w:hint="eastAsia"/>
          <w:color w:val="auto"/>
          <w:highlight w:val="none"/>
        </w:rPr>
      </w:pPr>
      <w:r>
        <w:rPr>
          <w:rFonts w:hint="eastAsia" w:cs="宋体"/>
          <w:color w:val="auto"/>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根据投标</w:t>
      </w:r>
      <w:r>
        <w:rPr>
          <w:rFonts w:hint="eastAsia" w:ascii="宋体" w:hAnsi="宋体" w:eastAsia="宋体" w:cs="宋体"/>
          <w:color w:val="auto"/>
          <w:sz w:val="21"/>
          <w:szCs w:val="21"/>
          <w:highlight w:val="none"/>
          <w:u w:val="single"/>
          <w:lang w:val="en-US" w:eastAsia="zh-CN"/>
        </w:rPr>
        <w:t>人投标时提供的主材品牌及其他辅材要求</w:t>
      </w:r>
      <w:r>
        <w:rPr>
          <w:rFonts w:hint="eastAsia" w:ascii="宋体" w:hAnsi="宋体" w:eastAsia="宋体" w:cs="宋体"/>
          <w:color w:val="auto"/>
          <w:sz w:val="21"/>
          <w:szCs w:val="21"/>
          <w:highlight w:val="none"/>
          <w:u w:val="single"/>
        </w:rPr>
        <w:t>，使用前须经发包人认可。</w:t>
      </w:r>
    </w:p>
    <w:p w14:paraId="5B0A40A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8.8 施工设备和临时设施</w:t>
      </w:r>
    </w:p>
    <w:p w14:paraId="4389FF1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8.8.1 承包人提供的施工设备和临时设施</w:t>
      </w:r>
    </w:p>
    <w:p w14:paraId="3CE888D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由承包人自行承担费用 </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费用含在工程款内</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6E9BE96F">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262" w:name="_Toc351203641"/>
      <w:r>
        <w:rPr>
          <w:rFonts w:hint="eastAsia" w:cs="宋体"/>
          <w:color w:val="auto"/>
          <w:sz w:val="21"/>
          <w:szCs w:val="21"/>
          <w:highlight w:val="none"/>
        </w:rPr>
        <w:t>9</w:t>
      </w:r>
      <w:bookmarkEnd w:id="241"/>
      <w:bookmarkEnd w:id="242"/>
      <w:bookmarkEnd w:id="243"/>
      <w:bookmarkStart w:id="263" w:name="_Toc312677495"/>
      <w:bookmarkStart w:id="264" w:name="_Toc297123533"/>
      <w:bookmarkStart w:id="265" w:name="_Toc300934982"/>
      <w:bookmarkStart w:id="266" w:name="_Toc303539139"/>
      <w:bookmarkStart w:id="267" w:name="_Toc312678021"/>
      <w:bookmarkStart w:id="268" w:name="_Toc304295559"/>
      <w:bookmarkStart w:id="269" w:name="_Toc297216192"/>
      <w:bookmarkStart w:id="270" w:name="_Toc297048359"/>
      <w:bookmarkStart w:id="271" w:name="_Toc296891213"/>
      <w:bookmarkStart w:id="272" w:name="_Toc267251428"/>
      <w:bookmarkStart w:id="273" w:name="_Toc292559378"/>
      <w:bookmarkStart w:id="274" w:name="_Toc292559883"/>
      <w:bookmarkStart w:id="275" w:name="_Toc296346674"/>
      <w:bookmarkStart w:id="276" w:name="_Toc297120473"/>
      <w:bookmarkStart w:id="277" w:name="_Toc296891001"/>
      <w:bookmarkStart w:id="278" w:name="_Toc267251427"/>
      <w:bookmarkStart w:id="279" w:name="_Toc296503173"/>
      <w:bookmarkStart w:id="280" w:name="_Toc296944512"/>
      <w:bookmarkStart w:id="281" w:name="_Toc296347172"/>
      <w:r>
        <w:rPr>
          <w:rFonts w:hint="eastAsia" w:cs="宋体"/>
          <w:color w:val="auto"/>
          <w:sz w:val="21"/>
          <w:szCs w:val="21"/>
          <w:highlight w:val="none"/>
        </w:rPr>
        <w:t>. 试验与检验</w:t>
      </w:r>
      <w:bookmarkEnd w:id="262"/>
    </w:p>
    <w:bookmarkEnd w:id="263"/>
    <w:bookmarkEnd w:id="264"/>
    <w:bookmarkEnd w:id="265"/>
    <w:bookmarkEnd w:id="266"/>
    <w:bookmarkEnd w:id="267"/>
    <w:bookmarkEnd w:id="268"/>
    <w:bookmarkEnd w:id="269"/>
    <w:p w14:paraId="3D52D966">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9</w:t>
      </w:r>
      <w:bookmarkStart w:id="282" w:name="_Toc297123534"/>
      <w:bookmarkStart w:id="283" w:name="_Toc312677496"/>
      <w:bookmarkStart w:id="284" w:name="_Toc303539140"/>
      <w:bookmarkStart w:id="285" w:name="_Toc304295560"/>
      <w:bookmarkStart w:id="286" w:name="_Toc300934983"/>
      <w:bookmarkStart w:id="287" w:name="_Toc312678022"/>
      <w:bookmarkStart w:id="288" w:name="_Toc297216193"/>
      <w:r>
        <w:rPr>
          <w:rFonts w:hint="eastAsia" w:cs="宋体"/>
          <w:bCs/>
          <w:color w:val="auto"/>
          <w:sz w:val="21"/>
          <w:szCs w:val="21"/>
          <w:highlight w:val="none"/>
        </w:rPr>
        <w:t>.1 试验设备与试验人员</w:t>
      </w:r>
    </w:p>
    <w:bookmarkEnd w:id="282"/>
    <w:bookmarkEnd w:id="283"/>
    <w:bookmarkEnd w:id="284"/>
    <w:bookmarkEnd w:id="285"/>
    <w:bookmarkEnd w:id="286"/>
    <w:bookmarkEnd w:id="287"/>
    <w:bookmarkEnd w:id="288"/>
    <w:p w14:paraId="774D4A7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9</w:t>
      </w:r>
      <w:bookmarkStart w:id="289" w:name="_Toc297216194"/>
      <w:bookmarkStart w:id="290" w:name="_Toc300934984"/>
      <w:bookmarkStart w:id="291" w:name="_Toc304295561"/>
      <w:bookmarkStart w:id="292" w:name="_Toc312677497"/>
      <w:bookmarkStart w:id="293" w:name="_Toc303539141"/>
      <w:bookmarkStart w:id="294" w:name="_Toc312678023"/>
      <w:bookmarkStart w:id="295" w:name="_Toc297123535"/>
      <w:bookmarkStart w:id="296" w:name="_Toc318581174"/>
      <w:r>
        <w:rPr>
          <w:rFonts w:hint="eastAsia" w:cs="宋体"/>
          <w:color w:val="auto"/>
          <w:sz w:val="21"/>
          <w:szCs w:val="21"/>
          <w:highlight w:val="none"/>
        </w:rPr>
        <w:t>.1.2 试验设备</w:t>
      </w:r>
    </w:p>
    <w:p w14:paraId="439C0C8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施工现场需要配置的试验场所</w:t>
      </w:r>
      <w:bookmarkEnd w:id="289"/>
      <w:bookmarkEnd w:id="290"/>
      <w:bookmarkEnd w:id="291"/>
      <w:bookmarkEnd w:id="292"/>
      <w:bookmarkEnd w:id="293"/>
      <w:bookmarkEnd w:id="294"/>
      <w:bookmarkEnd w:id="295"/>
      <w:bookmarkStart w:id="297" w:name="_Toc303539142"/>
      <w:bookmarkStart w:id="298" w:name="_Toc312677498"/>
      <w:bookmarkStart w:id="299" w:name="_Toc297123536"/>
      <w:bookmarkStart w:id="300" w:name="_Toc297216195"/>
      <w:bookmarkStart w:id="301" w:name="_Toc300934985"/>
      <w:bookmarkStart w:id="302" w:name="_Toc304295562"/>
      <w:bookmarkStart w:id="303" w:name="_Toc312678024"/>
      <w:r>
        <w:rPr>
          <w:rFonts w:hint="eastAsia" w:cs="宋体"/>
          <w:color w:val="auto"/>
          <w:sz w:val="21"/>
          <w:szCs w:val="21"/>
          <w:highlight w:val="none"/>
        </w:rPr>
        <w:t xml:space="preserve">：  </w:t>
      </w:r>
      <w:r>
        <w:rPr>
          <w:rFonts w:hint="eastAsia" w:ascii="宋体" w:hAnsi="宋体" w:eastAsia="宋体" w:cs="宋体"/>
          <w:color w:val="auto"/>
          <w:sz w:val="21"/>
          <w:szCs w:val="21"/>
          <w:highlight w:val="none"/>
          <w:u w:val="single"/>
        </w:rPr>
        <w:t>按有关规定执行，承包人自行承担费用</w:t>
      </w:r>
      <w:r>
        <w:rPr>
          <w:rFonts w:hint="eastAsia" w:cs="宋体"/>
          <w:color w:val="auto"/>
          <w:sz w:val="21"/>
          <w:szCs w:val="21"/>
          <w:highlight w:val="none"/>
        </w:rPr>
        <w:t>。</w:t>
      </w:r>
    </w:p>
    <w:p w14:paraId="6DA004A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按有关规定执行，承包人自行承担费用</w:t>
      </w:r>
      <w:r>
        <w:rPr>
          <w:rFonts w:hint="eastAsia" w:cs="宋体"/>
          <w:color w:val="auto"/>
          <w:sz w:val="21"/>
          <w:szCs w:val="21"/>
          <w:highlight w:val="none"/>
        </w:rPr>
        <w:t>。</w:t>
      </w:r>
    </w:p>
    <w:p w14:paraId="7BBD5FB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按有关规定执行，承包人自行承担费用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145EDE1">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 xml:space="preserve">9.4 现场工艺试验 </w:t>
      </w:r>
    </w:p>
    <w:p w14:paraId="238CF1D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按有关规定执行，承包人自行承担费用</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296"/>
    <w:bookmarkEnd w:id="297"/>
    <w:bookmarkEnd w:id="298"/>
    <w:bookmarkEnd w:id="299"/>
    <w:bookmarkEnd w:id="300"/>
    <w:bookmarkEnd w:id="301"/>
    <w:bookmarkEnd w:id="302"/>
    <w:bookmarkEnd w:id="303"/>
    <w:p w14:paraId="5C2AC50A">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304" w:name="_Toc351203642"/>
      <w:r>
        <w:rPr>
          <w:rFonts w:hint="eastAsia" w:cs="宋体"/>
          <w:color w:val="auto"/>
          <w:sz w:val="21"/>
          <w:szCs w:val="21"/>
          <w:highlight w:val="none"/>
        </w:rPr>
        <w:t>1</w:t>
      </w:r>
      <w:bookmarkEnd w:id="270"/>
      <w:bookmarkEnd w:id="271"/>
      <w:bookmarkEnd w:id="272"/>
      <w:bookmarkEnd w:id="273"/>
      <w:bookmarkEnd w:id="274"/>
      <w:bookmarkEnd w:id="275"/>
      <w:bookmarkEnd w:id="276"/>
      <w:bookmarkEnd w:id="277"/>
      <w:bookmarkEnd w:id="278"/>
      <w:bookmarkEnd w:id="279"/>
      <w:bookmarkEnd w:id="280"/>
      <w:bookmarkEnd w:id="281"/>
      <w:bookmarkStart w:id="305" w:name="_Toc296891233"/>
      <w:bookmarkStart w:id="306" w:name="_Toc304295566"/>
      <w:bookmarkStart w:id="307" w:name="_Toc303539146"/>
      <w:bookmarkStart w:id="308" w:name="_Toc296347192"/>
      <w:bookmarkStart w:id="309" w:name="_Toc297120493"/>
      <w:bookmarkStart w:id="310" w:name="_Toc297123540"/>
      <w:bookmarkStart w:id="311" w:name="_Toc297216199"/>
      <w:bookmarkStart w:id="312" w:name="_Toc292559903"/>
      <w:bookmarkStart w:id="313" w:name="_Toc297048379"/>
      <w:bookmarkStart w:id="314" w:name="_Toc296503193"/>
      <w:bookmarkStart w:id="315" w:name="_Toc300934989"/>
      <w:bookmarkStart w:id="316" w:name="_Toc292559398"/>
      <w:bookmarkStart w:id="317" w:name="_Toc296944532"/>
      <w:bookmarkStart w:id="318" w:name="_Toc296346694"/>
      <w:bookmarkStart w:id="319" w:name="_Toc296891021"/>
      <w:bookmarkStart w:id="320" w:name="_Toc312677499"/>
      <w:bookmarkStart w:id="321" w:name="_Toc312678025"/>
      <w:bookmarkStart w:id="322" w:name="_Toc267251440"/>
      <w:bookmarkStart w:id="323" w:name="_Toc267251437"/>
      <w:bookmarkStart w:id="324" w:name="_Toc267251439"/>
      <w:bookmarkStart w:id="325" w:name="_Toc267251435"/>
      <w:bookmarkStart w:id="326" w:name="_Toc267251441"/>
      <w:bookmarkStart w:id="327" w:name="_Toc267251433"/>
      <w:bookmarkStart w:id="328" w:name="_Toc267251442"/>
      <w:r>
        <w:rPr>
          <w:rFonts w:hint="eastAsia" w:cs="宋体"/>
          <w:color w:val="auto"/>
          <w:sz w:val="21"/>
          <w:szCs w:val="21"/>
          <w:highlight w:val="none"/>
        </w:rPr>
        <w:t>0. 变更</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bookmarkEnd w:id="320"/>
    <w:bookmarkEnd w:id="321"/>
    <w:p w14:paraId="1E5AE30F">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Start w:id="329" w:name="_Toc296891022"/>
      <w:bookmarkStart w:id="330" w:name="_Toc297216200"/>
      <w:bookmarkStart w:id="331" w:name="_Toc296346695"/>
      <w:bookmarkStart w:id="332" w:name="_Toc292559904"/>
      <w:bookmarkStart w:id="333" w:name="_Toc292559399"/>
      <w:bookmarkStart w:id="334" w:name="_Toc297123541"/>
      <w:bookmarkStart w:id="335" w:name="_Toc296347193"/>
      <w:bookmarkStart w:id="336" w:name="_Toc304295567"/>
      <w:bookmarkStart w:id="337" w:name="_Toc296891234"/>
      <w:bookmarkStart w:id="338" w:name="_Toc297120494"/>
      <w:bookmarkStart w:id="339" w:name="_Toc312677500"/>
      <w:bookmarkStart w:id="340" w:name="_Toc296503194"/>
      <w:bookmarkStart w:id="341" w:name="_Toc312678026"/>
      <w:bookmarkStart w:id="342" w:name="_Toc303539147"/>
      <w:bookmarkStart w:id="343" w:name="_Toc296944533"/>
      <w:bookmarkStart w:id="344" w:name="_Toc300934990"/>
      <w:bookmarkStart w:id="345" w:name="_Toc297048380"/>
      <w:r>
        <w:rPr>
          <w:rFonts w:hint="eastAsia" w:cs="宋体"/>
          <w:bCs/>
          <w:color w:val="auto"/>
          <w:sz w:val="21"/>
          <w:szCs w:val="21"/>
          <w:highlight w:val="none"/>
        </w:rPr>
        <w:t>0.1 变更的范围</w:t>
      </w:r>
    </w:p>
    <w:p w14:paraId="0E0EA74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关于变更的范围的约定：</w:t>
      </w:r>
      <w:r>
        <w:rPr>
          <w:rFonts w:hint="eastAsia" w:ascii="宋体" w:hAnsi="宋体" w:eastAsia="宋体" w:cs="宋体"/>
          <w:color w:val="auto"/>
          <w:sz w:val="21"/>
          <w:szCs w:val="21"/>
          <w:highlight w:val="none"/>
          <w:u w:val="single"/>
        </w:rPr>
        <w:t>按有关规定执行，承包人自行承担费用</w:t>
      </w:r>
      <w:r>
        <w:rPr>
          <w:rFonts w:hint="eastAsia" w:cs="宋体"/>
          <w:color w:val="auto"/>
          <w:sz w:val="21"/>
          <w:szCs w:val="21"/>
          <w:highlight w:val="none"/>
        </w:rPr>
        <w:t>。</w:t>
      </w:r>
    </w:p>
    <w:p w14:paraId="57762250">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10.4 变更估价</w:t>
      </w:r>
    </w:p>
    <w:p w14:paraId="407296E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10.4.1 变更估价原则</w:t>
      </w:r>
    </w:p>
    <w:p w14:paraId="2EF39B0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关于变更估价的约定：</w:t>
      </w:r>
    </w:p>
    <w:p w14:paraId="7C8396A9">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变更导致结算工程量减少 0-100%或增加 15%以内（含 15%）部分的，执行中标单价；超出15%以外部分，投标综合单价高于（控制价×投标让利幅度）时，按（控制价×投标让利幅度）计算，投标综合单价低于（控制价×投标让利幅度）时，执行中标单价。组价明显错误或人材机含量及单价明显异常的（明显异常指承包人单价超出清单控制价中相应单价20%及以上的）应予纠正；新增项目单价按照控制价的编制原则重新组价×投标让利幅度（投标让利幅度为中标价/控制价，其中中标价和控制价均扣除暂定金额、暂估价），重新组价价格最终以竣工结算审计核定为准。 </w:t>
      </w:r>
    </w:p>
    <w:p w14:paraId="68AEC00A">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技术措施费调整：</w:t>
      </w:r>
      <w:r>
        <w:rPr>
          <w:rFonts w:hint="eastAsia" w:ascii="宋体" w:hAnsi="宋体" w:eastAsia="宋体" w:cs="宋体"/>
          <w:b/>
          <w:color w:val="auto"/>
          <w:sz w:val="21"/>
          <w:szCs w:val="21"/>
          <w:highlight w:val="none"/>
          <w:u w:val="single"/>
        </w:rPr>
        <w:t>因承包人擅自改变施工技术措施，造成的价格变动，措施费不予调整。因工程量清单错误必须改变原来施工技术措施，履行变更手续，按照工程变更条款执行。</w:t>
      </w:r>
    </w:p>
    <w:p w14:paraId="49295DB2">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组织措施费调整：</w:t>
      </w:r>
      <w:r>
        <w:rPr>
          <w:rFonts w:hint="eastAsia" w:ascii="宋体" w:hAnsi="宋体" w:eastAsia="宋体" w:cs="宋体"/>
          <w:color w:val="auto"/>
          <w:sz w:val="21"/>
          <w:szCs w:val="21"/>
          <w:highlight w:val="none"/>
          <w:u w:val="single"/>
        </w:rPr>
        <w:t xml:space="preserve"> 按实调整。</w:t>
      </w:r>
    </w:p>
    <w:p w14:paraId="461E248A">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Start w:id="346" w:name="_Toc296891025"/>
      <w:bookmarkStart w:id="347" w:name="_Toc297048383"/>
      <w:bookmarkStart w:id="348" w:name="_Toc292559402"/>
      <w:bookmarkStart w:id="349" w:name="_Toc296944536"/>
      <w:bookmarkStart w:id="350" w:name="_Toc292559907"/>
      <w:bookmarkStart w:id="351" w:name="_Toc297123544"/>
      <w:bookmarkStart w:id="352" w:name="_Toc300934993"/>
      <w:bookmarkStart w:id="353" w:name="_Toc296891237"/>
      <w:bookmarkStart w:id="354" w:name="_Toc297216203"/>
      <w:bookmarkStart w:id="355" w:name="_Toc303539150"/>
      <w:bookmarkStart w:id="356" w:name="_Toc296347196"/>
      <w:bookmarkStart w:id="357" w:name="_Toc297120497"/>
      <w:bookmarkStart w:id="358" w:name="_Toc296346698"/>
      <w:bookmarkStart w:id="359" w:name="_Toc296503197"/>
      <w:bookmarkStart w:id="360" w:name="_Toc304295570"/>
      <w:bookmarkStart w:id="361" w:name="_Toc312678029"/>
      <w:bookmarkStart w:id="362" w:name="_Toc312677503"/>
      <w:r>
        <w:rPr>
          <w:rFonts w:hint="eastAsia" w:cs="宋体"/>
          <w:bCs/>
          <w:color w:val="auto"/>
          <w:sz w:val="21"/>
          <w:szCs w:val="21"/>
          <w:highlight w:val="none"/>
        </w:rPr>
        <w:t>0.5 承</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Start w:id="363" w:name="_Toc303539151"/>
      <w:bookmarkStart w:id="364" w:name="_Toc292559408"/>
      <w:bookmarkStart w:id="365" w:name="_Toc292559913"/>
      <w:bookmarkStart w:id="366" w:name="_Toc296891243"/>
      <w:bookmarkStart w:id="367" w:name="_Toc296503203"/>
      <w:bookmarkStart w:id="368" w:name="_Toc296346704"/>
      <w:bookmarkStart w:id="369" w:name="_Toc300934994"/>
      <w:bookmarkStart w:id="370" w:name="_Toc296347202"/>
      <w:bookmarkStart w:id="371" w:name="_Toc296944542"/>
      <w:bookmarkStart w:id="372" w:name="_Toc297123545"/>
      <w:bookmarkStart w:id="373" w:name="_Toc297120503"/>
      <w:bookmarkStart w:id="374" w:name="_Toc297216204"/>
      <w:bookmarkStart w:id="375" w:name="_Toc297048389"/>
      <w:bookmarkStart w:id="376" w:name="_Toc296891031"/>
      <w:r>
        <w:rPr>
          <w:rFonts w:hint="eastAsia" w:cs="宋体"/>
          <w:bCs/>
          <w:color w:val="auto"/>
          <w:sz w:val="21"/>
          <w:szCs w:val="21"/>
          <w:highlight w:val="none"/>
        </w:rPr>
        <w:t>包人的合理化建议</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0AD25C88">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监理人应在收到承包人提交的合理化建议后7天内审查完毕并报送发包人，发现其中存在技术上的缺陷，应通知承包人修改。</w:t>
      </w:r>
    </w:p>
    <w:p w14:paraId="61CE7259">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2E44CB71">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659E166E">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Start w:id="377" w:name="_Toc296944538"/>
      <w:bookmarkStart w:id="378" w:name="_Toc312678033"/>
      <w:bookmarkStart w:id="379" w:name="_Toc304295574"/>
      <w:bookmarkStart w:id="380" w:name="_Toc300934997"/>
      <w:bookmarkStart w:id="381" w:name="_Toc292559909"/>
      <w:bookmarkStart w:id="382" w:name="_Toc303539154"/>
      <w:bookmarkStart w:id="383" w:name="_Toc292559404"/>
      <w:bookmarkStart w:id="384" w:name="_Toc296891027"/>
      <w:bookmarkStart w:id="385" w:name="_Toc296891239"/>
      <w:bookmarkStart w:id="386" w:name="_Toc296503199"/>
      <w:bookmarkStart w:id="387" w:name="_Toc297123548"/>
      <w:bookmarkStart w:id="388" w:name="_Toc297120499"/>
      <w:bookmarkStart w:id="389" w:name="_Toc297216207"/>
      <w:bookmarkStart w:id="390" w:name="_Toc296347198"/>
      <w:bookmarkStart w:id="391" w:name="_Toc312677507"/>
      <w:bookmarkStart w:id="392" w:name="_Toc296346700"/>
      <w:bookmarkStart w:id="393" w:name="_Toc297048385"/>
      <w:r>
        <w:rPr>
          <w:rFonts w:hint="eastAsia" w:cs="宋体"/>
          <w:bCs/>
          <w:color w:val="auto"/>
          <w:sz w:val="21"/>
          <w:szCs w:val="21"/>
          <w:highlight w:val="none"/>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2EF694FF">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bookmarkStart w:id="394" w:name="_Toc351203643"/>
      <w:r>
        <w:rPr>
          <w:rFonts w:hint="eastAsia" w:ascii="宋体" w:hAnsi="宋体" w:eastAsia="宋体" w:cs="宋体"/>
          <w:color w:val="auto"/>
          <w:kern w:val="0"/>
          <w:sz w:val="21"/>
          <w:szCs w:val="21"/>
          <w:highlight w:val="none"/>
        </w:rPr>
        <w:t>暂估价材料和工程设备的明细</w:t>
      </w:r>
      <w:r>
        <w:rPr>
          <w:rFonts w:hint="eastAsia" w:ascii="宋体" w:hAnsi="宋体" w:eastAsia="宋体" w:cs="宋体"/>
          <w:color w:val="auto"/>
          <w:kern w:val="0"/>
          <w:sz w:val="21"/>
          <w:szCs w:val="21"/>
          <w:highlight w:val="none"/>
          <w:u w:val="single"/>
        </w:rPr>
        <w:t>详见本项目最高投标限价。</w:t>
      </w:r>
    </w:p>
    <w:p w14:paraId="2428F34E">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 依法必须招标的暂估价项目</w:t>
      </w:r>
    </w:p>
    <w:p w14:paraId="03C5BA02">
      <w:pPr>
        <w:pStyle w:val="2"/>
        <w:pageBreakBefore w:val="0"/>
        <w:kinsoku/>
        <w:wordWrap/>
        <w:topLinePunct w:val="0"/>
        <w:bidi w:val="0"/>
        <w:spacing w:beforeAutospacing="0" w:line="520" w:lineRule="exact"/>
        <w:ind w:firstLine="468"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对于依法必须招标的暂估价项目的确认和批准由发包人通过招标方式确定。</w:t>
      </w:r>
    </w:p>
    <w:p w14:paraId="36B1B066">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2672EADB">
      <w:pPr>
        <w:pStyle w:val="2"/>
        <w:pageBreakBefore w:val="0"/>
        <w:kinsoku/>
        <w:wordWrap/>
        <w:topLinePunct w:val="0"/>
        <w:bidi w:val="0"/>
        <w:spacing w:beforeAutospacing="0" w:line="520" w:lineRule="exact"/>
        <w:ind w:firstLine="468"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对于不属于依法必须招标的暂估价项目的确认和批准由发包人采用询价或招标方式确定。</w:t>
      </w:r>
    </w:p>
    <w:p w14:paraId="07998672">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第3种方式：承包人直接实施的暂估价项目</w:t>
      </w:r>
    </w:p>
    <w:p w14:paraId="2C0D4DA8">
      <w:pPr>
        <w:pStyle w:val="54"/>
        <w:pageBreakBefore w:val="0"/>
        <w:kinsoku/>
        <w:wordWrap/>
        <w:topLinePunct w:val="0"/>
        <w:bidi w:val="0"/>
        <w:spacing w:beforeAutospacing="0" w:after="0" w:line="5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执行通用条款 。</w:t>
      </w:r>
    </w:p>
    <w:p w14:paraId="2B074659">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46ABE8FE">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暂列金是发包人为可能发生工程变更而暂列的金额，是发包人自行确定设立的，承包商无权使用此笔费用。此费用按实际发生经发包人签证后确定全部使用、部分使用或不使用。暂列金不计入工程款付款的基数</w:t>
      </w:r>
      <w:r>
        <w:rPr>
          <w:rFonts w:hint="eastAsia" w:ascii="宋体" w:hAnsi="宋体" w:eastAsia="宋体" w:cs="宋体"/>
          <w:color w:val="auto"/>
          <w:kern w:val="0"/>
          <w:sz w:val="21"/>
          <w:szCs w:val="21"/>
          <w:highlight w:val="none"/>
        </w:rPr>
        <w:t>。</w:t>
      </w:r>
    </w:p>
    <w:p w14:paraId="483631BD">
      <w:pPr>
        <w:pageBreakBefore w:val="0"/>
        <w:kinsoku/>
        <w:wordWrap/>
        <w:topLinePunct w:val="0"/>
        <w:bidi w:val="0"/>
        <w:snapToGrid w:val="0"/>
        <w:spacing w:beforeAutospacing="0" w:line="520" w:lineRule="exact"/>
        <w:ind w:firstLine="210" w:firstLineChars="100"/>
        <w:outlineLvl w:val="2"/>
        <w:rPr>
          <w:rFonts w:cs="宋体"/>
          <w:color w:val="auto"/>
          <w:sz w:val="21"/>
          <w:szCs w:val="21"/>
          <w:highlight w:val="none"/>
        </w:rPr>
      </w:pPr>
      <w:r>
        <w:rPr>
          <w:rFonts w:hint="eastAsia" w:cs="宋体"/>
          <w:color w:val="auto"/>
          <w:sz w:val="21"/>
          <w:szCs w:val="21"/>
          <w:highlight w:val="none"/>
        </w:rPr>
        <w:t>11. 价格调整</w:t>
      </w:r>
      <w:bookmarkEnd w:id="394"/>
    </w:p>
    <w:bookmarkEnd w:id="322"/>
    <w:bookmarkEnd w:id="323"/>
    <w:bookmarkEnd w:id="324"/>
    <w:bookmarkEnd w:id="325"/>
    <w:bookmarkEnd w:id="326"/>
    <w:bookmarkEnd w:id="327"/>
    <w:p w14:paraId="6F5AE8C5">
      <w:pPr>
        <w:keepNext/>
        <w:keepLines/>
        <w:pageBreakBefore w:val="0"/>
        <w:kinsoku/>
        <w:wordWrap/>
        <w:topLinePunct w:val="0"/>
        <w:bidi w:val="0"/>
        <w:adjustRightInd w:val="0"/>
        <w:snapToGrid w:val="0"/>
        <w:spacing w:beforeAutospacing="0" w:line="520" w:lineRule="exact"/>
        <w:ind w:firstLine="420" w:firstLineChars="200"/>
        <w:outlineLvl w:val="3"/>
        <w:rPr>
          <w:rFonts w:hint="eastAsia" w:ascii="宋体" w:hAnsi="宋体" w:eastAsia="宋体" w:cs="宋体"/>
          <w:bCs/>
          <w:color w:val="auto"/>
          <w:sz w:val="21"/>
          <w:szCs w:val="21"/>
          <w:highlight w:val="none"/>
        </w:rPr>
      </w:pPr>
      <w:bookmarkStart w:id="395" w:name="_Toc296346706"/>
      <w:bookmarkStart w:id="396" w:name="_Toc296944544"/>
      <w:bookmarkStart w:id="397" w:name="_Toc303539159"/>
      <w:bookmarkStart w:id="398" w:name="_Toc304295579"/>
      <w:bookmarkStart w:id="399" w:name="_Toc297123552"/>
      <w:bookmarkStart w:id="400" w:name="_Toc297048391"/>
      <w:bookmarkStart w:id="401" w:name="_Toc296503205"/>
      <w:bookmarkStart w:id="402" w:name="_Toc297120505"/>
      <w:bookmarkStart w:id="403" w:name="_Toc296891033"/>
      <w:bookmarkStart w:id="404" w:name="_Toc292559915"/>
      <w:bookmarkStart w:id="405" w:name="_Toc300935002"/>
      <w:bookmarkStart w:id="406" w:name="_Toc292559410"/>
      <w:bookmarkStart w:id="407" w:name="_Toc351203644"/>
      <w:bookmarkStart w:id="408" w:name="_Toc296891245"/>
      <w:bookmarkStart w:id="409" w:name="_Toc297216211"/>
      <w:bookmarkStart w:id="410" w:name="_Toc296347204"/>
      <w:bookmarkStart w:id="411" w:name="_Toc312678040"/>
      <w:r>
        <w:rPr>
          <w:rFonts w:hint="eastAsia" w:ascii="宋体" w:hAnsi="宋体" w:eastAsia="宋体" w:cs="宋体"/>
          <w:bCs/>
          <w:color w:val="auto"/>
          <w:sz w:val="21"/>
          <w:szCs w:val="21"/>
          <w:highlight w:val="none"/>
        </w:rPr>
        <w:t>11.1 市场价格波动引起的调整</w:t>
      </w:r>
    </w:p>
    <w:p w14:paraId="686D0F57">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b/>
          <w:color w:val="auto"/>
          <w:sz w:val="21"/>
          <w:szCs w:val="21"/>
          <w:highlight w:val="none"/>
          <w:u w:val="single"/>
        </w:rPr>
        <w:t xml:space="preserve"> 不调整 </w:t>
      </w:r>
      <w:r>
        <w:rPr>
          <w:rFonts w:hint="eastAsia" w:ascii="宋体" w:hAnsi="宋体" w:eastAsia="宋体" w:cs="宋体"/>
          <w:color w:val="auto"/>
          <w:sz w:val="21"/>
          <w:szCs w:val="21"/>
          <w:highlight w:val="none"/>
        </w:rPr>
        <w:t>。</w:t>
      </w:r>
    </w:p>
    <w:p w14:paraId="4C065B25">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11.2人工费调整按省建设行政主管部门或其授权的工程造价管理机构发布的调整文件规定执行。 </w:t>
      </w:r>
    </w:p>
    <w:p w14:paraId="273F001D">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施工机械台班使用费的风险范围：施工机械台班使用费中燃料、水电费及其他要素价格风险由承包人承担。</w:t>
      </w:r>
    </w:p>
    <w:p w14:paraId="29594074">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其他价格调整方式：</w:t>
      </w:r>
      <w:r>
        <w:rPr>
          <w:rFonts w:hint="eastAsia" w:ascii="宋体" w:hAnsi="宋体" w:eastAsia="宋体" w:cs="宋体"/>
          <w:color w:val="auto"/>
          <w:sz w:val="21"/>
          <w:szCs w:val="21"/>
          <w:highlight w:val="none"/>
          <w:u w:val="single"/>
        </w:rPr>
        <w:t xml:space="preserve"> 不采用</w:t>
      </w:r>
      <w:r>
        <w:rPr>
          <w:rFonts w:hint="eastAsia" w:ascii="宋体" w:hAnsi="宋体" w:eastAsia="宋体" w:cs="宋体"/>
          <w:color w:val="auto"/>
          <w:sz w:val="21"/>
          <w:szCs w:val="21"/>
          <w:highlight w:val="none"/>
        </w:rPr>
        <w:t xml:space="preserve"> 。</w:t>
      </w:r>
    </w:p>
    <w:p w14:paraId="60876CB5">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11.3暂估价材料价格调整</w:t>
      </w:r>
    </w:p>
    <w:p w14:paraId="1705DB46">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价格：除上述专用条款中第11.1条中约定的可调价格材料和实行暂估价的材料（详见最高投标限价）外，其他材料由承包人按市场合格产品价格及采购文件的规定自行报价一次性包干，投标人在确定响应报价时应充分考虑材料价格上涨等市场风险因素，这部分材料价格今后将不作任何调整。</w:t>
      </w:r>
    </w:p>
    <w:p w14:paraId="4817B466">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（2）实行暂估价的主要材料(半成品)，在投标报价中按采购文件和答疑及工程量清单总说明给定的价格计算，不得减少报价，工程竣工结算时按二次招标价或甲乙双方认质认价的签证调整。</w:t>
      </w:r>
    </w:p>
    <w:p w14:paraId="6A3F709D">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（3）主要材料（半成品）的价差调整价款决算时仅计取税金，不再计取其他任何费用。</w:t>
      </w:r>
    </w:p>
    <w:p w14:paraId="563DAA05">
      <w:pPr>
        <w:pStyle w:val="6"/>
        <w:pageBreakBefore w:val="0"/>
        <w:kinsoku/>
        <w:wordWrap/>
        <w:topLinePunct w:val="0"/>
        <w:bidi w:val="0"/>
        <w:snapToGrid w:val="0"/>
        <w:spacing w:before="0" w:beforeAutospacing="0" w:after="0" w:line="520" w:lineRule="exact"/>
        <w:rPr>
          <w:rFonts w:hint="eastAsia" w:ascii="宋体" w:hAnsi="宋体" w:eastAsia="宋体" w:cs="宋体"/>
          <w:b w:val="0"/>
          <w:color w:val="auto"/>
          <w:sz w:val="21"/>
          <w:szCs w:val="21"/>
          <w:highlight w:val="none"/>
        </w:rPr>
      </w:pPr>
      <w:bookmarkStart w:id="412" w:name="_Toc19616"/>
      <w:bookmarkStart w:id="413" w:name="_Toc417623625"/>
      <w:r>
        <w:rPr>
          <w:rFonts w:hint="eastAsia" w:ascii="宋体" w:hAnsi="宋体" w:eastAsia="宋体" w:cs="宋体"/>
          <w:b w:val="0"/>
          <w:color w:val="auto"/>
          <w:sz w:val="21"/>
          <w:szCs w:val="21"/>
          <w:highlight w:val="none"/>
        </w:rPr>
        <w:t>12. 合同价格、计量与支付</w:t>
      </w:r>
      <w:bookmarkEnd w:id="412"/>
      <w:bookmarkEnd w:id="413"/>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5B7D074C">
      <w:pPr>
        <w:keepNext/>
        <w:keepLines/>
        <w:pageBreakBefore w:val="0"/>
        <w:kinsoku/>
        <w:wordWrap/>
        <w:topLinePunct w:val="0"/>
        <w:bidi w:val="0"/>
        <w:snapToGrid w:val="0"/>
        <w:spacing w:beforeAutospacing="0" w:line="520" w:lineRule="exact"/>
        <w:outlineLvl w:val="3"/>
        <w:rPr>
          <w:rFonts w:hint="eastAsia" w:ascii="宋体" w:hAnsi="宋体" w:eastAsia="宋体" w:cs="宋体"/>
          <w:color w:val="auto"/>
          <w:sz w:val="21"/>
          <w:szCs w:val="21"/>
          <w:highlight w:val="none"/>
        </w:rPr>
      </w:pPr>
      <w:bookmarkStart w:id="414" w:name="_Toc292559411"/>
      <w:bookmarkStart w:id="415" w:name="_Toc292559916"/>
      <w:bookmarkStart w:id="416" w:name="_Toc267251461"/>
      <w:bookmarkStart w:id="417" w:name="_Toc296503206"/>
      <w:bookmarkStart w:id="418" w:name="_Toc296346707"/>
      <w:bookmarkStart w:id="419" w:name="_Toc296347205"/>
      <w:bookmarkStart w:id="420" w:name="_Toc297048392"/>
      <w:bookmarkStart w:id="421" w:name="_Toc297120506"/>
      <w:bookmarkStart w:id="422" w:name="_Toc296891246"/>
      <w:bookmarkStart w:id="423" w:name="_Toc296891034"/>
      <w:bookmarkStart w:id="424" w:name="_Toc296944545"/>
      <w:bookmarkStart w:id="425" w:name="_Toc300935003"/>
      <w:bookmarkStart w:id="426" w:name="_Toc297216212"/>
      <w:bookmarkStart w:id="427" w:name="_Toc304295580"/>
      <w:bookmarkStart w:id="428" w:name="_Toc297123553"/>
      <w:bookmarkStart w:id="429" w:name="_Toc312678041"/>
      <w:bookmarkStart w:id="430" w:name="_Toc303539160"/>
      <w:r>
        <w:rPr>
          <w:rFonts w:hint="eastAsia" w:cs="宋体"/>
          <w:bCs/>
          <w:color w:val="auto"/>
          <w:sz w:val="21"/>
          <w:szCs w:val="21"/>
          <w:highlight w:val="none"/>
        </w:rPr>
        <w:t>12.1 合</w:t>
      </w:r>
      <w:bookmarkEnd w:id="414"/>
      <w:bookmarkEnd w:id="415"/>
      <w:bookmarkEnd w:id="416"/>
      <w:r>
        <w:rPr>
          <w:rFonts w:hint="eastAsia" w:cs="宋体"/>
          <w:bCs/>
          <w:color w:val="auto"/>
          <w:sz w:val="21"/>
          <w:szCs w:val="21"/>
          <w:highlight w:val="none"/>
        </w:rPr>
        <w:t>同价</w:t>
      </w:r>
      <w:bookmarkEnd w:id="417"/>
      <w:bookmarkEnd w:id="418"/>
      <w:bookmarkEnd w:id="419"/>
      <w:bookmarkEnd w:id="420"/>
      <w:bookmarkEnd w:id="421"/>
      <w:bookmarkEnd w:id="422"/>
      <w:bookmarkEnd w:id="423"/>
      <w:bookmarkEnd w:id="424"/>
      <w:r>
        <w:rPr>
          <w:rFonts w:hint="eastAsia" w:cs="宋体"/>
          <w:bCs/>
          <w:color w:val="auto"/>
          <w:sz w:val="21"/>
          <w:szCs w:val="21"/>
          <w:highlight w:val="none"/>
        </w:rPr>
        <w:t>格形式</w:t>
      </w:r>
      <w:bookmarkEnd w:id="425"/>
      <w:bookmarkEnd w:id="426"/>
      <w:bookmarkEnd w:id="427"/>
      <w:bookmarkEnd w:id="428"/>
      <w:bookmarkEnd w:id="429"/>
      <w:bookmarkEnd w:id="430"/>
      <w:bookmarkStart w:id="431" w:name="_Toc312678042"/>
      <w:bookmarkStart w:id="432" w:name="_Toc297216213"/>
      <w:bookmarkStart w:id="433" w:name="_Toc303539161"/>
      <w:bookmarkStart w:id="434" w:name="_Toc304295581"/>
      <w:bookmarkStart w:id="435" w:name="_Toc297123554"/>
      <w:bookmarkStart w:id="436" w:name="_Toc300935004"/>
      <w:bookmarkStart w:id="437" w:name="_Toc296503207"/>
      <w:bookmarkStart w:id="438" w:name="_Toc297120507"/>
      <w:bookmarkStart w:id="439" w:name="_Toc296891247"/>
      <w:bookmarkStart w:id="440" w:name="_Toc297048393"/>
      <w:bookmarkStart w:id="441" w:name="_Toc292559917"/>
      <w:bookmarkStart w:id="442" w:name="_Toc296346708"/>
      <w:bookmarkStart w:id="443" w:name="_Toc296347206"/>
      <w:bookmarkStart w:id="444" w:name="_Toc292559412"/>
      <w:bookmarkStart w:id="445" w:name="_Toc296891035"/>
      <w:bookmarkStart w:id="446" w:name="_Toc296944546"/>
      <w:r>
        <w:rPr>
          <w:rFonts w:hint="eastAsia" w:cs="宋体"/>
          <w:bCs/>
          <w:color w:val="auto"/>
          <w:sz w:val="21"/>
          <w:szCs w:val="21"/>
          <w:highlight w:val="none"/>
          <w:lang w:eastAsia="zh-CN"/>
        </w:rPr>
        <w:t>：</w:t>
      </w:r>
      <w:r>
        <w:rPr>
          <w:rFonts w:hint="eastAsia" w:ascii="宋体" w:hAnsi="宋体" w:eastAsia="宋体" w:cs="宋体"/>
          <w:color w:val="auto"/>
          <w:sz w:val="21"/>
          <w:szCs w:val="21"/>
          <w:highlight w:val="none"/>
        </w:rPr>
        <w:t>单价合同。</w:t>
      </w:r>
    </w:p>
    <w:p w14:paraId="69770DC2">
      <w:pPr>
        <w:pageBreakBefore w:val="0"/>
        <w:kinsoku/>
        <w:wordWrap/>
        <w:topLinePunct w:val="0"/>
        <w:bidi w:val="0"/>
        <w:adjustRightInd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隐含于已标价工程量清单综合单价中，用于化解发承包双方在工程合同中约定内容和范围内的市场价格波动风险的费用。综合单价包括为完成本项目所需要的一切费用,包括但不限于人工费、材料费、施工机械费、管理费、利润、风险费用、总包管理费、赶工措施费、相关交易费及完成本工程交易文件及合同条款内容等所有费用。</w:t>
      </w:r>
    </w:p>
    <w:p w14:paraId="4958CD5F">
      <w:pPr>
        <w:pageBreakBefore w:val="0"/>
        <w:kinsoku/>
        <w:wordWrap/>
        <w:topLinePunct w:val="0"/>
        <w:bidi w:val="0"/>
        <w:adjustRightInd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承包人自行考虑，包含在报价中 。</w:t>
      </w:r>
    </w:p>
    <w:p w14:paraId="05D19C7A">
      <w:pPr>
        <w:pageBreakBefore w:val="0"/>
        <w:kinsoku/>
        <w:wordWrap/>
        <w:topLinePunct w:val="0"/>
        <w:bidi w:val="0"/>
        <w:adjustRightInd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：按照国家级省市政策要求。 </w:t>
      </w:r>
    </w:p>
    <w:p w14:paraId="602BD78D">
      <w:pPr>
        <w:pageBreakBefore w:val="0"/>
        <w:kinsoku/>
        <w:wordWrap/>
        <w:topLinePunct w:val="0"/>
        <w:bidi w:val="0"/>
        <w:adjustRightInd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国家法律、法规、规章和政策发生变化及由政府定价或政府指导价管理的原材料等价格风险由发包人承担。</w:t>
      </w:r>
    </w:p>
    <w:p w14:paraId="18EB1ED4">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12.2 预付款</w:t>
      </w:r>
    </w:p>
    <w:bookmarkEnd w:id="431"/>
    <w:bookmarkEnd w:id="432"/>
    <w:bookmarkEnd w:id="433"/>
    <w:bookmarkEnd w:id="434"/>
    <w:bookmarkEnd w:id="435"/>
    <w:bookmarkEnd w:id="436"/>
    <w:p w14:paraId="56459F2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12.2.1 预付款的支付</w:t>
      </w:r>
    </w:p>
    <w:p w14:paraId="2D13227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预付款支付比例或金额：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BA9A58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预付款支付期限：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586876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预付款扣回的方式：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BB5726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12.2.2 预付款担保</w:t>
      </w:r>
    </w:p>
    <w:p w14:paraId="6BCA0CA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承包人提交预付款担保的期限：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E25349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预付款担保的形式为：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bookmarkEnd w:id="437"/>
    <w:bookmarkEnd w:id="438"/>
    <w:bookmarkEnd w:id="439"/>
    <w:bookmarkEnd w:id="440"/>
    <w:bookmarkEnd w:id="441"/>
    <w:bookmarkEnd w:id="442"/>
    <w:bookmarkEnd w:id="443"/>
    <w:bookmarkEnd w:id="444"/>
    <w:bookmarkEnd w:id="445"/>
    <w:bookmarkEnd w:id="446"/>
    <w:p w14:paraId="732D272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12.3 计量</w:t>
      </w:r>
    </w:p>
    <w:p w14:paraId="4126DCA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12.3.1 计量原则</w:t>
      </w:r>
    </w:p>
    <w:p w14:paraId="7052050C">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rPr>
      </w:pPr>
      <w:r>
        <w:rPr>
          <w:rFonts w:hint="eastAsia" w:cs="宋体"/>
          <w:color w:val="auto"/>
          <w:sz w:val="21"/>
          <w:szCs w:val="21"/>
          <w:highlight w:val="none"/>
        </w:rPr>
        <w:t>工程量计算规则：</w:t>
      </w:r>
      <w:r>
        <w:rPr>
          <w:rFonts w:hint="eastAsia" w:cs="宋体"/>
          <w:color w:val="auto"/>
          <w:sz w:val="21"/>
          <w:szCs w:val="21"/>
          <w:highlight w:val="none"/>
          <w:u w:val="single"/>
        </w:rPr>
        <w:t>按招标工程量清单及最高投标限价所采用的工程量清单计价规范及配套文件等</w:t>
      </w:r>
      <w:r>
        <w:rPr>
          <w:rFonts w:hint="eastAsia" w:cs="宋体"/>
          <w:b/>
          <w:color w:val="auto"/>
          <w:sz w:val="21"/>
          <w:szCs w:val="21"/>
          <w:highlight w:val="none"/>
        </w:rPr>
        <w:t>。</w:t>
      </w:r>
    </w:p>
    <w:p w14:paraId="008333F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12.3.2 计量周期</w:t>
      </w:r>
    </w:p>
    <w:p w14:paraId="77AD7D06">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rPr>
      </w:pPr>
      <w:r>
        <w:rPr>
          <w:rFonts w:hint="eastAsia" w:cs="宋体"/>
          <w:color w:val="auto"/>
          <w:sz w:val="21"/>
          <w:szCs w:val="21"/>
          <w:highlight w:val="none"/>
        </w:rPr>
        <w:t>关于计量周期的约定</w:t>
      </w:r>
      <w:r>
        <w:rPr>
          <w:rFonts w:hint="eastAsia" w:cs="宋体"/>
          <w:b/>
          <w:color w:val="auto"/>
          <w:sz w:val="21"/>
          <w:szCs w:val="21"/>
          <w:highlight w:val="none"/>
        </w:rPr>
        <w:t>：</w:t>
      </w:r>
      <w:r>
        <w:rPr>
          <w:rFonts w:hint="eastAsia" w:cs="宋体"/>
          <w:color w:val="auto"/>
          <w:sz w:val="21"/>
          <w:szCs w:val="21"/>
          <w:highlight w:val="none"/>
          <w:u w:val="single"/>
        </w:rPr>
        <w:t xml:space="preserve">见《专用合同条款数据表》 </w:t>
      </w:r>
      <w:r>
        <w:rPr>
          <w:rFonts w:hint="eastAsia" w:cs="宋体"/>
          <w:b/>
          <w:color w:val="auto"/>
          <w:sz w:val="21"/>
          <w:szCs w:val="21"/>
          <w:highlight w:val="none"/>
        </w:rPr>
        <w:t>。</w:t>
      </w:r>
    </w:p>
    <w:p w14:paraId="12A9841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12.3.3 单价合同的计量</w:t>
      </w:r>
    </w:p>
    <w:p w14:paraId="3313440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关于单价合同计量的约定：</w:t>
      </w:r>
      <w:r>
        <w:rPr>
          <w:rFonts w:hint="eastAsia" w:cs="宋体"/>
          <w:color w:val="auto"/>
          <w:sz w:val="21"/>
          <w:szCs w:val="21"/>
          <w:highlight w:val="none"/>
          <w:u w:val="single"/>
        </w:rPr>
        <w:t xml:space="preserve">  </w:t>
      </w:r>
      <w:r>
        <w:rPr>
          <w:rFonts w:ascii="宋体" w:hAnsi="宋体" w:eastAsia="宋体" w:cs="宋体"/>
          <w:color w:val="auto"/>
          <w:spacing w:val="8"/>
          <w:sz w:val="19"/>
          <w:szCs w:val="19"/>
          <w:highlight w:val="none"/>
          <w:u w:val="single" w:color="auto"/>
        </w:rPr>
        <w:t>固定综合单价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F20EF6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12.3.4 总价合同的计量</w:t>
      </w:r>
    </w:p>
    <w:p w14:paraId="37E4C3E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关于总价合同计量的约定：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不执行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D09EF3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12.3.5 总价合同采用支付分解表计量支付的，是否适用第12.3.4项〔总价合同的计量〕约定进行计量：</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不执行  </w:t>
      </w:r>
      <w:r>
        <w:rPr>
          <w:rFonts w:hint="eastAsia" w:cs="宋体"/>
          <w:b/>
          <w:color w:val="auto"/>
          <w:sz w:val="21"/>
          <w:szCs w:val="21"/>
          <w:highlight w:val="none"/>
        </w:rPr>
        <w:t>。</w:t>
      </w:r>
    </w:p>
    <w:p w14:paraId="5DD7DB9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12.3.6 其他价格形式合同的计量</w:t>
      </w:r>
    </w:p>
    <w:p w14:paraId="5B0CC108">
      <w:pPr>
        <w:pageBreakBefore w:val="0"/>
        <w:kinsoku/>
        <w:wordWrap/>
        <w:topLinePunct w:val="0"/>
        <w:bidi w:val="0"/>
        <w:adjustRightInd w:val="0"/>
        <w:snapToGrid w:val="0"/>
        <w:spacing w:beforeAutospacing="0" w:line="520" w:lineRule="exact"/>
        <w:ind w:firstLine="420" w:firstLineChars="200"/>
        <w:rPr>
          <w:rFonts w:hint="eastAsia" w:cs="宋体"/>
          <w:color w:val="auto"/>
          <w:sz w:val="21"/>
          <w:szCs w:val="21"/>
          <w:highlight w:val="none"/>
        </w:rPr>
      </w:pPr>
      <w:r>
        <w:rPr>
          <w:rFonts w:hint="eastAsia"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不执行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FB2B7FD">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12.4 工程进度款支付</w:t>
      </w:r>
    </w:p>
    <w:p w14:paraId="17CDDAC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bookmarkStart w:id="447" w:name="_Toc297048397"/>
      <w:bookmarkStart w:id="448" w:name="_Toc303539163"/>
      <w:bookmarkStart w:id="449" w:name="_Toc297120511"/>
      <w:bookmarkStart w:id="450" w:name="_Toc296346712"/>
      <w:bookmarkStart w:id="451" w:name="_Toc296944550"/>
      <w:bookmarkStart w:id="452" w:name="_Toc292559416"/>
      <w:bookmarkStart w:id="453" w:name="_Toc297216215"/>
      <w:bookmarkStart w:id="454" w:name="_Toc300935006"/>
      <w:bookmarkStart w:id="455" w:name="_Toc296503211"/>
      <w:bookmarkStart w:id="456" w:name="_Toc292559921"/>
      <w:bookmarkStart w:id="457" w:name="_Toc296347210"/>
      <w:bookmarkStart w:id="458" w:name="_Toc297123556"/>
      <w:bookmarkStart w:id="459" w:name="_Toc296891251"/>
      <w:bookmarkStart w:id="460" w:name="_Toc296891039"/>
      <w:r>
        <w:rPr>
          <w:rFonts w:hint="eastAsia" w:cs="宋体"/>
          <w:color w:val="auto"/>
          <w:sz w:val="21"/>
          <w:szCs w:val="21"/>
          <w:highlight w:val="none"/>
        </w:rPr>
        <w:t>12.4.1 付款周期</w:t>
      </w:r>
    </w:p>
    <w:p w14:paraId="15A124B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关于付款周期的约定：</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226D5A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12.4.2 进度付款申请单的编制</w:t>
      </w:r>
    </w:p>
    <w:p w14:paraId="6D7E433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关于进度付款申请单编制的约定：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847480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Fonts w:hint="eastAsia" w:cs="宋体"/>
          <w:color w:val="auto"/>
          <w:sz w:val="21"/>
          <w:szCs w:val="21"/>
          <w:highlight w:val="none"/>
        </w:rPr>
        <w:t>2.4.3 进度付款申请单的提交</w:t>
      </w:r>
    </w:p>
    <w:p w14:paraId="098B74B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（1）单价合同进度付款申请单提交的约定：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3B26CB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（2）总价合同进度付款申请单提交的约定：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5D8F7F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（3）其他价格形式合同进度付款申请单提交的约定：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03EDA5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12.4.4 进度款审核和支付</w:t>
      </w:r>
    </w:p>
    <w:p w14:paraId="0151D890">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（1）监理人审查并报送发包人的期限：</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B534811">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发包人完成审批并签发进度款支付证书的期限：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50DE172">
      <w:pPr>
        <w:pageBreakBefore w:val="0"/>
        <w:kinsoku/>
        <w:wordWrap/>
        <w:topLinePunct w:val="0"/>
        <w:bidi w:val="0"/>
        <w:adjustRightInd w:val="0"/>
        <w:snapToGrid w:val="0"/>
        <w:spacing w:beforeAutospacing="0" w:line="520" w:lineRule="exact"/>
        <w:ind w:firstLine="420" w:firstLineChars="200"/>
        <w:rPr>
          <w:rFonts w:hint="eastAsia" w:cs="宋体"/>
          <w:color w:val="auto"/>
          <w:sz w:val="21"/>
          <w:szCs w:val="21"/>
          <w:highlight w:val="none"/>
          <w:u w:val="single"/>
        </w:rPr>
      </w:pPr>
      <w:r>
        <w:rPr>
          <w:rFonts w:hint="eastAsia" w:cs="宋体"/>
          <w:color w:val="auto"/>
          <w:sz w:val="21"/>
          <w:szCs w:val="21"/>
          <w:highlight w:val="none"/>
        </w:rPr>
        <w:t>（2）发包人支付进度款的期限：</w:t>
      </w:r>
      <w:r>
        <w:rPr>
          <w:rFonts w:hint="eastAsia" w:ascii="宋体" w:hAnsi="宋体" w:eastAsia="宋体" w:cs="宋体"/>
          <w:bCs/>
          <w:color w:val="auto"/>
          <w:sz w:val="21"/>
          <w:szCs w:val="21"/>
          <w:highlight w:val="none"/>
          <w:u w:val="single"/>
          <w:lang w:val="en-US" w:eastAsia="zh-CN"/>
        </w:rPr>
        <w:t>本项目有预付款，签订合同并具备实施条件后支付合同总价的40%作为预付款（预付款支付前，中标人须提供同等金额的见索即付保函），施工完成并验收合格完成结算审核后付至审计价款的100%，支付最后一笔工程款前承包人须缴纳审计价款的2%作为工程质量保证金。质量保证金支持保函（银行保函、担保机构担保、保证保险）使用，保函有效期须与工程缺陷责任期截止时间保持一致。缺陷责任期满后，办理缺陷责任期验收手续和质保金退还结算，符合要求后，一个月内退还。</w:t>
      </w:r>
    </w:p>
    <w:p w14:paraId="11928D1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发包人逾期支付进度款的违约金的计算方式</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不采用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4EC22A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12.4.6 支付分解表的编制</w:t>
      </w:r>
    </w:p>
    <w:p w14:paraId="1A0D265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（2）总价合同支付分解表的编制与审批：</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7175FD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（3）单价合同的总价项目支付分解表的编制与审批：</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78D141C9">
      <w:pPr>
        <w:pageBreakBefore w:val="0"/>
        <w:kinsoku/>
        <w:wordWrap/>
        <w:topLinePunct w:val="0"/>
        <w:bidi w:val="0"/>
        <w:adjustRightInd w:val="0"/>
        <w:snapToGrid w:val="0"/>
        <w:spacing w:beforeAutospacing="0" w:line="520" w:lineRule="exact"/>
        <w:ind w:firstLine="420" w:firstLineChars="200"/>
        <w:rPr>
          <w:rFonts w:cs="宋体"/>
          <w:bCs/>
          <w:color w:val="auto"/>
          <w:sz w:val="21"/>
          <w:szCs w:val="21"/>
          <w:highlight w:val="none"/>
        </w:rPr>
      </w:pPr>
      <w:r>
        <w:rPr>
          <w:rFonts w:hint="eastAsia" w:cs="宋体"/>
          <w:bCs/>
          <w:color w:val="auto"/>
          <w:sz w:val="21"/>
          <w:szCs w:val="21"/>
          <w:highlight w:val="none"/>
        </w:rPr>
        <w:t>12.4.7 农民工工资管理</w:t>
      </w:r>
    </w:p>
    <w:p w14:paraId="75427141">
      <w:pPr>
        <w:pageBreakBefore w:val="0"/>
        <w:kinsoku/>
        <w:wordWrap/>
        <w:topLinePunct w:val="0"/>
        <w:bidi w:val="0"/>
        <w:adjustRightInd w:val="0"/>
        <w:snapToGrid w:val="0"/>
        <w:spacing w:beforeAutospacing="0" w:line="520" w:lineRule="exact"/>
        <w:ind w:firstLine="420" w:firstLineChars="200"/>
        <w:rPr>
          <w:rFonts w:cs="宋体"/>
          <w:bCs/>
          <w:color w:val="auto"/>
          <w:sz w:val="21"/>
          <w:szCs w:val="21"/>
          <w:highlight w:val="none"/>
        </w:rPr>
      </w:pPr>
      <w:r>
        <w:rPr>
          <w:rFonts w:hint="eastAsia" w:cs="宋体"/>
          <w:color w:val="auto"/>
          <w:sz w:val="21"/>
          <w:szCs w:val="21"/>
          <w:highlight w:val="none"/>
        </w:rPr>
        <w:t>（1）</w:t>
      </w:r>
      <w:r>
        <w:rPr>
          <w:rFonts w:hint="eastAsia" w:cs="宋体"/>
          <w:bCs/>
          <w:color w:val="auto"/>
          <w:sz w:val="21"/>
          <w:szCs w:val="21"/>
          <w:highlight w:val="none"/>
        </w:rPr>
        <w:t>本工程农民工工资实行专用账户管理，承包人设立的专用账户开户行为</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，账号：</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7EF61F7A">
      <w:pPr>
        <w:pageBreakBefore w:val="0"/>
        <w:kinsoku/>
        <w:wordWrap/>
        <w:topLinePunct w:val="0"/>
        <w:bidi w:val="0"/>
        <w:adjustRightInd w:val="0"/>
        <w:snapToGrid w:val="0"/>
        <w:spacing w:beforeAutospacing="0" w:line="520" w:lineRule="exact"/>
        <w:ind w:firstLine="420" w:firstLineChars="200"/>
        <w:rPr>
          <w:rFonts w:cs="宋体"/>
          <w:bCs/>
          <w:color w:val="auto"/>
          <w:sz w:val="21"/>
          <w:szCs w:val="21"/>
          <w:highlight w:val="none"/>
        </w:rPr>
      </w:pPr>
      <w:r>
        <w:rPr>
          <w:rFonts w:hint="eastAsia" w:cs="宋体"/>
          <w:color w:val="auto"/>
          <w:sz w:val="21"/>
          <w:szCs w:val="21"/>
          <w:highlight w:val="none"/>
        </w:rPr>
        <w:t>（2）</w:t>
      </w:r>
      <w:r>
        <w:rPr>
          <w:rFonts w:hint="eastAsia" w:cs="宋体"/>
          <w:bCs/>
          <w:color w:val="auto"/>
          <w:sz w:val="21"/>
          <w:szCs w:val="21"/>
          <w:highlight w:val="none"/>
        </w:rPr>
        <w:t>本工程工资性工程款</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元。</w:t>
      </w:r>
    </w:p>
    <w:p w14:paraId="14032EF8">
      <w:pPr>
        <w:pageBreakBefore w:val="0"/>
        <w:kinsoku/>
        <w:wordWrap/>
        <w:topLinePunct w:val="0"/>
        <w:bidi w:val="0"/>
        <w:adjustRightInd w:val="0"/>
        <w:snapToGrid w:val="0"/>
        <w:spacing w:beforeAutospacing="0" w:line="520" w:lineRule="exact"/>
        <w:ind w:firstLine="420" w:firstLineChars="200"/>
        <w:rPr>
          <w:rFonts w:cs="宋体"/>
          <w:bCs/>
          <w:color w:val="auto"/>
          <w:sz w:val="21"/>
          <w:szCs w:val="21"/>
          <w:highlight w:val="none"/>
        </w:rPr>
      </w:pPr>
      <w:r>
        <w:rPr>
          <w:rFonts w:hint="eastAsia" w:cs="宋体"/>
          <w:color w:val="auto"/>
          <w:sz w:val="21"/>
          <w:szCs w:val="21"/>
          <w:highlight w:val="none"/>
        </w:rPr>
        <w:t>（3）</w:t>
      </w:r>
      <w:r>
        <w:rPr>
          <w:rFonts w:hint="eastAsia" w:cs="宋体"/>
          <w:bCs/>
          <w:color w:val="auto"/>
          <w:sz w:val="21"/>
          <w:szCs w:val="21"/>
          <w:highlight w:val="none"/>
        </w:rPr>
        <w:t>发包人于每月</w:t>
      </w:r>
      <w:r>
        <w:rPr>
          <w:rFonts w:hint="eastAsia" w:cs="宋体"/>
          <w:bCs/>
          <w:color w:val="auto"/>
          <w:sz w:val="21"/>
          <w:szCs w:val="21"/>
          <w:highlight w:val="none"/>
          <w:u w:val="single"/>
          <w:lang w:val="en-US" w:eastAsia="zh-CN"/>
        </w:rPr>
        <w:t>/</w:t>
      </w:r>
      <w:r>
        <w:rPr>
          <w:rFonts w:hint="eastAsia" w:cs="宋体"/>
          <w:bCs/>
          <w:color w:val="auto"/>
          <w:sz w:val="21"/>
          <w:szCs w:val="21"/>
          <w:highlight w:val="none"/>
        </w:rPr>
        <w:t>日前将工资性工程进度款转入农民工工资专用账户。</w:t>
      </w:r>
    </w:p>
    <w:p w14:paraId="523BA515">
      <w:pPr>
        <w:pageBreakBefore w:val="0"/>
        <w:kinsoku/>
        <w:wordWrap/>
        <w:topLinePunct w:val="0"/>
        <w:bidi w:val="0"/>
        <w:adjustRightInd w:val="0"/>
        <w:snapToGrid w:val="0"/>
        <w:spacing w:beforeAutospacing="0" w:line="520" w:lineRule="exact"/>
        <w:ind w:firstLine="420" w:firstLineChars="200"/>
        <w:rPr>
          <w:rFonts w:cs="宋体"/>
          <w:bCs/>
          <w:color w:val="auto"/>
          <w:sz w:val="21"/>
          <w:szCs w:val="21"/>
          <w:highlight w:val="none"/>
        </w:rPr>
      </w:pPr>
      <w:r>
        <w:rPr>
          <w:rFonts w:hint="eastAsia" w:cs="宋体"/>
          <w:color w:val="auto"/>
          <w:sz w:val="21"/>
          <w:szCs w:val="21"/>
          <w:highlight w:val="none"/>
        </w:rPr>
        <w:t>（4）</w:t>
      </w:r>
      <w:r>
        <w:rPr>
          <w:rFonts w:hint="eastAsia" w:cs="宋体"/>
          <w:bCs/>
          <w:color w:val="auto"/>
          <w:sz w:val="21"/>
          <w:szCs w:val="21"/>
          <w:highlight w:val="none"/>
        </w:rPr>
        <w:t>承包人每月</w:t>
      </w:r>
      <w:r>
        <w:rPr>
          <w:rFonts w:hint="eastAsia" w:cs="宋体"/>
          <w:bCs/>
          <w:color w:val="auto"/>
          <w:sz w:val="21"/>
          <w:szCs w:val="21"/>
          <w:highlight w:val="none"/>
          <w:u w:val="single"/>
          <w:lang w:val="en-US" w:eastAsia="zh-CN"/>
        </w:rPr>
        <w:t>/</w:t>
      </w:r>
      <w:r>
        <w:rPr>
          <w:rFonts w:hint="eastAsia" w:cs="宋体"/>
          <w:bCs/>
          <w:color w:val="auto"/>
          <w:sz w:val="21"/>
          <w:szCs w:val="21"/>
          <w:highlight w:val="none"/>
        </w:rPr>
        <w:t>日前上报本工程农民工工资清单，每月</w:t>
      </w:r>
      <w:r>
        <w:rPr>
          <w:rFonts w:hint="eastAsia" w:cs="宋体"/>
          <w:bCs/>
          <w:color w:val="auto"/>
          <w:sz w:val="21"/>
          <w:szCs w:val="21"/>
          <w:highlight w:val="none"/>
          <w:u w:val="single"/>
          <w:lang w:val="en-US" w:eastAsia="zh-CN"/>
        </w:rPr>
        <w:t>/</w:t>
      </w:r>
      <w:r>
        <w:rPr>
          <w:rFonts w:hint="eastAsia" w:cs="宋体"/>
          <w:bCs/>
          <w:color w:val="auto"/>
          <w:sz w:val="21"/>
          <w:szCs w:val="21"/>
          <w:highlight w:val="none"/>
        </w:rPr>
        <w:t>日前委托开设农民工工资专用账户的银行支付农民工工资。</w:t>
      </w:r>
    </w:p>
    <w:p w14:paraId="7C8F3E9B">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rPr>
      </w:pPr>
      <w:r>
        <w:rPr>
          <w:rFonts w:hint="eastAsia" w:cs="宋体"/>
          <w:color w:val="auto"/>
          <w:sz w:val="21"/>
          <w:szCs w:val="21"/>
          <w:highlight w:val="none"/>
        </w:rPr>
        <w:t>（5）</w:t>
      </w:r>
      <w:r>
        <w:rPr>
          <w:rFonts w:hint="eastAsia" w:cs="宋体"/>
          <w:bCs/>
          <w:color w:val="auto"/>
          <w:sz w:val="21"/>
          <w:szCs w:val="21"/>
          <w:highlight w:val="none"/>
        </w:rPr>
        <w:t>工程竣工后，经项目部农民工维权组确认无农民工工资拖欠后，发、承双方办理农民工工资专用账户撤销手续，农民工工资专用账户余额划至本合同约定的承包人账户。</w:t>
      </w:r>
    </w:p>
    <w:bookmarkEnd w:id="328"/>
    <w:p w14:paraId="1DFA77A0">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461" w:name="_Toc351203645"/>
      <w:bookmarkStart w:id="462" w:name="_Toc292559929"/>
      <w:bookmarkStart w:id="463" w:name="_Toc312678053"/>
      <w:bookmarkStart w:id="464" w:name="_Toc296891047"/>
      <w:bookmarkStart w:id="465" w:name="_Toc296346720"/>
      <w:bookmarkStart w:id="466" w:name="_Toc292559424"/>
      <w:bookmarkStart w:id="467" w:name="_Toc300935015"/>
      <w:bookmarkStart w:id="468" w:name="_Toc297123564"/>
      <w:bookmarkStart w:id="469" w:name="_Toc296944558"/>
      <w:bookmarkStart w:id="470" w:name="_Toc296347218"/>
      <w:bookmarkStart w:id="471" w:name="_Toc296503219"/>
      <w:bookmarkStart w:id="472" w:name="_Toc297120519"/>
      <w:bookmarkStart w:id="473" w:name="_Toc297048405"/>
      <w:bookmarkStart w:id="474" w:name="_Toc303539172"/>
      <w:bookmarkStart w:id="475" w:name="_Toc297216223"/>
      <w:bookmarkStart w:id="476" w:name="_Toc304295593"/>
      <w:bookmarkStart w:id="477" w:name="_Toc296891259"/>
      <w:r>
        <w:rPr>
          <w:rFonts w:hint="eastAsia" w:cs="宋体"/>
          <w:color w:val="auto"/>
          <w:sz w:val="21"/>
          <w:szCs w:val="21"/>
          <w:highlight w:val="none"/>
        </w:rPr>
        <w:t>13. 验收和工程试车</w:t>
      </w:r>
      <w:bookmarkEnd w:id="461"/>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14:paraId="65C8173B">
      <w:pPr>
        <w:keepNext/>
        <w:keepLines/>
        <w:pageBreakBefore w:val="0"/>
        <w:kinsoku/>
        <w:wordWrap/>
        <w:topLinePunct w:val="0"/>
        <w:bidi w:val="0"/>
        <w:snapToGrid w:val="0"/>
        <w:spacing w:beforeAutospacing="0" w:line="520" w:lineRule="exact"/>
        <w:jc w:val="left"/>
        <w:outlineLvl w:val="2"/>
        <w:rPr>
          <w:rFonts w:cs="宋体"/>
          <w:bCs/>
          <w:color w:val="auto"/>
          <w:sz w:val="21"/>
          <w:szCs w:val="21"/>
          <w:highlight w:val="none"/>
        </w:rPr>
      </w:pPr>
      <w:r>
        <w:rPr>
          <w:rFonts w:hint="eastAsia" w:cs="宋体"/>
          <w:bCs/>
          <w:color w:val="auto"/>
          <w:sz w:val="21"/>
          <w:szCs w:val="21"/>
          <w:highlight w:val="none"/>
        </w:rPr>
        <w:t>13.1 分部分项工程验收</w:t>
      </w:r>
    </w:p>
    <w:p w14:paraId="3152356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13.1.2 监理人不能按时进行验收时，应提前</w:t>
      </w:r>
      <w:r>
        <w:rPr>
          <w:rFonts w:hint="eastAsia" w:cs="宋体"/>
          <w:color w:val="auto"/>
          <w:sz w:val="21"/>
          <w:szCs w:val="21"/>
          <w:highlight w:val="none"/>
          <w:u w:val="single"/>
        </w:rPr>
        <w:t>24</w:t>
      </w:r>
      <w:r>
        <w:rPr>
          <w:rFonts w:hint="eastAsia" w:cs="宋体"/>
          <w:color w:val="auto"/>
          <w:sz w:val="21"/>
          <w:szCs w:val="21"/>
          <w:highlight w:val="none"/>
        </w:rPr>
        <w:t>小时提交书面延期要求。</w:t>
      </w:r>
    </w:p>
    <w:p w14:paraId="18F0D490">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rPr>
      </w:pPr>
      <w:r>
        <w:rPr>
          <w:rFonts w:hint="eastAsia" w:cs="宋体"/>
          <w:color w:val="auto"/>
          <w:sz w:val="21"/>
          <w:szCs w:val="21"/>
          <w:highlight w:val="none"/>
        </w:rPr>
        <w:t>关于延期最长不得超过：</w:t>
      </w:r>
      <w:r>
        <w:rPr>
          <w:rFonts w:hint="eastAsia" w:cs="宋体"/>
          <w:color w:val="auto"/>
          <w:sz w:val="21"/>
          <w:szCs w:val="21"/>
          <w:highlight w:val="none"/>
          <w:u w:val="single"/>
        </w:rPr>
        <w:t>48</w:t>
      </w:r>
      <w:r>
        <w:rPr>
          <w:rFonts w:hint="eastAsia" w:cs="宋体"/>
          <w:color w:val="auto"/>
          <w:sz w:val="21"/>
          <w:szCs w:val="21"/>
          <w:highlight w:val="none"/>
        </w:rPr>
        <w:t>小时。</w:t>
      </w:r>
    </w:p>
    <w:p w14:paraId="79B1DE3F">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bookmarkStart w:id="478" w:name="_Toc300935016"/>
      <w:bookmarkStart w:id="479" w:name="_Toc292559428"/>
      <w:bookmarkStart w:id="480" w:name="_Toc296347222"/>
      <w:bookmarkStart w:id="481" w:name="_Toc296891051"/>
      <w:bookmarkStart w:id="482" w:name="_Toc297123565"/>
      <w:bookmarkStart w:id="483" w:name="_Toc296891263"/>
      <w:bookmarkStart w:id="484" w:name="_Toc312678056"/>
      <w:bookmarkStart w:id="485" w:name="_Toc297048409"/>
      <w:bookmarkStart w:id="486" w:name="_Toc296503223"/>
      <w:bookmarkStart w:id="487" w:name="_Toc303539173"/>
      <w:bookmarkStart w:id="488" w:name="_Toc296944562"/>
      <w:bookmarkStart w:id="489" w:name="_Toc297120523"/>
      <w:bookmarkStart w:id="490" w:name="_Toc304295596"/>
      <w:bookmarkStart w:id="491" w:name="_Toc292559933"/>
      <w:bookmarkStart w:id="492" w:name="_Toc296346724"/>
      <w:bookmarkStart w:id="493" w:name="_Toc297216224"/>
      <w:bookmarkStart w:id="494" w:name="_Toc267251472"/>
      <w:bookmarkStart w:id="495" w:name="_Toc267251473"/>
      <w:bookmarkStart w:id="496" w:name="_Toc267251476"/>
      <w:bookmarkStart w:id="497" w:name="_Toc267251470"/>
      <w:bookmarkStart w:id="498" w:name="_Toc267251471"/>
      <w:bookmarkStart w:id="499" w:name="_Toc267251474"/>
      <w:bookmarkStart w:id="500" w:name="_Toc267251475"/>
      <w:r>
        <w:rPr>
          <w:rFonts w:hint="eastAsia" w:cs="宋体"/>
          <w:bCs/>
          <w:color w:val="auto"/>
          <w:sz w:val="21"/>
          <w:szCs w:val="21"/>
          <w:highlight w:val="none"/>
        </w:rPr>
        <w:t>13.2 竣工验收</w:t>
      </w:r>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14:paraId="7A84EB9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bookmarkStart w:id="501" w:name="_Toc280868704"/>
      <w:bookmarkStart w:id="502" w:name="_Toc280868705"/>
      <w:bookmarkStart w:id="503" w:name="_Toc280868706"/>
      <w:bookmarkStart w:id="504" w:name="_Toc280868707"/>
      <w:bookmarkStart w:id="505" w:name="_Toc280868708"/>
      <w:bookmarkStart w:id="506" w:name="_Toc280868709"/>
      <w:r>
        <w:rPr>
          <w:rFonts w:hint="eastAsia" w:cs="宋体"/>
          <w:color w:val="auto"/>
          <w:sz w:val="21"/>
          <w:szCs w:val="21"/>
          <w:highlight w:val="none"/>
        </w:rPr>
        <w:t>13.2.2 竣工验收程序</w:t>
      </w:r>
    </w:p>
    <w:bookmarkEnd w:id="501"/>
    <w:p w14:paraId="3788509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关于竣工验收程序的约定：</w:t>
      </w:r>
      <w:r>
        <w:rPr>
          <w:rFonts w:hint="eastAsia" w:cs="宋体"/>
          <w:color w:val="auto"/>
          <w:sz w:val="21"/>
          <w:szCs w:val="21"/>
          <w:highlight w:val="none"/>
          <w:u w:val="single"/>
        </w:rPr>
        <w:t>执行通用条款</w:t>
      </w:r>
      <w:r>
        <w:rPr>
          <w:rFonts w:hint="eastAsia" w:cs="宋体"/>
          <w:color w:val="auto"/>
          <w:sz w:val="21"/>
          <w:szCs w:val="21"/>
          <w:highlight w:val="none"/>
        </w:rPr>
        <w:t>。</w:t>
      </w:r>
    </w:p>
    <w:p w14:paraId="62EBD44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发包人不按照本项约定组织竣工验收、颁发工程接收证书的违约金的计算方法：</w:t>
      </w:r>
      <w:r>
        <w:rPr>
          <w:rFonts w:hint="eastAsia" w:cs="宋体"/>
          <w:color w:val="auto"/>
          <w:sz w:val="21"/>
          <w:szCs w:val="21"/>
          <w:highlight w:val="none"/>
          <w:u w:val="single"/>
        </w:rPr>
        <w:t>执行通用条款</w:t>
      </w:r>
      <w:r>
        <w:rPr>
          <w:rFonts w:hint="eastAsia" w:cs="宋体"/>
          <w:color w:val="auto"/>
          <w:sz w:val="21"/>
          <w:szCs w:val="21"/>
          <w:highlight w:val="none"/>
        </w:rPr>
        <w:t>。</w:t>
      </w:r>
    </w:p>
    <w:bookmarkEnd w:id="502"/>
    <w:p w14:paraId="425683D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13.2.5 移交、接收全部与部分工程</w:t>
      </w:r>
    </w:p>
    <w:bookmarkEnd w:id="503"/>
    <w:p w14:paraId="0D22E90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承包人向发包人移交工程的期限：</w:t>
      </w:r>
      <w:r>
        <w:rPr>
          <w:rFonts w:hint="eastAsia" w:cs="宋体"/>
          <w:color w:val="auto"/>
          <w:sz w:val="21"/>
          <w:szCs w:val="21"/>
          <w:highlight w:val="none"/>
          <w:u w:val="single"/>
          <w:lang w:val="en-US" w:eastAsia="zh-CN"/>
        </w:rPr>
        <w:t>竣工验收合格</w:t>
      </w:r>
      <w:r>
        <w:rPr>
          <w:rFonts w:hint="eastAsia" w:cs="宋体"/>
          <w:color w:val="auto"/>
          <w:sz w:val="21"/>
          <w:szCs w:val="21"/>
          <w:highlight w:val="none"/>
          <w:u w:val="single"/>
        </w:rPr>
        <w:t>后7天内完成工程的移交</w:t>
      </w:r>
      <w:r>
        <w:rPr>
          <w:rFonts w:hint="eastAsia" w:cs="宋体"/>
          <w:color w:val="auto"/>
          <w:sz w:val="21"/>
          <w:szCs w:val="21"/>
          <w:highlight w:val="none"/>
        </w:rPr>
        <w:t>。</w:t>
      </w:r>
    </w:p>
    <w:p w14:paraId="3C6D881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发包人未按本合同约定接收全部或部分工程的，违约金的计算方法为：</w:t>
      </w:r>
      <w:r>
        <w:rPr>
          <w:rFonts w:hint="eastAsia" w:cs="宋体"/>
          <w:color w:val="auto"/>
          <w:sz w:val="21"/>
          <w:szCs w:val="21"/>
          <w:highlight w:val="none"/>
          <w:u w:val="single"/>
          <w:lang w:val="en-US" w:eastAsia="zh-CN"/>
        </w:rPr>
        <w:t>不考虑</w:t>
      </w:r>
      <w:r>
        <w:rPr>
          <w:rFonts w:hint="eastAsia" w:cs="宋体"/>
          <w:color w:val="auto"/>
          <w:sz w:val="21"/>
          <w:szCs w:val="21"/>
          <w:highlight w:val="none"/>
        </w:rPr>
        <w:t>。</w:t>
      </w:r>
    </w:p>
    <w:bookmarkEnd w:id="504"/>
    <w:p w14:paraId="19961F75">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暂停工程款支付；承包人承担工程照管、成品保护、保管等与工程有关的各项费用 </w:t>
      </w:r>
      <w:r>
        <w:rPr>
          <w:rFonts w:hint="eastAsia" w:ascii="宋体" w:hAnsi="宋体" w:eastAsia="宋体" w:cs="宋体"/>
          <w:color w:val="auto"/>
          <w:sz w:val="21"/>
          <w:szCs w:val="21"/>
          <w:highlight w:val="none"/>
        </w:rPr>
        <w:t>。</w:t>
      </w:r>
    </w:p>
    <w:p w14:paraId="599E7EC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13.3 工程试车</w:t>
      </w:r>
    </w:p>
    <w:bookmarkEnd w:id="505"/>
    <w:p w14:paraId="0ED2572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13.3.1 试车程序</w:t>
      </w:r>
    </w:p>
    <w:p w14:paraId="7E28718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工程试车内容：</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配电线路带符合运转，无条件配合空调安装项目的调试，并由此承担自身过失责任</w:t>
      </w:r>
      <w:r>
        <w:rPr>
          <w:rFonts w:hint="eastAsia" w:cs="宋体"/>
          <w:color w:val="auto"/>
          <w:sz w:val="21"/>
          <w:szCs w:val="21"/>
          <w:highlight w:val="none"/>
        </w:rPr>
        <w:t>。</w:t>
      </w:r>
    </w:p>
    <w:p w14:paraId="6D59B9F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（1）单机无负荷试车费用由</w:t>
      </w:r>
      <w:r>
        <w:rPr>
          <w:rFonts w:hint="eastAsia" w:ascii="宋体" w:hAnsi="宋体" w:eastAsia="宋体" w:cs="宋体"/>
          <w:color w:val="auto"/>
          <w:sz w:val="21"/>
          <w:szCs w:val="21"/>
          <w:highlight w:val="none"/>
          <w:u w:val="single"/>
        </w:rPr>
        <w:t>承包人</w:t>
      </w:r>
      <w:r>
        <w:rPr>
          <w:rFonts w:hint="eastAsia" w:cs="宋体"/>
          <w:color w:val="auto"/>
          <w:sz w:val="21"/>
          <w:szCs w:val="21"/>
          <w:highlight w:val="none"/>
        </w:rPr>
        <w:t>承担；</w:t>
      </w:r>
    </w:p>
    <w:p w14:paraId="6DB8816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（2）无负荷联动试车费用由</w:t>
      </w:r>
      <w:r>
        <w:rPr>
          <w:rFonts w:hint="eastAsia" w:ascii="宋体" w:hAnsi="宋体" w:eastAsia="宋体" w:cs="宋体"/>
          <w:color w:val="auto"/>
          <w:sz w:val="21"/>
          <w:szCs w:val="21"/>
          <w:highlight w:val="none"/>
          <w:u w:val="single"/>
        </w:rPr>
        <w:t>承包人</w:t>
      </w:r>
      <w:r>
        <w:rPr>
          <w:rFonts w:hint="eastAsia" w:cs="宋体"/>
          <w:color w:val="auto"/>
          <w:sz w:val="21"/>
          <w:szCs w:val="21"/>
          <w:highlight w:val="none"/>
        </w:rPr>
        <w:t>承担。</w:t>
      </w:r>
    </w:p>
    <w:p w14:paraId="55BBD9F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13.3.3 投料试车</w:t>
      </w:r>
    </w:p>
    <w:p w14:paraId="74962FE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关于投料试车相关事项的约定：</w:t>
      </w:r>
      <w:r>
        <w:rPr>
          <w:rFonts w:hint="eastAsia" w:cs="宋体"/>
          <w:color w:val="auto"/>
          <w:sz w:val="21"/>
          <w:szCs w:val="21"/>
          <w:highlight w:val="none"/>
          <w:u w:val="single"/>
        </w:rPr>
        <w:t>执行通用条款</w:t>
      </w:r>
      <w:r>
        <w:rPr>
          <w:rFonts w:hint="eastAsia" w:cs="宋体"/>
          <w:color w:val="auto"/>
          <w:sz w:val="21"/>
          <w:szCs w:val="21"/>
          <w:highlight w:val="none"/>
        </w:rPr>
        <w:t>。</w:t>
      </w:r>
    </w:p>
    <w:p w14:paraId="0E6D1FB6">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13.6 竣工退场</w:t>
      </w:r>
    </w:p>
    <w:p w14:paraId="43C256F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13.6.1 竣工退场</w:t>
      </w:r>
    </w:p>
    <w:p w14:paraId="01E88C0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竣工之日起15日内。</w:t>
      </w:r>
      <w:r>
        <w:rPr>
          <w:rFonts w:hint="eastAsia" w:cs="宋体"/>
          <w:color w:val="auto"/>
          <w:sz w:val="21"/>
          <w:szCs w:val="21"/>
          <w:highlight w:val="none"/>
        </w:rPr>
        <w:t>。</w:t>
      </w:r>
    </w:p>
    <w:p w14:paraId="626942CC">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507" w:name="_Toc351203646"/>
      <w:r>
        <w:rPr>
          <w:rFonts w:hint="eastAsia" w:cs="宋体"/>
          <w:color w:val="auto"/>
          <w:sz w:val="21"/>
          <w:szCs w:val="21"/>
          <w:highlight w:val="none"/>
        </w:rPr>
        <w:t>14. 竣工结算</w:t>
      </w:r>
      <w:bookmarkEnd w:id="507"/>
    </w:p>
    <w:p w14:paraId="481C2EAB">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14.1 竣工结算申请</w:t>
      </w:r>
    </w:p>
    <w:p w14:paraId="15C1DFF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承包人提交竣工结算申请单的期限：</w:t>
      </w:r>
      <w:r>
        <w:rPr>
          <w:rFonts w:hint="eastAsia" w:cs="宋体"/>
          <w:color w:val="auto"/>
          <w:sz w:val="21"/>
          <w:szCs w:val="21"/>
          <w:highlight w:val="none"/>
          <w:u w:val="single"/>
        </w:rPr>
        <w:t>承包人应在工程竣工验收合格后</w:t>
      </w:r>
      <w:r>
        <w:rPr>
          <w:rFonts w:hint="eastAsia" w:cs="宋体"/>
          <w:color w:val="auto"/>
          <w:sz w:val="21"/>
          <w:szCs w:val="21"/>
          <w:highlight w:val="none"/>
          <w:u w:val="single"/>
          <w:lang w:val="en-US" w:eastAsia="zh-CN"/>
        </w:rPr>
        <w:t>10</w:t>
      </w:r>
      <w:r>
        <w:rPr>
          <w:rFonts w:hint="eastAsia" w:cs="宋体"/>
          <w:color w:val="auto"/>
          <w:sz w:val="21"/>
          <w:szCs w:val="21"/>
          <w:highlight w:val="none"/>
          <w:u w:val="single"/>
        </w:rPr>
        <w:t>天内</w:t>
      </w:r>
      <w:r>
        <w:rPr>
          <w:rFonts w:hint="eastAsia" w:cs="宋体"/>
          <w:color w:val="auto"/>
          <w:sz w:val="21"/>
          <w:szCs w:val="21"/>
          <w:highlight w:val="none"/>
        </w:rPr>
        <w:t>。</w:t>
      </w:r>
    </w:p>
    <w:p w14:paraId="2380389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竣工结算申请单应包括的内容：</w:t>
      </w:r>
      <w:r>
        <w:rPr>
          <w:rFonts w:hint="eastAsia" w:cs="宋体"/>
          <w:color w:val="auto"/>
          <w:sz w:val="21"/>
          <w:szCs w:val="21"/>
          <w:highlight w:val="none"/>
          <w:u w:val="single"/>
        </w:rPr>
        <w:t>执行通用条款</w:t>
      </w:r>
      <w:r>
        <w:rPr>
          <w:rFonts w:hint="eastAsia" w:cs="宋体"/>
          <w:color w:val="auto"/>
          <w:sz w:val="21"/>
          <w:szCs w:val="21"/>
          <w:highlight w:val="none"/>
        </w:rPr>
        <w:t>。</w:t>
      </w:r>
    </w:p>
    <w:p w14:paraId="279CA90C">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14.2 竣工结算审核</w:t>
      </w:r>
    </w:p>
    <w:p w14:paraId="346C811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发包人审批竣工付款申请单的期限：</w:t>
      </w:r>
      <w:r>
        <w:rPr>
          <w:rFonts w:hint="eastAsia" w:cs="宋体"/>
          <w:color w:val="auto"/>
          <w:sz w:val="21"/>
          <w:szCs w:val="21"/>
          <w:highlight w:val="none"/>
          <w:u w:val="single"/>
        </w:rPr>
        <w:t>发包人应在收到监理人提交的经审核的竣工结算申请单后14天内完成审批</w:t>
      </w:r>
      <w:r>
        <w:rPr>
          <w:rFonts w:hint="eastAsia" w:cs="宋体"/>
          <w:color w:val="auto"/>
          <w:sz w:val="21"/>
          <w:szCs w:val="21"/>
          <w:highlight w:val="none"/>
        </w:rPr>
        <w:t>。</w:t>
      </w:r>
    </w:p>
    <w:p w14:paraId="26BA6E1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发包人完成竣工付款的期限：</w:t>
      </w:r>
      <w:r>
        <w:rPr>
          <w:rFonts w:hint="eastAsia" w:cs="宋体"/>
          <w:color w:val="auto"/>
          <w:sz w:val="21"/>
          <w:szCs w:val="21"/>
          <w:highlight w:val="none"/>
          <w:u w:val="single"/>
        </w:rPr>
        <w:t>发包人应在签发竣工付款证书后的14 天内，完成对承包人的竣工付款</w:t>
      </w:r>
      <w:r>
        <w:rPr>
          <w:rFonts w:hint="eastAsia" w:cs="宋体"/>
          <w:color w:val="auto"/>
          <w:sz w:val="21"/>
          <w:szCs w:val="21"/>
          <w:highlight w:val="none"/>
        </w:rPr>
        <w:t>。</w:t>
      </w:r>
    </w:p>
    <w:p w14:paraId="4944D98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关于竣工付款证书异议部分复核的方式和程序：</w:t>
      </w:r>
      <w:r>
        <w:rPr>
          <w:rFonts w:hint="eastAsia" w:cs="宋体"/>
          <w:color w:val="auto"/>
          <w:sz w:val="21"/>
          <w:szCs w:val="21"/>
          <w:highlight w:val="none"/>
          <w:u w:val="single"/>
        </w:rPr>
        <w:t>执行通用条款</w:t>
      </w:r>
      <w:r>
        <w:rPr>
          <w:rFonts w:hint="eastAsia" w:cs="宋体"/>
          <w:color w:val="auto"/>
          <w:sz w:val="21"/>
          <w:szCs w:val="21"/>
          <w:highlight w:val="none"/>
        </w:rPr>
        <w:t>。</w:t>
      </w:r>
    </w:p>
    <w:p w14:paraId="5DABC8D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14.4 最终结清</w:t>
      </w:r>
    </w:p>
    <w:p w14:paraId="6FEA5B0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14.4.1 最终结清申请单</w:t>
      </w:r>
    </w:p>
    <w:p w14:paraId="39C7200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承包人提交最终结清申请单的份数：</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纸质材料2份，电子稿1份</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AC61D0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承包人提交最终结算申请单的期限：</w:t>
      </w:r>
      <w:r>
        <w:rPr>
          <w:rFonts w:hint="eastAsia" w:cs="宋体"/>
          <w:color w:val="auto"/>
          <w:sz w:val="21"/>
          <w:szCs w:val="21"/>
          <w:highlight w:val="none"/>
          <w:u w:val="single"/>
        </w:rPr>
        <w:t>缺陷责任期终止证书颁发后7天内</w:t>
      </w:r>
      <w:r>
        <w:rPr>
          <w:rFonts w:hint="eastAsia" w:cs="宋体"/>
          <w:color w:val="auto"/>
          <w:sz w:val="21"/>
          <w:szCs w:val="21"/>
          <w:highlight w:val="none"/>
        </w:rPr>
        <w:t xml:space="preserve">。 </w:t>
      </w:r>
    </w:p>
    <w:p w14:paraId="4C0BC3C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14.4.2 最终结清证书和支付</w:t>
      </w:r>
    </w:p>
    <w:bookmarkEnd w:id="494"/>
    <w:bookmarkEnd w:id="495"/>
    <w:bookmarkEnd w:id="496"/>
    <w:bookmarkEnd w:id="497"/>
    <w:bookmarkEnd w:id="498"/>
    <w:bookmarkEnd w:id="499"/>
    <w:bookmarkEnd w:id="500"/>
    <w:bookmarkEnd w:id="506"/>
    <w:p w14:paraId="669185CE">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bookmarkStart w:id="508" w:name="_Toc351203647"/>
      <w:bookmarkStart w:id="509" w:name="_Toc267251483"/>
      <w:bookmarkStart w:id="510" w:name="_Toc267251484"/>
      <w:bookmarkStart w:id="511" w:name="_Toc267251482"/>
      <w:bookmarkStart w:id="512" w:name="_Toc267251485"/>
      <w:bookmarkStart w:id="513" w:name="_Toc267251486"/>
      <w:bookmarkStart w:id="514" w:name="_Toc267251489"/>
      <w:bookmarkStart w:id="515" w:name="_Toc267251490"/>
      <w:bookmarkStart w:id="516" w:name="_Toc267251488"/>
      <w:bookmarkStart w:id="517" w:name="_Toc267251497"/>
      <w:bookmarkStart w:id="518" w:name="_Toc267251493"/>
      <w:bookmarkStart w:id="519" w:name="_Toc267251501"/>
      <w:bookmarkStart w:id="520" w:name="_Toc267251494"/>
      <w:bookmarkStart w:id="521" w:name="_Toc267251502"/>
      <w:bookmarkStart w:id="522" w:name="_Toc267251498"/>
      <w:bookmarkStart w:id="523" w:name="_Toc267251495"/>
      <w:bookmarkStart w:id="524" w:name="_Toc267251499"/>
      <w:bookmarkStart w:id="525" w:name="_Toc267251503"/>
      <w:bookmarkStart w:id="526" w:name="_Toc267251492"/>
      <w:bookmarkStart w:id="527" w:name="_Toc267251496"/>
      <w:bookmarkStart w:id="528" w:name="_Toc267251491"/>
      <w:bookmarkStart w:id="529" w:name="_Toc267251504"/>
      <w:bookmarkStart w:id="530" w:name="_Toc267251506"/>
      <w:bookmarkStart w:id="531" w:name="_Toc267251507"/>
      <w:bookmarkStart w:id="532" w:name="_Toc267251508"/>
      <w:bookmarkStart w:id="533" w:name="_Toc267251510"/>
      <w:bookmarkStart w:id="534" w:name="_Toc267251514"/>
      <w:bookmarkStart w:id="535" w:name="_Toc267251509"/>
      <w:bookmarkStart w:id="536" w:name="_Toc267251513"/>
      <w:bookmarkStart w:id="537" w:name="_Toc267251515"/>
      <w:bookmarkStart w:id="538" w:name="_Toc267251511"/>
      <w:r>
        <w:rPr>
          <w:rFonts w:hint="eastAsia" w:ascii="宋体" w:hAnsi="宋体" w:eastAsia="宋体" w:cs="宋体"/>
          <w:color w:val="auto"/>
          <w:sz w:val="21"/>
          <w:szCs w:val="21"/>
          <w:highlight w:val="none"/>
        </w:rPr>
        <w:t>14.</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.1 按照学校工程审计相关管理办法规定执行。 </w:t>
      </w:r>
    </w:p>
    <w:p w14:paraId="5F6BA24D">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.2 发包人审批竣工付款申请单的期限：</w:t>
      </w:r>
      <w:r>
        <w:rPr>
          <w:rFonts w:hint="eastAsia" w:ascii="宋体" w:hAnsi="宋体" w:eastAsia="宋体" w:cs="宋体"/>
          <w:color w:val="auto"/>
          <w:sz w:val="21"/>
          <w:szCs w:val="21"/>
          <w:highlight w:val="none"/>
          <w:u w:val="single"/>
        </w:rPr>
        <w:t>审核备案后</w:t>
      </w:r>
      <w:r>
        <w:rPr>
          <w:rFonts w:hint="eastAsia" w:ascii="宋体" w:hAnsi="宋体" w:eastAsia="宋体" w:cs="宋体"/>
          <w:color w:val="auto"/>
          <w:sz w:val="21"/>
          <w:szCs w:val="21"/>
          <w:highlight w:val="none"/>
        </w:rPr>
        <w:t xml:space="preserve">。 </w:t>
      </w:r>
    </w:p>
    <w:p w14:paraId="25D94420">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.3 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p>
    <w:p w14:paraId="6D432138">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.4 关于竣工付款证书异议部分复核的方式和程序：</w:t>
      </w:r>
      <w:r>
        <w:rPr>
          <w:rFonts w:hint="eastAsia" w:ascii="宋体" w:hAnsi="宋体" w:eastAsia="宋体" w:cs="宋体"/>
          <w:color w:val="auto"/>
          <w:sz w:val="21"/>
          <w:szCs w:val="21"/>
          <w:highlight w:val="none"/>
          <w:u w:val="single"/>
        </w:rPr>
        <w:t>查阅竣工图纸、施工合同、本项目招标控制价电子版和书面文本、签证资料、结算书、材料价格证明资料以及与竣工造价有关的相关资料</w:t>
      </w:r>
      <w:r>
        <w:rPr>
          <w:rFonts w:hint="eastAsia" w:ascii="宋体" w:hAnsi="宋体" w:eastAsia="宋体" w:cs="宋体"/>
          <w:color w:val="auto"/>
          <w:sz w:val="21"/>
          <w:szCs w:val="21"/>
          <w:highlight w:val="none"/>
        </w:rPr>
        <w:t xml:space="preserve">。 </w:t>
      </w:r>
    </w:p>
    <w:p w14:paraId="1E736197">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关于竣工结算超额审计费用：</w:t>
      </w:r>
      <w:r>
        <w:rPr>
          <w:rFonts w:hint="eastAsia" w:ascii="宋体" w:hAnsi="宋体" w:eastAsia="宋体" w:cs="宋体"/>
          <w:b/>
          <w:bCs/>
          <w:color w:val="auto"/>
          <w:sz w:val="21"/>
          <w:szCs w:val="21"/>
          <w:highlight w:val="none"/>
          <w:u w:val="single"/>
        </w:rPr>
        <w:t>根据《滁州市人民政府办公室关于印发市政府投资建设项目审计监督颁发的通知》第二十三条规定，对审减率超过10%的工程项目，超过部分应支付的审计费用，由施工单位承担，项目结算付款单位根据审计结果从工程待结价款中扣除。</w:t>
      </w:r>
    </w:p>
    <w:p w14:paraId="4A1BE304">
      <w:pPr>
        <w:pageBreakBefore w:val="0"/>
        <w:kinsoku/>
        <w:wordWrap/>
        <w:topLinePunct w:val="0"/>
        <w:bidi w:val="0"/>
        <w:snapToGrid w:val="0"/>
        <w:spacing w:beforeAutospacing="0" w:line="520" w:lineRule="exact"/>
        <w:ind w:left="610" w:leftChars="200"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.5送审要求：</w:t>
      </w:r>
    </w:p>
    <w:p w14:paraId="27B531B2">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承包人竣工结算审核资料应该一次性申报，发包人只接受一次申报结算，若承包人申报结算有遗漏（工程量少报、漏报、掉项）不得追加；承包人申报资料若有缺陷，只有发包人要求补充、完善时方可补充。结算结束标志，发承包人双方签署结算单（工程定案表）。</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此工程采取跟踪审计制度，工程竣工审计结算时，对工程结算审减额10%以上（不含10%）的部分,由承包人承担审计咨询费用；对审减额在10％以下（含10%）的部分，由发包人承担审计咨询费。承包人承担的审计咨询费用由发包人从工程款中代扣。</w:t>
      </w:r>
    </w:p>
    <w:p w14:paraId="48233914">
      <w:pPr>
        <w:pageBreakBefore w:val="0"/>
        <w:kinsoku/>
        <w:wordWrap/>
        <w:topLinePunct w:val="0"/>
        <w:bidi w:val="0"/>
        <w:snapToGrid w:val="0"/>
        <w:spacing w:beforeAutospacing="0" w:line="520" w:lineRule="exact"/>
        <w:ind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（3）承包人委派</w:t>
      </w:r>
      <w:r>
        <w:rPr>
          <w:rFonts w:hint="eastAsia" w:ascii="宋体" w:hAnsi="宋体" w:eastAsia="宋体" w:cs="宋体"/>
          <w:color w:val="auto"/>
          <w:sz w:val="21"/>
          <w:szCs w:val="21"/>
          <w:highlight w:val="none"/>
          <w:u w:val="single"/>
        </w:rPr>
        <w:t>（姓名：  ） （电话：      ）（邮箱：    </w:t>
      </w:r>
      <w:r>
        <w:rPr>
          <w:rFonts w:hint="eastAsia" w:ascii="宋体" w:hAnsi="宋体" w:eastAsia="宋体" w:cs="宋体"/>
          <w:color w:val="auto"/>
          <w:sz w:val="21"/>
          <w:szCs w:val="21"/>
          <w:highlight w:val="none"/>
        </w:rPr>
        <w:t>）代表承包人全权办理与结算审计相关的一切事宜。</w:t>
      </w:r>
    </w:p>
    <w:p w14:paraId="160362AB">
      <w:pPr>
        <w:pageBreakBefore w:val="0"/>
        <w:kinsoku/>
        <w:wordWrap/>
        <w:topLinePunct w:val="0"/>
        <w:bidi w:val="0"/>
        <w:snapToGrid w:val="0"/>
        <w:spacing w:beforeAutospacing="0" w:line="5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（4）承包人须积极配合发包人审计费开票工作,承包人纳税人识别号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开户行及账号：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C43528B">
      <w:pPr>
        <w:pageBreakBefore w:val="0"/>
        <w:kinsoku/>
        <w:wordWrap/>
        <w:topLinePunct w:val="0"/>
        <w:bidi w:val="0"/>
        <w:snapToGrid w:val="0"/>
        <w:spacing w:beforeAutospacing="0" w:line="5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（5）承包人承诺此工程开票税率：</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w:t>
      </w:r>
    </w:p>
    <w:p w14:paraId="5223DCA5">
      <w:pPr>
        <w:pageBreakBefore w:val="0"/>
        <w:kinsoku/>
        <w:wordWrap/>
        <w:topLinePunct w:val="0"/>
        <w:bidi w:val="0"/>
        <w:snapToGrid w:val="0"/>
        <w:spacing w:beforeAutospacing="0" w:line="520" w:lineRule="exact"/>
        <w:outlineLvl w:val="2"/>
        <w:rPr>
          <w:rFonts w:cs="宋体"/>
          <w:color w:val="auto"/>
          <w:sz w:val="21"/>
          <w:szCs w:val="21"/>
          <w:highlight w:val="none"/>
        </w:rPr>
      </w:pPr>
      <w:r>
        <w:rPr>
          <w:rFonts w:hint="eastAsia" w:cs="宋体"/>
          <w:color w:val="auto"/>
          <w:sz w:val="21"/>
          <w:szCs w:val="21"/>
          <w:highlight w:val="none"/>
        </w:rPr>
        <w:t>15. 缺陷责任期与保修</w:t>
      </w:r>
      <w:bookmarkEnd w:id="508"/>
    </w:p>
    <w:p w14:paraId="66E771E6">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15.2 缺陷责任期</w:t>
      </w:r>
      <w:bookmarkEnd w:id="509"/>
    </w:p>
    <w:p w14:paraId="4E41055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缺陷责任期的具体期限：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D05939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15.3 质量保证金</w:t>
      </w:r>
    </w:p>
    <w:p w14:paraId="36264D7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关于是否扣留质量保证金的约定：</w:t>
      </w:r>
      <w:r>
        <w:rPr>
          <w:rFonts w:hint="eastAsia" w:cs="宋体"/>
          <w:color w:val="auto"/>
          <w:sz w:val="21"/>
          <w:szCs w:val="21"/>
          <w:highlight w:val="none"/>
          <w:u w:val="single"/>
        </w:rPr>
        <w:t>见《专用合同条款数据表》</w:t>
      </w:r>
      <w:r>
        <w:rPr>
          <w:rFonts w:hint="eastAsia" w:cs="宋体"/>
          <w:color w:val="auto"/>
          <w:sz w:val="21"/>
          <w:szCs w:val="21"/>
          <w:highlight w:val="none"/>
        </w:rPr>
        <w:t>。在工程项目竣工前，承包人按专用合同条款第3.7款提供履约保证金的，发包人不得同时预留工程质量保证金。</w:t>
      </w:r>
    </w:p>
    <w:p w14:paraId="5FE01FB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15.3.1 承包人提供质量保证金的方式</w:t>
      </w:r>
    </w:p>
    <w:p w14:paraId="5CCAAF1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质量保证金可采用以下任意一种方式：</w:t>
      </w:r>
    </w:p>
    <w:p w14:paraId="2B27A5E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（1）由银行业金融机构、工程担保公司、保险机构出具银行保函、工程质量保险等担保方式，担保/保证金额为：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2F1757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87B88F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（3）其他方式：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A1A1F2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 xml:space="preserve">15.3.2 质量保证金的扣留 </w:t>
      </w:r>
    </w:p>
    <w:p w14:paraId="731560F2">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质量保证金的扣留采取以下方式：</w:t>
      </w:r>
    </w:p>
    <w:p w14:paraId="1AA87D5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（1）在支付工程进度款时逐次扣留，在此情形下，质量保证金的计算基数不包括预付款的支付、扣回以及价格调整的金额；</w:t>
      </w:r>
    </w:p>
    <w:p w14:paraId="3B29013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（2）工程竣工结算时一次性扣留质量保证金；</w:t>
      </w:r>
    </w:p>
    <w:p w14:paraId="6324175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（3）其他扣留方式：</w:t>
      </w:r>
      <w:r>
        <w:rPr>
          <w:rFonts w:hint="eastAsia" w:cs="宋体"/>
          <w:color w:val="auto"/>
          <w:kern w:val="0"/>
          <w:sz w:val="21"/>
          <w:szCs w:val="21"/>
          <w:highlight w:val="none"/>
          <w:u w:val="single"/>
          <w:lang w:val="en-US" w:eastAsia="zh-CN"/>
        </w:rPr>
        <w:t xml:space="preserve">          </w:t>
      </w:r>
      <w:r>
        <w:rPr>
          <w:rFonts w:hint="eastAsia" w:cs="宋体"/>
          <w:color w:val="auto"/>
          <w:sz w:val="21"/>
          <w:szCs w:val="21"/>
          <w:highlight w:val="none"/>
        </w:rPr>
        <w:t>。</w:t>
      </w:r>
    </w:p>
    <w:p w14:paraId="48AE01D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关于质量保证金的补充约定：</w:t>
      </w:r>
    </w:p>
    <w:bookmarkEnd w:id="510"/>
    <w:bookmarkEnd w:id="511"/>
    <w:p w14:paraId="45B8E541">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kern w:val="0"/>
          <w:sz w:val="21"/>
          <w:szCs w:val="21"/>
          <w:highlight w:val="none"/>
          <w:u w:val="single"/>
        </w:rPr>
        <w:t>质量保证金支持保函（银行保函、担保机构担保、保证保险）使用。采用保函的，保函有效期须与缺陷责任期截止时间保持一致</w:t>
      </w:r>
      <w:r>
        <w:rPr>
          <w:rFonts w:hint="eastAsia" w:ascii="宋体" w:hAnsi="宋体" w:eastAsia="宋体" w:cs="宋体"/>
          <w:color w:val="auto"/>
          <w:kern w:val="0"/>
          <w:sz w:val="21"/>
          <w:szCs w:val="21"/>
          <w:highlight w:val="none"/>
        </w:rPr>
        <w:t>。</w:t>
      </w:r>
    </w:p>
    <w:p w14:paraId="11756495">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15.4 保修</w:t>
      </w:r>
    </w:p>
    <w:bookmarkEnd w:id="512"/>
    <w:p w14:paraId="0020C4A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15.4.1 保修责任</w:t>
      </w:r>
    </w:p>
    <w:p w14:paraId="75F6E929">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u w:val="single"/>
        </w:rPr>
      </w:pPr>
      <w:r>
        <w:rPr>
          <w:rFonts w:hint="eastAsia" w:cs="宋体"/>
          <w:color w:val="auto"/>
          <w:sz w:val="21"/>
          <w:szCs w:val="21"/>
          <w:highlight w:val="none"/>
        </w:rPr>
        <w:t>工程保修期为：</w:t>
      </w:r>
      <w:r>
        <w:rPr>
          <w:rFonts w:hint="eastAsia" w:ascii="宋体" w:hAnsi="宋体" w:eastAsia="宋体" w:cs="宋体"/>
          <w:color w:val="auto"/>
          <w:kern w:val="0"/>
          <w:sz w:val="21"/>
          <w:szCs w:val="21"/>
          <w:highlight w:val="none"/>
          <w:u w:val="single"/>
        </w:rPr>
        <w:t>验收合格之日</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最低年限2</w:t>
      </w:r>
      <w:r>
        <w:rPr>
          <w:rFonts w:hint="eastAsia" w:ascii="宋体" w:hAnsi="宋体" w:eastAsia="宋体" w:cs="宋体"/>
          <w:color w:val="auto"/>
          <w:kern w:val="0"/>
          <w:sz w:val="21"/>
          <w:szCs w:val="21"/>
          <w:highlight w:val="none"/>
          <w:u w:val="single"/>
        </w:rPr>
        <w:t>年，具体期限以成交人评审时承诺的期限为准。</w:t>
      </w:r>
    </w:p>
    <w:p w14:paraId="132555B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15.4.3 修复通知</w:t>
      </w:r>
    </w:p>
    <w:p w14:paraId="4563B1EA">
      <w:pPr>
        <w:pageBreakBefore w:val="0"/>
        <w:kinsoku/>
        <w:wordWrap/>
        <w:topLinePunct w:val="0"/>
        <w:bidi w:val="0"/>
        <w:adjustRightInd w:val="0"/>
        <w:snapToGrid w:val="0"/>
        <w:spacing w:beforeAutospacing="0" w:line="520" w:lineRule="exact"/>
        <w:ind w:firstLine="420" w:firstLineChars="200"/>
        <w:rPr>
          <w:rFonts w:hint="eastAsia" w:eastAsia="宋体" w:cs="宋体"/>
          <w:color w:val="auto"/>
          <w:sz w:val="21"/>
          <w:szCs w:val="21"/>
          <w:highlight w:val="none"/>
          <w:u w:val="single"/>
          <w:lang w:eastAsia="zh-CN"/>
        </w:rPr>
      </w:pPr>
      <w:r>
        <w:rPr>
          <w:rFonts w:hint="eastAsia" w:cs="宋体"/>
          <w:color w:val="auto"/>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质保期内发生</w:t>
      </w:r>
      <w:r>
        <w:rPr>
          <w:rFonts w:hint="eastAsia" w:ascii="宋体" w:hAnsi="宋体" w:eastAsia="宋体" w:cs="宋体"/>
          <w:color w:val="auto"/>
          <w:kern w:val="0"/>
          <w:sz w:val="21"/>
          <w:szCs w:val="21"/>
          <w:highlight w:val="none"/>
          <w:u w:val="single"/>
          <w:lang w:val="en-US" w:eastAsia="zh-CN"/>
        </w:rPr>
        <w:t>设备运行故障</w:t>
      </w:r>
      <w:r>
        <w:rPr>
          <w:rFonts w:hint="eastAsia" w:ascii="宋体" w:hAnsi="宋体" w:eastAsia="宋体" w:cs="宋体"/>
          <w:color w:val="auto"/>
          <w:kern w:val="0"/>
          <w:sz w:val="21"/>
          <w:szCs w:val="21"/>
          <w:highlight w:val="none"/>
          <w:u w:val="single"/>
        </w:rPr>
        <w:t>等问题，成交人收到采购人通知时，</w:t>
      </w:r>
      <w:r>
        <w:rPr>
          <w:rFonts w:hint="eastAsia" w:ascii="宋体" w:hAnsi="宋体" w:eastAsia="宋体" w:cs="宋体"/>
          <w:color w:val="auto"/>
          <w:kern w:val="0"/>
          <w:sz w:val="21"/>
          <w:szCs w:val="21"/>
          <w:highlight w:val="none"/>
          <w:u w:val="single"/>
          <w:lang w:val="en-US" w:eastAsia="zh-CN"/>
        </w:rPr>
        <w:t>应及时响应及时现场排查故障</w:t>
      </w:r>
      <w:r>
        <w:rPr>
          <w:rFonts w:hint="eastAsia" w:ascii="宋体" w:hAnsi="宋体" w:eastAsia="宋体" w:cs="宋体"/>
          <w:color w:val="auto"/>
          <w:kern w:val="0"/>
          <w:sz w:val="21"/>
          <w:szCs w:val="21"/>
          <w:highlight w:val="none"/>
          <w:u w:val="single"/>
        </w:rPr>
        <w:t>，符合维修条件时，3天内完成</w:t>
      </w:r>
      <w:r>
        <w:rPr>
          <w:rFonts w:hint="eastAsia" w:ascii="宋体" w:hAnsi="宋体" w:eastAsia="宋体" w:cs="宋体"/>
          <w:color w:val="auto"/>
          <w:kern w:val="0"/>
          <w:sz w:val="21"/>
          <w:szCs w:val="21"/>
          <w:highlight w:val="none"/>
          <w:u w:val="single"/>
          <w:lang w:val="en-US" w:eastAsia="zh-CN"/>
        </w:rPr>
        <w:t>修复</w:t>
      </w:r>
      <w:r>
        <w:rPr>
          <w:rFonts w:hint="eastAsia" w:ascii="宋体" w:hAnsi="宋体" w:eastAsia="宋体" w:cs="宋体"/>
          <w:color w:val="auto"/>
          <w:kern w:val="0"/>
          <w:sz w:val="21"/>
          <w:szCs w:val="21"/>
          <w:highlight w:val="none"/>
          <w:u w:val="single"/>
        </w:rPr>
        <w:t>，如遇紧急情况，按采购人要求执行。不能按采购人要求及时到达及时维修的，由采购人组织维修，费用从质保金中支付，其发生的费用无需征得成交人同意。质保金费用不足以支付的，应由成交人另行支付。质保期内</w:t>
      </w:r>
      <w:r>
        <w:rPr>
          <w:rFonts w:hint="eastAsia" w:ascii="宋体" w:hAnsi="宋体" w:eastAsia="宋体" w:cs="宋体"/>
          <w:color w:val="auto"/>
          <w:kern w:val="0"/>
          <w:sz w:val="21"/>
          <w:szCs w:val="21"/>
          <w:highlight w:val="none"/>
          <w:u w:val="single"/>
          <w:lang w:val="en-US" w:eastAsia="zh-CN"/>
        </w:rPr>
        <w:t>同一地点同一故障累计</w:t>
      </w:r>
      <w:r>
        <w:rPr>
          <w:rFonts w:hint="eastAsia" w:ascii="宋体" w:hAnsi="宋体" w:eastAsia="宋体" w:cs="宋体"/>
          <w:color w:val="auto"/>
          <w:kern w:val="0"/>
          <w:sz w:val="21"/>
          <w:szCs w:val="21"/>
          <w:highlight w:val="none"/>
          <w:u w:val="single"/>
        </w:rPr>
        <w:t>发生</w:t>
      </w:r>
      <w:r>
        <w:rPr>
          <w:rFonts w:hint="eastAsia" w:ascii="宋体" w:hAnsi="宋体" w:eastAsia="宋体" w:cs="宋体"/>
          <w:color w:val="auto"/>
          <w:kern w:val="0"/>
          <w:sz w:val="21"/>
          <w:szCs w:val="21"/>
          <w:highlight w:val="none"/>
          <w:u w:val="single"/>
          <w:lang w:val="en-US" w:eastAsia="zh-CN"/>
        </w:rPr>
        <w:t>20</w:t>
      </w:r>
      <w:r>
        <w:rPr>
          <w:rFonts w:hint="eastAsia" w:ascii="宋体" w:hAnsi="宋体" w:eastAsia="宋体" w:cs="宋体"/>
          <w:color w:val="auto"/>
          <w:kern w:val="0"/>
          <w:sz w:val="21"/>
          <w:szCs w:val="21"/>
          <w:highlight w:val="none"/>
          <w:u w:val="single"/>
        </w:rPr>
        <w:t>次以上的，全额扣除质量保证金。成交人不服从采购人要求，给采购人造成损失或社会不良影响的，视为违约行为，采购人依法依规追究其法律责任</w:t>
      </w:r>
      <w:r>
        <w:rPr>
          <w:rFonts w:hint="eastAsia" w:cs="宋体"/>
          <w:color w:val="auto"/>
          <w:kern w:val="0"/>
          <w:sz w:val="21"/>
          <w:szCs w:val="21"/>
          <w:highlight w:val="none"/>
          <w:u w:val="single"/>
          <w:lang w:eastAsia="zh-CN"/>
        </w:rPr>
        <w:t>。</w:t>
      </w:r>
    </w:p>
    <w:bookmarkEnd w:id="513"/>
    <w:bookmarkEnd w:id="514"/>
    <w:bookmarkEnd w:id="515"/>
    <w:bookmarkEnd w:id="516"/>
    <w:p w14:paraId="2EAE73C8">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539" w:name="_Toc351203648"/>
      <w:bookmarkStart w:id="540" w:name="_Toc280868717"/>
      <w:bookmarkStart w:id="541" w:name="_Toc280868718"/>
      <w:r>
        <w:rPr>
          <w:rFonts w:hint="eastAsia" w:cs="宋体"/>
          <w:color w:val="auto"/>
          <w:sz w:val="21"/>
          <w:szCs w:val="21"/>
          <w:highlight w:val="none"/>
        </w:rPr>
        <w:t>16. 违约</w:t>
      </w:r>
      <w:bookmarkEnd w:id="539"/>
    </w:p>
    <w:p w14:paraId="3A2C23F3">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16.1 发包人违约</w:t>
      </w:r>
    </w:p>
    <w:p w14:paraId="65AE86F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16.1.1 发包人违约的情形</w:t>
      </w:r>
    </w:p>
    <w:p w14:paraId="3FFBC29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发包人违约的其他情形：</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1FAC7B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16.1.2 发包人违约的责任</w:t>
      </w:r>
    </w:p>
    <w:p w14:paraId="4C35644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发包人违约责任的承担方式和计算方法：</w:t>
      </w:r>
    </w:p>
    <w:p w14:paraId="1BF07A9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（1）因发包人原因未能在计划开工日期前7天内下达开工通知的违约责任：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5AC14B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（2）因发包人原因未能按合同约定支付合同价款的违约责任：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E21C2E4">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（3）发包人违反第10.1款〔变更的范围〕第（2）项约定，自行实施被取消的工作或转由他人实施的违约责任：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1B3ECE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C72D06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（5）因发包人违反合同约定造成暂停施工的违约责任：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F42944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（6）发包人无正当理由没有在约定期限内发出复工指示，导致承包人无法复工的违约责任：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6A1D32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（7）其他：</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B13E4F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16.1.3 因发包人违约解除合同</w:t>
      </w:r>
    </w:p>
    <w:p w14:paraId="766123F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承包人按16.1.1项〔发包人违约的情形〕约定暂停施工满</w:t>
      </w:r>
      <w:r>
        <w:rPr>
          <w:rFonts w:hint="eastAsia" w:cs="宋体"/>
          <w:color w:val="auto"/>
          <w:sz w:val="21"/>
          <w:szCs w:val="21"/>
          <w:highlight w:val="none"/>
          <w:u w:val="single"/>
        </w:rPr>
        <w:t>28</w:t>
      </w:r>
      <w:r>
        <w:rPr>
          <w:rFonts w:hint="eastAsia" w:cs="宋体"/>
          <w:color w:val="auto"/>
          <w:sz w:val="21"/>
          <w:szCs w:val="21"/>
          <w:highlight w:val="none"/>
        </w:rPr>
        <w:t>天后发包人仍不纠正其违约行为并致使合同目的不能实现的，承包人有权解除合同。</w:t>
      </w:r>
    </w:p>
    <w:p w14:paraId="39BA29D7">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16.2 承包人违约</w:t>
      </w:r>
    </w:p>
    <w:p w14:paraId="77A31E5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16.2.1 承包人违约的情形</w:t>
      </w:r>
    </w:p>
    <w:p w14:paraId="3B39317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承包人违约的其他情形：</w:t>
      </w:r>
      <w:r>
        <w:rPr>
          <w:rFonts w:hint="eastAsia"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执行通用条款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9397CD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16.2.2 承包人违约的责任</w:t>
      </w:r>
    </w:p>
    <w:p w14:paraId="049F2357">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kern w:val="0"/>
          <w:sz w:val="21"/>
          <w:szCs w:val="21"/>
          <w:highlight w:val="none"/>
          <w:u w:val="single"/>
          <w:lang w:eastAsia="zh-CN"/>
        </w:rPr>
      </w:pPr>
      <w:r>
        <w:rPr>
          <w:rFonts w:hint="eastAsia" w:cs="宋体"/>
          <w:color w:val="auto"/>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由承包人承担全部费用并承担相关法律责任</w:t>
      </w:r>
      <w:r>
        <w:rPr>
          <w:rFonts w:hint="eastAsia" w:ascii="宋体" w:hAnsi="宋体" w:eastAsia="宋体" w:cs="宋体"/>
          <w:color w:val="auto"/>
          <w:kern w:val="0"/>
          <w:sz w:val="21"/>
          <w:szCs w:val="21"/>
          <w:highlight w:val="none"/>
          <w:u w:val="single"/>
          <w:lang w:eastAsia="zh-CN"/>
        </w:rPr>
        <w:t>。</w:t>
      </w:r>
    </w:p>
    <w:p w14:paraId="0C75D13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16.2.3 因承包人违约解除合同</w:t>
      </w:r>
    </w:p>
    <w:p w14:paraId="7E0D5F3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除专用条款约定情形外，其余执行通用条款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45B054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发包人继续使用承包人在施工现场的材料、设备、临时工程、承包人文件和由承包人或以其名义编制的其他文件的费用承担方式：</w:t>
      </w:r>
      <w:r>
        <w:rPr>
          <w:rFonts w:hint="eastAsia"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承包人承担费用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BE9C24A">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542" w:name="_Toc351203649"/>
      <w:r>
        <w:rPr>
          <w:rFonts w:hint="eastAsia" w:cs="宋体"/>
          <w:color w:val="auto"/>
          <w:sz w:val="21"/>
          <w:szCs w:val="21"/>
          <w:highlight w:val="none"/>
        </w:rPr>
        <w:t>17. 不可抗力</w:t>
      </w:r>
      <w:bookmarkEnd w:id="542"/>
      <w:r>
        <w:rPr>
          <w:rFonts w:hint="eastAsia" w:cs="宋体"/>
          <w:color w:val="auto"/>
          <w:sz w:val="21"/>
          <w:szCs w:val="21"/>
          <w:highlight w:val="none"/>
        </w:rPr>
        <w:t xml:space="preserve"> </w:t>
      </w:r>
      <w:bookmarkEnd w:id="540"/>
    </w:p>
    <w:p w14:paraId="320B037A">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17.1 不可抗力的确认</w:t>
      </w:r>
    </w:p>
    <w:p w14:paraId="33E98921">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另行商定</w:t>
      </w:r>
      <w:r>
        <w:rPr>
          <w:rFonts w:hint="eastAsia" w:cs="宋体"/>
          <w:color w:val="auto"/>
          <w:sz w:val="21"/>
          <w:szCs w:val="21"/>
          <w:highlight w:val="none"/>
        </w:rPr>
        <w:t>。</w:t>
      </w:r>
    </w:p>
    <w:p w14:paraId="6C816D4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17.4 因不可抗力解除合同</w:t>
      </w:r>
    </w:p>
    <w:p w14:paraId="6E80BE6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合同解除后，发包人应在商定或确定发包人应支付款项后</w:t>
      </w:r>
      <w:r>
        <w:rPr>
          <w:rFonts w:hint="eastAsia" w:cs="宋体"/>
          <w:color w:val="auto"/>
          <w:sz w:val="21"/>
          <w:szCs w:val="21"/>
          <w:highlight w:val="none"/>
          <w:u w:val="single"/>
        </w:rPr>
        <w:t>28</w:t>
      </w:r>
      <w:r>
        <w:rPr>
          <w:rFonts w:hint="eastAsia" w:cs="宋体"/>
          <w:color w:val="auto"/>
          <w:sz w:val="21"/>
          <w:szCs w:val="21"/>
          <w:highlight w:val="none"/>
        </w:rPr>
        <w:t>天内完成款项的支付。</w:t>
      </w:r>
    </w:p>
    <w:p w14:paraId="1B1866A3">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543" w:name="_Toc351203650"/>
      <w:r>
        <w:rPr>
          <w:rFonts w:hint="eastAsia" w:cs="宋体"/>
          <w:color w:val="auto"/>
          <w:sz w:val="21"/>
          <w:szCs w:val="21"/>
          <w:highlight w:val="none"/>
        </w:rPr>
        <w:t>18. 保险</w:t>
      </w:r>
      <w:bookmarkEnd w:id="543"/>
    </w:p>
    <w:bookmarkEnd w:id="541"/>
    <w:p w14:paraId="0F3CFBBE">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18.1 工程保险</w:t>
      </w:r>
    </w:p>
    <w:p w14:paraId="1ECD896E">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rPr>
      </w:pPr>
      <w:r>
        <w:rPr>
          <w:rFonts w:hint="eastAsia"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 xml:space="preserve"> 承包人自行考虑 </w:t>
      </w:r>
      <w:r>
        <w:rPr>
          <w:rFonts w:hint="eastAsia" w:cs="宋体"/>
          <w:b/>
          <w:color w:val="auto"/>
          <w:sz w:val="21"/>
          <w:szCs w:val="21"/>
          <w:highlight w:val="none"/>
        </w:rPr>
        <w:t>。</w:t>
      </w:r>
    </w:p>
    <w:p w14:paraId="45C7C529">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18.3 其他保险</w:t>
      </w:r>
    </w:p>
    <w:p w14:paraId="383E00E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关于其他保险的约定：</w:t>
      </w:r>
      <w:r>
        <w:rPr>
          <w:rFonts w:hint="eastAsia" w:cs="宋体"/>
          <w:color w:val="auto"/>
          <w:sz w:val="21"/>
          <w:szCs w:val="21"/>
          <w:highlight w:val="none"/>
          <w:u w:val="single"/>
        </w:rPr>
        <w:t>承包人须为其施工现场的全部人员办理意外伤害保险并支付保险费，包括其员工及为履行合同聘请的第三方的人员</w:t>
      </w:r>
      <w:r>
        <w:rPr>
          <w:rFonts w:hint="eastAsia" w:cs="宋体"/>
          <w:color w:val="auto"/>
          <w:sz w:val="21"/>
          <w:szCs w:val="21"/>
          <w:highlight w:val="none"/>
        </w:rPr>
        <w:t>。</w:t>
      </w:r>
    </w:p>
    <w:p w14:paraId="5CC030E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承包人是否应为其施工设备等办理财产保险：</w:t>
      </w:r>
      <w:r>
        <w:rPr>
          <w:rFonts w:hint="eastAsia" w:cs="宋体"/>
          <w:color w:val="auto"/>
          <w:sz w:val="21"/>
          <w:szCs w:val="21"/>
          <w:highlight w:val="none"/>
          <w:u w:val="single"/>
        </w:rPr>
        <w:t>执行通用条款</w:t>
      </w:r>
      <w:r>
        <w:rPr>
          <w:rFonts w:hint="eastAsia" w:cs="宋体"/>
          <w:color w:val="auto"/>
          <w:sz w:val="21"/>
          <w:szCs w:val="21"/>
          <w:highlight w:val="none"/>
        </w:rPr>
        <w:t>。</w:t>
      </w:r>
    </w:p>
    <w:p w14:paraId="321AE7CE">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18.7 通知义务</w:t>
      </w:r>
    </w:p>
    <w:p w14:paraId="31089004">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关于变更保险合同时的通知义务的约定：</w:t>
      </w:r>
      <w:r>
        <w:rPr>
          <w:rFonts w:hint="eastAsia" w:cs="宋体"/>
          <w:color w:val="auto"/>
          <w:sz w:val="21"/>
          <w:szCs w:val="21"/>
          <w:highlight w:val="none"/>
          <w:u w:val="single"/>
        </w:rPr>
        <w:t>执行通用条款</w:t>
      </w:r>
      <w:r>
        <w:rPr>
          <w:rFonts w:hint="eastAsia" w:cs="宋体"/>
          <w:color w:val="auto"/>
          <w:sz w:val="21"/>
          <w:szCs w:val="21"/>
          <w:highlight w:val="none"/>
        </w:rPr>
        <w:t>。</w:t>
      </w:r>
    </w:p>
    <w:bookmarkEnd w:id="517"/>
    <w:bookmarkEnd w:id="518"/>
    <w:bookmarkEnd w:id="519"/>
    <w:bookmarkEnd w:id="520"/>
    <w:bookmarkEnd w:id="521"/>
    <w:bookmarkEnd w:id="522"/>
    <w:bookmarkEnd w:id="523"/>
    <w:bookmarkEnd w:id="524"/>
    <w:bookmarkEnd w:id="525"/>
    <w:bookmarkEnd w:id="526"/>
    <w:bookmarkEnd w:id="527"/>
    <w:bookmarkEnd w:id="528"/>
    <w:p w14:paraId="3B56031B">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544" w:name="_Toc351203651"/>
      <w:r>
        <w:rPr>
          <w:rFonts w:hint="eastAsia" w:cs="宋体"/>
          <w:color w:val="auto"/>
          <w:sz w:val="21"/>
          <w:szCs w:val="21"/>
          <w:highlight w:val="none"/>
        </w:rPr>
        <w:t>20. 争议解决</w:t>
      </w:r>
      <w:bookmarkEnd w:id="544"/>
    </w:p>
    <w:bookmarkEnd w:id="529"/>
    <w:bookmarkEnd w:id="530"/>
    <w:p w14:paraId="737061D0">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20.3 争</w:t>
      </w:r>
      <w:bookmarkEnd w:id="531"/>
      <w:r>
        <w:rPr>
          <w:rFonts w:hint="eastAsia" w:cs="宋体"/>
          <w:bCs/>
          <w:color w:val="auto"/>
          <w:sz w:val="21"/>
          <w:szCs w:val="21"/>
          <w:highlight w:val="none"/>
        </w:rPr>
        <w:t>议评审</w:t>
      </w:r>
    </w:p>
    <w:p w14:paraId="070E21B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合同当事人是否同意将工程争议提交争议评审小组决定：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不同意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2B1BC6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20.3.1 争议评审小组的确定</w:t>
      </w:r>
    </w:p>
    <w:p w14:paraId="399CC76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争议评审小组成员的确定：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D5B782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选定争议评审员的期限：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3CF88E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争议评审小组成员的报酬承担方式：</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D8199A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其他事项的约定：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21AB0B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20.3.2 争议评审小组的决定</w:t>
      </w:r>
    </w:p>
    <w:p w14:paraId="3F74E4D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合同当事人关于本项的约定：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59256A0">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20.4 仲裁或诉讼</w:t>
      </w:r>
      <w:bookmarkEnd w:id="532"/>
    </w:p>
    <w:bookmarkEnd w:id="533"/>
    <w:bookmarkEnd w:id="534"/>
    <w:bookmarkEnd w:id="535"/>
    <w:bookmarkEnd w:id="536"/>
    <w:bookmarkEnd w:id="537"/>
    <w:bookmarkEnd w:id="538"/>
    <w:p w14:paraId="17D6DED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因合同及合同有关事项发生的争议，按下列</w:t>
      </w:r>
      <w:r>
        <w:rPr>
          <w:rFonts w:hint="eastAsia" w:cs="宋体"/>
          <w:b/>
          <w:bCs/>
          <w:color w:val="auto"/>
          <w:sz w:val="21"/>
          <w:szCs w:val="21"/>
          <w:highlight w:val="none"/>
        </w:rPr>
        <w:t>第</w:t>
      </w:r>
      <w:r>
        <w:rPr>
          <w:rFonts w:hint="eastAsia" w:cs="宋体"/>
          <w:b/>
          <w:bCs/>
          <w:color w:val="auto"/>
          <w:sz w:val="21"/>
          <w:szCs w:val="21"/>
          <w:highlight w:val="none"/>
          <w:u w:val="single"/>
        </w:rPr>
        <w:t xml:space="preserve"> 2 </w:t>
      </w:r>
      <w:r>
        <w:rPr>
          <w:rFonts w:hint="eastAsia" w:cs="宋体"/>
          <w:b/>
          <w:bCs/>
          <w:color w:val="auto"/>
          <w:sz w:val="21"/>
          <w:szCs w:val="21"/>
          <w:highlight w:val="none"/>
        </w:rPr>
        <w:t>种</w:t>
      </w:r>
      <w:r>
        <w:rPr>
          <w:rFonts w:hint="eastAsia" w:cs="宋体"/>
          <w:color w:val="auto"/>
          <w:sz w:val="21"/>
          <w:szCs w:val="21"/>
          <w:highlight w:val="none"/>
        </w:rPr>
        <w:t>方式解决：</w:t>
      </w:r>
    </w:p>
    <w:p w14:paraId="7A5856F1">
      <w:pPr>
        <w:pageBreakBefore w:val="0"/>
        <w:numPr>
          <w:ilvl w:val="0"/>
          <w:numId w:val="3"/>
        </w:numPr>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向</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滁州</w:t>
      </w:r>
      <w:r>
        <w:rPr>
          <w:rFonts w:hint="eastAsia" w:cs="宋体"/>
          <w:color w:val="auto"/>
          <w:sz w:val="21"/>
          <w:szCs w:val="21"/>
          <w:highlight w:val="none"/>
          <w:u w:val="single"/>
        </w:rPr>
        <w:t xml:space="preserve"> </w:t>
      </w:r>
      <w:r>
        <w:rPr>
          <w:rFonts w:hint="eastAsia" w:cs="宋体"/>
          <w:color w:val="auto"/>
          <w:sz w:val="21"/>
          <w:szCs w:val="21"/>
          <w:highlight w:val="none"/>
        </w:rPr>
        <w:t>仲裁委员会申请仲裁；</w:t>
      </w:r>
    </w:p>
    <w:p w14:paraId="3AAF464F">
      <w:pPr>
        <w:pageBreakBefore w:val="0"/>
        <w:kinsoku/>
        <w:wordWrap/>
        <w:topLinePunct w:val="0"/>
        <w:bidi w:val="0"/>
        <w:adjustRightInd w:val="0"/>
        <w:snapToGrid w:val="0"/>
        <w:spacing w:beforeAutospacing="0" w:line="520" w:lineRule="exact"/>
        <w:ind w:firstLine="420" w:firstLineChars="200"/>
        <w:rPr>
          <w:color w:val="auto"/>
          <w:highlight w:val="none"/>
        </w:rPr>
      </w:pPr>
      <w:r>
        <w:rPr>
          <w:rFonts w:hint="eastAsia" w:cs="宋体"/>
          <w:color w:val="auto"/>
          <w:sz w:val="21"/>
          <w:szCs w:val="21"/>
          <w:highlight w:val="none"/>
        </w:rPr>
        <w:t>（2）向</w:t>
      </w:r>
      <w:r>
        <w:rPr>
          <w:rFonts w:hint="eastAsia" w:ascii="宋体" w:hAnsi="宋体" w:eastAsia="宋体" w:cs="宋体"/>
          <w:color w:val="auto"/>
          <w:sz w:val="21"/>
          <w:szCs w:val="21"/>
          <w:highlight w:val="none"/>
          <w:u w:val="single"/>
        </w:rPr>
        <w:t>滁州市琅琊区</w:t>
      </w:r>
      <w:r>
        <w:rPr>
          <w:rFonts w:hint="eastAsia" w:cs="宋体"/>
          <w:color w:val="auto"/>
          <w:sz w:val="21"/>
          <w:szCs w:val="21"/>
          <w:highlight w:val="none"/>
        </w:rPr>
        <w:t>人民法院起诉。</w:t>
      </w:r>
    </w:p>
    <w:p w14:paraId="3908589B">
      <w:pPr>
        <w:pageBreakBefore w:val="0"/>
        <w:kinsoku/>
        <w:wordWrap/>
        <w:topLinePunct w:val="0"/>
        <w:bidi w:val="0"/>
        <w:adjustRightInd w:val="0"/>
        <w:snapToGrid w:val="0"/>
        <w:spacing w:beforeAutospacing="0" w:line="520" w:lineRule="exact"/>
        <w:ind w:firstLine="400" w:firstLineChars="200"/>
        <w:rPr>
          <w:color w:val="auto"/>
          <w:highlight w:val="none"/>
        </w:rPr>
      </w:pPr>
    </w:p>
    <w:p w14:paraId="5B4FD211">
      <w:pPr>
        <w:pStyle w:val="20"/>
        <w:rPr>
          <w:color w:val="auto"/>
          <w:highlight w:val="none"/>
        </w:rPr>
      </w:pPr>
    </w:p>
    <w:bookmarkEnd w:id="59"/>
    <w:p w14:paraId="057C6FBB">
      <w:pPr>
        <w:snapToGrid w:val="0"/>
        <w:spacing w:line="360" w:lineRule="auto"/>
        <w:rPr>
          <w:rFonts w:hint="eastAsia" w:cs="宋体"/>
          <w:b/>
          <w:color w:val="auto"/>
          <w:sz w:val="21"/>
          <w:szCs w:val="21"/>
          <w:highlight w:val="none"/>
        </w:rPr>
      </w:pPr>
    </w:p>
    <w:p w14:paraId="02BDCF9A">
      <w:pPr>
        <w:widowControl/>
        <w:jc w:val="left"/>
        <w:rPr>
          <w:b/>
          <w:color w:val="auto"/>
          <w:sz w:val="24"/>
          <w:highlight w:val="none"/>
        </w:rPr>
      </w:pPr>
      <w:r>
        <w:rPr>
          <w:b/>
          <w:color w:val="auto"/>
          <w:sz w:val="24"/>
          <w:highlight w:val="none"/>
        </w:rPr>
        <w:br w:type="page"/>
      </w:r>
    </w:p>
    <w:p w14:paraId="134D34FA">
      <w:pPr>
        <w:spacing w:line="360" w:lineRule="auto"/>
        <w:jc w:val="center"/>
        <w:outlineLvl w:val="0"/>
        <w:rPr>
          <w:rFonts w:hint="eastAsia" w:asciiTheme="minorEastAsia" w:hAnsiTheme="minorEastAsia" w:eastAsiaTheme="minorEastAsia"/>
          <w:b/>
          <w:color w:val="auto"/>
          <w:sz w:val="28"/>
          <w:highlight w:val="none"/>
        </w:rPr>
      </w:pPr>
      <w:bookmarkStart w:id="545" w:name="_Toc22734"/>
      <w:r>
        <w:rPr>
          <w:rFonts w:hint="eastAsia" w:asciiTheme="minorEastAsia" w:hAnsiTheme="minorEastAsia" w:eastAsiaTheme="minorEastAsia"/>
          <w:b/>
          <w:color w:val="auto"/>
          <w:sz w:val="28"/>
          <w:highlight w:val="none"/>
        </w:rPr>
        <w:t>第六章  响应文件格式</w:t>
      </w:r>
      <w:bookmarkEnd w:id="545"/>
    </w:p>
    <w:p w14:paraId="635A148D">
      <w:pPr>
        <w:spacing w:line="900" w:lineRule="exact"/>
        <w:jc w:val="center"/>
        <w:rPr>
          <w:rFonts w:asciiTheme="minorEastAsia" w:hAnsiTheme="minorEastAsia" w:eastAsiaTheme="minorEastAsia"/>
          <w:b/>
          <w:color w:val="auto"/>
          <w:sz w:val="72"/>
          <w:highlight w:val="none"/>
        </w:rPr>
      </w:pPr>
    </w:p>
    <w:p w14:paraId="6E645709">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7FD573E7">
      <w:pPr>
        <w:spacing w:line="900" w:lineRule="exact"/>
        <w:jc w:val="center"/>
        <w:rPr>
          <w:rFonts w:asciiTheme="minorEastAsia" w:hAnsiTheme="minorEastAsia" w:eastAsiaTheme="minorEastAsia"/>
          <w:b/>
          <w:color w:val="auto"/>
          <w:sz w:val="72"/>
          <w:highlight w:val="none"/>
        </w:rPr>
      </w:pPr>
    </w:p>
    <w:p w14:paraId="324F740E">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4BA09A44">
      <w:pPr>
        <w:spacing w:line="900" w:lineRule="exact"/>
        <w:jc w:val="center"/>
        <w:rPr>
          <w:rFonts w:asciiTheme="minorEastAsia" w:hAnsiTheme="minorEastAsia" w:eastAsiaTheme="minorEastAsia"/>
          <w:b/>
          <w:color w:val="auto"/>
          <w:sz w:val="72"/>
          <w:highlight w:val="none"/>
        </w:rPr>
      </w:pPr>
    </w:p>
    <w:p w14:paraId="6A0B1861">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415351ED">
      <w:pPr>
        <w:spacing w:line="900" w:lineRule="exact"/>
        <w:jc w:val="center"/>
        <w:rPr>
          <w:rFonts w:asciiTheme="minorEastAsia" w:hAnsiTheme="minorEastAsia" w:eastAsiaTheme="minorEastAsia"/>
          <w:b/>
          <w:color w:val="auto"/>
          <w:sz w:val="72"/>
          <w:highlight w:val="none"/>
        </w:rPr>
      </w:pPr>
    </w:p>
    <w:p w14:paraId="10167C5A">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5FB919E1">
      <w:pPr>
        <w:spacing w:after="156" w:afterLines="50"/>
        <w:jc w:val="center"/>
        <w:rPr>
          <w:rFonts w:asciiTheme="minorEastAsia" w:hAnsiTheme="minorEastAsia" w:eastAsiaTheme="minorEastAsia"/>
          <w:b/>
          <w:color w:val="auto"/>
          <w:sz w:val="72"/>
          <w:highlight w:val="none"/>
        </w:rPr>
      </w:pPr>
    </w:p>
    <w:p w14:paraId="58FAB163">
      <w:pPr>
        <w:spacing w:after="156" w:afterLines="50" w:line="500" w:lineRule="exact"/>
        <w:jc w:val="center"/>
        <w:rPr>
          <w:rFonts w:asciiTheme="minorEastAsia" w:hAnsiTheme="minorEastAsia" w:eastAsiaTheme="minorEastAsia"/>
          <w:b/>
          <w:color w:val="auto"/>
          <w:sz w:val="28"/>
          <w:szCs w:val="28"/>
          <w:highlight w:val="none"/>
        </w:rPr>
      </w:pPr>
    </w:p>
    <w:p w14:paraId="5EA470BF">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181930C">
      <w:pPr>
        <w:tabs>
          <w:tab w:val="left" w:pos="2410"/>
        </w:tabs>
        <w:autoSpaceDE w:val="0"/>
        <w:autoSpaceDN w:val="0"/>
        <w:adjustRightInd w:val="0"/>
        <w:snapToGrid w:val="0"/>
        <w:spacing w:line="360" w:lineRule="auto"/>
        <w:ind w:firstLine="1928" w:firstLineChars="6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B621A17">
      <w:pPr>
        <w:tabs>
          <w:tab w:val="left" w:pos="2410"/>
        </w:tabs>
        <w:autoSpaceDE w:val="0"/>
        <w:autoSpaceDN w:val="0"/>
        <w:adjustRightInd w:val="0"/>
        <w:snapToGrid w:val="0"/>
        <w:spacing w:line="360" w:lineRule="auto"/>
        <w:ind w:firstLine="1928" w:firstLineChars="6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F1EFFBA">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546" w:name="_Toc24911"/>
      <w:bookmarkStart w:id="547" w:name="_Toc19892"/>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546"/>
      <w:bookmarkEnd w:id="547"/>
    </w:p>
    <w:p w14:paraId="30E960F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261C1F62">
      <w:pPr>
        <w:spacing w:line="360" w:lineRule="auto"/>
        <w:jc w:val="center"/>
        <w:outlineLvl w:val="1"/>
        <w:rPr>
          <w:rFonts w:asciiTheme="minorEastAsia" w:hAnsiTheme="minorEastAsia" w:eastAsiaTheme="minorEastAsia"/>
          <w:b/>
          <w:color w:val="auto"/>
          <w:sz w:val="24"/>
          <w:highlight w:val="none"/>
        </w:rPr>
      </w:pPr>
      <w:bookmarkStart w:id="548" w:name="_Toc461053086"/>
      <w:bookmarkStart w:id="549" w:name="_Toc461056631"/>
      <w:bookmarkStart w:id="550" w:name="_Toc28280"/>
      <w:bookmarkStart w:id="551" w:name="_Toc21496"/>
      <w:bookmarkStart w:id="552" w:name="_Toc520983587"/>
      <w:r>
        <w:rPr>
          <w:rFonts w:hint="eastAsia" w:asciiTheme="minorEastAsia" w:hAnsiTheme="minorEastAsia" w:eastAsiaTheme="minorEastAsia"/>
          <w:b/>
          <w:color w:val="auto"/>
          <w:sz w:val="24"/>
          <w:highlight w:val="none"/>
        </w:rPr>
        <w:t>一</w:t>
      </w:r>
      <w:bookmarkEnd w:id="548"/>
      <w:bookmarkEnd w:id="549"/>
      <w:r>
        <w:rPr>
          <w:rFonts w:hint="eastAsia" w:asciiTheme="minorEastAsia" w:hAnsiTheme="minorEastAsia" w:eastAsiaTheme="minorEastAsia"/>
          <w:b/>
          <w:color w:val="auto"/>
          <w:sz w:val="24"/>
          <w:highlight w:val="none"/>
        </w:rPr>
        <w:t>、报价表格式</w:t>
      </w:r>
      <w:bookmarkEnd w:id="550"/>
      <w:bookmarkEnd w:id="551"/>
      <w:bookmarkEnd w:id="552"/>
    </w:p>
    <w:p w14:paraId="28ADDD7E">
      <w:pPr>
        <w:spacing w:before="156" w:beforeLines="50" w:after="156" w:afterLines="50" w:line="360" w:lineRule="auto"/>
        <w:jc w:val="left"/>
        <w:outlineLvl w:val="2"/>
        <w:rPr>
          <w:rFonts w:cs="@仿宋_GB2312"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1-1 报价表</w:t>
      </w:r>
    </w:p>
    <w:p w14:paraId="08883367">
      <w:pPr>
        <w:snapToGrid w:val="0"/>
        <w:spacing w:line="360" w:lineRule="auto"/>
        <w:jc w:val="left"/>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某项目    </w:t>
      </w:r>
    </w:p>
    <w:p w14:paraId="0C5CBCDC">
      <w:pPr>
        <w:snapToGrid w:val="0"/>
        <w:spacing w:after="156" w:afterLines="50" w:line="360" w:lineRule="auto"/>
        <w:jc w:val="left"/>
        <w:rPr>
          <w:rFonts w:cs="宋体" w:asciiTheme="minorEastAsia" w:hAnsiTheme="minorEastAsia" w:eastAsiaTheme="minorEastAsia"/>
          <w:b/>
          <w:bCs/>
          <w:color w:val="auto"/>
          <w:kern w:val="2"/>
          <w:sz w:val="24"/>
          <w:szCs w:val="24"/>
          <w:highlight w:val="none"/>
          <w:u w:val="single"/>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某编号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7DA2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E6BFF96">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557" w:type="pct"/>
            <w:tcBorders>
              <w:left w:val="single" w:color="auto" w:sz="4" w:space="0"/>
            </w:tcBorders>
          </w:tcPr>
          <w:p w14:paraId="54883B1A">
            <w:pPr>
              <w:rPr>
                <w:rFonts w:cs="宋体" w:asciiTheme="minorEastAsia" w:hAnsiTheme="minorEastAsia" w:eastAsiaTheme="minorEastAsia"/>
                <w:b/>
                <w:color w:val="auto"/>
                <w:kern w:val="2"/>
                <w:sz w:val="24"/>
                <w:szCs w:val="24"/>
                <w:highlight w:val="none"/>
              </w:rPr>
            </w:pPr>
          </w:p>
        </w:tc>
      </w:tr>
      <w:tr w14:paraId="41B4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6399599">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557" w:type="pct"/>
            <w:tcBorders>
              <w:left w:val="single" w:color="auto" w:sz="4" w:space="0"/>
            </w:tcBorders>
            <w:vAlign w:val="center"/>
          </w:tcPr>
          <w:p w14:paraId="671461B9">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全部 / 第</w:t>
            </w:r>
            <w:r>
              <w:rPr>
                <w:rFonts w:hint="eastAsia" w:cs="@仿宋_GB2312" w:asciiTheme="minorEastAsia" w:hAnsiTheme="minorEastAsia" w:eastAsiaTheme="minorEastAsia"/>
                <w:color w:val="auto"/>
                <w:kern w:val="2"/>
                <w:sz w:val="24"/>
                <w:szCs w:val="28"/>
                <w:highlight w:val="none"/>
                <w:u w:val="single"/>
              </w:rPr>
              <w:t xml:space="preserve">   </w:t>
            </w:r>
            <w:r>
              <w:rPr>
                <w:rFonts w:hint="eastAsia" w:cs="@仿宋_GB2312" w:asciiTheme="minorEastAsia" w:hAnsiTheme="minorEastAsia" w:eastAsiaTheme="minorEastAsia"/>
                <w:color w:val="auto"/>
                <w:kern w:val="2"/>
                <w:sz w:val="24"/>
                <w:szCs w:val="28"/>
                <w:highlight w:val="none"/>
              </w:rPr>
              <w:t>包</w:t>
            </w:r>
          </w:p>
        </w:tc>
      </w:tr>
      <w:tr w14:paraId="7188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0C808EC2">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5E62000A">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557" w:type="pct"/>
            <w:vAlign w:val="center"/>
          </w:tcPr>
          <w:p w14:paraId="2B811136">
            <w:pPr>
              <w:snapToGrid w:val="0"/>
              <w:rPr>
                <w:rFonts w:cs="宋体" w:asciiTheme="minorEastAsia" w:hAnsiTheme="minorEastAsia" w:eastAsiaTheme="minorEastAsia"/>
                <w:color w:val="auto"/>
                <w:kern w:val="2"/>
                <w:sz w:val="24"/>
                <w:szCs w:val="24"/>
                <w:highlight w:val="none"/>
              </w:rPr>
            </w:pPr>
          </w:p>
          <w:p w14:paraId="42B1BAF3">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3567079E">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43662F41">
            <w:pPr>
              <w:snapToGrid w:val="0"/>
              <w:rPr>
                <w:rFonts w:cs="宋体" w:asciiTheme="minorEastAsia" w:hAnsiTheme="minorEastAsia" w:eastAsiaTheme="minorEastAsia"/>
                <w:b/>
                <w:color w:val="auto"/>
                <w:kern w:val="2"/>
                <w:sz w:val="24"/>
                <w:szCs w:val="24"/>
                <w:highlight w:val="none"/>
              </w:rPr>
            </w:pPr>
          </w:p>
        </w:tc>
      </w:tr>
      <w:tr w14:paraId="79A8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B2157A1">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557" w:type="pct"/>
            <w:vAlign w:val="center"/>
          </w:tcPr>
          <w:p w14:paraId="51360105">
            <w:pPr>
              <w:snapToGrid w:val="0"/>
              <w:rPr>
                <w:rFonts w:cs="宋体" w:asciiTheme="minorEastAsia" w:hAnsiTheme="minorEastAsia" w:eastAsiaTheme="minorEastAsia"/>
                <w:b/>
                <w:color w:val="auto"/>
                <w:kern w:val="2"/>
                <w:sz w:val="24"/>
                <w:szCs w:val="24"/>
                <w:highlight w:val="none"/>
              </w:rPr>
            </w:pPr>
          </w:p>
        </w:tc>
      </w:tr>
      <w:tr w14:paraId="5DED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6ACD2B29">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557" w:type="pct"/>
            <w:vAlign w:val="center"/>
          </w:tcPr>
          <w:p w14:paraId="492A6E6E">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Cs/>
                <w:color w:val="auto"/>
                <w:kern w:val="2"/>
                <w:sz w:val="24"/>
                <w:szCs w:val="24"/>
                <w:highlight w:val="none"/>
                <w:lang w:val="en-US" w:eastAsia="zh-CN"/>
              </w:rPr>
              <w:t xml:space="preserve"> </w:t>
            </w:r>
            <w:r>
              <w:rPr>
                <w:rFonts w:hint="eastAsia" w:cs="宋体" w:asciiTheme="minorEastAsia" w:hAnsiTheme="minorEastAsia" w:eastAsiaTheme="minorEastAsia"/>
                <w:bCs/>
                <w:color w:val="auto"/>
                <w:kern w:val="2"/>
                <w:sz w:val="24"/>
                <w:szCs w:val="24"/>
                <w:highlight w:val="none"/>
                <w:u w:val="single"/>
              </w:rPr>
              <w:t xml:space="preserve">        </w:t>
            </w:r>
            <w:r>
              <w:rPr>
                <w:rFonts w:hint="eastAsia" w:cs="宋体" w:asciiTheme="minorEastAsia" w:hAnsiTheme="minorEastAsia" w:eastAsiaTheme="minorEastAsia"/>
                <w:bCs/>
                <w:color w:val="auto"/>
                <w:kern w:val="2"/>
                <w:sz w:val="24"/>
                <w:szCs w:val="24"/>
                <w:highlight w:val="none"/>
              </w:rPr>
              <w:t>日历天完工</w:t>
            </w:r>
          </w:p>
        </w:tc>
      </w:tr>
      <w:tr w14:paraId="38E6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8ECE653">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557" w:type="pct"/>
            <w:vAlign w:val="center"/>
          </w:tcPr>
          <w:p w14:paraId="694D10A1">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49AA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5B28DC9F">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557" w:type="pct"/>
          </w:tcPr>
          <w:p w14:paraId="40B6C99D">
            <w:pPr>
              <w:rPr>
                <w:rFonts w:cs="宋体" w:asciiTheme="minorEastAsia" w:hAnsiTheme="minorEastAsia" w:eastAsiaTheme="minorEastAsia"/>
                <w:b/>
                <w:color w:val="auto"/>
                <w:kern w:val="2"/>
                <w:sz w:val="24"/>
                <w:szCs w:val="24"/>
                <w:highlight w:val="none"/>
              </w:rPr>
            </w:pPr>
          </w:p>
        </w:tc>
      </w:tr>
    </w:tbl>
    <w:p w14:paraId="2B0FEE86">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17DB79C6">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3EE53E87">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268BAEEE">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552BB906">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67DE2192">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70437E23">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cs="宋体" w:asciiTheme="minorEastAsia" w:hAnsiTheme="minorEastAsia" w:eastAsiaTheme="minorEastAsia"/>
          <w:b/>
          <w:bCs/>
          <w:color w:val="auto"/>
          <w:kern w:val="2"/>
          <w:sz w:val="24"/>
          <w:szCs w:val="24"/>
          <w:highlight w:val="none"/>
        </w:rPr>
        <w:br w:type="page"/>
      </w:r>
    </w:p>
    <w:p w14:paraId="56D91EC4">
      <w:pPr>
        <w:adjustRightInd w:val="0"/>
        <w:snapToGrid w:val="0"/>
        <w:spacing w:line="360" w:lineRule="auto"/>
        <w:outlineLvl w:val="2"/>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kern w:val="2"/>
          <w:sz w:val="24"/>
          <w:szCs w:val="24"/>
          <w:highlight w:val="none"/>
        </w:rPr>
        <w:t>1-2 工程量清单报价书</w:t>
      </w:r>
    </w:p>
    <w:p w14:paraId="5FA586F5">
      <w:pPr>
        <w:autoSpaceDE w:val="0"/>
        <w:autoSpaceDN w:val="0"/>
        <w:adjustRightInd w:val="0"/>
        <w:spacing w:before="20" w:after="20" w:line="360" w:lineRule="auto"/>
        <w:jc w:val="center"/>
        <w:outlineLvl w:val="1"/>
        <w:rPr>
          <w:rFonts w:cs="宋体" w:asciiTheme="minorEastAsia" w:hAnsiTheme="minorEastAsia" w:eastAsiaTheme="minorEastAsia"/>
          <w:b/>
          <w:color w:val="auto"/>
          <w:sz w:val="24"/>
          <w:szCs w:val="24"/>
          <w:highlight w:val="none"/>
        </w:rPr>
      </w:pPr>
      <w:bookmarkStart w:id="553" w:name="_Toc26702"/>
      <w:bookmarkStart w:id="554" w:name="_Toc1874"/>
      <w:r>
        <w:rPr>
          <w:rFonts w:hint="eastAsia" w:cs="宋体" w:asciiTheme="minorEastAsia" w:hAnsiTheme="minorEastAsia" w:eastAsiaTheme="minorEastAsia"/>
          <w:b/>
          <w:color w:val="auto"/>
          <w:sz w:val="24"/>
          <w:szCs w:val="24"/>
          <w:highlight w:val="none"/>
        </w:rPr>
        <w:t>工程量清单报价书</w:t>
      </w:r>
      <w:bookmarkEnd w:id="553"/>
      <w:bookmarkEnd w:id="554"/>
    </w:p>
    <w:p w14:paraId="624F14F9">
      <w:pPr>
        <w:adjustRightInd w:val="0"/>
        <w:snapToGrid w:val="0"/>
        <w:spacing w:line="360" w:lineRule="auto"/>
        <w:ind w:firstLine="422" w:firstLineChars="200"/>
        <w:jc w:val="center"/>
        <w:rPr>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1DFDC567">
      <w:pPr>
        <w:rPr>
          <w:b/>
          <w:bCs/>
          <w:color w:val="auto"/>
          <w:sz w:val="24"/>
          <w:szCs w:val="28"/>
          <w:highlight w:val="none"/>
        </w:rPr>
      </w:pPr>
      <w:r>
        <w:rPr>
          <w:b/>
          <w:bCs/>
          <w:color w:val="auto"/>
          <w:sz w:val="24"/>
          <w:szCs w:val="28"/>
          <w:highlight w:val="none"/>
        </w:rPr>
        <w:br w:type="page"/>
      </w:r>
    </w:p>
    <w:p w14:paraId="15FC90A4">
      <w:pPr>
        <w:jc w:val="center"/>
        <w:rPr>
          <w:rFonts w:ascii="Calibri" w:hAnsi="Calibri"/>
          <w:b/>
          <w:color w:val="auto"/>
          <w:sz w:val="24"/>
          <w:szCs w:val="24"/>
          <w:highlight w:val="none"/>
        </w:rPr>
      </w:pPr>
      <w:r>
        <w:rPr>
          <w:rFonts w:hint="eastAsia" w:ascii="FangSong_GB2312" w:hAnsi="Calibri" w:eastAsia="FangSong_GB2312"/>
          <w:b/>
          <w:color w:val="auto"/>
          <w:sz w:val="24"/>
          <w:szCs w:val="24"/>
          <w:highlight w:val="none"/>
        </w:rPr>
        <w:t>①</w:t>
      </w:r>
      <w:r>
        <w:rPr>
          <w:rFonts w:hint="eastAsia" w:ascii="Calibri" w:hAnsi="Calibri"/>
          <w:b/>
          <w:color w:val="auto"/>
          <w:sz w:val="24"/>
          <w:szCs w:val="24"/>
          <w:highlight w:val="none"/>
        </w:rPr>
        <w:t>工程量清单报价书（封面）</w:t>
      </w:r>
    </w:p>
    <w:p w14:paraId="169695BD">
      <w:pPr>
        <w:ind w:firstLine="482" w:firstLineChars="200"/>
        <w:jc w:val="center"/>
        <w:rPr>
          <w:rFonts w:hint="default" w:ascii="Calibri" w:hAnsi="Calibri"/>
          <w:b/>
          <w:color w:val="auto"/>
          <w:sz w:val="24"/>
          <w:szCs w:val="24"/>
          <w:highlight w:val="none"/>
        </w:rPr>
      </w:pPr>
    </w:p>
    <w:p w14:paraId="62ABBBAC">
      <w:pPr>
        <w:ind w:firstLine="482" w:firstLineChars="200"/>
        <w:jc w:val="center"/>
        <w:rPr>
          <w:rFonts w:ascii="Calibri" w:hAnsi="Calibri"/>
          <w:b/>
          <w:color w:val="auto"/>
          <w:sz w:val="24"/>
          <w:szCs w:val="24"/>
          <w:highlight w:val="none"/>
        </w:rPr>
      </w:pPr>
      <w:r>
        <w:rPr>
          <w:rFonts w:hint="default" w:ascii="Calibri" w:hAnsi="Calibri"/>
          <w:b/>
          <w:color w:val="auto"/>
          <w:sz w:val="24"/>
          <w:szCs w:val="24"/>
          <w:highlight w:val="none"/>
        </w:rPr>
        <w:t>响应</w:t>
      </w:r>
      <w:r>
        <w:rPr>
          <w:rFonts w:hint="eastAsia" w:ascii="Calibri" w:hAnsi="Calibri"/>
          <w:b/>
          <w:color w:val="auto"/>
          <w:sz w:val="24"/>
          <w:szCs w:val="24"/>
          <w:highlight w:val="none"/>
        </w:rPr>
        <w:t>总价</w:t>
      </w:r>
    </w:p>
    <w:p w14:paraId="4EC41306">
      <w:pPr>
        <w:spacing w:line="800" w:lineRule="exact"/>
        <w:ind w:firstLine="480" w:firstLineChars="200"/>
        <w:rPr>
          <w:rFonts w:ascii="Calibri" w:hAnsi="Calibri"/>
          <w:color w:val="auto"/>
          <w:sz w:val="24"/>
          <w:szCs w:val="24"/>
          <w:highlight w:val="none"/>
          <w:u w:val="single"/>
        </w:rPr>
      </w:pPr>
      <w:r>
        <w:rPr>
          <w:rFonts w:hint="default" w:ascii="Calibri" w:hAnsi="Calibri"/>
          <w:color w:val="auto"/>
          <w:sz w:val="24"/>
          <w:szCs w:val="24"/>
          <w:highlight w:val="none"/>
        </w:rPr>
        <w:t>采购人</w:t>
      </w:r>
      <w:r>
        <w:rPr>
          <w:rFonts w:hint="eastAsia" w:ascii="Calibri" w:hAnsi="Calibri"/>
          <w:color w:val="auto"/>
          <w:sz w:val="24"/>
          <w:szCs w:val="24"/>
          <w:highlight w:val="none"/>
        </w:rPr>
        <w:t>：</w:t>
      </w:r>
      <w:r>
        <w:rPr>
          <w:rFonts w:hint="eastAsia" w:ascii="Calibri" w:hAnsi="Calibri"/>
          <w:color w:val="auto"/>
          <w:sz w:val="24"/>
          <w:szCs w:val="24"/>
          <w:highlight w:val="none"/>
          <w:u w:val="single"/>
        </w:rPr>
        <w:t xml:space="preserve">                                                 </w:t>
      </w:r>
    </w:p>
    <w:p w14:paraId="709D2A6E">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工程名称：</w:t>
      </w:r>
      <w:r>
        <w:rPr>
          <w:rFonts w:hint="eastAsia" w:ascii="Calibri" w:hAnsi="Calibri"/>
          <w:color w:val="auto"/>
          <w:sz w:val="24"/>
          <w:szCs w:val="24"/>
          <w:highlight w:val="none"/>
          <w:u w:val="single"/>
        </w:rPr>
        <w:t xml:space="preserve">                                               </w:t>
      </w:r>
    </w:p>
    <w:p w14:paraId="469DE71D">
      <w:pPr>
        <w:spacing w:line="800" w:lineRule="exact"/>
        <w:ind w:firstLine="480" w:firstLineChars="200"/>
        <w:rPr>
          <w:rFonts w:ascii="Calibri" w:hAnsi="Calibri"/>
          <w:color w:val="auto"/>
          <w:sz w:val="24"/>
          <w:szCs w:val="24"/>
          <w:highlight w:val="none"/>
          <w:u w:val="single"/>
        </w:rPr>
      </w:pPr>
      <w:r>
        <w:rPr>
          <w:rFonts w:hint="default" w:ascii="Calibri" w:hAnsi="Calibri"/>
          <w:color w:val="auto"/>
          <w:sz w:val="24"/>
          <w:szCs w:val="24"/>
          <w:highlight w:val="none"/>
        </w:rPr>
        <w:t>响应</w:t>
      </w:r>
      <w:r>
        <w:rPr>
          <w:rFonts w:hint="eastAsia" w:ascii="Calibri" w:hAnsi="Calibri"/>
          <w:color w:val="auto"/>
          <w:sz w:val="24"/>
          <w:szCs w:val="24"/>
          <w:highlight w:val="none"/>
        </w:rPr>
        <w:t>总价（小写）：</w:t>
      </w:r>
      <w:r>
        <w:rPr>
          <w:rFonts w:hint="eastAsia" w:ascii="Calibri" w:hAnsi="Calibri"/>
          <w:color w:val="auto"/>
          <w:sz w:val="24"/>
          <w:szCs w:val="24"/>
          <w:highlight w:val="none"/>
          <w:u w:val="single"/>
        </w:rPr>
        <w:t xml:space="preserve">                                       </w:t>
      </w:r>
    </w:p>
    <w:p w14:paraId="52A00231">
      <w:pPr>
        <w:spacing w:line="800" w:lineRule="exact"/>
        <w:ind w:firstLine="1440" w:firstLineChars="600"/>
        <w:rPr>
          <w:rFonts w:ascii="Calibri" w:hAnsi="Calibri"/>
          <w:color w:val="auto"/>
          <w:sz w:val="24"/>
          <w:szCs w:val="24"/>
          <w:highlight w:val="none"/>
        </w:rPr>
      </w:pPr>
      <w:r>
        <w:rPr>
          <w:rFonts w:hint="eastAsia" w:ascii="Calibri" w:hAnsi="Calibri"/>
          <w:color w:val="auto"/>
          <w:sz w:val="24"/>
          <w:szCs w:val="24"/>
          <w:highlight w:val="none"/>
        </w:rPr>
        <w:t>（大写）：</w:t>
      </w:r>
      <w:r>
        <w:rPr>
          <w:rFonts w:hint="eastAsia" w:ascii="Calibri" w:hAnsi="Calibri"/>
          <w:color w:val="auto"/>
          <w:sz w:val="24"/>
          <w:szCs w:val="24"/>
          <w:highlight w:val="none"/>
          <w:u w:val="single"/>
        </w:rPr>
        <w:t xml:space="preserve">                                       </w:t>
      </w:r>
    </w:p>
    <w:p w14:paraId="2199B43E">
      <w:pPr>
        <w:spacing w:line="800" w:lineRule="exact"/>
        <w:ind w:firstLine="480" w:firstLineChars="200"/>
        <w:rPr>
          <w:rFonts w:ascii="Calibri" w:hAnsi="Calibri"/>
          <w:color w:val="auto"/>
          <w:sz w:val="24"/>
          <w:szCs w:val="24"/>
          <w:highlight w:val="none"/>
        </w:rPr>
      </w:pPr>
    </w:p>
    <w:p w14:paraId="1F275674">
      <w:pPr>
        <w:spacing w:line="800" w:lineRule="exact"/>
        <w:ind w:firstLine="480" w:firstLineChars="200"/>
        <w:rPr>
          <w:rFonts w:ascii="Calibri" w:hAnsi="Calibri"/>
          <w:color w:val="auto"/>
          <w:sz w:val="24"/>
          <w:szCs w:val="24"/>
          <w:highlight w:val="none"/>
        </w:rPr>
      </w:pPr>
      <w:r>
        <w:rPr>
          <w:rFonts w:hint="default" w:ascii="Calibri" w:hAnsi="Calibri"/>
          <w:color w:val="auto"/>
          <w:sz w:val="24"/>
          <w:szCs w:val="24"/>
          <w:highlight w:val="none"/>
        </w:rPr>
        <w:t>供应商</w:t>
      </w:r>
      <w:r>
        <w:rPr>
          <w:rFonts w:hint="eastAsia" w:ascii="Calibri" w:hAnsi="Calibri"/>
          <w:color w:val="auto"/>
          <w:sz w:val="24"/>
          <w:szCs w:val="24"/>
          <w:highlight w:val="none"/>
        </w:rPr>
        <w:t>：</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 xml:space="preserve"> (单位盖章)</w:t>
      </w:r>
    </w:p>
    <w:p w14:paraId="325B5BC2">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法定代表人：</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 xml:space="preserve"> (签字或盖章)</w:t>
      </w:r>
    </w:p>
    <w:p w14:paraId="0AD5B94B">
      <w:pPr>
        <w:spacing w:line="800" w:lineRule="exact"/>
        <w:ind w:firstLine="480" w:firstLineChars="200"/>
        <w:rPr>
          <w:rFonts w:ascii="Calibri" w:hAnsi="Calibri"/>
          <w:color w:val="auto"/>
          <w:sz w:val="24"/>
          <w:szCs w:val="24"/>
          <w:highlight w:val="none"/>
          <w:u w:val="single"/>
        </w:rPr>
      </w:pPr>
      <w:r>
        <w:rPr>
          <w:rFonts w:hint="eastAsia" w:ascii="Calibri" w:hAnsi="Calibri"/>
          <w:color w:val="auto"/>
          <w:sz w:val="24"/>
          <w:szCs w:val="24"/>
          <w:highlight w:val="none"/>
        </w:rPr>
        <w:t>编制人：</w:t>
      </w:r>
      <w:r>
        <w:rPr>
          <w:rFonts w:hint="eastAsia" w:ascii="Calibri" w:hAnsi="Calibri"/>
          <w:color w:val="auto"/>
          <w:sz w:val="24"/>
          <w:szCs w:val="24"/>
          <w:highlight w:val="none"/>
          <w:u w:val="single"/>
        </w:rPr>
        <w:t xml:space="preserve">                                                 </w:t>
      </w:r>
    </w:p>
    <w:p w14:paraId="5247EF19">
      <w:pPr>
        <w:spacing w:line="800" w:lineRule="exact"/>
        <w:ind w:firstLine="2040" w:firstLineChars="850"/>
        <w:rPr>
          <w:rFonts w:ascii="Calibri" w:hAnsi="Calibri"/>
          <w:color w:val="auto"/>
          <w:sz w:val="24"/>
          <w:szCs w:val="24"/>
          <w:highlight w:val="none"/>
        </w:rPr>
      </w:pPr>
      <w:r>
        <w:rPr>
          <w:rFonts w:hint="eastAsia" w:ascii="Calibri" w:hAnsi="Calibri"/>
          <w:color w:val="auto"/>
          <w:sz w:val="24"/>
          <w:szCs w:val="24"/>
          <w:highlight w:val="none"/>
        </w:rPr>
        <w:t xml:space="preserve"> (注册造价工程师签字并盖执业专用章)</w:t>
      </w:r>
    </w:p>
    <w:p w14:paraId="2823A556">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编制时间：</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年</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月</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日</w:t>
      </w:r>
    </w:p>
    <w:p w14:paraId="36B4DEF6">
      <w:pPr>
        <w:rPr>
          <w:rFonts w:ascii="Calibri" w:hAnsi="Calibri"/>
          <w:color w:val="auto"/>
          <w:sz w:val="32"/>
          <w:szCs w:val="32"/>
          <w:highlight w:val="none"/>
        </w:rPr>
      </w:pPr>
    </w:p>
    <w:p w14:paraId="156054E2">
      <w:pPr>
        <w:rPr>
          <w:color w:val="auto"/>
          <w:highlight w:val="none"/>
        </w:rPr>
      </w:pPr>
      <w:r>
        <w:rPr>
          <w:color w:val="auto"/>
          <w:highlight w:val="none"/>
        </w:rPr>
        <w:br w:type="page"/>
      </w:r>
    </w:p>
    <w:p w14:paraId="02D27384">
      <w:pPr>
        <w:rPr>
          <w:color w:val="auto"/>
          <w:highlight w:val="none"/>
        </w:rPr>
      </w:pPr>
    </w:p>
    <w:p w14:paraId="5A9D30AF">
      <w:pPr>
        <w:spacing w:line="360" w:lineRule="auto"/>
        <w:jc w:val="center"/>
        <w:outlineLvl w:val="1"/>
        <w:rPr>
          <w:rFonts w:asciiTheme="minorEastAsia" w:hAnsiTheme="minorEastAsia" w:eastAsiaTheme="minorEastAsia"/>
          <w:b/>
          <w:color w:val="auto"/>
          <w:sz w:val="24"/>
          <w:highlight w:val="none"/>
        </w:rPr>
      </w:pPr>
      <w:bookmarkStart w:id="555" w:name="_Toc461053087"/>
      <w:bookmarkStart w:id="556" w:name="_Toc461056632"/>
      <w:bookmarkStart w:id="557" w:name="_Toc20879"/>
      <w:bookmarkStart w:id="558" w:name="_Toc520983588"/>
      <w:bookmarkStart w:id="559" w:name="_Toc22341"/>
      <w:r>
        <w:rPr>
          <w:rFonts w:hint="eastAsia" w:asciiTheme="minorEastAsia" w:hAnsiTheme="minorEastAsia" w:eastAsiaTheme="minorEastAsia"/>
          <w:b/>
          <w:color w:val="auto"/>
          <w:sz w:val="24"/>
          <w:highlight w:val="none"/>
        </w:rPr>
        <w:t>二</w:t>
      </w:r>
      <w:bookmarkEnd w:id="555"/>
      <w:bookmarkEnd w:id="556"/>
      <w:r>
        <w:rPr>
          <w:rFonts w:hint="eastAsia" w:asciiTheme="minorEastAsia" w:hAnsiTheme="minorEastAsia" w:eastAsiaTheme="minorEastAsia"/>
          <w:b/>
          <w:color w:val="auto"/>
          <w:sz w:val="24"/>
          <w:highlight w:val="none"/>
        </w:rPr>
        <w:t>、最后承诺报价表</w:t>
      </w:r>
      <w:bookmarkEnd w:id="557"/>
      <w:bookmarkEnd w:id="558"/>
      <w:bookmarkEnd w:id="559"/>
    </w:p>
    <w:p w14:paraId="12C6FB68">
      <w:pPr>
        <w:spacing w:before="156" w:beforeLines="50" w:after="156" w:afterLines="50" w:line="360" w:lineRule="auto"/>
        <w:ind w:firstLine="236" w:firstLineChars="98"/>
        <w:jc w:val="center"/>
        <w:outlineLvl w:val="1"/>
        <w:rPr>
          <w:b/>
          <w:color w:val="auto"/>
          <w:sz w:val="24"/>
          <w:szCs w:val="28"/>
          <w:highlight w:val="none"/>
        </w:rPr>
      </w:pPr>
      <w:bookmarkStart w:id="560" w:name="_Toc13333"/>
      <w:bookmarkStart w:id="561" w:name="_Toc8562"/>
      <w:r>
        <w:rPr>
          <w:rFonts w:hint="eastAsia"/>
          <w:b/>
          <w:color w:val="auto"/>
          <w:sz w:val="24"/>
          <w:szCs w:val="28"/>
          <w:highlight w:val="none"/>
        </w:rPr>
        <w:t>（第</w:t>
      </w:r>
      <w:r>
        <w:rPr>
          <w:rFonts w:hint="eastAsia"/>
          <w:b/>
          <w:color w:val="auto"/>
          <w:sz w:val="24"/>
          <w:szCs w:val="28"/>
          <w:highlight w:val="none"/>
          <w:u w:val="single"/>
        </w:rPr>
        <w:t xml:space="preserve">   </w:t>
      </w:r>
      <w:r>
        <w:rPr>
          <w:rFonts w:hint="eastAsia"/>
          <w:b/>
          <w:color w:val="auto"/>
          <w:sz w:val="24"/>
          <w:szCs w:val="28"/>
          <w:highlight w:val="none"/>
        </w:rPr>
        <w:t>次报价书）</w:t>
      </w:r>
      <w:bookmarkEnd w:id="560"/>
      <w:bookmarkEnd w:id="561"/>
    </w:p>
    <w:p w14:paraId="76126B27">
      <w:pPr>
        <w:snapToGrid w:val="0"/>
        <w:spacing w:line="360" w:lineRule="auto"/>
        <w:jc w:val="left"/>
        <w:rPr>
          <w:rFonts w:hint="default" w:cs="宋体" w:asciiTheme="minorEastAsia" w:hAnsiTheme="minorEastAsia" w:eastAsiaTheme="minorEastAsia"/>
          <w:b/>
          <w:color w:val="auto"/>
          <w:kern w:val="2"/>
          <w:sz w:val="24"/>
          <w:szCs w:val="24"/>
          <w:highlight w:val="none"/>
          <w:lang w:val="en-US"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p w14:paraId="0A5E80CC">
      <w:pPr>
        <w:snapToGrid w:val="0"/>
        <w:spacing w:after="156" w:afterLines="50" w:line="360" w:lineRule="auto"/>
        <w:jc w:val="left"/>
        <w:rPr>
          <w:rFonts w:hint="default" w:cs="宋体" w:asciiTheme="minorEastAsia" w:hAnsiTheme="minorEastAsia" w:eastAsiaTheme="minorEastAsia"/>
          <w:b/>
          <w:bCs/>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222E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490F01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491" w:type="pct"/>
            <w:tcBorders>
              <w:left w:val="single" w:color="auto" w:sz="4" w:space="0"/>
            </w:tcBorders>
          </w:tcPr>
          <w:p w14:paraId="01B4AEBD">
            <w:pPr>
              <w:rPr>
                <w:rFonts w:cs="宋体" w:asciiTheme="minorEastAsia" w:hAnsiTheme="minorEastAsia" w:eastAsiaTheme="minorEastAsia"/>
                <w:b/>
                <w:color w:val="auto"/>
                <w:kern w:val="2"/>
                <w:sz w:val="24"/>
                <w:szCs w:val="24"/>
                <w:highlight w:val="none"/>
              </w:rPr>
            </w:pPr>
          </w:p>
        </w:tc>
      </w:tr>
      <w:tr w14:paraId="3053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3E87D773">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491" w:type="pct"/>
            <w:tcBorders>
              <w:left w:val="single" w:color="auto" w:sz="4" w:space="0"/>
            </w:tcBorders>
            <w:vAlign w:val="center"/>
          </w:tcPr>
          <w:p w14:paraId="4AC1ADD3">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全部 / 第</w:t>
            </w:r>
            <w:r>
              <w:rPr>
                <w:rFonts w:hint="eastAsia" w:cs="@仿宋_GB2312" w:asciiTheme="minorEastAsia" w:hAnsiTheme="minorEastAsia" w:eastAsiaTheme="minorEastAsia"/>
                <w:color w:val="auto"/>
                <w:kern w:val="2"/>
                <w:sz w:val="24"/>
                <w:szCs w:val="28"/>
                <w:highlight w:val="none"/>
                <w:u w:val="single"/>
              </w:rPr>
              <w:t xml:space="preserve">   </w:t>
            </w:r>
            <w:r>
              <w:rPr>
                <w:rFonts w:hint="eastAsia" w:cs="@仿宋_GB2312" w:asciiTheme="minorEastAsia" w:hAnsiTheme="minorEastAsia" w:eastAsiaTheme="minorEastAsia"/>
                <w:color w:val="auto"/>
                <w:kern w:val="2"/>
                <w:sz w:val="24"/>
                <w:szCs w:val="28"/>
                <w:highlight w:val="none"/>
              </w:rPr>
              <w:t>包</w:t>
            </w:r>
          </w:p>
        </w:tc>
      </w:tr>
      <w:tr w14:paraId="758D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46A00288">
            <w:pPr>
              <w:spacing w:line="360" w:lineRule="auto"/>
              <w:jc w:val="center"/>
              <w:rPr>
                <w:rFonts w:cs="@仿宋_GB2312"/>
                <w:b/>
                <w:color w:val="auto"/>
                <w:kern w:val="2"/>
                <w:sz w:val="24"/>
                <w:highlight w:val="none"/>
              </w:rPr>
            </w:pPr>
            <w:r>
              <w:rPr>
                <w:rFonts w:hint="eastAsia" w:cs="@仿宋_GB2312"/>
                <w:b/>
                <w:bCs/>
                <w:color w:val="auto"/>
                <w:kern w:val="2"/>
                <w:sz w:val="24"/>
                <w:szCs w:val="28"/>
                <w:highlight w:val="none"/>
              </w:rPr>
              <w:t>最后报价</w:t>
            </w:r>
          </w:p>
          <w:p w14:paraId="7C1B11CE">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491" w:type="pct"/>
            <w:vAlign w:val="center"/>
          </w:tcPr>
          <w:p w14:paraId="2FCEB3A8">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3C45B9A8">
            <w:pPr>
              <w:spacing w:line="360" w:lineRule="auto"/>
              <w:ind w:right="-670"/>
              <w:rPr>
                <w:rFonts w:cs="宋体" w:asciiTheme="minorEastAsia" w:hAnsiTheme="minorEastAsia" w:eastAsiaTheme="minorEastAsia"/>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3A11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06EA822">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491" w:type="pct"/>
            <w:vAlign w:val="center"/>
          </w:tcPr>
          <w:p w14:paraId="44D1F98A">
            <w:pPr>
              <w:snapToGrid w:val="0"/>
              <w:rPr>
                <w:rFonts w:cs="宋体" w:asciiTheme="minorEastAsia" w:hAnsiTheme="minorEastAsia" w:eastAsiaTheme="minorEastAsia"/>
                <w:b/>
                <w:color w:val="auto"/>
                <w:kern w:val="2"/>
                <w:sz w:val="24"/>
                <w:szCs w:val="24"/>
                <w:highlight w:val="none"/>
              </w:rPr>
            </w:pPr>
          </w:p>
        </w:tc>
      </w:tr>
      <w:tr w14:paraId="06B3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3F11998">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491" w:type="pct"/>
            <w:vAlign w:val="center"/>
          </w:tcPr>
          <w:p w14:paraId="307A0731">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Cs/>
                <w:color w:val="auto"/>
                <w:kern w:val="2"/>
                <w:sz w:val="24"/>
                <w:szCs w:val="24"/>
                <w:highlight w:val="none"/>
                <w:u w:val="single"/>
              </w:rPr>
              <w:t xml:space="preserve">      </w:t>
            </w:r>
            <w:r>
              <w:rPr>
                <w:rFonts w:hint="eastAsia" w:cs="宋体" w:asciiTheme="minorEastAsia" w:hAnsiTheme="minorEastAsia" w:eastAsiaTheme="minorEastAsia"/>
                <w:bCs/>
                <w:color w:val="auto"/>
                <w:kern w:val="2"/>
                <w:sz w:val="24"/>
                <w:szCs w:val="24"/>
                <w:highlight w:val="none"/>
              </w:rPr>
              <w:t>日历天完工</w:t>
            </w:r>
          </w:p>
        </w:tc>
      </w:tr>
      <w:tr w14:paraId="1AEB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D19A23B">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491" w:type="pct"/>
            <w:vAlign w:val="center"/>
          </w:tcPr>
          <w:p w14:paraId="32DA13D4">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3ECF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7B158B7D">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491" w:type="pct"/>
          </w:tcPr>
          <w:p w14:paraId="74D93EC7">
            <w:pP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i/>
                <w:color w:val="auto"/>
                <w:kern w:val="2"/>
                <w:sz w:val="24"/>
                <w:szCs w:val="24"/>
                <w:highlight w:val="none"/>
              </w:rPr>
              <w:t>（此处可补充磋商小组根据与供应商磋商情况变动的磋商文件的内容，包括采购需求中的技术、服务要求以及合同草案条款。）</w:t>
            </w:r>
          </w:p>
        </w:tc>
      </w:tr>
      <w:tr w14:paraId="1918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62E90F1A">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磋商小组签字</w:t>
            </w:r>
          </w:p>
        </w:tc>
        <w:tc>
          <w:tcPr>
            <w:tcW w:w="3491" w:type="pct"/>
          </w:tcPr>
          <w:p w14:paraId="51D8402E">
            <w:pPr>
              <w:rPr>
                <w:rFonts w:cs="宋体" w:asciiTheme="minorEastAsia" w:hAnsiTheme="minorEastAsia" w:eastAsiaTheme="minorEastAsia"/>
                <w:b/>
                <w:color w:val="auto"/>
                <w:kern w:val="2"/>
                <w:sz w:val="24"/>
                <w:szCs w:val="24"/>
                <w:highlight w:val="none"/>
              </w:rPr>
            </w:pPr>
          </w:p>
        </w:tc>
      </w:tr>
    </w:tbl>
    <w:p w14:paraId="69172E60">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0460E605">
      <w:pPr>
        <w:spacing w:line="440" w:lineRule="exact"/>
        <w:ind w:firstLine="4800" w:firstLineChars="2000"/>
        <w:rPr>
          <w:rFonts w:cs="宋体" w:asciiTheme="minorEastAsia" w:hAnsiTheme="minorEastAsia" w:eastAsiaTheme="minorEastAsia"/>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6BC35D9D">
      <w:pPr>
        <w:spacing w:line="360" w:lineRule="auto"/>
        <w:jc w:val="left"/>
        <w:rPr>
          <w:rFonts w:hint="eastAsia"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62590E3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Cs/>
          <w:color w:val="auto"/>
          <w:sz w:val="24"/>
          <w:highlight w:val="none"/>
        </w:rPr>
      </w:pPr>
      <w:r>
        <w:rPr>
          <w:rFonts w:hint="eastAsia" w:cs="宋体" w:asciiTheme="minorEastAsia" w:hAnsiTheme="minorEastAsia" w:eastAsiaTheme="minorEastAsia"/>
          <w:b/>
          <w:bCs/>
          <w:color w:val="auto"/>
          <w:kern w:val="2"/>
          <w:sz w:val="24"/>
          <w:szCs w:val="24"/>
          <w:highlight w:val="none"/>
          <w:lang w:val="en-US" w:eastAsia="zh-CN"/>
        </w:rPr>
        <w:t>1.</w:t>
      </w:r>
      <w:r>
        <w:rPr>
          <w:rFonts w:hint="eastAsia" w:cs="@仿宋_GB2312"/>
          <w:b/>
          <w:bCs/>
          <w:color w:val="auto"/>
          <w:kern w:val="2"/>
          <w:sz w:val="24"/>
          <w:highlight w:val="none"/>
        </w:rPr>
        <w:t>本页《报价表》由供应商在接到报价通知后依据磋商情况填写,并在规定时间内提交。</w:t>
      </w:r>
      <w:r>
        <w:rPr>
          <w:rFonts w:hint="eastAsia" w:cs="宋体" w:asciiTheme="minorEastAsia" w:hAnsiTheme="minorEastAsia" w:eastAsiaTheme="minorEastAsia"/>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color w:val="auto"/>
          <w:kern w:val="2"/>
          <w:sz w:val="24"/>
          <w:szCs w:val="24"/>
          <w:highlight w:val="none"/>
        </w:rPr>
        <w:t>此优惠率调整原则适用于合同内价格的计算及项目增减、变更时价格的计算。</w:t>
      </w:r>
    </w:p>
    <w:p w14:paraId="29B96BB2">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0D9A9C6A">
      <w:pPr>
        <w:widowControl/>
        <w:jc w:val="left"/>
        <w:rPr>
          <w:bCs/>
          <w:color w:val="auto"/>
          <w:sz w:val="24"/>
          <w:highlight w:val="none"/>
        </w:rPr>
      </w:pPr>
      <w:r>
        <w:rPr>
          <w:bCs/>
          <w:color w:val="auto"/>
          <w:sz w:val="24"/>
          <w:highlight w:val="none"/>
        </w:rPr>
        <w:br w:type="page"/>
      </w:r>
    </w:p>
    <w:p w14:paraId="27C228F9">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562" w:name="_Toc22429"/>
      <w:bookmarkStart w:id="563" w:name="_Toc7943"/>
      <w:bookmarkStart w:id="564" w:name="_Toc520983591"/>
      <w:r>
        <w:rPr>
          <w:rFonts w:hint="eastAsia" w:cs="@仿宋_GB2312" w:asciiTheme="minorEastAsia" w:hAnsiTheme="minorEastAsia" w:eastAsiaTheme="minorEastAsia"/>
          <w:b/>
          <w:bCs/>
          <w:color w:val="auto"/>
          <w:kern w:val="2"/>
          <w:sz w:val="24"/>
          <w:szCs w:val="24"/>
          <w:highlight w:val="none"/>
        </w:rPr>
        <w:t>三、供应商综合情况简介</w:t>
      </w:r>
      <w:bookmarkEnd w:id="562"/>
      <w:bookmarkEnd w:id="563"/>
    </w:p>
    <w:p w14:paraId="4F4C65B9">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（供应商可自行制作格式）</w:t>
      </w:r>
    </w:p>
    <w:p w14:paraId="4177F4A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68FAF02">
      <w:pPr>
        <w:spacing w:line="360" w:lineRule="auto"/>
        <w:jc w:val="center"/>
        <w:outlineLvl w:val="1"/>
        <w:rPr>
          <w:rFonts w:asciiTheme="minorEastAsia" w:hAnsiTheme="minorEastAsia" w:eastAsiaTheme="minorEastAsia"/>
          <w:b/>
          <w:color w:val="auto"/>
          <w:sz w:val="24"/>
          <w:highlight w:val="none"/>
        </w:rPr>
      </w:pPr>
      <w:bookmarkStart w:id="565" w:name="_Toc28160"/>
      <w:bookmarkStart w:id="566" w:name="_Toc8006"/>
      <w:r>
        <w:rPr>
          <w:rFonts w:hint="eastAsia" w:asciiTheme="minorEastAsia" w:hAnsiTheme="minorEastAsia" w:eastAsiaTheme="minorEastAsia"/>
          <w:b/>
          <w:color w:val="auto"/>
          <w:sz w:val="24"/>
          <w:highlight w:val="none"/>
        </w:rPr>
        <w:t>四、磋商响应函</w:t>
      </w:r>
      <w:bookmarkEnd w:id="564"/>
      <w:bookmarkEnd w:id="565"/>
      <w:bookmarkEnd w:id="566"/>
    </w:p>
    <w:p w14:paraId="63843EE8">
      <w:pPr>
        <w:spacing w:line="360" w:lineRule="auto"/>
        <w:rPr>
          <w:rFonts w:hint="eastAsia" w:cs="宋体" w:asciiTheme="minorEastAsia" w:hAnsiTheme="minorEastAsia" w:eastAsiaTheme="minorEastAsia"/>
          <w:b/>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single"/>
          <w:lang w:val="en-US" w:eastAsia="zh-CN"/>
        </w:rPr>
        <w:t>滁州学院</w:t>
      </w:r>
    </w:p>
    <w:p w14:paraId="289EF28B">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根据贵方的竞争性磋商公告和磋商邀请，我方兹宣布同意如下：</w:t>
      </w:r>
    </w:p>
    <w:p w14:paraId="6DAA809D">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asciiTheme="minorEastAsia" w:hAnsiTheme="minorEastAsia" w:eastAsiaTheme="minorEastAsia"/>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highlight w:val="none"/>
        </w:rPr>
        <w:t>承诺按本磋商文件、施工图纸、合同条款和工程建设技术标准的条件、</w:t>
      </w:r>
      <w:r>
        <w:rPr>
          <w:rFonts w:hint="eastAsia" w:cs="宋体" w:asciiTheme="minorEastAsia" w:hAnsiTheme="minorEastAsia" w:eastAsiaTheme="minorEastAsia"/>
          <w:color w:val="auto"/>
          <w:kern w:val="2"/>
          <w:sz w:val="24"/>
          <w:szCs w:val="24"/>
          <w:highlight w:val="none"/>
        </w:rPr>
        <w:t>承担</w:t>
      </w:r>
      <w:r>
        <w:rPr>
          <w:rFonts w:hint="eastAsia" w:cs="宋体" w:asciiTheme="minorEastAsia" w:hAnsiTheme="minorEastAsia" w:eastAsiaTheme="minorEastAsia"/>
          <w:bCs/>
          <w:color w:val="auto"/>
          <w:kern w:val="2"/>
          <w:sz w:val="24"/>
          <w:szCs w:val="24"/>
          <w:highlight w:val="none"/>
        </w:rPr>
        <w:t>上述工程的施工、竣工，并承担任何质量缺陷保修责任。</w:t>
      </w:r>
    </w:p>
    <w:p w14:paraId="56805CD8">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72E63AD3">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我方保证按磋商文件约定的工期和磋商文件或业主开工令的要求如期开工、工程质量达到合格标准、如期竣工并移交整个工程。</w:t>
      </w:r>
    </w:p>
    <w:p w14:paraId="11B81040">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09B04588">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1F5D61FB">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cs="宋体" w:asciiTheme="minorEastAsia" w:hAnsiTheme="minorEastAsia" w:eastAsiaTheme="minorEastAsia"/>
          <w:color w:val="auto"/>
          <w:kern w:val="2"/>
          <w:sz w:val="24"/>
          <w:szCs w:val="24"/>
          <w:highlight w:val="none"/>
        </w:rPr>
        <w:t>：</w:t>
      </w:r>
      <w:r>
        <w:rPr>
          <w:rFonts w:hint="eastAsia" w:cs="宋体" w:asciiTheme="minorEastAsia" w:hAnsiTheme="minorEastAsia" w:eastAsiaTheme="minorEastAsia"/>
          <w:color w:val="auto"/>
          <w:kern w:val="2"/>
          <w:sz w:val="24"/>
          <w:szCs w:val="24"/>
          <w:highlight w:val="none"/>
          <w:u w:val="single"/>
        </w:rPr>
        <w:t xml:space="preserve">  （</w:t>
      </w:r>
      <w:r>
        <w:rPr>
          <w:rFonts w:hint="eastAsia" w:cs="宋体" w:asciiTheme="minorEastAsia" w:hAnsiTheme="minorEastAsia" w:eastAsiaTheme="minorEastAsia"/>
          <w:i/>
          <w:iCs/>
          <w:color w:val="auto"/>
          <w:kern w:val="2"/>
          <w:sz w:val="24"/>
          <w:szCs w:val="24"/>
          <w:highlight w:val="none"/>
          <w:u w:val="single"/>
        </w:rPr>
        <w:t>如有</w:t>
      </w:r>
      <w:r>
        <w:rPr>
          <w:rFonts w:hint="eastAsia" w:cs="宋体" w:asciiTheme="minorEastAsia" w:hAnsiTheme="minorEastAsia" w:eastAsiaTheme="minorEastAsia"/>
          <w:color w:val="auto"/>
          <w:kern w:val="2"/>
          <w:sz w:val="24"/>
          <w:szCs w:val="24"/>
          <w:highlight w:val="none"/>
          <w:u w:val="single"/>
        </w:rPr>
        <w:t xml:space="preserve">）       </w:t>
      </w:r>
    </w:p>
    <w:p w14:paraId="102732E7">
      <w:pPr>
        <w:pStyle w:val="53"/>
        <w:ind w:firstLine="200"/>
        <w:rPr>
          <w:color w:val="auto"/>
          <w:highlight w:val="none"/>
          <w:lang w:val="en-US"/>
        </w:rPr>
      </w:pPr>
    </w:p>
    <w:p w14:paraId="6106494A">
      <w:pPr>
        <w:spacing w:line="360" w:lineRule="auto"/>
        <w:ind w:firstLine="4800" w:firstLineChars="2000"/>
        <w:rPr>
          <w:rFonts w:cs="@仿宋_GB2312"/>
          <w:color w:val="auto"/>
          <w:kern w:val="2"/>
          <w:sz w:val="24"/>
          <w:highlight w:val="none"/>
        </w:rPr>
      </w:pPr>
      <w:r>
        <w:rPr>
          <w:rFonts w:hint="eastAsia" w:cs="@仿宋_GB2312"/>
          <w:color w:val="auto"/>
          <w:kern w:val="2"/>
          <w:sz w:val="24"/>
          <w:highlight w:val="none"/>
        </w:rPr>
        <w:t>供应商电子签章：</w:t>
      </w:r>
      <w:r>
        <w:rPr>
          <w:rFonts w:hint="eastAsia" w:cs="@仿宋_GB2312"/>
          <w:color w:val="auto"/>
          <w:kern w:val="2"/>
          <w:sz w:val="24"/>
          <w:highlight w:val="none"/>
          <w:u w:val="single"/>
        </w:rPr>
        <w:t xml:space="preserve">             </w:t>
      </w:r>
    </w:p>
    <w:p w14:paraId="0AB1C77D">
      <w:pPr>
        <w:spacing w:line="360" w:lineRule="auto"/>
        <w:ind w:firstLine="4800" w:firstLineChars="2000"/>
        <w:rPr>
          <w:rFonts w:cs="@仿宋_GB2312"/>
          <w:color w:val="auto"/>
          <w:kern w:val="2"/>
          <w:sz w:val="24"/>
          <w:highlight w:val="none"/>
          <w:u w:val="single"/>
        </w:rPr>
      </w:pPr>
      <w:r>
        <w:rPr>
          <w:rFonts w:hint="eastAsia" w:cs="@仿宋_GB2312"/>
          <w:color w:val="auto"/>
          <w:kern w:val="2"/>
          <w:sz w:val="24"/>
          <w:highlight w:val="none"/>
        </w:rPr>
        <w:t>日          期：</w:t>
      </w:r>
      <w:r>
        <w:rPr>
          <w:rFonts w:hint="eastAsia" w:cs="@仿宋_GB2312"/>
          <w:color w:val="auto"/>
          <w:kern w:val="2"/>
          <w:sz w:val="24"/>
          <w:highlight w:val="none"/>
          <w:u w:val="single"/>
        </w:rPr>
        <w:t xml:space="preserve">             </w:t>
      </w:r>
    </w:p>
    <w:p w14:paraId="0B65D73E">
      <w:pPr>
        <w:widowControl/>
        <w:jc w:val="left"/>
        <w:rPr>
          <w:color w:val="auto"/>
          <w:sz w:val="24"/>
          <w:highlight w:val="none"/>
        </w:rPr>
      </w:pPr>
      <w:r>
        <w:rPr>
          <w:color w:val="auto"/>
          <w:sz w:val="24"/>
          <w:highlight w:val="none"/>
        </w:rPr>
        <w:br w:type="page"/>
      </w:r>
    </w:p>
    <w:p w14:paraId="5C26C4B0">
      <w:pPr>
        <w:spacing w:line="360" w:lineRule="auto"/>
        <w:jc w:val="center"/>
        <w:outlineLvl w:val="1"/>
        <w:rPr>
          <w:b/>
          <w:i/>
          <w:color w:val="auto"/>
          <w:sz w:val="24"/>
          <w:highlight w:val="none"/>
        </w:rPr>
      </w:pPr>
      <w:bookmarkStart w:id="567" w:name="_Toc2947"/>
      <w:bookmarkStart w:id="568" w:name="_Toc20728"/>
      <w:r>
        <w:rPr>
          <w:rFonts w:hint="eastAsia" w:asciiTheme="minorEastAsia" w:hAnsiTheme="minorEastAsia" w:eastAsiaTheme="minorEastAsia"/>
          <w:b/>
          <w:color w:val="auto"/>
          <w:sz w:val="24"/>
          <w:highlight w:val="none"/>
        </w:rPr>
        <w:t>五、</w:t>
      </w:r>
      <w:bookmarkEnd w:id="567"/>
      <w:bookmarkStart w:id="569" w:name="_Toc8658"/>
      <w:r>
        <w:rPr>
          <w:rFonts w:hint="eastAsia" w:asciiTheme="minorEastAsia" w:hAnsiTheme="minorEastAsia" w:eastAsiaTheme="minorEastAsia"/>
          <w:b/>
          <w:color w:val="auto"/>
          <w:sz w:val="24"/>
          <w:highlight w:val="none"/>
          <w:lang w:val="en-US" w:eastAsia="zh-CN"/>
        </w:rPr>
        <w:t>供应商资格声明书</w:t>
      </w:r>
      <w:bookmarkEnd w:id="568"/>
      <w:r>
        <w:rPr>
          <w:rFonts w:hint="eastAsia" w:asciiTheme="minorEastAsia" w:hAnsiTheme="minorEastAsia" w:eastAsiaTheme="minorEastAsia"/>
          <w:b/>
          <w:color w:val="auto"/>
          <w:sz w:val="24"/>
          <w:highlight w:val="none"/>
          <w:lang w:val="en-US" w:eastAsia="zh-CN"/>
        </w:rPr>
        <w:t xml:space="preserve"> </w:t>
      </w:r>
    </w:p>
    <w:p w14:paraId="52435CBB">
      <w:pPr>
        <w:pStyle w:val="31"/>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滁州学院</w:t>
      </w:r>
    </w:p>
    <w:p w14:paraId="36C3BB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在参与本次项目磋商中，我单位承诺：</w:t>
      </w:r>
    </w:p>
    <w:p w14:paraId="5AA234E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4EF632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55529C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508139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DFBE3D">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55887A84">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44F176D3">
      <w:pPr>
        <w:spacing w:line="360" w:lineRule="auto"/>
        <w:rPr>
          <w:rFonts w:hint="eastAsia"/>
          <w:color w:val="auto"/>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732595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（八）</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（企业名称）或       （企业名称）</w:t>
      </w:r>
      <w:r>
        <w:rPr>
          <w:rFonts w:hint="eastAsia" w:asciiTheme="minorEastAsia" w:hAnsiTheme="minorEastAsia" w:eastAsiaTheme="minorEastAsia" w:cstheme="minorEastAsia"/>
          <w:color w:val="auto"/>
          <w:kern w:val="0"/>
          <w:sz w:val="24"/>
          <w:szCs w:val="24"/>
          <w:highlight w:val="none"/>
          <w:lang w:val="en-US" w:eastAsia="zh-CN"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126C2D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（九）我单位不存在为采购项目提供整体设计、规范编制或者项目管理、监理、检测等服务后，再参加该采购项目的其他采购活动的情形（单一来源采购项目除外）；</w:t>
      </w:r>
    </w:p>
    <w:p w14:paraId="0874B1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（十）与我单位存在单位负责人为同一人或者存在直接控股、管理关系的其他法人单位信息如下（如有，不论其是否参加同一合同项下的政府采购活动均须填写）：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125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506F482">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841" w:type="dxa"/>
          </w:tcPr>
          <w:p w14:paraId="040E5C8F">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841" w:type="dxa"/>
          </w:tcPr>
          <w:p w14:paraId="3650BF56">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4748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D9D9CE0">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841" w:type="dxa"/>
          </w:tcPr>
          <w:p w14:paraId="10287282">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3524DABF">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702F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38898F8">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841" w:type="dxa"/>
          </w:tcPr>
          <w:p w14:paraId="5F0BD44B">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7C277B39">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62372D4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4FA65A92">
      <w:pPr>
        <w:spacing w:line="360" w:lineRule="auto"/>
        <w:ind w:firstLine="4800" w:firstLineChars="2000"/>
        <w:rPr>
          <w:rFonts w:ascii="宋体" w:hAnsi="宋体" w:eastAsia="宋体"/>
          <w:color w:val="auto"/>
          <w:sz w:val="24"/>
          <w:highlight w:val="none"/>
          <w:u w:val="single"/>
        </w:rPr>
      </w:pPr>
      <w:r>
        <w:rPr>
          <w:rFonts w:hint="eastAsia"/>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A209BA6">
      <w:pPr>
        <w:spacing w:line="360" w:lineRule="auto"/>
        <w:jc w:val="center"/>
        <w:outlineLvl w:val="9"/>
        <w:rPr>
          <w:rFonts w:hint="eastAsia" w:asciiTheme="minorEastAsia" w:hAnsiTheme="minorEastAsia" w:eastAsiaTheme="minorEastAsia"/>
          <w:b/>
          <w:color w:val="auto"/>
          <w:sz w:val="24"/>
          <w:highlight w:val="none"/>
        </w:rPr>
        <w:sectPr>
          <w:pgSz w:w="11906" w:h="16838"/>
          <w:pgMar w:top="1440" w:right="1800" w:bottom="1440" w:left="1800" w:header="851" w:footer="992" w:gutter="0"/>
          <w:pgNumType w:fmt="numberInDash"/>
          <w:cols w:space="425" w:num="1"/>
          <w:docGrid w:type="lines" w:linePitch="312" w:charSpace="0"/>
        </w:sectPr>
      </w:pPr>
      <w:r>
        <w:rPr>
          <w:rFonts w:hint="eastAsia"/>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bookmarkEnd w:id="569"/>
    </w:p>
    <w:p w14:paraId="73AF0E88">
      <w:pPr>
        <w:widowControl/>
        <w:jc w:val="center"/>
        <w:outlineLvl w:val="1"/>
        <w:rPr>
          <w:rFonts w:asciiTheme="minorEastAsia" w:hAnsiTheme="minorEastAsia" w:eastAsiaTheme="minorEastAsia"/>
          <w:b/>
          <w:color w:val="auto"/>
          <w:sz w:val="24"/>
          <w:highlight w:val="none"/>
          <w:u w:val="none"/>
        </w:rPr>
      </w:pPr>
      <w:bookmarkStart w:id="570" w:name="_Toc121626298"/>
      <w:bookmarkStart w:id="571" w:name="_Toc520983594"/>
      <w:bookmarkStart w:id="572" w:name="_Toc516969106"/>
      <w:bookmarkStart w:id="573" w:name="_Toc204594911"/>
      <w:bookmarkStart w:id="574" w:name="_Toc909"/>
      <w:bookmarkStart w:id="575" w:name="_Toc25503"/>
      <w:r>
        <w:rPr>
          <w:rFonts w:hint="eastAsia" w:asciiTheme="minorEastAsia" w:hAnsiTheme="minorEastAsia" w:eastAsiaTheme="minorEastAsia"/>
          <w:b/>
          <w:color w:val="auto"/>
          <w:sz w:val="24"/>
          <w:highlight w:val="none"/>
          <w:u w:val="none"/>
        </w:rPr>
        <w:t>六、授权书</w:t>
      </w:r>
      <w:bookmarkEnd w:id="570"/>
      <w:bookmarkEnd w:id="571"/>
      <w:bookmarkEnd w:id="572"/>
      <w:bookmarkEnd w:id="573"/>
      <w:bookmarkEnd w:id="574"/>
      <w:bookmarkEnd w:id="575"/>
    </w:p>
    <w:p w14:paraId="4E1C3204">
      <w:pPr>
        <w:spacing w:line="360" w:lineRule="auto"/>
        <w:jc w:val="center"/>
        <w:rPr>
          <w:rFonts w:asciiTheme="minorEastAsia" w:hAnsiTheme="minorEastAsia" w:eastAsiaTheme="minorEastAsia"/>
          <w:b/>
          <w:color w:val="auto"/>
          <w:sz w:val="24"/>
          <w:highlight w:val="none"/>
        </w:rPr>
      </w:pPr>
    </w:p>
    <w:p w14:paraId="3AB0C3D2">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2C773325">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5CB77624">
      <w:pPr>
        <w:pStyle w:val="29"/>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1351FC5F">
      <w:pPr>
        <w:pStyle w:val="29"/>
        <w:snapToGrid w:val="0"/>
        <w:spacing w:line="360" w:lineRule="auto"/>
        <w:ind w:firstLine="480" w:firstLineChars="200"/>
        <w:jc w:val="left"/>
        <w:rPr>
          <w:rFonts w:hAnsi="宋体" w:eastAsia="宋体"/>
          <w:color w:val="auto"/>
          <w:sz w:val="24"/>
          <w:highlight w:val="none"/>
        </w:rPr>
      </w:pPr>
    </w:p>
    <w:p w14:paraId="7F395841">
      <w:pPr>
        <w:pStyle w:val="29"/>
        <w:snapToGrid w:val="0"/>
        <w:spacing w:line="360" w:lineRule="auto"/>
        <w:ind w:firstLine="480" w:firstLineChars="200"/>
        <w:jc w:val="left"/>
        <w:rPr>
          <w:rFonts w:hAnsi="宋体" w:eastAsia="宋体"/>
          <w:color w:val="auto"/>
          <w:sz w:val="24"/>
          <w:highlight w:val="none"/>
        </w:rPr>
      </w:pPr>
    </w:p>
    <w:p w14:paraId="76527BEE">
      <w:pPr>
        <w:pStyle w:val="29"/>
        <w:snapToGrid w:val="0"/>
        <w:spacing w:line="360" w:lineRule="auto"/>
        <w:ind w:firstLine="480" w:firstLineChars="200"/>
        <w:jc w:val="left"/>
        <w:rPr>
          <w:rFonts w:hAnsi="宋体" w:eastAsia="宋体"/>
          <w:color w:val="auto"/>
          <w:sz w:val="24"/>
          <w:highlight w:val="none"/>
        </w:rPr>
      </w:pPr>
    </w:p>
    <w:p w14:paraId="5819473C">
      <w:pPr>
        <w:pStyle w:val="29"/>
        <w:snapToGrid w:val="0"/>
        <w:spacing w:line="360" w:lineRule="auto"/>
        <w:ind w:firstLine="480" w:firstLineChars="200"/>
        <w:jc w:val="left"/>
        <w:rPr>
          <w:rFonts w:hAnsi="宋体" w:eastAsia="宋体"/>
          <w:color w:val="auto"/>
          <w:sz w:val="24"/>
          <w:highlight w:val="none"/>
        </w:rPr>
      </w:pPr>
    </w:p>
    <w:p w14:paraId="06BE0BE9">
      <w:pPr>
        <w:pStyle w:val="29"/>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5566AAE9">
      <w:pPr>
        <w:pStyle w:val="29"/>
        <w:snapToGrid w:val="0"/>
        <w:spacing w:line="360" w:lineRule="auto"/>
        <w:ind w:firstLine="480" w:firstLineChars="200"/>
        <w:jc w:val="left"/>
        <w:rPr>
          <w:rFonts w:hAnsi="宋体" w:eastAsia="宋体"/>
          <w:color w:val="auto"/>
          <w:sz w:val="24"/>
          <w:szCs w:val="28"/>
          <w:highlight w:val="none"/>
        </w:rPr>
      </w:pPr>
    </w:p>
    <w:p w14:paraId="56914624">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632289D0">
      <w:pPr>
        <w:spacing w:line="360" w:lineRule="auto"/>
        <w:rPr>
          <w:color w:val="auto"/>
          <w:sz w:val="24"/>
          <w:szCs w:val="28"/>
          <w:highlight w:val="none"/>
        </w:rPr>
      </w:pPr>
    </w:p>
    <w:p w14:paraId="56F8D373">
      <w:pPr>
        <w:spacing w:line="360" w:lineRule="auto"/>
        <w:jc w:val="center"/>
        <w:rPr>
          <w:bCs/>
          <w:color w:val="auto"/>
          <w:sz w:val="24"/>
          <w:szCs w:val="28"/>
          <w:highlight w:val="none"/>
        </w:rPr>
      </w:pPr>
      <w:r>
        <w:rPr>
          <w:rFonts w:hint="eastAsia"/>
          <w:bCs/>
          <w:color w:val="auto"/>
          <w:sz w:val="24"/>
          <w:szCs w:val="28"/>
          <w:highlight w:val="none"/>
          <w:lang w:val="en-US" w:eastAsia="zh-CN"/>
        </w:rPr>
        <w:t xml:space="preserve">                    </w:t>
      </w:r>
      <w:r>
        <w:rPr>
          <w:rFonts w:hint="eastAsia"/>
          <w:bCs/>
          <w:color w:val="auto"/>
          <w:sz w:val="24"/>
          <w:szCs w:val="28"/>
          <w:highlight w:val="none"/>
        </w:rPr>
        <w:t>供应商电子签章：</w:t>
      </w:r>
      <w:r>
        <w:rPr>
          <w:rFonts w:hint="eastAsia"/>
          <w:bCs/>
          <w:color w:val="auto"/>
          <w:sz w:val="24"/>
          <w:szCs w:val="28"/>
          <w:highlight w:val="none"/>
          <w:u w:val="single"/>
        </w:rPr>
        <w:t xml:space="preserve">                    </w:t>
      </w:r>
    </w:p>
    <w:p w14:paraId="6A31D84B">
      <w:pPr>
        <w:spacing w:line="360" w:lineRule="auto"/>
        <w:rPr>
          <w:color w:val="auto"/>
          <w:sz w:val="24"/>
          <w:szCs w:val="28"/>
          <w:highlight w:val="none"/>
        </w:rPr>
      </w:pPr>
      <w:r>
        <w:rPr>
          <w:rFonts w:hint="eastAsia"/>
          <w:color w:val="auto"/>
          <w:sz w:val="24"/>
          <w:szCs w:val="28"/>
          <w:highlight w:val="none"/>
          <w:lang w:val="en-US" w:eastAsia="zh-CN"/>
        </w:rPr>
        <w:t xml:space="preserve">                                        </w:t>
      </w:r>
      <w:r>
        <w:rPr>
          <w:rFonts w:hint="eastAsia"/>
          <w:color w:val="auto"/>
          <w:sz w:val="24"/>
          <w:szCs w:val="28"/>
          <w:highlight w:val="none"/>
        </w:rPr>
        <w:t>日          期：</w:t>
      </w:r>
      <w:r>
        <w:rPr>
          <w:rFonts w:hint="eastAsia"/>
          <w:color w:val="auto"/>
          <w:sz w:val="24"/>
          <w:szCs w:val="28"/>
          <w:highlight w:val="none"/>
          <w:u w:val="single"/>
        </w:rPr>
        <w:t xml:space="preserve">                    </w:t>
      </w:r>
    </w:p>
    <w:p w14:paraId="7B80BBA5">
      <w:pPr>
        <w:spacing w:line="360" w:lineRule="auto"/>
        <w:rPr>
          <w:color w:val="auto"/>
          <w:sz w:val="24"/>
          <w:szCs w:val="28"/>
          <w:highlight w:val="none"/>
        </w:rPr>
      </w:pPr>
    </w:p>
    <w:p w14:paraId="229D0422">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9E1FCFB">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188C5146">
      <w:pPr>
        <w:spacing w:line="360" w:lineRule="auto"/>
        <w:jc w:val="left"/>
        <w:rPr>
          <w:color w:val="auto"/>
          <w:sz w:val="24"/>
          <w:highlight w:val="none"/>
        </w:rPr>
      </w:pPr>
      <w:r>
        <w:rPr>
          <w:rFonts w:hint="eastAsia"/>
          <w:color w:val="auto"/>
          <w:sz w:val="24"/>
          <w:highlight w:val="none"/>
        </w:rPr>
        <w:t>2.法定代表人参加磋商的无需提供授权书，仅提供身份证明扫描件。</w:t>
      </w:r>
    </w:p>
    <w:p w14:paraId="72FBCA6B">
      <w:pPr>
        <w:widowControl/>
        <w:jc w:val="left"/>
        <w:rPr>
          <w:color w:val="auto"/>
          <w:sz w:val="24"/>
          <w:highlight w:val="none"/>
        </w:rPr>
      </w:pPr>
      <w:r>
        <w:rPr>
          <w:color w:val="auto"/>
          <w:sz w:val="24"/>
          <w:highlight w:val="none"/>
        </w:rPr>
        <w:br w:type="page"/>
      </w:r>
    </w:p>
    <w:p w14:paraId="5D6177BB">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576" w:name="_Toc32351"/>
      <w:bookmarkStart w:id="577" w:name="_Toc12223"/>
      <w:r>
        <w:rPr>
          <w:rFonts w:hint="eastAsia" w:cs="@仿宋_GB2312" w:asciiTheme="minorEastAsia" w:hAnsiTheme="minorEastAsia" w:eastAsiaTheme="minorEastAsia"/>
          <w:b/>
          <w:bCs/>
          <w:color w:val="auto"/>
          <w:kern w:val="2"/>
          <w:sz w:val="24"/>
          <w:szCs w:val="24"/>
          <w:highlight w:val="none"/>
        </w:rPr>
        <w:t>七、法定代表人身份证明书</w:t>
      </w:r>
      <w:bookmarkEnd w:id="576"/>
      <w:bookmarkEnd w:id="577"/>
    </w:p>
    <w:p w14:paraId="689058AB">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45B3D847">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单位名称：</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1164C87E">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单位性质：</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31E54BD4">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地    址：</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201EF665">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成立时间：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月</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日</w:t>
      </w:r>
    </w:p>
    <w:p w14:paraId="56ADF870">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经营期限：</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6D72BC9D">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姓    名：</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性 </w:t>
      </w:r>
      <w:r>
        <w:rPr>
          <w:rFonts w:ascii="Calibri" w:hAnsi="Calibri" w:cs="Times New Roman"/>
          <w:color w:val="auto"/>
          <w:kern w:val="2"/>
          <w:sz w:val="24"/>
          <w:szCs w:val="28"/>
          <w:highlight w:val="none"/>
        </w:rPr>
        <w:t xml:space="preserve">  </w:t>
      </w:r>
      <w:r>
        <w:rPr>
          <w:rFonts w:hint="eastAsia" w:ascii="Calibri" w:hAnsi="Calibri" w:cs="Times New Roman"/>
          <w:color w:val="auto"/>
          <w:kern w:val="2"/>
          <w:sz w:val="24"/>
          <w:szCs w:val="28"/>
          <w:highlight w:val="none"/>
        </w:rPr>
        <w:t xml:space="preserve"> 别：</w:t>
      </w:r>
      <w:r>
        <w:rPr>
          <w:rFonts w:hint="eastAsia" w:ascii="Calibri" w:hAnsi="Calibri" w:cs="Times New Roman"/>
          <w:color w:val="auto"/>
          <w:kern w:val="2"/>
          <w:sz w:val="24"/>
          <w:szCs w:val="28"/>
          <w:highlight w:val="none"/>
          <w:u w:val="single"/>
        </w:rPr>
        <w:t xml:space="preserve">             </w:t>
      </w:r>
    </w:p>
    <w:p w14:paraId="299A7BA0">
      <w:pPr>
        <w:snapToGrid w:val="0"/>
        <w:spacing w:line="360" w:lineRule="auto"/>
        <w:ind w:firstLine="480" w:firstLineChars="200"/>
        <w:jc w:val="left"/>
        <w:rPr>
          <w:rFonts w:ascii="Calibri" w:hAnsi="Calibri" w:cs="Times New Roman"/>
          <w:color w:val="auto"/>
          <w:kern w:val="2"/>
          <w:sz w:val="24"/>
          <w:szCs w:val="28"/>
          <w:highlight w:val="none"/>
          <w:u w:val="single"/>
        </w:rPr>
      </w:pPr>
      <w:r>
        <w:rPr>
          <w:rFonts w:hint="eastAsia" w:ascii="Calibri" w:hAnsi="Calibri" w:cs="Times New Roman"/>
          <w:color w:val="auto"/>
          <w:kern w:val="2"/>
          <w:sz w:val="24"/>
          <w:szCs w:val="28"/>
          <w:highlight w:val="none"/>
        </w:rPr>
        <w:t>年    龄：</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职    务：</w:t>
      </w:r>
      <w:r>
        <w:rPr>
          <w:rFonts w:hint="eastAsia" w:ascii="Calibri" w:hAnsi="Calibri" w:cs="Times New Roman"/>
          <w:color w:val="auto"/>
          <w:kern w:val="2"/>
          <w:sz w:val="24"/>
          <w:szCs w:val="28"/>
          <w:highlight w:val="none"/>
          <w:u w:val="single"/>
        </w:rPr>
        <w:t xml:space="preserve">             </w:t>
      </w:r>
    </w:p>
    <w:p w14:paraId="5D601B60">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联系</w:t>
      </w:r>
      <w:r>
        <w:rPr>
          <w:rFonts w:ascii="Calibri" w:hAnsi="Calibri" w:cs="Times New Roman"/>
          <w:color w:val="auto"/>
          <w:kern w:val="2"/>
          <w:sz w:val="24"/>
          <w:szCs w:val="28"/>
          <w:highlight w:val="none"/>
        </w:rPr>
        <w:t>电话</w:t>
      </w:r>
      <w:r>
        <w:rPr>
          <w:rFonts w:hint="eastAsia" w:ascii="Calibri" w:hAnsi="Calibri" w:cs="Times New Roman"/>
          <w:color w:val="auto"/>
          <w:kern w:val="2"/>
          <w:sz w:val="24"/>
          <w:szCs w:val="28"/>
          <w:highlight w:val="none"/>
        </w:rPr>
        <w:t>：</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手机号码：</w:t>
      </w:r>
      <w:r>
        <w:rPr>
          <w:rFonts w:hint="eastAsia" w:ascii="Calibri" w:hAnsi="Calibri" w:cs="Times New Roman"/>
          <w:color w:val="auto"/>
          <w:kern w:val="2"/>
          <w:sz w:val="24"/>
          <w:szCs w:val="28"/>
          <w:highlight w:val="none"/>
          <w:u w:val="single"/>
        </w:rPr>
        <w:t xml:space="preserve">             </w:t>
      </w:r>
    </w:p>
    <w:p w14:paraId="542D15BC">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系  </w:t>
      </w:r>
      <w:r>
        <w:rPr>
          <w:rFonts w:hint="eastAsia" w:ascii="Calibri" w:hAnsi="Calibri" w:cs="Times New Roman"/>
          <w:color w:val="auto"/>
          <w:kern w:val="2"/>
          <w:sz w:val="24"/>
          <w:szCs w:val="28"/>
          <w:highlight w:val="none"/>
          <w:u w:val="single"/>
        </w:rPr>
        <w:t xml:space="preserve">   （供应商单位名称）       </w:t>
      </w:r>
      <w:r>
        <w:rPr>
          <w:rFonts w:hint="eastAsia" w:ascii="Calibri" w:hAnsi="Calibri" w:cs="Times New Roman"/>
          <w:color w:val="auto"/>
          <w:kern w:val="2"/>
          <w:sz w:val="24"/>
          <w:szCs w:val="28"/>
          <w:highlight w:val="none"/>
        </w:rPr>
        <w:t>的法定代表人。</w:t>
      </w:r>
    </w:p>
    <w:p w14:paraId="084D2FD4">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2E1A698F">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6A1D383F">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321DB98A">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3028F82D">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74D73222">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22CDBE89">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09E7692F">
      <w:pPr>
        <w:widowControl/>
        <w:jc w:val="left"/>
        <w:rPr>
          <w:rFonts w:cs="@仿宋_GB2312" w:asciiTheme="minorEastAsia" w:hAnsiTheme="minorEastAsia" w:eastAsiaTheme="minorEastAsia"/>
          <w:b/>
          <w:bCs/>
          <w:color w:val="auto"/>
          <w:kern w:val="2"/>
          <w:sz w:val="24"/>
          <w:szCs w:val="24"/>
          <w:highlight w:val="none"/>
        </w:rPr>
      </w:pPr>
      <w:r>
        <w:rPr>
          <w:rFonts w:cs="@仿宋_GB2312" w:asciiTheme="minorEastAsia" w:hAnsiTheme="minorEastAsia" w:eastAsiaTheme="minorEastAsia"/>
          <w:color w:val="auto"/>
          <w:kern w:val="2"/>
          <w:sz w:val="24"/>
          <w:szCs w:val="24"/>
          <w:highlight w:val="none"/>
        </w:rPr>
        <w:br w:type="page"/>
      </w:r>
    </w:p>
    <w:p w14:paraId="3660B797">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highlight w:val="none"/>
        </w:rPr>
      </w:pPr>
      <w:bookmarkStart w:id="578" w:name="_Toc4373"/>
      <w:bookmarkStart w:id="579" w:name="_Toc20099"/>
      <w:r>
        <w:rPr>
          <w:rFonts w:hint="eastAsia" w:cs="@仿宋_GB2312" w:asciiTheme="minorEastAsia" w:hAnsiTheme="minorEastAsia" w:eastAsiaTheme="minorEastAsia"/>
          <w:b/>
          <w:bCs/>
          <w:color w:val="auto"/>
          <w:kern w:val="2"/>
          <w:sz w:val="24"/>
          <w:szCs w:val="24"/>
          <w:highlight w:val="none"/>
          <w:lang w:val="en-US" w:eastAsia="zh-CN"/>
        </w:rPr>
        <w:t>八</w:t>
      </w:r>
      <w:r>
        <w:rPr>
          <w:rFonts w:hint="eastAsia" w:cs="@仿宋_GB2312" w:asciiTheme="minorEastAsia" w:hAnsiTheme="minorEastAsia" w:eastAsiaTheme="minorEastAsia"/>
          <w:b/>
          <w:bCs/>
          <w:color w:val="auto"/>
          <w:kern w:val="2"/>
          <w:sz w:val="24"/>
          <w:szCs w:val="24"/>
          <w:highlight w:val="none"/>
        </w:rPr>
        <w:t>、项目经理承诺书</w:t>
      </w:r>
      <w:bookmarkEnd w:id="578"/>
      <w:bookmarkEnd w:id="579"/>
    </w:p>
    <w:p w14:paraId="634287AB">
      <w:pPr>
        <w:spacing w:line="360" w:lineRule="auto"/>
        <w:rPr>
          <w:rFonts w:hint="eastAsia"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none"/>
          <w:lang w:val="en-US" w:eastAsia="zh-CN"/>
        </w:rPr>
        <w:t>滁州学院</w:t>
      </w:r>
    </w:p>
    <w:p w14:paraId="4D192FE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122087D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42E3343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03CA54F9">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24068349">
      <w:pPr>
        <w:spacing w:line="360" w:lineRule="auto"/>
        <w:ind w:firstLine="480" w:firstLineChars="200"/>
        <w:rPr>
          <w:rFonts w:hint="eastAsia" w:cs="宋体"/>
          <w:color w:val="auto"/>
          <w:kern w:val="2"/>
          <w:sz w:val="24"/>
          <w:szCs w:val="24"/>
          <w:highlight w:val="none"/>
          <w:lang w:val="en-US" w:eastAsia="zh-CN"/>
        </w:rPr>
      </w:pPr>
      <w:r>
        <w:rPr>
          <w:rFonts w:hint="eastAsia" w:cs="宋体"/>
          <w:color w:val="auto"/>
          <w:kern w:val="2"/>
          <w:sz w:val="24"/>
          <w:szCs w:val="24"/>
          <w:highlight w:val="none"/>
          <w:lang w:val="en-US" w:eastAsia="zh-CN"/>
        </w:rPr>
        <w:t>四、</w:t>
      </w:r>
      <w:r>
        <w:rPr>
          <w:rFonts w:hint="eastAsia" w:cs="宋体"/>
          <w:color w:val="auto"/>
          <w:kern w:val="2"/>
          <w:sz w:val="24"/>
          <w:szCs w:val="24"/>
          <w:highlight w:val="none"/>
          <w:u w:val="single"/>
        </w:rPr>
        <w:t xml:space="preserve">                   </w:t>
      </w:r>
    </w:p>
    <w:p w14:paraId="3DB9F31C">
      <w:pPr>
        <w:spacing w:line="360" w:lineRule="auto"/>
        <w:ind w:firstLine="480" w:firstLineChars="200"/>
        <w:rPr>
          <w:rFonts w:cs="宋体"/>
          <w:color w:val="auto"/>
          <w:kern w:val="2"/>
          <w:sz w:val="24"/>
          <w:szCs w:val="24"/>
          <w:highlight w:val="none"/>
        </w:rPr>
      </w:pPr>
    </w:p>
    <w:p w14:paraId="15D9E31A">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315BC0F8">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319AD7A5">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0C1EFBAD">
      <w:pPr>
        <w:spacing w:line="360" w:lineRule="auto"/>
        <w:ind w:firstLine="480" w:firstLineChars="200"/>
        <w:rPr>
          <w:rFonts w:cs="宋体"/>
          <w:color w:val="auto"/>
          <w:kern w:val="2"/>
          <w:sz w:val="24"/>
          <w:szCs w:val="24"/>
          <w:highlight w:val="none"/>
        </w:rPr>
      </w:pPr>
    </w:p>
    <w:p w14:paraId="561E8F83">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color w:val="auto"/>
          <w:kern w:val="2"/>
          <w:sz w:val="24"/>
          <w:szCs w:val="24"/>
          <w:highlight w:val="none"/>
        </w:rPr>
        <w:t>注：本页后附项目经理身份证明扫描件。</w:t>
      </w:r>
    </w:p>
    <w:p w14:paraId="5ADDAD4D">
      <w:pPr>
        <w:autoSpaceDE w:val="0"/>
        <w:autoSpaceDN w:val="0"/>
        <w:adjustRightInd w:val="0"/>
        <w:spacing w:line="360" w:lineRule="auto"/>
        <w:jc w:val="center"/>
        <w:rPr>
          <w:rFonts w:asciiTheme="minorEastAsia" w:hAnsiTheme="minorEastAsia" w:eastAsiaTheme="minorEastAsia"/>
          <w:color w:val="auto"/>
          <w:sz w:val="28"/>
          <w:highlight w:val="none"/>
        </w:rPr>
      </w:pPr>
      <w:bookmarkStart w:id="580" w:name="_Toc438648628"/>
      <w:r>
        <w:rPr>
          <w:rFonts w:hint="eastAsia" w:ascii="@仿宋_GB2312" w:eastAsia="@仿宋_GB2312" w:cs="宋体"/>
          <w:b/>
          <w:color w:val="auto"/>
          <w:kern w:val="2"/>
          <w:sz w:val="24"/>
          <w:szCs w:val="24"/>
          <w:highlight w:val="none"/>
        </w:rPr>
        <w:br w:type="page"/>
      </w:r>
      <w:bookmarkEnd w:id="580"/>
    </w:p>
    <w:p w14:paraId="70C5DEF0">
      <w:pPr>
        <w:spacing w:line="360" w:lineRule="auto"/>
        <w:jc w:val="center"/>
        <w:outlineLvl w:val="1"/>
        <w:rPr>
          <w:rFonts w:asciiTheme="minorEastAsia" w:hAnsiTheme="minorEastAsia" w:eastAsiaTheme="minorEastAsia"/>
          <w:b/>
          <w:color w:val="auto"/>
          <w:sz w:val="24"/>
          <w:highlight w:val="none"/>
        </w:rPr>
      </w:pPr>
      <w:bookmarkStart w:id="581" w:name="_Toc28359"/>
      <w:bookmarkStart w:id="582" w:name="_Toc31589"/>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、中小企业声明函</w:t>
      </w:r>
      <w:bookmarkEnd w:id="581"/>
      <w:bookmarkEnd w:id="582"/>
    </w:p>
    <w:p w14:paraId="06252507">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（单位</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（项目</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5137EED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605FC3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1D92B19C">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325D8974">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41A63DC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5BA6ABE1">
      <w:pPr>
        <w:spacing w:line="360" w:lineRule="auto"/>
        <w:rPr>
          <w:rFonts w:cs="@仿宋_GB2312" w:asciiTheme="minorEastAsia" w:hAnsiTheme="minorEastAsia" w:eastAsiaTheme="minorEastAsia"/>
          <w:color w:val="auto"/>
          <w:kern w:val="2"/>
          <w:sz w:val="24"/>
          <w:szCs w:val="24"/>
          <w:highlight w:val="none"/>
        </w:rPr>
      </w:pPr>
    </w:p>
    <w:p w14:paraId="628BF70F">
      <w:pPr>
        <w:spacing w:line="360" w:lineRule="auto"/>
        <w:ind w:firstLine="4228" w:firstLineChars="176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供应商</w:t>
      </w:r>
      <w:r>
        <w:rPr>
          <w:rFonts w:cs="@仿宋_GB2312" w:asciiTheme="minorEastAsia" w:hAnsiTheme="minorEastAsia" w:eastAsiaTheme="minorEastAsia"/>
          <w:color w:val="auto"/>
          <w:kern w:val="2"/>
          <w:sz w:val="24"/>
          <w:szCs w:val="24"/>
          <w:highlight w:val="none"/>
        </w:rPr>
        <w:t>电子签章</w:t>
      </w:r>
      <w:r>
        <w:rPr>
          <w:rFonts w:hint="eastAsia" w:cs="@仿宋_GB2312" w:asciiTheme="minorEastAsia" w:hAnsiTheme="minorEastAsia" w:eastAsiaTheme="minorEastAsia"/>
          <w:color w:val="auto"/>
          <w:kern w:val="2"/>
          <w:sz w:val="24"/>
          <w:szCs w:val="24"/>
          <w:highlight w:val="none"/>
        </w:rPr>
        <w:t>：</w:t>
      </w:r>
      <w:r>
        <w:rPr>
          <w:rFonts w:cs="@仿宋_GB2312" w:asciiTheme="minorEastAsia" w:hAnsiTheme="minorEastAsia" w:eastAsiaTheme="minorEastAsia"/>
          <w:color w:val="auto"/>
          <w:kern w:val="2"/>
          <w:sz w:val="24"/>
          <w:szCs w:val="24"/>
          <w:highlight w:val="none"/>
          <w:u w:val="single"/>
        </w:rPr>
        <w:t xml:space="preserve">             </w:t>
      </w:r>
    </w:p>
    <w:p w14:paraId="29E8B123">
      <w:pPr>
        <w:tabs>
          <w:tab w:val="left" w:pos="4620"/>
        </w:tabs>
        <w:spacing w:line="360" w:lineRule="auto"/>
        <w:ind w:firstLine="4252" w:firstLineChars="177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日</w:t>
      </w:r>
      <w:r>
        <w:rPr>
          <w:rFonts w:cs="@仿宋_GB2312" w:asciiTheme="minorEastAsia" w:hAnsiTheme="minorEastAsia" w:eastAsiaTheme="minorEastAsia"/>
          <w:color w:val="auto"/>
          <w:kern w:val="2"/>
          <w:sz w:val="24"/>
          <w:szCs w:val="24"/>
          <w:highlight w:val="none"/>
        </w:rPr>
        <w:t xml:space="preserve">      </w:t>
      </w:r>
      <w:r>
        <w:rPr>
          <w:rFonts w:hint="eastAsia" w:cs="@仿宋_GB2312" w:asciiTheme="minorEastAsia" w:hAnsiTheme="minorEastAsia" w:eastAsiaTheme="minorEastAsia"/>
          <w:color w:val="auto"/>
          <w:kern w:val="2"/>
          <w:sz w:val="24"/>
          <w:szCs w:val="24"/>
          <w:highlight w:val="none"/>
        </w:rPr>
        <w:t xml:space="preserve">    期：</w:t>
      </w:r>
      <w:r>
        <w:rPr>
          <w:rFonts w:cs="@仿宋_GB2312" w:asciiTheme="minorEastAsia" w:hAnsiTheme="minorEastAsia" w:eastAsiaTheme="minorEastAsia"/>
          <w:color w:val="auto"/>
          <w:kern w:val="2"/>
          <w:sz w:val="24"/>
          <w:szCs w:val="24"/>
          <w:highlight w:val="none"/>
          <w:u w:val="single"/>
        </w:rPr>
        <w:t xml:space="preserve">             </w:t>
      </w:r>
    </w:p>
    <w:p w14:paraId="2DA590D3">
      <w:pPr>
        <w:tabs>
          <w:tab w:val="left" w:pos="4620"/>
        </w:tabs>
        <w:spacing w:line="360" w:lineRule="auto"/>
        <w:jc w:val="left"/>
        <w:rPr>
          <w:rFonts w:hint="eastAsia" w:cs="@仿宋_GB2312" w:asciiTheme="minorEastAsia" w:hAnsiTheme="minorEastAsia" w:eastAsiaTheme="minorEastAsia"/>
          <w:b/>
          <w:color w:val="auto"/>
          <w:kern w:val="2"/>
          <w:sz w:val="21"/>
          <w:szCs w:val="24"/>
          <w:highlight w:val="none"/>
          <w:lang w:eastAsia="zh-CN"/>
        </w:rPr>
      </w:pPr>
      <w:r>
        <w:rPr>
          <w:rFonts w:hint="eastAsia" w:cs="@仿宋_GB2312" w:asciiTheme="minorEastAsia" w:hAnsiTheme="minorEastAsia" w:eastAsiaTheme="minorEastAsia"/>
          <w:b/>
          <w:color w:val="auto"/>
          <w:kern w:val="2"/>
          <w:sz w:val="21"/>
          <w:szCs w:val="24"/>
          <w:highlight w:val="none"/>
          <w:lang w:eastAsia="zh-CN"/>
        </w:rPr>
        <w:t>注：</w:t>
      </w:r>
    </w:p>
    <w:p w14:paraId="02312D06">
      <w:pPr>
        <w:tabs>
          <w:tab w:val="left" w:pos="4620"/>
        </w:tabs>
        <w:spacing w:line="360" w:lineRule="auto"/>
        <w:jc w:val="left"/>
        <w:rPr>
          <w:rFonts w:cs="@仿宋_GB2312" w:asciiTheme="minorEastAsia" w:hAnsiTheme="minorEastAsia" w:eastAsiaTheme="minorEastAsia"/>
          <w:color w:val="auto"/>
          <w:kern w:val="2"/>
          <w:sz w:val="21"/>
          <w:szCs w:val="24"/>
          <w:highlight w:val="none"/>
        </w:rPr>
      </w:pPr>
      <w:r>
        <w:rPr>
          <w:rFonts w:cs="@仿宋_GB2312" w:asciiTheme="minorEastAsia" w:hAnsiTheme="minorEastAsia" w:eastAsiaTheme="minorEastAsia"/>
          <w:color w:val="auto"/>
          <w:kern w:val="2"/>
          <w:sz w:val="21"/>
          <w:szCs w:val="24"/>
          <w:highlight w:val="none"/>
        </w:rPr>
        <w:t>1.从业人员、营业收入、资产总额填报上一年数据，无上一年数据的新成立企业可不填报。</w:t>
      </w:r>
    </w:p>
    <w:p w14:paraId="0EC3E935">
      <w:pPr>
        <w:tabs>
          <w:tab w:val="left" w:pos="4620"/>
        </w:tabs>
        <w:spacing w:line="360" w:lineRule="auto"/>
        <w:jc w:val="left"/>
        <w:rPr>
          <w:rFonts w:cs="宋体"/>
          <w:b/>
          <w:bCs/>
          <w:color w:val="auto"/>
          <w:kern w:val="2"/>
          <w:sz w:val="21"/>
          <w:szCs w:val="21"/>
          <w:highlight w:val="none"/>
        </w:rPr>
      </w:pPr>
      <w:r>
        <w:rPr>
          <w:rFonts w:hint="eastAsia" w:cs="宋体"/>
          <w:b/>
          <w:bCs/>
          <w:color w:val="auto"/>
          <w:sz w:val="21"/>
          <w:szCs w:val="21"/>
          <w:highlight w:val="none"/>
        </w:rPr>
        <w:t>2.</w:t>
      </w:r>
      <w:r>
        <w:rPr>
          <w:rFonts w:hint="eastAsia"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1"/>
          <w:szCs w:val="21"/>
          <w:highlight w:val="none"/>
          <w:lang w:val="zh-CN"/>
        </w:rPr>
        <w:t>如有虚假，将依法承担相应责任。</w:t>
      </w:r>
      <w:r>
        <w:rPr>
          <w:rFonts w:hint="eastAsia" w:cs="宋体"/>
          <w:b/>
          <w:bCs/>
          <w:color w:val="auto"/>
          <w:kern w:val="2"/>
          <w:sz w:val="21"/>
          <w:szCs w:val="21"/>
          <w:highlight w:val="none"/>
        </w:rPr>
        <w:t>供应商自行登录工业和信息化部官网进行中小企业规模类型自测（查询网址https://www.miit.gov.cn/）。</w:t>
      </w:r>
    </w:p>
    <w:p w14:paraId="2A79DBD6">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3.上述“</w:t>
      </w:r>
      <w:r>
        <w:rPr>
          <w:rFonts w:hint="eastAsia" w:cs="宋体"/>
          <w:b/>
          <w:bCs/>
          <w:color w:val="auto"/>
          <w:kern w:val="2"/>
          <w:sz w:val="21"/>
          <w:szCs w:val="21"/>
          <w:highlight w:val="none"/>
          <w:u w:val="single"/>
          <w:lang w:val="zh-CN"/>
        </w:rPr>
        <w:t>标的名称</w:t>
      </w:r>
      <w:r>
        <w:rPr>
          <w:rFonts w:hint="eastAsia" w:cs="宋体"/>
          <w:b/>
          <w:bCs/>
          <w:color w:val="auto"/>
          <w:kern w:val="2"/>
          <w:sz w:val="21"/>
          <w:szCs w:val="21"/>
          <w:highlight w:val="none"/>
        </w:rPr>
        <w:t>”，详见第三章采购需求前附表中明确的“标的名称”。</w:t>
      </w:r>
    </w:p>
    <w:p w14:paraId="3DCE0D29">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4.上述“</w:t>
      </w:r>
      <w:r>
        <w:rPr>
          <w:rFonts w:hint="eastAsia" w:cs="宋体"/>
          <w:b/>
          <w:bCs/>
          <w:color w:val="auto"/>
          <w:kern w:val="2"/>
          <w:sz w:val="21"/>
          <w:szCs w:val="21"/>
          <w:highlight w:val="none"/>
          <w:u w:val="single"/>
        </w:rPr>
        <w:t>采购文件中明确的所属行业</w:t>
      </w:r>
      <w:r>
        <w:rPr>
          <w:rFonts w:hint="eastAsia" w:cs="宋体"/>
          <w:b/>
          <w:bCs/>
          <w:color w:val="auto"/>
          <w:kern w:val="2"/>
          <w:sz w:val="21"/>
          <w:szCs w:val="21"/>
          <w:highlight w:val="none"/>
        </w:rPr>
        <w:t>”，详见第三章采购需求前附表中明确的“所属行业”。</w:t>
      </w:r>
    </w:p>
    <w:p w14:paraId="558265C1">
      <w:pPr>
        <w:tabs>
          <w:tab w:val="left" w:pos="4620"/>
        </w:tabs>
        <w:spacing w:line="360" w:lineRule="auto"/>
        <w:jc w:val="left"/>
        <w:rPr>
          <w:rFonts w:asciiTheme="minorEastAsia" w:hAnsiTheme="minorEastAsia" w:eastAsiaTheme="minorEastAsia"/>
          <w:color w:val="auto"/>
          <w:sz w:val="24"/>
          <w:highlight w:val="none"/>
        </w:rPr>
      </w:pPr>
      <w:r>
        <w:rPr>
          <w:rFonts w:hint="eastAsia" w:cs="宋体"/>
          <w:b/>
          <w:bCs/>
          <w:color w:val="auto"/>
          <w:kern w:val="2"/>
          <w:sz w:val="21"/>
          <w:szCs w:val="21"/>
          <w:highlight w:val="none"/>
        </w:rPr>
        <w:t>5．</w:t>
      </w:r>
      <w:r>
        <w:rPr>
          <w:rFonts w:hint="eastAsia" w:cs="宋体"/>
          <w:b/>
          <w:bCs/>
          <w:color w:val="auto"/>
          <w:szCs w:val="21"/>
          <w:highlight w:val="none"/>
        </w:rPr>
        <w:t>填写示例：</w:t>
      </w:r>
      <w:r>
        <w:rPr>
          <w:rFonts w:hint="eastAsia" w:cs="宋体"/>
          <w:b/>
          <w:bCs/>
          <w:color w:val="auto"/>
          <w:szCs w:val="21"/>
          <w:highlight w:val="none"/>
          <w:u w:val="single"/>
        </w:rPr>
        <w:t>某标的名称</w:t>
      </w:r>
      <w:r>
        <w:rPr>
          <w:rFonts w:hint="eastAsia" w:cs="宋体"/>
          <w:b/>
          <w:bCs/>
          <w:color w:val="auto"/>
          <w:szCs w:val="21"/>
          <w:highlight w:val="none"/>
        </w:rPr>
        <w:t>（</w:t>
      </w:r>
      <w:r>
        <w:rPr>
          <w:rFonts w:hint="eastAsia" w:cs="宋体"/>
          <w:b/>
          <w:bCs/>
          <w:color w:val="auto"/>
          <w:szCs w:val="21"/>
          <w:highlight w:val="none"/>
          <w:u w:val="single"/>
        </w:rPr>
        <w:t>填写第三章采购需求前附表中明确的“标的名称”</w:t>
      </w:r>
      <w:r>
        <w:rPr>
          <w:rFonts w:hint="eastAsia" w:cs="宋体"/>
          <w:b/>
          <w:bCs/>
          <w:color w:val="auto"/>
          <w:szCs w:val="21"/>
          <w:highlight w:val="none"/>
        </w:rPr>
        <w:t>），属于</w:t>
      </w:r>
      <w:r>
        <w:rPr>
          <w:rFonts w:hint="eastAsia" w:cs="宋体"/>
          <w:b/>
          <w:bCs/>
          <w:color w:val="auto"/>
          <w:szCs w:val="21"/>
          <w:highlight w:val="none"/>
          <w:u w:val="single"/>
        </w:rPr>
        <w:t>（填写第三章采购需求前附表中明确的“所属行业”，如建筑业）</w:t>
      </w:r>
      <w:r>
        <w:rPr>
          <w:rFonts w:hint="eastAsia" w:cs="宋体"/>
          <w:b/>
          <w:bCs/>
          <w:color w:val="auto"/>
          <w:szCs w:val="21"/>
          <w:highlight w:val="none"/>
        </w:rPr>
        <w:t>行业；承接企业为</w:t>
      </w:r>
      <w:r>
        <w:rPr>
          <w:rFonts w:hint="eastAsia" w:cs="宋体"/>
          <w:b/>
          <w:bCs/>
          <w:color w:val="auto"/>
          <w:szCs w:val="21"/>
          <w:highlight w:val="none"/>
          <w:u w:val="single"/>
          <w:lang w:val="zh-CN"/>
        </w:rPr>
        <w:t>某公司</w:t>
      </w:r>
      <w:r>
        <w:rPr>
          <w:rFonts w:hint="eastAsia" w:cs="宋体"/>
          <w:b/>
          <w:bCs/>
          <w:color w:val="auto"/>
          <w:szCs w:val="21"/>
          <w:highlight w:val="none"/>
        </w:rPr>
        <w:t>，</w:t>
      </w:r>
      <w:r>
        <w:rPr>
          <w:rFonts w:hint="eastAsia" w:cs="宋体"/>
          <w:b/>
          <w:bCs/>
          <w:color w:val="auto"/>
          <w:szCs w:val="21"/>
          <w:highlight w:val="none"/>
          <w:lang w:val="zh-CN"/>
        </w:rPr>
        <w:t>从业人员</w:t>
      </w:r>
      <w:r>
        <w:rPr>
          <w:rFonts w:hint="eastAsia" w:cs="宋体"/>
          <w:b/>
          <w:bCs/>
          <w:color w:val="auto"/>
          <w:szCs w:val="21"/>
          <w:highlight w:val="none"/>
          <w:u w:val="single"/>
        </w:rPr>
        <w:t>100</w:t>
      </w:r>
      <w:r>
        <w:rPr>
          <w:rFonts w:hint="eastAsia" w:cs="宋体"/>
          <w:b/>
          <w:bCs/>
          <w:color w:val="auto"/>
          <w:szCs w:val="21"/>
          <w:highlight w:val="none"/>
          <w:lang w:val="zh-CN"/>
        </w:rPr>
        <w:t>人</w:t>
      </w:r>
      <w:r>
        <w:rPr>
          <w:rFonts w:hint="eastAsia" w:cs="宋体"/>
          <w:b/>
          <w:bCs/>
          <w:color w:val="auto"/>
          <w:szCs w:val="21"/>
          <w:highlight w:val="none"/>
        </w:rPr>
        <w:t>，</w:t>
      </w:r>
      <w:r>
        <w:rPr>
          <w:rFonts w:hint="eastAsia" w:cs="宋体"/>
          <w:b/>
          <w:bCs/>
          <w:color w:val="auto"/>
          <w:szCs w:val="21"/>
          <w:highlight w:val="none"/>
          <w:lang w:val="zh-CN"/>
        </w:rPr>
        <w:t>营业收入为</w:t>
      </w:r>
      <w:r>
        <w:rPr>
          <w:rFonts w:hint="eastAsia" w:cs="宋体"/>
          <w:b/>
          <w:bCs/>
          <w:color w:val="auto"/>
          <w:szCs w:val="21"/>
          <w:highlight w:val="none"/>
          <w:u w:val="single"/>
        </w:rPr>
        <w:t>10000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资产总额为</w:t>
      </w:r>
      <w:r>
        <w:rPr>
          <w:rFonts w:hint="eastAsia" w:cs="宋体"/>
          <w:b/>
          <w:bCs/>
          <w:color w:val="auto"/>
          <w:szCs w:val="21"/>
          <w:highlight w:val="none"/>
          <w:u w:val="single"/>
        </w:rPr>
        <w:t>5000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属于</w:t>
      </w:r>
      <w:r>
        <w:rPr>
          <w:rFonts w:hint="eastAsia" w:cs="宋体"/>
          <w:b/>
          <w:bCs/>
          <w:color w:val="auto"/>
          <w:szCs w:val="21"/>
          <w:highlight w:val="none"/>
        </w:rPr>
        <w:t>中</w:t>
      </w:r>
      <w:r>
        <w:rPr>
          <w:rFonts w:hint="eastAsia" w:cs="宋体"/>
          <w:b/>
          <w:bCs/>
          <w:color w:val="auto"/>
          <w:szCs w:val="21"/>
          <w:highlight w:val="none"/>
          <w:u w:val="single"/>
          <w:lang w:val="zh-CN"/>
        </w:rPr>
        <w:t>型</w:t>
      </w:r>
      <w:r>
        <w:rPr>
          <w:rFonts w:hint="eastAsia" w:cs="宋体"/>
          <w:b/>
          <w:bCs/>
          <w:color w:val="auto"/>
          <w:szCs w:val="21"/>
          <w:highlight w:val="none"/>
          <w:lang w:val="zh-CN"/>
        </w:rPr>
        <w:t>企业</w:t>
      </w:r>
      <w:r>
        <w:rPr>
          <w:rFonts w:hint="eastAsia" w:cs="宋体"/>
          <w:b/>
          <w:bCs/>
          <w:color w:val="auto"/>
          <w:szCs w:val="21"/>
          <w:highlight w:val="none"/>
        </w:rPr>
        <w:t>[供应商自行登录工业和信息化部官网进行中小企业规模类型自测（查询网址https://www.miit.gov.cn/）]</w:t>
      </w:r>
      <w:r>
        <w:rPr>
          <w:rFonts w:hint="eastAsia" w:cs="宋体"/>
          <w:b/>
          <w:bCs/>
          <w:color w:val="auto"/>
          <w:kern w:val="2"/>
          <w:sz w:val="21"/>
          <w:szCs w:val="21"/>
          <w:highlight w:val="none"/>
          <w:lang w:val="zh-CN"/>
        </w:rPr>
        <w:t>。</w:t>
      </w:r>
      <w:r>
        <w:rPr>
          <w:rFonts w:asciiTheme="minorEastAsia" w:hAnsiTheme="minorEastAsia" w:eastAsiaTheme="minorEastAsia"/>
          <w:color w:val="auto"/>
          <w:sz w:val="24"/>
          <w:highlight w:val="none"/>
        </w:rPr>
        <w:br w:type="page"/>
      </w:r>
    </w:p>
    <w:p w14:paraId="4C08F766">
      <w:pPr>
        <w:spacing w:line="360" w:lineRule="auto"/>
        <w:jc w:val="center"/>
        <w:outlineLvl w:val="1"/>
        <w:rPr>
          <w:rFonts w:asciiTheme="minorEastAsia" w:hAnsiTheme="minorEastAsia" w:eastAsiaTheme="minorEastAsia"/>
          <w:b/>
          <w:color w:val="auto"/>
          <w:sz w:val="24"/>
          <w:highlight w:val="none"/>
        </w:rPr>
      </w:pPr>
      <w:bookmarkStart w:id="583" w:name="_Toc17813"/>
      <w:bookmarkStart w:id="584" w:name="_Toc17154"/>
      <w:r>
        <w:rPr>
          <w:rFonts w:hint="eastAsia" w:asciiTheme="minorEastAsia" w:hAnsiTheme="minorEastAsia" w:eastAsiaTheme="minorEastAsia"/>
          <w:b/>
          <w:color w:val="auto"/>
          <w:sz w:val="24"/>
          <w:highlight w:val="none"/>
        </w:rPr>
        <w:t>十、残疾人福利性单位声明函</w:t>
      </w:r>
      <w:bookmarkEnd w:id="583"/>
      <w:bookmarkEnd w:id="584"/>
    </w:p>
    <w:p w14:paraId="1FF7B43F">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（非残疾人福利性单位磋商，请删去“残疾人福利性单位声明函”）</w:t>
      </w:r>
    </w:p>
    <w:p w14:paraId="65777C83">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2"/>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Theme="minorEastAsia" w:hAnsiTheme="minorEastAsia" w:eastAsiaTheme="minorEastAsia"/>
          <w:color w:val="auto"/>
          <w:spacing w:val="6"/>
          <w:sz w:val="24"/>
          <w:szCs w:val="24"/>
          <w:highlight w:val="none"/>
        </w:rPr>
        <w:t>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0BA53111">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6138C7D8">
      <w:pPr>
        <w:spacing w:line="360" w:lineRule="auto"/>
        <w:ind w:firstLine="4228" w:firstLineChars="1762"/>
        <w:rPr>
          <w:rFonts w:cs="Times New Roman"/>
          <w:color w:val="auto"/>
          <w:kern w:val="2"/>
          <w:sz w:val="24"/>
          <w:szCs w:val="24"/>
          <w:highlight w:val="none"/>
        </w:rPr>
      </w:pPr>
    </w:p>
    <w:p w14:paraId="7A27EF1A">
      <w:pPr>
        <w:spacing w:line="360" w:lineRule="auto"/>
        <w:ind w:firstLine="4228" w:firstLineChars="1762"/>
        <w:rPr>
          <w:rFonts w:cs="Times New Roman"/>
          <w:color w:val="auto"/>
          <w:kern w:val="2"/>
          <w:sz w:val="24"/>
          <w:szCs w:val="24"/>
          <w:highlight w:val="none"/>
        </w:rPr>
      </w:pPr>
    </w:p>
    <w:p w14:paraId="07C623CB">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02CE745E">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5E8F0F6D">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737E983">
      <w:pPr>
        <w:spacing w:line="360" w:lineRule="auto"/>
        <w:jc w:val="center"/>
        <w:outlineLvl w:val="1"/>
        <w:rPr>
          <w:rFonts w:asciiTheme="minorEastAsia" w:hAnsiTheme="minorEastAsia" w:eastAsiaTheme="minorEastAsia"/>
          <w:b/>
          <w:color w:val="auto"/>
          <w:sz w:val="24"/>
          <w:highlight w:val="none"/>
        </w:rPr>
      </w:pPr>
      <w:bookmarkStart w:id="585" w:name="_Toc17768"/>
      <w:bookmarkStart w:id="586" w:name="_Toc26894"/>
      <w:bookmarkStart w:id="587" w:name="_Hlk44283088"/>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、诚信履约承诺函</w:t>
      </w:r>
      <w:bookmarkEnd w:id="585"/>
      <w:bookmarkEnd w:id="586"/>
    </w:p>
    <w:p w14:paraId="2F6B7837">
      <w:pPr>
        <w:spacing w:line="360" w:lineRule="auto"/>
        <w:rPr>
          <w:rFonts w:cs="@仿宋_GB2312" w:asciiTheme="minorEastAsia" w:hAnsiTheme="minorEastAsia" w:eastAsiaTheme="minorEastAsia"/>
          <w:b/>
          <w:bCs/>
          <w:color w:val="auto"/>
          <w:kern w:val="2"/>
          <w:sz w:val="24"/>
          <w:highlight w:val="none"/>
        </w:rPr>
      </w:pPr>
    </w:p>
    <w:p w14:paraId="4DFCBD5D">
      <w:pPr>
        <w:spacing w:line="360" w:lineRule="auto"/>
        <w:rPr>
          <w:rFonts w:hint="eastAsia" w:cs="@仿宋_GB2312" w:asciiTheme="minorEastAsia" w:hAnsiTheme="minorEastAsia" w:eastAsiaTheme="minorEastAsia"/>
          <w:b/>
          <w:bCs/>
          <w:color w:val="auto"/>
          <w:kern w:val="2"/>
          <w:sz w:val="24"/>
          <w:highlight w:val="none"/>
          <w:u w:val="single"/>
          <w:lang w:eastAsia="zh-CN"/>
        </w:rPr>
      </w:pPr>
      <w:r>
        <w:rPr>
          <w:rFonts w:hint="eastAsia" w:cs="@仿宋_GB2312" w:asciiTheme="minorEastAsia" w:hAnsiTheme="minorEastAsia" w:eastAsiaTheme="minorEastAsia"/>
          <w:b/>
          <w:bCs/>
          <w:color w:val="auto"/>
          <w:kern w:val="2"/>
          <w:sz w:val="24"/>
          <w:highlight w:val="none"/>
        </w:rPr>
        <w:t>致：</w:t>
      </w:r>
      <w:r>
        <w:rPr>
          <w:rFonts w:hint="eastAsia" w:cs="@仿宋_GB2312" w:asciiTheme="minorEastAsia" w:hAnsiTheme="minorEastAsia" w:eastAsiaTheme="minorEastAsia"/>
          <w:b/>
          <w:bCs/>
          <w:color w:val="auto"/>
          <w:kern w:val="2"/>
          <w:sz w:val="24"/>
          <w:highlight w:val="none"/>
          <w:u w:val="none"/>
          <w:lang w:val="en-US" w:eastAsia="zh-CN"/>
        </w:rPr>
        <w:t>滁州学院</w:t>
      </w:r>
    </w:p>
    <w:p w14:paraId="77A1826A">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6627A34F">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（1）中标或者成交后无正当理由拒不与采购人签订政府采购合同；</w:t>
      </w:r>
    </w:p>
    <w:p w14:paraId="5A72F612">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（2）未按照采购文件确定的事项签订政府采购合同；</w:t>
      </w:r>
    </w:p>
    <w:p w14:paraId="66691B93">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（3）将政府采购合同转包；</w:t>
      </w:r>
    </w:p>
    <w:p w14:paraId="3FD17F7B">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（4）提供假冒伪劣产品；</w:t>
      </w:r>
    </w:p>
    <w:p w14:paraId="4698277E">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（5）擅自变更、中止或者终止政府采购合同。</w:t>
      </w:r>
    </w:p>
    <w:p w14:paraId="7DE32AB9">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FFC7714">
      <w:pPr>
        <w:spacing w:line="360" w:lineRule="auto"/>
        <w:rPr>
          <w:rFonts w:cs="@仿宋_GB2312" w:asciiTheme="minorEastAsia" w:hAnsiTheme="minorEastAsia" w:eastAsiaTheme="minorEastAsia"/>
          <w:bCs/>
          <w:color w:val="auto"/>
          <w:kern w:val="2"/>
          <w:sz w:val="24"/>
          <w:highlight w:val="none"/>
        </w:rPr>
      </w:pPr>
    </w:p>
    <w:p w14:paraId="116A8DFC">
      <w:pPr>
        <w:spacing w:line="360" w:lineRule="auto"/>
        <w:rPr>
          <w:rFonts w:cs="@仿宋_GB2312" w:asciiTheme="minorEastAsia" w:hAnsiTheme="minorEastAsia" w:eastAsiaTheme="minorEastAsia"/>
          <w:bCs/>
          <w:color w:val="auto"/>
          <w:kern w:val="2"/>
          <w:sz w:val="24"/>
          <w:highlight w:val="none"/>
        </w:rPr>
      </w:pPr>
    </w:p>
    <w:p w14:paraId="3B3010FB">
      <w:pPr>
        <w:spacing w:line="360" w:lineRule="auto"/>
        <w:ind w:firstLine="4320" w:firstLineChars="1800"/>
        <w:rPr>
          <w:rFonts w:cs="@仿宋_GB2312" w:asciiTheme="minorEastAsia" w:hAnsiTheme="minorEastAsia" w:eastAsiaTheme="minorEastAsia"/>
          <w:bCs/>
          <w:color w:val="auto"/>
          <w:kern w:val="2"/>
          <w:sz w:val="24"/>
          <w:highlight w:val="none"/>
          <w:u w:val="single"/>
        </w:rPr>
      </w:pPr>
      <w:r>
        <w:rPr>
          <w:rFonts w:hint="eastAsia" w:cs="@仿宋_GB2312" w:asciiTheme="minorEastAsia" w:hAnsiTheme="minorEastAsia" w:eastAsiaTheme="minorEastAsia"/>
          <w:bCs/>
          <w:color w:val="auto"/>
          <w:kern w:val="2"/>
          <w:sz w:val="24"/>
          <w:highlight w:val="none"/>
        </w:rPr>
        <w:t>供应商电子签章：</w:t>
      </w:r>
      <w:r>
        <w:rPr>
          <w:rFonts w:hint="eastAsia" w:cs="@仿宋_GB2312" w:asciiTheme="minorEastAsia" w:hAnsiTheme="minorEastAsia" w:eastAsiaTheme="minorEastAsia"/>
          <w:bCs/>
          <w:color w:val="auto"/>
          <w:kern w:val="2"/>
          <w:sz w:val="24"/>
          <w:highlight w:val="none"/>
          <w:u w:val="single"/>
        </w:rPr>
        <w:t xml:space="preserve">     </w:t>
      </w:r>
      <w:r>
        <w:rPr>
          <w:rFonts w:cs="@仿宋_GB2312" w:asciiTheme="minorEastAsia" w:hAnsiTheme="minorEastAsia" w:eastAsiaTheme="minorEastAsia"/>
          <w:bCs/>
          <w:color w:val="auto"/>
          <w:kern w:val="2"/>
          <w:sz w:val="24"/>
          <w:highlight w:val="none"/>
          <w:u w:val="single"/>
        </w:rPr>
        <w:t xml:space="preserve">    </w:t>
      </w:r>
      <w:r>
        <w:rPr>
          <w:rFonts w:hint="eastAsia" w:cs="@仿宋_GB2312" w:asciiTheme="minorEastAsia" w:hAnsiTheme="minorEastAsia" w:eastAsiaTheme="minorEastAsia"/>
          <w:bCs/>
          <w:color w:val="auto"/>
          <w:kern w:val="2"/>
          <w:sz w:val="24"/>
          <w:highlight w:val="none"/>
          <w:u w:val="single"/>
        </w:rPr>
        <w:t xml:space="preserve">    </w:t>
      </w:r>
    </w:p>
    <w:p w14:paraId="4574B012">
      <w:pPr>
        <w:spacing w:line="360" w:lineRule="auto"/>
        <w:ind w:firstLine="4320" w:firstLineChars="18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日          期：</w:t>
      </w:r>
      <w:r>
        <w:rPr>
          <w:rFonts w:hint="eastAsia" w:cs="@仿宋_GB2312" w:asciiTheme="minorEastAsia" w:hAnsiTheme="minorEastAsia" w:eastAsiaTheme="minorEastAsia"/>
          <w:bCs/>
          <w:color w:val="auto"/>
          <w:kern w:val="2"/>
          <w:sz w:val="24"/>
          <w:highlight w:val="none"/>
          <w:u w:val="single"/>
        </w:rPr>
        <w:t xml:space="preserve">             </w:t>
      </w:r>
    </w:p>
    <w:p w14:paraId="2570D34B">
      <w:pPr>
        <w:widowControl/>
        <w:jc w:val="left"/>
        <w:rPr>
          <w:rFonts w:hint="default" w:asciiTheme="minorEastAsia" w:hAnsiTheme="minorEastAsia" w:eastAsiaTheme="minorEastAsia"/>
          <w:b/>
          <w:color w:val="auto"/>
          <w:sz w:val="24"/>
          <w:highlight w:val="none"/>
          <w:lang w:val="en-US" w:eastAsia="zh-CN"/>
        </w:rPr>
      </w:pPr>
      <w:r>
        <w:rPr>
          <w:rFonts w:asciiTheme="minorEastAsia" w:hAnsiTheme="minorEastAsia" w:eastAsiaTheme="minorEastAsia"/>
          <w:b/>
          <w:color w:val="auto"/>
          <w:sz w:val="24"/>
          <w:highlight w:val="none"/>
        </w:rPr>
        <w:br w:type="page"/>
      </w:r>
      <w:bookmarkEnd w:id="587"/>
      <w:bookmarkStart w:id="588" w:name="_Toc8176"/>
      <w:bookmarkStart w:id="589" w:name="_Toc28645"/>
    </w:p>
    <w:p w14:paraId="6EE6BEFD">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、其他相关证明材料</w:t>
      </w:r>
      <w:bookmarkEnd w:id="588"/>
      <w:bookmarkEnd w:id="589"/>
    </w:p>
    <w:p w14:paraId="6444B4D2">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邀请、采购需求及评标方法和标准规定的相关证明文件。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包含磋商文件第三章采购需求中要求提供的其他证明材料及材料品牌（主要材料品牌格式如下））</w:t>
      </w:r>
    </w:p>
    <w:p w14:paraId="315915D9">
      <w:pPr>
        <w:spacing w:line="360" w:lineRule="auto"/>
        <w:ind w:firstLine="435"/>
        <w:rPr>
          <w:rFonts w:hint="eastAsia" w:asciiTheme="minorEastAsia" w:hAnsiTheme="minorEastAsia" w:eastAsiaTheme="minorEastAsia"/>
          <w:b/>
          <w:color w:val="auto"/>
          <w:sz w:val="24"/>
          <w:highlight w:val="none"/>
        </w:rPr>
      </w:pPr>
    </w:p>
    <w:p w14:paraId="41D34F72">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6CB99E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w:t>
      </w:r>
      <w:r>
        <w:rPr>
          <w:rFonts w:asciiTheme="minorEastAsia" w:hAnsiTheme="minorEastAsia" w:eastAsiaTheme="minorEastAsia"/>
          <w:color w:val="auto"/>
          <w:sz w:val="24"/>
          <w:highlight w:val="none"/>
        </w:rPr>
        <w:t>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0ACE83AB">
      <w:pPr>
        <w:pStyle w:val="273"/>
        <w:ind w:left="0" w:firstLine="0"/>
        <w:jc w:val="center"/>
        <w:rPr>
          <w:rFonts w:hint="eastAsia" w:asciiTheme="minorEastAsia" w:hAnsiTheme="minorEastAsia" w:eastAsiaTheme="minorEastAsia" w:cstheme="minorBidi"/>
          <w:b/>
          <w:color w:val="auto"/>
          <w:kern w:val="0"/>
          <w:sz w:val="24"/>
          <w:szCs w:val="20"/>
          <w:highlight w:val="none"/>
          <w:lang w:val="en-US" w:eastAsia="zh-CN" w:bidi="ar-SA"/>
        </w:rPr>
      </w:pPr>
    </w:p>
    <w:p w14:paraId="39F9B2EC">
      <w:pPr>
        <w:pStyle w:val="273"/>
        <w:ind w:left="0" w:firstLine="0"/>
        <w:jc w:val="both"/>
        <w:rPr>
          <w:rFonts w:hint="eastAsia" w:asciiTheme="minorEastAsia" w:hAnsiTheme="minorEastAsia" w:eastAsiaTheme="minorEastAsia" w:cstheme="minorBidi"/>
          <w:b/>
          <w:color w:val="auto"/>
          <w:kern w:val="0"/>
          <w:sz w:val="24"/>
          <w:szCs w:val="20"/>
          <w:highlight w:val="none"/>
          <w:lang w:val="en-US" w:eastAsia="zh-CN" w:bidi="ar-SA"/>
        </w:rPr>
      </w:pPr>
    </w:p>
    <w:p w14:paraId="1489CAC3">
      <w:pPr>
        <w:pStyle w:val="273"/>
        <w:ind w:left="0" w:firstLine="0"/>
        <w:jc w:val="center"/>
        <w:rPr>
          <w:rFonts w:hint="eastAsia" w:asciiTheme="minorEastAsia" w:hAnsiTheme="minorEastAsia" w:eastAsiaTheme="minorEastAsia" w:cstheme="minorBidi"/>
          <w:b/>
          <w:color w:val="auto"/>
          <w:kern w:val="0"/>
          <w:sz w:val="24"/>
          <w:szCs w:val="20"/>
          <w:highlight w:val="none"/>
          <w:lang w:val="en-US" w:eastAsia="zh-CN" w:bidi="ar-SA"/>
        </w:rPr>
      </w:pPr>
      <w:r>
        <w:rPr>
          <w:rFonts w:hint="eastAsia" w:asciiTheme="minorEastAsia" w:hAnsiTheme="minorEastAsia" w:eastAsiaTheme="minorEastAsia" w:cstheme="minorBidi"/>
          <w:b/>
          <w:color w:val="auto"/>
          <w:kern w:val="0"/>
          <w:sz w:val="24"/>
          <w:szCs w:val="20"/>
          <w:highlight w:val="none"/>
          <w:lang w:val="en-US" w:eastAsia="zh-CN" w:bidi="ar-SA"/>
        </w:rPr>
        <w:t>主要材料品牌</w:t>
      </w:r>
    </w:p>
    <w:tbl>
      <w:tblPr>
        <w:tblStyle w:val="55"/>
        <w:tblW w:w="8835"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5550"/>
        <w:gridCol w:w="1680"/>
        <w:gridCol w:w="900"/>
      </w:tblGrid>
      <w:tr w14:paraId="6E857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05" w:type="dxa"/>
          </w:tcPr>
          <w:p w14:paraId="00BC7876">
            <w:pPr>
              <w:pStyle w:val="274"/>
              <w:adjustRightInd w:val="0"/>
              <w:snapToGrid w:val="0"/>
              <w:spacing w:line="500" w:lineRule="exact"/>
              <w:jc w:val="center"/>
              <w:rPr>
                <w:b/>
                <w:bCs/>
                <w:color w:val="auto"/>
                <w:szCs w:val="21"/>
                <w:highlight w:val="none"/>
              </w:rPr>
            </w:pPr>
            <w:r>
              <w:rPr>
                <w:rFonts w:hint="eastAsia"/>
                <w:b/>
                <w:bCs/>
                <w:color w:val="auto"/>
                <w:szCs w:val="21"/>
                <w:highlight w:val="none"/>
              </w:rPr>
              <w:t>序号</w:t>
            </w:r>
          </w:p>
        </w:tc>
        <w:tc>
          <w:tcPr>
            <w:tcW w:w="5550" w:type="dxa"/>
          </w:tcPr>
          <w:p w14:paraId="3A642575">
            <w:pPr>
              <w:pStyle w:val="274"/>
              <w:adjustRightInd w:val="0"/>
              <w:snapToGrid w:val="0"/>
              <w:spacing w:line="500" w:lineRule="exact"/>
              <w:jc w:val="center"/>
              <w:rPr>
                <w:b/>
                <w:bCs/>
                <w:color w:val="auto"/>
                <w:szCs w:val="21"/>
                <w:highlight w:val="none"/>
              </w:rPr>
            </w:pPr>
            <w:r>
              <w:rPr>
                <w:rFonts w:hint="eastAsia"/>
                <w:b/>
                <w:bCs/>
                <w:color w:val="auto"/>
                <w:szCs w:val="21"/>
                <w:highlight w:val="none"/>
              </w:rPr>
              <w:t>材料名称</w:t>
            </w:r>
          </w:p>
        </w:tc>
        <w:tc>
          <w:tcPr>
            <w:tcW w:w="1680" w:type="dxa"/>
          </w:tcPr>
          <w:p w14:paraId="265ABCEA">
            <w:pPr>
              <w:pStyle w:val="274"/>
              <w:adjustRightInd w:val="0"/>
              <w:snapToGrid w:val="0"/>
              <w:spacing w:line="500" w:lineRule="exact"/>
              <w:jc w:val="center"/>
              <w:rPr>
                <w:b/>
                <w:bCs/>
                <w:color w:val="auto"/>
                <w:szCs w:val="21"/>
                <w:highlight w:val="none"/>
              </w:rPr>
            </w:pPr>
            <w:r>
              <w:rPr>
                <w:rFonts w:hint="eastAsia"/>
                <w:b/>
                <w:bCs/>
                <w:color w:val="auto"/>
                <w:szCs w:val="21"/>
                <w:highlight w:val="none"/>
              </w:rPr>
              <w:t>品牌型号</w:t>
            </w:r>
          </w:p>
        </w:tc>
        <w:tc>
          <w:tcPr>
            <w:tcW w:w="900" w:type="dxa"/>
          </w:tcPr>
          <w:p w14:paraId="0300C19E">
            <w:pPr>
              <w:pStyle w:val="274"/>
              <w:adjustRightInd w:val="0"/>
              <w:snapToGrid w:val="0"/>
              <w:spacing w:line="500" w:lineRule="exact"/>
              <w:jc w:val="center"/>
              <w:rPr>
                <w:b/>
                <w:bCs/>
                <w:color w:val="auto"/>
                <w:szCs w:val="21"/>
                <w:highlight w:val="none"/>
              </w:rPr>
            </w:pPr>
            <w:r>
              <w:rPr>
                <w:rFonts w:hint="eastAsia"/>
                <w:b/>
                <w:bCs/>
                <w:color w:val="auto"/>
                <w:szCs w:val="21"/>
                <w:highlight w:val="none"/>
              </w:rPr>
              <w:t>备注</w:t>
            </w:r>
          </w:p>
        </w:tc>
      </w:tr>
      <w:tr w14:paraId="7F25D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05" w:type="dxa"/>
          </w:tcPr>
          <w:p w14:paraId="1BD61946">
            <w:pPr>
              <w:pStyle w:val="274"/>
              <w:adjustRightInd w:val="0"/>
              <w:snapToGrid w:val="0"/>
              <w:spacing w:line="500" w:lineRule="exact"/>
              <w:jc w:val="center"/>
              <w:rPr>
                <w:color w:val="auto"/>
                <w:szCs w:val="21"/>
                <w:highlight w:val="none"/>
              </w:rPr>
            </w:pPr>
            <w:r>
              <w:rPr>
                <w:rFonts w:hint="eastAsia"/>
                <w:color w:val="auto"/>
                <w:szCs w:val="21"/>
                <w:highlight w:val="none"/>
              </w:rPr>
              <w:t>1</w:t>
            </w:r>
          </w:p>
        </w:tc>
        <w:tc>
          <w:tcPr>
            <w:tcW w:w="5550" w:type="dxa"/>
            <w:vAlign w:val="center"/>
          </w:tcPr>
          <w:p w14:paraId="60363592">
            <w:pPr>
              <w:spacing w:line="500" w:lineRule="exact"/>
              <w:rPr>
                <w:rFonts w:hint="eastAsia" w:ascii="宋体" w:hAnsi="宋体" w:eastAsia="宋体" w:cs="宋体"/>
                <w:b w:val="0"/>
                <w:bCs w:val="0"/>
                <w:color w:val="auto"/>
                <w:szCs w:val="21"/>
                <w:highlight w:val="none"/>
                <w:lang w:val="zh-CN" w:eastAsia="zh-CN" w:bidi="zh-CN"/>
              </w:rPr>
            </w:pPr>
            <w:r>
              <w:rPr>
                <w:rFonts w:hint="eastAsia" w:ascii="宋体" w:hAnsi="宋体"/>
                <w:b w:val="0"/>
                <w:bCs/>
                <w:color w:val="auto"/>
                <w:sz w:val="21"/>
                <w:szCs w:val="21"/>
                <w:highlight w:val="none"/>
              </w:rPr>
              <w:t>球墨铸铁管（含配套直通、三通、弯头、密封圈等辅材）</w:t>
            </w:r>
          </w:p>
        </w:tc>
        <w:tc>
          <w:tcPr>
            <w:tcW w:w="1680" w:type="dxa"/>
          </w:tcPr>
          <w:p w14:paraId="4B8568C2">
            <w:pPr>
              <w:pStyle w:val="274"/>
              <w:adjustRightInd w:val="0"/>
              <w:snapToGrid w:val="0"/>
              <w:spacing w:line="500" w:lineRule="exact"/>
              <w:rPr>
                <w:color w:val="auto"/>
                <w:szCs w:val="21"/>
                <w:highlight w:val="none"/>
              </w:rPr>
            </w:pPr>
          </w:p>
        </w:tc>
        <w:tc>
          <w:tcPr>
            <w:tcW w:w="900" w:type="dxa"/>
          </w:tcPr>
          <w:p w14:paraId="748ACDE6">
            <w:pPr>
              <w:pStyle w:val="274"/>
              <w:adjustRightInd w:val="0"/>
              <w:snapToGrid w:val="0"/>
              <w:spacing w:line="500" w:lineRule="exact"/>
              <w:rPr>
                <w:color w:val="auto"/>
                <w:szCs w:val="21"/>
                <w:highlight w:val="none"/>
              </w:rPr>
            </w:pPr>
          </w:p>
        </w:tc>
      </w:tr>
      <w:tr w14:paraId="32A3A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05" w:type="dxa"/>
          </w:tcPr>
          <w:p w14:paraId="37E5CCB9">
            <w:pPr>
              <w:pStyle w:val="274"/>
              <w:adjustRightInd w:val="0"/>
              <w:snapToGrid w:val="0"/>
              <w:spacing w:line="500" w:lineRule="exact"/>
              <w:jc w:val="center"/>
              <w:rPr>
                <w:color w:val="auto"/>
                <w:szCs w:val="21"/>
                <w:highlight w:val="none"/>
              </w:rPr>
            </w:pPr>
            <w:r>
              <w:rPr>
                <w:rFonts w:hint="eastAsia"/>
                <w:color w:val="auto"/>
                <w:szCs w:val="21"/>
                <w:highlight w:val="none"/>
              </w:rPr>
              <w:t>2</w:t>
            </w:r>
          </w:p>
        </w:tc>
        <w:tc>
          <w:tcPr>
            <w:tcW w:w="5550" w:type="dxa"/>
            <w:vAlign w:val="center"/>
          </w:tcPr>
          <w:p w14:paraId="18460B6B">
            <w:pPr>
              <w:spacing w:line="500" w:lineRule="exact"/>
              <w:rPr>
                <w:rFonts w:hint="eastAsia" w:ascii="宋体" w:hAnsi="宋体" w:eastAsia="宋体" w:cs="宋体"/>
                <w:b w:val="0"/>
                <w:bCs w:val="0"/>
                <w:color w:val="auto"/>
                <w:szCs w:val="21"/>
                <w:highlight w:val="none"/>
                <w:lang w:val="zh-CN" w:eastAsia="zh-CN" w:bidi="zh-CN"/>
              </w:rPr>
            </w:pPr>
            <w:r>
              <w:rPr>
                <w:rFonts w:hint="eastAsia" w:ascii="宋体" w:hAnsi="宋体"/>
                <w:b w:val="0"/>
                <w:bCs/>
                <w:color w:val="auto"/>
                <w:sz w:val="21"/>
                <w:szCs w:val="21"/>
                <w:highlight w:val="none"/>
              </w:rPr>
              <w:t>钢丝骨架PE管（含配套直通、三通、弯头、密封圈等辅材）</w:t>
            </w:r>
          </w:p>
        </w:tc>
        <w:tc>
          <w:tcPr>
            <w:tcW w:w="1680" w:type="dxa"/>
          </w:tcPr>
          <w:p w14:paraId="1536291B">
            <w:pPr>
              <w:pStyle w:val="274"/>
              <w:adjustRightInd w:val="0"/>
              <w:snapToGrid w:val="0"/>
              <w:spacing w:line="500" w:lineRule="exact"/>
              <w:rPr>
                <w:color w:val="auto"/>
                <w:szCs w:val="21"/>
                <w:highlight w:val="none"/>
              </w:rPr>
            </w:pPr>
          </w:p>
        </w:tc>
        <w:tc>
          <w:tcPr>
            <w:tcW w:w="900" w:type="dxa"/>
          </w:tcPr>
          <w:p w14:paraId="489B064E">
            <w:pPr>
              <w:pStyle w:val="274"/>
              <w:adjustRightInd w:val="0"/>
              <w:snapToGrid w:val="0"/>
              <w:spacing w:line="500" w:lineRule="exact"/>
              <w:rPr>
                <w:color w:val="auto"/>
                <w:szCs w:val="21"/>
                <w:highlight w:val="none"/>
              </w:rPr>
            </w:pPr>
          </w:p>
        </w:tc>
      </w:tr>
      <w:tr w14:paraId="739E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05" w:type="dxa"/>
          </w:tcPr>
          <w:p w14:paraId="6A94F241">
            <w:pPr>
              <w:pStyle w:val="274"/>
              <w:adjustRightInd w:val="0"/>
              <w:snapToGrid w:val="0"/>
              <w:spacing w:line="500" w:lineRule="exact"/>
              <w:jc w:val="center"/>
              <w:rPr>
                <w:color w:val="auto"/>
                <w:szCs w:val="21"/>
                <w:highlight w:val="none"/>
              </w:rPr>
            </w:pPr>
            <w:r>
              <w:rPr>
                <w:rFonts w:hint="eastAsia"/>
                <w:color w:val="auto"/>
                <w:szCs w:val="21"/>
                <w:highlight w:val="none"/>
              </w:rPr>
              <w:t>3</w:t>
            </w:r>
          </w:p>
        </w:tc>
        <w:tc>
          <w:tcPr>
            <w:tcW w:w="5550" w:type="dxa"/>
            <w:vAlign w:val="center"/>
          </w:tcPr>
          <w:p w14:paraId="4C8A868A">
            <w:pPr>
              <w:spacing w:line="500" w:lineRule="exact"/>
              <w:rPr>
                <w:rFonts w:hint="eastAsia" w:ascii="宋体" w:hAnsi="宋体" w:eastAsia="宋体" w:cs="宋体"/>
                <w:b w:val="0"/>
                <w:bCs w:val="0"/>
                <w:color w:val="auto"/>
                <w:szCs w:val="21"/>
                <w:highlight w:val="none"/>
                <w:lang w:val="zh-CN" w:eastAsia="zh-CN" w:bidi="zh-CN"/>
              </w:rPr>
            </w:pPr>
            <w:r>
              <w:rPr>
                <w:rFonts w:hint="eastAsia" w:ascii="宋体" w:hAnsi="宋体"/>
                <w:b w:val="0"/>
                <w:bCs/>
                <w:color w:val="auto"/>
                <w:sz w:val="21"/>
                <w:szCs w:val="21"/>
                <w:highlight w:val="none"/>
              </w:rPr>
              <w:t>PPR管（含配套直通、三通、弯头、密封圈等辅材）</w:t>
            </w:r>
          </w:p>
        </w:tc>
        <w:tc>
          <w:tcPr>
            <w:tcW w:w="1680" w:type="dxa"/>
          </w:tcPr>
          <w:p w14:paraId="25495183">
            <w:pPr>
              <w:pStyle w:val="274"/>
              <w:adjustRightInd w:val="0"/>
              <w:snapToGrid w:val="0"/>
              <w:spacing w:line="500" w:lineRule="exact"/>
              <w:rPr>
                <w:color w:val="auto"/>
                <w:szCs w:val="21"/>
                <w:highlight w:val="none"/>
              </w:rPr>
            </w:pPr>
          </w:p>
        </w:tc>
        <w:tc>
          <w:tcPr>
            <w:tcW w:w="900" w:type="dxa"/>
          </w:tcPr>
          <w:p w14:paraId="245D1D66">
            <w:pPr>
              <w:pStyle w:val="274"/>
              <w:adjustRightInd w:val="0"/>
              <w:snapToGrid w:val="0"/>
              <w:spacing w:line="500" w:lineRule="exact"/>
              <w:rPr>
                <w:color w:val="auto"/>
                <w:szCs w:val="21"/>
                <w:highlight w:val="none"/>
              </w:rPr>
            </w:pPr>
          </w:p>
        </w:tc>
      </w:tr>
      <w:tr w14:paraId="789C9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05" w:type="dxa"/>
          </w:tcPr>
          <w:p w14:paraId="267FB3DA">
            <w:pPr>
              <w:pStyle w:val="274"/>
              <w:adjustRightInd w:val="0"/>
              <w:snapToGrid w:val="0"/>
              <w:spacing w:line="500" w:lineRule="exact"/>
              <w:jc w:val="center"/>
              <w:rPr>
                <w:rFonts w:hint="eastAsia" w:eastAsia="宋体"/>
                <w:color w:val="auto"/>
                <w:szCs w:val="21"/>
                <w:highlight w:val="none"/>
                <w:lang w:val="en-US" w:eastAsia="zh-CN"/>
              </w:rPr>
            </w:pPr>
            <w:r>
              <w:rPr>
                <w:rFonts w:hint="eastAsia"/>
                <w:color w:val="auto"/>
                <w:szCs w:val="21"/>
                <w:highlight w:val="none"/>
                <w:lang w:val="en-US" w:eastAsia="zh-CN"/>
              </w:rPr>
              <w:t>4</w:t>
            </w:r>
          </w:p>
        </w:tc>
        <w:tc>
          <w:tcPr>
            <w:tcW w:w="5550" w:type="dxa"/>
            <w:vAlign w:val="center"/>
          </w:tcPr>
          <w:p w14:paraId="0E8E8DC6">
            <w:pPr>
              <w:spacing w:line="500" w:lineRule="exact"/>
              <w:rPr>
                <w:rFonts w:hint="eastAsia" w:ascii="宋体" w:hAnsi="宋体" w:eastAsia="宋体" w:cs="宋体"/>
                <w:b w:val="0"/>
                <w:bCs w:val="0"/>
                <w:color w:val="auto"/>
                <w:szCs w:val="21"/>
                <w:highlight w:val="none"/>
                <w:lang w:val="zh-CN" w:eastAsia="zh-CN" w:bidi="zh-CN"/>
              </w:rPr>
            </w:pPr>
            <w:r>
              <w:rPr>
                <w:rFonts w:hint="eastAsia" w:ascii="宋体" w:hAnsi="宋体"/>
                <w:b w:val="0"/>
                <w:bCs/>
                <w:color w:val="auto"/>
                <w:sz w:val="21"/>
                <w:szCs w:val="21"/>
                <w:highlight w:val="none"/>
              </w:rPr>
              <w:t>无线远传智能水表及机械水表</w:t>
            </w:r>
          </w:p>
        </w:tc>
        <w:tc>
          <w:tcPr>
            <w:tcW w:w="1680" w:type="dxa"/>
          </w:tcPr>
          <w:p w14:paraId="5535DCEB">
            <w:pPr>
              <w:pStyle w:val="274"/>
              <w:adjustRightInd w:val="0"/>
              <w:snapToGrid w:val="0"/>
              <w:spacing w:line="500" w:lineRule="exact"/>
              <w:rPr>
                <w:color w:val="auto"/>
                <w:szCs w:val="21"/>
                <w:highlight w:val="none"/>
              </w:rPr>
            </w:pPr>
          </w:p>
        </w:tc>
        <w:tc>
          <w:tcPr>
            <w:tcW w:w="900" w:type="dxa"/>
          </w:tcPr>
          <w:p w14:paraId="3B5D2991">
            <w:pPr>
              <w:pStyle w:val="274"/>
              <w:adjustRightInd w:val="0"/>
              <w:snapToGrid w:val="0"/>
              <w:spacing w:line="500" w:lineRule="exact"/>
              <w:rPr>
                <w:color w:val="auto"/>
                <w:szCs w:val="21"/>
                <w:highlight w:val="none"/>
              </w:rPr>
            </w:pPr>
          </w:p>
        </w:tc>
      </w:tr>
      <w:tr w14:paraId="7708B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05" w:type="dxa"/>
          </w:tcPr>
          <w:p w14:paraId="14155593">
            <w:pPr>
              <w:pStyle w:val="274"/>
              <w:adjustRightInd w:val="0"/>
              <w:snapToGrid w:val="0"/>
              <w:spacing w:line="500" w:lineRule="exact"/>
              <w:jc w:val="center"/>
              <w:rPr>
                <w:rFonts w:hint="default"/>
                <w:color w:val="auto"/>
                <w:szCs w:val="21"/>
                <w:highlight w:val="none"/>
                <w:lang w:val="en-US" w:eastAsia="zh-CN"/>
              </w:rPr>
            </w:pPr>
            <w:r>
              <w:rPr>
                <w:rFonts w:hint="eastAsia"/>
                <w:color w:val="auto"/>
                <w:szCs w:val="21"/>
                <w:highlight w:val="none"/>
                <w:lang w:val="en-US" w:eastAsia="zh-CN"/>
              </w:rPr>
              <w:t>5</w:t>
            </w:r>
          </w:p>
        </w:tc>
        <w:tc>
          <w:tcPr>
            <w:tcW w:w="5550" w:type="dxa"/>
            <w:vAlign w:val="center"/>
          </w:tcPr>
          <w:p w14:paraId="4DA5075C">
            <w:pPr>
              <w:spacing w:line="500" w:lineRule="exact"/>
              <w:rPr>
                <w:rFonts w:hint="eastAsia" w:ascii="宋体" w:hAnsi="宋体" w:eastAsia="宋体" w:cs="宋体"/>
                <w:b w:val="0"/>
                <w:bCs w:val="0"/>
                <w:color w:val="auto"/>
                <w:szCs w:val="21"/>
                <w:highlight w:val="none"/>
                <w:lang w:val="en-US" w:eastAsia="zh-CN" w:bidi="zh-CN"/>
              </w:rPr>
            </w:pPr>
            <w:r>
              <w:rPr>
                <w:rFonts w:hint="eastAsia" w:ascii="宋体" w:hAnsi="宋体"/>
                <w:b w:val="0"/>
                <w:bCs/>
                <w:color w:val="auto"/>
                <w:sz w:val="21"/>
                <w:szCs w:val="21"/>
                <w:highlight w:val="none"/>
              </w:rPr>
              <w:t>闸阀、截止阀</w:t>
            </w:r>
          </w:p>
        </w:tc>
        <w:tc>
          <w:tcPr>
            <w:tcW w:w="1680" w:type="dxa"/>
          </w:tcPr>
          <w:p w14:paraId="07325712">
            <w:pPr>
              <w:pStyle w:val="274"/>
              <w:adjustRightInd w:val="0"/>
              <w:snapToGrid w:val="0"/>
              <w:spacing w:line="500" w:lineRule="exact"/>
              <w:rPr>
                <w:color w:val="auto"/>
                <w:szCs w:val="21"/>
                <w:highlight w:val="none"/>
              </w:rPr>
            </w:pPr>
          </w:p>
        </w:tc>
        <w:tc>
          <w:tcPr>
            <w:tcW w:w="900" w:type="dxa"/>
          </w:tcPr>
          <w:p w14:paraId="4659636B">
            <w:pPr>
              <w:pStyle w:val="274"/>
              <w:adjustRightInd w:val="0"/>
              <w:snapToGrid w:val="0"/>
              <w:spacing w:line="500" w:lineRule="exact"/>
              <w:rPr>
                <w:color w:val="auto"/>
                <w:szCs w:val="21"/>
                <w:highlight w:val="none"/>
              </w:rPr>
            </w:pPr>
          </w:p>
        </w:tc>
      </w:tr>
      <w:tr w14:paraId="3A408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05" w:type="dxa"/>
          </w:tcPr>
          <w:p w14:paraId="7D667374">
            <w:pPr>
              <w:pStyle w:val="274"/>
              <w:adjustRightInd w:val="0"/>
              <w:snapToGrid w:val="0"/>
              <w:spacing w:line="500" w:lineRule="exact"/>
              <w:jc w:val="center"/>
              <w:rPr>
                <w:rFonts w:hint="default"/>
                <w:color w:val="auto"/>
                <w:szCs w:val="21"/>
                <w:highlight w:val="none"/>
                <w:lang w:val="en-US" w:eastAsia="zh-CN"/>
              </w:rPr>
            </w:pPr>
            <w:r>
              <w:rPr>
                <w:rFonts w:hint="eastAsia"/>
                <w:color w:val="auto"/>
                <w:szCs w:val="21"/>
                <w:highlight w:val="none"/>
                <w:lang w:val="en-US" w:eastAsia="zh-CN"/>
              </w:rPr>
              <w:t>6</w:t>
            </w:r>
          </w:p>
        </w:tc>
        <w:tc>
          <w:tcPr>
            <w:tcW w:w="5550" w:type="dxa"/>
            <w:vAlign w:val="center"/>
          </w:tcPr>
          <w:p w14:paraId="2D492667">
            <w:pPr>
              <w:spacing w:line="500" w:lineRule="exact"/>
              <w:rPr>
                <w:rFonts w:hint="eastAsia" w:ascii="宋体" w:hAnsi="宋体" w:eastAsia="宋体" w:cs="宋体"/>
                <w:b w:val="0"/>
                <w:bCs w:val="0"/>
                <w:color w:val="auto"/>
                <w:szCs w:val="21"/>
                <w:highlight w:val="none"/>
                <w:lang w:val="en-US" w:eastAsia="zh-CN" w:bidi="zh-CN"/>
              </w:rPr>
            </w:pPr>
            <w:r>
              <w:rPr>
                <w:rFonts w:hint="eastAsia" w:ascii="宋体" w:hAnsi="宋体"/>
                <w:b w:val="0"/>
                <w:bCs/>
                <w:color w:val="auto"/>
                <w:sz w:val="21"/>
                <w:szCs w:val="21"/>
                <w:highlight w:val="none"/>
              </w:rPr>
              <w:t>止回阀</w:t>
            </w:r>
          </w:p>
        </w:tc>
        <w:tc>
          <w:tcPr>
            <w:tcW w:w="1680" w:type="dxa"/>
          </w:tcPr>
          <w:p w14:paraId="41A7C009">
            <w:pPr>
              <w:pStyle w:val="274"/>
              <w:adjustRightInd w:val="0"/>
              <w:snapToGrid w:val="0"/>
              <w:spacing w:line="500" w:lineRule="exact"/>
              <w:rPr>
                <w:color w:val="auto"/>
                <w:szCs w:val="21"/>
                <w:highlight w:val="none"/>
              </w:rPr>
            </w:pPr>
          </w:p>
        </w:tc>
        <w:tc>
          <w:tcPr>
            <w:tcW w:w="900" w:type="dxa"/>
          </w:tcPr>
          <w:p w14:paraId="39AE8572">
            <w:pPr>
              <w:pStyle w:val="274"/>
              <w:adjustRightInd w:val="0"/>
              <w:snapToGrid w:val="0"/>
              <w:spacing w:line="500" w:lineRule="exact"/>
              <w:rPr>
                <w:color w:val="auto"/>
                <w:szCs w:val="21"/>
                <w:highlight w:val="none"/>
              </w:rPr>
            </w:pPr>
          </w:p>
        </w:tc>
      </w:tr>
      <w:tr w14:paraId="652FA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05" w:type="dxa"/>
          </w:tcPr>
          <w:p w14:paraId="7F7B6E06">
            <w:pPr>
              <w:pStyle w:val="274"/>
              <w:adjustRightInd w:val="0"/>
              <w:snapToGrid w:val="0"/>
              <w:spacing w:line="500" w:lineRule="exact"/>
              <w:jc w:val="center"/>
              <w:rPr>
                <w:rFonts w:hint="default"/>
                <w:color w:val="auto"/>
                <w:szCs w:val="21"/>
                <w:highlight w:val="none"/>
                <w:lang w:val="en-US" w:eastAsia="zh-CN"/>
              </w:rPr>
            </w:pPr>
            <w:r>
              <w:rPr>
                <w:rFonts w:hint="eastAsia"/>
                <w:color w:val="auto"/>
                <w:szCs w:val="21"/>
                <w:highlight w:val="none"/>
                <w:lang w:val="en-US" w:eastAsia="zh-CN"/>
              </w:rPr>
              <w:t>7</w:t>
            </w:r>
          </w:p>
        </w:tc>
        <w:tc>
          <w:tcPr>
            <w:tcW w:w="5550" w:type="dxa"/>
            <w:vAlign w:val="center"/>
          </w:tcPr>
          <w:p w14:paraId="53912A27">
            <w:pPr>
              <w:spacing w:line="500" w:lineRule="exact"/>
              <w:rPr>
                <w:rFonts w:hint="eastAsia" w:ascii="宋体" w:hAnsi="宋体" w:eastAsia="宋体" w:cs="宋体"/>
                <w:b w:val="0"/>
                <w:bCs w:val="0"/>
                <w:color w:val="auto"/>
                <w:szCs w:val="21"/>
                <w:highlight w:val="none"/>
                <w:lang w:val="en-US" w:eastAsia="zh-CN" w:bidi="zh-CN"/>
              </w:rPr>
            </w:pPr>
            <w:r>
              <w:rPr>
                <w:rFonts w:hint="eastAsia" w:ascii="宋体" w:hAnsi="宋体"/>
                <w:b w:val="0"/>
                <w:bCs/>
                <w:color w:val="auto"/>
                <w:sz w:val="21"/>
                <w:szCs w:val="21"/>
                <w:highlight w:val="none"/>
              </w:rPr>
              <w:t>过滤器</w:t>
            </w:r>
          </w:p>
        </w:tc>
        <w:tc>
          <w:tcPr>
            <w:tcW w:w="1680" w:type="dxa"/>
          </w:tcPr>
          <w:p w14:paraId="08D92410">
            <w:pPr>
              <w:pStyle w:val="274"/>
              <w:adjustRightInd w:val="0"/>
              <w:snapToGrid w:val="0"/>
              <w:spacing w:line="500" w:lineRule="exact"/>
              <w:rPr>
                <w:color w:val="auto"/>
                <w:szCs w:val="21"/>
                <w:highlight w:val="none"/>
              </w:rPr>
            </w:pPr>
          </w:p>
        </w:tc>
        <w:tc>
          <w:tcPr>
            <w:tcW w:w="900" w:type="dxa"/>
          </w:tcPr>
          <w:p w14:paraId="08F024C0">
            <w:pPr>
              <w:pStyle w:val="274"/>
              <w:adjustRightInd w:val="0"/>
              <w:snapToGrid w:val="0"/>
              <w:spacing w:line="500" w:lineRule="exact"/>
              <w:rPr>
                <w:color w:val="auto"/>
                <w:szCs w:val="21"/>
                <w:highlight w:val="none"/>
              </w:rPr>
            </w:pPr>
          </w:p>
        </w:tc>
      </w:tr>
      <w:tr w14:paraId="36ED6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05" w:type="dxa"/>
            <w:tcBorders>
              <w:bottom w:val="single" w:color="000000" w:sz="6" w:space="0"/>
            </w:tcBorders>
          </w:tcPr>
          <w:p w14:paraId="6AC97770">
            <w:pPr>
              <w:pStyle w:val="274"/>
              <w:adjustRightInd w:val="0"/>
              <w:snapToGrid w:val="0"/>
              <w:spacing w:line="500" w:lineRule="exact"/>
              <w:jc w:val="center"/>
              <w:rPr>
                <w:rFonts w:hint="default"/>
                <w:color w:val="auto"/>
                <w:szCs w:val="21"/>
                <w:highlight w:val="none"/>
                <w:lang w:val="en-US" w:eastAsia="zh-CN"/>
              </w:rPr>
            </w:pPr>
            <w:r>
              <w:rPr>
                <w:rFonts w:hint="eastAsia"/>
                <w:color w:val="auto"/>
                <w:szCs w:val="21"/>
                <w:highlight w:val="none"/>
                <w:lang w:val="en-US" w:eastAsia="zh-CN"/>
              </w:rPr>
              <w:t>8</w:t>
            </w:r>
          </w:p>
        </w:tc>
        <w:tc>
          <w:tcPr>
            <w:tcW w:w="5550" w:type="dxa"/>
            <w:tcBorders>
              <w:bottom w:val="single" w:color="000000" w:sz="6" w:space="0"/>
            </w:tcBorders>
            <w:vAlign w:val="center"/>
          </w:tcPr>
          <w:p w14:paraId="35B5C331">
            <w:pPr>
              <w:spacing w:line="500" w:lineRule="exact"/>
              <w:rPr>
                <w:rFonts w:hint="eastAsia" w:ascii="宋体" w:hAnsi="宋体" w:eastAsia="宋体" w:cs="宋体"/>
                <w:b w:val="0"/>
                <w:bCs w:val="0"/>
                <w:color w:val="auto"/>
                <w:szCs w:val="21"/>
                <w:highlight w:val="none"/>
                <w:lang w:val="en-US" w:eastAsia="zh-CN" w:bidi="zh-CN"/>
              </w:rPr>
            </w:pPr>
            <w:r>
              <w:rPr>
                <w:rFonts w:hint="eastAsia" w:ascii="宋体" w:hAnsi="宋体"/>
                <w:b w:val="0"/>
                <w:bCs/>
                <w:color w:val="auto"/>
                <w:sz w:val="21"/>
                <w:szCs w:val="21"/>
                <w:highlight w:val="none"/>
              </w:rPr>
              <w:t>热镀锌钢管</w:t>
            </w:r>
          </w:p>
        </w:tc>
        <w:tc>
          <w:tcPr>
            <w:tcW w:w="1680" w:type="dxa"/>
            <w:tcBorders>
              <w:bottom w:val="single" w:color="000000" w:sz="6" w:space="0"/>
            </w:tcBorders>
          </w:tcPr>
          <w:p w14:paraId="05C72817">
            <w:pPr>
              <w:pStyle w:val="274"/>
              <w:adjustRightInd w:val="0"/>
              <w:snapToGrid w:val="0"/>
              <w:spacing w:line="500" w:lineRule="exact"/>
              <w:rPr>
                <w:color w:val="auto"/>
                <w:szCs w:val="21"/>
                <w:highlight w:val="none"/>
              </w:rPr>
            </w:pPr>
          </w:p>
        </w:tc>
        <w:tc>
          <w:tcPr>
            <w:tcW w:w="900" w:type="dxa"/>
            <w:tcBorders>
              <w:bottom w:val="single" w:color="000000" w:sz="6" w:space="0"/>
            </w:tcBorders>
          </w:tcPr>
          <w:p w14:paraId="48283DED">
            <w:pPr>
              <w:pStyle w:val="274"/>
              <w:adjustRightInd w:val="0"/>
              <w:snapToGrid w:val="0"/>
              <w:spacing w:line="500" w:lineRule="exact"/>
              <w:rPr>
                <w:color w:val="auto"/>
                <w:szCs w:val="21"/>
                <w:highlight w:val="none"/>
              </w:rPr>
            </w:pPr>
          </w:p>
        </w:tc>
      </w:tr>
    </w:tbl>
    <w:p w14:paraId="492DA116">
      <w:pPr>
        <w:pStyle w:val="273"/>
        <w:ind w:left="0" w:leftChars="0" w:firstLine="0" w:firstLineChars="0"/>
        <w:jc w:val="left"/>
        <w:rPr>
          <w:rFonts w:ascii="宋体"/>
          <w:b/>
          <w:color w:val="auto"/>
          <w:sz w:val="32"/>
          <w:szCs w:val="32"/>
          <w:highlight w:val="none"/>
        </w:rPr>
      </w:pPr>
      <w:r>
        <w:rPr>
          <w:rFonts w:hint="eastAsia" w:ascii="宋体" w:hAnsi="宋体" w:cs="仿宋"/>
          <w:color w:val="auto"/>
          <w:sz w:val="22"/>
          <w:szCs w:val="22"/>
          <w:highlight w:val="none"/>
        </w:rPr>
        <w:t>注：材料品牌、规格或型号应明确填写，不能简略填写为“国产”、“自制”等，否则作为无效处理。</w:t>
      </w:r>
      <w:r>
        <w:rPr>
          <w:rFonts w:hint="eastAsia" w:ascii="宋体" w:hAnsi="宋体" w:cs="仿宋"/>
          <w:b/>
          <w:bCs/>
          <w:color w:val="auto"/>
          <w:sz w:val="22"/>
          <w:szCs w:val="22"/>
          <w:highlight w:val="none"/>
        </w:rPr>
        <w:t>本项目无线远传智能水表</w:t>
      </w:r>
      <w:r>
        <w:rPr>
          <w:rFonts w:hint="eastAsia" w:ascii="宋体" w:hAnsi="宋体" w:cs="仿宋"/>
          <w:b/>
          <w:bCs/>
          <w:color w:val="auto"/>
          <w:sz w:val="22"/>
          <w:szCs w:val="22"/>
          <w:highlight w:val="none"/>
          <w:lang w:val="en-US" w:eastAsia="zh-CN"/>
        </w:rPr>
        <w:t>须</w:t>
      </w:r>
      <w:r>
        <w:rPr>
          <w:rFonts w:hint="eastAsia" w:ascii="宋体" w:hAnsi="宋体" w:cs="仿宋"/>
          <w:b/>
          <w:bCs/>
          <w:color w:val="auto"/>
          <w:sz w:val="22"/>
          <w:szCs w:val="22"/>
          <w:highlight w:val="none"/>
        </w:rPr>
        <w:t>连接至学校现有能源监管平台，</w:t>
      </w:r>
      <w:r>
        <w:rPr>
          <w:rFonts w:hint="eastAsia" w:ascii="宋体" w:hAnsi="宋体" w:cs="仿宋"/>
          <w:b/>
          <w:bCs/>
          <w:color w:val="auto"/>
          <w:sz w:val="22"/>
          <w:szCs w:val="22"/>
          <w:highlight w:val="none"/>
          <w:lang w:val="en-US" w:eastAsia="zh-CN"/>
        </w:rPr>
        <w:t>供应商</w:t>
      </w:r>
      <w:r>
        <w:rPr>
          <w:rFonts w:hint="eastAsia" w:ascii="宋体" w:hAnsi="宋体" w:cs="仿宋"/>
          <w:b/>
          <w:bCs/>
          <w:color w:val="auto"/>
          <w:sz w:val="22"/>
          <w:szCs w:val="22"/>
          <w:highlight w:val="none"/>
        </w:rPr>
        <w:t>自行勘查现场，报价已包含对接、开发系统、调试等费用。</w:t>
      </w:r>
    </w:p>
    <w:p w14:paraId="6098C13E">
      <w:pPr>
        <w:spacing w:line="560" w:lineRule="exact"/>
        <w:ind w:right="-298" w:rightChars="-149" w:firstLine="480" w:firstLineChars="200"/>
        <w:rPr>
          <w:rFonts w:hint="eastAsia" w:ascii="宋体" w:hAnsi="宋体" w:cs="宋体"/>
          <w:color w:val="auto"/>
          <w:sz w:val="24"/>
          <w:highlight w:val="none"/>
        </w:rPr>
      </w:pPr>
    </w:p>
    <w:p w14:paraId="0D1A5D89">
      <w:pPr>
        <w:spacing w:line="560" w:lineRule="exact"/>
        <w:ind w:right="-298" w:rightChars="-149" w:firstLine="480" w:firstLineChars="200"/>
        <w:rPr>
          <w:rFonts w:hint="eastAsia" w:ascii="宋体" w:hAnsi="宋体" w:cs="宋体"/>
          <w:color w:val="auto"/>
          <w:sz w:val="24"/>
          <w:highlight w:val="none"/>
        </w:rPr>
      </w:pPr>
    </w:p>
    <w:p w14:paraId="25653A39">
      <w:pPr>
        <w:spacing w:line="560" w:lineRule="exact"/>
        <w:ind w:right="-298" w:rightChars="-149" w:firstLine="480" w:firstLineChars="200"/>
        <w:rPr>
          <w:rFonts w:ascii="宋体" w:hAnsi="宋体" w:cs="宋体"/>
          <w:color w:val="auto"/>
          <w:sz w:val="24"/>
          <w:highlight w:val="none"/>
          <w:u w:val="single"/>
        </w:rPr>
      </w:pPr>
      <w:r>
        <w:rPr>
          <w:rFonts w:hint="eastAsia" w:ascii="宋体" w:hAnsi="宋体" w:cs="宋体"/>
          <w:color w:val="auto"/>
          <w:sz w:val="24"/>
          <w:highlight w:val="none"/>
        </w:rPr>
        <w:t>供应商人：</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签章</w:t>
      </w:r>
      <w:r>
        <w:rPr>
          <w:rFonts w:hint="eastAsia" w:ascii="宋体" w:hAnsi="宋体" w:cs="宋体"/>
          <w:color w:val="auto"/>
          <w:sz w:val="24"/>
          <w:highlight w:val="none"/>
          <w:u w:val="single"/>
        </w:rPr>
        <w:t>）</w:t>
      </w:r>
    </w:p>
    <w:p w14:paraId="345FF706">
      <w:pPr>
        <w:spacing w:line="560" w:lineRule="exact"/>
        <w:ind w:right="-298" w:rightChars="-149"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（签章）</w:t>
      </w:r>
    </w:p>
    <w:p w14:paraId="06ABE543">
      <w:pPr>
        <w:spacing w:line="560" w:lineRule="exact"/>
        <w:ind w:right="-298" w:rightChars="-149" w:firstLine="480" w:firstLineChars="200"/>
        <w:rPr>
          <w:rFonts w:ascii="宋体" w:hAnsi="宋体" w:cs="宋体"/>
          <w:color w:val="auto"/>
          <w:sz w:val="24"/>
          <w:highlight w:val="none"/>
        </w:rPr>
      </w:pPr>
      <w:r>
        <w:rPr>
          <w:rFonts w:hint="eastAsia" w:ascii="宋体" w:hAnsi="宋体" w:cs="宋体"/>
          <w:color w:val="auto"/>
          <w:sz w:val="24"/>
          <w:highlight w:val="none"/>
        </w:rPr>
        <w:t>单位地址：</w:t>
      </w:r>
      <w:r>
        <w:rPr>
          <w:rFonts w:hint="eastAsia" w:ascii="宋体" w:hAnsi="宋体" w:cs="宋体"/>
          <w:color w:val="auto"/>
          <w:sz w:val="24"/>
          <w:highlight w:val="none"/>
          <w:u w:val="single"/>
        </w:rPr>
        <w:t xml:space="preserve">                                   </w:t>
      </w:r>
    </w:p>
    <w:p w14:paraId="7CF3624D">
      <w:pPr>
        <w:spacing w:line="360" w:lineRule="auto"/>
        <w:rPr>
          <w:rFonts w:hint="eastAsia" w:asciiTheme="minorEastAsia" w:hAnsiTheme="minorEastAsia" w:eastAsiaTheme="minorEastAsia"/>
          <w:b/>
          <w:color w:val="auto"/>
          <w:sz w:val="24"/>
          <w:highlight w:val="none"/>
        </w:rPr>
      </w:pPr>
    </w:p>
    <w:p w14:paraId="69C21FF2">
      <w:pPr>
        <w:pStyle w:val="50"/>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2FB82544">
      <w:pPr>
        <w:widowControl/>
        <w:jc w:val="center"/>
        <w:outlineLvl w:val="0"/>
        <w:rPr>
          <w:b/>
          <w:bCs/>
          <w:color w:val="auto"/>
          <w:sz w:val="28"/>
          <w:highlight w:val="none"/>
        </w:rPr>
      </w:pPr>
      <w:bookmarkStart w:id="590" w:name="_Toc24879"/>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590"/>
    </w:p>
    <w:p w14:paraId="0493AC23">
      <w:pPr>
        <w:spacing w:line="360" w:lineRule="auto"/>
        <w:jc w:val="center"/>
        <w:outlineLvl w:val="1"/>
        <w:rPr>
          <w:rFonts w:ascii="仿宋" w:hAnsi="仿宋" w:eastAsia="仿宋" w:cs="仿宋"/>
          <w:b/>
          <w:bCs/>
          <w:color w:val="auto"/>
          <w:sz w:val="32"/>
          <w:szCs w:val="44"/>
          <w:highlight w:val="none"/>
        </w:rPr>
      </w:pPr>
      <w:bookmarkStart w:id="591" w:name="_Toc2290"/>
      <w:bookmarkStart w:id="592" w:name="_Toc26448"/>
      <w:r>
        <w:rPr>
          <w:rFonts w:hint="eastAsia" w:ascii="仿宋" w:hAnsi="仿宋" w:eastAsia="仿宋" w:cs="仿宋"/>
          <w:b/>
          <w:bCs/>
          <w:color w:val="auto"/>
          <w:sz w:val="32"/>
          <w:szCs w:val="44"/>
          <w:highlight w:val="none"/>
        </w:rPr>
        <w:t>询问函范本</w:t>
      </w:r>
      <w:bookmarkEnd w:id="591"/>
      <w:bookmarkEnd w:id="592"/>
    </w:p>
    <w:p w14:paraId="2E841576">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059B77A3">
      <w:pPr>
        <w:adjustRightInd w:val="0"/>
        <w:snapToGrid w:val="0"/>
        <w:spacing w:line="360" w:lineRule="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2DDFED4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33E3D6DA">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593" w:name="_Toc32070"/>
      <w:bookmarkStart w:id="594" w:name="_Toc14234"/>
      <w:r>
        <w:rPr>
          <w:rFonts w:hint="eastAsia" w:cs="仿宋" w:asciiTheme="minorEastAsia" w:hAnsiTheme="minorEastAsia" w:eastAsiaTheme="minorEastAsia"/>
          <w:color w:val="auto"/>
          <w:sz w:val="24"/>
          <w:szCs w:val="24"/>
          <w:highlight w:val="none"/>
        </w:rPr>
        <w:t>一、(事项一)</w:t>
      </w:r>
      <w:bookmarkEnd w:id="593"/>
      <w:bookmarkEnd w:id="594"/>
    </w:p>
    <w:p w14:paraId="0F83262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CEFC28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71ED2DA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10FD23B2">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595" w:name="_Toc6489"/>
      <w:bookmarkStart w:id="596" w:name="_Toc16507"/>
      <w:r>
        <w:rPr>
          <w:rFonts w:hint="eastAsia" w:cs="仿宋" w:asciiTheme="minorEastAsia" w:hAnsiTheme="minorEastAsia" w:eastAsiaTheme="minorEastAsia"/>
          <w:color w:val="auto"/>
          <w:sz w:val="24"/>
          <w:szCs w:val="24"/>
          <w:highlight w:val="none"/>
        </w:rPr>
        <w:t>二、(事项二)</w:t>
      </w:r>
      <w:bookmarkEnd w:id="595"/>
      <w:bookmarkEnd w:id="596"/>
    </w:p>
    <w:p w14:paraId="5ECD475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2E437B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7F200389">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63032866">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3EE14EE">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0B31305D">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F796034">
      <w:pPr>
        <w:jc w:val="center"/>
        <w:outlineLvl w:val="1"/>
        <w:rPr>
          <w:rFonts w:ascii="仿宋" w:hAnsi="仿宋" w:eastAsia="仿宋" w:cs="仿宋"/>
          <w:b/>
          <w:bCs/>
          <w:color w:val="auto"/>
          <w:sz w:val="32"/>
          <w:szCs w:val="44"/>
          <w:highlight w:val="none"/>
        </w:rPr>
      </w:pPr>
      <w:bookmarkStart w:id="597" w:name="_Toc4923"/>
      <w:bookmarkStart w:id="598" w:name="_Toc26224"/>
      <w:r>
        <w:rPr>
          <w:rFonts w:hint="eastAsia" w:ascii="仿宋" w:hAnsi="仿宋" w:eastAsia="仿宋" w:cs="仿宋"/>
          <w:b/>
          <w:bCs/>
          <w:color w:val="auto"/>
          <w:sz w:val="32"/>
          <w:szCs w:val="44"/>
          <w:highlight w:val="none"/>
        </w:rPr>
        <w:t>质疑函范本</w:t>
      </w:r>
      <w:bookmarkEnd w:id="597"/>
      <w:bookmarkEnd w:id="598"/>
    </w:p>
    <w:p w14:paraId="571FD8B1">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599" w:name="_Toc3847"/>
      <w:bookmarkStart w:id="600" w:name="_Toc10663"/>
      <w:r>
        <w:rPr>
          <w:rFonts w:hint="eastAsia" w:cs="仿宋" w:asciiTheme="minorEastAsia" w:hAnsiTheme="minorEastAsia" w:eastAsiaTheme="minorEastAsia"/>
          <w:b/>
          <w:bCs/>
          <w:color w:val="auto"/>
          <w:sz w:val="24"/>
          <w:szCs w:val="24"/>
          <w:highlight w:val="none"/>
        </w:rPr>
        <w:t>一、质疑供应商基本信息</w:t>
      </w:r>
      <w:bookmarkEnd w:id="599"/>
      <w:bookmarkEnd w:id="600"/>
    </w:p>
    <w:p w14:paraId="7C2FF91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6AD9FF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AD2E11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5D4F69E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ABA63D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638889A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3C3CB54">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601" w:name="_Toc19182"/>
      <w:bookmarkStart w:id="602" w:name="_Toc30012"/>
      <w:r>
        <w:rPr>
          <w:rFonts w:hint="eastAsia" w:cs="仿宋" w:asciiTheme="minorEastAsia" w:hAnsiTheme="minorEastAsia" w:eastAsiaTheme="minorEastAsia"/>
          <w:b/>
          <w:bCs/>
          <w:color w:val="auto"/>
          <w:sz w:val="24"/>
          <w:szCs w:val="24"/>
          <w:highlight w:val="none"/>
        </w:rPr>
        <w:t>二、质疑项目基本情况</w:t>
      </w:r>
      <w:bookmarkEnd w:id="601"/>
      <w:bookmarkEnd w:id="602"/>
    </w:p>
    <w:p w14:paraId="3185119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1A95366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461FA53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2B0FCDC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21AD5AA">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603" w:name="_Toc21700"/>
      <w:bookmarkStart w:id="604" w:name="_Toc9989"/>
      <w:r>
        <w:rPr>
          <w:rFonts w:hint="eastAsia" w:cs="仿宋" w:asciiTheme="minorEastAsia" w:hAnsiTheme="minorEastAsia" w:eastAsiaTheme="minorEastAsia"/>
          <w:b/>
          <w:bCs/>
          <w:color w:val="auto"/>
          <w:sz w:val="24"/>
          <w:szCs w:val="24"/>
          <w:highlight w:val="none"/>
        </w:rPr>
        <w:t>三、质疑事项具体内容</w:t>
      </w:r>
      <w:bookmarkEnd w:id="603"/>
      <w:bookmarkEnd w:id="604"/>
    </w:p>
    <w:p w14:paraId="1ECC71F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6CEB2B5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B5F834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6B03574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47895A2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14A76FA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6188091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4C309C99">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605" w:name="_Toc19016"/>
      <w:bookmarkStart w:id="606" w:name="_Toc10625"/>
      <w:r>
        <w:rPr>
          <w:rFonts w:hint="eastAsia" w:cs="仿宋" w:asciiTheme="minorEastAsia" w:hAnsiTheme="minorEastAsia" w:eastAsiaTheme="minorEastAsia"/>
          <w:b/>
          <w:bCs/>
          <w:color w:val="auto"/>
          <w:sz w:val="24"/>
          <w:szCs w:val="24"/>
          <w:highlight w:val="none"/>
        </w:rPr>
        <w:t>四、与质疑事项相关的质疑请求</w:t>
      </w:r>
      <w:bookmarkEnd w:id="605"/>
      <w:bookmarkEnd w:id="606"/>
    </w:p>
    <w:p w14:paraId="393B483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6EFFD0F7">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78AE9219">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36DFE008">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35226615">
      <w:pPr>
        <w:outlineLvl w:val="0"/>
        <w:rPr>
          <w:rFonts w:asciiTheme="minorEastAsia" w:hAnsiTheme="minorEastAsia" w:eastAsiaTheme="minorEastAsia"/>
          <w:b/>
          <w:color w:val="auto"/>
          <w:sz w:val="28"/>
          <w:szCs w:val="32"/>
          <w:highlight w:val="none"/>
        </w:rPr>
      </w:pPr>
      <w:bookmarkStart w:id="607" w:name="_Toc25274"/>
      <w:bookmarkStart w:id="608" w:name="_Toc17684"/>
      <w:r>
        <w:rPr>
          <w:rFonts w:hint="eastAsia" w:asciiTheme="minorEastAsia" w:hAnsiTheme="minorEastAsia" w:eastAsiaTheme="minorEastAsia"/>
          <w:b/>
          <w:color w:val="auto"/>
          <w:sz w:val="28"/>
          <w:szCs w:val="32"/>
          <w:highlight w:val="none"/>
        </w:rPr>
        <w:t>质疑函制作说明：</w:t>
      </w:r>
      <w:bookmarkEnd w:id="607"/>
      <w:bookmarkEnd w:id="608"/>
    </w:p>
    <w:p w14:paraId="0A6209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E5521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697C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4B91CD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09FE97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78E04FB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288E57A">
      <w:pPr>
        <w:rPr>
          <w:color w:val="auto"/>
          <w:highlight w:val="none"/>
        </w:rPr>
      </w:pPr>
      <w:r>
        <w:rPr>
          <w:color w:val="auto"/>
          <w:highlight w:val="none"/>
        </w:rPr>
        <w:br w:type="page"/>
      </w:r>
    </w:p>
    <w:p w14:paraId="31D820E5">
      <w:pPr>
        <w:outlineLvl w:val="0"/>
        <w:rPr>
          <w:rFonts w:hint="eastAsia" w:ascii="宋体" w:hAnsi="宋体" w:eastAsia="宋体" w:cs="宋体"/>
          <w:color w:val="auto"/>
          <w:sz w:val="28"/>
          <w:szCs w:val="28"/>
          <w:highlight w:val="none"/>
        </w:rPr>
      </w:pPr>
      <w:bookmarkStart w:id="609" w:name="_Toc11016"/>
      <w:r>
        <w:rPr>
          <w:rFonts w:hint="eastAsia" w:ascii="宋体" w:hAnsi="宋体" w:eastAsia="宋体" w:cs="宋体"/>
          <w:b/>
          <w:color w:val="auto"/>
          <w:sz w:val="28"/>
          <w:szCs w:val="28"/>
          <w:highlight w:val="none"/>
          <w:lang w:bidi="ar"/>
        </w:rPr>
        <w:t>附件1</w:t>
      </w:r>
      <w:bookmarkEnd w:id="609"/>
    </w:p>
    <w:p w14:paraId="0573D2A4">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1E5B9742">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74E5FA2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49C87D2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19B593A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5D8E60A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62ABDED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6736877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31AA93D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2E6CE4A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4127998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12FDD57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6D2FA5D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50E1750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12284B6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3104CBC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2EFF30F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69705E4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0F1052C">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7A3DE01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7AD1C97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5662497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1C26173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5B826A6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01FD688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73FB16D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610" w:name="OLE_LINK101"/>
      <w:bookmarkStart w:id="611" w:name="OLE_LINK100"/>
      <w:bookmarkStart w:id="612" w:name="OLE_LINK102"/>
      <w:r>
        <w:rPr>
          <w:rFonts w:hint="eastAsia" w:ascii="宋体" w:hAnsi="宋体" w:eastAsia="宋体" w:cs="宋体"/>
          <w:bCs/>
          <w:color w:val="auto"/>
          <w:kern w:val="0"/>
          <w:sz w:val="24"/>
          <w:szCs w:val="24"/>
          <w:highlight w:val="none"/>
          <w:lang w:bidi="ar"/>
        </w:rPr>
        <w:t>被列入“经营异常名录”或者“严重违法失信名单”的</w:t>
      </w:r>
      <w:bookmarkEnd w:id="610"/>
      <w:bookmarkEnd w:id="611"/>
      <w:bookmarkEnd w:id="612"/>
      <w:r>
        <w:rPr>
          <w:rFonts w:hint="eastAsia" w:ascii="宋体" w:hAnsi="宋体" w:eastAsia="宋体" w:cs="宋体"/>
          <w:bCs/>
          <w:color w:val="auto"/>
          <w:kern w:val="0"/>
          <w:sz w:val="24"/>
          <w:szCs w:val="24"/>
          <w:highlight w:val="none"/>
          <w:lang w:bidi="ar"/>
        </w:rPr>
        <w:t>。</w:t>
      </w:r>
    </w:p>
    <w:p w14:paraId="5762D90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613" w:name="OLE_LINK95"/>
      <w:bookmarkStart w:id="614" w:name="OLE_LINK96"/>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613"/>
      <w:bookmarkEnd w:id="614"/>
      <w:r>
        <w:rPr>
          <w:rFonts w:hint="eastAsia" w:ascii="宋体" w:hAnsi="宋体" w:eastAsia="宋体" w:cs="宋体"/>
          <w:bCs/>
          <w:color w:val="auto"/>
          <w:kern w:val="0"/>
          <w:sz w:val="24"/>
          <w:szCs w:val="24"/>
          <w:highlight w:val="none"/>
          <w:lang w:bidi="ar"/>
        </w:rPr>
        <w:t>）查询以下失信行为：</w:t>
      </w:r>
    </w:p>
    <w:p w14:paraId="3565765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615" w:name="OLE_LINK106"/>
      <w:bookmarkStart w:id="616" w:name="OLE_LINK104"/>
      <w:bookmarkStart w:id="617" w:name="OLE_LINK105"/>
      <w:r>
        <w:rPr>
          <w:rFonts w:hint="eastAsia" w:ascii="宋体" w:hAnsi="宋体" w:eastAsia="宋体" w:cs="宋体"/>
          <w:bCs/>
          <w:color w:val="auto"/>
          <w:kern w:val="0"/>
          <w:sz w:val="24"/>
          <w:szCs w:val="24"/>
          <w:highlight w:val="none"/>
          <w:lang w:bidi="ar"/>
        </w:rPr>
        <w:t>被列入“政府采购严重违法失信行为信息记录”的</w:t>
      </w:r>
      <w:bookmarkEnd w:id="615"/>
      <w:bookmarkEnd w:id="616"/>
      <w:bookmarkEnd w:id="617"/>
      <w:r>
        <w:rPr>
          <w:rFonts w:hint="eastAsia" w:ascii="宋体" w:hAnsi="宋体" w:eastAsia="宋体" w:cs="宋体"/>
          <w:bCs/>
          <w:color w:val="auto"/>
          <w:kern w:val="0"/>
          <w:sz w:val="24"/>
          <w:szCs w:val="24"/>
          <w:highlight w:val="none"/>
          <w:lang w:bidi="ar"/>
        </w:rPr>
        <w:t>。</w:t>
      </w:r>
    </w:p>
    <w:p w14:paraId="355AE9E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35260AC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22B68184">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67C812C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14920C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8D73AB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536F4724">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251AD68B">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36888C00">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95BCF4C">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E2D03A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36B3C2B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6F521DA8">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A65641B">
      <w:pPr>
        <w:pStyle w:val="50"/>
        <w:widowControl/>
        <w:spacing w:before="0" w:after="120" w:afterAutospacing="0" w:line="360" w:lineRule="auto"/>
        <w:ind w:left="40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51A4813A">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01039E67">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2AB4E2A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1E2C8DB">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6D33119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2422769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161E17D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4401696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05F1AE2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4C0B27F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5E08B67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22A6F7A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18729FD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2B2962B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78BBB8E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48074F9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34E5A92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68F8F87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3361A4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104C3AD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16BAD6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3C393BF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186DD0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43B6C0F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56B82A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614F551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D3C8C4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416D471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6EB5AA6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3E60A13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13E8C17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19A9F44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05DCA32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3504C01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BBD6A4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C7FA9B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271E11F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2EAD8F9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6409E90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0DD8903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1CB8C6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2C5A3C6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6C00122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72891A1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30DE42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46A7328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5B2D10F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65CF4D2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60F348E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9B9775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C5658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1075592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334213A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6EA2B4A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34CB132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2BC67E5A">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3E7FB6E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D8FE7E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2FE1CE3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6A4F341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68F8B43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5AB3A8A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244843B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2301BA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7EB3311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637043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4DAECC6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6A5BDEF1">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10C73C7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5EDD44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70813EC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3F6F8D1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342A21E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3FA867D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2836B7F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00191F99">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047C7BAD">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1A32BB3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54F19CF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7BF0ED9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26227FB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25BF27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7BE13BD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w:t>
      </w:r>
      <w:bookmarkStart w:id="618" w:name="_GoBack"/>
      <w:bookmarkEnd w:id="618"/>
      <w:r>
        <w:rPr>
          <w:rFonts w:hint="eastAsia" w:ascii="宋体" w:hAnsi="宋体" w:eastAsia="宋体" w:cs="宋体"/>
          <w:color w:val="auto"/>
          <w:kern w:val="0"/>
          <w:sz w:val="24"/>
          <w:szCs w:val="24"/>
          <w:highlight w:val="none"/>
          <w:lang w:bidi="ar"/>
        </w:rPr>
        <w:t>处罚决定）。</w:t>
      </w:r>
    </w:p>
    <w:p w14:paraId="719D50C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7CE46546">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3B8EEA2D">
      <w:pPr>
        <w:widowControl/>
        <w:autoSpaceDE w:val="0"/>
        <w:spacing w:line="480" w:lineRule="exact"/>
        <w:ind w:firstLine="482"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r>
        <w:rPr>
          <w:rFonts w:hint="eastAsia" w:ascii="宋体" w:hAnsi="宋体" w:eastAsia="宋体" w:cs="宋体"/>
          <w:b/>
          <w:bCs/>
          <w:color w:val="auto"/>
          <w:kern w:val="0"/>
          <w:sz w:val="24"/>
          <w:szCs w:val="24"/>
          <w:highlight w:val="none"/>
          <w:lang w:bidi="ar"/>
        </w:rPr>
        <w:t>。</w:t>
      </w:r>
    </w:p>
    <w:p w14:paraId="0FD52ADB">
      <w:pPr>
        <w:rPr>
          <w:color w:val="auto"/>
          <w:highlight w:val="none"/>
        </w:rPr>
      </w:pPr>
    </w:p>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600000000000000"/>
    <w:charset w:val="86"/>
    <w:family w:val="auto"/>
    <w:pitch w:val="default"/>
    <w:sig w:usb0="00000000" w:usb1="00000000" w:usb2="00000012" w:usb3="00000000" w:csb0="00160001" w:csb1="12030000"/>
  </w:font>
  <w:font w:name="FangSong_GB2312">
    <w:altName w:val="仿宋"/>
    <w:panose1 w:val="020106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41A8">
    <w:pPr>
      <w:pStyle w:val="33"/>
      <w:tabs>
        <w:tab w:val="left" w:pos="5241"/>
      </w:tabs>
      <w:jc w:val="left"/>
      <w:rPr>
        <w:rFonts w:hint="eastAsia" w:eastAsia="宋体"/>
        <w:lang w:eastAsia="zh-CN"/>
      </w:rPr>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85C3">
    <w:pPr>
      <w:pStyle w:val="33"/>
      <w:tabs>
        <w:tab w:val="left" w:pos="5241"/>
      </w:tabs>
      <w:jc w:val="left"/>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EDAF9">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BEDAF9">
                    <w:pPr>
                      <w:pStyle w:val="3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71C2D">
    <w:pPr>
      <w:pStyle w:val="33"/>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78510">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978510">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43E7E">
    <w:pPr>
      <w:pStyle w:val="33"/>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19757">
                          <w:pPr>
                            <w:pStyle w:val="3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219757">
                    <w:pPr>
                      <w:pStyle w:val="33"/>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50431">
    <w:pPr>
      <w:pStyle w:val="34"/>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EA4C">
    <w:pPr>
      <w:pStyle w:val="34"/>
      <w:jc w:val="both"/>
    </w:pPr>
    <w:r>
      <w:rPr>
        <w:rFonts w:hint="eastAsia"/>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w:t>
    </w:r>
    <w:r>
      <w:rPr>
        <w:rFonts w:hint="eastAsia"/>
        <w:lang w:val="en-US" w:eastAsia="zh-CN"/>
      </w:rPr>
      <w:t>磋商</w:t>
    </w:r>
    <w:r>
      <w:rPr>
        <w:rFonts w:hint="eastAsia" w:ascii="宋体" w:hAnsi="宋体" w:eastAsia="宋体"/>
      </w:rPr>
      <w:t>文件</w:t>
    </w:r>
    <w:r>
      <w:rPr>
        <w:rFonts w:hint="eastAsia" w:ascii="宋体" w:hAnsi="宋体" w:eastAsia="宋体"/>
        <w:lang w:eastAsia="zh-CN"/>
      </w:rPr>
      <w:t>示范文本（</w:t>
    </w:r>
    <w:r>
      <w:rPr>
        <w:rFonts w:hint="eastAsia" w:asciiTheme="minorEastAsia" w:hAnsiTheme="minorEastAsia" w:eastAsiaTheme="minorEastAsia"/>
      </w:rPr>
      <w:t>工程类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C75E6">
    <w:pPr>
      <w:pStyle w:val="34"/>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563F"/>
    <w:multiLevelType w:val="singleLevel"/>
    <w:tmpl w:val="97BF563F"/>
    <w:lvl w:ilvl="0" w:tentative="0">
      <w:start w:val="1"/>
      <w:numFmt w:val="decimal"/>
      <w:suff w:val="nothing"/>
      <w:lvlText w:val="（%1）"/>
      <w:lvlJc w:val="left"/>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35135"/>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86BF0"/>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4FFB"/>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27E6B"/>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1255E31"/>
    <w:rsid w:val="01660FED"/>
    <w:rsid w:val="020B07BA"/>
    <w:rsid w:val="027D71DE"/>
    <w:rsid w:val="02987B74"/>
    <w:rsid w:val="02B54036"/>
    <w:rsid w:val="033076FA"/>
    <w:rsid w:val="039E740C"/>
    <w:rsid w:val="03AC1B29"/>
    <w:rsid w:val="040B38D9"/>
    <w:rsid w:val="042518DB"/>
    <w:rsid w:val="04461F7D"/>
    <w:rsid w:val="044C50BA"/>
    <w:rsid w:val="04A22F2C"/>
    <w:rsid w:val="04A86794"/>
    <w:rsid w:val="060D5ED0"/>
    <w:rsid w:val="06172438"/>
    <w:rsid w:val="061D7893"/>
    <w:rsid w:val="068B1EC9"/>
    <w:rsid w:val="06A44D39"/>
    <w:rsid w:val="06EE74DB"/>
    <w:rsid w:val="06FF6413"/>
    <w:rsid w:val="072015CC"/>
    <w:rsid w:val="07292FAF"/>
    <w:rsid w:val="076B3AA9"/>
    <w:rsid w:val="079C1EB4"/>
    <w:rsid w:val="07DE071F"/>
    <w:rsid w:val="080F6471"/>
    <w:rsid w:val="085F360E"/>
    <w:rsid w:val="08617CF0"/>
    <w:rsid w:val="08D85AD7"/>
    <w:rsid w:val="093E5132"/>
    <w:rsid w:val="09475E50"/>
    <w:rsid w:val="09652EA6"/>
    <w:rsid w:val="099C3247"/>
    <w:rsid w:val="0A793686"/>
    <w:rsid w:val="0AD46E3F"/>
    <w:rsid w:val="0B34273F"/>
    <w:rsid w:val="0B5759D8"/>
    <w:rsid w:val="0B584B6B"/>
    <w:rsid w:val="0B941820"/>
    <w:rsid w:val="0B9A6428"/>
    <w:rsid w:val="0BC76A6E"/>
    <w:rsid w:val="0BD069A1"/>
    <w:rsid w:val="0BEB3295"/>
    <w:rsid w:val="0C0B76AE"/>
    <w:rsid w:val="0C3F055B"/>
    <w:rsid w:val="0C695EBF"/>
    <w:rsid w:val="0C764D16"/>
    <w:rsid w:val="0CE75980"/>
    <w:rsid w:val="0D3E7892"/>
    <w:rsid w:val="0D892EDB"/>
    <w:rsid w:val="0DB72352"/>
    <w:rsid w:val="0DCD726B"/>
    <w:rsid w:val="0DFC12FE"/>
    <w:rsid w:val="0DFC36AD"/>
    <w:rsid w:val="0DFF1A91"/>
    <w:rsid w:val="0E30091C"/>
    <w:rsid w:val="0E3F3599"/>
    <w:rsid w:val="0EB116DF"/>
    <w:rsid w:val="0EB9796D"/>
    <w:rsid w:val="0ED93BBF"/>
    <w:rsid w:val="0EE859DF"/>
    <w:rsid w:val="0EEC7E92"/>
    <w:rsid w:val="0F0767AD"/>
    <w:rsid w:val="0F2729AB"/>
    <w:rsid w:val="0F2B6D04"/>
    <w:rsid w:val="0FAD318D"/>
    <w:rsid w:val="0FC76BB7"/>
    <w:rsid w:val="103C4234"/>
    <w:rsid w:val="10EA4999"/>
    <w:rsid w:val="10F935A7"/>
    <w:rsid w:val="1164141F"/>
    <w:rsid w:val="1182211B"/>
    <w:rsid w:val="1218482D"/>
    <w:rsid w:val="125E4936"/>
    <w:rsid w:val="127001C5"/>
    <w:rsid w:val="12E83133"/>
    <w:rsid w:val="12E94387"/>
    <w:rsid w:val="134C478E"/>
    <w:rsid w:val="13607801"/>
    <w:rsid w:val="1375778E"/>
    <w:rsid w:val="137C4627"/>
    <w:rsid w:val="13AE4E75"/>
    <w:rsid w:val="14551D69"/>
    <w:rsid w:val="14E43199"/>
    <w:rsid w:val="15FF01DE"/>
    <w:rsid w:val="16C62AAA"/>
    <w:rsid w:val="16F15C51"/>
    <w:rsid w:val="17146EEB"/>
    <w:rsid w:val="174A36DB"/>
    <w:rsid w:val="18A84B5D"/>
    <w:rsid w:val="18A85F98"/>
    <w:rsid w:val="1912647A"/>
    <w:rsid w:val="195C2910"/>
    <w:rsid w:val="1A907657"/>
    <w:rsid w:val="1AEB2ADF"/>
    <w:rsid w:val="1B210BF7"/>
    <w:rsid w:val="1B903686"/>
    <w:rsid w:val="1BD96DDB"/>
    <w:rsid w:val="1C47468D"/>
    <w:rsid w:val="1C8925AF"/>
    <w:rsid w:val="1CA23671"/>
    <w:rsid w:val="1CB17D58"/>
    <w:rsid w:val="1D015171"/>
    <w:rsid w:val="1D191BE5"/>
    <w:rsid w:val="1D3B78BE"/>
    <w:rsid w:val="1D6F3E9B"/>
    <w:rsid w:val="1D750D86"/>
    <w:rsid w:val="1DA376A1"/>
    <w:rsid w:val="1DAF4B38"/>
    <w:rsid w:val="1DCB7281"/>
    <w:rsid w:val="1DE530C2"/>
    <w:rsid w:val="1DEC70E9"/>
    <w:rsid w:val="1E0B00F8"/>
    <w:rsid w:val="1E112FC8"/>
    <w:rsid w:val="1E4C7D38"/>
    <w:rsid w:val="1EE00481"/>
    <w:rsid w:val="1F2E6A6D"/>
    <w:rsid w:val="1F5E5F75"/>
    <w:rsid w:val="1F6B2440"/>
    <w:rsid w:val="1F962CF2"/>
    <w:rsid w:val="1FBB33C8"/>
    <w:rsid w:val="1FC41B50"/>
    <w:rsid w:val="1FF70178"/>
    <w:rsid w:val="2007238A"/>
    <w:rsid w:val="21326E5F"/>
    <w:rsid w:val="21A12912"/>
    <w:rsid w:val="224204A0"/>
    <w:rsid w:val="22F4274D"/>
    <w:rsid w:val="234C653E"/>
    <w:rsid w:val="237C1D35"/>
    <w:rsid w:val="23953F30"/>
    <w:rsid w:val="23EA026F"/>
    <w:rsid w:val="24075DD2"/>
    <w:rsid w:val="240F17D6"/>
    <w:rsid w:val="241D3932"/>
    <w:rsid w:val="247E2DFD"/>
    <w:rsid w:val="25615D2D"/>
    <w:rsid w:val="263E440B"/>
    <w:rsid w:val="265B0373"/>
    <w:rsid w:val="26F70A5D"/>
    <w:rsid w:val="274D5052"/>
    <w:rsid w:val="27D17500"/>
    <w:rsid w:val="27E85AF1"/>
    <w:rsid w:val="282B6C11"/>
    <w:rsid w:val="283830DC"/>
    <w:rsid w:val="28862D5C"/>
    <w:rsid w:val="288E11CC"/>
    <w:rsid w:val="28A96E2F"/>
    <w:rsid w:val="28FC235B"/>
    <w:rsid w:val="2A1534D2"/>
    <w:rsid w:val="2A9F6179"/>
    <w:rsid w:val="2ACF41CB"/>
    <w:rsid w:val="2B147E30"/>
    <w:rsid w:val="2B5044AE"/>
    <w:rsid w:val="2B89414F"/>
    <w:rsid w:val="2B943FBD"/>
    <w:rsid w:val="2C382110"/>
    <w:rsid w:val="2C714E0E"/>
    <w:rsid w:val="2D1633EB"/>
    <w:rsid w:val="2D502549"/>
    <w:rsid w:val="2D611D48"/>
    <w:rsid w:val="2D964B2C"/>
    <w:rsid w:val="2E992065"/>
    <w:rsid w:val="2EB60132"/>
    <w:rsid w:val="2F044323"/>
    <w:rsid w:val="2F265CA3"/>
    <w:rsid w:val="2F850E2A"/>
    <w:rsid w:val="2F8779B7"/>
    <w:rsid w:val="2F974B8C"/>
    <w:rsid w:val="2FB15C4D"/>
    <w:rsid w:val="2FCF2577"/>
    <w:rsid w:val="30703D5A"/>
    <w:rsid w:val="30766E97"/>
    <w:rsid w:val="30EB1633"/>
    <w:rsid w:val="30F93D50"/>
    <w:rsid w:val="311163BD"/>
    <w:rsid w:val="316B2774"/>
    <w:rsid w:val="31DC0F7C"/>
    <w:rsid w:val="3215051D"/>
    <w:rsid w:val="32B06690"/>
    <w:rsid w:val="32D56725"/>
    <w:rsid w:val="335C6818"/>
    <w:rsid w:val="336B74E9"/>
    <w:rsid w:val="34152599"/>
    <w:rsid w:val="34B561E0"/>
    <w:rsid w:val="3544508A"/>
    <w:rsid w:val="356419B4"/>
    <w:rsid w:val="3588204A"/>
    <w:rsid w:val="35A64FEF"/>
    <w:rsid w:val="368340BC"/>
    <w:rsid w:val="36AD04C3"/>
    <w:rsid w:val="36E71BB0"/>
    <w:rsid w:val="374101FF"/>
    <w:rsid w:val="37427AD3"/>
    <w:rsid w:val="37492C0F"/>
    <w:rsid w:val="38222269"/>
    <w:rsid w:val="384A624F"/>
    <w:rsid w:val="385414FE"/>
    <w:rsid w:val="387E1491"/>
    <w:rsid w:val="38AF73EA"/>
    <w:rsid w:val="38CD4FE1"/>
    <w:rsid w:val="395A1104"/>
    <w:rsid w:val="39605B44"/>
    <w:rsid w:val="3A0174E8"/>
    <w:rsid w:val="3A2F2590"/>
    <w:rsid w:val="3AE96BE3"/>
    <w:rsid w:val="3B09561E"/>
    <w:rsid w:val="3B3911ED"/>
    <w:rsid w:val="3B40257B"/>
    <w:rsid w:val="3B490015"/>
    <w:rsid w:val="3B5006E0"/>
    <w:rsid w:val="3C2546B9"/>
    <w:rsid w:val="3C28373B"/>
    <w:rsid w:val="3C920A28"/>
    <w:rsid w:val="3C9227B9"/>
    <w:rsid w:val="3C964B49"/>
    <w:rsid w:val="3CAD3C40"/>
    <w:rsid w:val="3CB72D11"/>
    <w:rsid w:val="3CBE5E4E"/>
    <w:rsid w:val="3D2567DB"/>
    <w:rsid w:val="3DAD2ABF"/>
    <w:rsid w:val="3E350391"/>
    <w:rsid w:val="3E946E66"/>
    <w:rsid w:val="3F4441C1"/>
    <w:rsid w:val="3F9A4950"/>
    <w:rsid w:val="40183AC7"/>
    <w:rsid w:val="40784565"/>
    <w:rsid w:val="408D59ED"/>
    <w:rsid w:val="40A71336"/>
    <w:rsid w:val="40B54BA9"/>
    <w:rsid w:val="40C31C84"/>
    <w:rsid w:val="415B19A2"/>
    <w:rsid w:val="41F11AC2"/>
    <w:rsid w:val="41FF0A9A"/>
    <w:rsid w:val="42664FBD"/>
    <w:rsid w:val="42A653BA"/>
    <w:rsid w:val="43406525"/>
    <w:rsid w:val="437C57C3"/>
    <w:rsid w:val="43E066A9"/>
    <w:rsid w:val="440920A4"/>
    <w:rsid w:val="44184095"/>
    <w:rsid w:val="44967428"/>
    <w:rsid w:val="44A92FC5"/>
    <w:rsid w:val="44C63AF1"/>
    <w:rsid w:val="44CC5046"/>
    <w:rsid w:val="44F243AD"/>
    <w:rsid w:val="4517259F"/>
    <w:rsid w:val="458E4348"/>
    <w:rsid w:val="45B649C6"/>
    <w:rsid w:val="45CF4C28"/>
    <w:rsid w:val="46040D75"/>
    <w:rsid w:val="465A0995"/>
    <w:rsid w:val="46902609"/>
    <w:rsid w:val="46D629D1"/>
    <w:rsid w:val="47305B9A"/>
    <w:rsid w:val="476B0980"/>
    <w:rsid w:val="47C27D6C"/>
    <w:rsid w:val="4838270D"/>
    <w:rsid w:val="486F44A0"/>
    <w:rsid w:val="487E7C99"/>
    <w:rsid w:val="48EC3373"/>
    <w:rsid w:val="48F007C1"/>
    <w:rsid w:val="49304D24"/>
    <w:rsid w:val="493A4AAE"/>
    <w:rsid w:val="493B64BB"/>
    <w:rsid w:val="495E0E6D"/>
    <w:rsid w:val="497D7908"/>
    <w:rsid w:val="49CD7090"/>
    <w:rsid w:val="49D55251"/>
    <w:rsid w:val="49E13C0C"/>
    <w:rsid w:val="4A9A1CA8"/>
    <w:rsid w:val="4AE7656F"/>
    <w:rsid w:val="4BE87A98"/>
    <w:rsid w:val="4C1743E7"/>
    <w:rsid w:val="4C2E43AC"/>
    <w:rsid w:val="4E616C92"/>
    <w:rsid w:val="4E6F2E5D"/>
    <w:rsid w:val="4EFD2805"/>
    <w:rsid w:val="4F6E7BBD"/>
    <w:rsid w:val="4F9B25B3"/>
    <w:rsid w:val="5051105B"/>
    <w:rsid w:val="50760AC1"/>
    <w:rsid w:val="508A00C9"/>
    <w:rsid w:val="508A5A0C"/>
    <w:rsid w:val="50A83208"/>
    <w:rsid w:val="50B13DEA"/>
    <w:rsid w:val="512960E9"/>
    <w:rsid w:val="51F003FF"/>
    <w:rsid w:val="52631405"/>
    <w:rsid w:val="529945F3"/>
    <w:rsid w:val="52CB651B"/>
    <w:rsid w:val="5373753A"/>
    <w:rsid w:val="53AC334F"/>
    <w:rsid w:val="5407371F"/>
    <w:rsid w:val="55076EDB"/>
    <w:rsid w:val="55782BE6"/>
    <w:rsid w:val="557F62EE"/>
    <w:rsid w:val="55C7591B"/>
    <w:rsid w:val="55E97640"/>
    <w:rsid w:val="55EE2EA8"/>
    <w:rsid w:val="565019E7"/>
    <w:rsid w:val="566969D2"/>
    <w:rsid w:val="568162FE"/>
    <w:rsid w:val="56861129"/>
    <w:rsid w:val="569861B6"/>
    <w:rsid w:val="56B6493F"/>
    <w:rsid w:val="56C87367"/>
    <w:rsid w:val="56D26221"/>
    <w:rsid w:val="56DF0A43"/>
    <w:rsid w:val="57B8376D"/>
    <w:rsid w:val="57D416E6"/>
    <w:rsid w:val="5809250B"/>
    <w:rsid w:val="582E1C77"/>
    <w:rsid w:val="58655AA8"/>
    <w:rsid w:val="587D0513"/>
    <w:rsid w:val="58946959"/>
    <w:rsid w:val="589E1721"/>
    <w:rsid w:val="58DA3BB7"/>
    <w:rsid w:val="58F307D5"/>
    <w:rsid w:val="593D6074"/>
    <w:rsid w:val="59B15B6B"/>
    <w:rsid w:val="59D93E6F"/>
    <w:rsid w:val="5A4E660B"/>
    <w:rsid w:val="5A5113C2"/>
    <w:rsid w:val="5A6C021E"/>
    <w:rsid w:val="5AA24261"/>
    <w:rsid w:val="5B4B48F9"/>
    <w:rsid w:val="5B4F43E9"/>
    <w:rsid w:val="5B6B0AF7"/>
    <w:rsid w:val="5C4E28F2"/>
    <w:rsid w:val="5C7E485A"/>
    <w:rsid w:val="5C8F7148"/>
    <w:rsid w:val="5C983B6D"/>
    <w:rsid w:val="5D5009C9"/>
    <w:rsid w:val="5D5B355A"/>
    <w:rsid w:val="5D8C4430"/>
    <w:rsid w:val="5DBC1ADE"/>
    <w:rsid w:val="5DD62B9F"/>
    <w:rsid w:val="5E3A5CA0"/>
    <w:rsid w:val="5F5024DD"/>
    <w:rsid w:val="5F5A15AE"/>
    <w:rsid w:val="5F6103C2"/>
    <w:rsid w:val="5FBC7B73"/>
    <w:rsid w:val="5FCD130C"/>
    <w:rsid w:val="5FD07FE9"/>
    <w:rsid w:val="60327E35"/>
    <w:rsid w:val="60613CC2"/>
    <w:rsid w:val="60974CCE"/>
    <w:rsid w:val="60DF1D6B"/>
    <w:rsid w:val="61001CE1"/>
    <w:rsid w:val="61737CE0"/>
    <w:rsid w:val="617A62BB"/>
    <w:rsid w:val="61840B64"/>
    <w:rsid w:val="61C64CD9"/>
    <w:rsid w:val="62157A0E"/>
    <w:rsid w:val="62450E0A"/>
    <w:rsid w:val="6270505E"/>
    <w:rsid w:val="62A2790D"/>
    <w:rsid w:val="62C51434"/>
    <w:rsid w:val="62EB49FC"/>
    <w:rsid w:val="632B05B6"/>
    <w:rsid w:val="63D905AD"/>
    <w:rsid w:val="645F3309"/>
    <w:rsid w:val="647A03AB"/>
    <w:rsid w:val="64F91349"/>
    <w:rsid w:val="652674EA"/>
    <w:rsid w:val="653D52B2"/>
    <w:rsid w:val="6558033E"/>
    <w:rsid w:val="65B46500"/>
    <w:rsid w:val="66DB589D"/>
    <w:rsid w:val="66E16111"/>
    <w:rsid w:val="66E2747D"/>
    <w:rsid w:val="66F7550A"/>
    <w:rsid w:val="67296C8E"/>
    <w:rsid w:val="673047EC"/>
    <w:rsid w:val="67DA0B38"/>
    <w:rsid w:val="68024591"/>
    <w:rsid w:val="6833421D"/>
    <w:rsid w:val="683B31A6"/>
    <w:rsid w:val="68404FAA"/>
    <w:rsid w:val="688E4077"/>
    <w:rsid w:val="68907BFB"/>
    <w:rsid w:val="68B41D2F"/>
    <w:rsid w:val="68F16ADF"/>
    <w:rsid w:val="694E2184"/>
    <w:rsid w:val="6A4B69A3"/>
    <w:rsid w:val="6A9874AE"/>
    <w:rsid w:val="6AAD1A41"/>
    <w:rsid w:val="6ABF64DA"/>
    <w:rsid w:val="6B343211"/>
    <w:rsid w:val="6B99047C"/>
    <w:rsid w:val="6B9C347D"/>
    <w:rsid w:val="6BAC13E3"/>
    <w:rsid w:val="6BAC18E9"/>
    <w:rsid w:val="6C4E3716"/>
    <w:rsid w:val="6C847C6A"/>
    <w:rsid w:val="6D2F1B21"/>
    <w:rsid w:val="6D3D7D20"/>
    <w:rsid w:val="6D592EA5"/>
    <w:rsid w:val="6E3F02ED"/>
    <w:rsid w:val="6E5F172B"/>
    <w:rsid w:val="6EDC3D8E"/>
    <w:rsid w:val="6F5D0B2F"/>
    <w:rsid w:val="6F6117F5"/>
    <w:rsid w:val="6F806E0F"/>
    <w:rsid w:val="6F84274A"/>
    <w:rsid w:val="6FBE314B"/>
    <w:rsid w:val="6FD902CD"/>
    <w:rsid w:val="6FDC216E"/>
    <w:rsid w:val="6FDD7DBD"/>
    <w:rsid w:val="6FE12BCC"/>
    <w:rsid w:val="70217AAF"/>
    <w:rsid w:val="706C6902"/>
    <w:rsid w:val="70700C31"/>
    <w:rsid w:val="7076465F"/>
    <w:rsid w:val="70840ECA"/>
    <w:rsid w:val="70A0444C"/>
    <w:rsid w:val="710A3F31"/>
    <w:rsid w:val="71777D9E"/>
    <w:rsid w:val="71A212BE"/>
    <w:rsid w:val="71B40FF2"/>
    <w:rsid w:val="71E7396A"/>
    <w:rsid w:val="726C0118"/>
    <w:rsid w:val="727E6F0A"/>
    <w:rsid w:val="72A852EE"/>
    <w:rsid w:val="72B55021"/>
    <w:rsid w:val="72B95772"/>
    <w:rsid w:val="731A4E85"/>
    <w:rsid w:val="73E90DBD"/>
    <w:rsid w:val="74FC2405"/>
    <w:rsid w:val="759233F8"/>
    <w:rsid w:val="76375D4D"/>
    <w:rsid w:val="76805946"/>
    <w:rsid w:val="768F7938"/>
    <w:rsid w:val="78373BAC"/>
    <w:rsid w:val="78D4376C"/>
    <w:rsid w:val="78E33F6B"/>
    <w:rsid w:val="795D6459"/>
    <w:rsid w:val="79775D93"/>
    <w:rsid w:val="799B26EC"/>
    <w:rsid w:val="79DA107C"/>
    <w:rsid w:val="79E9796A"/>
    <w:rsid w:val="7A155D61"/>
    <w:rsid w:val="7A28432B"/>
    <w:rsid w:val="7A57076C"/>
    <w:rsid w:val="7A5769BE"/>
    <w:rsid w:val="7A8A3616"/>
    <w:rsid w:val="7A9D6AC7"/>
    <w:rsid w:val="7A9E45ED"/>
    <w:rsid w:val="7B853EC3"/>
    <w:rsid w:val="7BE75B20"/>
    <w:rsid w:val="7C0641F8"/>
    <w:rsid w:val="7C2B1EB0"/>
    <w:rsid w:val="7C482A62"/>
    <w:rsid w:val="7CAE2B9E"/>
    <w:rsid w:val="7CB7224A"/>
    <w:rsid w:val="7D1312C2"/>
    <w:rsid w:val="7D18299B"/>
    <w:rsid w:val="7D2A512B"/>
    <w:rsid w:val="7DEE13E8"/>
    <w:rsid w:val="7E2F5732"/>
    <w:rsid w:val="7E6D055E"/>
    <w:rsid w:val="7ED20D09"/>
    <w:rsid w:val="7F505380"/>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8"/>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8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92"/>
    <w:qFormat/>
    <w:uiPriority w:val="0"/>
    <w:pPr>
      <w:keepNext/>
      <w:keepLines/>
      <w:spacing w:before="280" w:after="290" w:line="376" w:lineRule="auto"/>
      <w:outlineLvl w:val="3"/>
    </w:pPr>
    <w:rPr>
      <w:b/>
      <w:bCs/>
      <w:sz w:val="28"/>
      <w:szCs w:val="28"/>
    </w:rPr>
  </w:style>
  <w:style w:type="paragraph" w:styleId="7">
    <w:name w:val="heading 5"/>
    <w:basedOn w:val="1"/>
    <w:next w:val="1"/>
    <w:link w:val="99"/>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8">
    <w:name w:val="heading 6"/>
    <w:basedOn w:val="7"/>
    <w:next w:val="1"/>
    <w:link w:val="100"/>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1"/>
    <w:qFormat/>
    <w:uiPriority w:val="0"/>
    <w:pPr>
      <w:tabs>
        <w:tab w:val="left" w:pos="1800"/>
        <w:tab w:val="clear" w:pos="1440"/>
      </w:tabs>
      <w:ind w:left="1276" w:hanging="1276"/>
      <w:outlineLvl w:val="6"/>
    </w:pPr>
  </w:style>
  <w:style w:type="paragraph" w:styleId="10">
    <w:name w:val="heading 8"/>
    <w:basedOn w:val="1"/>
    <w:next w:val="1"/>
    <w:link w:val="102"/>
    <w:qFormat/>
    <w:uiPriority w:val="0"/>
    <w:pPr>
      <w:keepNext/>
      <w:keepLines/>
      <w:spacing w:line="400" w:lineRule="exact"/>
      <w:jc w:val="center"/>
      <w:outlineLvl w:val="7"/>
    </w:pPr>
    <w:rPr>
      <w:rFonts w:eastAsia="黑体" w:cs="Times New Roman"/>
      <w:kern w:val="2"/>
      <w:sz w:val="32"/>
      <w:szCs w:val="32"/>
      <w:lang w:val="zh-CN"/>
    </w:rPr>
  </w:style>
  <w:style w:type="paragraph" w:styleId="11">
    <w:name w:val="heading 9"/>
    <w:basedOn w:val="1"/>
    <w:next w:val="1"/>
    <w:link w:val="103"/>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30"/>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12">
    <w:name w:val="List 3"/>
    <w:basedOn w:val="1"/>
    <w:qFormat/>
    <w:uiPriority w:val="0"/>
    <w:pPr>
      <w:ind w:left="100" w:leftChars="400" w:hanging="200" w:hangingChars="200"/>
    </w:pPr>
    <w:rPr>
      <w:rFonts w:ascii="Calibri" w:hAnsi="Calibri" w:cs="Times New Roman"/>
      <w:kern w:val="2"/>
      <w:sz w:val="21"/>
      <w:szCs w:val="22"/>
    </w:rPr>
  </w:style>
  <w:style w:type="paragraph" w:styleId="13">
    <w:name w:val="toc 7"/>
    <w:basedOn w:val="1"/>
    <w:next w:val="1"/>
    <w:unhideWhenUsed/>
    <w:qFormat/>
    <w:uiPriority w:val="39"/>
    <w:pPr>
      <w:ind w:left="1260"/>
      <w:jc w:val="left"/>
    </w:pPr>
    <w:rPr>
      <w:rFonts w:ascii="Calibri" w:hAnsi="Calibri" w:cs="Calibri"/>
      <w:kern w:val="2"/>
      <w:sz w:val="18"/>
      <w:szCs w:val="18"/>
    </w:rPr>
  </w:style>
  <w:style w:type="paragraph" w:styleId="14">
    <w:name w:val="Normal Indent"/>
    <w:basedOn w:val="1"/>
    <w:qFormat/>
    <w:uiPriority w:val="0"/>
    <w:pPr>
      <w:autoSpaceDE w:val="0"/>
      <w:autoSpaceDN w:val="0"/>
      <w:adjustRightInd w:val="0"/>
      <w:ind w:firstLine="420"/>
      <w:jc w:val="left"/>
    </w:pPr>
    <w:rPr>
      <w:rFonts w:hAnsi="Times New Roman" w:cs="Times New Roman"/>
      <w:sz w:val="24"/>
    </w:rPr>
  </w:style>
  <w:style w:type="paragraph" w:styleId="15">
    <w:name w:val="caption"/>
    <w:basedOn w:val="1"/>
    <w:next w:val="1"/>
    <w:qFormat/>
    <w:uiPriority w:val="0"/>
    <w:pPr>
      <w:spacing w:before="152" w:after="160"/>
    </w:pPr>
    <w:rPr>
      <w:rFonts w:ascii="Arial" w:hAnsi="Arial" w:eastAsia="黑体" w:cs="Arial"/>
      <w:kern w:val="2"/>
    </w:rPr>
  </w:style>
  <w:style w:type="paragraph" w:styleId="16">
    <w:name w:val="Document Map"/>
    <w:basedOn w:val="1"/>
    <w:link w:val="148"/>
    <w:qFormat/>
    <w:uiPriority w:val="0"/>
    <w:pPr>
      <w:shd w:val="clear" w:color="auto" w:fill="000080"/>
    </w:pPr>
    <w:rPr>
      <w:rFonts w:ascii="Calibri" w:hAnsi="Calibri" w:cs="Times New Roman"/>
      <w:bCs/>
      <w:kern w:val="2"/>
      <w:sz w:val="21"/>
      <w:szCs w:val="32"/>
      <w:lang w:val="zh-CN"/>
    </w:rPr>
  </w:style>
  <w:style w:type="paragraph" w:styleId="17">
    <w:name w:val="annotation text"/>
    <w:basedOn w:val="1"/>
    <w:link w:val="84"/>
    <w:qFormat/>
    <w:uiPriority w:val="0"/>
    <w:pPr>
      <w:jc w:val="left"/>
    </w:pPr>
    <w:rPr>
      <w:rFonts w:ascii="Arial" w:hAnsi="Arial" w:eastAsia="黑体" w:cs="Arial"/>
    </w:rPr>
  </w:style>
  <w:style w:type="paragraph" w:styleId="18">
    <w:name w:val="Salutation"/>
    <w:basedOn w:val="1"/>
    <w:next w:val="1"/>
    <w:link w:val="114"/>
    <w:qFormat/>
    <w:uiPriority w:val="0"/>
    <w:rPr>
      <w:rFonts w:ascii="仿宋_GB2312" w:hAnsi="Times New Roman" w:eastAsia="仿宋_GB2312" w:cs="Times New Roman"/>
      <w:kern w:val="2"/>
      <w:sz w:val="28"/>
      <w:lang w:val="zh-CN"/>
    </w:rPr>
  </w:style>
  <w:style w:type="paragraph" w:styleId="19">
    <w:name w:val="Body Text 3"/>
    <w:basedOn w:val="1"/>
    <w:link w:val="134"/>
    <w:qFormat/>
    <w:uiPriority w:val="0"/>
    <w:pPr>
      <w:adjustRightInd w:val="0"/>
      <w:snapToGrid w:val="0"/>
    </w:pPr>
    <w:rPr>
      <w:rFonts w:ascii="仿宋_GB2312" w:eastAsia="仿宋_GB2312" w:cs="Times New Roman"/>
      <w:bCs/>
      <w:color w:val="000000"/>
      <w:kern w:val="2"/>
      <w:sz w:val="24"/>
      <w:szCs w:val="32"/>
      <w:lang w:val="zh-CN"/>
    </w:rPr>
  </w:style>
  <w:style w:type="paragraph" w:styleId="20">
    <w:name w:val="Body Text"/>
    <w:basedOn w:val="1"/>
    <w:link w:val="93"/>
    <w:qFormat/>
    <w:uiPriority w:val="0"/>
    <w:pPr>
      <w:spacing w:after="120"/>
    </w:pPr>
    <w:rPr>
      <w:rFonts w:ascii="@微软简标宋" w:hAnsi="@微软简标宋" w:eastAsia="@微软简标宋" w:cs="@微软简标宋"/>
      <w:szCs w:val="24"/>
      <w:lang w:val="zh-CN"/>
    </w:rPr>
  </w:style>
  <w:style w:type="paragraph" w:styleId="21">
    <w:name w:val="Body Text Indent"/>
    <w:basedOn w:val="1"/>
    <w:next w:val="22"/>
    <w:link w:val="108"/>
    <w:unhideWhenUsed/>
    <w:qFormat/>
    <w:uiPriority w:val="0"/>
    <w:pPr>
      <w:spacing w:after="120"/>
      <w:ind w:left="420" w:leftChars="200"/>
    </w:pPr>
    <w:rPr>
      <w:rFonts w:asciiTheme="minorHAnsi" w:hAnsiTheme="minorHAnsi"/>
      <w:kern w:val="2"/>
      <w:sz w:val="21"/>
      <w:szCs w:val="22"/>
    </w:rPr>
  </w:style>
  <w:style w:type="paragraph" w:styleId="22">
    <w:name w:val="envelope return"/>
    <w:basedOn w:val="1"/>
    <w:next w:val="13"/>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Calibri" w:hAnsi="Calibri" w:cs="Times New Roman"/>
      <w:kern w:val="2"/>
      <w:sz w:val="21"/>
      <w:szCs w:val="22"/>
    </w:rPr>
  </w:style>
  <w:style w:type="paragraph" w:styleId="24">
    <w:name w:val="List Continue"/>
    <w:basedOn w:val="1"/>
    <w:qFormat/>
    <w:uiPriority w:val="0"/>
    <w:pPr>
      <w:spacing w:after="120"/>
      <w:ind w:left="420" w:leftChars="200"/>
    </w:pPr>
    <w:rPr>
      <w:rFonts w:ascii="Calibri" w:hAnsi="Calibri" w:cs="Times New Roman"/>
      <w:kern w:val="2"/>
      <w:sz w:val="21"/>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qFormat/>
    <w:uiPriority w:val="0"/>
    <w:pPr>
      <w:ind w:left="600" w:leftChars="600"/>
    </w:pPr>
    <w:rPr>
      <w:rFonts w:ascii="Times New Roman" w:hAnsi="Times New Roman" w:cs="Times New Roman"/>
      <w:kern w:val="2"/>
      <w:sz w:val="21"/>
      <w:szCs w:val="24"/>
    </w:rPr>
  </w:style>
  <w:style w:type="paragraph" w:styleId="27">
    <w:name w:val="toc 5"/>
    <w:basedOn w:val="1"/>
    <w:next w:val="1"/>
    <w:unhideWhenUsed/>
    <w:qFormat/>
    <w:uiPriority w:val="39"/>
    <w:pPr>
      <w:ind w:left="840"/>
      <w:jc w:val="left"/>
    </w:pPr>
    <w:rPr>
      <w:rFonts w:ascii="Calibri" w:hAnsi="Calibri" w:cs="Calibri"/>
      <w:kern w:val="2"/>
      <w:sz w:val="18"/>
      <w:szCs w:val="18"/>
    </w:rPr>
  </w:style>
  <w:style w:type="paragraph" w:styleId="28">
    <w:name w:val="toc 3"/>
    <w:basedOn w:val="1"/>
    <w:next w:val="1"/>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9">
    <w:name w:val="Plain Text"/>
    <w:basedOn w:val="1"/>
    <w:link w:val="73"/>
    <w:qFormat/>
    <w:uiPriority w:val="0"/>
    <w:rPr>
      <w:rFonts w:hAnsi="Courier New" w:eastAsiaTheme="minorEastAsia"/>
      <w:szCs w:val="22"/>
    </w:rPr>
  </w:style>
  <w:style w:type="paragraph" w:styleId="30">
    <w:name w:val="toc 8"/>
    <w:basedOn w:val="1"/>
    <w:next w:val="1"/>
    <w:unhideWhenUsed/>
    <w:qFormat/>
    <w:uiPriority w:val="39"/>
    <w:pPr>
      <w:ind w:left="1470"/>
      <w:jc w:val="left"/>
    </w:pPr>
    <w:rPr>
      <w:rFonts w:ascii="Calibri" w:hAnsi="Calibri" w:cs="Calibri"/>
      <w:kern w:val="2"/>
      <w:sz w:val="18"/>
      <w:szCs w:val="18"/>
    </w:rPr>
  </w:style>
  <w:style w:type="paragraph" w:styleId="31">
    <w:name w:val="Date"/>
    <w:basedOn w:val="1"/>
    <w:next w:val="1"/>
    <w:link w:val="80"/>
    <w:qFormat/>
    <w:uiPriority w:val="0"/>
    <w:rPr>
      <w:rFonts w:ascii="Arial" w:hAnsi="Arial" w:cs="Arial"/>
      <w:b/>
      <w:sz w:val="28"/>
    </w:rPr>
  </w:style>
  <w:style w:type="paragraph" w:styleId="32">
    <w:name w:val="Balloon Text"/>
    <w:basedOn w:val="1"/>
    <w:link w:val="67"/>
    <w:unhideWhenUsed/>
    <w:qFormat/>
    <w:uiPriority w:val="0"/>
    <w:rPr>
      <w:sz w:val="18"/>
      <w:szCs w:val="18"/>
    </w:rPr>
  </w:style>
  <w:style w:type="paragraph" w:styleId="33">
    <w:name w:val="footer"/>
    <w:basedOn w:val="1"/>
    <w:link w:val="72"/>
    <w:unhideWhenUsed/>
    <w:qFormat/>
    <w:uiPriority w:val="99"/>
    <w:pPr>
      <w:tabs>
        <w:tab w:val="center" w:pos="4153"/>
        <w:tab w:val="right" w:pos="8306"/>
      </w:tabs>
      <w:snapToGrid w:val="0"/>
      <w:jc w:val="left"/>
    </w:pPr>
    <w:rPr>
      <w:sz w:val="18"/>
      <w:szCs w:val="18"/>
    </w:rPr>
  </w:style>
  <w:style w:type="paragraph" w:styleId="34">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unhideWhenUsed/>
    <w:qFormat/>
    <w:uiPriority w:val="39"/>
    <w:pPr>
      <w:ind w:left="630"/>
      <w:jc w:val="left"/>
    </w:pPr>
    <w:rPr>
      <w:rFonts w:ascii="Calibri" w:hAnsi="Calibri" w:cs="Calibri"/>
      <w:kern w:val="2"/>
      <w:sz w:val="18"/>
      <w:szCs w:val="18"/>
    </w:rPr>
  </w:style>
  <w:style w:type="paragraph" w:styleId="38">
    <w:name w:val="index heading"/>
    <w:basedOn w:val="1"/>
    <w:next w:val="39"/>
    <w:semiHidden/>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2"/>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10"/>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unhideWhenUsed/>
    <w:qFormat/>
    <w:uiPriority w:val="39"/>
    <w:pPr>
      <w:ind w:left="1050"/>
      <w:jc w:val="left"/>
    </w:pPr>
    <w:rPr>
      <w:rFonts w:ascii="Calibri" w:hAnsi="Calibri" w:cs="Calibri"/>
      <w:kern w:val="2"/>
      <w:sz w:val="18"/>
      <w:szCs w:val="18"/>
    </w:rPr>
  </w:style>
  <w:style w:type="paragraph" w:styleId="44">
    <w:name w:val="Body Text Indent 3"/>
    <w:basedOn w:val="1"/>
    <w:link w:val="129"/>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unhideWhenUsed/>
    <w:qFormat/>
    <w:uiPriority w:val="39"/>
    <w:pPr>
      <w:ind w:left="1680"/>
      <w:jc w:val="left"/>
    </w:pPr>
    <w:rPr>
      <w:rFonts w:ascii="Calibri" w:hAnsi="Calibri" w:cs="Calibri"/>
      <w:kern w:val="2"/>
      <w:sz w:val="18"/>
      <w:szCs w:val="18"/>
    </w:rPr>
  </w:style>
  <w:style w:type="paragraph" w:styleId="47">
    <w:name w:val="Body Text 2"/>
    <w:basedOn w:val="1"/>
    <w:link w:val="133"/>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4"/>
    <w:next w:val="1"/>
    <w:link w:val="137"/>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7"/>
    <w:next w:val="17"/>
    <w:link w:val="95"/>
    <w:unhideWhenUsed/>
    <w:qFormat/>
    <w:uiPriority w:val="0"/>
    <w:rPr>
      <w:rFonts w:ascii="宋体" w:hAnsi="宋体" w:eastAsia="宋体" w:cstheme="minorBidi"/>
      <w:b/>
      <w:bCs/>
    </w:rPr>
  </w:style>
  <w:style w:type="paragraph" w:styleId="53">
    <w:name w:val="Body Text First Indent"/>
    <w:basedOn w:val="20"/>
    <w:semiHidden/>
    <w:unhideWhenUsed/>
    <w:qFormat/>
    <w:uiPriority w:val="99"/>
    <w:pPr>
      <w:ind w:firstLine="420" w:firstLineChars="100"/>
    </w:pPr>
  </w:style>
  <w:style w:type="paragraph" w:styleId="54">
    <w:name w:val="Body Text First Indent 2"/>
    <w:basedOn w:val="21"/>
    <w:next w:val="1"/>
    <w:qFormat/>
    <w:uiPriority w:val="0"/>
    <w:pPr>
      <w:spacing w:line="360" w:lineRule="auto"/>
      <w:ind w:firstLine="200"/>
    </w:pPr>
    <w:rPr>
      <w:sz w:val="21"/>
    </w:rPr>
  </w:style>
  <w:style w:type="table" w:styleId="56">
    <w:name w:val="Table Grid"/>
    <w:basedOn w:val="5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semiHidden/>
    <w:unhideWhenUsed/>
    <w:qFormat/>
    <w:uiPriority w:val="99"/>
    <w:rPr>
      <w:color w:val="800080" w:themeColor="followedHyperlink"/>
      <w:u w:val="single"/>
      <w14:textFill>
        <w14:solidFill>
          <w14:schemeClr w14:val="folHlink"/>
        </w14:solidFill>
      </w14:textFill>
    </w:rPr>
  </w:style>
  <w:style w:type="character" w:styleId="61">
    <w:name w:val="Emphasis"/>
    <w:qFormat/>
    <w:uiPriority w:val="0"/>
    <w:rPr>
      <w:color w:val="CC0033"/>
    </w:rPr>
  </w:style>
  <w:style w:type="character" w:styleId="62">
    <w:name w:val="Hyperlink"/>
    <w:basedOn w:val="57"/>
    <w:unhideWhenUsed/>
    <w:qFormat/>
    <w:uiPriority w:val="99"/>
    <w:rPr>
      <w:color w:val="0000FF" w:themeColor="hyperlink"/>
      <w:u w:val="single"/>
      <w14:textFill>
        <w14:solidFill>
          <w14:schemeClr w14:val="hlink"/>
        </w14:solidFill>
      </w14:textFill>
    </w:rPr>
  </w:style>
  <w:style w:type="character" w:styleId="63">
    <w:name w:val="annotation reference"/>
    <w:basedOn w:val="57"/>
    <w:unhideWhenUsed/>
    <w:qFormat/>
    <w:uiPriority w:val="0"/>
    <w:rPr>
      <w:sz w:val="21"/>
      <w:szCs w:val="21"/>
    </w:rPr>
  </w:style>
  <w:style w:type="character" w:styleId="64">
    <w:name w:val="footnote reference"/>
    <w:unhideWhenUsed/>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paragraph" w:customStyle="1" w:styleId="66">
    <w:name w:val="正文文字 8"/>
    <w:basedOn w:val="1"/>
    <w:next w:val="1"/>
    <w:qFormat/>
    <w:uiPriority w:val="0"/>
    <w:pPr>
      <w:ind w:left="240"/>
    </w:pPr>
    <w:rPr>
      <w:sz w:val="16"/>
    </w:rPr>
  </w:style>
  <w:style w:type="character" w:customStyle="1" w:styleId="67">
    <w:name w:val="批注框文本 Char"/>
    <w:basedOn w:val="57"/>
    <w:link w:val="32"/>
    <w:qFormat/>
    <w:uiPriority w:val="0"/>
    <w:rPr>
      <w:rFonts w:ascii="@仿宋_GB2312" w:hAnsi="@仿宋_GB2312" w:eastAsia="@仿宋_GB2312" w:cs="@仿宋_GB2312"/>
      <w:sz w:val="18"/>
      <w:szCs w:val="18"/>
    </w:rPr>
  </w:style>
  <w:style w:type="paragraph" w:customStyle="1" w:styleId="68">
    <w:name w:val="正文（缩进）"/>
    <w:basedOn w:val="1"/>
    <w:qFormat/>
    <w:uiPriority w:val="0"/>
    <w:pPr>
      <w:widowControl/>
      <w:spacing w:before="156" w:after="156"/>
      <w:ind w:firstLine="480" w:firstLineChars="200"/>
      <w:jc w:val="left"/>
    </w:pPr>
    <w:rPr>
      <w:sz w:val="24"/>
      <w:szCs w:val="24"/>
    </w:rPr>
  </w:style>
  <w:style w:type="paragraph" w:customStyle="1" w:styleId="69">
    <w:name w:val="xl31"/>
    <w:basedOn w:val="1"/>
    <w:qFormat/>
    <w:uiPriority w:val="0"/>
    <w:pPr>
      <w:widowControl/>
      <w:spacing w:before="100" w:beforeAutospacing="1" w:after="100" w:afterAutospacing="1"/>
      <w:jc w:val="center"/>
    </w:pPr>
    <w:rPr>
      <w:b/>
      <w:bCs/>
      <w:sz w:val="28"/>
      <w:szCs w:val="28"/>
    </w:rPr>
  </w:style>
  <w:style w:type="paragraph" w:customStyle="1" w:styleId="70">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Char"/>
    <w:basedOn w:val="57"/>
    <w:link w:val="34"/>
    <w:qFormat/>
    <w:uiPriority w:val="99"/>
    <w:rPr>
      <w:rFonts w:ascii="@仿宋_GB2312" w:hAnsi="@仿宋_GB2312" w:eastAsia="@仿宋_GB2312" w:cs="@仿宋_GB2312"/>
      <w:sz w:val="18"/>
      <w:szCs w:val="18"/>
    </w:rPr>
  </w:style>
  <w:style w:type="character" w:customStyle="1" w:styleId="72">
    <w:name w:val="页脚 Char"/>
    <w:basedOn w:val="57"/>
    <w:link w:val="33"/>
    <w:qFormat/>
    <w:uiPriority w:val="99"/>
    <w:rPr>
      <w:rFonts w:ascii="@仿宋_GB2312" w:hAnsi="@仿宋_GB2312" w:eastAsia="@仿宋_GB2312" w:cs="@仿宋_GB2312"/>
      <w:sz w:val="18"/>
      <w:szCs w:val="18"/>
    </w:rPr>
  </w:style>
  <w:style w:type="character" w:customStyle="1" w:styleId="73">
    <w:name w:val="纯文本 Char"/>
    <w:link w:val="29"/>
    <w:qFormat/>
    <w:uiPriority w:val="0"/>
    <w:rPr>
      <w:rFonts w:ascii="宋体" w:hAnsi="Courier New"/>
    </w:rPr>
  </w:style>
  <w:style w:type="character" w:customStyle="1" w:styleId="74">
    <w:name w:val="纯文本 字符1"/>
    <w:basedOn w:val="57"/>
    <w:semiHidden/>
    <w:qFormat/>
    <w:uiPriority w:val="99"/>
    <w:rPr>
      <w:rFonts w:hAnsi="Courier New" w:cs="Courier New" w:asciiTheme="minorEastAsia"/>
      <w:szCs w:val="20"/>
    </w:rPr>
  </w:style>
  <w:style w:type="character" w:customStyle="1" w:styleId="75">
    <w:name w:val="未处理的提及1"/>
    <w:basedOn w:val="57"/>
    <w:semiHidden/>
    <w:unhideWhenUsed/>
    <w:qFormat/>
    <w:uiPriority w:val="99"/>
    <w:rPr>
      <w:color w:val="605E5C"/>
      <w:shd w:val="clear" w:color="auto" w:fill="E1DFDD"/>
    </w:rPr>
  </w:style>
  <w:style w:type="paragraph" w:styleId="76">
    <w:name w:val="List Paragraph"/>
    <w:basedOn w:val="1"/>
    <w:qFormat/>
    <w:uiPriority w:val="34"/>
    <w:pPr>
      <w:ind w:firstLine="420" w:firstLineChars="200"/>
    </w:pPr>
  </w:style>
  <w:style w:type="paragraph" w:customStyle="1" w:styleId="77">
    <w:name w:val="Char Char Char Char Char Char Char1 Char"/>
    <w:basedOn w:val="1"/>
    <w:qFormat/>
    <w:uiPriority w:val="0"/>
    <w:rPr>
      <w:rFonts w:ascii="Arial" w:hAnsi="Arial" w:cs="Arial"/>
      <w:sz w:val="24"/>
    </w:rPr>
  </w:style>
  <w:style w:type="table" w:customStyle="1" w:styleId="78">
    <w:name w:val="网格表 1 浅色1"/>
    <w:basedOn w:val="5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7"/>
    <w:semiHidden/>
    <w:qFormat/>
    <w:uiPriority w:val="99"/>
    <w:rPr>
      <w:rFonts w:ascii="@仿宋_GB2312" w:hAnsi="@仿宋_GB2312" w:eastAsia="@仿宋_GB2312" w:cs="@仿宋_GB2312"/>
      <w:szCs w:val="20"/>
    </w:rPr>
  </w:style>
  <w:style w:type="character" w:customStyle="1" w:styleId="80">
    <w:name w:val="日期 Char"/>
    <w:link w:val="31"/>
    <w:qFormat/>
    <w:uiPriority w:val="0"/>
    <w:rPr>
      <w:rFonts w:ascii="Arial" w:hAnsi="Arial" w:eastAsia="宋体" w:cs="Arial"/>
      <w:b/>
      <w:sz w:val="28"/>
      <w:szCs w:val="20"/>
    </w:rPr>
  </w:style>
  <w:style w:type="character" w:customStyle="1" w:styleId="81">
    <w:name w:val="纯文本 Char1"/>
    <w:link w:val="82"/>
    <w:qFormat/>
    <w:locked/>
    <w:uiPriority w:val="99"/>
    <w:rPr>
      <w:rFonts w:ascii="Arial" w:hAnsi="Arial" w:eastAsia="Arial"/>
      <w:kern w:val="2"/>
      <w:sz w:val="21"/>
      <w:lang w:val="en-US" w:eastAsia="zh-CN" w:bidi="ar-SA"/>
    </w:rPr>
  </w:style>
  <w:style w:type="paragraph" w:customStyle="1" w:styleId="82">
    <w:name w:val="纯文本1"/>
    <w:basedOn w:val="1"/>
    <w:link w:val="81"/>
    <w:qFormat/>
    <w:uiPriority w:val="0"/>
    <w:rPr>
      <w:rFonts w:ascii="Arial" w:hAnsi="Arial" w:eastAsia="Arial"/>
    </w:rPr>
  </w:style>
  <w:style w:type="character" w:customStyle="1" w:styleId="83">
    <w:name w:val="批注文字 Char"/>
    <w:basedOn w:val="57"/>
    <w:qFormat/>
    <w:uiPriority w:val="0"/>
    <w:rPr>
      <w:rFonts w:ascii="@仿宋_GB2312" w:hAnsi="@仿宋_GB2312" w:eastAsia="@仿宋_GB2312" w:cs="@仿宋_GB2312"/>
      <w:szCs w:val="20"/>
    </w:rPr>
  </w:style>
  <w:style w:type="character" w:customStyle="1" w:styleId="84">
    <w:name w:val="批注文字 Char1"/>
    <w:link w:val="17"/>
    <w:qFormat/>
    <w:uiPriority w:val="99"/>
    <w:rPr>
      <w:rFonts w:ascii="Arial" w:hAnsi="Arial" w:eastAsia="黑体" w:cs="Arial"/>
      <w:szCs w:val="20"/>
    </w:rPr>
  </w:style>
  <w:style w:type="character" w:customStyle="1" w:styleId="85">
    <w:name w:val="标题 1 Char"/>
    <w:basedOn w:val="57"/>
    <w:link w:val="3"/>
    <w:qFormat/>
    <w:uiPriority w:val="0"/>
    <w:rPr>
      <w:rFonts w:ascii="@仿宋_GB2312" w:hAnsi="@仿宋_GB2312" w:eastAsia="@仿宋_GB2312" w:cs="@仿宋_GB2312"/>
      <w:b/>
      <w:bCs/>
      <w:kern w:val="44"/>
      <w:sz w:val="44"/>
      <w:szCs w:val="44"/>
    </w:rPr>
  </w:style>
  <w:style w:type="paragraph" w:customStyle="1" w:styleId="8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Char"/>
    <w:basedOn w:val="57"/>
    <w:link w:val="5"/>
    <w:qFormat/>
    <w:uiPriority w:val="0"/>
    <w:rPr>
      <w:rFonts w:ascii="@仿宋_GB2312" w:hAnsi="@仿宋_GB2312" w:eastAsia="@仿宋_GB2312" w:cs="@仿宋_GB2312"/>
      <w:b/>
      <w:bCs/>
      <w:sz w:val="32"/>
      <w:szCs w:val="32"/>
    </w:rPr>
  </w:style>
  <w:style w:type="character" w:customStyle="1" w:styleId="88">
    <w:name w:val="fontstyle01"/>
    <w:basedOn w:val="57"/>
    <w:qFormat/>
    <w:uiPriority w:val="0"/>
    <w:rPr>
      <w:rFonts w:hint="eastAsia" w:ascii="宋体" w:hAnsi="宋体" w:eastAsia="宋体"/>
      <w:color w:val="000000"/>
      <w:sz w:val="22"/>
      <w:szCs w:val="22"/>
    </w:rPr>
  </w:style>
  <w:style w:type="character" w:customStyle="1" w:styleId="89">
    <w:name w:val="fontstyle21"/>
    <w:basedOn w:val="57"/>
    <w:qFormat/>
    <w:uiPriority w:val="0"/>
    <w:rPr>
      <w:rFonts w:hint="default" w:ascii="TimesNewRomanPSMT" w:hAnsi="TimesNewRomanPSMT"/>
      <w:color w:val="000000"/>
      <w:sz w:val="22"/>
      <w:szCs w:val="22"/>
    </w:rPr>
  </w:style>
  <w:style w:type="character" w:customStyle="1" w:styleId="9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7"/>
    <w:semiHidden/>
    <w:qFormat/>
    <w:uiPriority w:val="9"/>
    <w:rPr>
      <w:rFonts w:asciiTheme="majorHAnsi" w:hAnsiTheme="majorHAnsi" w:eastAsiaTheme="majorEastAsia" w:cstheme="majorBidi"/>
      <w:b/>
      <w:bCs/>
      <w:sz w:val="28"/>
      <w:szCs w:val="28"/>
    </w:rPr>
  </w:style>
  <w:style w:type="character" w:customStyle="1" w:styleId="92">
    <w:name w:val="标题 4 Char"/>
    <w:link w:val="6"/>
    <w:qFormat/>
    <w:uiPriority w:val="0"/>
    <w:rPr>
      <w:rFonts w:ascii="@仿宋_GB2312" w:hAnsi="@仿宋_GB2312" w:eastAsia="@仿宋_GB2312" w:cs="@仿宋_GB2312"/>
      <w:b/>
      <w:bCs/>
      <w:sz w:val="28"/>
      <w:szCs w:val="28"/>
    </w:rPr>
  </w:style>
  <w:style w:type="character" w:customStyle="1" w:styleId="93">
    <w:name w:val="正文文本 Char"/>
    <w:basedOn w:val="57"/>
    <w:link w:val="20"/>
    <w:qFormat/>
    <w:uiPriority w:val="0"/>
    <w:rPr>
      <w:rFonts w:ascii="@微软简标宋" w:hAnsi="@微软简标宋" w:eastAsia="@微软简标宋" w:cs="@微软简标宋"/>
      <w:szCs w:val="24"/>
      <w:lang w:val="zh-CN" w:eastAsia="zh-CN"/>
    </w:rPr>
  </w:style>
  <w:style w:type="table" w:customStyle="1" w:styleId="94">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批注主题 Char"/>
    <w:basedOn w:val="84"/>
    <w:link w:val="52"/>
    <w:qFormat/>
    <w:uiPriority w:val="0"/>
    <w:rPr>
      <w:rFonts w:ascii="Arial" w:hAnsi="Arial" w:eastAsia="黑体" w:cs="Arial"/>
      <w:b/>
      <w:bCs/>
      <w:szCs w:val="20"/>
    </w:rPr>
  </w:style>
  <w:style w:type="paragraph" w:customStyle="1" w:styleId="96">
    <w:name w:val="普通 (Web)"/>
    <w:basedOn w:val="1"/>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
    <w:name w:val="标题 2 Char"/>
    <w:basedOn w:val="57"/>
    <w:link w:val="4"/>
    <w:qFormat/>
    <w:uiPriority w:val="0"/>
    <w:rPr>
      <w:rFonts w:ascii="Cambria" w:hAnsi="Cambria" w:cs="Times New Roman"/>
      <w:b/>
      <w:bCs/>
      <w:kern w:val="2"/>
      <w:sz w:val="32"/>
      <w:szCs w:val="32"/>
      <w:lang w:val="zh-CN" w:eastAsia="zh-CN"/>
    </w:rPr>
  </w:style>
  <w:style w:type="character" w:customStyle="1" w:styleId="99">
    <w:name w:val="标题 5 Char"/>
    <w:basedOn w:val="57"/>
    <w:link w:val="7"/>
    <w:qFormat/>
    <w:uiPriority w:val="0"/>
    <w:rPr>
      <w:rFonts w:ascii="Calibri" w:hAnsi="Calibri" w:cs="Times New Roman"/>
      <w:b/>
      <w:bCs/>
      <w:kern w:val="2"/>
      <w:sz w:val="28"/>
      <w:szCs w:val="28"/>
      <w:lang w:val="zh-CN" w:eastAsia="zh-CN"/>
    </w:rPr>
  </w:style>
  <w:style w:type="character" w:customStyle="1" w:styleId="100">
    <w:name w:val="标题 6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7 Char"/>
    <w:basedOn w:val="57"/>
    <w:link w:val="9"/>
    <w:qFormat/>
    <w:uiPriority w:val="0"/>
    <w:rPr>
      <w:rFonts w:ascii="Times New Roman" w:hAnsi="Times New Roman" w:cs="Times New Roman"/>
      <w:b/>
      <w:bCs/>
      <w:kern w:val="2"/>
      <w:sz w:val="30"/>
      <w:szCs w:val="18"/>
      <w:lang w:val="zh-CN" w:eastAsia="zh-CN"/>
    </w:rPr>
  </w:style>
  <w:style w:type="character" w:customStyle="1" w:styleId="102">
    <w:name w:val="标题 8 Char"/>
    <w:basedOn w:val="57"/>
    <w:link w:val="10"/>
    <w:qFormat/>
    <w:uiPriority w:val="0"/>
    <w:rPr>
      <w:rFonts w:eastAsia="黑体" w:cs="Times New Roman"/>
      <w:kern w:val="2"/>
      <w:sz w:val="32"/>
      <w:szCs w:val="32"/>
      <w:lang w:val="zh-CN" w:eastAsia="zh-CN"/>
    </w:rPr>
  </w:style>
  <w:style w:type="character" w:customStyle="1" w:styleId="103">
    <w:name w:val="标题 9 Char"/>
    <w:basedOn w:val="57"/>
    <w:link w:val="11"/>
    <w:qFormat/>
    <w:uiPriority w:val="0"/>
    <w:rPr>
      <w:rFonts w:ascii="Cambria" w:hAnsi="Cambria" w:cs="Times New Roman"/>
      <w:kern w:val="2"/>
      <w:sz w:val="21"/>
      <w:szCs w:val="21"/>
      <w:lang w:val="zh-CN" w:eastAsia="zh-CN"/>
    </w:rPr>
  </w:style>
  <w:style w:type="character" w:customStyle="1" w:styleId="104">
    <w:name w:val="纯文本 Char2"/>
    <w:qFormat/>
    <w:uiPriority w:val="0"/>
    <w:rPr>
      <w:rFonts w:ascii="宋体" w:hAnsi="Courier New"/>
    </w:rPr>
  </w:style>
  <w:style w:type="table" w:customStyle="1" w:styleId="105">
    <w:name w:val="网格型3"/>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表 1 浅色11"/>
    <w:basedOn w:val="55"/>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Char"/>
    <w:basedOn w:val="57"/>
    <w:link w:val="21"/>
    <w:qFormat/>
    <w:uiPriority w:val="0"/>
    <w:rPr>
      <w:rFonts w:asciiTheme="minorHAnsi" w:hAnsiTheme="minorHAnsi"/>
      <w:kern w:val="2"/>
      <w:sz w:val="21"/>
      <w:szCs w:val="22"/>
    </w:rPr>
  </w:style>
  <w:style w:type="paragraph" w:customStyle="1" w:styleId="109">
    <w:name w:val="Char"/>
    <w:basedOn w:val="1"/>
    <w:qFormat/>
    <w:uiPriority w:val="0"/>
    <w:rPr>
      <w:rFonts w:ascii="Tahoma" w:hAnsi="Tahoma" w:cs="Times New Roman"/>
      <w:sz w:val="24"/>
    </w:rPr>
  </w:style>
  <w:style w:type="character" w:customStyle="1" w:styleId="110">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5"/>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qFormat/>
    <w:uiPriority w:val="0"/>
    <w:rPr>
      <w:rFonts w:ascii="Times New Roman" w:hAnsi="Times New Roman" w:eastAsia="Times New Roman" w:cs="Times New Roman"/>
      <w:sz w:val="24"/>
      <w:szCs w:val="24"/>
      <w:lang w:val="en-US" w:eastAsia="zh-CN" w:bidi="ar-SA"/>
    </w:rPr>
  </w:style>
  <w:style w:type="character" w:customStyle="1" w:styleId="114">
    <w:name w:val="称呼 Char"/>
    <w:basedOn w:val="57"/>
    <w:link w:val="18"/>
    <w:qFormat/>
    <w:uiPriority w:val="0"/>
    <w:rPr>
      <w:rFonts w:ascii="仿宋_GB2312" w:hAnsi="Times New Roman" w:eastAsia="仿宋_GB2312" w:cs="Times New Roman"/>
      <w:kern w:val="2"/>
      <w:sz w:val="28"/>
      <w:lang w:val="zh-CN" w:eastAsia="zh-CN"/>
    </w:rPr>
  </w:style>
  <w:style w:type="paragraph" w:customStyle="1" w:styleId="1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qFormat/>
    <w:uiPriority w:val="0"/>
    <w:rPr>
      <w:rFonts w:ascii="Times New Roman" w:hAnsi="Times New Roman" w:eastAsia="Times New Roman" w:cs="Times New Roman"/>
      <w:sz w:val="24"/>
      <w:szCs w:val="24"/>
      <w:lang w:val="en-US" w:eastAsia="zh-CN" w:bidi="ar-SA"/>
    </w:rPr>
  </w:style>
  <w:style w:type="paragraph" w:customStyle="1" w:styleId="121">
    <w:name w:val="Normal_3"/>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qFormat/>
    <w:uiPriority w:val="0"/>
    <w:rPr>
      <w:rFonts w:ascii="Tahoma" w:hAnsi="Tahoma" w:cs="Times New Roman"/>
      <w:kern w:val="2"/>
      <w:sz w:val="24"/>
    </w:rPr>
  </w:style>
  <w:style w:type="paragraph" w:customStyle="1" w:styleId="123">
    <w:name w:val="Blockquote"/>
    <w:basedOn w:val="1"/>
    <w:link w:val="124"/>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qFormat/>
    <w:uiPriority w:val="0"/>
    <w:rPr>
      <w:rFonts w:ascii="Times New Roman" w:hAnsi="Times New Roman" w:cs="Times New Roman"/>
      <w:sz w:val="24"/>
      <w:lang w:val="zh-CN" w:eastAsia="zh-CN"/>
    </w:rPr>
  </w:style>
  <w:style w:type="paragraph" w:customStyle="1" w:styleId="125">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6"/>
    <w:qFormat/>
    <w:uiPriority w:val="0"/>
    <w:pPr>
      <w:spacing w:line="360" w:lineRule="auto"/>
      <w:ind w:firstLine="420" w:firstLineChars="200"/>
    </w:pPr>
    <w:rPr>
      <w:rFonts w:cs="Times New Roman"/>
      <w:kern w:val="2"/>
      <w:sz w:val="21"/>
      <w:szCs w:val="21"/>
    </w:rPr>
  </w:style>
  <w:style w:type="character" w:customStyle="1" w:styleId="127">
    <w:name w:val="tdrownotice1"/>
    <w:qFormat/>
    <w:uiPriority w:val="0"/>
    <w:rPr>
      <w:sz w:val="22"/>
    </w:rPr>
  </w:style>
  <w:style w:type="paragraph" w:customStyle="1" w:styleId="128">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Char"/>
    <w:basedOn w:val="57"/>
    <w:link w:val="44"/>
    <w:qFormat/>
    <w:uiPriority w:val="0"/>
    <w:rPr>
      <w:rFonts w:hAnsi="MS Sans Serif" w:cs="Times New Roman"/>
      <w:bCs/>
      <w:color w:val="000000"/>
      <w:sz w:val="24"/>
      <w:lang w:val="zh-CN" w:eastAsia="zh-CN"/>
    </w:rPr>
  </w:style>
  <w:style w:type="character" w:customStyle="1" w:styleId="130">
    <w:name w:val="正文文本缩进 2 Char"/>
    <w:basedOn w:val="57"/>
    <w:link w:val="2"/>
    <w:qFormat/>
    <w:uiPriority w:val="0"/>
    <w:rPr>
      <w:rFonts w:hAnsi="MS Sans Serif" w:cs="Times New Roman"/>
      <w:bCs/>
      <w:spacing w:val="12"/>
      <w:sz w:val="24"/>
      <w:lang w:val="zh-CN" w:eastAsia="zh-CN"/>
    </w:rPr>
  </w:style>
  <w:style w:type="paragraph" w:customStyle="1" w:styleId="131">
    <w:name w:val="目录"/>
    <w:basedOn w:val="1"/>
    <w:qFormat/>
    <w:uiPriority w:val="0"/>
    <w:pPr>
      <w:widowControl/>
      <w:jc w:val="center"/>
    </w:pPr>
    <w:rPr>
      <w:rFonts w:hAnsi="Calibri" w:cs="Times New Roman"/>
      <w:b/>
      <w:sz w:val="36"/>
    </w:rPr>
  </w:style>
  <w:style w:type="paragraph" w:customStyle="1" w:styleId="132">
    <w:name w:val="目录文字"/>
    <w:basedOn w:val="1"/>
    <w:qFormat/>
    <w:uiPriority w:val="0"/>
    <w:pPr>
      <w:widowControl/>
      <w:spacing w:line="480" w:lineRule="auto"/>
      <w:jc w:val="left"/>
    </w:pPr>
    <w:rPr>
      <w:rFonts w:cs="Times New Roman"/>
      <w:sz w:val="24"/>
    </w:rPr>
  </w:style>
  <w:style w:type="character" w:customStyle="1" w:styleId="133">
    <w:name w:val="正文文本 2 Char"/>
    <w:basedOn w:val="57"/>
    <w:link w:val="47"/>
    <w:qFormat/>
    <w:uiPriority w:val="0"/>
    <w:rPr>
      <w:rFonts w:hAnsi="Times New Roman" w:cs="Times New Roman"/>
      <w:spacing w:val="-20"/>
      <w:kern w:val="2"/>
      <w:sz w:val="28"/>
      <w:lang w:val="zh-CN" w:eastAsia="zh-CN"/>
    </w:rPr>
  </w:style>
  <w:style w:type="character" w:customStyle="1" w:styleId="134">
    <w:name w:val="正文文本 3 Char"/>
    <w:basedOn w:val="57"/>
    <w:link w:val="19"/>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8">
    <w:name w:val="段落1 Char"/>
    <w:basedOn w:val="29"/>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qFormat/>
    <w:uiPriority w:val="0"/>
    <w:rPr>
      <w:rFonts w:ascii="Calibri" w:hAnsi="Calibri" w:cs="Times New Roman"/>
      <w:kern w:val="2"/>
      <w:sz w:val="21"/>
      <w:szCs w:val="22"/>
    </w:rPr>
  </w:style>
  <w:style w:type="paragraph" w:customStyle="1" w:styleId="141">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3">
    <w:name w:val="t_tag"/>
    <w:basedOn w:val="57"/>
    <w:qFormat/>
    <w:uiPriority w:val="0"/>
  </w:style>
  <w:style w:type="table" w:customStyle="1" w:styleId="144">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5">
    <w:name w:val="批注框文本 Char1"/>
    <w:basedOn w:val="57"/>
    <w:qFormat/>
    <w:uiPriority w:val="0"/>
    <w:rPr>
      <w:rFonts w:ascii="Times New Roman" w:hAnsi="Times New Roman" w:eastAsia="宋体" w:cs="Times New Roman"/>
      <w:sz w:val="18"/>
      <w:szCs w:val="18"/>
    </w:rPr>
  </w:style>
  <w:style w:type="character" w:customStyle="1" w:styleId="146">
    <w:name w:val="批注主题 Char1"/>
    <w:basedOn w:val="84"/>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qFormat/>
    <w:uiPriority w:val="0"/>
    <w:rPr>
      <w:rFonts w:ascii="Calibri" w:hAnsi="Calibri" w:cs="Times New Roman"/>
      <w:kern w:val="2"/>
      <w:sz w:val="21"/>
      <w:szCs w:val="22"/>
    </w:rPr>
  </w:style>
  <w:style w:type="character" w:customStyle="1" w:styleId="148">
    <w:name w:val="文档结构图 Char"/>
    <w:basedOn w:val="57"/>
    <w:link w:val="16"/>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qFormat/>
    <w:uiPriority w:val="0"/>
    <w:rPr>
      <w:rFonts w:ascii="Calibri" w:hAnsi="Calibri" w:eastAsia="宋体"/>
      <w:b/>
      <w:kern w:val="44"/>
      <w:sz w:val="44"/>
      <w:szCs w:val="44"/>
    </w:rPr>
  </w:style>
  <w:style w:type="character" w:customStyle="1" w:styleId="150">
    <w:name w:val="标题 3 Char1"/>
    <w:semiHidden/>
    <w:qFormat/>
    <w:uiPriority w:val="0"/>
    <w:rPr>
      <w:rFonts w:ascii="Calibri" w:hAnsi="Calibri" w:eastAsia="宋体"/>
      <w:b/>
      <w:kern w:val="2"/>
      <w:sz w:val="32"/>
    </w:rPr>
  </w:style>
  <w:style w:type="character" w:customStyle="1" w:styleId="151">
    <w:name w:val="标题 4 Char1"/>
    <w:semiHidden/>
    <w:qFormat/>
    <w:uiPriority w:val="0"/>
    <w:rPr>
      <w:rFonts w:ascii="Cambria" w:hAnsi="Cambria" w:eastAsia="宋体"/>
      <w:b/>
      <w:kern w:val="2"/>
      <w:sz w:val="28"/>
      <w:szCs w:val="28"/>
    </w:rPr>
  </w:style>
  <w:style w:type="character" w:customStyle="1" w:styleId="152">
    <w:name w:val="标题 5 Char1"/>
    <w:semiHidden/>
    <w:qFormat/>
    <w:uiPriority w:val="0"/>
    <w:rPr>
      <w:rFonts w:ascii="Calibri" w:hAnsi="Calibri" w:eastAsia="宋体"/>
      <w:b/>
      <w:kern w:val="2"/>
      <w:sz w:val="28"/>
      <w:szCs w:val="28"/>
    </w:rPr>
  </w:style>
  <w:style w:type="character" w:customStyle="1" w:styleId="153">
    <w:name w:val="标题 6 Char1"/>
    <w:semiHidden/>
    <w:qFormat/>
    <w:uiPriority w:val="0"/>
    <w:rPr>
      <w:rFonts w:ascii="Cambria" w:hAnsi="Cambria" w:eastAsia="宋体"/>
      <w:b/>
      <w:kern w:val="2"/>
      <w:sz w:val="24"/>
      <w:szCs w:val="24"/>
    </w:rPr>
  </w:style>
  <w:style w:type="character" w:customStyle="1" w:styleId="154">
    <w:name w:val="标题 7 Char1"/>
    <w:semiHidden/>
    <w:qFormat/>
    <w:uiPriority w:val="0"/>
    <w:rPr>
      <w:rFonts w:ascii="Calibri" w:hAnsi="Calibri" w:eastAsia="宋体"/>
      <w:b/>
      <w:kern w:val="2"/>
      <w:sz w:val="24"/>
      <w:szCs w:val="24"/>
    </w:rPr>
  </w:style>
  <w:style w:type="character" w:customStyle="1" w:styleId="155">
    <w:name w:val="标题 8 Char1"/>
    <w:semiHidden/>
    <w:qFormat/>
    <w:uiPriority w:val="0"/>
    <w:rPr>
      <w:rFonts w:ascii="Cambria" w:hAnsi="Cambria" w:eastAsia="宋体"/>
      <w:kern w:val="2"/>
      <w:sz w:val="24"/>
      <w:szCs w:val="24"/>
    </w:rPr>
  </w:style>
  <w:style w:type="character" w:customStyle="1" w:styleId="156">
    <w:name w:val="标题 9 Char1"/>
    <w:semiHidden/>
    <w:qFormat/>
    <w:uiPriority w:val="0"/>
    <w:rPr>
      <w:rFonts w:ascii="Cambria" w:hAnsi="Cambria" w:eastAsia="宋体"/>
      <w:kern w:val="2"/>
      <w:sz w:val="21"/>
      <w:szCs w:val="21"/>
    </w:rPr>
  </w:style>
  <w:style w:type="paragraph" w:customStyle="1" w:styleId="157">
    <w:name w:val="MsoNormal"/>
    <w:basedOn w:val="158"/>
    <w:qFormat/>
    <w:uiPriority w:val="0"/>
    <w:rPr>
      <w:rFonts w:ascii="Calibri" w:hAnsi="Calibri" w:eastAsia="Calibri"/>
      <w:sz w:val="21"/>
    </w:rPr>
  </w:style>
  <w:style w:type="paragraph" w:customStyle="1" w:styleId="158">
    <w:name w:val="Normal_0"/>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qFormat/>
    <w:uiPriority w:val="99"/>
    <w:rPr>
      <w:rFonts w:ascii="宋体" w:hAnsi="Courier New"/>
      <w:szCs w:val="21"/>
    </w:rPr>
  </w:style>
  <w:style w:type="character" w:customStyle="1" w:styleId="164">
    <w:name w:val="Texte Char1"/>
    <w:link w:val="163"/>
    <w:qFormat/>
    <w:uiPriority w:val="99"/>
    <w:rPr>
      <w:rFonts w:hAnsi="Courier New" w:cs="Times New Roman"/>
      <w:kern w:val="2"/>
      <w:sz w:val="21"/>
      <w:szCs w:val="21"/>
    </w:rPr>
  </w:style>
  <w:style w:type="paragraph" w:customStyle="1" w:styleId="165">
    <w:name w:val="纯文本_1"/>
    <w:basedOn w:val="166"/>
    <w:link w:val="167"/>
    <w:qFormat/>
    <w:uiPriority w:val="0"/>
    <w:rPr>
      <w:rFonts w:ascii="宋体" w:hAnsi="Courier New"/>
      <w:szCs w:val="21"/>
      <w:lang w:val="zh-CN"/>
    </w:rPr>
  </w:style>
  <w:style w:type="paragraph" w:customStyle="1" w:styleId="16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qFormat/>
    <w:uiPriority w:val="0"/>
    <w:rPr>
      <w:rFonts w:hAnsi="Courier New" w:cs="Times New Roman"/>
      <w:kern w:val="2"/>
      <w:sz w:val="21"/>
      <w:szCs w:val="21"/>
      <w:lang w:val="zh-CN" w:eastAsia="zh-CN"/>
    </w:rPr>
  </w:style>
  <w:style w:type="paragraph" w:customStyle="1" w:styleId="168">
    <w:name w:val="标题 3_0"/>
    <w:basedOn w:val="169"/>
    <w:next w:val="170"/>
    <w:link w:val="181"/>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unhideWhenUsed/>
    <w:qFormat/>
    <w:uiPriority w:val="0"/>
    <w:pPr>
      <w:ind w:firstLine="420" w:firstLineChars="200"/>
    </w:pPr>
    <w:rPr>
      <w:rFonts w:ascii="Calibri" w:hAnsi="Calibri"/>
      <w:bCs/>
      <w:szCs w:val="32"/>
    </w:rPr>
  </w:style>
  <w:style w:type="paragraph" w:customStyle="1" w:styleId="171">
    <w:name w:val="标题 1_0"/>
    <w:basedOn w:val="169"/>
    <w:next w:val="169"/>
    <w:link w:val="172"/>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qFormat/>
    <w:uiPriority w:val="0"/>
    <w:rPr>
      <w:rFonts w:ascii="黑体" w:hAnsi="Times New Roman" w:eastAsia="黑体" w:cs="Times New Roman"/>
      <w:sz w:val="52"/>
      <w:lang w:val="zh-CN" w:eastAsia="zh-CN"/>
    </w:rPr>
  </w:style>
  <w:style w:type="paragraph" w:customStyle="1" w:styleId="173">
    <w:name w:val="标题 6_0"/>
    <w:basedOn w:val="169"/>
    <w:next w:val="169"/>
    <w:link w:val="17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qFormat/>
    <w:uiPriority w:val="0"/>
    <w:rPr>
      <w:rFonts w:ascii="Arial" w:hAnsi="Arial" w:eastAsia="黑体" w:cs="Times New Roman"/>
      <w:sz w:val="21"/>
      <w:szCs w:val="21"/>
      <w:lang w:val="zh-CN" w:eastAsia="zh-CN"/>
    </w:rPr>
  </w:style>
  <w:style w:type="character" w:customStyle="1" w:styleId="181">
    <w:name w:val="标题 3 Char_0"/>
    <w:link w:val="168"/>
    <w:qFormat/>
    <w:uiPriority w:val="0"/>
    <w:rPr>
      <w:rFonts w:ascii="Times New Roman" w:hAnsi="Times New Roman" w:cs="Times New Roman"/>
      <w:b/>
      <w:sz w:val="32"/>
      <w:lang w:val="zh-CN" w:eastAsia="zh-CN"/>
    </w:rPr>
  </w:style>
  <w:style w:type="paragraph" w:customStyle="1" w:styleId="182">
    <w:name w:val="Blockquote_0"/>
    <w:basedOn w:val="169"/>
    <w:link w:val="183"/>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qFormat/>
    <w:locked/>
    <w:uiPriority w:val="0"/>
    <w:rPr>
      <w:rFonts w:ascii="Times New Roman" w:hAnsi="Times New Roman" w:cs="Times New Roman"/>
      <w:sz w:val="24"/>
      <w:lang w:val="zh-CN" w:eastAsia="zh-CN"/>
    </w:rPr>
  </w:style>
  <w:style w:type="paragraph" w:customStyle="1" w:styleId="184">
    <w:name w:val="标题 4_0"/>
    <w:basedOn w:val="169"/>
    <w:next w:val="169"/>
    <w:link w:val="185"/>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qFormat/>
    <w:uiPriority w:val="0"/>
    <w:rPr>
      <w:rFonts w:ascii="Arial" w:hAnsi="Arial" w:eastAsia="黑体" w:cs="Times New Roman"/>
      <w:sz w:val="28"/>
      <w:lang w:val="zh-CN" w:eastAsia="zh-CN"/>
    </w:rPr>
  </w:style>
  <w:style w:type="paragraph" w:customStyle="1" w:styleId="186">
    <w:name w:val="纯文本_2"/>
    <w:basedOn w:val="169"/>
    <w:link w:val="187"/>
    <w:qFormat/>
    <w:uiPriority w:val="0"/>
    <w:rPr>
      <w:rFonts w:ascii="宋体" w:hAnsi="Courier New"/>
      <w:szCs w:val="21"/>
      <w:lang w:val="zh-CN"/>
    </w:rPr>
  </w:style>
  <w:style w:type="character" w:customStyle="1" w:styleId="187">
    <w:name w:val="纯文本 Char1_1"/>
    <w:link w:val="186"/>
    <w:qFormat/>
    <w:uiPriority w:val="0"/>
    <w:rPr>
      <w:rFonts w:hAnsi="Courier New" w:cs="Times New Roman"/>
      <w:kern w:val="2"/>
      <w:sz w:val="21"/>
      <w:szCs w:val="21"/>
      <w:lang w:val="zh-CN" w:eastAsia="zh-CN"/>
    </w:rPr>
  </w:style>
  <w:style w:type="paragraph" w:customStyle="1" w:styleId="188">
    <w:name w:val="Blockquote_0_1"/>
    <w:basedOn w:val="189"/>
    <w:link w:val="190"/>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qFormat/>
    <w:locked/>
    <w:uiPriority w:val="0"/>
    <w:rPr>
      <w:rFonts w:ascii="Times New Roman" w:hAnsi="Times New Roman" w:cs="Times New Roman"/>
      <w:sz w:val="24"/>
      <w:lang w:val="zh-CN" w:eastAsia="zh-CN"/>
    </w:rPr>
  </w:style>
  <w:style w:type="paragraph" w:customStyle="1" w:styleId="191">
    <w:name w:val="正文文本_0"/>
    <w:basedOn w:val="169"/>
    <w:link w:val="192"/>
    <w:qFormat/>
    <w:uiPriority w:val="0"/>
    <w:pPr>
      <w:spacing w:after="120"/>
    </w:pPr>
    <w:rPr>
      <w:lang w:val="zh-CN"/>
    </w:rPr>
  </w:style>
  <w:style w:type="character" w:customStyle="1" w:styleId="192">
    <w:name w:val="正文文本 Char_0"/>
    <w:link w:val="191"/>
    <w:qFormat/>
    <w:uiPriority w:val="0"/>
    <w:rPr>
      <w:rFonts w:ascii="Times New Roman" w:hAnsi="Times New Roman" w:cs="Times New Roman"/>
      <w:kern w:val="2"/>
      <w:sz w:val="21"/>
      <w:szCs w:val="24"/>
      <w:lang w:val="zh-CN" w:eastAsia="zh-CN"/>
    </w:rPr>
  </w:style>
  <w:style w:type="paragraph" w:customStyle="1" w:styleId="193">
    <w:name w:val="普通(网站)_0"/>
    <w:basedOn w:val="169"/>
    <w:qFormat/>
    <w:uiPriority w:val="0"/>
    <w:pPr>
      <w:widowControl/>
      <w:spacing w:before="100" w:beforeAutospacing="1" w:after="100" w:afterAutospacing="1"/>
      <w:jc w:val="left"/>
    </w:pPr>
    <w:rPr>
      <w:rFonts w:ascii="宋体" w:hAnsi="宋体"/>
      <w:kern w:val="0"/>
      <w:sz w:val="24"/>
    </w:rPr>
  </w:style>
  <w:style w:type="paragraph" w:customStyle="1" w:styleId="1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qFormat/>
    <w:uiPriority w:val="0"/>
    <w:rPr>
      <w:rFonts w:ascii="Times New Roman" w:hAnsi="Times New Roman" w:cs="Times New Roman"/>
      <w:sz w:val="18"/>
      <w:lang w:val="zh-CN" w:eastAsia="zh-CN"/>
    </w:rPr>
  </w:style>
  <w:style w:type="paragraph" w:customStyle="1" w:styleId="198">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qFormat/>
    <w:uiPriority w:val="0"/>
    <w:rPr>
      <w:rFonts w:ascii="Tahoma" w:hAnsi="Tahoma" w:cs="Times New Roman"/>
      <w:kern w:val="2"/>
      <w:sz w:val="24"/>
    </w:rPr>
  </w:style>
  <w:style w:type="paragraph" w:customStyle="1" w:styleId="221">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Char"/>
    <w:basedOn w:val="57"/>
    <w:link w:val="40"/>
    <w:qFormat/>
    <w:uiPriority w:val="0"/>
    <w:rPr>
      <w:rFonts w:ascii="Arial" w:hAnsi="Arial" w:cs="Times New Roman"/>
      <w:b/>
      <w:bCs/>
      <w:kern w:val="28"/>
      <w:sz w:val="32"/>
      <w:szCs w:val="32"/>
      <w:lang w:val="zh-CN" w:eastAsia="zh-CN"/>
    </w:rPr>
  </w:style>
  <w:style w:type="character" w:customStyle="1" w:styleId="223">
    <w:name w:val="Char Char"/>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qFormat/>
    <w:uiPriority w:val="0"/>
    <w:rPr>
      <w:rFonts w:ascii="Arial" w:hAnsi="Arial"/>
      <w:b/>
      <w:bCs/>
      <w:sz w:val="24"/>
      <w:szCs w:val="32"/>
    </w:rPr>
  </w:style>
  <w:style w:type="paragraph" w:customStyle="1" w:styleId="225">
    <w:name w:val="标题4"/>
    <w:basedOn w:val="4"/>
    <w:next w:val="26"/>
    <w:link w:val="224"/>
    <w:qFormat/>
    <w:uiPriority w:val="0"/>
    <w:pPr>
      <w:spacing w:before="0" w:after="0" w:line="413" w:lineRule="auto"/>
    </w:pPr>
    <w:rPr>
      <w:rFonts w:ascii="Arial" w:hAnsi="Arial" w:cstheme="minorBidi"/>
      <w:kern w:val="0"/>
      <w:sz w:val="24"/>
      <w:lang w:val="en-US"/>
    </w:rPr>
  </w:style>
  <w:style w:type="character" w:customStyle="1" w:styleId="226">
    <w:name w:val="明显引用 Char"/>
    <w:link w:val="227"/>
    <w:qFormat/>
    <w:uiPriority w:val="0"/>
    <w:rPr>
      <w:b/>
      <w:bCs/>
      <w:i/>
      <w:iCs/>
      <w:color w:val="4F81BD"/>
    </w:rPr>
  </w:style>
  <w:style w:type="paragraph" w:styleId="227">
    <w:name w:val="Intense Quote"/>
    <w:basedOn w:val="1"/>
    <w:next w:val="1"/>
    <w:link w:val="226"/>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7"/>
    <w:qFormat/>
    <w:uiPriority w:val="30"/>
    <w:rPr>
      <w:rFonts w:ascii="Times New Roman" w:hAnsi="Times New Roman" w:eastAsia="宋体" w:cs="Times New Roman"/>
      <w:i/>
      <w:iCs/>
      <w:color w:val="5B9BD5"/>
      <w:szCs w:val="24"/>
    </w:rPr>
  </w:style>
  <w:style w:type="character" w:customStyle="1" w:styleId="230">
    <w:name w:val="标题5 Char Char"/>
    <w:link w:val="231"/>
    <w:qFormat/>
    <w:uiPriority w:val="0"/>
    <w:rPr>
      <w:rFonts w:ascii="Arial" w:hAnsi="Arial"/>
      <w:b/>
      <w:bCs/>
      <w:sz w:val="24"/>
      <w:szCs w:val="32"/>
    </w:rPr>
  </w:style>
  <w:style w:type="paragraph" w:customStyle="1" w:styleId="231">
    <w:name w:val="标题5"/>
    <w:basedOn w:val="5"/>
    <w:link w:val="230"/>
    <w:qFormat/>
    <w:uiPriority w:val="0"/>
    <w:pPr>
      <w:spacing w:line="413" w:lineRule="auto"/>
      <w:jc w:val="left"/>
    </w:pPr>
    <w:rPr>
      <w:rFonts w:ascii="Arial" w:hAnsi="Arial"/>
      <w:sz w:val="24"/>
    </w:rPr>
  </w:style>
  <w:style w:type="character" w:customStyle="1" w:styleId="232">
    <w:name w:val="引用 Char"/>
    <w:link w:val="233"/>
    <w:qFormat/>
    <w:uiPriority w:val="0"/>
    <w:rPr>
      <w:i/>
      <w:iCs/>
      <w:color w:val="000000"/>
    </w:rPr>
  </w:style>
  <w:style w:type="paragraph" w:styleId="233">
    <w:name w:val="Quote"/>
    <w:basedOn w:val="1"/>
    <w:next w:val="1"/>
    <w:link w:val="232"/>
    <w:qFormat/>
    <w:uiPriority w:val="0"/>
    <w:rPr>
      <w:i/>
      <w:iCs/>
      <w:color w:val="000000"/>
    </w:rPr>
  </w:style>
  <w:style w:type="paragraph" w:customStyle="1" w:styleId="234">
    <w:name w:val="引用1"/>
    <w:basedOn w:val="1"/>
    <w:next w:val="1"/>
    <w:qFormat/>
    <w:uiPriority w:val="0"/>
    <w:rPr>
      <w:rFonts w:ascii="Calibri" w:hAnsi="Calibri" w:cs="Times New Roman"/>
      <w:i/>
      <w:iCs/>
      <w:color w:val="000000"/>
      <w:kern w:val="2"/>
      <w:sz w:val="21"/>
      <w:szCs w:val="22"/>
    </w:rPr>
  </w:style>
  <w:style w:type="character" w:customStyle="1" w:styleId="235">
    <w:name w:val="引用 Char1"/>
    <w:basedOn w:val="57"/>
    <w:qFormat/>
    <w:uiPriority w:val="29"/>
    <w:rPr>
      <w:rFonts w:ascii="Times New Roman" w:hAnsi="Times New Roman" w:eastAsia="宋体" w:cs="Times New Roman"/>
      <w:i/>
      <w:iCs/>
      <w:color w:val="404040"/>
      <w:szCs w:val="24"/>
    </w:rPr>
  </w:style>
  <w:style w:type="character" w:customStyle="1" w:styleId="236">
    <w:name w:val="ask-title2"/>
    <w:qFormat/>
    <w:uiPriority w:val="0"/>
  </w:style>
  <w:style w:type="character" w:customStyle="1" w:styleId="237">
    <w:name w:val="正文文本 Char1"/>
    <w:qFormat/>
    <w:uiPriority w:val="0"/>
    <w:rPr>
      <w:kern w:val="2"/>
      <w:sz w:val="21"/>
      <w:szCs w:val="22"/>
    </w:rPr>
  </w:style>
  <w:style w:type="character" w:customStyle="1" w:styleId="238">
    <w:name w:val="不明显强调1"/>
    <w:qFormat/>
    <w:uiPriority w:val="0"/>
    <w:rPr>
      <w:i/>
      <w:iCs/>
      <w:color w:val="808080"/>
    </w:rPr>
  </w:style>
  <w:style w:type="character" w:customStyle="1" w:styleId="239">
    <w:name w:val="明显参考1"/>
    <w:qFormat/>
    <w:uiPriority w:val="0"/>
    <w:rPr>
      <w:b/>
      <w:bCs/>
      <w:smallCaps/>
      <w:color w:val="C0504D"/>
      <w:spacing w:val="5"/>
      <w:u w:val="single"/>
    </w:rPr>
  </w:style>
  <w:style w:type="character" w:customStyle="1" w:styleId="240">
    <w:name w:val="书籍标题1"/>
    <w:qFormat/>
    <w:uiPriority w:val="0"/>
    <w:rPr>
      <w:b/>
      <w:bCs/>
      <w:smallCaps/>
      <w:spacing w:val="5"/>
    </w:rPr>
  </w:style>
  <w:style w:type="character" w:customStyle="1" w:styleId="241">
    <w:name w:val="日期 Char1"/>
    <w:qFormat/>
    <w:uiPriority w:val="0"/>
    <w:rPr>
      <w:kern w:val="2"/>
      <w:sz w:val="21"/>
      <w:szCs w:val="22"/>
    </w:rPr>
  </w:style>
  <w:style w:type="character" w:customStyle="1" w:styleId="242">
    <w:name w:val="明显强调1"/>
    <w:qFormat/>
    <w:uiPriority w:val="0"/>
    <w:rPr>
      <w:b/>
      <w:bCs/>
      <w:i/>
      <w:iCs/>
      <w:color w:val="4F81BD"/>
    </w:rPr>
  </w:style>
  <w:style w:type="character" w:customStyle="1" w:styleId="243">
    <w:name w:val="textcontents"/>
    <w:qFormat/>
    <w:uiPriority w:val="0"/>
    <w:rPr>
      <w:rFonts w:cs="Times New Roman"/>
    </w:rPr>
  </w:style>
  <w:style w:type="character" w:customStyle="1" w:styleId="244">
    <w:name w:val="不明显参考1"/>
    <w:qFormat/>
    <w:uiPriority w:val="0"/>
    <w:rPr>
      <w:smallCaps/>
      <w:color w:val="C0504D"/>
      <w:u w:val="single"/>
    </w:rPr>
  </w:style>
  <w:style w:type="character" w:customStyle="1" w:styleId="245">
    <w:name w:val="批注文字 Char Char"/>
    <w:qFormat/>
    <w:uiPriority w:val="0"/>
    <w:rPr>
      <w:rFonts w:ascii="宋体" w:hAnsi="Times New Roman" w:eastAsia="宋体" w:cs="Times New Roman"/>
      <w:sz w:val="28"/>
      <w:szCs w:val="20"/>
    </w:rPr>
  </w:style>
  <w:style w:type="character" w:customStyle="1" w:styleId="246">
    <w:name w:val="文档结构图 Char1"/>
    <w:qFormat/>
    <w:uiPriority w:val="0"/>
    <w:rPr>
      <w:rFonts w:ascii="宋体"/>
      <w:kern w:val="2"/>
      <w:sz w:val="18"/>
      <w:szCs w:val="18"/>
    </w:rPr>
  </w:style>
  <w:style w:type="paragraph" w:customStyle="1" w:styleId="247">
    <w:name w:val="修订1"/>
    <w:qFormat/>
    <w:uiPriority w:val="0"/>
    <w:rPr>
      <w:rFonts w:ascii="Times New Roman" w:hAnsi="Times New Roman" w:eastAsia="宋体" w:cs="Times New Roman"/>
      <w:kern w:val="2"/>
      <w:sz w:val="21"/>
      <w:szCs w:val="24"/>
      <w:lang w:val="en-US" w:eastAsia="zh-CN" w:bidi="ar-SA"/>
    </w:rPr>
  </w:style>
  <w:style w:type="character" w:customStyle="1" w:styleId="248">
    <w:name w:val="页脚 Char1"/>
    <w:semiHidden/>
    <w:qFormat/>
    <w:uiPriority w:val="99"/>
    <w:rPr>
      <w:kern w:val="2"/>
      <w:sz w:val="18"/>
      <w:szCs w:val="18"/>
    </w:rPr>
  </w:style>
  <w:style w:type="character" w:customStyle="1" w:styleId="249">
    <w:name w:val="批注框文本 Char2"/>
    <w:semiHidden/>
    <w:qFormat/>
    <w:uiPriority w:val="99"/>
    <w:rPr>
      <w:kern w:val="2"/>
      <w:sz w:val="18"/>
      <w:szCs w:val="18"/>
    </w:rPr>
  </w:style>
  <w:style w:type="character" w:customStyle="1" w:styleId="250">
    <w:name w:val="批注主题 Char2"/>
    <w:semiHidden/>
    <w:qFormat/>
    <w:uiPriority w:val="99"/>
    <w:rPr>
      <w:b/>
      <w:bCs/>
      <w:kern w:val="2"/>
      <w:sz w:val="21"/>
      <w:szCs w:val="22"/>
    </w:rPr>
  </w:style>
  <w:style w:type="character" w:customStyle="1" w:styleId="251">
    <w:name w:val="文档结构图 Char2"/>
    <w:semiHidden/>
    <w:qFormat/>
    <w:uiPriority w:val="99"/>
    <w:rPr>
      <w:rFonts w:ascii="宋体"/>
      <w:kern w:val="2"/>
      <w:sz w:val="18"/>
      <w:szCs w:val="18"/>
    </w:rPr>
  </w:style>
  <w:style w:type="character" w:customStyle="1" w:styleId="252">
    <w:name w:val="页眉 Char1"/>
    <w:semiHidden/>
    <w:qFormat/>
    <w:uiPriority w:val="99"/>
    <w:rPr>
      <w:kern w:val="2"/>
      <w:sz w:val="18"/>
      <w:szCs w:val="18"/>
    </w:rPr>
  </w:style>
  <w:style w:type="character" w:customStyle="1" w:styleId="253">
    <w:name w:val="日期 Char2"/>
    <w:semiHidden/>
    <w:qFormat/>
    <w:uiPriority w:val="99"/>
    <w:rPr>
      <w:kern w:val="2"/>
      <w:sz w:val="21"/>
      <w:szCs w:val="22"/>
    </w:rPr>
  </w:style>
  <w:style w:type="character" w:customStyle="1" w:styleId="254">
    <w:name w:val="正文文本 Char2"/>
    <w:semiHidden/>
    <w:qFormat/>
    <w:uiPriority w:val="99"/>
    <w:rPr>
      <w:kern w:val="2"/>
      <w:sz w:val="21"/>
      <w:szCs w:val="22"/>
    </w:rPr>
  </w:style>
  <w:style w:type="character" w:customStyle="1" w:styleId="255">
    <w:name w:val="标题 Char1"/>
    <w:qFormat/>
    <w:uiPriority w:val="10"/>
    <w:rPr>
      <w:rFonts w:ascii="Cambria" w:hAnsi="Cambria" w:cs="Times New Roman"/>
      <w:b/>
      <w:bCs/>
      <w:kern w:val="2"/>
      <w:sz w:val="32"/>
      <w:szCs w:val="32"/>
    </w:rPr>
  </w:style>
  <w:style w:type="character" w:customStyle="1" w:styleId="256">
    <w:name w:val="副标题 Char1"/>
    <w:qFormat/>
    <w:uiPriority w:val="11"/>
    <w:rPr>
      <w:rFonts w:ascii="Cambria" w:hAnsi="Cambria" w:cs="Times New Roman"/>
      <w:b/>
      <w:bCs/>
      <w:kern w:val="28"/>
      <w:sz w:val="32"/>
      <w:szCs w:val="32"/>
    </w:rPr>
  </w:style>
  <w:style w:type="paragraph" w:customStyle="1" w:styleId="257">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qFormat/>
    <w:uiPriority w:val="0"/>
    <w:rPr>
      <w:rFonts w:ascii="楷体" w:eastAsia="楷体"/>
      <w:b/>
      <w:color w:val="0000FF"/>
    </w:rPr>
  </w:style>
  <w:style w:type="paragraph" w:customStyle="1" w:styleId="261">
    <w:name w:val="正文2"/>
    <w:link w:val="260"/>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qFormat/>
    <w:locked/>
    <w:uiPriority w:val="99"/>
    <w:rPr>
      <w:rFonts w:ascii="MingLiU" w:eastAsia="MingLiU" w:cs="MingLiU"/>
      <w:spacing w:val="20"/>
      <w:sz w:val="22"/>
      <w:shd w:val="clear" w:color="auto" w:fill="FFFFFF"/>
    </w:rPr>
  </w:style>
  <w:style w:type="paragraph" w:customStyle="1" w:styleId="264">
    <w:name w:val="正文文本 (2)1"/>
    <w:basedOn w:val="1"/>
    <w:link w:val="263"/>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qFormat/>
    <w:uiPriority w:val="99"/>
    <w:rPr>
      <w:rFonts w:ascii="MingLiU" w:eastAsia="MingLiU" w:cs="MingLiU"/>
      <w:spacing w:val="0"/>
      <w:sz w:val="22"/>
      <w:shd w:val="clear" w:color="auto" w:fill="FFFFFF"/>
    </w:rPr>
  </w:style>
  <w:style w:type="character" w:customStyle="1" w:styleId="266">
    <w:name w:val="访问过的超链接1"/>
    <w:basedOn w:val="57"/>
    <w:semiHidden/>
    <w:unhideWhenUsed/>
    <w:qFormat/>
    <w:uiPriority w:val="99"/>
    <w:rPr>
      <w:color w:val="954F72"/>
      <w:u w:val="single"/>
    </w:rPr>
  </w:style>
  <w:style w:type="character" w:customStyle="1" w:styleId="267">
    <w:name w:val="明显引用 Char2"/>
    <w:basedOn w:val="57"/>
    <w:qFormat/>
    <w:uiPriority w:val="30"/>
    <w:rPr>
      <w:b/>
      <w:bCs/>
      <w:i/>
      <w:iCs/>
      <w:color w:val="4F81BD" w:themeColor="accent1"/>
      <w14:textFill>
        <w14:solidFill>
          <w14:schemeClr w14:val="accent1"/>
        </w14:solidFill>
      </w14:textFill>
    </w:rPr>
  </w:style>
  <w:style w:type="character" w:customStyle="1" w:styleId="268">
    <w:name w:val="引用 Char2"/>
    <w:basedOn w:val="57"/>
    <w:qFormat/>
    <w:uiPriority w:val="29"/>
    <w:rPr>
      <w:i/>
      <w:iCs/>
      <w:color w:val="000000" w:themeColor="text1"/>
      <w14:textFill>
        <w14:solidFill>
          <w14:schemeClr w14:val="tx1"/>
        </w14:solidFill>
      </w14:textFill>
    </w:rPr>
  </w:style>
  <w:style w:type="table" w:customStyle="1" w:styleId="269">
    <w:name w:val="网格型4"/>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Table Normal"/>
    <w:semiHidden/>
    <w:unhideWhenUsed/>
    <w:qFormat/>
    <w:uiPriority w:val="0"/>
    <w:tblPr>
      <w:tblCellMar>
        <w:top w:w="0" w:type="dxa"/>
        <w:left w:w="0" w:type="dxa"/>
        <w:bottom w:w="0" w:type="dxa"/>
        <w:right w:w="0" w:type="dxa"/>
      </w:tblCellMar>
    </w:tblPr>
  </w:style>
  <w:style w:type="paragraph" w:customStyle="1" w:styleId="271">
    <w:name w:val="Table Text"/>
    <w:basedOn w:val="1"/>
    <w:semiHidden/>
    <w:qFormat/>
    <w:uiPriority w:val="0"/>
    <w:rPr>
      <w:rFonts w:ascii="Arial" w:hAnsi="Arial" w:eastAsia="Arial" w:cs="Arial"/>
      <w:sz w:val="21"/>
      <w:szCs w:val="21"/>
      <w:lang w:val="en-US" w:eastAsia="en-US" w:bidi="ar-SA"/>
    </w:rPr>
  </w:style>
  <w:style w:type="character" w:customStyle="1" w:styleId="272">
    <w:name w:val="fontstyle11"/>
    <w:qFormat/>
    <w:uiPriority w:val="0"/>
    <w:rPr>
      <w:rFonts w:ascii="Calibri" w:hAnsi="Calibri" w:cs="Calibri"/>
      <w:color w:val="000000"/>
      <w:sz w:val="22"/>
      <w:szCs w:val="22"/>
    </w:rPr>
  </w:style>
  <w:style w:type="paragraph" w:customStyle="1" w:styleId="273">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274">
    <w:name w:val="Table Paragraph"/>
    <w:basedOn w:val="1"/>
    <w:qFormat/>
    <w:uiPriority w:val="1"/>
    <w:rPr>
      <w:rFonts w:ascii="宋体" w:hAnsi="宋体" w:cs="宋体"/>
      <w:lang w:val="zh-CN" w:bidi="zh-CN"/>
    </w:rPr>
  </w:style>
  <w:style w:type="character" w:customStyle="1" w:styleId="275">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98</Pages>
  <Words>50335</Words>
  <Characters>53073</Characters>
  <Lines>451</Lines>
  <Paragraphs>127</Paragraphs>
  <TotalTime>3</TotalTime>
  <ScaleCrop>false</ScaleCrop>
  <LinksUpToDate>false</LinksUpToDate>
  <CharactersWithSpaces>57979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韦韦</cp:lastModifiedBy>
  <cp:lastPrinted>2025-04-03T02:02:00Z</cp:lastPrinted>
  <dcterms:modified xsi:type="dcterms:W3CDTF">2025-04-09T06:03:36Z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456A8E0987814F0689620C34DD97C5FE_12</vt:lpwstr>
  </property>
  <property fmtid="{D5CDD505-2E9C-101B-9397-08002B2CF9AE}" pid="4" name="KSOTemplateDocerSaveRecord">
    <vt:lpwstr>eyJoZGlkIjoiZmQ5MGI3YTdkMjVkZTZjM2ZjZTQ5YjMxYTJjZjRlOWEiLCJ1c2VySWQiOiIzNjE4MjQ5In0=</vt:lpwstr>
  </property>
</Properties>
</file>