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468A6E">
      <w:pPr>
        <w:spacing w:line="360" w:lineRule="auto"/>
        <w:jc w:val="center"/>
        <w:rPr>
          <w:rFonts w:eastAsia="黑体"/>
          <w:b/>
          <w:bCs/>
          <w:color w:val="auto"/>
          <w:sz w:val="36"/>
          <w:szCs w:val="36"/>
          <w:highlight w:val="none"/>
        </w:rPr>
      </w:pPr>
      <w:bookmarkStart w:id="0" w:name="_Toc179632526"/>
      <w:bookmarkStart w:id="1" w:name="_Toc152042287"/>
      <w:bookmarkStart w:id="2" w:name="_Toc152045511"/>
      <w:bookmarkStart w:id="3" w:name="_Toc144974479"/>
    </w:p>
    <w:p w14:paraId="649AEB37">
      <w:pPr>
        <w:pStyle w:val="25"/>
        <w:spacing w:after="240" w:afterLines="100" w:line="400" w:lineRule="atLeast"/>
        <w:jc w:val="center"/>
        <w:rPr>
          <w:rFonts w:hint="eastAsia" w:ascii="Times New Roman" w:hAnsi="Times New Roman" w:eastAsia="黑体" w:cs="Times New Roman"/>
          <w:b/>
          <w:bCs/>
          <w:color w:val="auto"/>
          <w:sz w:val="44"/>
          <w:highlight w:val="none"/>
          <w:lang w:eastAsia="zh-CN"/>
        </w:rPr>
      </w:pPr>
      <w:bookmarkStart w:id="4" w:name="_Hlk73624760"/>
    </w:p>
    <w:bookmarkEnd w:id="4"/>
    <w:p w14:paraId="06706037">
      <w:pPr>
        <w:pStyle w:val="25"/>
        <w:spacing w:after="240" w:afterLines="100" w:line="400" w:lineRule="atLeast"/>
        <w:jc w:val="center"/>
        <w:rPr>
          <w:rFonts w:hint="eastAsia" w:ascii="Times New Roman" w:eastAsia="黑体" w:cs="Times New Roman"/>
          <w:b/>
          <w:bCs/>
          <w:color w:val="auto"/>
          <w:sz w:val="44"/>
          <w:highlight w:val="none"/>
          <w:lang w:eastAsia="zh-CN"/>
        </w:rPr>
      </w:pPr>
      <w:r>
        <w:rPr>
          <w:rFonts w:hint="eastAsia" w:ascii="Times New Roman" w:eastAsia="黑体" w:cs="Times New Roman"/>
          <w:b/>
          <w:bCs/>
          <w:color w:val="auto"/>
          <w:sz w:val="44"/>
          <w:highlight w:val="none"/>
          <w:u w:val="none"/>
          <w:lang w:val="en-US" w:eastAsia="zh-CN"/>
        </w:rPr>
        <w:t>盱眙至明光高速公路安徽段项目中心试验室</w:t>
      </w:r>
    </w:p>
    <w:p w14:paraId="751CDE96">
      <w:pPr>
        <w:pStyle w:val="25"/>
        <w:spacing w:after="240" w:afterLines="100" w:line="400" w:lineRule="atLeast"/>
        <w:jc w:val="center"/>
        <w:rPr>
          <w:rFonts w:ascii="Times New Roman" w:eastAsia="黑体"/>
          <w:b/>
          <w:bCs/>
          <w:color w:val="auto"/>
          <w:sz w:val="44"/>
          <w:highlight w:val="none"/>
        </w:rPr>
      </w:pPr>
    </w:p>
    <w:p w14:paraId="01CB1E42">
      <w:pPr>
        <w:spacing w:line="360" w:lineRule="auto"/>
        <w:jc w:val="center"/>
        <w:rPr>
          <w:rFonts w:eastAsia="黑体"/>
          <w:b/>
          <w:bCs/>
          <w:color w:val="auto"/>
          <w:sz w:val="32"/>
          <w:szCs w:val="30"/>
          <w:highlight w:val="none"/>
        </w:rPr>
      </w:pPr>
    </w:p>
    <w:p w14:paraId="5080F62F">
      <w:pPr>
        <w:pStyle w:val="74"/>
        <w:ind w:firstLine="400"/>
        <w:rPr>
          <w:color w:val="auto"/>
          <w:highlight w:val="none"/>
        </w:rPr>
      </w:pPr>
    </w:p>
    <w:p w14:paraId="7973B332">
      <w:pPr>
        <w:spacing w:line="360" w:lineRule="auto"/>
        <w:jc w:val="center"/>
        <w:rPr>
          <w:rFonts w:ascii="黑体" w:hAnsi="黑体" w:eastAsia="黑体"/>
          <w:b/>
          <w:bCs/>
          <w:color w:val="auto"/>
          <w:sz w:val="32"/>
          <w:szCs w:val="30"/>
          <w:highlight w:val="none"/>
        </w:rPr>
      </w:pPr>
      <w:r>
        <w:rPr>
          <w:rFonts w:ascii="黑体" w:hAnsi="黑体" w:eastAsia="黑体"/>
          <w:b/>
          <w:bCs/>
          <w:color w:val="auto"/>
          <w:sz w:val="32"/>
          <w:szCs w:val="30"/>
          <w:highlight w:val="none"/>
        </w:rPr>
        <w:t>招标项目编号：</w:t>
      </w:r>
      <w:r>
        <w:rPr>
          <w:rFonts w:ascii="黑体" w:hAnsi="黑体" w:eastAsia="黑体"/>
          <w:b/>
          <w:bCs/>
          <w:color w:val="auto"/>
          <w:sz w:val="32"/>
          <w:szCs w:val="30"/>
          <w:highlight w:val="none"/>
          <w:lang w:val="en-US" w:eastAsia="zh-CN"/>
        </w:rPr>
        <w:t>2025DFABZ00732</w:t>
      </w:r>
    </w:p>
    <w:p w14:paraId="6D658606">
      <w:pPr>
        <w:spacing w:line="360" w:lineRule="auto"/>
        <w:jc w:val="center"/>
        <w:rPr>
          <w:rFonts w:hint="eastAsia" w:eastAsia="黑体"/>
          <w:b/>
          <w:bCs/>
          <w:color w:val="auto"/>
          <w:sz w:val="28"/>
          <w:szCs w:val="28"/>
          <w:highlight w:val="none"/>
          <w:lang w:eastAsia="zh-CN"/>
        </w:rPr>
      </w:pPr>
      <w:r>
        <w:rPr>
          <w:rFonts w:hint="eastAsia" w:ascii="黑体" w:hAnsi="黑体" w:eastAsia="黑体"/>
          <w:b/>
          <w:bCs/>
          <w:color w:val="auto"/>
          <w:sz w:val="32"/>
          <w:szCs w:val="30"/>
          <w:highlight w:val="none"/>
          <w:lang w:val="en-US" w:eastAsia="zh-CN"/>
        </w:rPr>
        <w:t xml:space="preserve"> </w:t>
      </w:r>
    </w:p>
    <w:p w14:paraId="6CB6BE7B">
      <w:pPr>
        <w:spacing w:line="360" w:lineRule="auto"/>
        <w:rPr>
          <w:rFonts w:eastAsia="黑体"/>
          <w:b/>
          <w:bCs/>
          <w:color w:val="auto"/>
          <w:sz w:val="36"/>
          <w:szCs w:val="36"/>
          <w:highlight w:val="none"/>
        </w:rPr>
      </w:pPr>
    </w:p>
    <w:p w14:paraId="5655FB1B">
      <w:pPr>
        <w:spacing w:line="360" w:lineRule="auto"/>
        <w:rPr>
          <w:rFonts w:eastAsia="黑体"/>
          <w:b/>
          <w:bCs/>
          <w:color w:val="auto"/>
          <w:sz w:val="36"/>
          <w:szCs w:val="36"/>
          <w:highlight w:val="none"/>
        </w:rPr>
      </w:pPr>
    </w:p>
    <w:p w14:paraId="50CA542B">
      <w:pPr>
        <w:spacing w:line="360" w:lineRule="auto"/>
        <w:rPr>
          <w:rFonts w:eastAsia="黑体"/>
          <w:b/>
          <w:bCs/>
          <w:color w:val="auto"/>
          <w:sz w:val="36"/>
          <w:szCs w:val="36"/>
          <w:highlight w:val="none"/>
        </w:rPr>
      </w:pPr>
    </w:p>
    <w:p w14:paraId="2E69584E">
      <w:pPr>
        <w:spacing w:line="360" w:lineRule="auto"/>
        <w:jc w:val="center"/>
        <w:rPr>
          <w:rFonts w:eastAsia="黑体"/>
          <w:b/>
          <w:bCs/>
          <w:color w:val="auto"/>
          <w:sz w:val="84"/>
          <w:szCs w:val="84"/>
          <w:highlight w:val="none"/>
        </w:rPr>
      </w:pPr>
      <w:r>
        <w:rPr>
          <w:rFonts w:eastAsia="黑体"/>
          <w:b/>
          <w:bCs/>
          <w:color w:val="auto"/>
          <w:sz w:val="84"/>
          <w:szCs w:val="84"/>
          <w:highlight w:val="none"/>
        </w:rPr>
        <w:t>招  标  文  件</w:t>
      </w:r>
    </w:p>
    <w:p w14:paraId="625DC2C2">
      <w:pPr>
        <w:widowControl/>
        <w:jc w:val="center"/>
        <w:rPr>
          <w:rFonts w:eastAsia="黑体"/>
          <w:b/>
          <w:bCs/>
          <w:color w:val="auto"/>
          <w:sz w:val="32"/>
          <w:szCs w:val="30"/>
          <w:highlight w:val="none"/>
        </w:rPr>
      </w:pPr>
      <w:bookmarkStart w:id="5" w:name="OLE_LINK48"/>
    </w:p>
    <w:bookmarkEnd w:id="5"/>
    <w:p w14:paraId="6F7B9EBC">
      <w:pPr>
        <w:spacing w:line="360" w:lineRule="auto"/>
        <w:rPr>
          <w:rFonts w:eastAsia="黑体"/>
          <w:b/>
          <w:bCs/>
          <w:color w:val="auto"/>
          <w:sz w:val="36"/>
          <w:szCs w:val="36"/>
          <w:highlight w:val="none"/>
        </w:rPr>
      </w:pPr>
    </w:p>
    <w:p w14:paraId="596975EA">
      <w:pPr>
        <w:spacing w:line="360" w:lineRule="auto"/>
        <w:rPr>
          <w:rFonts w:eastAsia="黑体"/>
          <w:b/>
          <w:bCs/>
          <w:color w:val="auto"/>
          <w:sz w:val="36"/>
          <w:szCs w:val="36"/>
          <w:highlight w:val="none"/>
        </w:rPr>
      </w:pPr>
    </w:p>
    <w:p w14:paraId="64088DF1">
      <w:pPr>
        <w:ind w:firstLine="964" w:firstLineChars="300"/>
        <w:jc w:val="left"/>
        <w:rPr>
          <w:rFonts w:hint="default" w:eastAsia="黑体"/>
          <w:b/>
          <w:bCs/>
          <w:color w:val="auto"/>
          <w:sz w:val="32"/>
          <w:szCs w:val="32"/>
          <w:highlight w:val="none"/>
          <w:lang w:val="en-US"/>
        </w:rPr>
      </w:pPr>
      <w:r>
        <w:rPr>
          <w:rFonts w:eastAsia="黑体"/>
          <w:b/>
          <w:bCs/>
          <w:color w:val="auto"/>
          <w:sz w:val="32"/>
          <w:szCs w:val="32"/>
          <w:highlight w:val="none"/>
        </w:rPr>
        <w:t>招 标 人：</w:t>
      </w:r>
      <w:r>
        <w:rPr>
          <w:rFonts w:hint="eastAsia" w:eastAsia="黑体"/>
          <w:b/>
          <w:bCs/>
          <w:color w:val="auto"/>
          <w:sz w:val="32"/>
          <w:szCs w:val="32"/>
          <w:highlight w:val="none"/>
          <w:u w:val="single"/>
          <w:lang w:val="en-US" w:eastAsia="zh-CN"/>
        </w:rPr>
        <w:t xml:space="preserve">  安徽滁扬高速公路有限公司   </w:t>
      </w:r>
      <w:r>
        <w:rPr>
          <w:rFonts w:hint="eastAsia" w:eastAsia="黑体"/>
          <w:b/>
          <w:bCs/>
          <w:color w:val="auto"/>
          <w:sz w:val="32"/>
          <w:szCs w:val="32"/>
          <w:highlight w:val="none"/>
          <w:lang w:val="en-US" w:eastAsia="zh-CN"/>
        </w:rPr>
        <w:t>（盖单位章）</w:t>
      </w:r>
    </w:p>
    <w:p w14:paraId="582E66C3">
      <w:pPr>
        <w:jc w:val="left"/>
        <w:rPr>
          <w:rFonts w:eastAsia="黑体"/>
          <w:b/>
          <w:bCs/>
          <w:color w:val="auto"/>
          <w:sz w:val="22"/>
          <w:szCs w:val="32"/>
          <w:highlight w:val="none"/>
        </w:rPr>
      </w:pPr>
    </w:p>
    <w:p w14:paraId="229F946B">
      <w:pPr>
        <w:ind w:firstLine="964" w:firstLineChars="300"/>
        <w:jc w:val="left"/>
        <w:rPr>
          <w:rFonts w:eastAsia="黑体"/>
          <w:b/>
          <w:bCs/>
          <w:color w:val="auto"/>
          <w:sz w:val="32"/>
          <w:szCs w:val="32"/>
          <w:highlight w:val="none"/>
        </w:rPr>
      </w:pPr>
    </w:p>
    <w:p w14:paraId="6AAC8914">
      <w:pPr>
        <w:ind w:firstLine="964" w:firstLineChars="300"/>
        <w:jc w:val="left"/>
        <w:rPr>
          <w:rFonts w:eastAsia="黑体"/>
          <w:b/>
          <w:bCs/>
          <w:color w:val="auto"/>
          <w:sz w:val="32"/>
          <w:szCs w:val="32"/>
          <w:highlight w:val="none"/>
        </w:rPr>
      </w:pPr>
    </w:p>
    <w:p w14:paraId="356AE33A">
      <w:pPr>
        <w:ind w:firstLine="964" w:firstLineChars="300"/>
        <w:jc w:val="left"/>
        <w:rPr>
          <w:rFonts w:hint="default" w:eastAsia="黑体"/>
          <w:b/>
          <w:bCs/>
          <w:color w:val="auto"/>
          <w:sz w:val="32"/>
          <w:szCs w:val="32"/>
          <w:highlight w:val="none"/>
          <w:lang w:val="en-US"/>
        </w:rPr>
      </w:pPr>
      <w:r>
        <w:rPr>
          <w:rFonts w:eastAsia="黑体"/>
          <w:b/>
          <w:bCs/>
          <w:color w:val="auto"/>
          <w:sz w:val="32"/>
          <w:szCs w:val="32"/>
          <w:highlight w:val="none"/>
        </w:rPr>
        <w:t>招标代理：</w:t>
      </w:r>
      <w:r>
        <w:rPr>
          <w:rFonts w:hint="eastAsia" w:eastAsia="黑体"/>
          <w:b/>
          <w:bCs/>
          <w:color w:val="auto"/>
          <w:sz w:val="32"/>
          <w:szCs w:val="32"/>
          <w:highlight w:val="none"/>
          <w:u w:val="single"/>
          <w:lang w:val="en-US" w:eastAsia="zh-CN"/>
        </w:rPr>
        <w:t>滁州市城投工程咨询管理有限公</w:t>
      </w:r>
      <w:r>
        <w:rPr>
          <w:rFonts w:eastAsia="黑体"/>
          <w:b/>
          <w:bCs/>
          <w:color w:val="auto"/>
          <w:sz w:val="32"/>
          <w:szCs w:val="32"/>
          <w:highlight w:val="none"/>
          <w:u w:val="single"/>
        </w:rPr>
        <w:t>司</w:t>
      </w:r>
      <w:r>
        <w:rPr>
          <w:rFonts w:hint="eastAsia" w:eastAsia="黑体"/>
          <w:b/>
          <w:bCs/>
          <w:color w:val="auto"/>
          <w:sz w:val="32"/>
          <w:szCs w:val="32"/>
          <w:highlight w:val="none"/>
          <w:lang w:val="en-US" w:eastAsia="zh-CN"/>
        </w:rPr>
        <w:t>（盖单位章）</w:t>
      </w:r>
    </w:p>
    <w:p w14:paraId="2803C40C">
      <w:pPr>
        <w:ind w:firstLine="964" w:firstLineChars="300"/>
        <w:jc w:val="left"/>
        <w:rPr>
          <w:rFonts w:eastAsia="黑体"/>
          <w:b/>
          <w:bCs/>
          <w:color w:val="auto"/>
          <w:sz w:val="32"/>
          <w:szCs w:val="32"/>
          <w:highlight w:val="none"/>
        </w:rPr>
      </w:pPr>
    </w:p>
    <w:p w14:paraId="380BFAE1">
      <w:pPr>
        <w:jc w:val="left"/>
        <w:rPr>
          <w:rFonts w:eastAsia="黑体"/>
          <w:b/>
          <w:bCs/>
          <w:color w:val="auto"/>
          <w:sz w:val="24"/>
          <w:szCs w:val="32"/>
          <w:highlight w:val="none"/>
        </w:rPr>
      </w:pPr>
    </w:p>
    <w:p w14:paraId="1049867A">
      <w:pPr>
        <w:jc w:val="left"/>
        <w:rPr>
          <w:rFonts w:eastAsia="黑体"/>
          <w:b/>
          <w:bCs/>
          <w:color w:val="auto"/>
          <w:sz w:val="24"/>
          <w:szCs w:val="32"/>
          <w:highlight w:val="none"/>
        </w:rPr>
      </w:pPr>
    </w:p>
    <w:p w14:paraId="0AF7A1F7">
      <w:pPr>
        <w:jc w:val="center"/>
        <w:rPr>
          <w:rFonts w:eastAsia="黑体"/>
          <w:b/>
          <w:bCs/>
          <w:color w:val="auto"/>
          <w:sz w:val="32"/>
          <w:szCs w:val="32"/>
          <w:highlight w:val="none"/>
        </w:rPr>
      </w:pPr>
      <w:r>
        <w:rPr>
          <w:rFonts w:hint="eastAsia" w:eastAsia="黑体"/>
          <w:b/>
          <w:bCs/>
          <w:color w:val="auto"/>
          <w:sz w:val="32"/>
          <w:szCs w:val="32"/>
          <w:highlight w:val="none"/>
          <w:lang w:val="en-US" w:eastAsia="zh-CN"/>
        </w:rPr>
        <w:t>2025</w:t>
      </w:r>
      <w:r>
        <w:rPr>
          <w:rFonts w:eastAsia="黑体"/>
          <w:b/>
          <w:bCs/>
          <w:color w:val="auto"/>
          <w:sz w:val="32"/>
          <w:szCs w:val="32"/>
          <w:highlight w:val="none"/>
        </w:rPr>
        <w:t>年</w:t>
      </w:r>
      <w:r>
        <w:rPr>
          <w:rFonts w:hint="eastAsia" w:eastAsia="黑体"/>
          <w:b/>
          <w:bCs/>
          <w:color w:val="auto"/>
          <w:sz w:val="32"/>
          <w:szCs w:val="32"/>
          <w:highlight w:val="none"/>
          <w:lang w:val="en-US" w:eastAsia="zh-CN"/>
        </w:rPr>
        <w:t>4</w:t>
      </w:r>
      <w:r>
        <w:rPr>
          <w:rFonts w:eastAsia="黑体"/>
          <w:b/>
          <w:bCs/>
          <w:color w:val="auto"/>
          <w:sz w:val="32"/>
          <w:szCs w:val="32"/>
          <w:highlight w:val="none"/>
        </w:rPr>
        <w:t>月</w:t>
      </w:r>
    </w:p>
    <w:p w14:paraId="40E164A2">
      <w:pPr>
        <w:jc w:val="center"/>
        <w:rPr>
          <w:b/>
          <w:bCs/>
          <w:color w:val="auto"/>
          <w:sz w:val="44"/>
          <w:szCs w:val="44"/>
          <w:highlight w:val="none"/>
        </w:rPr>
      </w:pPr>
    </w:p>
    <w:p w14:paraId="45CE0A25">
      <w:pPr>
        <w:pStyle w:val="74"/>
        <w:rPr>
          <w:b/>
          <w:bCs/>
          <w:color w:val="auto"/>
          <w:sz w:val="44"/>
          <w:szCs w:val="44"/>
          <w:highlight w:val="none"/>
        </w:rPr>
      </w:pPr>
    </w:p>
    <w:p w14:paraId="24F23DEE">
      <w:pPr>
        <w:pStyle w:val="458"/>
        <w:jc w:val="center"/>
        <w:rPr>
          <w:rFonts w:ascii="Times New Roman" w:hAnsi="Times New Roman"/>
          <w:color w:val="auto"/>
          <w:sz w:val="32"/>
          <w:szCs w:val="32"/>
          <w:highlight w:val="none"/>
          <w:lang w:val="zh-CN"/>
        </w:rPr>
      </w:pPr>
      <w:bookmarkStart w:id="6" w:name="_Toc9473"/>
    </w:p>
    <w:p w14:paraId="4CAF7D9A">
      <w:pPr>
        <w:pStyle w:val="458"/>
        <w:jc w:val="center"/>
        <w:rPr>
          <w:rFonts w:ascii="Times New Roman" w:hAnsi="Times New Roman"/>
          <w:color w:val="auto"/>
          <w:sz w:val="32"/>
          <w:szCs w:val="32"/>
          <w:highlight w:val="none"/>
          <w:lang w:val="zh-CN"/>
        </w:rPr>
      </w:pPr>
    </w:p>
    <w:p w14:paraId="322A487A">
      <w:pPr>
        <w:pStyle w:val="458"/>
        <w:jc w:val="center"/>
        <w:rPr>
          <w:rFonts w:ascii="Times New Roman" w:hAnsi="Times New Roman"/>
          <w:color w:val="auto"/>
          <w:sz w:val="32"/>
          <w:szCs w:val="32"/>
          <w:highlight w:val="none"/>
          <w:lang w:val="zh-CN"/>
        </w:rPr>
      </w:pPr>
      <w:r>
        <w:rPr>
          <w:rFonts w:ascii="Times New Roman" w:hAnsi="Times New Roman"/>
          <w:color w:val="auto"/>
          <w:sz w:val="32"/>
          <w:szCs w:val="32"/>
          <w:highlight w:val="none"/>
          <w:lang w:val="zh-CN"/>
        </w:rPr>
        <w:t>目   录</w:t>
      </w:r>
      <w:bookmarkEnd w:id="6"/>
    </w:p>
    <w:p w14:paraId="4484F830">
      <w:pPr>
        <w:rPr>
          <w:color w:val="auto"/>
          <w:highlight w:val="none"/>
          <w:lang w:val="zh-CN"/>
        </w:rPr>
      </w:pPr>
    </w:p>
    <w:p w14:paraId="3F5B9F1C">
      <w:pPr>
        <w:rPr>
          <w:color w:val="auto"/>
          <w:highlight w:val="none"/>
          <w:lang w:val="zh-CN"/>
        </w:rPr>
      </w:pPr>
    </w:p>
    <w:p w14:paraId="07E5AC0F">
      <w:pPr>
        <w:tabs>
          <w:tab w:val="right" w:leader="dot" w:pos="9354"/>
        </w:tabs>
        <w:spacing w:before="80" w:after="80" w:line="360" w:lineRule="auto"/>
        <w:jc w:val="left"/>
        <w:rPr>
          <w:rFonts w:hint="eastAsia" w:ascii="黑体" w:hAnsi="黑体" w:eastAsia="黑体" w:cs="黑体"/>
          <w:color w:val="auto"/>
          <w:kern w:val="2"/>
          <w:sz w:val="28"/>
          <w:szCs w:val="28"/>
          <w:highlight w:val="none"/>
          <w:lang w:val="zh-CN" w:eastAsia="zh-CN" w:bidi="ar-SA"/>
        </w:rPr>
      </w:pPr>
      <w:r>
        <w:rPr>
          <w:rFonts w:hint="eastAsia" w:ascii="黑体" w:hAnsi="黑体" w:eastAsia="黑体" w:cs="黑体"/>
          <w:b w:val="0"/>
          <w:bCs w:val="0"/>
          <w:color w:val="auto"/>
          <w:sz w:val="28"/>
          <w:szCs w:val="28"/>
          <w:highlight w:val="none"/>
        </w:rPr>
        <w:fldChar w:fldCharType="begin"/>
      </w:r>
      <w:r>
        <w:rPr>
          <w:rFonts w:hint="eastAsia" w:ascii="黑体" w:hAnsi="黑体" w:eastAsia="黑体" w:cs="黑体"/>
          <w:b w:val="0"/>
          <w:bCs w:val="0"/>
          <w:color w:val="auto"/>
          <w:sz w:val="28"/>
          <w:szCs w:val="28"/>
          <w:highlight w:val="none"/>
        </w:rPr>
        <w:instrText xml:space="preserve"> TOC \o "1-3" \h \z \u </w:instrText>
      </w:r>
      <w:r>
        <w:rPr>
          <w:rFonts w:hint="eastAsia" w:ascii="黑体" w:hAnsi="黑体" w:eastAsia="黑体" w:cs="黑体"/>
          <w:b w:val="0"/>
          <w:bCs w:val="0"/>
          <w:color w:val="auto"/>
          <w:sz w:val="28"/>
          <w:szCs w:val="28"/>
          <w:highlight w:val="none"/>
        </w:rPr>
        <w:fldChar w:fldCharType="separate"/>
      </w:r>
    </w:p>
    <w:p w14:paraId="53F565B7">
      <w:pPr>
        <w:pStyle w:val="52"/>
        <w:tabs>
          <w:tab w:val="right" w:leader="dot" w:pos="9638"/>
        </w:tabs>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zh-CN"/>
        </w:rPr>
        <w:fldChar w:fldCharType="begin"/>
      </w:r>
      <w:r>
        <w:rPr>
          <w:rFonts w:hint="eastAsia" w:ascii="黑体" w:hAnsi="黑体" w:eastAsia="黑体" w:cs="黑体"/>
          <w:color w:val="auto"/>
          <w:szCs w:val="28"/>
          <w:highlight w:val="none"/>
          <w:lang w:val="zh-CN"/>
        </w:rPr>
        <w:instrText xml:space="preserve"> HYPERLINK \l _Toc26618 </w:instrText>
      </w:r>
      <w:r>
        <w:rPr>
          <w:rFonts w:hint="eastAsia" w:ascii="黑体" w:hAnsi="黑体" w:eastAsia="黑体" w:cs="黑体"/>
          <w:color w:val="auto"/>
          <w:szCs w:val="28"/>
          <w:highlight w:val="none"/>
          <w:lang w:val="zh-CN"/>
        </w:rPr>
        <w:fldChar w:fldCharType="separate"/>
      </w:r>
      <w:r>
        <w:rPr>
          <w:rFonts w:hint="eastAsia" w:ascii="黑体" w:hAnsi="黑体" w:eastAsia="黑体" w:cs="黑体"/>
          <w:color w:val="auto"/>
          <w:szCs w:val="28"/>
          <w:highlight w:val="none"/>
        </w:rPr>
        <w:t>第 一 卷</w:t>
      </w:r>
      <w:r>
        <w:rPr>
          <w:rFonts w:hint="eastAsia" w:ascii="黑体" w:hAnsi="黑体" w:eastAsia="黑体" w:cs="黑体"/>
          <w:color w:val="auto"/>
          <w:szCs w:val="28"/>
          <w:highlight w:val="none"/>
        </w:rPr>
        <w:tab/>
      </w:r>
      <w:r>
        <w:rPr>
          <w:rFonts w:hint="eastAsia" w:ascii="黑体" w:hAnsi="黑体" w:eastAsia="黑体" w:cs="黑体"/>
          <w:color w:val="auto"/>
          <w:szCs w:val="28"/>
          <w:highlight w:val="none"/>
          <w:lang w:val="en-US" w:eastAsia="zh-CN"/>
        </w:rPr>
        <w:t>1</w:t>
      </w:r>
      <w:r>
        <w:rPr>
          <w:rFonts w:hint="eastAsia" w:ascii="黑体" w:hAnsi="黑体" w:eastAsia="黑体" w:cs="黑体"/>
          <w:color w:val="auto"/>
          <w:szCs w:val="28"/>
          <w:highlight w:val="none"/>
          <w:lang w:val="zh-CN"/>
        </w:rPr>
        <w:fldChar w:fldCharType="end"/>
      </w:r>
    </w:p>
    <w:p w14:paraId="17195C3A">
      <w:pPr>
        <w:pStyle w:val="52"/>
        <w:tabs>
          <w:tab w:val="right" w:leader="dot" w:pos="9638"/>
        </w:tabs>
        <w:rPr>
          <w:rFonts w:hint="eastAsia" w:ascii="黑体" w:hAnsi="黑体" w:eastAsia="黑体" w:cs="黑体"/>
          <w:color w:val="auto"/>
          <w:szCs w:val="28"/>
          <w:highlight w:val="none"/>
        </w:rPr>
      </w:pPr>
      <w:r>
        <w:rPr>
          <w:rFonts w:hint="eastAsia" w:ascii="黑体" w:hAnsi="黑体" w:eastAsia="黑体" w:cs="黑体"/>
          <w:color w:val="auto"/>
          <w:szCs w:val="28"/>
          <w:highlight w:val="none"/>
          <w:lang w:val="zh-CN"/>
        </w:rPr>
        <w:fldChar w:fldCharType="begin"/>
      </w:r>
      <w:r>
        <w:rPr>
          <w:rFonts w:hint="eastAsia" w:ascii="黑体" w:hAnsi="黑体" w:eastAsia="黑体" w:cs="黑体"/>
          <w:color w:val="auto"/>
          <w:szCs w:val="28"/>
          <w:highlight w:val="none"/>
          <w:lang w:val="zh-CN"/>
        </w:rPr>
        <w:instrText xml:space="preserve"> HYPERLINK \l _Toc4978 </w:instrText>
      </w:r>
      <w:r>
        <w:rPr>
          <w:rFonts w:hint="eastAsia" w:ascii="黑体" w:hAnsi="黑体" w:eastAsia="黑体" w:cs="黑体"/>
          <w:color w:val="auto"/>
          <w:szCs w:val="28"/>
          <w:highlight w:val="none"/>
          <w:lang w:val="zh-CN"/>
        </w:rPr>
        <w:fldChar w:fldCharType="separate"/>
      </w:r>
      <w:r>
        <w:rPr>
          <w:rFonts w:hint="eastAsia" w:ascii="黑体" w:hAnsi="黑体" w:eastAsia="黑体" w:cs="黑体"/>
          <w:bCs/>
          <w:color w:val="auto"/>
          <w:szCs w:val="28"/>
          <w:highlight w:val="none"/>
        </w:rPr>
        <w:t>第一章  招标公告</w:t>
      </w:r>
      <w:r>
        <w:rPr>
          <w:rFonts w:hint="eastAsia" w:ascii="黑体" w:hAnsi="黑体" w:eastAsia="黑体" w:cs="黑体"/>
          <w:color w:val="auto"/>
          <w:szCs w:val="28"/>
          <w:highlight w:val="none"/>
        </w:rPr>
        <w:tab/>
      </w:r>
      <w:r>
        <w:rPr>
          <w:rFonts w:hint="eastAsia" w:ascii="黑体" w:hAnsi="黑体" w:eastAsia="黑体" w:cs="黑体"/>
          <w:color w:val="auto"/>
          <w:szCs w:val="28"/>
          <w:highlight w:val="none"/>
          <w:lang w:val="en-US" w:eastAsia="zh-CN"/>
        </w:rPr>
        <w:t>2</w:t>
      </w:r>
      <w:r>
        <w:rPr>
          <w:rFonts w:hint="eastAsia" w:ascii="黑体" w:hAnsi="黑体" w:eastAsia="黑体" w:cs="黑体"/>
          <w:color w:val="auto"/>
          <w:szCs w:val="28"/>
          <w:highlight w:val="none"/>
          <w:lang w:val="zh-CN"/>
        </w:rPr>
        <w:fldChar w:fldCharType="end"/>
      </w:r>
    </w:p>
    <w:p w14:paraId="772F4901">
      <w:pPr>
        <w:pStyle w:val="52"/>
        <w:tabs>
          <w:tab w:val="right" w:leader="dot" w:pos="9638"/>
        </w:tabs>
        <w:rPr>
          <w:rFonts w:hint="default" w:ascii="黑体" w:hAnsi="黑体" w:eastAsia="黑体" w:cs="黑体"/>
          <w:color w:val="auto"/>
          <w:szCs w:val="28"/>
          <w:highlight w:val="none"/>
          <w:lang w:val="en-US" w:eastAsia="zh-CN"/>
        </w:rPr>
      </w:pPr>
      <w:r>
        <w:rPr>
          <w:rFonts w:hint="eastAsia" w:ascii="黑体" w:hAnsi="黑体" w:eastAsia="黑体" w:cs="黑体"/>
          <w:color w:val="auto"/>
          <w:szCs w:val="28"/>
          <w:highlight w:val="none"/>
          <w:lang w:val="zh-CN"/>
        </w:rPr>
        <w:fldChar w:fldCharType="begin"/>
      </w:r>
      <w:r>
        <w:rPr>
          <w:rFonts w:hint="eastAsia" w:ascii="黑体" w:hAnsi="黑体" w:eastAsia="黑体" w:cs="黑体"/>
          <w:color w:val="auto"/>
          <w:szCs w:val="28"/>
          <w:highlight w:val="none"/>
          <w:lang w:val="zh-CN"/>
        </w:rPr>
        <w:instrText xml:space="preserve"> HYPERLINK \l _Toc10824 </w:instrText>
      </w:r>
      <w:r>
        <w:rPr>
          <w:rFonts w:hint="eastAsia" w:ascii="黑体" w:hAnsi="黑体" w:eastAsia="黑体" w:cs="黑体"/>
          <w:color w:val="auto"/>
          <w:szCs w:val="28"/>
          <w:highlight w:val="none"/>
          <w:lang w:val="zh-CN"/>
        </w:rPr>
        <w:fldChar w:fldCharType="separate"/>
      </w:r>
      <w:r>
        <w:rPr>
          <w:rFonts w:hint="eastAsia" w:ascii="黑体" w:hAnsi="黑体" w:eastAsia="黑体" w:cs="黑体"/>
          <w:bCs/>
          <w:color w:val="auto"/>
          <w:szCs w:val="28"/>
          <w:highlight w:val="none"/>
        </w:rPr>
        <w:t>第二章  投标人须知</w:t>
      </w:r>
      <w:r>
        <w:rPr>
          <w:rFonts w:hint="eastAsia" w:ascii="黑体" w:hAnsi="黑体" w:eastAsia="黑体" w:cs="黑体"/>
          <w:color w:val="auto"/>
          <w:szCs w:val="28"/>
          <w:highlight w:val="none"/>
        </w:rPr>
        <w:tab/>
      </w:r>
      <w:r>
        <w:rPr>
          <w:rFonts w:hint="eastAsia" w:ascii="黑体" w:hAnsi="黑体" w:eastAsia="黑体" w:cs="黑体"/>
          <w:color w:val="auto"/>
          <w:szCs w:val="28"/>
          <w:highlight w:val="none"/>
          <w:lang w:val="zh-CN"/>
        </w:rPr>
        <w:fldChar w:fldCharType="end"/>
      </w:r>
      <w:r>
        <w:rPr>
          <w:rFonts w:hint="eastAsia" w:ascii="黑体" w:hAnsi="黑体" w:eastAsia="黑体" w:cs="黑体"/>
          <w:color w:val="auto"/>
          <w:szCs w:val="28"/>
          <w:highlight w:val="none"/>
          <w:lang w:val="en-US" w:eastAsia="zh-CN"/>
        </w:rPr>
        <w:t>10</w:t>
      </w:r>
    </w:p>
    <w:p w14:paraId="533F8952">
      <w:pPr>
        <w:pStyle w:val="52"/>
        <w:tabs>
          <w:tab w:val="right" w:leader="dot" w:pos="9638"/>
        </w:tabs>
        <w:rPr>
          <w:rFonts w:hint="default" w:ascii="黑体" w:hAnsi="黑体" w:eastAsia="黑体" w:cs="黑体"/>
          <w:color w:val="auto"/>
          <w:szCs w:val="28"/>
          <w:highlight w:val="none"/>
          <w:lang w:val="en-US" w:eastAsia="zh-CN"/>
        </w:rPr>
      </w:pPr>
      <w:r>
        <w:rPr>
          <w:rFonts w:hint="eastAsia" w:ascii="黑体" w:hAnsi="黑体" w:eastAsia="黑体" w:cs="黑体"/>
          <w:color w:val="auto"/>
          <w:szCs w:val="28"/>
          <w:highlight w:val="none"/>
          <w:lang w:val="zh-CN"/>
        </w:rPr>
        <w:fldChar w:fldCharType="begin"/>
      </w:r>
      <w:r>
        <w:rPr>
          <w:rFonts w:hint="eastAsia" w:ascii="黑体" w:hAnsi="黑体" w:eastAsia="黑体" w:cs="黑体"/>
          <w:color w:val="auto"/>
          <w:szCs w:val="28"/>
          <w:highlight w:val="none"/>
          <w:lang w:val="zh-CN"/>
        </w:rPr>
        <w:instrText xml:space="preserve"> HYPERLINK \l _Toc5696 </w:instrText>
      </w:r>
      <w:r>
        <w:rPr>
          <w:rFonts w:hint="eastAsia" w:ascii="黑体" w:hAnsi="黑体" w:eastAsia="黑体" w:cs="黑体"/>
          <w:color w:val="auto"/>
          <w:szCs w:val="28"/>
          <w:highlight w:val="none"/>
          <w:lang w:val="zh-CN"/>
        </w:rPr>
        <w:fldChar w:fldCharType="separate"/>
      </w:r>
      <w:r>
        <w:rPr>
          <w:rFonts w:hint="eastAsia" w:ascii="黑体" w:hAnsi="黑体" w:eastAsia="黑体" w:cs="黑体"/>
          <w:bCs/>
          <w:color w:val="auto"/>
          <w:szCs w:val="28"/>
          <w:highlight w:val="none"/>
        </w:rPr>
        <w:t>第三章  评标办法</w:t>
      </w:r>
      <w:r>
        <w:rPr>
          <w:rFonts w:hint="eastAsia" w:ascii="黑体" w:hAnsi="黑体" w:eastAsia="黑体" w:cs="黑体"/>
          <w:color w:val="auto"/>
          <w:spacing w:val="10"/>
          <w:szCs w:val="28"/>
          <w:highlight w:val="none"/>
          <w14:textOutline w14:w="6540" w14:cap="flat" w14:cmpd="sng">
            <w14:solidFill>
              <w14:srgbClr w14:val="000000"/>
            </w14:solidFill>
            <w14:prstDash w14:val="solid"/>
            <w14:miter w14:val="0"/>
          </w14:textOutline>
        </w:rPr>
        <w:t>（</w:t>
      </w:r>
      <w:r>
        <w:rPr>
          <w:rFonts w:hint="eastAsia" w:ascii="黑体" w:hAnsi="黑体" w:eastAsia="黑体" w:cs="黑体"/>
          <w:color w:val="auto"/>
          <w:spacing w:val="10"/>
          <w:szCs w:val="28"/>
          <w:highlight w:val="none"/>
          <w:lang w:val="en-US" w:eastAsia="zh-CN"/>
          <w14:textOutline w14:w="6540" w14:cap="flat" w14:cmpd="sng">
            <w14:solidFill>
              <w14:srgbClr w14:val="000000"/>
            </w14:solidFill>
            <w14:prstDash w14:val="solid"/>
            <w14:miter w14:val="0"/>
          </w14:textOutline>
        </w:rPr>
        <w:t>综合评估法</w:t>
      </w:r>
      <w:r>
        <w:rPr>
          <w:rFonts w:hint="eastAsia" w:ascii="黑体" w:hAnsi="黑体" w:eastAsia="黑体" w:cs="黑体"/>
          <w:color w:val="auto"/>
          <w:spacing w:val="10"/>
          <w:szCs w:val="28"/>
          <w:highlight w:val="none"/>
          <w14:textOutline w14:w="6540" w14:cap="flat" w14:cmpd="sng">
            <w14:solidFill>
              <w14:srgbClr w14:val="000000"/>
            </w14:solidFill>
            <w14:prstDash w14:val="solid"/>
            <w14:miter w14:val="0"/>
          </w14:textOutline>
        </w:rPr>
        <w:t>）</w:t>
      </w:r>
      <w:r>
        <w:rPr>
          <w:rFonts w:hint="eastAsia" w:ascii="黑体" w:hAnsi="黑体" w:eastAsia="黑体" w:cs="黑体"/>
          <w:color w:val="auto"/>
          <w:szCs w:val="28"/>
          <w:highlight w:val="none"/>
        </w:rPr>
        <w:tab/>
      </w:r>
      <w:r>
        <w:rPr>
          <w:rFonts w:hint="eastAsia" w:ascii="黑体" w:hAnsi="黑体" w:eastAsia="黑体" w:cs="黑体"/>
          <w:color w:val="auto"/>
          <w:szCs w:val="28"/>
          <w:highlight w:val="none"/>
          <w:lang w:val="zh-CN"/>
        </w:rPr>
        <w:fldChar w:fldCharType="end"/>
      </w:r>
      <w:r>
        <w:rPr>
          <w:rFonts w:hint="eastAsia" w:ascii="黑体" w:hAnsi="黑体" w:eastAsia="黑体" w:cs="黑体"/>
          <w:color w:val="auto"/>
          <w:szCs w:val="28"/>
          <w:highlight w:val="none"/>
          <w:lang w:val="en-US" w:eastAsia="zh-CN"/>
        </w:rPr>
        <w:t>42</w:t>
      </w:r>
    </w:p>
    <w:p w14:paraId="13AED0EB">
      <w:pPr>
        <w:pStyle w:val="52"/>
        <w:tabs>
          <w:tab w:val="right" w:leader="dot" w:pos="9638"/>
        </w:tabs>
        <w:rPr>
          <w:rFonts w:hint="default" w:ascii="黑体" w:hAnsi="黑体" w:eastAsia="黑体" w:cs="黑体"/>
          <w:color w:val="auto"/>
          <w:szCs w:val="28"/>
          <w:highlight w:val="none"/>
          <w:lang w:val="en-US" w:eastAsia="zh-CN"/>
        </w:rPr>
      </w:pPr>
      <w:r>
        <w:rPr>
          <w:rFonts w:hint="eastAsia" w:ascii="黑体" w:hAnsi="黑体" w:eastAsia="黑体" w:cs="黑体"/>
          <w:color w:val="auto"/>
          <w:szCs w:val="28"/>
          <w:highlight w:val="none"/>
          <w:lang w:val="zh-CN"/>
        </w:rPr>
        <w:fldChar w:fldCharType="begin"/>
      </w:r>
      <w:r>
        <w:rPr>
          <w:rFonts w:hint="eastAsia" w:ascii="黑体" w:hAnsi="黑体" w:eastAsia="黑体" w:cs="黑体"/>
          <w:color w:val="auto"/>
          <w:szCs w:val="28"/>
          <w:highlight w:val="none"/>
          <w:lang w:val="zh-CN"/>
        </w:rPr>
        <w:instrText xml:space="preserve"> HYPERLINK \l _Toc12590 </w:instrText>
      </w:r>
      <w:r>
        <w:rPr>
          <w:rFonts w:hint="eastAsia" w:ascii="黑体" w:hAnsi="黑体" w:eastAsia="黑体" w:cs="黑体"/>
          <w:color w:val="auto"/>
          <w:szCs w:val="28"/>
          <w:highlight w:val="none"/>
          <w:lang w:val="zh-CN"/>
        </w:rPr>
        <w:fldChar w:fldCharType="separate"/>
      </w:r>
      <w:r>
        <w:rPr>
          <w:rFonts w:hint="eastAsia" w:ascii="黑体" w:hAnsi="黑体" w:eastAsia="黑体" w:cs="黑体"/>
          <w:bCs/>
          <w:color w:val="auto"/>
          <w:szCs w:val="28"/>
          <w:highlight w:val="none"/>
        </w:rPr>
        <w:t>第四章  合同条款及格式</w:t>
      </w:r>
      <w:r>
        <w:rPr>
          <w:rFonts w:hint="eastAsia" w:ascii="黑体" w:hAnsi="黑体" w:eastAsia="黑体" w:cs="黑体"/>
          <w:color w:val="auto"/>
          <w:szCs w:val="28"/>
          <w:highlight w:val="none"/>
        </w:rPr>
        <w:tab/>
      </w:r>
      <w:r>
        <w:rPr>
          <w:rFonts w:hint="eastAsia" w:ascii="黑体" w:hAnsi="黑体" w:eastAsia="黑体" w:cs="黑体"/>
          <w:color w:val="auto"/>
          <w:szCs w:val="28"/>
          <w:highlight w:val="none"/>
          <w:lang w:val="zh-CN"/>
        </w:rPr>
        <w:fldChar w:fldCharType="end"/>
      </w:r>
      <w:r>
        <w:rPr>
          <w:rFonts w:hint="eastAsia" w:ascii="黑体" w:hAnsi="黑体" w:eastAsia="黑体" w:cs="黑体"/>
          <w:color w:val="auto"/>
          <w:szCs w:val="28"/>
          <w:highlight w:val="none"/>
          <w:lang w:val="en-US" w:eastAsia="zh-CN"/>
        </w:rPr>
        <w:t>51</w:t>
      </w:r>
    </w:p>
    <w:p w14:paraId="6CD2761A">
      <w:pPr>
        <w:pStyle w:val="52"/>
        <w:tabs>
          <w:tab w:val="right" w:leader="dot" w:pos="9638"/>
        </w:tabs>
        <w:rPr>
          <w:rFonts w:hint="default" w:ascii="黑体" w:hAnsi="黑体" w:eastAsia="黑体" w:cs="黑体"/>
          <w:color w:val="auto"/>
          <w:szCs w:val="28"/>
          <w:highlight w:val="none"/>
          <w:lang w:val="en-US" w:eastAsia="zh-CN"/>
        </w:rPr>
      </w:pPr>
      <w:r>
        <w:rPr>
          <w:rFonts w:hint="eastAsia" w:ascii="黑体" w:hAnsi="黑体" w:eastAsia="黑体" w:cs="黑体"/>
          <w:color w:val="auto"/>
          <w:szCs w:val="28"/>
          <w:highlight w:val="none"/>
          <w:lang w:val="zh-CN"/>
        </w:rPr>
        <w:fldChar w:fldCharType="begin"/>
      </w:r>
      <w:r>
        <w:rPr>
          <w:rFonts w:hint="eastAsia" w:ascii="黑体" w:hAnsi="黑体" w:eastAsia="黑体" w:cs="黑体"/>
          <w:color w:val="auto"/>
          <w:szCs w:val="28"/>
          <w:highlight w:val="none"/>
          <w:lang w:val="zh-CN"/>
        </w:rPr>
        <w:instrText xml:space="preserve"> HYPERLINK \l _Toc31034 </w:instrText>
      </w:r>
      <w:r>
        <w:rPr>
          <w:rFonts w:hint="eastAsia" w:ascii="黑体" w:hAnsi="黑体" w:eastAsia="黑体" w:cs="黑体"/>
          <w:color w:val="auto"/>
          <w:szCs w:val="28"/>
          <w:highlight w:val="none"/>
          <w:lang w:val="zh-CN"/>
        </w:rPr>
        <w:fldChar w:fldCharType="separate"/>
      </w:r>
      <w:r>
        <w:rPr>
          <w:rFonts w:hint="eastAsia" w:ascii="黑体" w:hAnsi="黑体" w:eastAsia="黑体" w:cs="黑体"/>
          <w:bCs/>
          <w:color w:val="auto"/>
          <w:szCs w:val="28"/>
          <w:highlight w:val="none"/>
        </w:rPr>
        <w:t xml:space="preserve">第五章  </w:t>
      </w:r>
      <w:r>
        <w:rPr>
          <w:rFonts w:hint="eastAsia" w:ascii="黑体" w:hAnsi="黑体" w:eastAsia="黑体" w:cs="黑体"/>
          <w:bCs/>
          <w:color w:val="auto"/>
          <w:szCs w:val="28"/>
          <w:highlight w:val="none"/>
          <w:lang w:val="en-US" w:eastAsia="zh-CN"/>
        </w:rPr>
        <w:t>委托人要求</w:t>
      </w:r>
      <w:r>
        <w:rPr>
          <w:rFonts w:hint="eastAsia" w:ascii="黑体" w:hAnsi="黑体" w:eastAsia="黑体" w:cs="黑体"/>
          <w:color w:val="auto"/>
          <w:szCs w:val="28"/>
          <w:highlight w:val="none"/>
        </w:rPr>
        <w:tab/>
      </w:r>
      <w:r>
        <w:rPr>
          <w:rFonts w:hint="eastAsia" w:ascii="黑体" w:hAnsi="黑体" w:eastAsia="黑体" w:cs="黑体"/>
          <w:color w:val="auto"/>
          <w:szCs w:val="28"/>
          <w:highlight w:val="none"/>
          <w:lang w:val="zh-CN"/>
        </w:rPr>
        <w:fldChar w:fldCharType="end"/>
      </w:r>
      <w:r>
        <w:rPr>
          <w:rFonts w:hint="eastAsia" w:ascii="黑体" w:hAnsi="黑体" w:eastAsia="黑体" w:cs="黑体"/>
          <w:color w:val="auto"/>
          <w:szCs w:val="28"/>
          <w:highlight w:val="none"/>
          <w:lang w:val="en-US" w:eastAsia="zh-CN"/>
        </w:rPr>
        <w:t>78</w:t>
      </w:r>
    </w:p>
    <w:p w14:paraId="38345D98">
      <w:pPr>
        <w:pStyle w:val="62"/>
        <w:tabs>
          <w:tab w:val="right" w:leader="dot" w:pos="9638"/>
        </w:tabs>
        <w:ind w:left="0"/>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CN"/>
        </w:rPr>
        <w:fldChar w:fldCharType="begin"/>
      </w:r>
      <w:r>
        <w:rPr>
          <w:rFonts w:hint="eastAsia" w:ascii="黑体" w:hAnsi="黑体" w:eastAsia="黑体" w:cs="黑体"/>
          <w:color w:val="auto"/>
          <w:sz w:val="28"/>
          <w:szCs w:val="28"/>
          <w:highlight w:val="none"/>
          <w:lang w:val="zh-CN"/>
        </w:rPr>
        <w:instrText xml:space="preserve"> HYPERLINK \l _Toc2043 </w:instrText>
      </w:r>
      <w:r>
        <w:rPr>
          <w:rFonts w:hint="eastAsia" w:ascii="黑体" w:hAnsi="黑体" w:eastAsia="黑体" w:cs="黑体"/>
          <w:color w:val="auto"/>
          <w:sz w:val="28"/>
          <w:szCs w:val="28"/>
          <w:highlight w:val="none"/>
          <w:lang w:val="zh-CN"/>
        </w:rPr>
        <w:fldChar w:fldCharType="separate"/>
      </w:r>
      <w:r>
        <w:rPr>
          <w:rFonts w:hint="eastAsia" w:ascii="黑体" w:hAnsi="黑体" w:eastAsia="黑体" w:cs="黑体"/>
          <w:color w:val="auto"/>
          <w:sz w:val="28"/>
          <w:szCs w:val="28"/>
          <w:highlight w:val="none"/>
        </w:rPr>
        <w:t>第</w:t>
      </w:r>
      <w:r>
        <w:rPr>
          <w:rFonts w:hint="eastAsia" w:ascii="黑体" w:hAnsi="黑体" w:eastAsia="黑体" w:cs="黑体"/>
          <w:color w:val="auto"/>
          <w:sz w:val="28"/>
          <w:szCs w:val="28"/>
          <w:highlight w:val="none"/>
          <w:lang w:val="en-US" w:eastAsia="zh-CN"/>
        </w:rPr>
        <w:t>六</w:t>
      </w:r>
      <w:r>
        <w:rPr>
          <w:rFonts w:hint="eastAsia" w:ascii="黑体" w:hAnsi="黑体" w:eastAsia="黑体" w:cs="黑体"/>
          <w:color w:val="auto"/>
          <w:sz w:val="28"/>
          <w:szCs w:val="28"/>
          <w:highlight w:val="none"/>
        </w:rPr>
        <w:t xml:space="preserve">章  </w:t>
      </w:r>
      <w:r>
        <w:rPr>
          <w:rFonts w:hint="eastAsia" w:ascii="黑体" w:hAnsi="黑体" w:eastAsia="黑体" w:cs="黑体"/>
          <w:color w:val="auto"/>
          <w:sz w:val="28"/>
          <w:szCs w:val="28"/>
          <w:highlight w:val="none"/>
          <w:lang w:val="en-US" w:eastAsia="zh-CN"/>
        </w:rPr>
        <w:t>图纸</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zh-CN"/>
        </w:rPr>
        <w:fldChar w:fldCharType="end"/>
      </w:r>
      <w:r>
        <w:rPr>
          <w:rFonts w:hint="eastAsia" w:ascii="黑体" w:hAnsi="黑体" w:eastAsia="黑体" w:cs="黑体"/>
          <w:color w:val="auto"/>
          <w:sz w:val="28"/>
          <w:szCs w:val="28"/>
          <w:highlight w:val="none"/>
          <w:lang w:val="en-US" w:eastAsia="zh-CN"/>
        </w:rPr>
        <w:t>83</w:t>
      </w:r>
    </w:p>
    <w:p w14:paraId="1673B62B">
      <w:pPr>
        <w:pStyle w:val="62"/>
        <w:tabs>
          <w:tab w:val="right" w:leader="dot" w:pos="9638"/>
        </w:tabs>
        <w:ind w:left="0"/>
        <w:rPr>
          <w:rFonts w:hint="default"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zh-CN"/>
        </w:rPr>
        <w:fldChar w:fldCharType="end"/>
      </w:r>
      <w:r>
        <w:rPr>
          <w:rFonts w:hint="eastAsia" w:ascii="黑体" w:hAnsi="黑体" w:eastAsia="黑体" w:cs="黑体"/>
          <w:color w:val="auto"/>
          <w:sz w:val="28"/>
          <w:szCs w:val="28"/>
          <w:highlight w:val="none"/>
          <w:lang w:val="zh-CN"/>
        </w:rPr>
        <w:fldChar w:fldCharType="begin"/>
      </w:r>
      <w:r>
        <w:rPr>
          <w:rFonts w:hint="eastAsia" w:ascii="黑体" w:hAnsi="黑体" w:eastAsia="黑体" w:cs="黑体"/>
          <w:color w:val="auto"/>
          <w:sz w:val="28"/>
          <w:szCs w:val="28"/>
          <w:highlight w:val="none"/>
          <w:lang w:val="zh-CN"/>
        </w:rPr>
        <w:instrText xml:space="preserve"> HYPERLINK \l _Toc2043 </w:instrText>
      </w:r>
      <w:r>
        <w:rPr>
          <w:rFonts w:hint="eastAsia" w:ascii="黑体" w:hAnsi="黑体" w:eastAsia="黑体" w:cs="黑体"/>
          <w:color w:val="auto"/>
          <w:sz w:val="28"/>
          <w:szCs w:val="28"/>
          <w:highlight w:val="none"/>
          <w:lang w:val="zh-CN"/>
        </w:rPr>
        <w:fldChar w:fldCharType="separate"/>
      </w:r>
      <w:r>
        <w:rPr>
          <w:rFonts w:hint="eastAsia" w:ascii="黑体" w:hAnsi="黑体" w:eastAsia="黑体" w:cs="黑体"/>
          <w:color w:val="auto"/>
          <w:sz w:val="28"/>
          <w:szCs w:val="28"/>
          <w:highlight w:val="none"/>
        </w:rPr>
        <w:t>第</w:t>
      </w:r>
      <w:r>
        <w:rPr>
          <w:rFonts w:hint="eastAsia" w:ascii="黑体" w:hAnsi="黑体" w:eastAsia="黑体" w:cs="黑体"/>
          <w:color w:val="auto"/>
          <w:sz w:val="28"/>
          <w:szCs w:val="28"/>
          <w:highlight w:val="none"/>
          <w:lang w:val="en-US" w:eastAsia="zh-CN"/>
        </w:rPr>
        <w:t>七</w:t>
      </w:r>
      <w:r>
        <w:rPr>
          <w:rFonts w:hint="eastAsia" w:ascii="黑体" w:hAnsi="黑体" w:eastAsia="黑体" w:cs="黑体"/>
          <w:color w:val="auto"/>
          <w:sz w:val="28"/>
          <w:szCs w:val="28"/>
          <w:highlight w:val="none"/>
        </w:rPr>
        <w:t>章  投标文件格式</w:t>
      </w:r>
      <w:r>
        <w:rPr>
          <w:rFonts w:hint="eastAsia" w:ascii="黑体" w:hAnsi="黑体" w:eastAsia="黑体" w:cs="黑体"/>
          <w:color w:val="auto"/>
          <w:sz w:val="28"/>
          <w:szCs w:val="28"/>
          <w:highlight w:val="none"/>
        </w:rPr>
        <w:tab/>
      </w:r>
      <w:r>
        <w:rPr>
          <w:rFonts w:hint="eastAsia" w:ascii="黑体" w:hAnsi="黑体" w:eastAsia="黑体" w:cs="黑体"/>
          <w:color w:val="auto"/>
          <w:sz w:val="28"/>
          <w:szCs w:val="28"/>
          <w:highlight w:val="none"/>
          <w:lang w:val="zh-CN"/>
        </w:rPr>
        <w:fldChar w:fldCharType="end"/>
      </w:r>
      <w:r>
        <w:rPr>
          <w:rFonts w:hint="eastAsia" w:ascii="黑体" w:hAnsi="黑体" w:eastAsia="黑体" w:cs="黑体"/>
          <w:color w:val="auto"/>
          <w:sz w:val="28"/>
          <w:szCs w:val="28"/>
          <w:highlight w:val="none"/>
          <w:lang w:val="en-US" w:eastAsia="zh-CN"/>
        </w:rPr>
        <w:t>84</w:t>
      </w:r>
    </w:p>
    <w:p w14:paraId="437B57C9">
      <w:pPr>
        <w:tabs>
          <w:tab w:val="right" w:leader="dot" w:pos="9354"/>
        </w:tabs>
        <w:spacing w:before="80" w:after="80" w:line="360" w:lineRule="auto"/>
        <w:jc w:val="left"/>
        <w:rPr>
          <w:rFonts w:eastAsia="黑体"/>
          <w:b/>
          <w:bCs/>
          <w:color w:val="auto"/>
          <w:szCs w:val="21"/>
          <w:highlight w:val="none"/>
        </w:rPr>
      </w:pPr>
    </w:p>
    <w:p w14:paraId="5A6F256F">
      <w:pPr>
        <w:topLinePunct/>
        <w:jc w:val="center"/>
        <w:rPr>
          <w:rFonts w:eastAsia="黑体"/>
          <w:b/>
          <w:bCs/>
          <w:color w:val="auto"/>
          <w:sz w:val="72"/>
          <w:szCs w:val="52"/>
          <w:highlight w:val="none"/>
        </w:rPr>
        <w:sectPr>
          <w:headerReference r:id="rId4" w:type="default"/>
          <w:footerReference r:id="rId5" w:type="default"/>
          <w:footnotePr>
            <w:numFmt w:val="decimalEnclosedCircleChinese"/>
            <w:numRestart w:val="eachPage"/>
          </w:footnotePr>
          <w:pgSz w:w="11906" w:h="16838"/>
          <w:pgMar w:top="1134" w:right="1134" w:bottom="1134" w:left="1134" w:header="851" w:footer="992" w:gutter="0"/>
          <w:pgNumType w:fmt="decimal" w:start="1"/>
          <w:cols w:space="720" w:num="1"/>
          <w:titlePg/>
          <w:docGrid w:linePitch="312" w:charSpace="0"/>
        </w:sectPr>
      </w:pPr>
    </w:p>
    <w:bookmarkEnd w:id="0"/>
    <w:bookmarkEnd w:id="1"/>
    <w:bookmarkEnd w:id="2"/>
    <w:bookmarkEnd w:id="3"/>
    <w:p w14:paraId="672521EF">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bookmarkStart w:id="7" w:name="_Toc464508720"/>
      <w:bookmarkStart w:id="8" w:name="_Toc496537745"/>
      <w:bookmarkStart w:id="9" w:name="_Toc496369616"/>
      <w:bookmarkStart w:id="10" w:name="_Toc23401"/>
      <w:bookmarkStart w:id="11" w:name="_Toc494703649"/>
      <w:bookmarkStart w:id="12" w:name="_Toc179632543"/>
      <w:bookmarkStart w:id="13" w:name="_Toc152042302"/>
      <w:bookmarkStart w:id="14" w:name="_Toc144974494"/>
      <w:bookmarkStart w:id="15" w:name="_Toc152045526"/>
    </w:p>
    <w:p w14:paraId="315EBAB4">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64673B1D">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3BF33995">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71D4C5CA">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4DAE28EA">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666E94F2">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2C33964F">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3F967BA8">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7B6409EE">
      <w:pPr>
        <w:pStyle w:val="2"/>
        <w:jc w:val="center"/>
        <w:rPr>
          <w:rFonts w:eastAsia="黑体"/>
          <w:color w:val="auto"/>
          <w:sz w:val="52"/>
          <w:highlight w:val="none"/>
        </w:rPr>
      </w:pPr>
      <w:bookmarkStart w:id="16" w:name="_Toc10444"/>
      <w:bookmarkStart w:id="17" w:name="_Toc464508719"/>
      <w:bookmarkStart w:id="18" w:name="_Toc494703648"/>
      <w:bookmarkStart w:id="19" w:name="_Toc496537744"/>
      <w:bookmarkStart w:id="20" w:name="_Toc26618"/>
      <w:bookmarkStart w:id="21" w:name="_Toc496369615"/>
      <w:r>
        <w:rPr>
          <w:rFonts w:eastAsia="黑体"/>
          <w:color w:val="auto"/>
          <w:sz w:val="52"/>
          <w:highlight w:val="none"/>
        </w:rPr>
        <w:t>第 一 卷</w:t>
      </w:r>
      <w:bookmarkEnd w:id="16"/>
      <w:bookmarkEnd w:id="17"/>
      <w:bookmarkEnd w:id="18"/>
      <w:bookmarkEnd w:id="19"/>
      <w:bookmarkEnd w:id="20"/>
      <w:bookmarkEnd w:id="21"/>
    </w:p>
    <w:p w14:paraId="666FD682">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48AF6E68">
      <w:pPr>
        <w:pStyle w:val="74"/>
        <w:rPr>
          <w:rFonts w:eastAsia="黑体"/>
          <w:b/>
          <w:bCs/>
          <w:color w:val="auto"/>
          <w:sz w:val="36"/>
          <w:szCs w:val="36"/>
          <w:highlight w:val="none"/>
        </w:rPr>
      </w:pPr>
    </w:p>
    <w:p w14:paraId="1B67E6FD">
      <w:pPr>
        <w:rPr>
          <w:rFonts w:eastAsia="黑体"/>
          <w:b/>
          <w:bCs/>
          <w:color w:val="auto"/>
          <w:sz w:val="36"/>
          <w:szCs w:val="36"/>
          <w:highlight w:val="none"/>
        </w:rPr>
      </w:pPr>
    </w:p>
    <w:p w14:paraId="40D2710A">
      <w:pPr>
        <w:pStyle w:val="74"/>
        <w:rPr>
          <w:rFonts w:eastAsia="黑体"/>
          <w:b/>
          <w:bCs/>
          <w:color w:val="auto"/>
          <w:sz w:val="36"/>
          <w:szCs w:val="36"/>
          <w:highlight w:val="none"/>
        </w:rPr>
      </w:pPr>
    </w:p>
    <w:p w14:paraId="3EEE7E0D">
      <w:pPr>
        <w:rPr>
          <w:rFonts w:eastAsia="黑体"/>
          <w:b/>
          <w:bCs/>
          <w:color w:val="auto"/>
          <w:sz w:val="36"/>
          <w:szCs w:val="36"/>
          <w:highlight w:val="none"/>
        </w:rPr>
      </w:pPr>
    </w:p>
    <w:p w14:paraId="146B1D67">
      <w:pPr>
        <w:pStyle w:val="74"/>
        <w:rPr>
          <w:rFonts w:eastAsia="黑体"/>
          <w:b/>
          <w:bCs/>
          <w:color w:val="auto"/>
          <w:sz w:val="36"/>
          <w:szCs w:val="36"/>
          <w:highlight w:val="none"/>
        </w:rPr>
      </w:pPr>
    </w:p>
    <w:p w14:paraId="3B3A7F9E">
      <w:pPr>
        <w:rPr>
          <w:rFonts w:eastAsia="黑体"/>
          <w:b/>
          <w:bCs/>
          <w:color w:val="auto"/>
          <w:sz w:val="36"/>
          <w:szCs w:val="36"/>
          <w:highlight w:val="none"/>
        </w:rPr>
      </w:pPr>
    </w:p>
    <w:p w14:paraId="7D77DB47">
      <w:pPr>
        <w:pStyle w:val="74"/>
        <w:rPr>
          <w:rFonts w:eastAsia="黑体"/>
          <w:b/>
          <w:bCs/>
          <w:color w:val="auto"/>
          <w:sz w:val="36"/>
          <w:szCs w:val="36"/>
          <w:highlight w:val="none"/>
        </w:rPr>
      </w:pPr>
    </w:p>
    <w:p w14:paraId="19927216">
      <w:pPr>
        <w:rPr>
          <w:color w:val="auto"/>
          <w:highlight w:val="none"/>
        </w:rPr>
      </w:pPr>
    </w:p>
    <w:p w14:paraId="79991210">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3BA0C440">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09196706">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7FE48ECB">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49FF539F">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p>
    <w:p w14:paraId="4006F918">
      <w:pPr>
        <w:keepNext w:val="0"/>
        <w:keepLines w:val="0"/>
        <w:pageBreakBefore w:val="0"/>
        <w:widowControl w:val="0"/>
        <w:kinsoku/>
        <w:wordWrap/>
        <w:overflowPunct/>
        <w:topLinePunct/>
        <w:autoSpaceDE/>
        <w:autoSpaceDN/>
        <w:bidi w:val="0"/>
        <w:adjustRightInd/>
        <w:snapToGrid/>
        <w:spacing w:before="157" w:beforeLines="50" w:after="157" w:afterLines="50" w:line="300" w:lineRule="auto"/>
        <w:ind w:right="31" w:rightChars="15"/>
        <w:jc w:val="center"/>
        <w:textAlignment w:val="auto"/>
        <w:outlineLvl w:val="0"/>
        <w:rPr>
          <w:rFonts w:eastAsia="黑体"/>
          <w:b/>
          <w:bCs/>
          <w:color w:val="auto"/>
          <w:sz w:val="36"/>
          <w:szCs w:val="36"/>
          <w:highlight w:val="none"/>
        </w:rPr>
      </w:pPr>
      <w:bookmarkStart w:id="22" w:name="_Toc4978"/>
      <w:r>
        <w:rPr>
          <w:rFonts w:eastAsia="黑体"/>
          <w:b/>
          <w:bCs/>
          <w:color w:val="auto"/>
          <w:sz w:val="36"/>
          <w:szCs w:val="36"/>
          <w:highlight w:val="none"/>
        </w:rPr>
        <w:t>第一章</w:t>
      </w:r>
      <w:r>
        <w:rPr>
          <w:rFonts w:hint="eastAsia" w:ascii="黑体" w:hAnsi="黑体" w:eastAsia="黑体" w:cs="黑体"/>
          <w:b/>
          <w:bCs/>
          <w:color w:val="auto"/>
          <w:sz w:val="36"/>
          <w:szCs w:val="36"/>
          <w:highlight w:val="none"/>
        </w:rPr>
        <w:t xml:space="preserve">  </w:t>
      </w:r>
      <w:r>
        <w:rPr>
          <w:rFonts w:eastAsia="黑体"/>
          <w:b/>
          <w:bCs/>
          <w:color w:val="auto"/>
          <w:sz w:val="36"/>
          <w:szCs w:val="36"/>
          <w:highlight w:val="none"/>
        </w:rPr>
        <w:t>招标公告</w:t>
      </w:r>
      <w:bookmarkEnd w:id="7"/>
      <w:bookmarkEnd w:id="8"/>
      <w:bookmarkEnd w:id="9"/>
      <w:bookmarkEnd w:id="10"/>
      <w:bookmarkEnd w:id="11"/>
      <w:bookmarkEnd w:id="22"/>
    </w:p>
    <w:bookmarkEnd w:id="12"/>
    <w:bookmarkEnd w:id="13"/>
    <w:bookmarkEnd w:id="14"/>
    <w:bookmarkEnd w:id="15"/>
    <w:p w14:paraId="625E7F7D">
      <w:pPr>
        <w:spacing w:line="360" w:lineRule="auto"/>
        <w:jc w:val="center"/>
        <w:rPr>
          <w:b/>
          <w:bCs/>
          <w:color w:val="auto"/>
          <w:kern w:val="0"/>
          <w:sz w:val="32"/>
          <w:szCs w:val="32"/>
          <w:highlight w:val="none"/>
        </w:rPr>
      </w:pPr>
      <w:r>
        <w:rPr>
          <w:rFonts w:hint="eastAsia"/>
          <w:b/>
          <w:bCs/>
          <w:color w:val="auto"/>
          <w:kern w:val="0"/>
          <w:sz w:val="32"/>
          <w:szCs w:val="32"/>
          <w:highlight w:val="none"/>
          <w:lang w:val="en-US" w:eastAsia="zh-CN"/>
        </w:rPr>
        <w:t>盱眙至明光高速公路安徽段项目中心试验室</w:t>
      </w:r>
      <w:r>
        <w:rPr>
          <w:b/>
          <w:bCs/>
          <w:color w:val="auto"/>
          <w:kern w:val="0"/>
          <w:sz w:val="32"/>
          <w:szCs w:val="32"/>
          <w:highlight w:val="none"/>
        </w:rPr>
        <w:t>招标公告（电子招标投标）</w:t>
      </w:r>
    </w:p>
    <w:p w14:paraId="1D9171C1">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23" w:name="_Toc27986"/>
      <w:r>
        <w:rPr>
          <w:rFonts w:hint="eastAsia" w:ascii="黑体" w:hAnsi="黑体" w:eastAsia="黑体" w:cs="宋体"/>
          <w:b w:val="0"/>
          <w:bCs/>
          <w:color w:val="auto"/>
          <w:kern w:val="0"/>
          <w:sz w:val="28"/>
          <w:szCs w:val="28"/>
          <w:highlight w:val="none"/>
          <w:lang w:val="en-US" w:eastAsia="zh-CN" w:bidi="ar-SA"/>
        </w:rPr>
        <w:t>1. 招标条件</w:t>
      </w:r>
      <w:bookmarkEnd w:id="23"/>
    </w:p>
    <w:p w14:paraId="524F4CC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本项目盱眙至明光高速公路安徽段项目已由安徽省发展和改革委员会以《安徽省发展改革委关于盱眙至明光高速公路安徽段项目核准的批复》（皖发改基础〔2024〕75号)批准建设，项目业主为安徽滁扬高速公路有限公司，建设资金来源：自筹。项目已具备招标条件，现对该项目中心试验室以资格后审方式进行公开招标，欢迎符合条件的投标人参加投标。本次招标采用全流程电子招标。</w:t>
      </w:r>
    </w:p>
    <w:p w14:paraId="5F88D04E">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24" w:name="_Toc19023"/>
      <w:bookmarkStart w:id="25" w:name="_Toc2640"/>
      <w:bookmarkStart w:id="26" w:name="_Toc3535"/>
      <w:bookmarkStart w:id="27" w:name="_Toc2576"/>
      <w:r>
        <w:rPr>
          <w:rFonts w:hint="eastAsia" w:ascii="黑体" w:hAnsi="黑体" w:eastAsia="黑体" w:cs="宋体"/>
          <w:b w:val="0"/>
          <w:bCs/>
          <w:color w:val="auto"/>
          <w:kern w:val="0"/>
          <w:sz w:val="28"/>
          <w:szCs w:val="28"/>
          <w:highlight w:val="none"/>
          <w:lang w:val="en-US" w:eastAsia="zh-CN" w:bidi="ar-SA"/>
        </w:rPr>
        <w:t>2. 项目概况与招标范围</w:t>
      </w:r>
      <w:bookmarkEnd w:id="24"/>
      <w:bookmarkEnd w:id="25"/>
      <w:bookmarkEnd w:id="26"/>
      <w:bookmarkEnd w:id="27"/>
    </w:p>
    <w:p w14:paraId="015C5148">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2.1 招标编号：</w:t>
      </w:r>
      <w:r>
        <w:rPr>
          <w:rFonts w:hint="eastAsia" w:ascii="仿宋" w:hAnsi="仿宋" w:eastAsia="仿宋" w:cs="楷体"/>
          <w:bCs/>
          <w:snapToGrid w:val="0"/>
          <w:color w:val="auto"/>
          <w:kern w:val="0"/>
          <w:sz w:val="28"/>
          <w:szCs w:val="28"/>
          <w:highlight w:val="none"/>
          <w:lang w:val="en-US" w:eastAsia="zh-CN"/>
        </w:rPr>
        <w:t xml:space="preserve">2025DFABZ00732 </w:t>
      </w:r>
      <w:r>
        <w:rPr>
          <w:rFonts w:hint="eastAsia" w:ascii="仿宋" w:hAnsi="仿宋" w:eastAsia="仿宋" w:cs="楷体"/>
          <w:bCs/>
          <w:snapToGrid w:val="0"/>
          <w:color w:val="auto"/>
          <w:kern w:val="0"/>
          <w:sz w:val="28"/>
          <w:szCs w:val="28"/>
          <w:highlight w:val="none"/>
        </w:rPr>
        <w:t xml:space="preserve"> </w:t>
      </w:r>
      <w:r>
        <w:rPr>
          <w:rFonts w:hint="eastAsia" w:ascii="仿宋" w:hAnsi="仿宋" w:eastAsia="仿宋" w:cs="楷体"/>
          <w:bCs/>
          <w:snapToGrid w:val="0"/>
          <w:color w:val="auto"/>
          <w:kern w:val="0"/>
          <w:sz w:val="28"/>
          <w:szCs w:val="28"/>
          <w:highlight w:val="none"/>
          <w:lang w:val="en-US" w:eastAsia="zh-CN"/>
        </w:rPr>
        <w:t xml:space="preserve"> </w:t>
      </w:r>
      <w:r>
        <w:rPr>
          <w:rFonts w:hint="eastAsia" w:ascii="仿宋" w:hAnsi="仿宋" w:eastAsia="仿宋" w:cs="楷体"/>
          <w:bCs/>
          <w:snapToGrid w:val="0"/>
          <w:color w:val="auto"/>
          <w:kern w:val="0"/>
          <w:sz w:val="28"/>
          <w:szCs w:val="28"/>
          <w:highlight w:val="none"/>
        </w:rPr>
        <w:t xml:space="preserve"> </w:t>
      </w:r>
    </w:p>
    <w:p w14:paraId="38C8C549">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default"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rPr>
        <w:t xml:space="preserve">2.2 </w:t>
      </w:r>
      <w:r>
        <w:rPr>
          <w:rFonts w:hint="eastAsia" w:ascii="仿宋" w:hAnsi="仿宋" w:eastAsia="仿宋" w:cs="楷体"/>
          <w:bCs/>
          <w:snapToGrid w:val="0"/>
          <w:color w:val="auto"/>
          <w:kern w:val="0"/>
          <w:sz w:val="28"/>
          <w:szCs w:val="28"/>
          <w:highlight w:val="none"/>
          <w:lang w:eastAsia="zh-CN"/>
        </w:rPr>
        <w:t>项目</w:t>
      </w:r>
      <w:r>
        <w:rPr>
          <w:rFonts w:hint="eastAsia" w:ascii="仿宋" w:hAnsi="仿宋" w:eastAsia="仿宋" w:cs="楷体"/>
          <w:bCs/>
          <w:snapToGrid w:val="0"/>
          <w:color w:val="auto"/>
          <w:kern w:val="0"/>
          <w:sz w:val="28"/>
          <w:szCs w:val="28"/>
          <w:highlight w:val="none"/>
        </w:rPr>
        <w:t>类别：</w:t>
      </w:r>
      <w:r>
        <w:rPr>
          <w:rFonts w:hint="eastAsia" w:ascii="仿宋" w:hAnsi="仿宋" w:eastAsia="仿宋" w:cs="楷体"/>
          <w:bCs/>
          <w:snapToGrid w:val="0"/>
          <w:color w:val="auto"/>
          <w:kern w:val="0"/>
          <w:sz w:val="28"/>
          <w:szCs w:val="28"/>
          <w:highlight w:val="none"/>
          <w:lang w:val="en-US" w:eastAsia="zh-CN"/>
        </w:rPr>
        <w:t>服务</w:t>
      </w:r>
    </w:p>
    <w:p w14:paraId="7C7E6BF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 xml:space="preserve">2.3 </w:t>
      </w:r>
      <w:r>
        <w:rPr>
          <w:rFonts w:hint="eastAsia" w:ascii="仿宋" w:hAnsi="仿宋" w:eastAsia="仿宋" w:cs="楷体"/>
          <w:bCs/>
          <w:snapToGrid w:val="0"/>
          <w:color w:val="auto"/>
          <w:kern w:val="0"/>
          <w:sz w:val="28"/>
          <w:szCs w:val="28"/>
          <w:highlight w:val="none"/>
          <w:lang w:val="en-US" w:eastAsia="zh-CN"/>
        </w:rPr>
        <w:t>招标</w:t>
      </w:r>
      <w:r>
        <w:rPr>
          <w:rFonts w:hint="eastAsia" w:ascii="仿宋" w:hAnsi="仿宋" w:eastAsia="仿宋" w:cs="楷体"/>
          <w:bCs/>
          <w:snapToGrid w:val="0"/>
          <w:color w:val="auto"/>
          <w:kern w:val="0"/>
          <w:sz w:val="28"/>
          <w:szCs w:val="28"/>
          <w:highlight w:val="none"/>
        </w:rPr>
        <w:t>项目名称：</w:t>
      </w:r>
      <w:r>
        <w:rPr>
          <w:rFonts w:hint="eastAsia" w:ascii="仿宋" w:hAnsi="仿宋" w:eastAsia="仿宋" w:cs="楷体"/>
          <w:bCs/>
          <w:snapToGrid w:val="0"/>
          <w:color w:val="auto"/>
          <w:kern w:val="0"/>
          <w:sz w:val="28"/>
          <w:szCs w:val="28"/>
          <w:highlight w:val="none"/>
          <w:lang w:val="en-US" w:eastAsia="zh-CN"/>
        </w:rPr>
        <w:t>盱眙至明光高速公路安徽段项目中心试验室</w:t>
      </w:r>
    </w:p>
    <w:p w14:paraId="457F8469">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rPr>
        <w:t>2.4 建设地点：滁州</w:t>
      </w:r>
      <w:r>
        <w:rPr>
          <w:rFonts w:hint="eastAsia" w:ascii="仿宋" w:hAnsi="仿宋" w:eastAsia="仿宋" w:cs="楷体"/>
          <w:bCs/>
          <w:snapToGrid w:val="0"/>
          <w:color w:val="auto"/>
          <w:kern w:val="0"/>
          <w:sz w:val="28"/>
          <w:szCs w:val="28"/>
          <w:highlight w:val="none"/>
          <w:lang w:val="en-US" w:eastAsia="zh-CN"/>
        </w:rPr>
        <w:t>市</w:t>
      </w:r>
    </w:p>
    <w:p w14:paraId="575C0595">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 xml:space="preserve">2.5 </w:t>
      </w:r>
      <w:r>
        <w:rPr>
          <w:rFonts w:hint="eastAsia" w:ascii="仿宋" w:hAnsi="仿宋" w:eastAsia="仿宋" w:cs="楷体"/>
          <w:bCs/>
          <w:snapToGrid w:val="0"/>
          <w:color w:val="auto"/>
          <w:kern w:val="0"/>
          <w:sz w:val="28"/>
          <w:szCs w:val="28"/>
          <w:highlight w:val="none"/>
          <w:lang w:eastAsia="zh-CN"/>
        </w:rPr>
        <w:t>建设单位</w:t>
      </w:r>
      <w:r>
        <w:rPr>
          <w:rFonts w:hint="eastAsia" w:ascii="仿宋" w:hAnsi="仿宋" w:eastAsia="仿宋" w:cs="楷体"/>
          <w:bCs/>
          <w:snapToGrid w:val="0"/>
          <w:color w:val="auto"/>
          <w:kern w:val="0"/>
          <w:sz w:val="28"/>
          <w:szCs w:val="28"/>
          <w:highlight w:val="none"/>
        </w:rPr>
        <w:t>：</w:t>
      </w:r>
      <w:r>
        <w:rPr>
          <w:rFonts w:hint="eastAsia" w:ascii="仿宋" w:hAnsi="仿宋" w:eastAsia="仿宋" w:cs="楷体"/>
          <w:bCs/>
          <w:snapToGrid w:val="0"/>
          <w:color w:val="auto"/>
          <w:kern w:val="0"/>
          <w:sz w:val="28"/>
          <w:szCs w:val="28"/>
          <w:highlight w:val="none"/>
          <w:lang w:val="en-US" w:eastAsia="zh-CN"/>
        </w:rPr>
        <w:t>安徽滁扬高速公路有限公司</w:t>
      </w:r>
    </w:p>
    <w:p w14:paraId="22992765">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rPr>
        <w:t>2.6 项目概况：</w:t>
      </w:r>
      <w:r>
        <w:rPr>
          <w:rFonts w:hint="eastAsia" w:ascii="仿宋" w:hAnsi="仿宋" w:eastAsia="仿宋" w:cs="楷体"/>
          <w:bCs/>
          <w:snapToGrid w:val="0"/>
          <w:color w:val="auto"/>
          <w:kern w:val="0"/>
          <w:sz w:val="28"/>
          <w:szCs w:val="28"/>
          <w:highlight w:val="none"/>
          <w:lang w:val="en-US" w:eastAsia="zh-CN"/>
        </w:rPr>
        <w:t>本项目</w:t>
      </w:r>
      <w:r>
        <w:rPr>
          <w:rFonts w:hint="eastAsia" w:ascii="仿宋" w:hAnsi="仿宋" w:eastAsia="仿宋" w:cs="楷体"/>
          <w:bCs/>
          <w:snapToGrid w:val="0"/>
          <w:color w:val="auto"/>
          <w:kern w:val="0"/>
          <w:sz w:val="28"/>
          <w:szCs w:val="28"/>
          <w:highlight w:val="none"/>
          <w:lang w:eastAsia="zh-CN"/>
        </w:rPr>
        <w:t>为</w:t>
      </w:r>
      <w:r>
        <w:rPr>
          <w:rFonts w:hint="eastAsia" w:ascii="仿宋" w:hAnsi="仿宋" w:eastAsia="仿宋" w:cs="楷体"/>
          <w:bCs/>
          <w:snapToGrid w:val="0"/>
          <w:color w:val="auto"/>
          <w:kern w:val="0"/>
          <w:sz w:val="28"/>
          <w:szCs w:val="28"/>
          <w:highlight w:val="none"/>
          <w:lang w:val="en-US" w:eastAsia="zh-CN"/>
        </w:rPr>
        <w:t>盱眙至明光高速公路安徽段项目</w:t>
      </w:r>
      <w:r>
        <w:rPr>
          <w:rFonts w:hint="eastAsia" w:ascii="仿宋" w:hAnsi="仿宋" w:eastAsia="仿宋" w:cs="楷体"/>
          <w:bCs/>
          <w:snapToGrid w:val="0"/>
          <w:color w:val="auto"/>
          <w:kern w:val="0"/>
          <w:sz w:val="28"/>
          <w:szCs w:val="28"/>
          <w:highlight w:val="none"/>
          <w:lang w:eastAsia="zh-CN"/>
        </w:rPr>
        <w:t>，</w:t>
      </w:r>
      <w:r>
        <w:rPr>
          <w:rFonts w:hint="eastAsia" w:ascii="仿宋" w:hAnsi="仿宋" w:eastAsia="仿宋" w:cs="楷体"/>
          <w:bCs/>
          <w:snapToGrid w:val="0"/>
          <w:color w:val="auto"/>
          <w:kern w:val="0"/>
          <w:sz w:val="28"/>
          <w:szCs w:val="28"/>
          <w:highlight w:val="none"/>
          <w:lang w:val="en-US" w:eastAsia="zh-CN"/>
        </w:rPr>
        <w:t>全长约15.1公里。全线设大桥 5座，中桥3座，车行天桥3座；设四山（枢纽）、涧溪2处互通立交；设匝道收费站 1处；交通工程及沿线设施。本次招标主要内容为项目全线范围内的独立中心试验室</w:t>
      </w:r>
      <w:r>
        <w:rPr>
          <w:rFonts w:hint="eastAsia" w:ascii="仿宋_GB2312" w:hAnsi="Calibri" w:eastAsia="仿宋_GB2312" w:cs="Times New Roman"/>
          <w:color w:val="auto"/>
          <w:sz w:val="28"/>
          <w:szCs w:val="28"/>
          <w:highlight w:val="none"/>
          <w:u w:val="none" w:color="auto"/>
          <w:lang w:val="en-US" w:eastAsia="zh-CN"/>
        </w:rPr>
        <w:t>。</w:t>
      </w:r>
    </w:p>
    <w:p w14:paraId="1E4C3AD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default"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rPr>
        <w:t>2.7 项目估算：</w:t>
      </w:r>
      <w:r>
        <w:rPr>
          <w:rFonts w:hint="eastAsia" w:ascii="仿宋" w:hAnsi="仿宋" w:eastAsia="仿宋" w:cs="楷体"/>
          <w:bCs/>
          <w:snapToGrid w:val="0"/>
          <w:color w:val="auto"/>
          <w:kern w:val="0"/>
          <w:sz w:val="28"/>
          <w:szCs w:val="28"/>
          <w:highlight w:val="none"/>
          <w:lang w:val="en-US" w:eastAsia="zh-CN"/>
        </w:rPr>
        <w:t>约740万元</w:t>
      </w:r>
      <w:r>
        <w:rPr>
          <w:rFonts w:hint="eastAsia" w:ascii="仿宋" w:hAnsi="仿宋" w:eastAsia="仿宋" w:cs="楷体"/>
          <w:bCs/>
          <w:snapToGrid w:val="0"/>
          <w:color w:val="auto"/>
          <w:kern w:val="0"/>
          <w:sz w:val="28"/>
          <w:szCs w:val="28"/>
          <w:highlight w:val="none"/>
        </w:rPr>
        <w:t>。</w:t>
      </w:r>
    </w:p>
    <w:p w14:paraId="2DB05DC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2.8 招标范围和标段划分：</w:t>
      </w:r>
      <w:r>
        <w:rPr>
          <w:rFonts w:hint="eastAsia" w:ascii="仿宋" w:hAnsi="仿宋" w:eastAsia="仿宋" w:cs="楷体"/>
          <w:bCs/>
          <w:snapToGrid w:val="0"/>
          <w:color w:val="auto"/>
          <w:kern w:val="0"/>
          <w:sz w:val="28"/>
          <w:szCs w:val="28"/>
          <w:highlight w:val="none"/>
          <w:lang w:val="en-US" w:eastAsia="zh-CN"/>
        </w:rPr>
        <w:t>全线范围内路基、路面、桥涵（含支座外观及安装质量逐个检查）、预制构件、房建、交通安全设施、机电及通信管道、材料、代建工程相关质量检测或评定等工程试验检测，软基处理、台背回填、桥梁桩基（含桩基完整性、强度检测）、桥梁结构锚下有效预应力等专项检测，及配合交（竣）工验收检测等有关工作</w:t>
      </w:r>
      <w:r>
        <w:rPr>
          <w:rFonts w:ascii="仿宋" w:hAnsi="仿宋" w:eastAsia="仿宋" w:cs="仿宋"/>
          <w:color w:val="auto"/>
          <w:spacing w:val="-1"/>
          <w:sz w:val="28"/>
          <w:szCs w:val="28"/>
          <w:highlight w:val="none"/>
        </w:rPr>
        <w:t>。共一个标段。</w:t>
      </w:r>
    </w:p>
    <w:p w14:paraId="6D72E031">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2.9 计划工期：</w:t>
      </w:r>
      <w:r>
        <w:rPr>
          <w:rFonts w:hint="eastAsia" w:ascii="仿宋" w:hAnsi="仿宋" w:eastAsia="仿宋" w:cs="楷体"/>
          <w:bCs/>
          <w:snapToGrid w:val="0"/>
          <w:color w:val="auto"/>
          <w:kern w:val="0"/>
          <w:sz w:val="28"/>
          <w:szCs w:val="28"/>
          <w:highlight w:val="none"/>
          <w:lang w:val="en-US" w:eastAsia="zh-CN"/>
        </w:rPr>
        <w:t>本项目试验检测总服务期为施工准备期+60个月（其中施工期36个月、验收与缺陷责任期24个月），具体时间以合同规定为准</w:t>
      </w:r>
      <w:r>
        <w:rPr>
          <w:rFonts w:hint="eastAsia" w:ascii="仿宋" w:hAnsi="仿宋" w:eastAsia="仿宋" w:cs="楷体"/>
          <w:bCs/>
          <w:snapToGrid w:val="0"/>
          <w:color w:val="auto"/>
          <w:kern w:val="0"/>
          <w:sz w:val="28"/>
          <w:szCs w:val="28"/>
          <w:highlight w:val="none"/>
        </w:rPr>
        <w:t>。</w:t>
      </w:r>
    </w:p>
    <w:p w14:paraId="4AACC240">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28" w:name="_Toc14124"/>
      <w:bookmarkStart w:id="29" w:name="_Toc31403"/>
      <w:bookmarkStart w:id="30" w:name="_Toc5176"/>
      <w:bookmarkStart w:id="31" w:name="_Toc24693"/>
      <w:r>
        <w:rPr>
          <w:rFonts w:hint="eastAsia" w:ascii="黑体" w:hAnsi="黑体" w:eastAsia="黑体" w:cs="宋体"/>
          <w:b w:val="0"/>
          <w:bCs/>
          <w:color w:val="auto"/>
          <w:kern w:val="0"/>
          <w:sz w:val="28"/>
          <w:szCs w:val="28"/>
          <w:highlight w:val="none"/>
          <w:lang w:val="en-US" w:eastAsia="zh-CN" w:bidi="ar-SA"/>
        </w:rPr>
        <w:t>3. 投标人资格要求</w:t>
      </w:r>
      <w:bookmarkEnd w:id="28"/>
      <w:bookmarkEnd w:id="29"/>
      <w:bookmarkEnd w:id="30"/>
      <w:bookmarkEnd w:id="31"/>
    </w:p>
    <w:p w14:paraId="39CB4442">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3.1资质要求：</w:t>
      </w:r>
      <w:r>
        <w:rPr>
          <w:rFonts w:hint="eastAsia" w:ascii="仿宋" w:hAnsi="仿宋" w:eastAsia="仿宋" w:cs="楷体"/>
          <w:bCs/>
          <w:snapToGrid w:val="0"/>
          <w:color w:val="auto"/>
          <w:kern w:val="0"/>
          <w:sz w:val="28"/>
          <w:szCs w:val="28"/>
          <w:highlight w:val="none"/>
          <w:lang w:val="en-US" w:eastAsia="zh-CN"/>
        </w:rPr>
        <w:t>具备独立承担民事责任能力的企业同时具有有效的公路工程甲级试验检测资质(或公路工程综合甲级试验检测资质)且需具备省级及以上主管部门颁发的有效CMA证书</w:t>
      </w:r>
      <w:r>
        <w:rPr>
          <w:rFonts w:hint="eastAsia" w:ascii="仿宋" w:hAnsi="仿宋" w:eastAsia="仿宋" w:cs="楷体"/>
          <w:bCs/>
          <w:snapToGrid w:val="0"/>
          <w:color w:val="auto"/>
          <w:kern w:val="0"/>
          <w:sz w:val="28"/>
          <w:szCs w:val="28"/>
          <w:highlight w:val="none"/>
          <w:lang w:eastAsia="zh-CN"/>
        </w:rPr>
        <w:t>。</w:t>
      </w:r>
    </w:p>
    <w:p w14:paraId="363CD8A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3.2财务要求：</w:t>
      </w:r>
      <w:r>
        <w:rPr>
          <w:rFonts w:hint="eastAsia" w:ascii="仿宋" w:hAnsi="仿宋" w:eastAsia="仿宋" w:cs="楷体"/>
          <w:bCs/>
          <w:snapToGrid w:val="0"/>
          <w:color w:val="auto"/>
          <w:kern w:val="0"/>
          <w:sz w:val="28"/>
          <w:szCs w:val="28"/>
          <w:highlight w:val="none"/>
          <w:lang w:val="en-US" w:eastAsia="zh-CN"/>
        </w:rPr>
        <w:t>无</w:t>
      </w:r>
      <w:r>
        <w:rPr>
          <w:rFonts w:hint="eastAsia" w:ascii="仿宋" w:hAnsi="仿宋" w:eastAsia="仿宋" w:cs="楷体"/>
          <w:bCs/>
          <w:snapToGrid w:val="0"/>
          <w:color w:val="auto"/>
          <w:kern w:val="0"/>
          <w:sz w:val="28"/>
          <w:szCs w:val="28"/>
          <w:highlight w:val="none"/>
        </w:rPr>
        <w:t>。</w:t>
      </w:r>
    </w:p>
    <w:p w14:paraId="62978537">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3.3投标人业绩要求：近五年（20</w:t>
      </w:r>
      <w:r>
        <w:rPr>
          <w:rFonts w:hint="eastAsia" w:ascii="仿宋" w:hAnsi="仿宋" w:eastAsia="仿宋" w:cs="楷体"/>
          <w:bCs/>
          <w:snapToGrid w:val="0"/>
          <w:color w:val="auto"/>
          <w:kern w:val="0"/>
          <w:sz w:val="28"/>
          <w:szCs w:val="28"/>
          <w:highlight w:val="none"/>
          <w:lang w:val="en-US" w:eastAsia="zh-CN"/>
        </w:rPr>
        <w:t>20</w:t>
      </w:r>
      <w:r>
        <w:rPr>
          <w:rFonts w:hint="eastAsia" w:ascii="仿宋" w:hAnsi="仿宋" w:eastAsia="仿宋" w:cs="楷体"/>
          <w:bCs/>
          <w:snapToGrid w:val="0"/>
          <w:color w:val="auto"/>
          <w:kern w:val="0"/>
          <w:sz w:val="28"/>
          <w:szCs w:val="28"/>
          <w:highlight w:val="none"/>
        </w:rPr>
        <w:t>年</w:t>
      </w:r>
      <w:r>
        <w:rPr>
          <w:rFonts w:hint="eastAsia" w:ascii="仿宋" w:hAnsi="仿宋" w:eastAsia="仿宋" w:cs="楷体"/>
          <w:bCs/>
          <w:snapToGrid w:val="0"/>
          <w:color w:val="auto"/>
          <w:kern w:val="0"/>
          <w:sz w:val="28"/>
          <w:szCs w:val="28"/>
          <w:highlight w:val="none"/>
          <w:lang w:val="en-US" w:eastAsia="zh-CN"/>
        </w:rPr>
        <w:t>1</w:t>
      </w:r>
      <w:r>
        <w:rPr>
          <w:rFonts w:hint="eastAsia" w:ascii="仿宋" w:hAnsi="仿宋" w:eastAsia="仿宋" w:cs="楷体"/>
          <w:bCs/>
          <w:snapToGrid w:val="0"/>
          <w:color w:val="auto"/>
          <w:kern w:val="0"/>
          <w:sz w:val="28"/>
          <w:szCs w:val="28"/>
          <w:highlight w:val="none"/>
        </w:rPr>
        <w:t>月1日至今，</w:t>
      </w:r>
      <w:r>
        <w:rPr>
          <w:rFonts w:hint="eastAsia" w:ascii="仿宋" w:hAnsi="仿宋" w:eastAsia="仿宋" w:cs="楷体"/>
          <w:bCs/>
          <w:snapToGrid w:val="0"/>
          <w:color w:val="auto"/>
          <w:kern w:val="0"/>
          <w:sz w:val="28"/>
          <w:szCs w:val="28"/>
          <w:highlight w:val="none"/>
          <w:lang w:val="en-US" w:eastAsia="zh-CN"/>
        </w:rPr>
        <w:t>以合同签订时间为准</w:t>
      </w:r>
      <w:r>
        <w:rPr>
          <w:rFonts w:hint="eastAsia" w:ascii="仿宋" w:hAnsi="仿宋" w:eastAsia="仿宋" w:cs="楷体"/>
          <w:bCs/>
          <w:snapToGrid w:val="0"/>
          <w:color w:val="auto"/>
          <w:kern w:val="0"/>
          <w:sz w:val="28"/>
          <w:szCs w:val="28"/>
          <w:highlight w:val="none"/>
          <w:lang w:eastAsia="zh-CN"/>
        </w:rPr>
        <w:t>）</w:t>
      </w:r>
      <w:r>
        <w:rPr>
          <w:rFonts w:hint="eastAsia" w:ascii="仿宋" w:hAnsi="仿宋" w:eastAsia="仿宋" w:cs="楷体"/>
          <w:bCs/>
          <w:snapToGrid w:val="0"/>
          <w:color w:val="auto"/>
          <w:kern w:val="0"/>
          <w:sz w:val="28"/>
          <w:szCs w:val="28"/>
          <w:highlight w:val="none"/>
          <w:lang w:val="en-US" w:eastAsia="zh-CN"/>
        </w:rPr>
        <w:t xml:space="preserve">独立完成过1个高速公路（至少须同时包括路基路面）新建或改扩建项目中心试验室（或称“检测中心”，以下同）工作业绩。 </w:t>
      </w:r>
    </w:p>
    <w:p w14:paraId="16F67AB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3.4</w:t>
      </w:r>
      <w:r>
        <w:rPr>
          <w:rFonts w:hint="eastAsia" w:ascii="仿宋" w:hAnsi="仿宋" w:eastAsia="仿宋" w:cs="楷体"/>
          <w:bCs/>
          <w:snapToGrid w:val="0"/>
          <w:color w:val="auto"/>
          <w:kern w:val="0"/>
          <w:sz w:val="28"/>
          <w:szCs w:val="28"/>
          <w:highlight w:val="none"/>
          <w:lang w:val="en-US" w:eastAsia="zh-CN"/>
        </w:rPr>
        <w:t>主要人员最低要求</w:t>
      </w:r>
    </w:p>
    <w:p w14:paraId="52BF6E27">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lang w:val="en-US" w:eastAsia="zh-CN"/>
        </w:rPr>
        <w:t>中心试验室主任：具备公路工程相关专业高级（或以上）技术职称，持有公路水运工程试验检测师证书（或公路工程试验检测工程师证书），2020年1月至今</w:t>
      </w:r>
      <w:r>
        <w:rPr>
          <w:rFonts w:hint="eastAsia" w:ascii="仿宋" w:hAnsi="仿宋" w:eastAsia="仿宋" w:cs="楷体"/>
          <w:bCs/>
          <w:snapToGrid w:val="0"/>
          <w:color w:val="auto"/>
          <w:kern w:val="0"/>
          <w:sz w:val="28"/>
          <w:szCs w:val="28"/>
          <w:highlight w:val="none"/>
        </w:rPr>
        <w:t>（</w:t>
      </w:r>
      <w:r>
        <w:rPr>
          <w:rFonts w:hint="eastAsia" w:ascii="仿宋" w:hAnsi="仿宋" w:eastAsia="仿宋" w:cs="楷体"/>
          <w:bCs/>
          <w:snapToGrid w:val="0"/>
          <w:color w:val="auto"/>
          <w:kern w:val="0"/>
          <w:sz w:val="28"/>
          <w:szCs w:val="28"/>
          <w:highlight w:val="none"/>
          <w:lang w:val="en-US" w:eastAsia="zh-CN"/>
        </w:rPr>
        <w:t>以合同签订时间为准</w:t>
      </w:r>
      <w:r>
        <w:rPr>
          <w:rFonts w:hint="eastAsia" w:ascii="仿宋" w:hAnsi="仿宋" w:eastAsia="仿宋" w:cs="楷体"/>
          <w:bCs/>
          <w:snapToGrid w:val="0"/>
          <w:color w:val="auto"/>
          <w:kern w:val="0"/>
          <w:sz w:val="28"/>
          <w:szCs w:val="28"/>
          <w:highlight w:val="none"/>
          <w:lang w:eastAsia="zh-CN"/>
        </w:rPr>
        <w:t>）</w:t>
      </w:r>
      <w:r>
        <w:rPr>
          <w:rFonts w:hint="eastAsia" w:ascii="仿宋" w:hAnsi="仿宋" w:eastAsia="仿宋" w:cs="楷体"/>
          <w:bCs/>
          <w:snapToGrid w:val="0"/>
          <w:color w:val="auto"/>
          <w:kern w:val="0"/>
          <w:sz w:val="28"/>
          <w:szCs w:val="28"/>
          <w:highlight w:val="none"/>
          <w:lang w:val="en-US" w:eastAsia="zh-CN"/>
        </w:rPr>
        <w:t>担任过至少1个高速公路（至少须同时包括路基路面）新建或改扩建项目中心试验室主任。</w:t>
      </w:r>
    </w:p>
    <w:p w14:paraId="5B3523B2">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lang w:val="en-US" w:eastAsia="zh-CN"/>
        </w:rPr>
        <w:t>注：（1）“公路工程相关专业”职称，包括公路工程、桥梁工程、公路与桥梁工程、交通土建、交通运输、交通工程、隧道（地下结构）工程、土木工程等专业。</w:t>
      </w:r>
    </w:p>
    <w:p w14:paraId="262AFCDC">
      <w:pPr>
        <w:keepNext w:val="0"/>
        <w:keepLines w:val="0"/>
        <w:widowControl w:val="0"/>
        <w:suppressLineNumbers w:val="0"/>
        <w:adjustRightInd w:val="0"/>
        <w:snapToGrid w:val="0"/>
        <w:spacing w:line="560" w:lineRule="exact"/>
        <w:ind w:firstLine="560" w:firstLineChars="200"/>
        <w:jc w:val="left"/>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（2）</w:t>
      </w:r>
      <w:r>
        <w:rPr>
          <w:rFonts w:hint="eastAsia" w:ascii="仿宋" w:hAnsi="仿宋" w:eastAsia="仿宋" w:cs="楷体"/>
          <w:bCs/>
          <w:snapToGrid w:val="0"/>
          <w:color w:val="auto"/>
          <w:kern w:val="0"/>
          <w:sz w:val="28"/>
          <w:szCs w:val="28"/>
          <w:highlight w:val="none"/>
          <w:lang w:val="en-US" w:eastAsia="zh-CN" w:bidi="ar"/>
        </w:rPr>
        <w:t>中心试验室主任业绩和投标人业绩可以为同一业绩。</w:t>
      </w:r>
    </w:p>
    <w:p w14:paraId="61451449">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3.5本项目不接受联合体投标</w:t>
      </w:r>
      <w:r>
        <w:rPr>
          <w:rFonts w:hint="eastAsia" w:ascii="仿宋" w:hAnsi="仿宋" w:eastAsia="仿宋" w:cs="楷体"/>
          <w:bCs/>
          <w:snapToGrid w:val="0"/>
          <w:color w:val="auto"/>
          <w:kern w:val="0"/>
          <w:sz w:val="28"/>
          <w:szCs w:val="28"/>
          <w:highlight w:val="none"/>
        </w:rPr>
        <w:t>。</w:t>
      </w:r>
    </w:p>
    <w:p w14:paraId="3BFF5BD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w:t>
      </w:r>
      <w:r>
        <w:rPr>
          <w:rFonts w:hint="eastAsia" w:ascii="仿宋" w:hAnsi="仿宋" w:eastAsia="仿宋" w:cs="楷体"/>
          <w:bCs/>
          <w:snapToGrid w:val="0"/>
          <w:color w:val="auto"/>
          <w:kern w:val="0"/>
          <w:sz w:val="28"/>
          <w:szCs w:val="28"/>
          <w:highlight w:val="none"/>
          <w:lang w:val="en-US" w:eastAsia="zh-CN"/>
        </w:rPr>
        <w:t>6与招标人存在利害关系可能影响招标公正性的单位，不得参加投标。单位负责人为同一人或者存在控股、管理关系的不同单位，不得参加同一标包投标或者未划分标包的同一招标项目投标，否则，相关投标均无效</w:t>
      </w:r>
      <w:r>
        <w:rPr>
          <w:rFonts w:hint="eastAsia" w:ascii="仿宋" w:hAnsi="仿宋" w:eastAsia="仿宋" w:cs="楷体"/>
          <w:bCs/>
          <w:snapToGrid w:val="0"/>
          <w:color w:val="auto"/>
          <w:kern w:val="0"/>
          <w:sz w:val="28"/>
          <w:szCs w:val="28"/>
          <w:highlight w:val="none"/>
        </w:rPr>
        <w:t>。</w:t>
      </w:r>
    </w:p>
    <w:p w14:paraId="3F6CFD45">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w:t>
      </w:r>
      <w:r>
        <w:rPr>
          <w:rFonts w:hint="eastAsia" w:ascii="仿宋" w:hAnsi="仿宋" w:eastAsia="仿宋" w:cs="楷体"/>
          <w:bCs/>
          <w:snapToGrid w:val="0"/>
          <w:color w:val="auto"/>
          <w:kern w:val="0"/>
          <w:sz w:val="28"/>
          <w:szCs w:val="28"/>
          <w:highlight w:val="none"/>
          <w:lang w:val="en-US" w:eastAsia="zh-CN"/>
        </w:rPr>
        <w:t>7</w:t>
      </w:r>
      <w:r>
        <w:rPr>
          <w:rFonts w:hint="eastAsia" w:ascii="仿宋" w:hAnsi="仿宋" w:eastAsia="仿宋" w:cs="楷体"/>
          <w:bCs/>
          <w:snapToGrid w:val="0"/>
          <w:color w:val="auto"/>
          <w:kern w:val="0"/>
          <w:sz w:val="28"/>
          <w:szCs w:val="28"/>
          <w:highlight w:val="none"/>
        </w:rPr>
        <w:t>信誉要求：</w:t>
      </w:r>
      <w:r>
        <w:rPr>
          <w:rFonts w:hint="eastAsia" w:ascii="仿宋" w:hAnsi="仿宋" w:eastAsia="仿宋" w:cs="楷体"/>
          <w:bCs/>
          <w:snapToGrid w:val="0"/>
          <w:color w:val="auto"/>
          <w:kern w:val="0"/>
          <w:sz w:val="28"/>
          <w:szCs w:val="28"/>
          <w:highlight w:val="none"/>
          <w:lang w:val="en-US" w:eastAsia="zh-CN"/>
        </w:rPr>
        <w:t>投标人不得存在下列情形</w:t>
      </w:r>
    </w:p>
    <w:p w14:paraId="2C641EA8">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（1）</w:t>
      </w:r>
      <w:r>
        <w:rPr>
          <w:rFonts w:hint="eastAsia" w:ascii="仿宋" w:hAnsi="仿宋" w:eastAsia="仿宋" w:cs="楷体"/>
          <w:bCs/>
          <w:snapToGrid w:val="0"/>
          <w:color w:val="auto"/>
          <w:kern w:val="0"/>
          <w:sz w:val="28"/>
          <w:szCs w:val="28"/>
          <w:highlight w:val="none"/>
          <w:lang w:val="en-US" w:eastAsia="zh-CN"/>
        </w:rPr>
        <w:t>被交通运输部或安徽省交通运输厅取消在安徽省的投标资格或禁止进入安徽省公路建设市场且处于有效期内</w:t>
      </w:r>
      <w:r>
        <w:rPr>
          <w:rFonts w:hint="eastAsia" w:ascii="仿宋" w:hAnsi="仿宋" w:eastAsia="仿宋" w:cs="楷体"/>
          <w:bCs/>
          <w:snapToGrid w:val="0"/>
          <w:color w:val="auto"/>
          <w:kern w:val="0"/>
          <w:sz w:val="28"/>
          <w:szCs w:val="28"/>
          <w:highlight w:val="none"/>
        </w:rPr>
        <w:t>；</w:t>
      </w:r>
    </w:p>
    <w:p w14:paraId="7A6AB82B">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（2）被责令停业，暂扣或吊销执照，或吊销资质证书；</w:t>
      </w:r>
    </w:p>
    <w:p w14:paraId="37B7026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（3）进入清算程序，或被宣告破产，或其他丧失履约能力的情形；</w:t>
      </w:r>
    </w:p>
    <w:p w14:paraId="468B812B">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（4）在国家企业信用信息公示系统（http://www.gsxt.gov.cn/）中被列入严重违法失信企业名单；</w:t>
      </w:r>
    </w:p>
    <w:p w14:paraId="6BBF3A71">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（5）在“信用中国”网站（http://www.creditchina.gov.cn/）中被列入失信被执行人名单；</w:t>
      </w:r>
    </w:p>
    <w:p w14:paraId="38DE3262">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（6）投标人或其法定代表人、拟委任的</w:t>
      </w:r>
      <w:r>
        <w:rPr>
          <w:rFonts w:hint="eastAsia" w:ascii="仿宋" w:hAnsi="仿宋" w:eastAsia="仿宋" w:cs="楷体"/>
          <w:bCs/>
          <w:snapToGrid w:val="0"/>
          <w:color w:val="auto"/>
          <w:kern w:val="0"/>
          <w:sz w:val="28"/>
          <w:szCs w:val="28"/>
          <w:highlight w:val="none"/>
          <w:lang w:val="en-US" w:eastAsia="zh-CN"/>
        </w:rPr>
        <w:t>中心试验室主任</w:t>
      </w:r>
      <w:r>
        <w:rPr>
          <w:rFonts w:hint="eastAsia" w:ascii="仿宋" w:hAnsi="仿宋" w:eastAsia="仿宋" w:cs="楷体"/>
          <w:bCs/>
          <w:snapToGrid w:val="0"/>
          <w:color w:val="auto"/>
          <w:kern w:val="0"/>
          <w:sz w:val="28"/>
          <w:szCs w:val="28"/>
          <w:highlight w:val="none"/>
        </w:rPr>
        <w:t>在近三年内有行贿犯罪行为的；</w:t>
      </w:r>
    </w:p>
    <w:p w14:paraId="4455B7B3">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lang w:eastAsia="zh-CN"/>
        </w:rPr>
        <w:t>（</w:t>
      </w:r>
      <w:r>
        <w:rPr>
          <w:rFonts w:hint="eastAsia" w:ascii="仿宋" w:hAnsi="仿宋" w:eastAsia="仿宋" w:cs="楷体"/>
          <w:bCs/>
          <w:snapToGrid w:val="0"/>
          <w:color w:val="auto"/>
          <w:kern w:val="0"/>
          <w:sz w:val="28"/>
          <w:szCs w:val="28"/>
          <w:highlight w:val="none"/>
          <w:lang w:val="en-US" w:eastAsia="zh-CN"/>
        </w:rPr>
        <w:t>7）被人力资源社会保障行政部门列入拖欠农民工工资“黑名单”；</w:t>
      </w:r>
    </w:p>
    <w:p w14:paraId="3DDE53E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w:t>
      </w:r>
      <w:r>
        <w:rPr>
          <w:rFonts w:hint="eastAsia" w:ascii="仿宋" w:hAnsi="仿宋" w:eastAsia="仿宋" w:cs="楷体"/>
          <w:bCs/>
          <w:snapToGrid w:val="0"/>
          <w:color w:val="auto"/>
          <w:kern w:val="0"/>
          <w:sz w:val="28"/>
          <w:szCs w:val="28"/>
          <w:highlight w:val="none"/>
          <w:lang w:val="en-US" w:eastAsia="zh-CN"/>
        </w:rPr>
        <w:t>8</w:t>
      </w:r>
      <w:r>
        <w:rPr>
          <w:rFonts w:hint="eastAsia" w:ascii="仿宋" w:hAnsi="仿宋" w:eastAsia="仿宋" w:cs="楷体"/>
          <w:bCs/>
          <w:snapToGrid w:val="0"/>
          <w:color w:val="auto"/>
          <w:kern w:val="0"/>
          <w:sz w:val="28"/>
          <w:szCs w:val="28"/>
          <w:highlight w:val="none"/>
        </w:rPr>
        <w:t>）法律法规或投标人须知前附表规定的其他情形。</w:t>
      </w:r>
    </w:p>
    <w:p w14:paraId="0C4CCE28">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32" w:name="_Toc5507"/>
      <w:bookmarkStart w:id="33" w:name="_Toc18931"/>
      <w:bookmarkStart w:id="34" w:name="_Toc9964"/>
      <w:bookmarkStart w:id="35" w:name="_Toc24197"/>
      <w:r>
        <w:rPr>
          <w:rFonts w:hint="eastAsia" w:ascii="黑体" w:hAnsi="黑体" w:eastAsia="黑体" w:cs="宋体"/>
          <w:b w:val="0"/>
          <w:bCs/>
          <w:color w:val="auto"/>
          <w:kern w:val="0"/>
          <w:sz w:val="28"/>
          <w:szCs w:val="28"/>
          <w:highlight w:val="none"/>
          <w:lang w:val="en-US" w:eastAsia="zh-CN" w:bidi="ar-SA"/>
        </w:rPr>
        <w:t>4. 招标文件的获取</w:t>
      </w:r>
      <w:bookmarkEnd w:id="32"/>
      <w:bookmarkEnd w:id="33"/>
      <w:bookmarkEnd w:id="34"/>
      <w:bookmarkEnd w:id="35"/>
    </w:p>
    <w:p w14:paraId="0559A34A">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bookmarkStart w:id="36" w:name="_Hlk19608760"/>
      <w:bookmarkStart w:id="37" w:name="_Toc28979"/>
      <w:bookmarkStart w:id="38" w:name="_Toc17986"/>
      <w:bookmarkStart w:id="39" w:name="_Toc8715"/>
      <w:r>
        <w:rPr>
          <w:rFonts w:hint="eastAsia" w:ascii="仿宋" w:hAnsi="仿宋" w:eastAsia="仿宋" w:cs="楷体"/>
          <w:bCs/>
          <w:snapToGrid w:val="0"/>
          <w:color w:val="auto"/>
          <w:kern w:val="0"/>
          <w:sz w:val="28"/>
          <w:szCs w:val="28"/>
          <w:highlight w:val="none"/>
        </w:rPr>
        <w:t>4.1获取时间：202</w:t>
      </w:r>
      <w:r>
        <w:rPr>
          <w:rFonts w:hint="eastAsia" w:ascii="仿宋" w:hAnsi="仿宋" w:eastAsia="仿宋" w:cs="楷体"/>
          <w:bCs/>
          <w:snapToGrid w:val="0"/>
          <w:color w:val="auto"/>
          <w:kern w:val="0"/>
          <w:sz w:val="28"/>
          <w:szCs w:val="28"/>
          <w:highlight w:val="none"/>
          <w:lang w:val="en-US" w:eastAsia="zh-CN"/>
        </w:rPr>
        <w:t>5</w:t>
      </w:r>
      <w:r>
        <w:rPr>
          <w:rFonts w:hint="eastAsia" w:ascii="仿宋" w:hAnsi="仿宋" w:eastAsia="仿宋" w:cs="楷体"/>
          <w:bCs/>
          <w:snapToGrid w:val="0"/>
          <w:color w:val="auto"/>
          <w:kern w:val="0"/>
          <w:sz w:val="28"/>
          <w:szCs w:val="28"/>
          <w:highlight w:val="none"/>
        </w:rPr>
        <w:t>年</w:t>
      </w:r>
      <w:r>
        <w:rPr>
          <w:rFonts w:hint="eastAsia" w:ascii="仿宋" w:hAnsi="仿宋" w:eastAsia="仿宋" w:cs="楷体"/>
          <w:bCs/>
          <w:snapToGrid w:val="0"/>
          <w:color w:val="auto"/>
          <w:kern w:val="0"/>
          <w:sz w:val="28"/>
          <w:szCs w:val="28"/>
          <w:highlight w:val="none"/>
          <w:lang w:val="en-US" w:eastAsia="zh-CN"/>
        </w:rPr>
        <w:t>4</w:t>
      </w:r>
      <w:r>
        <w:rPr>
          <w:rFonts w:hint="eastAsia" w:ascii="仿宋" w:hAnsi="仿宋" w:eastAsia="仿宋" w:cs="楷体"/>
          <w:bCs/>
          <w:snapToGrid w:val="0"/>
          <w:color w:val="auto"/>
          <w:kern w:val="0"/>
          <w:sz w:val="28"/>
          <w:szCs w:val="28"/>
          <w:highlight w:val="none"/>
        </w:rPr>
        <w:t>月</w:t>
      </w:r>
      <w:r>
        <w:rPr>
          <w:rFonts w:hint="eastAsia" w:ascii="仿宋" w:hAnsi="仿宋" w:eastAsia="仿宋" w:cs="楷体"/>
          <w:bCs/>
          <w:snapToGrid w:val="0"/>
          <w:color w:val="auto"/>
          <w:kern w:val="0"/>
          <w:sz w:val="28"/>
          <w:szCs w:val="28"/>
          <w:highlight w:val="none"/>
          <w:lang w:val="en-US" w:eastAsia="zh-CN"/>
        </w:rPr>
        <w:t>2</w:t>
      </w:r>
      <w:r>
        <w:rPr>
          <w:rFonts w:hint="eastAsia" w:ascii="仿宋" w:hAnsi="仿宋" w:eastAsia="仿宋" w:cs="楷体"/>
          <w:bCs/>
          <w:snapToGrid w:val="0"/>
          <w:color w:val="auto"/>
          <w:kern w:val="0"/>
          <w:sz w:val="28"/>
          <w:szCs w:val="28"/>
          <w:highlight w:val="none"/>
        </w:rPr>
        <w:t>日至202</w:t>
      </w:r>
      <w:r>
        <w:rPr>
          <w:rFonts w:hint="eastAsia" w:ascii="仿宋" w:hAnsi="仿宋" w:eastAsia="仿宋" w:cs="楷体"/>
          <w:bCs/>
          <w:snapToGrid w:val="0"/>
          <w:color w:val="auto"/>
          <w:kern w:val="0"/>
          <w:sz w:val="28"/>
          <w:szCs w:val="28"/>
          <w:highlight w:val="none"/>
          <w:lang w:val="en-US" w:eastAsia="zh-CN"/>
        </w:rPr>
        <w:t>5</w:t>
      </w:r>
      <w:r>
        <w:rPr>
          <w:rFonts w:hint="eastAsia" w:ascii="仿宋" w:hAnsi="仿宋" w:eastAsia="仿宋" w:cs="楷体"/>
          <w:bCs/>
          <w:snapToGrid w:val="0"/>
          <w:color w:val="auto"/>
          <w:kern w:val="0"/>
          <w:sz w:val="28"/>
          <w:szCs w:val="28"/>
          <w:highlight w:val="none"/>
        </w:rPr>
        <w:t>年</w:t>
      </w:r>
      <w:r>
        <w:rPr>
          <w:rFonts w:hint="eastAsia" w:ascii="仿宋" w:hAnsi="仿宋" w:eastAsia="仿宋" w:cs="楷体"/>
          <w:bCs/>
          <w:snapToGrid w:val="0"/>
          <w:color w:val="auto"/>
          <w:kern w:val="0"/>
          <w:sz w:val="28"/>
          <w:szCs w:val="28"/>
          <w:highlight w:val="none"/>
          <w:lang w:val="en-US" w:eastAsia="zh-CN"/>
        </w:rPr>
        <w:t>4</w:t>
      </w:r>
      <w:r>
        <w:rPr>
          <w:rFonts w:hint="eastAsia" w:ascii="仿宋" w:hAnsi="仿宋" w:eastAsia="仿宋" w:cs="楷体"/>
          <w:bCs/>
          <w:snapToGrid w:val="0"/>
          <w:color w:val="auto"/>
          <w:kern w:val="0"/>
          <w:sz w:val="28"/>
          <w:szCs w:val="28"/>
          <w:highlight w:val="none"/>
        </w:rPr>
        <w:t>月</w:t>
      </w:r>
      <w:r>
        <w:rPr>
          <w:rFonts w:hint="eastAsia" w:ascii="仿宋" w:hAnsi="仿宋" w:eastAsia="仿宋" w:cs="楷体"/>
          <w:bCs/>
          <w:snapToGrid w:val="0"/>
          <w:color w:val="auto"/>
          <w:kern w:val="0"/>
          <w:sz w:val="28"/>
          <w:szCs w:val="28"/>
          <w:highlight w:val="none"/>
          <w:lang w:val="en-US" w:eastAsia="zh-CN"/>
        </w:rPr>
        <w:t>24</w:t>
      </w:r>
      <w:r>
        <w:rPr>
          <w:rFonts w:hint="eastAsia" w:ascii="仿宋" w:hAnsi="仿宋" w:eastAsia="仿宋" w:cs="楷体"/>
          <w:bCs/>
          <w:snapToGrid w:val="0"/>
          <w:color w:val="auto"/>
          <w:kern w:val="0"/>
          <w:sz w:val="28"/>
          <w:szCs w:val="28"/>
          <w:highlight w:val="none"/>
        </w:rPr>
        <w:t>日</w:t>
      </w:r>
      <w:r>
        <w:rPr>
          <w:rFonts w:hint="eastAsia" w:ascii="仿宋" w:hAnsi="仿宋" w:eastAsia="仿宋" w:cs="楷体"/>
          <w:bCs/>
          <w:snapToGrid w:val="0"/>
          <w:color w:val="auto"/>
          <w:kern w:val="0"/>
          <w:sz w:val="28"/>
          <w:szCs w:val="28"/>
          <w:highlight w:val="none"/>
          <w:lang w:val="en-US" w:eastAsia="zh-CN"/>
        </w:rPr>
        <w:t>10</w:t>
      </w:r>
      <w:r>
        <w:rPr>
          <w:rFonts w:hint="eastAsia" w:ascii="仿宋" w:hAnsi="仿宋" w:eastAsia="仿宋" w:cs="楷体"/>
          <w:bCs/>
          <w:snapToGrid w:val="0"/>
          <w:color w:val="auto"/>
          <w:kern w:val="0"/>
          <w:sz w:val="28"/>
          <w:szCs w:val="28"/>
          <w:highlight w:val="none"/>
        </w:rPr>
        <w:t>时</w:t>
      </w:r>
      <w:r>
        <w:rPr>
          <w:rFonts w:hint="eastAsia" w:ascii="仿宋" w:hAnsi="仿宋" w:eastAsia="仿宋" w:cs="楷体"/>
          <w:bCs/>
          <w:snapToGrid w:val="0"/>
          <w:color w:val="auto"/>
          <w:kern w:val="0"/>
          <w:sz w:val="28"/>
          <w:szCs w:val="28"/>
          <w:highlight w:val="none"/>
          <w:lang w:val="en-US" w:eastAsia="zh-CN"/>
        </w:rPr>
        <w:t>00</w:t>
      </w:r>
      <w:r>
        <w:rPr>
          <w:rFonts w:hint="eastAsia" w:ascii="仿宋" w:hAnsi="仿宋" w:eastAsia="仿宋" w:cs="楷体"/>
          <w:bCs/>
          <w:snapToGrid w:val="0"/>
          <w:color w:val="auto"/>
          <w:kern w:val="0"/>
          <w:sz w:val="28"/>
          <w:szCs w:val="28"/>
          <w:highlight w:val="none"/>
        </w:rPr>
        <w:t>分。</w:t>
      </w:r>
    </w:p>
    <w:p w14:paraId="5AFF9EAF">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4.2获取方式：</w:t>
      </w:r>
    </w:p>
    <w:p w14:paraId="0B1EF23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（1）潜在投标人须登录安徽（区域）公共资源交易电子服务系统（电子服务系统）查阅招标文件。首次登录须持有电子服务系统兼容的数字证书，详情参见电子服务系统办事指南。</w:t>
      </w:r>
    </w:p>
    <w:p w14:paraId="702B2BB3">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（2）</w:t>
      </w:r>
      <w:r>
        <w:rPr>
          <w:rFonts w:hint="eastAsia" w:ascii="仿宋" w:hAnsi="仿宋" w:eastAsia="仿宋" w:cs="楷体"/>
          <w:bCs/>
          <w:snapToGrid w:val="0"/>
          <w:color w:val="auto"/>
          <w:kern w:val="0"/>
          <w:sz w:val="28"/>
          <w:szCs w:val="28"/>
          <w:highlight w:val="none"/>
          <w:lang w:val="en-US" w:eastAsia="zh-CN"/>
        </w:rPr>
        <w:t>潜在投标人查阅招标文件后，如参与投标，则须在本条第4.1款规定的招标文件获取时间内通过优质采电子交易系统获取招标文件</w:t>
      </w:r>
      <w:r>
        <w:rPr>
          <w:rFonts w:hint="eastAsia" w:ascii="仿宋" w:hAnsi="仿宋" w:eastAsia="仿宋" w:cs="楷体"/>
          <w:bCs/>
          <w:snapToGrid w:val="0"/>
          <w:color w:val="auto"/>
          <w:kern w:val="0"/>
          <w:sz w:val="28"/>
          <w:szCs w:val="28"/>
          <w:highlight w:val="none"/>
        </w:rPr>
        <w:t>。</w:t>
      </w:r>
    </w:p>
    <w:p w14:paraId="71B6F9AE">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（3）招标文件费用支付方式：</w:t>
      </w:r>
      <w:r>
        <w:rPr>
          <w:rFonts w:hint="eastAsia" w:ascii="仿宋" w:hAnsi="仿宋" w:eastAsia="仿宋" w:cs="楷体"/>
          <w:bCs/>
          <w:snapToGrid w:val="0"/>
          <w:color w:val="auto"/>
          <w:kern w:val="0"/>
          <w:sz w:val="28"/>
          <w:szCs w:val="28"/>
          <w:highlight w:val="none"/>
          <w:lang w:val="en-US" w:eastAsia="zh-CN"/>
        </w:rPr>
        <w:t>/</w:t>
      </w:r>
      <w:r>
        <w:rPr>
          <w:rFonts w:hint="eastAsia" w:ascii="仿宋" w:hAnsi="仿宋" w:eastAsia="仿宋" w:cs="楷体"/>
          <w:bCs/>
          <w:snapToGrid w:val="0"/>
          <w:color w:val="auto"/>
          <w:kern w:val="0"/>
          <w:sz w:val="28"/>
          <w:szCs w:val="28"/>
          <w:highlight w:val="none"/>
        </w:rPr>
        <w:t>。</w:t>
      </w:r>
    </w:p>
    <w:p w14:paraId="6CF381B6">
      <w:pPr>
        <w:keepNext w:val="0"/>
        <w:keepLines w:val="0"/>
        <w:pageBreakBefore w:val="0"/>
        <w:widowControl w:val="0"/>
        <w:kinsoku/>
        <w:wordWrap w:val="0"/>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rPr>
        <w:t>（4）</w:t>
      </w:r>
      <w:r>
        <w:rPr>
          <w:rFonts w:hint="eastAsia" w:ascii="仿宋" w:hAnsi="仿宋" w:eastAsia="仿宋" w:cs="楷体"/>
          <w:bCs/>
          <w:snapToGrid w:val="0"/>
          <w:color w:val="auto"/>
          <w:kern w:val="0"/>
          <w:sz w:val="28"/>
          <w:szCs w:val="28"/>
          <w:highlight w:val="none"/>
          <w:lang w:val="en-US" w:eastAsia="zh-CN"/>
        </w:rPr>
        <w:t>招标文件获取过程中有任何疑问，请在工作时间（周一至周五，9:00-12:00，13:00-17:00，节假日休息）拨打技术支持热线（非项目咨询）：4009980000</w:t>
      </w:r>
      <w:r>
        <w:rPr>
          <w:rFonts w:hint="eastAsia" w:ascii="仿宋" w:hAnsi="仿宋" w:eastAsia="仿宋" w:cs="楷体"/>
          <w:bCs/>
          <w:snapToGrid w:val="0"/>
          <w:color w:val="auto"/>
          <w:kern w:val="0"/>
          <w:sz w:val="28"/>
          <w:szCs w:val="28"/>
          <w:highlight w:val="none"/>
        </w:rPr>
        <w:t>。项目咨询请拨打电话：</w:t>
      </w:r>
      <w:r>
        <w:rPr>
          <w:rFonts w:hint="eastAsia" w:ascii="仿宋" w:hAnsi="仿宋" w:eastAsia="仿宋" w:cs="楷体"/>
          <w:bCs/>
          <w:snapToGrid w:val="0"/>
          <w:color w:val="auto"/>
          <w:kern w:val="0"/>
          <w:sz w:val="28"/>
          <w:szCs w:val="28"/>
          <w:highlight w:val="none"/>
          <w:lang w:val="en-US" w:eastAsia="zh-CN"/>
        </w:rPr>
        <w:t>18909605753</w:t>
      </w:r>
      <w:r>
        <w:rPr>
          <w:rFonts w:hint="eastAsia" w:ascii="仿宋" w:hAnsi="仿宋" w:eastAsia="仿宋" w:cs="楷体"/>
          <w:bCs/>
          <w:snapToGrid w:val="0"/>
          <w:color w:val="auto"/>
          <w:kern w:val="0"/>
          <w:sz w:val="28"/>
          <w:szCs w:val="28"/>
          <w:highlight w:val="none"/>
          <w:lang w:eastAsia="zh-CN"/>
        </w:rPr>
        <w:t>。</w:t>
      </w:r>
    </w:p>
    <w:p w14:paraId="647CCDD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4.3招标文件价格：</w:t>
      </w:r>
      <w:r>
        <w:rPr>
          <w:rFonts w:hint="eastAsia" w:ascii="仿宋" w:hAnsi="仿宋" w:eastAsia="仿宋" w:cs="楷体"/>
          <w:bCs/>
          <w:snapToGrid w:val="0"/>
          <w:color w:val="auto"/>
          <w:kern w:val="0"/>
          <w:sz w:val="28"/>
          <w:szCs w:val="28"/>
          <w:highlight w:val="none"/>
          <w:lang w:val="en-US" w:eastAsia="zh-CN"/>
        </w:rPr>
        <w:t>本项目不收取招标文件费用</w:t>
      </w:r>
      <w:r>
        <w:rPr>
          <w:rFonts w:hint="eastAsia" w:ascii="仿宋" w:hAnsi="仿宋" w:eastAsia="仿宋" w:cs="楷体"/>
          <w:bCs/>
          <w:snapToGrid w:val="0"/>
          <w:color w:val="auto"/>
          <w:kern w:val="0"/>
          <w:sz w:val="28"/>
          <w:szCs w:val="28"/>
          <w:highlight w:val="none"/>
        </w:rPr>
        <w:t>。</w:t>
      </w:r>
      <w:bookmarkEnd w:id="36"/>
      <w:bookmarkStart w:id="40" w:name="_Hlk27035928"/>
    </w:p>
    <w:bookmarkEnd w:id="37"/>
    <w:bookmarkEnd w:id="38"/>
    <w:bookmarkEnd w:id="39"/>
    <w:bookmarkEnd w:id="40"/>
    <w:p w14:paraId="5EF8A0C5">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41" w:name="_Toc36623953"/>
      <w:bookmarkStart w:id="42" w:name="_Toc29283"/>
      <w:bookmarkStart w:id="43" w:name="_Toc15548042"/>
      <w:bookmarkStart w:id="44" w:name="_Toc14201190"/>
      <w:bookmarkStart w:id="45" w:name="_Toc460226711"/>
      <w:bookmarkStart w:id="46" w:name="_Toc471819488"/>
      <w:bookmarkStart w:id="47" w:name="_Toc460660053"/>
      <w:bookmarkStart w:id="48" w:name="_Toc460226980"/>
      <w:r>
        <w:rPr>
          <w:rFonts w:hint="eastAsia" w:ascii="黑体" w:hAnsi="黑体" w:eastAsia="黑体" w:cs="宋体"/>
          <w:b w:val="0"/>
          <w:bCs/>
          <w:color w:val="auto"/>
          <w:kern w:val="0"/>
          <w:sz w:val="28"/>
          <w:szCs w:val="28"/>
          <w:highlight w:val="none"/>
          <w:lang w:val="en-US" w:eastAsia="zh-CN" w:bidi="ar-SA"/>
        </w:rPr>
        <w:t>5.投标文件的递交</w:t>
      </w:r>
      <w:bookmarkEnd w:id="41"/>
      <w:bookmarkEnd w:id="42"/>
      <w:bookmarkEnd w:id="43"/>
      <w:bookmarkEnd w:id="44"/>
    </w:p>
    <w:p w14:paraId="1E158DAE">
      <w:pPr>
        <w:keepNext w:val="0"/>
        <w:keepLines w:val="0"/>
        <w:pageBreakBefore w:val="0"/>
        <w:widowControl w:val="0"/>
        <w:kinsoku/>
        <w:wordWrap/>
        <w:overflowPunct/>
        <w:autoSpaceDE/>
        <w:autoSpaceDN/>
        <w:bidi w:val="0"/>
        <w:adjustRightInd w:val="0"/>
        <w:snapToGrid w:val="0"/>
        <w:spacing w:line="560" w:lineRule="exact"/>
        <w:ind w:left="279" w:leftChars="133" w:firstLine="280" w:firstLineChars="1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rPr>
        <w:t>投标文件递交的截止时间(投标截止时间，下同)为202</w:t>
      </w:r>
      <w:r>
        <w:rPr>
          <w:rFonts w:hint="eastAsia" w:ascii="仿宋" w:hAnsi="仿宋" w:eastAsia="仿宋" w:cs="楷体"/>
          <w:bCs/>
          <w:snapToGrid w:val="0"/>
          <w:color w:val="auto"/>
          <w:kern w:val="0"/>
          <w:sz w:val="28"/>
          <w:szCs w:val="28"/>
          <w:highlight w:val="none"/>
          <w:lang w:val="en-US" w:eastAsia="zh-CN"/>
        </w:rPr>
        <w:t>5</w:t>
      </w:r>
      <w:r>
        <w:rPr>
          <w:rFonts w:hint="eastAsia" w:ascii="仿宋" w:hAnsi="仿宋" w:eastAsia="仿宋" w:cs="楷体"/>
          <w:bCs/>
          <w:snapToGrid w:val="0"/>
          <w:color w:val="auto"/>
          <w:kern w:val="0"/>
          <w:sz w:val="28"/>
          <w:szCs w:val="28"/>
          <w:highlight w:val="none"/>
        </w:rPr>
        <w:t>年</w:t>
      </w:r>
      <w:r>
        <w:rPr>
          <w:rFonts w:hint="eastAsia" w:ascii="仿宋" w:hAnsi="仿宋" w:eastAsia="仿宋" w:cs="楷体"/>
          <w:bCs/>
          <w:snapToGrid w:val="0"/>
          <w:color w:val="auto"/>
          <w:kern w:val="0"/>
          <w:sz w:val="28"/>
          <w:szCs w:val="28"/>
          <w:highlight w:val="none"/>
          <w:lang w:val="en-US" w:eastAsia="zh-CN"/>
        </w:rPr>
        <w:t>4</w:t>
      </w:r>
      <w:r>
        <w:rPr>
          <w:rFonts w:hint="eastAsia" w:ascii="仿宋" w:hAnsi="仿宋" w:eastAsia="仿宋" w:cs="楷体"/>
          <w:bCs/>
          <w:snapToGrid w:val="0"/>
          <w:color w:val="auto"/>
          <w:kern w:val="0"/>
          <w:sz w:val="28"/>
          <w:szCs w:val="28"/>
          <w:highlight w:val="none"/>
        </w:rPr>
        <w:t>月</w:t>
      </w:r>
      <w:r>
        <w:rPr>
          <w:rFonts w:hint="eastAsia" w:ascii="仿宋" w:hAnsi="仿宋" w:eastAsia="仿宋" w:cs="楷体"/>
          <w:bCs/>
          <w:snapToGrid w:val="0"/>
          <w:color w:val="auto"/>
          <w:kern w:val="0"/>
          <w:sz w:val="28"/>
          <w:szCs w:val="28"/>
          <w:highlight w:val="none"/>
          <w:lang w:val="en-US" w:eastAsia="zh-CN"/>
        </w:rPr>
        <w:t>24</w:t>
      </w:r>
      <w:r>
        <w:rPr>
          <w:rFonts w:hint="eastAsia" w:ascii="仿宋" w:hAnsi="仿宋" w:eastAsia="仿宋" w:cs="楷体"/>
          <w:bCs/>
          <w:snapToGrid w:val="0"/>
          <w:color w:val="auto"/>
          <w:kern w:val="0"/>
          <w:sz w:val="28"/>
          <w:szCs w:val="28"/>
          <w:highlight w:val="none"/>
        </w:rPr>
        <w:t>日</w:t>
      </w:r>
      <w:r>
        <w:rPr>
          <w:rFonts w:hint="eastAsia" w:ascii="仿宋" w:hAnsi="仿宋" w:eastAsia="仿宋" w:cs="楷体"/>
          <w:bCs/>
          <w:snapToGrid w:val="0"/>
          <w:color w:val="auto"/>
          <w:kern w:val="0"/>
          <w:sz w:val="28"/>
          <w:szCs w:val="28"/>
          <w:highlight w:val="none"/>
          <w:lang w:val="en-US" w:eastAsia="zh-CN"/>
        </w:rPr>
        <w:t>10时</w:t>
      </w:r>
    </w:p>
    <w:p w14:paraId="7AF13D90">
      <w:pPr>
        <w:keepNext w:val="0"/>
        <w:keepLines w:val="0"/>
        <w:pageBreakBefore w:val="0"/>
        <w:widowControl w:val="0"/>
        <w:kinsoku/>
        <w:wordWrap/>
        <w:overflowPunct/>
        <w:autoSpaceDE/>
        <w:autoSpaceDN/>
        <w:bidi w:val="0"/>
        <w:adjustRightInd w:val="0"/>
        <w:snapToGrid w:val="0"/>
        <w:spacing w:line="560" w:lineRule="exact"/>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00</w:t>
      </w:r>
      <w:r>
        <w:rPr>
          <w:rFonts w:hint="eastAsia" w:ascii="仿宋" w:hAnsi="仿宋" w:eastAsia="仿宋" w:cs="楷体"/>
          <w:bCs/>
          <w:snapToGrid w:val="0"/>
          <w:color w:val="auto"/>
          <w:kern w:val="0"/>
          <w:sz w:val="28"/>
          <w:szCs w:val="28"/>
          <w:highlight w:val="none"/>
        </w:rPr>
        <w:t>分</w:t>
      </w:r>
      <w:r>
        <w:rPr>
          <w:rFonts w:hint="eastAsia" w:ascii="仿宋" w:hAnsi="仿宋" w:eastAsia="仿宋" w:cs="楷体"/>
          <w:bCs/>
          <w:snapToGrid w:val="0"/>
          <w:color w:val="auto"/>
          <w:kern w:val="0"/>
          <w:sz w:val="28"/>
          <w:szCs w:val="28"/>
          <w:highlight w:val="none"/>
          <w:lang w:eastAsia="zh-CN"/>
        </w:rPr>
        <w:t>，</w:t>
      </w:r>
      <w:r>
        <w:rPr>
          <w:rFonts w:hint="eastAsia" w:ascii="仿宋" w:hAnsi="仿宋" w:eastAsia="仿宋" w:cs="楷体"/>
          <w:b w:val="0"/>
          <w:bCs/>
          <w:snapToGrid w:val="0"/>
          <w:color w:val="auto"/>
          <w:kern w:val="0"/>
          <w:sz w:val="28"/>
          <w:szCs w:val="28"/>
          <w:highlight w:val="none"/>
        </w:rPr>
        <w:t>投标人应在截止时间前</w:t>
      </w:r>
      <w:r>
        <w:rPr>
          <w:rFonts w:hint="eastAsia" w:ascii="仿宋" w:hAnsi="仿宋" w:eastAsia="仿宋" w:cs="楷体"/>
          <w:b w:val="0"/>
          <w:bCs/>
          <w:snapToGrid w:val="0"/>
          <w:color w:val="auto"/>
          <w:kern w:val="0"/>
          <w:sz w:val="28"/>
          <w:szCs w:val="28"/>
          <w:highlight w:val="none"/>
          <w:lang w:val="en-US" w:eastAsia="zh-CN"/>
        </w:rPr>
        <w:t>通过优质采投标文件制作工具导入投标文件，并加密上传</w:t>
      </w:r>
      <w:r>
        <w:rPr>
          <w:rFonts w:hint="eastAsia" w:ascii="仿宋" w:hAnsi="仿宋" w:eastAsia="仿宋" w:cs="楷体"/>
          <w:bCs/>
          <w:snapToGrid w:val="0"/>
          <w:color w:val="auto"/>
          <w:kern w:val="0"/>
          <w:sz w:val="28"/>
          <w:szCs w:val="28"/>
          <w:highlight w:val="none"/>
        </w:rPr>
        <w:t>。</w:t>
      </w:r>
      <w:bookmarkEnd w:id="45"/>
      <w:bookmarkEnd w:id="46"/>
      <w:bookmarkEnd w:id="47"/>
      <w:bookmarkEnd w:id="48"/>
    </w:p>
    <w:p w14:paraId="62D35BFA">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49" w:name="_Toc36623954"/>
      <w:bookmarkStart w:id="50" w:name="_Toc5945"/>
      <w:bookmarkStart w:id="51" w:name="_Toc15548043"/>
      <w:bookmarkStart w:id="52" w:name="_Toc14201191"/>
      <w:r>
        <w:rPr>
          <w:rFonts w:hint="eastAsia" w:ascii="黑体" w:hAnsi="黑体" w:eastAsia="黑体" w:cs="宋体"/>
          <w:b w:val="0"/>
          <w:bCs/>
          <w:color w:val="auto"/>
          <w:kern w:val="0"/>
          <w:sz w:val="28"/>
          <w:szCs w:val="28"/>
          <w:highlight w:val="none"/>
          <w:lang w:val="en-US" w:eastAsia="zh-CN" w:bidi="ar-SA"/>
        </w:rPr>
        <w:t>6.</w:t>
      </w:r>
      <w:bookmarkEnd w:id="49"/>
      <w:bookmarkEnd w:id="50"/>
      <w:bookmarkEnd w:id="51"/>
      <w:bookmarkEnd w:id="52"/>
      <w:r>
        <w:rPr>
          <w:rFonts w:hint="eastAsia" w:ascii="黑体" w:hAnsi="黑体" w:eastAsia="黑体" w:cs="宋体"/>
          <w:b w:val="0"/>
          <w:bCs/>
          <w:color w:val="auto"/>
          <w:kern w:val="0"/>
          <w:sz w:val="28"/>
          <w:szCs w:val="28"/>
          <w:highlight w:val="none"/>
          <w:lang w:val="en-US" w:eastAsia="zh-CN" w:bidi="ar-SA"/>
        </w:rPr>
        <w:t>资格审查方式</w:t>
      </w:r>
    </w:p>
    <w:p w14:paraId="542E343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本招标项目采用资格后审方式进行资格审查。</w:t>
      </w:r>
    </w:p>
    <w:p w14:paraId="667BD341">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53" w:name="_Toc36623955"/>
      <w:bookmarkStart w:id="54" w:name="_Toc19664"/>
      <w:bookmarkStart w:id="55" w:name="_Toc15548044"/>
      <w:bookmarkStart w:id="56" w:name="_Toc14201192"/>
      <w:r>
        <w:rPr>
          <w:rFonts w:hint="eastAsia" w:ascii="黑体" w:hAnsi="黑体" w:eastAsia="黑体" w:cs="宋体"/>
          <w:b w:val="0"/>
          <w:bCs/>
          <w:color w:val="auto"/>
          <w:kern w:val="0"/>
          <w:sz w:val="28"/>
          <w:szCs w:val="28"/>
          <w:highlight w:val="none"/>
          <w:lang w:val="en-US" w:eastAsia="zh-CN" w:bidi="ar-SA"/>
        </w:rPr>
        <w:t>7.评标办法</w:t>
      </w:r>
      <w:bookmarkEnd w:id="53"/>
      <w:bookmarkEnd w:id="54"/>
      <w:bookmarkEnd w:id="55"/>
      <w:bookmarkEnd w:id="56"/>
    </w:p>
    <w:p w14:paraId="4CB800A0">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本招标项目评标办法采用综合评估法</w:t>
      </w:r>
      <w:r>
        <w:rPr>
          <w:rFonts w:hint="eastAsia" w:ascii="仿宋" w:hAnsi="仿宋" w:eastAsia="仿宋" w:cs="楷体"/>
          <w:bCs/>
          <w:snapToGrid w:val="0"/>
          <w:color w:val="auto"/>
          <w:kern w:val="0"/>
          <w:sz w:val="28"/>
          <w:szCs w:val="28"/>
          <w:highlight w:val="none"/>
        </w:rPr>
        <w:t>。</w:t>
      </w:r>
    </w:p>
    <w:p w14:paraId="246A5740">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57" w:name="_Toc12148"/>
      <w:bookmarkStart w:id="58" w:name="_Toc14201193"/>
      <w:bookmarkStart w:id="59" w:name="_Toc15548045"/>
      <w:bookmarkStart w:id="60" w:name="_Toc36623956"/>
      <w:r>
        <w:rPr>
          <w:rFonts w:hint="eastAsia" w:ascii="黑体" w:hAnsi="黑体" w:eastAsia="黑体" w:cs="宋体"/>
          <w:b w:val="0"/>
          <w:bCs/>
          <w:color w:val="auto"/>
          <w:kern w:val="0"/>
          <w:sz w:val="28"/>
          <w:szCs w:val="28"/>
          <w:highlight w:val="none"/>
          <w:lang w:val="en-US" w:eastAsia="zh-CN" w:bidi="ar-SA"/>
        </w:rPr>
        <w:t>8.</w:t>
      </w:r>
      <w:bookmarkEnd w:id="57"/>
      <w:bookmarkEnd w:id="58"/>
      <w:bookmarkEnd w:id="59"/>
      <w:bookmarkEnd w:id="60"/>
      <w:r>
        <w:rPr>
          <w:rFonts w:hint="eastAsia" w:ascii="黑体" w:hAnsi="黑体" w:eastAsia="黑体" w:cs="宋体"/>
          <w:b w:val="0"/>
          <w:bCs/>
          <w:color w:val="auto"/>
          <w:kern w:val="0"/>
          <w:sz w:val="28"/>
          <w:szCs w:val="28"/>
          <w:highlight w:val="none"/>
          <w:lang w:val="en-US" w:eastAsia="zh-CN" w:bidi="ar-SA"/>
        </w:rPr>
        <w:t>开标时间及地点</w:t>
      </w:r>
    </w:p>
    <w:p w14:paraId="33ECDEAB">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8.1 开标时间：</w:t>
      </w:r>
      <w:r>
        <w:rPr>
          <w:rFonts w:hint="eastAsia" w:ascii="仿宋" w:hAnsi="仿宋" w:eastAsia="仿宋" w:cs="楷体"/>
          <w:bCs/>
          <w:snapToGrid w:val="0"/>
          <w:color w:val="auto"/>
          <w:kern w:val="0"/>
          <w:sz w:val="28"/>
          <w:szCs w:val="28"/>
          <w:highlight w:val="none"/>
          <w:lang w:val="en-US" w:eastAsia="zh-CN"/>
        </w:rPr>
        <w:t>2025</w:t>
      </w:r>
      <w:r>
        <w:rPr>
          <w:rFonts w:hint="eastAsia" w:ascii="仿宋" w:hAnsi="仿宋" w:eastAsia="仿宋" w:cs="楷体"/>
          <w:bCs/>
          <w:snapToGrid w:val="0"/>
          <w:color w:val="auto"/>
          <w:kern w:val="0"/>
          <w:sz w:val="28"/>
          <w:szCs w:val="28"/>
          <w:highlight w:val="none"/>
        </w:rPr>
        <w:t>年</w:t>
      </w:r>
      <w:r>
        <w:rPr>
          <w:rFonts w:hint="eastAsia" w:ascii="仿宋" w:hAnsi="仿宋" w:eastAsia="仿宋" w:cs="楷体"/>
          <w:bCs/>
          <w:snapToGrid w:val="0"/>
          <w:color w:val="auto"/>
          <w:kern w:val="0"/>
          <w:sz w:val="28"/>
          <w:szCs w:val="28"/>
          <w:highlight w:val="none"/>
          <w:lang w:val="en-US" w:eastAsia="zh-CN"/>
        </w:rPr>
        <w:t>4</w:t>
      </w:r>
      <w:r>
        <w:rPr>
          <w:rFonts w:hint="eastAsia" w:ascii="仿宋" w:hAnsi="仿宋" w:eastAsia="仿宋" w:cs="楷体"/>
          <w:bCs/>
          <w:snapToGrid w:val="0"/>
          <w:color w:val="auto"/>
          <w:kern w:val="0"/>
          <w:sz w:val="28"/>
          <w:szCs w:val="28"/>
          <w:highlight w:val="none"/>
        </w:rPr>
        <w:t>月</w:t>
      </w:r>
      <w:r>
        <w:rPr>
          <w:rFonts w:hint="eastAsia" w:ascii="仿宋" w:hAnsi="仿宋" w:eastAsia="仿宋" w:cs="楷体"/>
          <w:bCs/>
          <w:snapToGrid w:val="0"/>
          <w:color w:val="auto"/>
          <w:kern w:val="0"/>
          <w:sz w:val="28"/>
          <w:szCs w:val="28"/>
          <w:highlight w:val="none"/>
          <w:lang w:val="en-US" w:eastAsia="zh-CN"/>
        </w:rPr>
        <w:t>24</w:t>
      </w:r>
      <w:r>
        <w:rPr>
          <w:rFonts w:hint="eastAsia" w:ascii="仿宋" w:hAnsi="仿宋" w:eastAsia="仿宋" w:cs="楷体"/>
          <w:bCs/>
          <w:snapToGrid w:val="0"/>
          <w:color w:val="auto"/>
          <w:kern w:val="0"/>
          <w:sz w:val="28"/>
          <w:szCs w:val="28"/>
          <w:highlight w:val="none"/>
        </w:rPr>
        <w:t>日</w:t>
      </w:r>
      <w:r>
        <w:rPr>
          <w:rFonts w:hint="eastAsia" w:ascii="仿宋" w:hAnsi="仿宋" w:eastAsia="仿宋" w:cs="楷体"/>
          <w:bCs/>
          <w:snapToGrid w:val="0"/>
          <w:color w:val="auto"/>
          <w:kern w:val="0"/>
          <w:sz w:val="28"/>
          <w:szCs w:val="28"/>
          <w:highlight w:val="none"/>
          <w:lang w:val="en-US" w:eastAsia="zh-CN"/>
        </w:rPr>
        <w:t>10</w:t>
      </w:r>
      <w:r>
        <w:rPr>
          <w:rFonts w:hint="eastAsia" w:ascii="仿宋" w:hAnsi="仿宋" w:eastAsia="仿宋" w:cs="楷体"/>
          <w:bCs/>
          <w:snapToGrid w:val="0"/>
          <w:color w:val="auto"/>
          <w:kern w:val="0"/>
          <w:sz w:val="28"/>
          <w:szCs w:val="28"/>
          <w:highlight w:val="none"/>
        </w:rPr>
        <w:t>时</w:t>
      </w:r>
      <w:r>
        <w:rPr>
          <w:rFonts w:hint="eastAsia" w:ascii="仿宋" w:hAnsi="仿宋" w:eastAsia="仿宋" w:cs="楷体"/>
          <w:bCs/>
          <w:snapToGrid w:val="0"/>
          <w:color w:val="auto"/>
          <w:kern w:val="0"/>
          <w:sz w:val="28"/>
          <w:szCs w:val="28"/>
          <w:highlight w:val="none"/>
          <w:lang w:val="en-US" w:eastAsia="zh-CN"/>
        </w:rPr>
        <w:t>00</w:t>
      </w:r>
      <w:r>
        <w:rPr>
          <w:rFonts w:hint="eastAsia" w:ascii="仿宋" w:hAnsi="仿宋" w:eastAsia="仿宋" w:cs="楷体"/>
          <w:bCs/>
          <w:snapToGrid w:val="0"/>
          <w:color w:val="auto"/>
          <w:kern w:val="0"/>
          <w:sz w:val="28"/>
          <w:szCs w:val="28"/>
          <w:highlight w:val="none"/>
        </w:rPr>
        <w:t>分。</w:t>
      </w:r>
    </w:p>
    <w:p w14:paraId="44CD7591">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8.2 开标地点：</w:t>
      </w:r>
    </w:p>
    <w:p w14:paraId="181E34D8">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☑合肥市滨湖新区南京路2588号要素交易市场A区（徽州大道与南京路交口）</w:t>
      </w:r>
      <w:r>
        <w:rPr>
          <w:rFonts w:hint="eastAsia" w:ascii="仿宋" w:hAnsi="仿宋" w:eastAsia="仿宋" w:cs="楷体"/>
          <w:bCs/>
          <w:strike w:val="0"/>
          <w:dstrike w:val="0"/>
          <w:snapToGrid w:val="0"/>
          <w:color w:val="auto"/>
          <w:kern w:val="0"/>
          <w:sz w:val="28"/>
          <w:szCs w:val="28"/>
          <w:highlight w:val="none"/>
          <w:lang w:val="en-US" w:eastAsia="zh-CN"/>
        </w:rPr>
        <w:t>2楼2号开标室</w:t>
      </w:r>
      <w:r>
        <w:rPr>
          <w:rFonts w:hint="eastAsia" w:ascii="仿宋" w:hAnsi="仿宋" w:eastAsia="仿宋" w:cs="楷体"/>
          <w:bCs/>
          <w:snapToGrid w:val="0"/>
          <w:color w:val="auto"/>
          <w:kern w:val="0"/>
          <w:sz w:val="28"/>
          <w:szCs w:val="28"/>
          <w:highlight w:val="none"/>
        </w:rPr>
        <w:t>。</w:t>
      </w:r>
    </w:p>
    <w:p w14:paraId="5C315B13">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lang w:val="en-US" w:eastAsia="zh-CN"/>
        </w:rPr>
        <w:t>☑本招标项目采用“不见面”开标方式，具体操作见电子交易系统不见面开标系统相关操作手册</w:t>
      </w:r>
      <w:r>
        <w:rPr>
          <w:rFonts w:hint="eastAsia" w:ascii="仿宋" w:hAnsi="仿宋" w:eastAsia="仿宋" w:cs="楷体"/>
          <w:bCs/>
          <w:snapToGrid w:val="0"/>
          <w:color w:val="auto"/>
          <w:kern w:val="0"/>
          <w:sz w:val="28"/>
          <w:szCs w:val="28"/>
          <w:highlight w:val="none"/>
          <w:lang w:eastAsia="zh-CN"/>
        </w:rPr>
        <w:t>。</w:t>
      </w:r>
    </w:p>
    <w:p w14:paraId="66C1A836">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r>
        <w:rPr>
          <w:rFonts w:hint="eastAsia" w:ascii="黑体" w:hAnsi="黑体" w:eastAsia="黑体" w:cs="宋体"/>
          <w:b w:val="0"/>
          <w:bCs/>
          <w:color w:val="auto"/>
          <w:kern w:val="0"/>
          <w:sz w:val="28"/>
          <w:szCs w:val="28"/>
          <w:highlight w:val="none"/>
          <w:lang w:val="en-US" w:eastAsia="zh-CN" w:bidi="ar-SA"/>
        </w:rPr>
        <w:t>9.招标文件的异议、投诉</w:t>
      </w:r>
    </w:p>
    <w:p w14:paraId="3EA32BB1">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 xml:space="preserve">9.1 投标人或者其他利害关系人对招标文件有异议的，应当在规定时间通过电子交易系统在线提出或以其他书面形式提出。 </w:t>
      </w:r>
    </w:p>
    <w:p w14:paraId="6A7985D8">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 xml:space="preserve">9.2 投标人或者其他利害关系人对招标人、招标代理机构的答复不满意，或者招标人、招标代理机构未在规定时间内作出答复的，可以在规定时间内通过网上投诉系统或以其他书面形式向监管部门提出投诉。 </w:t>
      </w:r>
    </w:p>
    <w:p w14:paraId="25EDEAFE">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lang w:val="en-US" w:eastAsia="zh-CN"/>
        </w:rPr>
        <w:t xml:space="preserve">9.3 </w:t>
      </w:r>
      <w:r>
        <w:rPr>
          <w:rFonts w:hint="eastAsia" w:ascii="仿宋" w:hAnsi="仿宋" w:eastAsia="仿宋" w:cs="楷体"/>
          <w:bCs/>
          <w:snapToGrid w:val="0"/>
          <w:color w:val="auto"/>
          <w:kern w:val="0"/>
          <w:sz w:val="28"/>
          <w:szCs w:val="28"/>
          <w:highlight w:val="none"/>
        </w:rPr>
        <w:t>受理异议的联系人和联系方式见招标公告11.1和11.2</w:t>
      </w:r>
      <w:r>
        <w:rPr>
          <w:rFonts w:hint="eastAsia" w:ascii="仿宋" w:hAnsi="仿宋" w:eastAsia="仿宋" w:cs="楷体"/>
          <w:bCs/>
          <w:snapToGrid w:val="0"/>
          <w:color w:val="auto"/>
          <w:kern w:val="0"/>
          <w:sz w:val="28"/>
          <w:szCs w:val="28"/>
          <w:highlight w:val="none"/>
          <w:lang w:eastAsia="zh-CN"/>
        </w:rPr>
        <w:t>。</w:t>
      </w:r>
    </w:p>
    <w:p w14:paraId="11547DF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9.4 电子交易系统网上异议操作手册见招标公告附件。</w:t>
      </w:r>
    </w:p>
    <w:p w14:paraId="2B3231E6">
      <w:pPr>
        <w:pStyle w:val="2"/>
        <w:keepNext w:val="0"/>
        <w:keepLines w:val="0"/>
        <w:pageBreakBefore w:val="0"/>
        <w:widowControl w:val="0"/>
        <w:kinsoku/>
        <w:wordWrap/>
        <w:overflowPunct/>
        <w:autoSpaceDE/>
        <w:autoSpaceDN/>
        <w:bidi w:val="0"/>
        <w:adjustRightInd w:val="0"/>
        <w:snapToGrid w:val="0"/>
        <w:spacing w:line="560" w:lineRule="exact"/>
        <w:ind w:left="0" w:leftChars="0" w:firstLine="0" w:firstLineChars="0"/>
        <w:jc w:val="left"/>
        <w:rPr>
          <w:rFonts w:hint="eastAsia" w:ascii="仿宋" w:hAnsi="仿宋" w:eastAsia="仿宋" w:cs="楷体"/>
          <w:bCs/>
          <w:snapToGrid w:val="0"/>
          <w:color w:val="auto"/>
          <w:kern w:val="0"/>
          <w:sz w:val="28"/>
          <w:szCs w:val="28"/>
          <w:highlight w:val="none"/>
        </w:rPr>
      </w:pPr>
      <w:r>
        <w:rPr>
          <w:rFonts w:hint="eastAsia" w:ascii="黑体" w:hAnsi="黑体" w:eastAsia="黑体" w:cs="宋体"/>
          <w:b w:val="0"/>
          <w:bCs/>
          <w:snapToGrid/>
          <w:color w:val="auto"/>
          <w:kern w:val="0"/>
          <w:sz w:val="28"/>
          <w:szCs w:val="28"/>
          <w:highlight w:val="none"/>
          <w:lang w:val="en-US" w:eastAsia="zh-CN"/>
        </w:rPr>
        <w:t>10.发布公告的媒介</w:t>
      </w:r>
    </w:p>
    <w:p w14:paraId="7B9D99C0">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本次招标公告同时在全国公共资源交易平台（安徽省•合肥市）网站上发布。</w:t>
      </w:r>
    </w:p>
    <w:p w14:paraId="3E8E7BB0">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61" w:name="_Toc14201194"/>
      <w:bookmarkStart w:id="62" w:name="_Toc28224"/>
      <w:bookmarkStart w:id="63" w:name="_Toc15548046"/>
      <w:bookmarkStart w:id="64" w:name="_Toc36623957"/>
      <w:r>
        <w:rPr>
          <w:rFonts w:hint="eastAsia" w:ascii="黑体" w:hAnsi="黑体" w:eastAsia="黑体" w:cs="宋体"/>
          <w:b w:val="0"/>
          <w:bCs/>
          <w:color w:val="auto"/>
          <w:kern w:val="0"/>
          <w:sz w:val="28"/>
          <w:szCs w:val="28"/>
          <w:highlight w:val="none"/>
          <w:lang w:val="en-US" w:eastAsia="zh-CN" w:bidi="ar-SA"/>
        </w:rPr>
        <w:t>11.联系方式</w:t>
      </w:r>
      <w:bookmarkEnd w:id="61"/>
      <w:bookmarkEnd w:id="62"/>
      <w:bookmarkEnd w:id="63"/>
      <w:bookmarkEnd w:id="64"/>
    </w:p>
    <w:p w14:paraId="3A20A08A">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11</w:t>
      </w:r>
      <w:r>
        <w:rPr>
          <w:rFonts w:hint="eastAsia" w:ascii="仿宋" w:hAnsi="仿宋" w:eastAsia="仿宋" w:cs="楷体"/>
          <w:bCs/>
          <w:snapToGrid w:val="0"/>
          <w:color w:val="auto"/>
          <w:kern w:val="0"/>
          <w:sz w:val="28"/>
          <w:szCs w:val="28"/>
          <w:highlight w:val="none"/>
        </w:rPr>
        <w:t>.1招标人</w:t>
      </w:r>
    </w:p>
    <w:p w14:paraId="710EB6EF">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招标人：</w:t>
      </w:r>
      <w:r>
        <w:rPr>
          <w:rFonts w:hint="eastAsia" w:ascii="仿宋" w:hAnsi="仿宋" w:eastAsia="仿宋" w:cs="楷体"/>
          <w:bCs/>
          <w:snapToGrid w:val="0"/>
          <w:color w:val="auto"/>
          <w:kern w:val="0"/>
          <w:sz w:val="28"/>
          <w:szCs w:val="28"/>
          <w:highlight w:val="none"/>
          <w:lang w:val="en-US" w:eastAsia="zh-CN"/>
        </w:rPr>
        <w:t>安徽滁扬高速公路有限公司</w:t>
      </w:r>
    </w:p>
    <w:p w14:paraId="53AE6F8A">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rPr>
        <w:t>地址：</w:t>
      </w:r>
      <w:r>
        <w:rPr>
          <w:rFonts w:hint="eastAsia" w:ascii="仿宋" w:hAnsi="仿宋" w:eastAsia="仿宋" w:cs="楷体"/>
          <w:bCs/>
          <w:snapToGrid w:val="0"/>
          <w:color w:val="auto"/>
          <w:kern w:val="0"/>
          <w:sz w:val="28"/>
          <w:szCs w:val="28"/>
          <w:highlight w:val="none"/>
          <w:lang w:eastAsia="zh-CN"/>
        </w:rPr>
        <w:t>安徽省滁州市桑涧镇328国道与311省道交叉口北侧1号</w:t>
      </w:r>
    </w:p>
    <w:p w14:paraId="3D97808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rPr>
        <w:t>联系人：</w:t>
      </w:r>
      <w:r>
        <w:rPr>
          <w:rFonts w:hint="eastAsia" w:ascii="仿宋" w:hAnsi="仿宋" w:eastAsia="仿宋" w:cs="楷体"/>
          <w:bCs/>
          <w:snapToGrid w:val="0"/>
          <w:color w:val="auto"/>
          <w:kern w:val="0"/>
          <w:sz w:val="28"/>
          <w:szCs w:val="28"/>
          <w:highlight w:val="none"/>
          <w:lang w:val="en-US" w:eastAsia="zh-CN"/>
        </w:rPr>
        <w:t>孙工</w:t>
      </w:r>
    </w:p>
    <w:p w14:paraId="7084E849">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rPr>
        <w:t>电话：13965995286</w:t>
      </w:r>
      <w:r>
        <w:rPr>
          <w:rFonts w:hint="eastAsia" w:ascii="仿宋" w:hAnsi="仿宋" w:eastAsia="仿宋" w:cs="楷体"/>
          <w:bCs/>
          <w:snapToGrid w:val="0"/>
          <w:color w:val="auto"/>
          <w:kern w:val="0"/>
          <w:sz w:val="28"/>
          <w:szCs w:val="28"/>
          <w:highlight w:val="none"/>
          <w:lang w:val="en-US" w:eastAsia="zh-CN"/>
        </w:rPr>
        <w:t xml:space="preserve"> </w:t>
      </w:r>
    </w:p>
    <w:p w14:paraId="5D9E465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11</w:t>
      </w:r>
      <w:r>
        <w:rPr>
          <w:rFonts w:hint="eastAsia" w:ascii="仿宋" w:hAnsi="仿宋" w:eastAsia="仿宋" w:cs="楷体"/>
          <w:bCs/>
          <w:snapToGrid w:val="0"/>
          <w:color w:val="auto"/>
          <w:kern w:val="0"/>
          <w:sz w:val="28"/>
          <w:szCs w:val="28"/>
          <w:highlight w:val="none"/>
        </w:rPr>
        <w:t>.2招标代理机构</w:t>
      </w:r>
    </w:p>
    <w:p w14:paraId="6BF09A2F">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招标代理机构：</w:t>
      </w:r>
      <w:r>
        <w:rPr>
          <w:rFonts w:hint="eastAsia" w:ascii="仿宋" w:hAnsi="仿宋" w:eastAsia="仿宋" w:cs="楷体"/>
          <w:bCs/>
          <w:snapToGrid w:val="0"/>
          <w:color w:val="auto"/>
          <w:kern w:val="0"/>
          <w:sz w:val="28"/>
          <w:szCs w:val="28"/>
          <w:highlight w:val="none"/>
          <w:lang w:val="en-US" w:eastAsia="zh-CN"/>
        </w:rPr>
        <w:t>滁州市城投工程咨询管理有限公司</w:t>
      </w:r>
    </w:p>
    <w:p w14:paraId="09FBC3BC">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地址：</w:t>
      </w:r>
      <w:r>
        <w:rPr>
          <w:rFonts w:hint="eastAsia" w:ascii="仿宋" w:hAnsi="仿宋" w:eastAsia="仿宋" w:cs="楷体"/>
          <w:bCs/>
          <w:snapToGrid w:val="0"/>
          <w:color w:val="auto"/>
          <w:kern w:val="0"/>
          <w:sz w:val="28"/>
          <w:szCs w:val="28"/>
          <w:highlight w:val="none"/>
          <w:lang w:val="en-US" w:eastAsia="zh-CN"/>
        </w:rPr>
        <w:t>滁州市龙蟠大道109号房产大厦6楼620室</w:t>
      </w:r>
    </w:p>
    <w:p w14:paraId="14CBEC0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联系人：</w:t>
      </w:r>
      <w:r>
        <w:rPr>
          <w:rFonts w:hint="eastAsia" w:ascii="仿宋" w:hAnsi="仿宋" w:eastAsia="仿宋" w:cs="楷体"/>
          <w:bCs/>
          <w:snapToGrid w:val="0"/>
          <w:color w:val="auto"/>
          <w:kern w:val="0"/>
          <w:sz w:val="28"/>
          <w:szCs w:val="28"/>
          <w:highlight w:val="none"/>
          <w:lang w:val="en-US" w:eastAsia="zh-CN"/>
        </w:rPr>
        <w:t>关勤勤</w:t>
      </w:r>
    </w:p>
    <w:p w14:paraId="1F822967">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default"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rPr>
        <w:t>电话：</w:t>
      </w:r>
      <w:r>
        <w:rPr>
          <w:rFonts w:hint="eastAsia" w:ascii="仿宋" w:hAnsi="仿宋" w:eastAsia="仿宋" w:cs="楷体"/>
          <w:bCs/>
          <w:snapToGrid w:val="0"/>
          <w:color w:val="auto"/>
          <w:kern w:val="0"/>
          <w:sz w:val="28"/>
          <w:szCs w:val="28"/>
          <w:highlight w:val="none"/>
          <w:lang w:val="en-US" w:eastAsia="zh-CN"/>
        </w:rPr>
        <w:t>18909605753</w:t>
      </w:r>
    </w:p>
    <w:p w14:paraId="3A65322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11</w:t>
      </w:r>
      <w:r>
        <w:rPr>
          <w:rFonts w:hint="eastAsia" w:ascii="仿宋" w:hAnsi="仿宋" w:eastAsia="仿宋" w:cs="楷体"/>
          <w:bCs/>
          <w:snapToGrid w:val="0"/>
          <w:color w:val="auto"/>
          <w:kern w:val="0"/>
          <w:sz w:val="28"/>
          <w:szCs w:val="28"/>
          <w:highlight w:val="none"/>
        </w:rPr>
        <w:t>.3电子交易系统</w:t>
      </w:r>
    </w:p>
    <w:p w14:paraId="416AF36F">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电子交易系统名称：</w:t>
      </w:r>
      <w:r>
        <w:rPr>
          <w:rFonts w:hint="eastAsia" w:ascii="仿宋" w:hAnsi="仿宋" w:eastAsia="仿宋" w:cs="楷体"/>
          <w:bCs/>
          <w:snapToGrid w:val="0"/>
          <w:color w:val="auto"/>
          <w:kern w:val="0"/>
          <w:sz w:val="28"/>
          <w:szCs w:val="28"/>
          <w:highlight w:val="none"/>
          <w:lang w:val="en-US" w:eastAsia="zh-CN"/>
        </w:rPr>
        <w:t>优质采云采购平台</w:t>
      </w:r>
    </w:p>
    <w:p w14:paraId="08C688D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电子交易系统电话：</w:t>
      </w:r>
      <w:r>
        <w:rPr>
          <w:rFonts w:hint="eastAsia" w:ascii="仿宋" w:hAnsi="仿宋" w:eastAsia="仿宋" w:cs="楷体"/>
          <w:bCs/>
          <w:snapToGrid w:val="0"/>
          <w:color w:val="auto"/>
          <w:kern w:val="0"/>
          <w:sz w:val="28"/>
          <w:szCs w:val="28"/>
          <w:highlight w:val="none"/>
          <w:lang w:val="en-US" w:eastAsia="zh-CN"/>
        </w:rPr>
        <w:t>0551-62220164</w:t>
      </w:r>
    </w:p>
    <w:p w14:paraId="2B00FA31">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11</w:t>
      </w:r>
      <w:r>
        <w:rPr>
          <w:rFonts w:hint="eastAsia" w:ascii="仿宋" w:hAnsi="仿宋" w:eastAsia="仿宋" w:cs="楷体"/>
          <w:bCs/>
          <w:snapToGrid w:val="0"/>
          <w:color w:val="auto"/>
          <w:kern w:val="0"/>
          <w:sz w:val="28"/>
          <w:szCs w:val="28"/>
          <w:highlight w:val="none"/>
        </w:rPr>
        <w:t>.4电子服务系统</w:t>
      </w:r>
    </w:p>
    <w:p w14:paraId="6180700B">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电子服务系统名称：安徽合肥公共资源交易电子服务系统</w:t>
      </w:r>
    </w:p>
    <w:p w14:paraId="1248B81C">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电子服务系统电话：0551-12345</w:t>
      </w:r>
    </w:p>
    <w:p w14:paraId="358D4B96">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11</w:t>
      </w:r>
      <w:r>
        <w:rPr>
          <w:rFonts w:hint="eastAsia" w:ascii="仿宋" w:hAnsi="仿宋" w:eastAsia="仿宋" w:cs="楷体"/>
          <w:bCs/>
          <w:snapToGrid w:val="0"/>
          <w:color w:val="auto"/>
          <w:kern w:val="0"/>
          <w:sz w:val="28"/>
          <w:szCs w:val="28"/>
          <w:highlight w:val="none"/>
        </w:rPr>
        <w:t>.5招标监督管理机构</w:t>
      </w:r>
    </w:p>
    <w:p w14:paraId="3E78C55F">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招标监督管理机构：安徽省交通运输厅</w:t>
      </w:r>
    </w:p>
    <w:p w14:paraId="303A841D">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地址：安徽省合肥市包河区高铁路98号</w:t>
      </w:r>
    </w:p>
    <w:p w14:paraId="42832DD4">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电话：0551-63629541</w:t>
      </w:r>
    </w:p>
    <w:p w14:paraId="48A9A05E">
      <w:pPr>
        <w:pStyle w:val="2"/>
        <w:keepNext w:val="0"/>
        <w:keepLines w:val="0"/>
        <w:pageBreakBefore w:val="0"/>
        <w:widowControl w:val="0"/>
        <w:kinsoku/>
        <w:wordWrap/>
        <w:overflowPunct/>
        <w:autoSpaceDE/>
        <w:autoSpaceDN/>
        <w:bidi w:val="0"/>
        <w:spacing w:line="560" w:lineRule="exact"/>
        <w:ind w:firstLine="0" w:firstLineChars="0"/>
        <w:jc w:val="left"/>
        <w:rPr>
          <w:rFonts w:hint="eastAsia" w:ascii="黑体" w:hAnsi="黑体" w:eastAsia="黑体" w:cs="宋体"/>
          <w:b w:val="0"/>
          <w:bCs/>
          <w:color w:val="auto"/>
          <w:kern w:val="0"/>
          <w:sz w:val="28"/>
          <w:szCs w:val="28"/>
          <w:highlight w:val="none"/>
          <w:lang w:val="en-US" w:eastAsia="zh-CN" w:bidi="ar-SA"/>
        </w:rPr>
      </w:pPr>
      <w:bookmarkStart w:id="65" w:name="_Toc15548047"/>
      <w:bookmarkStart w:id="66" w:name="_Toc14201195"/>
      <w:bookmarkStart w:id="67" w:name="_Toc27359"/>
      <w:bookmarkStart w:id="68" w:name="_Toc36623958"/>
      <w:bookmarkStart w:id="69" w:name="_Toc460226713"/>
      <w:bookmarkStart w:id="70" w:name="_Toc471819490"/>
      <w:bookmarkStart w:id="71" w:name="_Toc460226982"/>
      <w:bookmarkStart w:id="72" w:name="_Toc460660055"/>
      <w:r>
        <w:rPr>
          <w:rFonts w:hint="eastAsia" w:ascii="黑体" w:hAnsi="黑体" w:eastAsia="黑体" w:cs="宋体"/>
          <w:b w:val="0"/>
          <w:bCs/>
          <w:color w:val="auto"/>
          <w:kern w:val="0"/>
          <w:sz w:val="28"/>
          <w:szCs w:val="28"/>
          <w:highlight w:val="none"/>
          <w:lang w:val="en-US" w:eastAsia="zh-CN" w:bidi="ar-SA"/>
        </w:rPr>
        <w:t>12.其他事项说明</w:t>
      </w:r>
      <w:bookmarkEnd w:id="65"/>
      <w:bookmarkEnd w:id="66"/>
      <w:bookmarkEnd w:id="67"/>
      <w:bookmarkEnd w:id="68"/>
    </w:p>
    <w:bookmarkEnd w:id="69"/>
    <w:bookmarkEnd w:id="70"/>
    <w:bookmarkEnd w:id="71"/>
    <w:bookmarkEnd w:id="72"/>
    <w:p w14:paraId="7BBC49C9">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bookmarkStart w:id="73" w:name="_Toc460660056"/>
      <w:bookmarkStart w:id="74" w:name="_Toc460226714"/>
      <w:bookmarkStart w:id="75" w:name="_Toc471819491"/>
      <w:bookmarkStart w:id="76" w:name="_Toc460226983"/>
      <w:r>
        <w:rPr>
          <w:rFonts w:hint="eastAsia" w:ascii="仿宋" w:hAnsi="仿宋" w:eastAsia="仿宋" w:cs="楷体"/>
          <w:bCs/>
          <w:snapToGrid w:val="0"/>
          <w:color w:val="auto"/>
          <w:kern w:val="0"/>
          <w:sz w:val="28"/>
          <w:szCs w:val="28"/>
          <w:highlight w:val="none"/>
        </w:rPr>
        <w:t>1</w:t>
      </w:r>
      <w:r>
        <w:rPr>
          <w:rFonts w:hint="eastAsia" w:ascii="仿宋" w:hAnsi="仿宋" w:eastAsia="仿宋" w:cs="楷体"/>
          <w:bCs/>
          <w:snapToGrid w:val="0"/>
          <w:color w:val="auto"/>
          <w:kern w:val="0"/>
          <w:sz w:val="28"/>
          <w:szCs w:val="28"/>
          <w:highlight w:val="none"/>
          <w:lang w:val="en-US" w:eastAsia="zh-CN"/>
        </w:rPr>
        <w:t>2</w:t>
      </w:r>
      <w:r>
        <w:rPr>
          <w:rFonts w:hint="eastAsia" w:ascii="仿宋" w:hAnsi="仿宋" w:eastAsia="仿宋" w:cs="楷体"/>
          <w:bCs/>
          <w:snapToGrid w:val="0"/>
          <w:color w:val="auto"/>
          <w:kern w:val="0"/>
          <w:sz w:val="28"/>
          <w:szCs w:val="28"/>
          <w:highlight w:val="none"/>
        </w:rPr>
        <w:t>.1投标人应合理安排招标文件获取时间，特别是网络速度慢的地区防止在系统关闭前网络拥堵无法操作。如果因计算机及网络故障造成无法完成招标文件获取，责任自负。</w:t>
      </w:r>
    </w:p>
    <w:bookmarkEnd w:id="73"/>
    <w:bookmarkEnd w:id="74"/>
    <w:bookmarkEnd w:id="75"/>
    <w:bookmarkEnd w:id="76"/>
    <w:p w14:paraId="2EAB66F6">
      <w:pPr>
        <w:pStyle w:val="2"/>
        <w:keepNext w:val="0"/>
        <w:keepLines w:val="0"/>
        <w:pageBreakBefore w:val="0"/>
        <w:widowControl w:val="0"/>
        <w:kinsoku/>
        <w:wordWrap/>
        <w:overflowPunct/>
        <w:autoSpaceDE/>
        <w:autoSpaceDN/>
        <w:bidi w:val="0"/>
        <w:adjustRightInd w:val="0"/>
        <w:snapToGrid w:val="0"/>
        <w:spacing w:line="560" w:lineRule="exact"/>
        <w:ind w:left="0" w:leftChars="0" w:firstLine="0" w:firstLineChars="0"/>
        <w:jc w:val="left"/>
        <w:rPr>
          <w:rFonts w:hint="eastAsia" w:ascii="仿宋" w:hAnsi="仿宋" w:eastAsia="仿宋" w:cs="楷体"/>
          <w:bCs/>
          <w:snapToGrid w:val="0"/>
          <w:color w:val="auto"/>
          <w:kern w:val="0"/>
          <w:sz w:val="28"/>
          <w:szCs w:val="28"/>
          <w:highlight w:val="none"/>
          <w:lang w:val="en-US" w:eastAsia="zh-CN"/>
        </w:rPr>
      </w:pPr>
      <w:bookmarkStart w:id="77" w:name="_Toc17002"/>
      <w:bookmarkStart w:id="78" w:name="_Toc15548048"/>
      <w:bookmarkStart w:id="79" w:name="_Toc14201196"/>
      <w:bookmarkStart w:id="80" w:name="_Toc36623959"/>
      <w:r>
        <w:rPr>
          <w:rFonts w:hint="eastAsia" w:ascii="黑体" w:hAnsi="黑体" w:eastAsia="黑体" w:cs="宋体"/>
          <w:b w:val="0"/>
          <w:bCs/>
          <w:color w:val="auto"/>
          <w:kern w:val="0"/>
          <w:sz w:val="28"/>
          <w:szCs w:val="28"/>
          <w:highlight w:val="none"/>
          <w:lang w:val="en-US" w:eastAsia="zh-CN" w:bidi="ar-SA"/>
        </w:rPr>
        <w:t>13.投标保证金账户（如采用银行转账或银行电汇方式提交的，请选择以下任何一家银行递交即可）：</w:t>
      </w:r>
      <w:bookmarkEnd w:id="77"/>
      <w:bookmarkEnd w:id="78"/>
      <w:bookmarkEnd w:id="79"/>
      <w:bookmarkEnd w:id="80"/>
    </w:p>
    <w:p w14:paraId="607AC835">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户名：安徽合肥公共资源交易中心</w:t>
      </w:r>
    </w:p>
    <w:p w14:paraId="1441B473">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val="en-US" w:eastAsia="zh-CN"/>
        </w:rPr>
      </w:pPr>
      <w:r>
        <w:rPr>
          <w:rFonts w:hint="eastAsia" w:ascii="仿宋" w:hAnsi="仿宋" w:eastAsia="仿宋" w:cs="楷体"/>
          <w:bCs/>
          <w:snapToGrid w:val="0"/>
          <w:color w:val="auto"/>
          <w:kern w:val="0"/>
          <w:sz w:val="28"/>
          <w:szCs w:val="28"/>
          <w:highlight w:val="none"/>
        </w:rPr>
        <w:t>账号：184253458730</w:t>
      </w:r>
      <w:r>
        <w:rPr>
          <w:rFonts w:hint="eastAsia" w:ascii="仿宋" w:hAnsi="仿宋" w:eastAsia="仿宋" w:cs="楷体"/>
          <w:bCs/>
          <w:snapToGrid w:val="0"/>
          <w:color w:val="auto"/>
          <w:kern w:val="0"/>
          <w:sz w:val="28"/>
          <w:szCs w:val="28"/>
          <w:highlight w:val="none"/>
          <w:lang w:val="en-US" w:eastAsia="zh-CN"/>
        </w:rPr>
        <w:t xml:space="preserve"> </w:t>
      </w:r>
    </w:p>
    <w:p w14:paraId="52876F4E">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开户银行：中国银行合肥庐阳支行</w:t>
      </w:r>
    </w:p>
    <w:p w14:paraId="6E0228E0">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或</w:t>
      </w:r>
    </w:p>
    <w:p w14:paraId="786FB5D0">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户名：安徽合肥公共资源交易中心</w:t>
      </w:r>
    </w:p>
    <w:p w14:paraId="459D9449">
      <w:pPr>
        <w:keepNext w:val="0"/>
        <w:keepLines w:val="0"/>
        <w:pageBreakBefore w:val="0"/>
        <w:widowControl w:val="0"/>
        <w:kinsoku/>
        <w:wordWrap/>
        <w:overflowPunct/>
        <w:autoSpaceDE/>
        <w:autoSpaceDN/>
        <w:bidi w:val="0"/>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lang w:eastAsia="zh-CN"/>
        </w:rPr>
      </w:pPr>
      <w:r>
        <w:rPr>
          <w:rFonts w:hint="eastAsia" w:ascii="仿宋" w:hAnsi="仿宋" w:eastAsia="仿宋" w:cs="楷体"/>
          <w:bCs/>
          <w:snapToGrid w:val="0"/>
          <w:color w:val="auto"/>
          <w:kern w:val="0"/>
          <w:sz w:val="28"/>
          <w:szCs w:val="28"/>
          <w:highlight w:val="none"/>
        </w:rPr>
        <w:t>账号：1023701021001095993257066</w:t>
      </w:r>
    </w:p>
    <w:p w14:paraId="4AA600AA">
      <w:pPr>
        <w:adjustRightInd w:val="0"/>
        <w:snapToGrid w:val="0"/>
        <w:spacing w:line="560" w:lineRule="exact"/>
        <w:ind w:left="0" w:leftChars="0"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rPr>
        <w:t>开户银行：徽商银行股份有限公司合肥蜀山支行</w:t>
      </w:r>
    </w:p>
    <w:p w14:paraId="7B0BAAE7">
      <w:pPr>
        <w:adjustRightInd w:val="0"/>
        <w:snapToGrid w:val="0"/>
        <w:spacing w:line="560" w:lineRule="exact"/>
        <w:ind w:firstLine="560" w:firstLineChars="200"/>
        <w:rPr>
          <w:rFonts w:hint="eastAsia" w:ascii="仿宋" w:hAnsi="仿宋" w:eastAsia="仿宋" w:cs="楷体"/>
          <w:bCs/>
          <w:snapToGrid w:val="0"/>
          <w:color w:val="auto"/>
          <w:kern w:val="0"/>
          <w:sz w:val="28"/>
          <w:szCs w:val="28"/>
          <w:highlight w:val="none"/>
        </w:rPr>
      </w:pPr>
      <w:r>
        <w:rPr>
          <w:rFonts w:hint="eastAsia" w:ascii="仿宋" w:hAnsi="仿宋" w:eastAsia="仿宋" w:cs="楷体"/>
          <w:bCs/>
          <w:snapToGrid w:val="0"/>
          <w:color w:val="auto"/>
          <w:kern w:val="0"/>
          <w:sz w:val="28"/>
          <w:szCs w:val="28"/>
          <w:highlight w:val="none"/>
          <w:lang w:val="en-US" w:eastAsia="zh-CN"/>
        </w:rPr>
        <w:t xml:space="preserve">招标公告附件 ：《优质采电子交易系统建设工程项目平台异议操作手册》 </w:t>
      </w:r>
    </w:p>
    <w:p w14:paraId="136D9DC2">
      <w:pPr>
        <w:adjustRightInd w:val="0"/>
        <w:snapToGrid w:val="0"/>
        <w:spacing w:line="560" w:lineRule="exact"/>
        <w:ind w:firstLine="560" w:firstLineChars="200"/>
        <w:rPr>
          <w:rFonts w:hint="eastAsia" w:ascii="仿宋" w:hAnsi="仿宋" w:eastAsia="仿宋" w:cs="楷体"/>
          <w:bCs/>
          <w:snapToGrid w:val="0"/>
          <w:color w:val="auto"/>
          <w:kern w:val="0"/>
          <w:sz w:val="28"/>
          <w:szCs w:val="28"/>
          <w:highlight w:val="none"/>
          <w:lang w:val="en-US" w:eastAsia="zh-CN"/>
        </w:rPr>
      </w:pPr>
    </w:p>
    <w:p w14:paraId="2A538738">
      <w:pPr>
        <w:adjustRightInd w:val="0"/>
        <w:snapToGrid w:val="0"/>
        <w:spacing w:line="560" w:lineRule="exact"/>
        <w:ind w:firstLine="560" w:firstLineChars="200"/>
        <w:rPr>
          <w:rFonts w:hint="eastAsia" w:ascii="仿宋" w:hAnsi="仿宋" w:eastAsia="仿宋" w:cs="楷体"/>
          <w:bCs/>
          <w:snapToGrid w:val="0"/>
          <w:color w:val="auto"/>
          <w:kern w:val="0"/>
          <w:sz w:val="28"/>
          <w:szCs w:val="28"/>
          <w:highlight w:val="none"/>
          <w:lang w:val="en-US" w:eastAsia="zh-CN"/>
        </w:rPr>
      </w:pPr>
    </w:p>
    <w:p w14:paraId="5F6D33B0">
      <w:pPr>
        <w:pStyle w:val="95"/>
        <w:rPr>
          <w:color w:val="auto"/>
          <w:highlight w:val="none"/>
        </w:rPr>
      </w:pPr>
    </w:p>
    <w:p w14:paraId="4E455491">
      <w:pPr>
        <w:pStyle w:val="95"/>
        <w:rPr>
          <w:color w:val="auto"/>
          <w:highlight w:val="none"/>
        </w:rPr>
      </w:pPr>
    </w:p>
    <w:p w14:paraId="1875858A">
      <w:pPr>
        <w:pStyle w:val="95"/>
        <w:rPr>
          <w:color w:val="auto"/>
          <w:highlight w:val="none"/>
        </w:rPr>
      </w:pPr>
    </w:p>
    <w:p w14:paraId="69882C43">
      <w:pPr>
        <w:pStyle w:val="95"/>
        <w:rPr>
          <w:color w:val="auto"/>
          <w:highlight w:val="none"/>
        </w:rPr>
      </w:pPr>
    </w:p>
    <w:p w14:paraId="5B0D94AC">
      <w:pPr>
        <w:pStyle w:val="95"/>
        <w:rPr>
          <w:color w:val="auto"/>
          <w:highlight w:val="none"/>
        </w:rPr>
      </w:pPr>
    </w:p>
    <w:p w14:paraId="387EF49C">
      <w:pPr>
        <w:pStyle w:val="95"/>
        <w:rPr>
          <w:color w:val="auto"/>
          <w:highlight w:val="none"/>
        </w:rPr>
      </w:pPr>
    </w:p>
    <w:p w14:paraId="4D21D03F">
      <w:pPr>
        <w:pStyle w:val="95"/>
        <w:rPr>
          <w:color w:val="auto"/>
          <w:highlight w:val="none"/>
        </w:rPr>
      </w:pPr>
    </w:p>
    <w:p w14:paraId="6BAA1595">
      <w:pPr>
        <w:pStyle w:val="95"/>
        <w:rPr>
          <w:color w:val="auto"/>
          <w:highlight w:val="none"/>
        </w:rPr>
      </w:pPr>
    </w:p>
    <w:p w14:paraId="6F21A6A5">
      <w:pPr>
        <w:pStyle w:val="95"/>
        <w:rPr>
          <w:color w:val="auto"/>
          <w:highlight w:val="none"/>
        </w:rPr>
      </w:pPr>
    </w:p>
    <w:p w14:paraId="1F032975">
      <w:pPr>
        <w:pStyle w:val="95"/>
        <w:rPr>
          <w:color w:val="auto"/>
          <w:highlight w:val="none"/>
        </w:rPr>
      </w:pPr>
    </w:p>
    <w:p w14:paraId="0A677B32">
      <w:pPr>
        <w:pStyle w:val="28"/>
        <w:spacing w:before="78" w:line="219" w:lineRule="auto"/>
        <w:ind w:left="44"/>
        <w:rPr>
          <w:rFonts w:ascii="黑体" w:hAnsi="黑体" w:eastAsia="黑体" w:cs="黑体"/>
          <w:color w:val="auto"/>
          <w:spacing w:val="10"/>
          <w:kern w:val="2"/>
          <w:sz w:val="31"/>
          <w:szCs w:val="31"/>
          <w:highlight w:val="none"/>
          <w14:textOutline w14:w="5793" w14:cap="sq" w14:cmpd="sng">
            <w14:solidFill>
              <w14:srgbClr w14:val="000000"/>
            </w14:solidFill>
            <w14:prstDash w14:val="solid"/>
            <w14:bevel/>
          </w14:textOutline>
        </w:rPr>
      </w:pPr>
      <w:bookmarkStart w:id="81" w:name="_Toc15112"/>
      <w:bookmarkStart w:id="82" w:name="_Toc464508721"/>
      <w:bookmarkStart w:id="83" w:name="_Toc10824"/>
      <w:bookmarkStart w:id="84" w:name="_Toc494703650"/>
      <w:bookmarkStart w:id="85" w:name="_Toc496537746"/>
      <w:bookmarkStart w:id="86" w:name="_Toc496369617"/>
      <w:bookmarkStart w:id="87" w:name="_Toc179632544"/>
      <w:bookmarkStart w:id="88" w:name="_Toc144974495"/>
      <w:bookmarkStart w:id="89" w:name="_Toc152042303"/>
      <w:bookmarkStart w:id="90" w:name="_Toc152045527"/>
      <w:r>
        <w:rPr>
          <w:rFonts w:ascii="黑体" w:hAnsi="黑体" w:eastAsia="黑体" w:cs="黑体"/>
          <w:color w:val="auto"/>
          <w:spacing w:val="10"/>
          <w:kern w:val="2"/>
          <w:sz w:val="31"/>
          <w:szCs w:val="31"/>
          <w:highlight w:val="none"/>
          <w14:textOutline w14:w="5793" w14:cap="sq" w14:cmpd="sng">
            <w14:solidFill>
              <w14:srgbClr w14:val="000000"/>
            </w14:solidFill>
            <w14:prstDash w14:val="solid"/>
            <w14:bevel/>
          </w14:textOutline>
        </w:rPr>
        <w:t>附件 ：</w:t>
      </w:r>
    </w:p>
    <w:p w14:paraId="0B653562">
      <w:pPr>
        <w:spacing w:before="281" w:line="226" w:lineRule="auto"/>
        <w:ind w:left="0"/>
        <w:jc w:val="center"/>
        <w:outlineLvl w:val="9"/>
        <w:rPr>
          <w:rFonts w:ascii="黑体" w:hAnsi="黑体" w:eastAsia="黑体" w:cs="黑体"/>
          <w:color w:val="auto"/>
          <w:sz w:val="24"/>
          <w:szCs w:val="24"/>
          <w:highlight w:val="none"/>
        </w:rPr>
      </w:pPr>
      <w:bookmarkStart w:id="91" w:name="bookmark3"/>
      <w:bookmarkEnd w:id="91"/>
      <w:r>
        <w:rPr>
          <w:rFonts w:ascii="黑体" w:hAnsi="黑体" w:eastAsia="黑体" w:cs="黑体"/>
          <w:color w:val="auto"/>
          <w:spacing w:val="10"/>
          <w:sz w:val="31"/>
          <w:szCs w:val="31"/>
          <w:highlight w:val="none"/>
          <w14:textOutline w14:w="5793" w14:cap="sq" w14:cmpd="sng">
            <w14:solidFill>
              <w14:srgbClr w14:val="000000"/>
            </w14:solidFill>
            <w14:prstDash w14:val="solid"/>
            <w14:bevel/>
          </w14:textOutline>
        </w:rPr>
        <w:t>优质采电子交易系统建设工程项目平台异议操作手册（投标人端）</w:t>
      </w:r>
    </w:p>
    <w:p w14:paraId="0323C1B6">
      <w:pPr>
        <w:pStyle w:val="28"/>
        <w:spacing w:before="306" w:line="221" w:lineRule="auto"/>
        <w:ind w:left="31"/>
        <w:outlineLvl w:val="0"/>
        <w:rPr>
          <w:color w:val="auto"/>
          <w:sz w:val="28"/>
          <w:szCs w:val="28"/>
          <w:highlight w:val="none"/>
        </w:rPr>
      </w:pPr>
      <w:r>
        <w:rPr>
          <w:color w:val="auto"/>
          <w:spacing w:val="-1"/>
          <w:sz w:val="28"/>
          <w:szCs w:val="28"/>
          <w:highlight w:val="none"/>
          <w14:textOutline w14:w="5103" w14:cap="sq" w14:cmpd="sng">
            <w14:solidFill>
              <w14:srgbClr w14:val="000000"/>
            </w14:solidFill>
            <w14:prstDash w14:val="solid"/>
            <w14:bevel/>
          </w14:textOutline>
        </w:rPr>
        <w:t>投标人端操作</w:t>
      </w:r>
    </w:p>
    <w:p w14:paraId="54B867A3">
      <w:pPr>
        <w:spacing w:line="376" w:lineRule="auto"/>
        <w:rPr>
          <w:rFonts w:ascii="Arial"/>
          <w:color w:val="auto"/>
          <w:sz w:val="21"/>
          <w:highlight w:val="none"/>
        </w:rPr>
      </w:pPr>
    </w:p>
    <w:p w14:paraId="324EDC7B">
      <w:pPr>
        <w:pStyle w:val="28"/>
        <w:spacing w:before="91" w:line="222" w:lineRule="auto"/>
        <w:ind w:left="48"/>
        <w:outlineLvl w:val="1"/>
        <w:rPr>
          <w:color w:val="auto"/>
          <w:sz w:val="28"/>
          <w:szCs w:val="28"/>
          <w:highlight w:val="none"/>
        </w:rPr>
      </w:pPr>
      <w:r>
        <w:rPr>
          <w:color w:val="auto"/>
          <w:spacing w:val="-5"/>
          <w:sz w:val="28"/>
          <w:szCs w:val="28"/>
          <w:highlight w:val="none"/>
          <w14:textOutline w14:w="5103" w14:cap="sq" w14:cmpd="sng">
            <w14:solidFill>
              <w14:srgbClr w14:val="000000"/>
            </w14:solidFill>
            <w14:prstDash w14:val="solid"/>
            <w14:bevel/>
          </w14:textOutline>
        </w:rPr>
        <w:t>1.系统登录</w:t>
      </w:r>
    </w:p>
    <w:p w14:paraId="545F31AE">
      <w:pPr>
        <w:spacing w:before="242" w:line="304" w:lineRule="auto"/>
        <w:ind w:left="50" w:right="15" w:firstLine="406"/>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输入优质采网址：</w:t>
      </w:r>
      <w:r>
        <w:rPr>
          <w:color w:val="auto"/>
          <w:highlight w:val="none"/>
        </w:rPr>
        <w:fldChar w:fldCharType="begin"/>
      </w:r>
      <w:r>
        <w:rPr>
          <w:color w:val="auto"/>
          <w:highlight w:val="none"/>
        </w:rPr>
        <w:instrText xml:space="preserve"> HYPERLINK "http://www.youzhicai.com" </w:instrText>
      </w:r>
      <w:r>
        <w:rPr>
          <w:color w:val="auto"/>
          <w:highlight w:val="none"/>
        </w:rPr>
        <w:fldChar w:fldCharType="separate"/>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www.youzhicai.com</w:t>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fldChar w:fldCharType="end"/>
      </w:r>
      <w:r>
        <w:rPr>
          <w:rFonts w:ascii="仿宋" w:hAnsi="仿宋" w:eastAsia="仿宋" w:cs="仿宋"/>
          <w:color w:val="auto"/>
          <w:spacing w:val="-3"/>
          <w:sz w:val="28"/>
          <w:szCs w:val="28"/>
          <w:highlight w:val="none"/>
          <w14:textOutline w14:w="5103" w14:cap="sq" w14:cmpd="sng">
            <w14:solidFill>
              <w14:srgbClr w14:val="000000"/>
            </w14:solidFill>
            <w14:prstDash w14:val="solid"/>
            <w14:bevel/>
          </w14:textOutline>
        </w:rPr>
        <w:t>，</w:t>
      </w:r>
      <w:r>
        <w:rPr>
          <w:rFonts w:ascii="仿宋" w:hAnsi="仿宋" w:eastAsia="仿宋" w:cs="仿宋"/>
          <w:color w:val="auto"/>
          <w:spacing w:val="-3"/>
          <w:sz w:val="28"/>
          <w:szCs w:val="28"/>
          <w:highlight w:val="none"/>
        </w:rPr>
        <w:t>点击</w:t>
      </w:r>
      <w:r>
        <w:rPr>
          <w:rFonts w:ascii="仿宋" w:hAnsi="仿宋" w:eastAsia="仿宋" w:cs="仿宋"/>
          <w:color w:val="auto"/>
          <w:spacing w:val="-4"/>
          <w:sz w:val="28"/>
          <w:szCs w:val="28"/>
          <w:highlight w:val="none"/>
        </w:rPr>
        <w:t>【登录】进入【用户</w:t>
      </w:r>
      <w:r>
        <w:rPr>
          <w:rFonts w:ascii="仿宋" w:hAnsi="仿宋" w:eastAsia="仿宋" w:cs="仿宋"/>
          <w:color w:val="auto"/>
          <w:sz w:val="28"/>
          <w:szCs w:val="28"/>
          <w:highlight w:val="none"/>
        </w:rPr>
        <w:t xml:space="preserve"> </w:t>
      </w:r>
      <w:r>
        <w:rPr>
          <w:rFonts w:ascii="仿宋" w:hAnsi="仿宋" w:eastAsia="仿宋" w:cs="仿宋"/>
          <w:color w:val="auto"/>
          <w:spacing w:val="-1"/>
          <w:sz w:val="28"/>
          <w:szCs w:val="28"/>
          <w:highlight w:val="none"/>
        </w:rPr>
        <w:t>管理平台】，找到需要提出异议的项目，并点</w:t>
      </w:r>
      <w:r>
        <w:rPr>
          <w:rFonts w:ascii="仿宋" w:hAnsi="仿宋" w:eastAsia="仿宋" w:cs="仿宋"/>
          <w:color w:val="auto"/>
          <w:spacing w:val="-2"/>
          <w:sz w:val="28"/>
          <w:szCs w:val="28"/>
          <w:highlight w:val="none"/>
        </w:rPr>
        <w:t>击【进入项目】。</w:t>
      </w:r>
    </w:p>
    <w:p w14:paraId="34F31F2D">
      <w:pPr>
        <w:spacing w:line="246" w:lineRule="auto"/>
        <w:rPr>
          <w:rFonts w:ascii="Arial"/>
          <w:color w:val="auto"/>
          <w:sz w:val="21"/>
          <w:highlight w:val="none"/>
        </w:rPr>
      </w:pPr>
    </w:p>
    <w:p w14:paraId="2B0F6448">
      <w:pPr>
        <w:spacing w:line="246" w:lineRule="auto"/>
        <w:rPr>
          <w:rFonts w:ascii="Arial"/>
          <w:color w:val="auto"/>
          <w:sz w:val="21"/>
          <w:highlight w:val="none"/>
        </w:rPr>
      </w:pPr>
    </w:p>
    <w:p w14:paraId="15D80429">
      <w:pPr>
        <w:pStyle w:val="28"/>
        <w:spacing w:before="91" w:line="221" w:lineRule="auto"/>
        <w:ind w:left="30"/>
        <w:outlineLvl w:val="1"/>
        <w:rPr>
          <w:color w:val="auto"/>
          <w:sz w:val="28"/>
          <w:szCs w:val="28"/>
          <w:highlight w:val="none"/>
        </w:rPr>
      </w:pPr>
      <w:r>
        <w:rPr>
          <w:color w:val="auto"/>
          <w:spacing w:val="-2"/>
          <w:sz w:val="28"/>
          <w:szCs w:val="28"/>
          <w:highlight w:val="none"/>
          <w14:textOutline w14:w="5103" w14:cap="sq" w14:cmpd="sng">
            <w14:solidFill>
              <w14:srgbClr w14:val="000000"/>
            </w14:solidFill>
            <w14:prstDash w14:val="solid"/>
            <w14:bevel/>
          </w14:textOutline>
        </w:rPr>
        <w:t>2.网上异议</w:t>
      </w:r>
    </w:p>
    <w:p w14:paraId="6F207364">
      <w:pPr>
        <w:spacing w:before="287" w:line="359" w:lineRule="auto"/>
        <w:ind w:left="37" w:right="15" w:firstLine="420"/>
        <w:jc w:val="both"/>
        <w:rPr>
          <w:rFonts w:ascii="仿宋" w:hAnsi="仿宋" w:eastAsia="仿宋" w:cs="仿宋"/>
          <w:color w:val="auto"/>
          <w:sz w:val="28"/>
          <w:szCs w:val="28"/>
          <w:highlight w:val="none"/>
        </w:rPr>
      </w:pPr>
      <w:r>
        <w:rPr>
          <w:rFonts w:ascii="仿宋" w:hAnsi="仿宋" w:eastAsia="仿宋" w:cs="仿宋"/>
          <w:color w:val="auto"/>
          <w:spacing w:val="1"/>
          <w:sz w:val="28"/>
          <w:szCs w:val="28"/>
          <w:highlight w:val="none"/>
        </w:rPr>
        <w:t>进入项目后，点击【异议】节点，点击【提</w:t>
      </w:r>
      <w:r>
        <w:rPr>
          <w:rFonts w:ascii="仿宋" w:hAnsi="仿宋" w:eastAsia="仿宋" w:cs="仿宋"/>
          <w:color w:val="auto"/>
          <w:sz w:val="28"/>
          <w:szCs w:val="28"/>
          <w:highlight w:val="none"/>
        </w:rPr>
        <w:t xml:space="preserve">出异议】，进行内容 </w:t>
      </w:r>
      <w:r>
        <w:rPr>
          <w:rFonts w:ascii="仿宋" w:hAnsi="仿宋" w:eastAsia="仿宋" w:cs="仿宋"/>
          <w:color w:val="auto"/>
          <w:spacing w:val="-4"/>
          <w:sz w:val="28"/>
          <w:szCs w:val="28"/>
          <w:highlight w:val="none"/>
        </w:rPr>
        <w:t>填写；填写好后进行提交，稍后项目负责人会收到短信通知，提示对</w:t>
      </w:r>
    </w:p>
    <w:p w14:paraId="30DD56D8">
      <w:pPr>
        <w:spacing w:before="1" w:line="221" w:lineRule="auto"/>
        <w:ind w:left="37"/>
        <w:rPr>
          <w:rFonts w:ascii="仿宋" w:hAnsi="仿宋" w:eastAsia="仿宋" w:cs="仿宋"/>
          <w:color w:val="auto"/>
          <w:sz w:val="28"/>
          <w:szCs w:val="28"/>
          <w:highlight w:val="none"/>
        </w:rPr>
      </w:pPr>
      <w:r>
        <w:rPr>
          <w:rFonts w:ascii="仿宋" w:hAnsi="仿宋" w:eastAsia="仿宋" w:cs="仿宋"/>
          <w:color w:val="auto"/>
          <w:spacing w:val="-3"/>
          <w:sz w:val="28"/>
          <w:szCs w:val="28"/>
          <w:highlight w:val="none"/>
        </w:rPr>
        <w:t>异议进行处理。</w:t>
      </w:r>
    </w:p>
    <w:p w14:paraId="49DBB95B">
      <w:pPr>
        <w:spacing w:before="209" w:line="223" w:lineRule="auto"/>
        <w:ind w:left="457"/>
        <w:rPr>
          <w:rFonts w:ascii="仿宋" w:hAnsi="仿宋" w:eastAsia="仿宋" w:cs="仿宋"/>
          <w:color w:val="auto"/>
          <w:sz w:val="28"/>
          <w:szCs w:val="28"/>
          <w:highlight w:val="none"/>
        </w:rPr>
      </w:pPr>
      <w:r>
        <w:rPr>
          <w:rFonts w:ascii="仿宋" w:hAnsi="仿宋" w:eastAsia="仿宋" w:cs="仿宋"/>
          <w:color w:val="auto"/>
          <w:spacing w:val="-4"/>
          <w:sz w:val="28"/>
          <w:szCs w:val="28"/>
          <w:highlight w:val="none"/>
        </w:rPr>
        <w:t>如下图所示：</w:t>
      </w:r>
    </w:p>
    <w:p w14:paraId="4E88B1A3">
      <w:pPr>
        <w:topLinePunct/>
        <w:spacing w:line="300" w:lineRule="auto"/>
        <w:ind w:right="31" w:rightChars="15"/>
        <w:jc w:val="center"/>
        <w:outlineLvl w:val="0"/>
        <w:rPr>
          <w:rFonts w:eastAsia="黑体"/>
          <w:b/>
          <w:bCs/>
          <w:color w:val="auto"/>
          <w:sz w:val="36"/>
          <w:szCs w:val="36"/>
          <w:highlight w:val="none"/>
        </w:rPr>
      </w:pPr>
      <w:r>
        <w:rPr>
          <w:color w:val="auto"/>
          <w:position w:val="-88"/>
          <w:highlight w:val="none"/>
        </w:rPr>
        <w:drawing>
          <wp:inline distT="0" distB="0" distL="0" distR="0">
            <wp:extent cx="5274310" cy="2819400"/>
            <wp:effectExtent l="0" t="0" r="254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5274563" cy="2819400"/>
                    </a:xfrm>
                    <a:prstGeom prst="rect">
                      <a:avLst/>
                    </a:prstGeom>
                  </pic:spPr>
                </pic:pic>
              </a:graphicData>
            </a:graphic>
          </wp:inline>
        </w:drawing>
      </w:r>
    </w:p>
    <w:p w14:paraId="17587F5E">
      <w:pPr>
        <w:topLinePunct/>
        <w:spacing w:line="300" w:lineRule="auto"/>
        <w:ind w:right="31" w:rightChars="15"/>
        <w:jc w:val="center"/>
        <w:outlineLvl w:val="0"/>
        <w:rPr>
          <w:rFonts w:eastAsia="黑体"/>
          <w:b/>
          <w:bCs/>
          <w:color w:val="auto"/>
          <w:sz w:val="36"/>
          <w:szCs w:val="36"/>
          <w:highlight w:val="none"/>
        </w:rPr>
      </w:pPr>
    </w:p>
    <w:p w14:paraId="76ED76AA">
      <w:pPr>
        <w:topLinePunct/>
        <w:spacing w:line="300" w:lineRule="auto"/>
        <w:ind w:right="31" w:rightChars="15"/>
        <w:jc w:val="center"/>
        <w:outlineLvl w:val="0"/>
        <w:rPr>
          <w:rFonts w:eastAsia="黑体"/>
          <w:b/>
          <w:bCs/>
          <w:color w:val="auto"/>
          <w:sz w:val="36"/>
          <w:szCs w:val="36"/>
          <w:highlight w:val="none"/>
        </w:rPr>
      </w:pPr>
    </w:p>
    <w:p w14:paraId="04C24558">
      <w:pPr>
        <w:spacing w:line="6485" w:lineRule="exact"/>
        <w:ind w:firstLine="16"/>
        <w:rPr>
          <w:color w:val="auto"/>
          <w:highlight w:val="none"/>
        </w:rPr>
      </w:pPr>
      <w:r>
        <w:rPr>
          <w:color w:val="auto"/>
          <w:position w:val="-129"/>
          <w:highlight w:val="none"/>
        </w:rPr>
        <w:drawing>
          <wp:inline distT="0" distB="0" distL="0" distR="0">
            <wp:extent cx="6176010" cy="4217670"/>
            <wp:effectExtent l="0" t="0" r="15240" b="11430"/>
            <wp:docPr id="3" name="IM 4"/>
            <wp:cNvGraphicFramePr/>
            <a:graphic xmlns:a="http://schemas.openxmlformats.org/drawingml/2006/main">
              <a:graphicData uri="http://schemas.openxmlformats.org/drawingml/2006/picture">
                <pic:pic xmlns:pic="http://schemas.openxmlformats.org/drawingml/2006/picture">
                  <pic:nvPicPr>
                    <pic:cNvPr id="3" name="IM 4"/>
                    <pic:cNvPicPr/>
                  </pic:nvPicPr>
                  <pic:blipFill>
                    <a:blip r:embed="rId12"/>
                    <a:stretch>
                      <a:fillRect/>
                    </a:stretch>
                  </pic:blipFill>
                  <pic:spPr>
                    <a:xfrm>
                      <a:off x="0" y="0"/>
                      <a:ext cx="6176010" cy="4217670"/>
                    </a:xfrm>
                    <a:prstGeom prst="rect">
                      <a:avLst/>
                    </a:prstGeom>
                  </pic:spPr>
                </pic:pic>
              </a:graphicData>
            </a:graphic>
          </wp:inline>
        </w:drawing>
      </w:r>
    </w:p>
    <w:p w14:paraId="1E68A358">
      <w:pPr>
        <w:rPr>
          <w:rFonts w:ascii="Arial"/>
          <w:color w:val="auto"/>
          <w:sz w:val="21"/>
          <w:highlight w:val="none"/>
        </w:rPr>
      </w:pPr>
    </w:p>
    <w:p w14:paraId="01E63528">
      <w:pPr>
        <w:spacing w:line="241" w:lineRule="auto"/>
        <w:rPr>
          <w:rFonts w:ascii="Arial"/>
          <w:color w:val="auto"/>
          <w:sz w:val="21"/>
          <w:highlight w:val="none"/>
        </w:rPr>
      </w:pPr>
    </w:p>
    <w:p w14:paraId="36B8E5DC">
      <w:pPr>
        <w:topLinePunct/>
        <w:spacing w:line="300" w:lineRule="auto"/>
        <w:ind w:right="31" w:rightChars="15"/>
        <w:jc w:val="center"/>
        <w:outlineLvl w:val="0"/>
        <w:rPr>
          <w:rFonts w:eastAsia="黑体"/>
          <w:b/>
          <w:bCs/>
          <w:color w:val="auto"/>
          <w:sz w:val="36"/>
          <w:szCs w:val="36"/>
          <w:highlight w:val="none"/>
        </w:rPr>
      </w:pPr>
      <w:r>
        <w:rPr>
          <w:color w:val="auto"/>
          <w:position w:val="-99"/>
          <w:highlight w:val="none"/>
        </w:rPr>
        <w:drawing>
          <wp:inline distT="0" distB="0" distL="0" distR="0">
            <wp:extent cx="6150610" cy="3231515"/>
            <wp:effectExtent l="0" t="0" r="2540" b="6985"/>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3"/>
                    <a:stretch>
                      <a:fillRect/>
                    </a:stretch>
                  </pic:blipFill>
                  <pic:spPr>
                    <a:xfrm>
                      <a:off x="0" y="0"/>
                      <a:ext cx="6150610" cy="3231515"/>
                    </a:xfrm>
                    <a:prstGeom prst="rect">
                      <a:avLst/>
                    </a:prstGeom>
                  </pic:spPr>
                </pic:pic>
              </a:graphicData>
            </a:graphic>
          </wp:inline>
        </w:drawing>
      </w:r>
    </w:p>
    <w:p w14:paraId="6D9B8944">
      <w:pPr>
        <w:topLinePunct/>
        <w:spacing w:line="300" w:lineRule="auto"/>
        <w:ind w:right="31" w:rightChars="15"/>
        <w:jc w:val="center"/>
        <w:outlineLvl w:val="0"/>
        <w:rPr>
          <w:rFonts w:eastAsia="黑体"/>
          <w:b/>
          <w:bCs/>
          <w:color w:val="auto"/>
          <w:sz w:val="36"/>
          <w:szCs w:val="36"/>
          <w:highlight w:val="none"/>
        </w:rPr>
      </w:pPr>
    </w:p>
    <w:p w14:paraId="7E5F7FE3">
      <w:pPr>
        <w:topLinePunct/>
        <w:spacing w:line="300" w:lineRule="auto"/>
        <w:ind w:right="31" w:rightChars="15"/>
        <w:jc w:val="both"/>
        <w:outlineLvl w:val="0"/>
        <w:rPr>
          <w:rFonts w:eastAsia="黑体"/>
          <w:b/>
          <w:bCs/>
          <w:color w:val="auto"/>
          <w:sz w:val="36"/>
          <w:szCs w:val="36"/>
          <w:highlight w:val="none"/>
        </w:rPr>
      </w:pPr>
    </w:p>
    <w:p w14:paraId="45D48AD3">
      <w:pPr>
        <w:pStyle w:val="28"/>
        <w:spacing w:before="78" w:line="219" w:lineRule="auto"/>
        <w:ind w:left="44"/>
        <w:outlineLvl w:val="2"/>
        <w:rPr>
          <w:color w:val="auto"/>
          <w:spacing w:val="-9"/>
          <w:highlight w:val="none"/>
        </w:rPr>
      </w:pPr>
    </w:p>
    <w:p w14:paraId="71FF1EB6">
      <w:pPr>
        <w:pStyle w:val="28"/>
        <w:spacing w:before="78" w:line="219" w:lineRule="auto"/>
        <w:ind w:left="44"/>
        <w:outlineLvl w:val="2"/>
        <w:rPr>
          <w:color w:val="auto"/>
          <w:spacing w:val="-9"/>
          <w:highlight w:val="none"/>
        </w:rPr>
      </w:pPr>
    </w:p>
    <w:p w14:paraId="54AB6391">
      <w:pPr>
        <w:pStyle w:val="28"/>
        <w:spacing w:before="78" w:line="219" w:lineRule="auto"/>
        <w:ind w:left="44"/>
        <w:outlineLvl w:val="2"/>
        <w:rPr>
          <w:color w:val="auto"/>
          <w:spacing w:val="-9"/>
          <w:highlight w:val="none"/>
        </w:rPr>
      </w:pPr>
    </w:p>
    <w:p w14:paraId="6CD61088">
      <w:pPr>
        <w:topLinePunct/>
        <w:spacing w:line="300" w:lineRule="auto"/>
        <w:ind w:right="31" w:rightChars="15"/>
        <w:jc w:val="center"/>
        <w:outlineLvl w:val="0"/>
        <w:rPr>
          <w:rFonts w:eastAsia="黑体"/>
          <w:b/>
          <w:bCs/>
          <w:color w:val="auto"/>
          <w:sz w:val="36"/>
          <w:szCs w:val="36"/>
          <w:highlight w:val="none"/>
        </w:rPr>
      </w:pPr>
      <w:r>
        <w:rPr>
          <w:rFonts w:eastAsia="黑体"/>
          <w:b/>
          <w:bCs/>
          <w:color w:val="auto"/>
          <w:sz w:val="36"/>
          <w:szCs w:val="36"/>
          <w:highlight w:val="none"/>
        </w:rPr>
        <w:t>第二章  投标人须知</w:t>
      </w:r>
      <w:bookmarkEnd w:id="81"/>
      <w:bookmarkEnd w:id="82"/>
      <w:bookmarkEnd w:id="83"/>
      <w:bookmarkEnd w:id="84"/>
      <w:bookmarkEnd w:id="85"/>
      <w:bookmarkEnd w:id="86"/>
    </w:p>
    <w:bookmarkEnd w:id="87"/>
    <w:bookmarkEnd w:id="88"/>
    <w:bookmarkEnd w:id="89"/>
    <w:bookmarkEnd w:id="90"/>
    <w:p w14:paraId="1D2AD8A1">
      <w:pPr>
        <w:adjustRightInd w:val="0"/>
        <w:snapToGrid w:val="0"/>
        <w:spacing w:line="360" w:lineRule="auto"/>
        <w:jc w:val="center"/>
        <w:rPr>
          <w:rFonts w:eastAsia="黑体"/>
          <w:b/>
          <w:bCs/>
          <w:color w:val="auto"/>
          <w:sz w:val="30"/>
          <w:szCs w:val="30"/>
          <w:highlight w:val="none"/>
        </w:rPr>
      </w:pPr>
      <w:bookmarkStart w:id="92" w:name="_Toc464508722"/>
      <w:bookmarkStart w:id="93" w:name="_Toc152045528"/>
      <w:bookmarkStart w:id="94" w:name="_Toc494703651"/>
      <w:bookmarkStart w:id="95" w:name="_Toc179632545"/>
      <w:bookmarkStart w:id="96" w:name="_Toc144974496"/>
      <w:bookmarkStart w:id="97" w:name="_Toc152042304"/>
      <w:r>
        <w:rPr>
          <w:rFonts w:eastAsia="黑体"/>
          <w:b/>
          <w:bCs/>
          <w:color w:val="auto"/>
          <w:sz w:val="30"/>
          <w:szCs w:val="30"/>
          <w:highlight w:val="none"/>
        </w:rPr>
        <w:t>投标人须知前附表</w:t>
      </w:r>
      <w:bookmarkEnd w:id="92"/>
      <w:bookmarkEnd w:id="93"/>
      <w:bookmarkEnd w:id="94"/>
      <w:bookmarkEnd w:id="95"/>
      <w:bookmarkEnd w:id="96"/>
      <w:bookmarkEnd w:id="97"/>
    </w:p>
    <w:tbl>
      <w:tblPr>
        <w:tblStyle w:val="75"/>
        <w:tblW w:w="10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950"/>
        <w:gridCol w:w="6198"/>
      </w:tblGrid>
      <w:tr w14:paraId="104D1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937" w:type="dxa"/>
            <w:vAlign w:val="center"/>
          </w:tcPr>
          <w:p w14:paraId="3C291E08">
            <w:pPr>
              <w:spacing w:beforeLines="0" w:afterLines="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2950" w:type="dxa"/>
            <w:vAlign w:val="center"/>
          </w:tcPr>
          <w:p w14:paraId="0EE82221">
            <w:pPr>
              <w:spacing w:beforeLines="0" w:afterLines="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  款  名  称</w:t>
            </w:r>
          </w:p>
        </w:tc>
        <w:tc>
          <w:tcPr>
            <w:tcW w:w="6198" w:type="dxa"/>
            <w:vAlign w:val="center"/>
          </w:tcPr>
          <w:p w14:paraId="69BF8596">
            <w:pPr>
              <w:spacing w:beforeLines="0" w:afterLines="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编  列  内  容</w:t>
            </w:r>
          </w:p>
        </w:tc>
      </w:tr>
      <w:tr w14:paraId="369F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C8FAFA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w:t>
            </w:r>
          </w:p>
        </w:tc>
        <w:tc>
          <w:tcPr>
            <w:tcW w:w="2950" w:type="dxa"/>
            <w:vAlign w:val="center"/>
          </w:tcPr>
          <w:p w14:paraId="2D959C26">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w:t>
            </w:r>
          </w:p>
        </w:tc>
        <w:tc>
          <w:tcPr>
            <w:tcW w:w="6198" w:type="dxa"/>
            <w:vAlign w:val="center"/>
          </w:tcPr>
          <w:p w14:paraId="0118641F">
            <w:pPr>
              <w:spacing w:beforeLines="0" w:afterLines="0" w:line="440" w:lineRule="exact"/>
              <w:contextualSpacing/>
              <w:jc w:val="both"/>
              <w:rPr>
                <w:rFonts w:hint="eastAsia" w:ascii="宋体" w:hAnsi="宋体" w:eastAsia="宋体" w:cs="宋体"/>
                <w:color w:val="auto"/>
                <w:sz w:val="22"/>
                <w:szCs w:val="22"/>
                <w:highlight w:val="none"/>
                <w:u w:val="single"/>
              </w:rPr>
            </w:pPr>
            <w:r>
              <w:rPr>
                <w:rFonts w:hint="eastAsia" w:ascii="宋体" w:hAnsi="宋体" w:eastAsia="宋体" w:cs="宋体"/>
                <w:color w:val="auto"/>
                <w:spacing w:val="-5"/>
                <w:sz w:val="22"/>
                <w:szCs w:val="22"/>
                <w:highlight w:val="none"/>
              </w:rPr>
              <w:t>见招标公告</w:t>
            </w:r>
          </w:p>
        </w:tc>
      </w:tr>
      <w:tr w14:paraId="2273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9516358">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w:t>
            </w:r>
          </w:p>
        </w:tc>
        <w:tc>
          <w:tcPr>
            <w:tcW w:w="2950" w:type="dxa"/>
            <w:vAlign w:val="center"/>
          </w:tcPr>
          <w:p w14:paraId="3138497C">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招标代理机构</w:t>
            </w:r>
          </w:p>
        </w:tc>
        <w:tc>
          <w:tcPr>
            <w:tcW w:w="6198" w:type="dxa"/>
            <w:vAlign w:val="center"/>
          </w:tcPr>
          <w:p w14:paraId="1A372844">
            <w:pPr>
              <w:spacing w:beforeLines="0" w:afterLines="0" w:line="440" w:lineRule="exact"/>
              <w:contextualSpacing/>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见招标公告</w:t>
            </w:r>
          </w:p>
        </w:tc>
      </w:tr>
      <w:tr w14:paraId="4007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EE1A04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w:t>
            </w:r>
          </w:p>
        </w:tc>
        <w:tc>
          <w:tcPr>
            <w:tcW w:w="2950" w:type="dxa"/>
            <w:vAlign w:val="center"/>
          </w:tcPr>
          <w:p w14:paraId="375123E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招标项目名称</w:t>
            </w:r>
          </w:p>
        </w:tc>
        <w:tc>
          <w:tcPr>
            <w:tcW w:w="6198" w:type="dxa"/>
            <w:vAlign w:val="center"/>
          </w:tcPr>
          <w:p w14:paraId="3907F288">
            <w:pPr>
              <w:pStyle w:val="625"/>
              <w:spacing w:beforeLines="0" w:afterLines="0" w:line="440" w:lineRule="exact"/>
              <w:jc w:val="both"/>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5"/>
                <w:sz w:val="22"/>
                <w:szCs w:val="22"/>
                <w:highlight w:val="none"/>
              </w:rPr>
              <w:t>见招标公告</w:t>
            </w:r>
          </w:p>
        </w:tc>
      </w:tr>
      <w:tr w14:paraId="4952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C786D9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w:t>
            </w:r>
          </w:p>
        </w:tc>
        <w:tc>
          <w:tcPr>
            <w:tcW w:w="2950" w:type="dxa"/>
            <w:vAlign w:val="center"/>
          </w:tcPr>
          <w:p w14:paraId="7C18C03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标段建设地点</w:t>
            </w:r>
          </w:p>
        </w:tc>
        <w:tc>
          <w:tcPr>
            <w:tcW w:w="6198" w:type="dxa"/>
            <w:vAlign w:val="center"/>
          </w:tcPr>
          <w:p w14:paraId="25311C11">
            <w:pPr>
              <w:pStyle w:val="625"/>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rPr>
              <w:t>见招标公告</w:t>
            </w:r>
          </w:p>
        </w:tc>
      </w:tr>
      <w:tr w14:paraId="6625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EB58336">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1.1.6</w:t>
            </w:r>
          </w:p>
        </w:tc>
        <w:tc>
          <w:tcPr>
            <w:tcW w:w="2950" w:type="dxa"/>
            <w:vAlign w:val="center"/>
          </w:tcPr>
          <w:p w14:paraId="4712705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标段建设规模</w:t>
            </w:r>
          </w:p>
        </w:tc>
        <w:tc>
          <w:tcPr>
            <w:tcW w:w="6198" w:type="dxa"/>
            <w:vAlign w:val="center"/>
          </w:tcPr>
          <w:p w14:paraId="7F0A9ECB">
            <w:pPr>
              <w:pStyle w:val="625"/>
              <w:spacing w:beforeLines="0" w:afterLines="0" w:line="440" w:lineRule="exact"/>
              <w:jc w:val="both"/>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见招标公告</w:t>
            </w:r>
          </w:p>
        </w:tc>
      </w:tr>
      <w:tr w14:paraId="72D3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1ED7339">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1.1.7</w:t>
            </w:r>
          </w:p>
        </w:tc>
        <w:tc>
          <w:tcPr>
            <w:tcW w:w="2950" w:type="dxa"/>
            <w:vAlign w:val="center"/>
          </w:tcPr>
          <w:p w14:paraId="7CFB571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招标项目施工预计开工日期和建设周期</w:t>
            </w:r>
          </w:p>
        </w:tc>
        <w:tc>
          <w:tcPr>
            <w:tcW w:w="6198" w:type="dxa"/>
            <w:vAlign w:val="center"/>
          </w:tcPr>
          <w:p w14:paraId="7D1B0E86">
            <w:pPr>
              <w:widowControl/>
              <w:spacing w:beforeLines="0" w:afterLines="0" w:line="440" w:lineRule="exact"/>
              <w:jc w:val="left"/>
              <w:rPr>
                <w:rFonts w:hint="eastAsia" w:ascii="宋体" w:hAnsi="宋体" w:eastAsia="宋体" w:cs="宋体"/>
                <w:color w:val="auto"/>
                <w:spacing w:val="-5"/>
                <w:sz w:val="22"/>
                <w:szCs w:val="22"/>
                <w:highlight w:val="none"/>
              </w:rPr>
            </w:pPr>
            <w:r>
              <w:rPr>
                <w:rFonts w:hint="eastAsia" w:ascii="宋体" w:hAnsi="宋体" w:cs="宋体"/>
                <w:color w:val="auto"/>
                <w:spacing w:val="-5"/>
                <w:kern w:val="2"/>
                <w:sz w:val="22"/>
                <w:szCs w:val="22"/>
                <w:highlight w:val="none"/>
                <w:lang w:val="en-US" w:eastAsia="zh-CN" w:bidi="ar-SA"/>
              </w:rPr>
              <w:t>计划开始服务日期：    年     月</w:t>
            </w:r>
            <w:r>
              <w:rPr>
                <w:rFonts w:hint="eastAsia" w:ascii="宋体" w:hAnsi="宋体" w:eastAsia="宋体" w:cs="宋体"/>
                <w:color w:val="auto"/>
                <w:spacing w:val="-5"/>
                <w:kern w:val="2"/>
                <w:sz w:val="22"/>
                <w:szCs w:val="22"/>
                <w:highlight w:val="none"/>
                <w:lang w:val="en-US" w:eastAsia="zh-CN" w:bidi="ar-SA"/>
              </w:rPr>
              <w:t xml:space="preserve">。具体开工时间以开工令为准。 </w:t>
            </w:r>
          </w:p>
        </w:tc>
      </w:tr>
      <w:tr w14:paraId="3534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0F0928D">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1.1.8</w:t>
            </w:r>
          </w:p>
        </w:tc>
        <w:tc>
          <w:tcPr>
            <w:tcW w:w="2950" w:type="dxa"/>
            <w:vAlign w:val="center"/>
          </w:tcPr>
          <w:p w14:paraId="4E90B54C">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工程概算投资额</w:t>
            </w:r>
          </w:p>
        </w:tc>
        <w:tc>
          <w:tcPr>
            <w:tcW w:w="6198" w:type="dxa"/>
            <w:vAlign w:val="center"/>
          </w:tcPr>
          <w:p w14:paraId="1BA345C9">
            <w:pPr>
              <w:pStyle w:val="625"/>
              <w:spacing w:beforeLines="0" w:afterLines="0" w:line="440" w:lineRule="exact"/>
              <w:ind w:firstLine="0" w:firstLineChars="0"/>
              <w:jc w:val="both"/>
              <w:rPr>
                <w:rFonts w:hint="eastAsia" w:ascii="宋体" w:hAnsi="宋体" w:eastAsia="宋体" w:cs="宋体"/>
                <w:color w:val="auto"/>
                <w:spacing w:val="-5"/>
                <w:sz w:val="22"/>
                <w:szCs w:val="22"/>
                <w:highlight w:val="none"/>
              </w:rPr>
            </w:pPr>
            <w:r>
              <w:rPr>
                <w:rFonts w:hint="eastAsia" w:ascii="宋体" w:hAnsi="宋体" w:cs="宋体"/>
                <w:color w:val="auto"/>
                <w:spacing w:val="-5"/>
                <w:sz w:val="22"/>
                <w:szCs w:val="22"/>
                <w:highlight w:val="none"/>
                <w:lang w:val="en-US" w:eastAsia="zh-CN"/>
              </w:rPr>
              <w:t xml:space="preserve">本项目费用约740万元。 </w:t>
            </w:r>
          </w:p>
        </w:tc>
      </w:tr>
      <w:tr w14:paraId="5F1C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24617ED8">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w:t>
            </w:r>
          </w:p>
        </w:tc>
        <w:tc>
          <w:tcPr>
            <w:tcW w:w="2950" w:type="dxa"/>
            <w:vAlign w:val="center"/>
          </w:tcPr>
          <w:p w14:paraId="41B0822D">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资金来源及比例</w:t>
            </w:r>
          </w:p>
        </w:tc>
        <w:tc>
          <w:tcPr>
            <w:tcW w:w="6198" w:type="dxa"/>
            <w:vAlign w:val="center"/>
          </w:tcPr>
          <w:p w14:paraId="0B611C9F">
            <w:pPr>
              <w:spacing w:beforeLines="0" w:afterLines="0" w:line="440" w:lineRule="exact"/>
              <w:jc w:val="both"/>
              <w:rPr>
                <w:rFonts w:hint="eastAsia" w:ascii="宋体" w:hAnsi="宋体" w:eastAsia="宋体" w:cs="宋体"/>
                <w:color w:val="auto"/>
                <w:sz w:val="22"/>
                <w:szCs w:val="22"/>
                <w:highlight w:val="none"/>
                <w:lang w:eastAsia="zh-CN"/>
              </w:rPr>
            </w:pPr>
            <w:r>
              <w:rPr>
                <w:rFonts w:hint="eastAsia" w:ascii="宋体" w:hAnsi="宋体" w:cs="宋体"/>
                <w:color w:val="auto"/>
                <w:spacing w:val="-5"/>
                <w:sz w:val="22"/>
                <w:szCs w:val="22"/>
                <w:highlight w:val="none"/>
                <w:lang w:val="en-US" w:eastAsia="zh-CN"/>
              </w:rPr>
              <w:t>自筹</w:t>
            </w:r>
          </w:p>
        </w:tc>
      </w:tr>
      <w:tr w14:paraId="7C71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331F837">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w:t>
            </w:r>
          </w:p>
        </w:tc>
        <w:tc>
          <w:tcPr>
            <w:tcW w:w="2950" w:type="dxa"/>
            <w:vAlign w:val="center"/>
          </w:tcPr>
          <w:p w14:paraId="32E00701">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资金落实情况</w:t>
            </w:r>
          </w:p>
        </w:tc>
        <w:tc>
          <w:tcPr>
            <w:tcW w:w="6198" w:type="dxa"/>
            <w:vAlign w:val="center"/>
          </w:tcPr>
          <w:p w14:paraId="313CA3EC">
            <w:pPr>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已落实</w:t>
            </w:r>
          </w:p>
        </w:tc>
      </w:tr>
      <w:tr w14:paraId="7F3FD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D23C9B8">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w:t>
            </w:r>
          </w:p>
        </w:tc>
        <w:tc>
          <w:tcPr>
            <w:tcW w:w="2950" w:type="dxa"/>
            <w:vAlign w:val="center"/>
          </w:tcPr>
          <w:p w14:paraId="27670BC5">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招标范围</w:t>
            </w:r>
          </w:p>
        </w:tc>
        <w:tc>
          <w:tcPr>
            <w:tcW w:w="6198" w:type="dxa"/>
            <w:vAlign w:val="center"/>
          </w:tcPr>
          <w:p w14:paraId="390D91BD">
            <w:pPr>
              <w:widowControl/>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cs="宋体"/>
                <w:color w:val="auto"/>
                <w:kern w:val="0"/>
                <w:sz w:val="22"/>
                <w:szCs w:val="22"/>
                <w:highlight w:val="none"/>
                <w:lang w:val="en-US" w:eastAsia="zh-CN" w:bidi="ar"/>
              </w:rPr>
              <w:t>详见招标公告</w:t>
            </w:r>
            <w:r>
              <w:rPr>
                <w:rFonts w:hint="eastAsia" w:ascii="宋体" w:hAnsi="宋体" w:eastAsia="宋体" w:cs="宋体"/>
                <w:color w:val="auto"/>
                <w:kern w:val="0"/>
                <w:sz w:val="22"/>
                <w:szCs w:val="22"/>
                <w:highlight w:val="none"/>
                <w:lang w:val="en-US" w:eastAsia="zh-CN" w:bidi="ar"/>
              </w:rPr>
              <w:t xml:space="preserve"> </w:t>
            </w:r>
          </w:p>
        </w:tc>
      </w:tr>
      <w:tr w14:paraId="231B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43DFAF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1.3.2</w:t>
            </w:r>
          </w:p>
        </w:tc>
        <w:tc>
          <w:tcPr>
            <w:tcW w:w="2950" w:type="dxa"/>
            <w:vAlign w:val="center"/>
          </w:tcPr>
          <w:p w14:paraId="729761F0">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中心试验室服务期</w:t>
            </w:r>
          </w:p>
        </w:tc>
        <w:tc>
          <w:tcPr>
            <w:tcW w:w="6198" w:type="dxa"/>
            <w:vAlign w:val="center"/>
          </w:tcPr>
          <w:p w14:paraId="5D367351">
            <w:pPr>
              <w:widowControl/>
              <w:shd w:val="clear" w:color="auto" w:fill="auto"/>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本项目总服务期为施工准备期+60个月（其中施工期36个月、缺陷责任期24个月），具体时间以合同规定为准。</w:t>
            </w:r>
          </w:p>
          <w:p w14:paraId="24636AFB">
            <w:pPr>
              <w:widowControl/>
              <w:shd w:val="clear" w:color="auto" w:fill="auto"/>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计划开工日期：     年   月   日 （具体以开工令为准），</w:t>
            </w:r>
          </w:p>
          <w:p w14:paraId="4D16115F">
            <w:pPr>
              <w:widowControl/>
              <w:shd w:val="clear" w:color="auto" w:fill="auto"/>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计划交工日期：     年   月  日。</w:t>
            </w:r>
          </w:p>
          <w:p w14:paraId="054E0ABB">
            <w:pPr>
              <w:widowControl/>
              <w:shd w:val="clear" w:color="auto" w:fill="auto"/>
              <w:spacing w:beforeLines="0" w:afterLines="0" w:line="440" w:lineRule="exact"/>
              <w:jc w:val="left"/>
              <w:rPr>
                <w:rFonts w:hint="eastAsia" w:ascii="宋体" w:hAnsi="宋体" w:eastAsia="宋体" w:cs="宋体"/>
                <w:color w:val="auto"/>
                <w:kern w:val="0"/>
                <w:sz w:val="22"/>
                <w:szCs w:val="22"/>
                <w:highlight w:val="none"/>
                <w:lang w:eastAsia="zh-CN" w:bidi="ar"/>
              </w:rPr>
            </w:pPr>
            <w:r>
              <w:rPr>
                <w:rFonts w:hint="eastAsia" w:ascii="宋体" w:hAnsi="宋体" w:eastAsia="宋体" w:cs="宋体"/>
                <w:b/>
                <w:bCs/>
                <w:color w:val="auto"/>
                <w:sz w:val="22"/>
                <w:szCs w:val="22"/>
                <w:highlight w:val="none"/>
                <w:lang w:val="en-US" w:eastAsia="zh-CN"/>
              </w:rPr>
              <w:t>电子交易系统中提示必须填写报价和工期信息，其中工期以日历天为单位，投标人自行换算（可按月数*30进行换算，如60个月，可按1800天填写）；上述信息与上传的电子投标文件不一致的，以上传的电子投标文件为准。</w:t>
            </w:r>
          </w:p>
        </w:tc>
      </w:tr>
      <w:tr w14:paraId="19A7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17E1D47">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w:t>
            </w:r>
          </w:p>
        </w:tc>
        <w:tc>
          <w:tcPr>
            <w:tcW w:w="2950" w:type="dxa"/>
            <w:vAlign w:val="center"/>
          </w:tcPr>
          <w:p w14:paraId="1226211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质量要求</w:t>
            </w:r>
          </w:p>
        </w:tc>
        <w:tc>
          <w:tcPr>
            <w:tcW w:w="6198" w:type="dxa"/>
            <w:vAlign w:val="center"/>
          </w:tcPr>
          <w:p w14:paraId="5D59F53F">
            <w:pPr>
              <w:pStyle w:val="25"/>
              <w:keepNext w:val="0"/>
              <w:keepLines w:val="0"/>
              <w:pageBreakBefore w:val="0"/>
              <w:widowControl w:val="0"/>
              <w:kinsoku/>
              <w:wordWrap/>
              <w:overflowPunct/>
              <w:topLinePunct/>
              <w:autoSpaceDE/>
              <w:autoSpaceDN/>
              <w:bidi w:val="0"/>
              <w:adjustRightInd/>
              <w:snapToGrid/>
              <w:spacing w:beforeLines="0" w:afterLines="0" w:line="44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工程交工验收的质量评定：合格</w:t>
            </w:r>
          </w:p>
          <w:p w14:paraId="293CD3C8">
            <w:pPr>
              <w:keepNext w:val="0"/>
              <w:keepLines w:val="0"/>
              <w:pageBreakBefore w:val="0"/>
              <w:widowControl w:val="0"/>
              <w:kinsoku/>
              <w:wordWrap/>
              <w:overflowPunct/>
              <w:autoSpaceDE/>
              <w:autoSpaceDN/>
              <w:bidi w:val="0"/>
              <w:adjustRightInd/>
              <w:snapToGrid/>
              <w:spacing w:beforeLines="0" w:afterLines="0"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竣工验收的质量评定：优良</w:t>
            </w:r>
          </w:p>
        </w:tc>
      </w:tr>
      <w:tr w14:paraId="61D0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D652A7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w:t>
            </w:r>
          </w:p>
        </w:tc>
        <w:tc>
          <w:tcPr>
            <w:tcW w:w="2950" w:type="dxa"/>
            <w:vAlign w:val="center"/>
          </w:tcPr>
          <w:p w14:paraId="7ADF9695">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安全目标</w:t>
            </w:r>
          </w:p>
        </w:tc>
        <w:tc>
          <w:tcPr>
            <w:tcW w:w="6198" w:type="dxa"/>
            <w:vAlign w:val="center"/>
          </w:tcPr>
          <w:p w14:paraId="49A2BB7D">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无安全生产责任事故</w:t>
            </w:r>
          </w:p>
        </w:tc>
      </w:tr>
      <w:tr w14:paraId="1719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03A8D1E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1.4.1</w:t>
            </w:r>
          </w:p>
        </w:tc>
        <w:tc>
          <w:tcPr>
            <w:tcW w:w="2950" w:type="dxa"/>
            <w:vAlign w:val="center"/>
          </w:tcPr>
          <w:p w14:paraId="17AD11A6">
            <w:pPr>
              <w:pStyle w:val="71"/>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投标人资质条件、</w:t>
            </w:r>
          </w:p>
          <w:p w14:paraId="19894CF8">
            <w:pPr>
              <w:pStyle w:val="71"/>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能力和信誉</w:t>
            </w:r>
          </w:p>
        </w:tc>
        <w:tc>
          <w:tcPr>
            <w:tcW w:w="6198" w:type="dxa"/>
            <w:vAlign w:val="center"/>
          </w:tcPr>
          <w:p w14:paraId="4624CBE4">
            <w:pPr>
              <w:pStyle w:val="25"/>
              <w:topLinePunct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资质条件：见附录1</w:t>
            </w:r>
          </w:p>
          <w:p w14:paraId="1E069EBA">
            <w:pPr>
              <w:pStyle w:val="25"/>
              <w:topLinePunct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财务要求：见附录2</w:t>
            </w:r>
          </w:p>
          <w:p w14:paraId="0779D4F5">
            <w:pPr>
              <w:pStyle w:val="25"/>
              <w:topLinePunct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业绩要求：见附录3</w:t>
            </w:r>
          </w:p>
          <w:p w14:paraId="289F71CA">
            <w:pPr>
              <w:pStyle w:val="25"/>
              <w:topLinePunct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信誉要求：见附录4</w:t>
            </w:r>
          </w:p>
          <w:p w14:paraId="0A7F0FCF">
            <w:pPr>
              <w:pStyle w:val="25"/>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主要人员资格：见附录 </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lang w:val="en-US" w:eastAsia="zh-CN"/>
              </w:rPr>
              <w:t xml:space="preserve"> </w:t>
            </w:r>
          </w:p>
          <w:p w14:paraId="5C425ECC">
            <w:pPr>
              <w:pStyle w:val="25"/>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主要试验检测设备资格：</w:t>
            </w:r>
            <w:r>
              <w:rPr>
                <w:rFonts w:hint="eastAsia" w:hAnsi="宋体" w:cs="宋体"/>
                <w:color w:val="auto"/>
                <w:sz w:val="22"/>
                <w:szCs w:val="22"/>
                <w:highlight w:val="none"/>
                <w:lang w:val="en-US" w:eastAsia="zh-CN"/>
              </w:rPr>
              <w:t>/</w:t>
            </w:r>
          </w:p>
        </w:tc>
      </w:tr>
      <w:tr w14:paraId="031F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BEDAFED">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w:t>
            </w:r>
          </w:p>
        </w:tc>
        <w:tc>
          <w:tcPr>
            <w:tcW w:w="2950" w:type="dxa"/>
            <w:vAlign w:val="center"/>
          </w:tcPr>
          <w:p w14:paraId="614C9ED4">
            <w:pPr>
              <w:pStyle w:val="71"/>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6198" w:type="dxa"/>
            <w:vAlign w:val="center"/>
          </w:tcPr>
          <w:p w14:paraId="05A787F6">
            <w:pPr>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不接受</w:t>
            </w:r>
          </w:p>
        </w:tc>
      </w:tr>
      <w:tr w14:paraId="1FC68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9B69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1.4.3</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w:t>
            </w:r>
          </w:p>
        </w:tc>
        <w:tc>
          <w:tcPr>
            <w:tcW w:w="2950" w:type="dxa"/>
            <w:vAlign w:val="center"/>
          </w:tcPr>
          <w:p w14:paraId="156633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投标人不得存在的其他关联情形</w:t>
            </w:r>
          </w:p>
        </w:tc>
        <w:tc>
          <w:tcPr>
            <w:tcW w:w="6198" w:type="dxa"/>
            <w:vAlign w:val="center"/>
          </w:tcPr>
          <w:p w14:paraId="7DA550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无</w:t>
            </w:r>
          </w:p>
        </w:tc>
      </w:tr>
      <w:tr w14:paraId="05203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F25CF69">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rPr>
              <w:t>1.4.4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p>
        </w:tc>
        <w:tc>
          <w:tcPr>
            <w:tcW w:w="2950" w:type="dxa"/>
            <w:vAlign w:val="center"/>
          </w:tcPr>
          <w:p w14:paraId="0D0A8222">
            <w:pPr>
              <w:widowControl/>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投标人不得存在的其他不良状况或不良信用记录</w:t>
            </w:r>
          </w:p>
        </w:tc>
        <w:tc>
          <w:tcPr>
            <w:tcW w:w="6198" w:type="dxa"/>
            <w:vAlign w:val="center"/>
          </w:tcPr>
          <w:p w14:paraId="5CC066B8">
            <w:pPr>
              <w:snapToGrid w:val="0"/>
              <w:spacing w:beforeLines="0" w:afterLines="0" w:line="440" w:lineRule="exact"/>
              <w:rPr>
                <w:rFonts w:hint="eastAsia" w:ascii="宋体" w:hAnsi="宋体" w:eastAsia="宋体" w:cs="宋体"/>
                <w:color w:val="auto"/>
                <w:sz w:val="22"/>
                <w:szCs w:val="22"/>
                <w:highlight w:val="none"/>
                <w:lang w:val="en-US"/>
              </w:rPr>
            </w:pPr>
            <w:r>
              <w:rPr>
                <w:rFonts w:hint="eastAsia" w:ascii="宋体" w:hAnsi="宋体" w:cs="宋体"/>
                <w:color w:val="auto"/>
                <w:sz w:val="22"/>
                <w:szCs w:val="22"/>
                <w:highlight w:val="none"/>
                <w:lang w:val="en-US" w:eastAsia="zh-CN"/>
              </w:rPr>
              <w:t>/</w:t>
            </w:r>
          </w:p>
        </w:tc>
      </w:tr>
      <w:tr w14:paraId="6F6A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F4679E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2.1</w:t>
            </w:r>
          </w:p>
        </w:tc>
        <w:tc>
          <w:tcPr>
            <w:tcW w:w="2950" w:type="dxa"/>
            <w:vAlign w:val="center"/>
          </w:tcPr>
          <w:p w14:paraId="25049759">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构成招标文件的</w:t>
            </w:r>
          </w:p>
          <w:p w14:paraId="7105CC1E">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其他材料</w:t>
            </w:r>
          </w:p>
        </w:tc>
        <w:tc>
          <w:tcPr>
            <w:tcW w:w="6198" w:type="dxa"/>
            <w:vAlign w:val="center"/>
          </w:tcPr>
          <w:p w14:paraId="6AAB1743">
            <w:pPr>
              <w:spacing w:beforeLines="0" w:afterLines="0"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w:t>
            </w:r>
          </w:p>
        </w:tc>
      </w:tr>
      <w:tr w14:paraId="21E1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Merge w:val="restart"/>
            <w:vAlign w:val="center"/>
          </w:tcPr>
          <w:p w14:paraId="781D5959">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w:t>
            </w:r>
          </w:p>
        </w:tc>
        <w:tc>
          <w:tcPr>
            <w:tcW w:w="2950" w:type="dxa"/>
            <w:vMerge w:val="restart"/>
            <w:vAlign w:val="center"/>
          </w:tcPr>
          <w:p w14:paraId="3389038D">
            <w:pPr>
              <w:spacing w:beforeLines="0" w:afterLines="0"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投标人要求澄清</w:t>
            </w:r>
          </w:p>
          <w:p w14:paraId="530A891F">
            <w:pPr>
              <w:spacing w:beforeLines="0" w:afterLines="0" w:line="44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招标文件</w:t>
            </w:r>
          </w:p>
        </w:tc>
        <w:tc>
          <w:tcPr>
            <w:tcW w:w="6198" w:type="dxa"/>
            <w:vAlign w:val="center"/>
          </w:tcPr>
          <w:p w14:paraId="0732B908">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时间：202</w:t>
            </w:r>
            <w:r>
              <w:rPr>
                <w:rFonts w:hint="eastAsia" w:ascii="宋体" w:hAnsi="宋体" w:cs="宋体"/>
                <w:color w:val="auto"/>
                <w:spacing w:val="-7"/>
                <w:sz w:val="22"/>
                <w:szCs w:val="22"/>
                <w:highlight w:val="none"/>
                <w:lang w:val="en-US" w:eastAsia="zh-CN"/>
              </w:rPr>
              <w:t>5</w:t>
            </w:r>
            <w:r>
              <w:rPr>
                <w:rFonts w:hint="eastAsia" w:ascii="宋体" w:hAnsi="宋体" w:eastAsia="宋体" w:cs="宋体"/>
                <w:color w:val="auto"/>
                <w:spacing w:val="-7"/>
                <w:sz w:val="22"/>
                <w:szCs w:val="22"/>
                <w:highlight w:val="none"/>
              </w:rPr>
              <w:t xml:space="preserve"> 年</w:t>
            </w:r>
            <w:r>
              <w:rPr>
                <w:rFonts w:hint="eastAsia" w:ascii="宋体" w:hAnsi="宋体" w:cs="宋体"/>
                <w:color w:val="auto"/>
                <w:spacing w:val="-7"/>
                <w:sz w:val="22"/>
                <w:szCs w:val="22"/>
                <w:highlight w:val="none"/>
                <w:lang w:val="en-US" w:eastAsia="zh-CN"/>
              </w:rPr>
              <w:t>4</w:t>
            </w:r>
            <w:r>
              <w:rPr>
                <w:rFonts w:hint="eastAsia" w:ascii="宋体" w:hAnsi="宋体" w:eastAsia="宋体" w:cs="宋体"/>
                <w:color w:val="auto"/>
                <w:spacing w:val="-7"/>
                <w:sz w:val="22"/>
                <w:szCs w:val="22"/>
                <w:highlight w:val="none"/>
              </w:rPr>
              <w:t>月</w:t>
            </w:r>
            <w:r>
              <w:rPr>
                <w:rFonts w:hint="eastAsia" w:ascii="宋体" w:hAnsi="宋体" w:cs="宋体"/>
                <w:color w:val="auto"/>
                <w:spacing w:val="-7"/>
                <w:sz w:val="22"/>
                <w:szCs w:val="22"/>
                <w:highlight w:val="none"/>
                <w:lang w:val="en-US" w:eastAsia="zh-CN"/>
              </w:rPr>
              <w:t>14</w:t>
            </w:r>
            <w:r>
              <w:rPr>
                <w:rFonts w:hint="eastAsia" w:ascii="宋体" w:hAnsi="宋体" w:eastAsia="宋体" w:cs="宋体"/>
                <w:color w:val="auto"/>
                <w:spacing w:val="-7"/>
                <w:sz w:val="22"/>
                <w:szCs w:val="22"/>
                <w:highlight w:val="none"/>
              </w:rPr>
              <w:t>日</w:t>
            </w:r>
            <w:r>
              <w:rPr>
                <w:rFonts w:hint="eastAsia" w:ascii="宋体" w:hAnsi="宋体" w:cs="宋体"/>
                <w:color w:val="auto"/>
                <w:spacing w:val="-7"/>
                <w:sz w:val="22"/>
                <w:szCs w:val="22"/>
                <w:highlight w:val="none"/>
                <w:lang w:val="en-US" w:eastAsia="zh-CN"/>
              </w:rPr>
              <w:t>10</w:t>
            </w:r>
            <w:r>
              <w:rPr>
                <w:rFonts w:hint="eastAsia" w:ascii="宋体" w:hAnsi="宋体" w:eastAsia="宋体" w:cs="宋体"/>
                <w:color w:val="auto"/>
                <w:spacing w:val="-7"/>
                <w:sz w:val="22"/>
                <w:szCs w:val="22"/>
                <w:highlight w:val="none"/>
              </w:rPr>
              <w:t>时</w:t>
            </w:r>
            <w:r>
              <w:rPr>
                <w:rFonts w:hint="eastAsia" w:ascii="宋体" w:hAnsi="宋体" w:cs="宋体"/>
                <w:color w:val="auto"/>
                <w:spacing w:val="-7"/>
                <w:sz w:val="22"/>
                <w:szCs w:val="22"/>
                <w:highlight w:val="none"/>
                <w:lang w:val="en-US" w:eastAsia="zh-CN"/>
              </w:rPr>
              <w:t>00</w:t>
            </w:r>
            <w:r>
              <w:rPr>
                <w:rFonts w:hint="eastAsia" w:ascii="宋体" w:hAnsi="宋体" w:eastAsia="宋体" w:cs="宋体"/>
                <w:color w:val="auto"/>
                <w:spacing w:val="-7"/>
                <w:sz w:val="22"/>
                <w:szCs w:val="22"/>
                <w:highlight w:val="none"/>
              </w:rPr>
              <w:t>分前。</w:t>
            </w:r>
          </w:p>
        </w:tc>
      </w:tr>
      <w:tr w14:paraId="5ED7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Merge w:val="continue"/>
            <w:vAlign w:val="center"/>
          </w:tcPr>
          <w:p w14:paraId="7EBC7E4E">
            <w:pPr>
              <w:spacing w:beforeLines="0" w:afterLines="0" w:line="440" w:lineRule="exact"/>
              <w:jc w:val="center"/>
              <w:rPr>
                <w:rFonts w:hint="eastAsia" w:ascii="宋体" w:hAnsi="宋体" w:eastAsia="宋体" w:cs="宋体"/>
                <w:color w:val="auto"/>
                <w:sz w:val="22"/>
                <w:szCs w:val="22"/>
                <w:highlight w:val="none"/>
              </w:rPr>
            </w:pPr>
          </w:p>
        </w:tc>
        <w:tc>
          <w:tcPr>
            <w:tcW w:w="2950" w:type="dxa"/>
            <w:vMerge w:val="continue"/>
            <w:vAlign w:val="center"/>
          </w:tcPr>
          <w:p w14:paraId="52869591">
            <w:pPr>
              <w:spacing w:beforeLines="0" w:afterLines="0" w:line="440" w:lineRule="exact"/>
              <w:jc w:val="center"/>
              <w:rPr>
                <w:rFonts w:hint="eastAsia" w:ascii="宋体" w:hAnsi="宋体" w:eastAsia="宋体" w:cs="宋体"/>
                <w:color w:val="auto"/>
                <w:sz w:val="22"/>
                <w:szCs w:val="22"/>
                <w:highlight w:val="none"/>
              </w:rPr>
            </w:pPr>
          </w:p>
        </w:tc>
        <w:tc>
          <w:tcPr>
            <w:tcW w:w="6198" w:type="dxa"/>
            <w:vAlign w:val="center"/>
          </w:tcPr>
          <w:p w14:paraId="10F095AB">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形式：投标人应通过优质采云采购平台提交</w:t>
            </w:r>
            <w:r>
              <w:rPr>
                <w:rFonts w:hint="eastAsia" w:ascii="宋体" w:hAnsi="宋体" w:cs="宋体"/>
                <w:color w:val="auto"/>
                <w:sz w:val="22"/>
                <w:szCs w:val="22"/>
                <w:highlight w:val="none"/>
                <w:lang w:val="en-US" w:eastAsia="zh-CN"/>
              </w:rPr>
              <w:t>。</w:t>
            </w:r>
          </w:p>
        </w:tc>
      </w:tr>
      <w:tr w14:paraId="10C8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53F3A3E">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w:t>
            </w:r>
          </w:p>
        </w:tc>
        <w:tc>
          <w:tcPr>
            <w:tcW w:w="2950" w:type="dxa"/>
            <w:vAlign w:val="center"/>
          </w:tcPr>
          <w:p w14:paraId="33BF97CC">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招标文件澄清</w:t>
            </w:r>
          </w:p>
          <w:p w14:paraId="7C9DBCC5">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发出的形式</w:t>
            </w:r>
          </w:p>
        </w:tc>
        <w:tc>
          <w:tcPr>
            <w:tcW w:w="6198" w:type="dxa"/>
            <w:vAlign w:val="center"/>
          </w:tcPr>
          <w:p w14:paraId="5303E249">
            <w:pPr>
              <w:wordWrap w:val="0"/>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招标文件澄清将在安徽合肥公共资源交易平台网站（网址</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http://www.hfztb.cn）、优质采云采购平台（www.youzhicai.com）网站发出，投标人应自行下载。</w:t>
            </w:r>
          </w:p>
        </w:tc>
      </w:tr>
      <w:tr w14:paraId="69CD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C04E0C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w:t>
            </w:r>
          </w:p>
        </w:tc>
        <w:tc>
          <w:tcPr>
            <w:tcW w:w="2950" w:type="dxa"/>
            <w:vAlign w:val="center"/>
          </w:tcPr>
          <w:p w14:paraId="33DC050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投标人确认收到招标</w:t>
            </w:r>
          </w:p>
          <w:p w14:paraId="14A171F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文件澄清</w:t>
            </w:r>
          </w:p>
        </w:tc>
        <w:tc>
          <w:tcPr>
            <w:tcW w:w="6198" w:type="dxa"/>
            <w:vAlign w:val="center"/>
          </w:tcPr>
          <w:p w14:paraId="6EA785A3">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投标人应关注第 2.2.2 项载明的网站，及时下载招标文件澄清</w:t>
            </w:r>
            <w:r>
              <w:rPr>
                <w:rFonts w:hint="eastAsia" w:ascii="宋体" w:hAnsi="宋体" w:eastAsia="宋体" w:cs="宋体"/>
                <w:color w:val="auto"/>
                <w:sz w:val="22"/>
                <w:szCs w:val="22"/>
                <w:highlight w:val="none"/>
                <w:lang w:eastAsia="zh-CN"/>
              </w:rPr>
              <w:t>。</w:t>
            </w:r>
          </w:p>
        </w:tc>
      </w:tr>
      <w:tr w14:paraId="56BF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64B827A">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w:t>
            </w:r>
          </w:p>
        </w:tc>
        <w:tc>
          <w:tcPr>
            <w:tcW w:w="2950" w:type="dxa"/>
            <w:vAlign w:val="center"/>
          </w:tcPr>
          <w:p w14:paraId="7C4C5F6A">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招标文件修改</w:t>
            </w:r>
          </w:p>
          <w:p w14:paraId="7D3B0F0A">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发出的形式</w:t>
            </w:r>
          </w:p>
        </w:tc>
        <w:tc>
          <w:tcPr>
            <w:tcW w:w="6198" w:type="dxa"/>
            <w:vAlign w:val="center"/>
          </w:tcPr>
          <w:p w14:paraId="628BADAC">
            <w:pPr>
              <w:wordWrap w:val="0"/>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招标文件澄清将在安徽合肥公共资源交易平台网站（网址</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http://www.hfztb.cn）、优质采云采购平台（www.youzhicai.com）网站发出，投标人应自行下载。</w:t>
            </w:r>
          </w:p>
        </w:tc>
      </w:tr>
      <w:tr w14:paraId="165F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6ACA979">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w:t>
            </w:r>
          </w:p>
        </w:tc>
        <w:tc>
          <w:tcPr>
            <w:tcW w:w="2950" w:type="dxa"/>
            <w:vAlign w:val="center"/>
          </w:tcPr>
          <w:p w14:paraId="4949A571">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投标人确认收到招标</w:t>
            </w:r>
          </w:p>
          <w:p w14:paraId="49BF8529">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文件修改</w:t>
            </w:r>
          </w:p>
        </w:tc>
        <w:tc>
          <w:tcPr>
            <w:tcW w:w="6198" w:type="dxa"/>
            <w:vAlign w:val="center"/>
          </w:tcPr>
          <w:p w14:paraId="5EF407D2">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投标人应关注第 2.</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 xml:space="preserve"> 项载明的网站，及时下载招标文件澄清</w:t>
            </w:r>
            <w:r>
              <w:rPr>
                <w:rFonts w:hint="eastAsia" w:ascii="宋体" w:hAnsi="宋体" w:eastAsia="宋体" w:cs="宋体"/>
                <w:color w:val="auto"/>
                <w:sz w:val="22"/>
                <w:szCs w:val="22"/>
                <w:highlight w:val="none"/>
                <w:lang w:eastAsia="zh-CN"/>
              </w:rPr>
              <w:t>。</w:t>
            </w:r>
          </w:p>
        </w:tc>
      </w:tr>
      <w:tr w14:paraId="2B23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EDBD462">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3.1.1</w:t>
            </w:r>
          </w:p>
        </w:tc>
        <w:tc>
          <w:tcPr>
            <w:tcW w:w="2950" w:type="dxa"/>
            <w:vAlign w:val="center"/>
          </w:tcPr>
          <w:p w14:paraId="5AE8EDEF">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投标文件密封形式</w:t>
            </w:r>
          </w:p>
        </w:tc>
        <w:tc>
          <w:tcPr>
            <w:tcW w:w="6198" w:type="dxa"/>
            <w:vAlign w:val="center"/>
          </w:tcPr>
          <w:p w14:paraId="1B55B7F6">
            <w:pPr>
              <w:pStyle w:val="74"/>
              <w:spacing w:beforeLines="0" w:after="0" w:afterLines="0" w:line="440" w:lineRule="exact"/>
              <w:ind w:left="0" w:leftChars="0" w:firstLine="0" w:firstLineChars="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单信封</w:t>
            </w:r>
            <w:r>
              <w:rPr>
                <w:rFonts w:hint="eastAsia" w:ascii="宋体" w:hAnsi="宋体" w:cs="宋体"/>
                <w:color w:val="auto"/>
                <w:sz w:val="22"/>
                <w:szCs w:val="22"/>
                <w:highlight w:val="none"/>
              </w:rPr>
              <w:t>；</w:t>
            </w:r>
          </w:p>
          <w:p w14:paraId="290E964C">
            <w:pPr>
              <w:pStyle w:val="74"/>
              <w:spacing w:beforeLines="0" w:after="0" w:afterLines="0" w:line="440" w:lineRule="exact"/>
              <w:ind w:left="0" w:leftChars="0" w:firstLine="0" w:firstLineChars="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双信封</w:t>
            </w:r>
            <w:r>
              <w:rPr>
                <w:rFonts w:hint="eastAsia" w:ascii="宋体" w:hAnsi="宋体" w:cs="宋体"/>
                <w:color w:val="auto"/>
                <w:sz w:val="22"/>
                <w:szCs w:val="22"/>
                <w:highlight w:val="none"/>
              </w:rPr>
              <w:t>；</w:t>
            </w:r>
          </w:p>
          <w:p w14:paraId="39ED0631">
            <w:pPr>
              <w:pStyle w:val="74"/>
              <w:spacing w:beforeLines="0" w:after="0" w:afterLines="0" w:line="440" w:lineRule="exact"/>
              <w:ind w:left="0" w:leftChars="0" w:firstLine="440" w:firstLineChars="20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本项目采用双信封，投标文件由第一个信封商务及技术文件和第二个信封报价文件组成，投标人应按招标文件规定的内容和要求编制投标文件：</w:t>
            </w:r>
          </w:p>
          <w:p w14:paraId="23723A25">
            <w:pPr>
              <w:pStyle w:val="74"/>
              <w:spacing w:beforeLines="0" w:after="0" w:afterLines="0" w:line="440" w:lineRule="exact"/>
              <w:ind w:left="0" w:leftChars="0" w:firstLine="0" w:firstLineChars="0"/>
              <w:rPr>
                <w:rFonts w:hint="eastAsia" w:ascii="宋体" w:hAnsi="宋体" w:cs="宋体"/>
                <w:color w:val="auto"/>
                <w:spacing w:val="-7"/>
                <w:sz w:val="22"/>
                <w:szCs w:val="22"/>
                <w:highlight w:val="none"/>
                <w:lang w:val="en-US" w:eastAsia="zh-CN"/>
              </w:rPr>
            </w:pPr>
            <w:r>
              <w:rPr>
                <w:rFonts w:hint="eastAsia" w:ascii="宋体" w:hAnsi="宋体" w:cs="宋体"/>
                <w:color w:val="auto"/>
                <w:spacing w:val="-7"/>
                <w:sz w:val="22"/>
                <w:szCs w:val="22"/>
                <w:highlight w:val="none"/>
                <w:lang w:val="en-US" w:eastAsia="zh-CN"/>
              </w:rPr>
              <w:t>第一个信封：商务及技术文件</w:t>
            </w:r>
          </w:p>
          <w:p w14:paraId="47037DC5">
            <w:pPr>
              <w:pStyle w:val="74"/>
              <w:spacing w:beforeLines="0" w:after="0" w:afterLines="0" w:line="440" w:lineRule="exact"/>
              <w:ind w:left="0" w:leftChars="0" w:firstLine="0" w:firstLineChars="0"/>
              <w:rPr>
                <w:rFonts w:hint="eastAsia" w:ascii="宋体" w:hAnsi="宋体" w:cs="宋体"/>
                <w:color w:val="auto"/>
                <w:spacing w:val="-7"/>
                <w:sz w:val="22"/>
                <w:szCs w:val="22"/>
                <w:highlight w:val="none"/>
                <w:lang w:val="en-US" w:eastAsia="zh-CN"/>
              </w:rPr>
            </w:pPr>
            <w:r>
              <w:rPr>
                <w:rFonts w:hint="eastAsia" w:ascii="宋体" w:hAnsi="宋体" w:cs="宋体"/>
                <w:color w:val="auto"/>
                <w:spacing w:val="-7"/>
                <w:sz w:val="22"/>
                <w:szCs w:val="22"/>
                <w:highlight w:val="none"/>
                <w:lang w:val="en-US" w:eastAsia="zh-CN"/>
              </w:rPr>
              <w:t>第二个信封：报价文件</w:t>
            </w:r>
          </w:p>
        </w:tc>
      </w:tr>
      <w:tr w14:paraId="39B4F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96AE602">
            <w:pPr>
              <w:spacing w:beforeLines="0" w:afterLines="0"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3.1.1</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lang w:eastAsia="zh-CN"/>
              </w:rPr>
              <w:t>）</w:t>
            </w:r>
          </w:p>
        </w:tc>
        <w:tc>
          <w:tcPr>
            <w:tcW w:w="2950" w:type="dxa"/>
            <w:vAlign w:val="center"/>
          </w:tcPr>
          <w:p w14:paraId="1566000D">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构成投标文件的其他材料</w:t>
            </w:r>
          </w:p>
        </w:tc>
        <w:tc>
          <w:tcPr>
            <w:tcW w:w="6198" w:type="dxa"/>
            <w:vAlign w:val="center"/>
          </w:tcPr>
          <w:p w14:paraId="52A5EDA8">
            <w:pPr>
              <w:spacing w:beforeLines="0" w:afterLines="0"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w:t>
            </w:r>
          </w:p>
        </w:tc>
      </w:tr>
      <w:tr w14:paraId="3259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0F092B51">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3.2.1</w:t>
            </w:r>
          </w:p>
        </w:tc>
        <w:tc>
          <w:tcPr>
            <w:tcW w:w="2950" w:type="dxa"/>
            <w:vAlign w:val="center"/>
          </w:tcPr>
          <w:p w14:paraId="6244EEEC">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增值税税金的相关要求</w:t>
            </w:r>
          </w:p>
        </w:tc>
        <w:tc>
          <w:tcPr>
            <w:tcW w:w="6198" w:type="dxa"/>
            <w:vAlign w:val="center"/>
          </w:tcPr>
          <w:p w14:paraId="5BC40383">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计税方法</w:t>
            </w:r>
          </w:p>
          <w:p w14:paraId="7857E18C">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☑一般计税方法；</w:t>
            </w:r>
          </w:p>
          <w:p w14:paraId="554AB10E">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简易计算方法；</w:t>
            </w:r>
          </w:p>
          <w:p w14:paraId="279DB3AC">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发票类型：</w:t>
            </w:r>
          </w:p>
          <w:p w14:paraId="380341F1">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增值税专用发票；</w:t>
            </w:r>
          </w:p>
          <w:p w14:paraId="23857EE2">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 xml:space="preserve">增值税普通发票；   </w:t>
            </w:r>
          </w:p>
          <w:p w14:paraId="6C4E5324">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增值税税率按照国家有关规定执行。</w:t>
            </w:r>
          </w:p>
        </w:tc>
      </w:tr>
      <w:tr w14:paraId="1860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0887594B">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3.2.3</w:t>
            </w:r>
          </w:p>
        </w:tc>
        <w:tc>
          <w:tcPr>
            <w:tcW w:w="2950" w:type="dxa"/>
            <w:vAlign w:val="center"/>
          </w:tcPr>
          <w:p w14:paraId="023DE8F1">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报价方式</w:t>
            </w:r>
          </w:p>
        </w:tc>
        <w:tc>
          <w:tcPr>
            <w:tcW w:w="6198" w:type="dxa"/>
            <w:vAlign w:val="center"/>
          </w:tcPr>
          <w:p w14:paraId="610EB30C">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单价</w:t>
            </w:r>
          </w:p>
          <w:p w14:paraId="4679C884">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总价</w:t>
            </w:r>
          </w:p>
        </w:tc>
      </w:tr>
      <w:tr w14:paraId="1862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5250318">
            <w:pPr>
              <w:snapToGrid w:val="0"/>
              <w:spacing w:beforeLines="0" w:afterLines="0"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4</w:t>
            </w:r>
          </w:p>
        </w:tc>
        <w:tc>
          <w:tcPr>
            <w:tcW w:w="2950" w:type="dxa"/>
            <w:vAlign w:val="center"/>
          </w:tcPr>
          <w:p w14:paraId="0863FFD8">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最高投标限价</w:t>
            </w:r>
          </w:p>
        </w:tc>
        <w:tc>
          <w:tcPr>
            <w:tcW w:w="6198" w:type="dxa"/>
            <w:vAlign w:val="center"/>
          </w:tcPr>
          <w:p w14:paraId="784D5E11">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A8"/>
            </w:r>
            <w:r>
              <w:rPr>
                <w:rFonts w:hint="eastAsia" w:ascii="宋体" w:hAnsi="宋体" w:eastAsia="宋体" w:cs="宋体"/>
                <w:color w:val="auto"/>
                <w:sz w:val="22"/>
                <w:szCs w:val="22"/>
                <w:highlight w:val="none"/>
              </w:rPr>
              <w:t>无</w:t>
            </w:r>
          </w:p>
          <w:p w14:paraId="284A84CB">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有，</w:t>
            </w:r>
            <w:r>
              <w:rPr>
                <w:rFonts w:hint="eastAsia" w:ascii="宋体" w:hAnsi="宋体" w:eastAsia="宋体" w:cs="宋体"/>
                <w:b/>
                <w:bCs/>
                <w:color w:val="auto"/>
                <w:sz w:val="22"/>
                <w:szCs w:val="22"/>
                <w:highlight w:val="none"/>
              </w:rPr>
              <w:t>最高投标限价：</w:t>
            </w:r>
            <w:r>
              <w:rPr>
                <w:rFonts w:hint="eastAsia" w:ascii="宋体" w:hAnsi="宋体" w:cs="宋体"/>
                <w:b/>
                <w:bCs/>
                <w:color w:val="auto"/>
                <w:kern w:val="0"/>
                <w:sz w:val="22"/>
                <w:szCs w:val="22"/>
                <w:highlight w:val="none"/>
              </w:rPr>
              <w:t>人民币</w:t>
            </w:r>
            <w:r>
              <w:rPr>
                <w:rFonts w:hint="eastAsia" w:ascii="宋体" w:hAnsi="宋体" w:cs="宋体"/>
                <w:b/>
                <w:bCs/>
                <w:color w:val="auto"/>
                <w:kern w:val="0"/>
                <w:sz w:val="22"/>
                <w:szCs w:val="22"/>
                <w:highlight w:val="none"/>
                <w:u w:val="single"/>
                <w:lang w:val="en-US" w:eastAsia="zh-CN"/>
              </w:rPr>
              <w:t xml:space="preserve"> 740 </w:t>
            </w:r>
            <w:r>
              <w:rPr>
                <w:rFonts w:hint="eastAsia" w:ascii="宋体" w:hAnsi="宋体" w:cs="宋体"/>
                <w:b/>
                <w:bCs/>
                <w:color w:val="auto"/>
                <w:kern w:val="0"/>
                <w:sz w:val="22"/>
                <w:szCs w:val="22"/>
                <w:highlight w:val="none"/>
              </w:rPr>
              <w:t>万元整</w:t>
            </w:r>
            <w:r>
              <w:rPr>
                <w:rFonts w:hint="eastAsia" w:ascii="宋体" w:hAnsi="宋体" w:cs="宋体"/>
                <w:b/>
                <w:bCs/>
                <w:color w:val="auto"/>
                <w:kern w:val="0"/>
                <w:sz w:val="22"/>
                <w:szCs w:val="22"/>
                <w:highlight w:val="none"/>
                <w:lang w:eastAsia="zh-CN"/>
              </w:rPr>
              <w:t>（</w:t>
            </w:r>
            <w:r>
              <w:rPr>
                <w:rFonts w:hint="eastAsia" w:ascii="宋体" w:hAnsi="宋体" w:cs="宋体"/>
                <w:b/>
                <w:bCs/>
                <w:color w:val="auto"/>
                <w:kern w:val="0"/>
                <w:sz w:val="22"/>
                <w:szCs w:val="22"/>
                <w:highlight w:val="none"/>
                <w:lang w:val="en-US" w:eastAsia="zh-CN"/>
              </w:rPr>
              <w:t>其中含暂列金30万元</w:t>
            </w:r>
            <w:r>
              <w:rPr>
                <w:rFonts w:hint="eastAsia" w:ascii="宋体" w:hAnsi="宋体" w:cs="宋体"/>
                <w:b/>
                <w:bCs/>
                <w:color w:val="auto"/>
                <w:kern w:val="0"/>
                <w:sz w:val="22"/>
                <w:szCs w:val="22"/>
                <w:highlight w:val="none"/>
                <w:lang w:eastAsia="zh-CN"/>
              </w:rPr>
              <w:t>）。</w:t>
            </w:r>
          </w:p>
        </w:tc>
      </w:tr>
      <w:tr w14:paraId="0384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901E7D2">
            <w:pPr>
              <w:snapToGrid w:val="0"/>
              <w:spacing w:beforeLines="0" w:afterLines="0"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3.2.</w:t>
            </w:r>
            <w:r>
              <w:rPr>
                <w:rFonts w:hint="eastAsia" w:ascii="宋体" w:hAnsi="宋体" w:cs="宋体"/>
                <w:color w:val="auto"/>
                <w:sz w:val="22"/>
                <w:szCs w:val="22"/>
                <w:highlight w:val="none"/>
                <w:lang w:val="en-US" w:eastAsia="zh-CN"/>
              </w:rPr>
              <w:t>5</w:t>
            </w:r>
          </w:p>
        </w:tc>
        <w:tc>
          <w:tcPr>
            <w:tcW w:w="2950" w:type="dxa"/>
            <w:vAlign w:val="center"/>
          </w:tcPr>
          <w:p w14:paraId="62CCDAA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投标报价的其他要求</w:t>
            </w:r>
          </w:p>
        </w:tc>
        <w:tc>
          <w:tcPr>
            <w:tcW w:w="6198" w:type="dxa"/>
            <w:vAlign w:val="center"/>
          </w:tcPr>
          <w:p w14:paraId="2FBAFEEF">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项目投标报价为完成本项目全部服务内容的费用，中标后招标人不再另行支付其他费用，请投标人在报价时综合考虑，谨慎报价。</w:t>
            </w:r>
          </w:p>
        </w:tc>
      </w:tr>
      <w:tr w14:paraId="50ABE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0D541DC">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w:t>
            </w:r>
          </w:p>
        </w:tc>
        <w:tc>
          <w:tcPr>
            <w:tcW w:w="2950" w:type="dxa"/>
            <w:vAlign w:val="center"/>
          </w:tcPr>
          <w:p w14:paraId="0259A19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投标有效期</w:t>
            </w:r>
          </w:p>
        </w:tc>
        <w:tc>
          <w:tcPr>
            <w:tcW w:w="6198" w:type="dxa"/>
            <w:vAlign w:val="center"/>
          </w:tcPr>
          <w:p w14:paraId="498E8FF9">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自投标人提交投标文件截止之日起计算</w:t>
            </w:r>
            <w:r>
              <w:rPr>
                <w:rFonts w:hint="eastAsia" w:ascii="宋体" w:hAnsi="宋体" w:eastAsia="宋体" w:cs="宋体"/>
                <w:color w:val="auto"/>
                <w:sz w:val="22"/>
                <w:szCs w:val="22"/>
                <w:highlight w:val="none"/>
                <w:u w:val="single"/>
              </w:rPr>
              <w:t>120</w:t>
            </w:r>
            <w:r>
              <w:rPr>
                <w:rFonts w:hint="eastAsia" w:ascii="宋体" w:hAnsi="宋体" w:eastAsia="宋体" w:cs="宋体"/>
                <w:color w:val="auto"/>
                <w:sz w:val="22"/>
                <w:szCs w:val="22"/>
                <w:highlight w:val="none"/>
              </w:rPr>
              <w:t>天</w:t>
            </w:r>
            <w:r>
              <w:rPr>
                <w:rFonts w:hint="eastAsia" w:ascii="宋体" w:hAnsi="宋体" w:cs="宋体"/>
                <w:color w:val="auto"/>
                <w:sz w:val="22"/>
                <w:szCs w:val="22"/>
                <w:highlight w:val="none"/>
                <w:u w:val="none"/>
                <w:lang w:eastAsia="zh-CN"/>
              </w:rPr>
              <w:t>。</w:t>
            </w:r>
          </w:p>
        </w:tc>
      </w:tr>
      <w:tr w14:paraId="6C47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285F063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w:t>
            </w:r>
          </w:p>
        </w:tc>
        <w:tc>
          <w:tcPr>
            <w:tcW w:w="2950" w:type="dxa"/>
            <w:vAlign w:val="center"/>
          </w:tcPr>
          <w:p w14:paraId="69FAAA70">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6198" w:type="dxa"/>
            <w:vAlign w:val="center"/>
          </w:tcPr>
          <w:p w14:paraId="30A03062">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是否要求投标人递交投标保证金：</w:t>
            </w:r>
            <w:r>
              <w:rPr>
                <w:rFonts w:hint="eastAsia" w:ascii="宋体" w:hAnsi="宋体" w:eastAsia="宋体" w:cs="宋体"/>
                <w:color w:val="auto"/>
                <w:sz w:val="22"/>
                <w:szCs w:val="22"/>
                <w:highlight w:val="none"/>
                <w:lang w:val="en-US" w:eastAsia="zh-CN"/>
              </w:rPr>
              <w:t>要求</w:t>
            </w:r>
          </w:p>
          <w:p w14:paraId="4F4CA778">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投标保证金的形式：</w:t>
            </w:r>
            <w:r>
              <w:rPr>
                <w:rFonts w:hint="eastAsia" w:ascii="宋体" w:hAnsi="宋体" w:eastAsia="宋体" w:cs="宋体"/>
                <w:color w:val="auto"/>
                <w:sz w:val="22"/>
                <w:szCs w:val="22"/>
                <w:highlight w:val="none"/>
                <w:lang w:val="en-US" w:eastAsia="zh-CN"/>
              </w:rPr>
              <w:t>现金（银行转账、银行电汇）、 银行保函、担保机构担保、保证保险、电子保函。</w:t>
            </w:r>
          </w:p>
          <w:p w14:paraId="72A714D9">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投标保证金的金额：人民币</w:t>
            </w:r>
            <w:r>
              <w:rPr>
                <w:rFonts w:hint="eastAsia" w:ascii="宋体" w:hAnsi="宋体" w:cs="宋体"/>
                <w:color w:val="auto"/>
                <w:sz w:val="22"/>
                <w:szCs w:val="22"/>
                <w:highlight w:val="none"/>
                <w:lang w:val="en-US" w:eastAsia="zh-CN"/>
              </w:rPr>
              <w:t>14</w:t>
            </w:r>
            <w:r>
              <w:rPr>
                <w:rFonts w:hint="eastAsia" w:ascii="宋体" w:hAnsi="宋体" w:eastAsia="宋体" w:cs="宋体"/>
                <w:color w:val="auto"/>
                <w:sz w:val="22"/>
                <w:szCs w:val="22"/>
                <w:highlight w:val="none"/>
              </w:rPr>
              <w:t>万元</w:t>
            </w:r>
          </w:p>
          <w:p w14:paraId="5D605E60">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具体要求：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 </w:t>
            </w:r>
          </w:p>
          <w:p w14:paraId="37831290">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②采用银行保函的，应为投标人基本存款账户开户行出具的不可撤销、不可转让的见索即付独立保函。 </w:t>
            </w:r>
          </w:p>
          <w:p w14:paraId="2F8F41AA">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③采用担保机构担保的，应为经安徽省地方金融监督管理局审查批准，依法取得融资担保业务经营许可证的融资担保机构出具的不可撤销、不可转让的见索即付独立保函。 </w:t>
            </w:r>
          </w:p>
          <w:p w14:paraId="2E412118">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④采用保证保险的，应为保险公司出具的不可撤销、不可转让的见索即付保证保险。 </w:t>
            </w:r>
          </w:p>
          <w:p w14:paraId="57FAE8A5">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采用电子保函的，请登录全国公共资源交易平台（安徽省•合肥市）（安徽合肥公共资源交易中心网站）“通知公告”栏目查看《合肥市公共资源交易投标保证金电子保函操作手册》并按照操作手册规定内容办理。</w:t>
            </w:r>
          </w:p>
          <w:p w14:paraId="3B631E6F">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（4）是否适用投标保证金减免政策： </w:t>
            </w:r>
          </w:p>
          <w:p w14:paraId="39AC27A0">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 xml:space="preserve">不适用 </w:t>
            </w:r>
          </w:p>
          <w:p w14:paraId="521CBD63">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（5）其他要求： </w:t>
            </w:r>
          </w:p>
          <w:p w14:paraId="12FA16DB">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①特别提醒 </w:t>
            </w:r>
          </w:p>
          <w:p w14:paraId="498E30CB">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投标人采用银行保函、担保机构担保、保证保险方式提交投标保证金的，如出现本招标项目招标文件“投标人须知”第3.4.4 项所列情形的，提供担保的银行、担保机构及保险机构将无条件向招标人支付保函所列的全部投标保证金金额，该支付行为视同投标保证金不予退还。 </w:t>
            </w:r>
          </w:p>
          <w:p w14:paraId="3DA2C9B7">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②投标保证金弄虚作假情形 </w:t>
            </w:r>
          </w:p>
          <w:p w14:paraId="4623F0F2">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投标人采用虚假银行保函（或担保机构担保或保证保险）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 </w:t>
            </w:r>
          </w:p>
          <w:p w14:paraId="70451E3B">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（6）投标保证金注意事项： </w:t>
            </w:r>
          </w:p>
          <w:p w14:paraId="5C7B7EA1">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①投标人采用银行保函、担保机构担保、保证保险形式的，须提供明确有效的查询途径（网址链接及查询方式），否则无效。 </w:t>
            </w:r>
          </w:p>
          <w:p w14:paraId="28BA2CBE">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②保函存在明显异常情形的（如多家投标人的保函编号相同；保函存在明显伪造痕迹、内容前后矛盾等情形），评标委员会应根据投标人提供的查询途径进行核查，并在评标报告中予以记录。 </w:t>
            </w:r>
          </w:p>
          <w:p w14:paraId="3123739B">
            <w:pPr>
              <w:spacing w:beforeLines="0" w:afterLines="0" w:line="440" w:lineRule="exact"/>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③中标候选人须在中标候选人公示期间将其开具至本招标项目的银行保函（或担保机构担保或保证保险）原件提交招标人（或招标代理机构），且原件须与投标文件中提供的扫描件一致，如存在未按照规定提交或提交内容不一致，或发现弄虚作假的，招标人（或招标代理机构）应报公共资源交易监督管理部门。</w:t>
            </w:r>
          </w:p>
        </w:tc>
      </w:tr>
      <w:tr w14:paraId="7366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85D6BB4">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3.4.3</w:t>
            </w:r>
          </w:p>
        </w:tc>
        <w:tc>
          <w:tcPr>
            <w:tcW w:w="2950" w:type="dxa"/>
            <w:vAlign w:val="center"/>
          </w:tcPr>
          <w:p w14:paraId="46839A63">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投标保证金利息计算原则</w:t>
            </w:r>
          </w:p>
        </w:tc>
        <w:tc>
          <w:tcPr>
            <w:tcW w:w="6198" w:type="dxa"/>
            <w:vAlign w:val="center"/>
          </w:tcPr>
          <w:p w14:paraId="1B10BDBC">
            <w:pPr>
              <w:pStyle w:val="74"/>
              <w:spacing w:beforeLines="0" w:after="0" w:afterLines="0" w:line="440" w:lineRule="exact"/>
              <w:ind w:left="0" w:leftChars="0" w:firstLine="0" w:firstLineChars="0"/>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按安徽合肥公共资源交易中心的相关规定执行。</w:t>
            </w:r>
          </w:p>
        </w:tc>
      </w:tr>
      <w:tr w14:paraId="5C6E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BD8F22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w:t>
            </w:r>
          </w:p>
        </w:tc>
        <w:tc>
          <w:tcPr>
            <w:tcW w:w="2950" w:type="dxa"/>
            <w:vAlign w:val="center"/>
          </w:tcPr>
          <w:p w14:paraId="0B39E426">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其他可以不予退还投标</w:t>
            </w:r>
          </w:p>
          <w:p w14:paraId="3BCBE07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保证金的情形</w:t>
            </w:r>
          </w:p>
        </w:tc>
        <w:tc>
          <w:tcPr>
            <w:tcW w:w="6198" w:type="dxa"/>
            <w:vAlign w:val="center"/>
          </w:tcPr>
          <w:p w14:paraId="0E86A6E7">
            <w:pPr>
              <w:spacing w:beforeLines="0" w:afterLines="0" w:line="440" w:lineRule="exact"/>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rPr>
              <w:t>。</w:t>
            </w:r>
          </w:p>
        </w:tc>
      </w:tr>
      <w:tr w14:paraId="171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A0A296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p>
        </w:tc>
        <w:tc>
          <w:tcPr>
            <w:tcW w:w="2950" w:type="dxa"/>
            <w:vAlign w:val="center"/>
          </w:tcPr>
          <w:p w14:paraId="050182EB">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资格审查资料的特殊要求</w:t>
            </w:r>
          </w:p>
        </w:tc>
        <w:tc>
          <w:tcPr>
            <w:tcW w:w="6198" w:type="dxa"/>
            <w:vAlign w:val="center"/>
          </w:tcPr>
          <w:p w14:paraId="12C066EF">
            <w:pPr>
              <w:spacing w:beforeLines="0" w:afterLines="0" w:line="44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无</w:t>
            </w:r>
          </w:p>
        </w:tc>
      </w:tr>
      <w:tr w14:paraId="3D47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1F149D8">
            <w:pPr>
              <w:spacing w:beforeLines="0" w:afterLines="0" w:line="440" w:lineRule="exact"/>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3.5.1</w:t>
            </w:r>
          </w:p>
        </w:tc>
        <w:tc>
          <w:tcPr>
            <w:tcW w:w="2950" w:type="dxa"/>
            <w:vAlign w:val="center"/>
          </w:tcPr>
          <w:p w14:paraId="0B45DDE2">
            <w:pPr>
              <w:spacing w:beforeLines="0" w:afterLines="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 xml:space="preserve">投标人资质审查资料 </w:t>
            </w:r>
          </w:p>
        </w:tc>
        <w:tc>
          <w:tcPr>
            <w:tcW w:w="6198" w:type="dxa"/>
            <w:vAlign w:val="center"/>
          </w:tcPr>
          <w:p w14:paraId="40026F08">
            <w:pPr>
              <w:keepNext w:val="0"/>
              <w:keepLines w:val="0"/>
              <w:widowControl/>
              <w:suppressLineNumbers w:val="0"/>
              <w:spacing w:beforeLines="0" w:afterLines="0" w:line="440" w:lineRule="exact"/>
              <w:jc w:val="left"/>
              <w:rPr>
                <w:rFonts w:hint="eastAsia" w:ascii="宋体" w:hAnsi="宋体" w:cs="宋体"/>
                <w:b/>
                <w:bCs/>
                <w:color w:val="auto"/>
                <w:sz w:val="22"/>
                <w:szCs w:val="22"/>
                <w:highlight w:val="none"/>
                <w:lang w:bidi="ar"/>
              </w:rPr>
            </w:pPr>
            <w:r>
              <w:rPr>
                <w:rFonts w:hint="eastAsia" w:ascii="宋体" w:hAnsi="宋体" w:eastAsia="宋体" w:cs="宋体"/>
                <w:b/>
                <w:bCs/>
                <w:color w:val="auto"/>
                <w:kern w:val="2"/>
                <w:sz w:val="22"/>
                <w:szCs w:val="22"/>
                <w:highlight w:val="none"/>
                <w:lang w:val="en-US" w:eastAsia="zh-CN" w:bidi="ar"/>
              </w:rPr>
              <w:t xml:space="preserve">原条款不适用，修改为： </w:t>
            </w:r>
          </w:p>
          <w:p w14:paraId="4804A19A">
            <w:pPr>
              <w:keepNext w:val="0"/>
              <w:keepLines w:val="0"/>
              <w:widowControl/>
              <w:suppressLineNumbers w:val="0"/>
              <w:spacing w:beforeLines="0" w:afterLines="0" w:line="440" w:lineRule="exact"/>
              <w:jc w:val="left"/>
              <w:rPr>
                <w:rFonts w:hint="eastAsia" w:ascii="宋体" w:hAnsi="宋体" w:cs="宋体"/>
                <w:b/>
                <w:bCs/>
                <w:color w:val="auto"/>
                <w:sz w:val="22"/>
                <w:szCs w:val="22"/>
                <w:highlight w:val="none"/>
                <w:lang w:bidi="ar"/>
              </w:rPr>
            </w:pPr>
            <w:r>
              <w:rPr>
                <w:rFonts w:hint="eastAsia" w:ascii="宋体" w:hAnsi="宋体" w:eastAsia="宋体" w:cs="宋体"/>
                <w:b/>
                <w:bCs/>
                <w:color w:val="auto"/>
                <w:kern w:val="2"/>
                <w:sz w:val="22"/>
                <w:szCs w:val="22"/>
                <w:highlight w:val="none"/>
                <w:lang w:val="en-US" w:eastAsia="zh-CN" w:bidi="ar"/>
              </w:rPr>
              <w:t xml:space="preserve">“投标人基本情况表”应附以下资料的扫描件： </w:t>
            </w:r>
          </w:p>
          <w:p w14:paraId="0D7AEBE9">
            <w:pPr>
              <w:keepNext w:val="0"/>
              <w:keepLines w:val="0"/>
              <w:widowControl/>
              <w:suppressLineNumbers w:val="0"/>
              <w:spacing w:beforeLines="0" w:afterLines="0" w:line="440" w:lineRule="exact"/>
              <w:jc w:val="left"/>
              <w:rPr>
                <w:rFonts w:hint="eastAsia" w:ascii="宋体" w:hAnsi="宋体" w:cs="宋体"/>
                <w:b/>
                <w:bCs/>
                <w:color w:val="auto"/>
                <w:sz w:val="22"/>
                <w:szCs w:val="22"/>
                <w:highlight w:val="none"/>
                <w:lang w:bidi="ar"/>
              </w:rPr>
            </w:pPr>
            <w:r>
              <w:rPr>
                <w:rFonts w:hint="eastAsia" w:ascii="宋体" w:hAnsi="宋体" w:eastAsia="宋体" w:cs="宋体"/>
                <w:b/>
                <w:bCs/>
                <w:color w:val="auto"/>
                <w:kern w:val="2"/>
                <w:sz w:val="22"/>
                <w:szCs w:val="22"/>
                <w:highlight w:val="none"/>
                <w:lang w:val="en-US" w:eastAsia="zh-CN" w:bidi="ar"/>
              </w:rPr>
              <w:t xml:space="preserve">（1）企业法人营业执照副本和组织机构代码证副本（按照“三证合一”或“五证合一”登记制度进行登记的，可仅提供营业执照副本，下同）； </w:t>
            </w:r>
          </w:p>
          <w:p w14:paraId="7A43AA04">
            <w:pPr>
              <w:keepNext w:val="0"/>
              <w:keepLines w:val="0"/>
              <w:widowControl/>
              <w:suppressLineNumbers w:val="0"/>
              <w:spacing w:beforeLines="0" w:afterLines="0" w:line="400" w:lineRule="exact"/>
              <w:jc w:val="left"/>
              <w:rPr>
                <w:rFonts w:hint="eastAsia" w:ascii="宋体" w:hAnsi="宋体" w:eastAsia="宋体" w:cs="宋体"/>
                <w:b/>
                <w:bCs/>
                <w:color w:val="auto"/>
                <w:kern w:val="2"/>
                <w:sz w:val="22"/>
                <w:szCs w:val="22"/>
                <w:highlight w:val="none"/>
                <w:u w:val="none"/>
                <w:lang w:val="en-US" w:eastAsia="zh-CN" w:bidi="ar"/>
              </w:rPr>
            </w:pPr>
            <w:r>
              <w:rPr>
                <w:rFonts w:hint="eastAsia" w:ascii="宋体" w:hAnsi="宋体" w:eastAsia="宋体" w:cs="宋体"/>
                <w:b/>
                <w:bCs/>
                <w:color w:val="auto"/>
                <w:kern w:val="2"/>
                <w:sz w:val="22"/>
                <w:szCs w:val="22"/>
                <w:highlight w:val="none"/>
                <w:u w:val="none"/>
                <w:lang w:val="en-US" w:eastAsia="zh-CN" w:bidi="ar"/>
              </w:rPr>
              <w:t>（2）试验检测资质证书；</w:t>
            </w:r>
          </w:p>
          <w:p w14:paraId="739F0CA4">
            <w:pPr>
              <w:keepNext w:val="0"/>
              <w:keepLines w:val="0"/>
              <w:widowControl/>
              <w:suppressLineNumbers w:val="0"/>
              <w:spacing w:beforeLines="0" w:afterLines="0" w:line="400" w:lineRule="exact"/>
              <w:jc w:val="left"/>
              <w:rPr>
                <w:rFonts w:hint="eastAsia" w:ascii="宋体" w:hAnsi="宋体" w:cs="宋体"/>
                <w:b/>
                <w:bCs/>
                <w:color w:val="auto"/>
                <w:sz w:val="22"/>
                <w:szCs w:val="22"/>
                <w:highlight w:val="none"/>
                <w:u w:val="none"/>
                <w:lang w:bidi="ar"/>
              </w:rPr>
            </w:pPr>
            <w:r>
              <w:rPr>
                <w:rFonts w:hint="eastAsia" w:ascii="宋体" w:hAnsi="宋体" w:cs="宋体"/>
                <w:b/>
                <w:bCs/>
                <w:color w:val="auto"/>
                <w:kern w:val="2"/>
                <w:sz w:val="22"/>
                <w:szCs w:val="22"/>
                <w:highlight w:val="none"/>
                <w:u w:val="none"/>
                <w:lang w:val="en-US" w:eastAsia="zh-CN" w:bidi="ar"/>
              </w:rPr>
              <w:t>（3）CMA证书；</w:t>
            </w:r>
            <w:r>
              <w:rPr>
                <w:rFonts w:hint="eastAsia" w:ascii="宋体" w:hAnsi="宋体" w:eastAsia="宋体" w:cs="宋体"/>
                <w:b/>
                <w:bCs/>
                <w:color w:val="auto"/>
                <w:kern w:val="2"/>
                <w:sz w:val="22"/>
                <w:szCs w:val="22"/>
                <w:highlight w:val="none"/>
                <w:u w:val="none"/>
                <w:lang w:val="en-US" w:eastAsia="zh-CN" w:bidi="ar"/>
              </w:rPr>
              <w:t xml:space="preserve"> </w:t>
            </w:r>
          </w:p>
          <w:p w14:paraId="58202BF6">
            <w:pPr>
              <w:keepNext w:val="0"/>
              <w:keepLines w:val="0"/>
              <w:widowControl/>
              <w:suppressLineNumbers w:val="0"/>
              <w:spacing w:beforeLines="0" w:afterLines="0" w:line="400" w:lineRule="exact"/>
              <w:jc w:val="left"/>
              <w:rPr>
                <w:rFonts w:hint="eastAsia" w:ascii="宋体" w:hAnsi="宋体" w:eastAsia="宋体" w:cs="宋体"/>
                <w:b/>
                <w:bCs/>
                <w:color w:val="auto"/>
                <w:kern w:val="2"/>
                <w:sz w:val="22"/>
                <w:szCs w:val="22"/>
                <w:highlight w:val="none"/>
                <w:lang w:val="en-US" w:eastAsia="zh-CN" w:bidi="ar"/>
              </w:rPr>
            </w:pPr>
            <w:r>
              <w:rPr>
                <w:rFonts w:hint="eastAsia" w:ascii="宋体" w:hAnsi="宋体" w:eastAsia="宋体" w:cs="宋体"/>
                <w:b/>
                <w:bCs/>
                <w:color w:val="auto"/>
                <w:kern w:val="2"/>
                <w:sz w:val="22"/>
                <w:szCs w:val="22"/>
                <w:highlight w:val="none"/>
                <w:u w:val="none"/>
                <w:lang w:val="en-US" w:eastAsia="zh-CN" w:bidi="ar"/>
              </w:rPr>
              <w:t>（</w:t>
            </w:r>
            <w:r>
              <w:rPr>
                <w:rFonts w:hint="eastAsia" w:ascii="宋体" w:hAnsi="宋体" w:cs="宋体"/>
                <w:b/>
                <w:bCs/>
                <w:color w:val="auto"/>
                <w:kern w:val="2"/>
                <w:sz w:val="22"/>
                <w:szCs w:val="22"/>
                <w:highlight w:val="none"/>
                <w:u w:val="none"/>
                <w:lang w:val="en-US" w:eastAsia="zh-CN" w:bidi="ar"/>
              </w:rPr>
              <w:t>4</w:t>
            </w:r>
            <w:r>
              <w:rPr>
                <w:rFonts w:hint="eastAsia" w:ascii="宋体" w:hAnsi="宋体" w:eastAsia="宋体" w:cs="宋体"/>
                <w:b/>
                <w:bCs/>
                <w:color w:val="auto"/>
                <w:kern w:val="2"/>
                <w:sz w:val="22"/>
                <w:szCs w:val="22"/>
                <w:highlight w:val="none"/>
                <w:u w:val="none"/>
                <w:lang w:val="en-US" w:eastAsia="zh-CN" w:bidi="ar"/>
              </w:rPr>
              <w:t>）基本账户开户许可证；</w:t>
            </w:r>
            <w:r>
              <w:rPr>
                <w:rFonts w:hint="eastAsia" w:ascii="宋体" w:hAnsi="宋体" w:eastAsia="宋体" w:cs="宋体"/>
                <w:b/>
                <w:bCs/>
                <w:color w:val="auto"/>
                <w:kern w:val="2"/>
                <w:sz w:val="22"/>
                <w:szCs w:val="22"/>
                <w:highlight w:val="none"/>
                <w:lang w:val="en-US" w:eastAsia="zh-CN" w:bidi="ar"/>
              </w:rPr>
              <w:t xml:space="preserve"> 《中国人民银行关于取消企业银行账户许可的通知》（银〔2019〕41 号），对于不再核发基本账户开户许可证地区的投标人可不提供基本账户开户许可证，但应提供当地人民银行分支机构的备案材料并逐页加盖投标人单位公章，备案材料中应真实的反映投标人基本账户信息（包括账户名称、账号、开户行名称等）。</w:t>
            </w:r>
          </w:p>
          <w:p w14:paraId="25E0B17C">
            <w:pPr>
              <w:keepNext w:val="0"/>
              <w:keepLines w:val="0"/>
              <w:widowControl/>
              <w:suppressLineNumbers w:val="0"/>
              <w:spacing w:beforeLines="0" w:afterLines="0" w:line="440" w:lineRule="exact"/>
              <w:jc w:val="left"/>
              <w:rPr>
                <w:rFonts w:hint="eastAsia" w:ascii="宋体" w:hAnsi="宋体" w:cs="宋体"/>
                <w:b/>
                <w:bCs/>
                <w:color w:val="auto"/>
                <w:sz w:val="22"/>
                <w:szCs w:val="22"/>
                <w:highlight w:val="none"/>
                <w:lang w:bidi="ar"/>
              </w:rPr>
            </w:pPr>
            <w:r>
              <w:rPr>
                <w:rFonts w:hint="eastAsia" w:ascii="宋体" w:hAnsi="宋体" w:eastAsia="宋体" w:cs="宋体"/>
                <w:b/>
                <w:bCs/>
                <w:color w:val="auto"/>
                <w:kern w:val="2"/>
                <w:sz w:val="22"/>
                <w:szCs w:val="22"/>
                <w:highlight w:val="none"/>
                <w:lang w:val="en-US" w:eastAsia="zh-CN" w:bidi="ar"/>
              </w:rPr>
              <w:t>投标人如为事业单位，应附事业单位法人证书和组织机构代码证副本的</w:t>
            </w:r>
            <w:r>
              <w:rPr>
                <w:rFonts w:hint="eastAsia" w:ascii="宋体" w:hAnsi="宋体" w:cs="宋体"/>
                <w:b/>
                <w:bCs/>
                <w:color w:val="auto"/>
                <w:kern w:val="2"/>
                <w:sz w:val="22"/>
                <w:szCs w:val="22"/>
                <w:highlight w:val="none"/>
                <w:lang w:val="en-US" w:eastAsia="zh-CN" w:bidi="ar"/>
              </w:rPr>
              <w:t>扫描</w:t>
            </w:r>
            <w:r>
              <w:rPr>
                <w:rFonts w:hint="eastAsia" w:ascii="宋体" w:hAnsi="宋体" w:eastAsia="宋体" w:cs="宋体"/>
                <w:b/>
                <w:bCs/>
                <w:color w:val="auto"/>
                <w:kern w:val="2"/>
                <w:sz w:val="22"/>
                <w:szCs w:val="22"/>
                <w:highlight w:val="none"/>
                <w:lang w:val="en-US" w:eastAsia="zh-CN" w:bidi="ar"/>
              </w:rPr>
              <w:t xml:space="preserve">件。 </w:t>
            </w:r>
          </w:p>
          <w:p w14:paraId="68F5532E">
            <w:pPr>
              <w:widowControl/>
              <w:spacing w:beforeLines="0" w:afterLines="0" w:line="440" w:lineRule="exact"/>
              <w:jc w:val="left"/>
              <w:rPr>
                <w:rFonts w:hint="eastAsia" w:ascii="宋体" w:hAnsi="宋体" w:eastAsia="宋体" w:cs="宋体"/>
                <w:b/>
                <w:bCs/>
                <w:color w:val="auto"/>
                <w:sz w:val="22"/>
                <w:szCs w:val="22"/>
                <w:highlight w:val="none"/>
                <w:lang w:val="en-US" w:eastAsia="zh-CN"/>
              </w:rPr>
            </w:pPr>
            <w:r>
              <w:rPr>
                <w:rFonts w:hint="eastAsia" w:ascii="宋体" w:hAnsi="宋体" w:cs="宋体"/>
                <w:b/>
                <w:bCs/>
                <w:color w:val="auto"/>
                <w:kern w:val="2"/>
                <w:sz w:val="22"/>
                <w:szCs w:val="22"/>
                <w:highlight w:val="none"/>
                <w:u w:val="none"/>
                <w:lang w:val="en-US" w:eastAsia="zh-CN" w:bidi="ar"/>
              </w:rPr>
              <w:t>上述证书</w:t>
            </w:r>
            <w:r>
              <w:rPr>
                <w:rFonts w:hint="eastAsia" w:ascii="宋体" w:hAnsi="宋体" w:eastAsia="宋体" w:cs="宋体"/>
                <w:b/>
                <w:bCs/>
                <w:color w:val="auto"/>
                <w:kern w:val="2"/>
                <w:sz w:val="22"/>
                <w:szCs w:val="22"/>
                <w:highlight w:val="none"/>
                <w:u w:val="none"/>
                <w:lang w:val="en-US" w:eastAsia="zh-CN" w:bidi="ar"/>
              </w:rPr>
              <w:t>应提供全本（证书封面、</w:t>
            </w:r>
            <w:r>
              <w:rPr>
                <w:rFonts w:hint="eastAsia" w:ascii="宋体" w:hAnsi="宋体" w:eastAsia="宋体" w:cs="宋体"/>
                <w:b/>
                <w:bCs/>
                <w:color w:val="auto"/>
                <w:kern w:val="2"/>
                <w:sz w:val="22"/>
                <w:szCs w:val="22"/>
                <w:highlight w:val="none"/>
                <w:lang w:val="en-US" w:eastAsia="zh-CN" w:bidi="ar"/>
              </w:rPr>
              <w:t>封底、空白页除外），应包括投标人名称、投标人其他相关信息、颁发机构名称、投标人信息变更情况等关键页在内。</w:t>
            </w:r>
          </w:p>
        </w:tc>
      </w:tr>
      <w:tr w14:paraId="494C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8DBED2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w:t>
            </w:r>
            <w:r>
              <w:rPr>
                <w:rFonts w:hint="eastAsia" w:ascii="宋体" w:hAnsi="宋体" w:cs="宋体"/>
                <w:color w:val="auto"/>
                <w:sz w:val="22"/>
                <w:szCs w:val="22"/>
                <w:highlight w:val="none"/>
                <w:lang w:val="en-US" w:eastAsia="zh-CN"/>
              </w:rPr>
              <w:t>2</w:t>
            </w:r>
          </w:p>
        </w:tc>
        <w:tc>
          <w:tcPr>
            <w:tcW w:w="2950" w:type="dxa"/>
            <w:vAlign w:val="center"/>
          </w:tcPr>
          <w:p w14:paraId="5095B407">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近年完成的类似项目情况的时间要求</w:t>
            </w:r>
          </w:p>
        </w:tc>
        <w:tc>
          <w:tcPr>
            <w:tcW w:w="6198" w:type="dxa"/>
            <w:vAlign w:val="center"/>
          </w:tcPr>
          <w:p w14:paraId="1AA5E9AB">
            <w:pPr>
              <w:spacing w:beforeLines="0" w:afterLines="0" w:line="440" w:lineRule="exac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见招标公告</w:t>
            </w:r>
          </w:p>
        </w:tc>
      </w:tr>
      <w:tr w14:paraId="0034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C2C4478">
            <w:pPr>
              <w:spacing w:beforeLines="0" w:afterLines="0" w:line="440" w:lineRule="exact"/>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3.5.2</w:t>
            </w:r>
          </w:p>
        </w:tc>
        <w:tc>
          <w:tcPr>
            <w:tcW w:w="2950" w:type="dxa"/>
            <w:vAlign w:val="center"/>
          </w:tcPr>
          <w:p w14:paraId="7BC2D8B7">
            <w:pPr>
              <w:spacing w:beforeLines="0" w:afterLines="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业绩证明资料</w:t>
            </w:r>
          </w:p>
        </w:tc>
        <w:tc>
          <w:tcPr>
            <w:tcW w:w="6198" w:type="dxa"/>
            <w:vAlign w:val="center"/>
          </w:tcPr>
          <w:p w14:paraId="658A2BDF">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原条款不适用，修改为： </w:t>
            </w:r>
          </w:p>
          <w:p w14:paraId="69FE4227">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“近年完成的类似项目情况表”应附以下资料的扫描件： </w:t>
            </w:r>
          </w:p>
          <w:p w14:paraId="77DEA98E">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（1）合同协议书。 </w:t>
            </w:r>
          </w:p>
          <w:p w14:paraId="2977D862">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以上涉及到的证明资料信息应完整或能充分反映评审因素。如未能明确反映评审因素的（如合同签订时间、服务内容、公路等级</w:t>
            </w:r>
            <w:r>
              <w:rPr>
                <w:rFonts w:hint="eastAsia" w:ascii="宋体" w:hAnsi="宋体" w:cs="宋体"/>
                <w:b/>
                <w:bCs/>
                <w:color w:val="auto"/>
                <w:sz w:val="22"/>
                <w:szCs w:val="22"/>
                <w:highlight w:val="none"/>
                <w:lang w:val="en-US" w:eastAsia="zh-CN"/>
              </w:rPr>
              <w:t>、中心试验室主任</w:t>
            </w:r>
            <w:r>
              <w:rPr>
                <w:rFonts w:hint="eastAsia" w:ascii="宋体" w:hAnsi="宋体" w:eastAsia="宋体" w:cs="宋体"/>
                <w:b/>
                <w:bCs/>
                <w:color w:val="auto"/>
                <w:sz w:val="22"/>
                <w:szCs w:val="22"/>
                <w:highlight w:val="none"/>
                <w:lang w:val="en-US" w:eastAsia="zh-CN"/>
              </w:rPr>
              <w:t>等），应另附业主（或合同甲方）证明材料予以明确说明，须加盖项目业主单位或合同甲方公章，否则评标委员会不予认可。</w:t>
            </w:r>
          </w:p>
        </w:tc>
      </w:tr>
      <w:tr w14:paraId="6EED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E5AAF77">
            <w:pPr>
              <w:spacing w:beforeLines="0" w:afterLines="0" w:line="440" w:lineRule="exact"/>
              <w:jc w:val="center"/>
              <w:rPr>
                <w:rFonts w:hint="eastAsia"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3.5.4</w:t>
            </w:r>
          </w:p>
        </w:tc>
        <w:tc>
          <w:tcPr>
            <w:tcW w:w="2950" w:type="dxa"/>
            <w:vAlign w:val="center"/>
          </w:tcPr>
          <w:p w14:paraId="687152C8">
            <w:pPr>
              <w:spacing w:beforeLines="0" w:afterLines="0" w:line="440" w:lineRule="exact"/>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拟委任的主要检测人员</w:t>
            </w:r>
          </w:p>
        </w:tc>
        <w:tc>
          <w:tcPr>
            <w:tcW w:w="6198" w:type="dxa"/>
            <w:vAlign w:val="center"/>
          </w:tcPr>
          <w:p w14:paraId="740B04BF">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在投标阶段仅需提供中心试验室主任的相关证明材料，其他检测人员的材料需在合同签订前报送招标人。</w:t>
            </w:r>
          </w:p>
        </w:tc>
      </w:tr>
      <w:tr w14:paraId="143E8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B7C06F4">
            <w:pPr>
              <w:spacing w:beforeLines="0" w:afterLines="0" w:line="440" w:lineRule="exact"/>
              <w:jc w:val="center"/>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3.5.5</w:t>
            </w:r>
          </w:p>
        </w:tc>
        <w:tc>
          <w:tcPr>
            <w:tcW w:w="2950" w:type="dxa"/>
            <w:vAlign w:val="center"/>
          </w:tcPr>
          <w:p w14:paraId="6C7ADD7A">
            <w:pPr>
              <w:spacing w:beforeLines="0" w:afterLines="0" w:line="440" w:lineRule="exact"/>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中心试验室主任资历证明材料</w:t>
            </w:r>
          </w:p>
        </w:tc>
        <w:tc>
          <w:tcPr>
            <w:tcW w:w="6198" w:type="dxa"/>
            <w:vAlign w:val="center"/>
          </w:tcPr>
          <w:p w14:paraId="5D1AF142">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“拟委任的中心试验室主任资历表”应附以下资料的扫描件： </w:t>
            </w:r>
          </w:p>
          <w:p w14:paraId="7C515938">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（1）检测工程师证； </w:t>
            </w:r>
          </w:p>
          <w:p w14:paraId="0513BA63">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（2）技术职称证书； </w:t>
            </w:r>
          </w:p>
          <w:p w14:paraId="38B57A88">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（3）身份证（正、反两面）； </w:t>
            </w:r>
          </w:p>
          <w:p w14:paraId="5197C2AB">
            <w:pPr>
              <w:spacing w:beforeLines="0" w:afterLines="0" w:line="440" w:lineRule="exact"/>
              <w:rPr>
                <w:rFonts w:hint="eastAsia" w:ascii="宋体" w:hAnsi="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 xml:space="preserve">（4）投标人所属社保机构出具的社保缴费证明（缴费截止时间应在投标截止时间前3个月以内，连续缴费期不低于6个月）并加盖缴费单位证明专用章；投标人为事业单位的，开具相关证明材料。 </w:t>
            </w:r>
          </w:p>
        </w:tc>
      </w:tr>
      <w:tr w14:paraId="59AD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DED9501">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3.6.1</w:t>
            </w:r>
          </w:p>
        </w:tc>
        <w:tc>
          <w:tcPr>
            <w:tcW w:w="2950" w:type="dxa"/>
            <w:vAlign w:val="center"/>
          </w:tcPr>
          <w:p w14:paraId="10F02408">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6198" w:type="dxa"/>
            <w:vAlign w:val="center"/>
          </w:tcPr>
          <w:p w14:paraId="14477E2C">
            <w:pPr>
              <w:pStyle w:val="25"/>
              <w:topLinePunct/>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不允许</w:t>
            </w:r>
          </w:p>
        </w:tc>
      </w:tr>
      <w:tr w14:paraId="1F6B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9998606">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3.7.4 </w:t>
            </w:r>
          </w:p>
        </w:tc>
        <w:tc>
          <w:tcPr>
            <w:tcW w:w="2950" w:type="dxa"/>
            <w:vAlign w:val="center"/>
          </w:tcPr>
          <w:p w14:paraId="5947E142">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投标文件副本份数</w:t>
            </w:r>
          </w:p>
        </w:tc>
        <w:tc>
          <w:tcPr>
            <w:tcW w:w="6198" w:type="dxa"/>
            <w:vAlign w:val="center"/>
          </w:tcPr>
          <w:p w14:paraId="2A5D0CBF">
            <w:pPr>
              <w:topLinePunct/>
              <w:snapToGrid w:val="0"/>
              <w:spacing w:beforeLines="0" w:afterLines="0" w:line="4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本项目采用网上电子投标，无需提供纸质投标文件。</w:t>
            </w:r>
          </w:p>
          <w:p w14:paraId="42A4D247">
            <w:pPr>
              <w:topLinePunct/>
              <w:snapToGrid w:val="0"/>
              <w:spacing w:beforeLines="0" w:afterLines="0" w:line="440" w:lineRule="exact"/>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注：中标单位在签订合同前，需向招标人提供</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份纸质投标文件（彩色打印）。</w:t>
            </w:r>
          </w:p>
        </w:tc>
      </w:tr>
      <w:tr w14:paraId="6EFF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B28FB0D">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3.7.4</w:t>
            </w:r>
          </w:p>
        </w:tc>
        <w:tc>
          <w:tcPr>
            <w:tcW w:w="2950" w:type="dxa"/>
            <w:vAlign w:val="center"/>
          </w:tcPr>
          <w:p w14:paraId="6897B655">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投标文件正本和副 </w:t>
            </w:r>
          </w:p>
          <w:p w14:paraId="6429339B">
            <w:pPr>
              <w:snapToGrid w:val="0"/>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本标记</w:t>
            </w:r>
          </w:p>
        </w:tc>
        <w:tc>
          <w:tcPr>
            <w:tcW w:w="6198" w:type="dxa"/>
            <w:vAlign w:val="center"/>
          </w:tcPr>
          <w:p w14:paraId="3B83A4CD">
            <w:pPr>
              <w:topLinePunct/>
              <w:snapToGrid w:val="0"/>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cs="宋体"/>
                <w:color w:val="auto"/>
                <w:kern w:val="2"/>
                <w:sz w:val="22"/>
                <w:szCs w:val="22"/>
                <w:highlight w:val="none"/>
                <w:lang w:val="en-US" w:eastAsia="zh-CN" w:bidi="ar"/>
              </w:rPr>
              <w:t>/</w:t>
            </w:r>
          </w:p>
        </w:tc>
      </w:tr>
      <w:tr w14:paraId="372A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23C2796">
            <w:pPr>
              <w:snapToGrid w:val="0"/>
              <w:spacing w:beforeLines="0" w:afterLines="0" w:line="440" w:lineRule="exact"/>
              <w:jc w:val="center"/>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3.7.5</w:t>
            </w:r>
          </w:p>
        </w:tc>
        <w:tc>
          <w:tcPr>
            <w:tcW w:w="2950" w:type="dxa"/>
            <w:vAlign w:val="center"/>
          </w:tcPr>
          <w:p w14:paraId="61F63DBC">
            <w:pPr>
              <w:snapToGrid w:val="0"/>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投标文件（纸质版）装订其他要求(中标人适用)</w:t>
            </w:r>
          </w:p>
        </w:tc>
        <w:tc>
          <w:tcPr>
            <w:tcW w:w="6198" w:type="dxa"/>
            <w:vAlign w:val="center"/>
          </w:tcPr>
          <w:p w14:paraId="612EB91D">
            <w:pPr>
              <w:spacing w:beforeLines="0" w:afterLines="0" w:line="440" w:lineRule="exact"/>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中标人在收到中标通知书后提供纸质版投标文件（正本一份， </w:t>
            </w:r>
          </w:p>
          <w:p w14:paraId="2A79E75E">
            <w:pPr>
              <w:spacing w:beforeLines="0" w:afterLines="0" w:line="440" w:lineRule="exact"/>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副本 3 份）。其他投标人无须提供纸质版投标文件。 </w:t>
            </w:r>
          </w:p>
          <w:p w14:paraId="16BD86FD">
            <w:pPr>
              <w:spacing w:beforeLines="0" w:afterLines="0" w:line="440" w:lineRule="exact"/>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（1）第一个信封商务及技术文件内含：商务文件、技术文件。 </w:t>
            </w:r>
          </w:p>
          <w:p w14:paraId="6B297A57">
            <w:pPr>
              <w:spacing w:beforeLines="0" w:afterLines="0" w:line="440" w:lineRule="exact"/>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（2）第二个信封报价文件内含：报价文件。</w:t>
            </w:r>
          </w:p>
        </w:tc>
      </w:tr>
      <w:tr w14:paraId="63AC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56F59A8">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增</w:t>
            </w:r>
          </w:p>
          <w:p w14:paraId="389F86D0">
            <w:pPr>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3.7.6</w:t>
            </w:r>
          </w:p>
        </w:tc>
        <w:tc>
          <w:tcPr>
            <w:tcW w:w="2950" w:type="dxa"/>
            <w:vAlign w:val="center"/>
          </w:tcPr>
          <w:p w14:paraId="2AEBFC7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电子版文件编制要求</w:t>
            </w:r>
          </w:p>
        </w:tc>
        <w:tc>
          <w:tcPr>
            <w:tcW w:w="6198" w:type="dxa"/>
            <w:vAlign w:val="center"/>
          </w:tcPr>
          <w:p w14:paraId="5F95C0B3">
            <w:pPr>
              <w:spacing w:beforeLines="0" w:afterLines="0" w:line="440" w:lineRule="exac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 xml:space="preserve">一、本项目投标文件包括以下内容： </w:t>
            </w:r>
          </w:p>
          <w:p w14:paraId="57DB106B">
            <w:pPr>
              <w:spacing w:beforeLines="0" w:afterLines="0" w:line="440" w:lineRule="exac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（1）加密电子投标文件1份，分别为商务及技术文件、报价文件；</w:t>
            </w:r>
          </w:p>
          <w:p w14:paraId="44875C37">
            <w:pPr>
              <w:spacing w:beforeLines="0" w:afterLines="0" w:line="440" w:lineRule="exac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 xml:space="preserve">二、投标文件递交 </w:t>
            </w:r>
          </w:p>
          <w:p w14:paraId="0B6F2E47">
            <w:pPr>
              <w:wordWrap w:val="0"/>
              <w:spacing w:beforeLines="0" w:afterLines="0" w:line="440" w:lineRule="exact"/>
              <w:rPr>
                <w:rFonts w:hint="eastAsia" w:ascii="宋体" w:hAnsi="宋体" w:cs="宋体"/>
                <w:color w:val="auto"/>
                <w:sz w:val="22"/>
                <w:szCs w:val="22"/>
                <w:highlight w:val="none"/>
                <w:lang w:val="en-US" w:eastAsia="zh-CN" w:bidi="ar"/>
              </w:rPr>
            </w:pPr>
            <w:r>
              <w:rPr>
                <w:rFonts w:hint="eastAsia" w:ascii="宋体" w:hAnsi="宋体" w:cs="宋体"/>
                <w:color w:val="auto"/>
                <w:sz w:val="22"/>
                <w:szCs w:val="22"/>
                <w:highlight w:val="none"/>
                <w:lang w:val="en-US" w:eastAsia="zh-CN" w:bidi="ar"/>
              </w:rPr>
              <w:t>（1）加密电子投标文件应在投标截止时间前通过优质采云采购平台（优质采投标工具客户端，下载地址：http://file.youzhicai.com/files/BidderTools.rar）上传；</w:t>
            </w:r>
          </w:p>
          <w:p w14:paraId="33FFF7F6">
            <w:pPr>
              <w:spacing w:beforeLines="0" w:afterLines="0"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bidi="ar"/>
              </w:rPr>
              <w:t>（2）因投标人自身原因而导致投标文件无法导入电子开标、评标系统，该投标视为无效投标，投标人自行承担由此导致的全部责任。（该投标文件是指解密后的投标文件或启用补救措施下的非加密电子投标文件）</w:t>
            </w:r>
          </w:p>
        </w:tc>
      </w:tr>
      <w:tr w14:paraId="4B9D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166616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4.1.1</w:t>
            </w:r>
          </w:p>
        </w:tc>
        <w:tc>
          <w:tcPr>
            <w:tcW w:w="2950" w:type="dxa"/>
            <w:vAlign w:val="center"/>
          </w:tcPr>
          <w:p w14:paraId="0189F47D">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投标文件的密封和标记</w:t>
            </w:r>
          </w:p>
        </w:tc>
        <w:tc>
          <w:tcPr>
            <w:tcW w:w="6198" w:type="dxa"/>
            <w:vAlign w:val="center"/>
          </w:tcPr>
          <w:p w14:paraId="7E2464C7">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r w14:paraId="7434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0599B75">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4.1.2</w:t>
            </w:r>
          </w:p>
        </w:tc>
        <w:tc>
          <w:tcPr>
            <w:tcW w:w="2950" w:type="dxa"/>
            <w:vAlign w:val="center"/>
          </w:tcPr>
          <w:p w14:paraId="1CC080B8">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封套上应载明的信息</w:t>
            </w:r>
          </w:p>
        </w:tc>
        <w:tc>
          <w:tcPr>
            <w:tcW w:w="6198" w:type="dxa"/>
            <w:vAlign w:val="center"/>
          </w:tcPr>
          <w:p w14:paraId="63822B0A">
            <w:pPr>
              <w:spacing w:beforeLines="0" w:afterLines="0" w:line="440" w:lineRule="exac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r>
      <w:tr w14:paraId="44D4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7B165CD">
            <w:pPr>
              <w:spacing w:beforeLines="0" w:afterLines="0" w:line="440" w:lineRule="exact"/>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4.1.</w:t>
            </w:r>
            <w:r>
              <w:rPr>
                <w:rFonts w:hint="eastAsia" w:ascii="宋体" w:hAnsi="宋体" w:cs="宋体"/>
                <w:color w:val="auto"/>
                <w:sz w:val="22"/>
                <w:szCs w:val="22"/>
                <w:highlight w:val="none"/>
                <w:lang w:val="en-US" w:eastAsia="zh-CN"/>
              </w:rPr>
              <w:t>2</w:t>
            </w:r>
          </w:p>
        </w:tc>
        <w:tc>
          <w:tcPr>
            <w:tcW w:w="2950" w:type="dxa"/>
            <w:vAlign w:val="center"/>
          </w:tcPr>
          <w:p w14:paraId="24E40BC9">
            <w:pPr>
              <w:spacing w:beforeLines="0" w:afterLines="0" w:line="440" w:lineRule="exact"/>
              <w:ind w:left="-115" w:right="-10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非加密投标文件电子介质（光盘、U盘等）及银行保函密封和标记要求</w:t>
            </w:r>
          </w:p>
        </w:tc>
        <w:tc>
          <w:tcPr>
            <w:tcW w:w="6198" w:type="dxa"/>
            <w:vAlign w:val="center"/>
          </w:tcPr>
          <w:p w14:paraId="79C51F36">
            <w:pPr>
              <w:pStyle w:val="383"/>
              <w:spacing w:beforeLines="0" w:afterLines="0" w:line="440" w:lineRule="exact"/>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1、本项目采用不见面开标（远程解密）非加密电子投标文件无需递交。</w:t>
            </w:r>
          </w:p>
          <w:p w14:paraId="7A62793A">
            <w:pPr>
              <w:pStyle w:val="383"/>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2、如采用银行保函或担保机构担保，中标后中标单位银行保函或担保机构担保原件须提交招标人审查。</w:t>
            </w:r>
          </w:p>
        </w:tc>
      </w:tr>
      <w:tr w14:paraId="6912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75BE7E7">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4.2.2</w:t>
            </w:r>
          </w:p>
        </w:tc>
        <w:tc>
          <w:tcPr>
            <w:tcW w:w="2950" w:type="dxa"/>
            <w:vAlign w:val="center"/>
          </w:tcPr>
          <w:p w14:paraId="2A82DE9B">
            <w:pPr>
              <w:spacing w:beforeLines="0" w:afterLines="0" w:line="440" w:lineRule="exact"/>
              <w:ind w:left="-115" w:right="-10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递交非加密投标文件密封地点</w:t>
            </w:r>
          </w:p>
        </w:tc>
        <w:tc>
          <w:tcPr>
            <w:tcW w:w="6198" w:type="dxa"/>
            <w:vAlign w:val="center"/>
          </w:tcPr>
          <w:p w14:paraId="6E7CE787">
            <w:pPr>
              <w:pStyle w:val="383"/>
              <w:spacing w:beforeLines="0" w:afterLines="0"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无需递交非加密电子投标文件</w:t>
            </w:r>
          </w:p>
        </w:tc>
      </w:tr>
      <w:tr w14:paraId="7E67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7ADEEEF9">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4.2.3</w:t>
            </w:r>
          </w:p>
        </w:tc>
        <w:tc>
          <w:tcPr>
            <w:tcW w:w="2950" w:type="dxa"/>
            <w:vAlign w:val="center"/>
          </w:tcPr>
          <w:p w14:paraId="04192F6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是否退还投标文件</w:t>
            </w:r>
          </w:p>
        </w:tc>
        <w:tc>
          <w:tcPr>
            <w:tcW w:w="6198" w:type="dxa"/>
            <w:vAlign w:val="center"/>
          </w:tcPr>
          <w:p w14:paraId="2BCA9527">
            <w:pPr>
              <w:pStyle w:val="25"/>
              <w:topLinePunct/>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60CA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4C59E9E3">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5.1</w:t>
            </w:r>
          </w:p>
        </w:tc>
        <w:tc>
          <w:tcPr>
            <w:tcW w:w="2950" w:type="dxa"/>
            <w:vAlign w:val="center"/>
          </w:tcPr>
          <w:p w14:paraId="6F3C3DF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开标时间和地点</w:t>
            </w:r>
          </w:p>
        </w:tc>
        <w:tc>
          <w:tcPr>
            <w:tcW w:w="6198" w:type="dxa"/>
            <w:vAlign w:val="center"/>
          </w:tcPr>
          <w:p w14:paraId="394DAA92">
            <w:pPr>
              <w:pStyle w:val="25"/>
              <w:topLinePunct/>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开标时间：同投标截止时间</w:t>
            </w:r>
          </w:p>
          <w:p w14:paraId="651BCD9C">
            <w:pPr>
              <w:pStyle w:val="25"/>
              <w:topLinePunct/>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开标地点：见招标公告</w:t>
            </w:r>
          </w:p>
          <w:p w14:paraId="10E3919E">
            <w:pPr>
              <w:pStyle w:val="25"/>
              <w:topLinePunct/>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备注：投标人可以在线解密投标文件，无须现场参加开标。</w:t>
            </w:r>
          </w:p>
        </w:tc>
      </w:tr>
      <w:tr w14:paraId="0F33E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EFBDCDD">
            <w:pPr>
              <w:spacing w:beforeLines="0" w:afterLines="0" w:line="44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5.2.1</w:t>
            </w:r>
          </w:p>
        </w:tc>
        <w:tc>
          <w:tcPr>
            <w:tcW w:w="2950" w:type="dxa"/>
            <w:vAlign w:val="center"/>
          </w:tcPr>
          <w:p w14:paraId="4B9ADA33">
            <w:pPr>
              <w:spacing w:beforeLines="0" w:afterLines="0" w:line="440" w:lineRule="exact"/>
              <w:ind w:left="-115" w:right="-108"/>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投标文件第一个信封开标程序</w:t>
            </w:r>
          </w:p>
        </w:tc>
        <w:tc>
          <w:tcPr>
            <w:tcW w:w="6198" w:type="dxa"/>
            <w:vAlign w:val="center"/>
          </w:tcPr>
          <w:p w14:paraId="4FC557F2">
            <w:pPr>
              <w:widowControl/>
              <w:numPr>
                <w:ilvl w:val="0"/>
                <w:numId w:val="0"/>
              </w:numPr>
              <w:spacing w:beforeLines="0" w:afterLines="0" w:line="440" w:lineRule="exact"/>
              <w:jc w:val="left"/>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本条修改为：</w:t>
            </w:r>
          </w:p>
          <w:p w14:paraId="4B33D7E4">
            <w:pPr>
              <w:widowControl/>
              <w:numPr>
                <w:ilvl w:val="0"/>
                <w:numId w:val="0"/>
              </w:numPr>
              <w:spacing w:beforeLines="0" w:afterLines="0" w:line="440" w:lineRule="exact"/>
              <w:jc w:val="left"/>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（1）宣布开标纪律； </w:t>
            </w:r>
          </w:p>
          <w:p w14:paraId="4AD23A1F">
            <w:pPr>
              <w:widowControl/>
              <w:numPr>
                <w:ilvl w:val="0"/>
                <w:numId w:val="0"/>
              </w:numPr>
              <w:spacing w:beforeLines="0" w:afterLines="0" w:line="440" w:lineRule="exact"/>
              <w:jc w:val="left"/>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（2）公布在投标截止时间前递交投标文件的投标人数量； </w:t>
            </w:r>
          </w:p>
          <w:p w14:paraId="79B487FB">
            <w:pPr>
              <w:widowControl/>
              <w:numPr>
                <w:ilvl w:val="0"/>
                <w:numId w:val="0"/>
              </w:numPr>
              <w:spacing w:beforeLines="0" w:afterLines="0" w:line="440" w:lineRule="exact"/>
              <w:jc w:val="left"/>
              <w:rPr>
                <w:rFonts w:hint="eastAsia"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 xml:space="preserve">（3）宣布开标人、唱标人、记录人等有关人员姓名； </w:t>
            </w:r>
          </w:p>
          <w:p w14:paraId="7074D676">
            <w:pPr>
              <w:pStyle w:val="25"/>
              <w:topLinePunct/>
              <w:snapToGrid w:val="0"/>
              <w:spacing w:beforeLines="0" w:afterLines="0" w:line="440" w:lineRule="exac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（4）投标人应在投标截止时间后 60 分钟内完成电子投标文件第一个信封（商务及技术文件）解密工作，否则视为撤销其投标文件，其投标无效。若电子投标文件解密失败，视为投标无效。</w:t>
            </w:r>
          </w:p>
        </w:tc>
      </w:tr>
      <w:tr w14:paraId="6DB0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7BB2900">
            <w:pPr>
              <w:spacing w:beforeLines="0" w:afterLines="0" w:line="44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5.2.2</w:t>
            </w:r>
          </w:p>
        </w:tc>
        <w:tc>
          <w:tcPr>
            <w:tcW w:w="2950" w:type="dxa"/>
            <w:vAlign w:val="center"/>
          </w:tcPr>
          <w:p w14:paraId="7C00004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第二个信封（报价文件）密封保存</w:t>
            </w:r>
          </w:p>
        </w:tc>
        <w:tc>
          <w:tcPr>
            <w:tcW w:w="6198" w:type="dxa"/>
            <w:vAlign w:val="center"/>
          </w:tcPr>
          <w:p w14:paraId="6C8A9441">
            <w:pPr>
              <w:spacing w:beforeLines="0" w:afterLines="0" w:line="44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4）密封情况检查：检查报价文件是否存在提前开启情况</w:t>
            </w:r>
            <w:r>
              <w:rPr>
                <w:rFonts w:hint="eastAsia" w:ascii="宋体" w:hAnsi="宋体" w:cs="宋体"/>
                <w:color w:val="auto"/>
                <w:sz w:val="22"/>
                <w:szCs w:val="22"/>
                <w:highlight w:val="none"/>
                <w:lang w:eastAsia="zh-CN"/>
              </w:rPr>
              <w:t>。</w:t>
            </w:r>
          </w:p>
          <w:p w14:paraId="20FF75B6">
            <w:pPr>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（5）开标顺序：</w:t>
            </w:r>
            <w:r>
              <w:rPr>
                <w:rFonts w:hint="eastAsia" w:ascii="宋体" w:hAnsi="宋体" w:cs="宋体"/>
                <w:color w:val="auto"/>
                <w:sz w:val="22"/>
                <w:szCs w:val="22"/>
                <w:highlight w:val="none"/>
                <w:lang w:val="en-US" w:eastAsia="zh-CN"/>
              </w:rPr>
              <w:t>随机 。</w:t>
            </w:r>
          </w:p>
        </w:tc>
      </w:tr>
      <w:tr w14:paraId="70270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29C3C060">
            <w:pPr>
              <w:spacing w:beforeLines="0" w:afterLines="0" w:line="440" w:lineRule="exact"/>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5.2.3</w:t>
            </w:r>
          </w:p>
        </w:tc>
        <w:tc>
          <w:tcPr>
            <w:tcW w:w="2950" w:type="dxa"/>
            <w:vAlign w:val="center"/>
          </w:tcPr>
          <w:p w14:paraId="0E9A1663">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投标文件第二个信封开标程序</w:t>
            </w:r>
          </w:p>
        </w:tc>
        <w:tc>
          <w:tcPr>
            <w:tcW w:w="6198" w:type="dxa"/>
            <w:vAlign w:val="center"/>
          </w:tcPr>
          <w:p w14:paraId="512A1343">
            <w:pPr>
              <w:pStyle w:val="25"/>
              <w:keepNext w:val="0"/>
              <w:keepLines w:val="0"/>
              <w:suppressLineNumbers w:val="0"/>
              <w:topLinePunct/>
              <w:snapToGrid w:val="0"/>
              <w:spacing w:before="0" w:beforeAutospacing="0" w:after="0" w:afterAutospacing="0" w:line="440" w:lineRule="exact"/>
              <w:ind w:left="0" w:right="0"/>
              <w:rPr>
                <w:rFonts w:hint="default" w:hAnsi="宋体" w:cs="宋体"/>
                <w:color w:val="auto"/>
                <w:sz w:val="22"/>
                <w:szCs w:val="22"/>
                <w:highlight w:val="none"/>
                <w:lang w:val="en-US" w:eastAsia="zh-CN"/>
              </w:rPr>
            </w:pPr>
            <w:r>
              <w:rPr>
                <w:rFonts w:hint="eastAsia" w:hAnsi="宋体" w:cs="宋体"/>
                <w:color w:val="auto"/>
                <w:sz w:val="22"/>
                <w:szCs w:val="22"/>
                <w:highlight w:val="none"/>
                <w:lang w:val="en-US" w:eastAsia="zh-CN"/>
              </w:rPr>
              <w:t>增加：</w:t>
            </w:r>
          </w:p>
          <w:p w14:paraId="3518D682">
            <w:pPr>
              <w:pStyle w:val="25"/>
              <w:keepNext w:val="0"/>
              <w:keepLines w:val="0"/>
              <w:suppressLineNumbers w:val="0"/>
              <w:topLinePunct/>
              <w:snapToGrid w:val="0"/>
              <w:spacing w:before="0" w:beforeAutospacing="0" w:after="0" w:afterAutospacing="0" w:line="440" w:lineRule="exact"/>
              <w:ind w:left="0" w:right="0"/>
              <w:rPr>
                <w:rFonts w:hint="eastAsia" w:hAnsi="宋体" w:cs="宋体"/>
                <w:color w:val="auto"/>
                <w:sz w:val="22"/>
                <w:szCs w:val="22"/>
                <w:highlight w:val="none"/>
                <w:lang w:val="en-US" w:eastAsia="zh-CN"/>
              </w:rPr>
            </w:pPr>
            <w:r>
              <w:rPr>
                <w:rFonts w:hint="eastAsia" w:hAnsi="宋体" w:cs="宋体"/>
                <w:color w:val="auto"/>
                <w:sz w:val="22"/>
                <w:szCs w:val="22"/>
                <w:highlight w:val="none"/>
                <w:lang w:val="en-US" w:eastAsia="zh-CN"/>
              </w:rPr>
              <w:t xml:space="preserve">（1）由监督员监督招标人（或招标代理机构）解密通过投标文件第一个信封（商务及技术文件）评审的投标人的加密电子投标文件第二个信封（报价文件）； </w:t>
            </w:r>
          </w:p>
          <w:p w14:paraId="68B7514D">
            <w:pPr>
              <w:keepNext w:val="0"/>
              <w:keepLines w:val="0"/>
              <w:widowControl/>
              <w:numPr>
                <w:ilvl w:val="-1"/>
                <w:numId w:val="0"/>
              </w:numPr>
              <w:suppressLineNumbers w:val="0"/>
              <w:spacing w:beforeLines="0" w:afterLines="0" w:line="440" w:lineRule="exact"/>
              <w:jc w:val="left"/>
              <w:rPr>
                <w:rFonts w:hint="eastAsia" w:ascii="宋体" w:hAnsi="宋体" w:cs="宋体"/>
                <w:color w:val="auto"/>
                <w:sz w:val="22"/>
                <w:szCs w:val="22"/>
                <w:highlight w:val="none"/>
                <w:lang w:bidi="ar"/>
              </w:rPr>
            </w:pPr>
            <w:r>
              <w:rPr>
                <w:rFonts w:hint="eastAsia" w:hAnsi="宋体" w:cs="宋体"/>
                <w:color w:val="auto"/>
                <w:sz w:val="22"/>
                <w:szCs w:val="22"/>
                <w:highlight w:val="none"/>
                <w:lang w:val="en-US" w:eastAsia="zh-CN"/>
              </w:rPr>
              <w:t>（2）导入并公布所有解密成功的投标文件第二个信封（报价文件）的相关内容。</w:t>
            </w:r>
            <w:r>
              <w:rPr>
                <w:rFonts w:hint="eastAsia" w:ascii="宋体" w:hAnsi="宋体" w:eastAsia="宋体" w:cs="宋体"/>
                <w:color w:val="auto"/>
                <w:kern w:val="2"/>
                <w:sz w:val="22"/>
                <w:szCs w:val="22"/>
                <w:highlight w:val="none"/>
                <w:lang w:val="en-US" w:eastAsia="zh-CN" w:bidi="ar"/>
              </w:rPr>
              <w:t xml:space="preserve"> </w:t>
            </w:r>
          </w:p>
          <w:p w14:paraId="29BF5657">
            <w:pPr>
              <w:pStyle w:val="25"/>
              <w:topLinePunct/>
              <w:snapToGrid w:val="0"/>
              <w:spacing w:beforeLines="0" w:afterLines="0" w:line="440" w:lineRule="exact"/>
              <w:rPr>
                <w:rFonts w:hint="eastAsia" w:hAnsi="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
              </w:rPr>
              <w:t>注：招标人将在交易系统开标大厅或将以</w:t>
            </w:r>
            <w:r>
              <w:rPr>
                <w:rFonts w:hint="eastAsia" w:hAnsi="宋体" w:cs="宋体"/>
                <w:b/>
                <w:bCs/>
                <w:color w:val="auto"/>
                <w:kern w:val="2"/>
                <w:sz w:val="22"/>
                <w:szCs w:val="22"/>
                <w:highlight w:val="none"/>
                <w:lang w:val="en-US" w:eastAsia="zh-CN" w:bidi="ar"/>
              </w:rPr>
              <w:t>短信形式</w:t>
            </w:r>
            <w:r>
              <w:rPr>
                <w:rFonts w:hint="eastAsia" w:ascii="宋体" w:hAnsi="宋体" w:eastAsia="宋体" w:cs="宋体"/>
                <w:b/>
                <w:bCs/>
                <w:color w:val="auto"/>
                <w:kern w:val="2"/>
                <w:sz w:val="22"/>
                <w:szCs w:val="22"/>
                <w:highlight w:val="none"/>
                <w:lang w:val="en-US" w:eastAsia="zh-CN" w:bidi="ar"/>
              </w:rPr>
              <w:t>通知所有投标人第二个信封（报价文件）的开标时间，第二信封无需投标人解密，采用招标人直接解密方式进行。</w:t>
            </w:r>
          </w:p>
        </w:tc>
      </w:tr>
      <w:tr w14:paraId="0747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3B3C6E5">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6.1.1</w:t>
            </w:r>
          </w:p>
        </w:tc>
        <w:tc>
          <w:tcPr>
            <w:tcW w:w="2950" w:type="dxa"/>
            <w:vAlign w:val="center"/>
          </w:tcPr>
          <w:p w14:paraId="30715C70">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评标委员会的组建</w:t>
            </w:r>
          </w:p>
        </w:tc>
        <w:tc>
          <w:tcPr>
            <w:tcW w:w="6198" w:type="dxa"/>
            <w:vAlign w:val="center"/>
          </w:tcPr>
          <w:p w14:paraId="785A0621">
            <w:pPr>
              <w:keepNext w:val="0"/>
              <w:keepLines w:val="0"/>
              <w:pageBreakBefore w:val="0"/>
              <w:widowControl/>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评标委员会构成：</w:t>
            </w:r>
            <w:r>
              <w:rPr>
                <w:rFonts w:hint="eastAsia" w:ascii="宋体" w:hAnsi="宋体" w:eastAsia="宋体" w:cs="宋体"/>
                <w:color w:val="auto"/>
                <w:kern w:val="2"/>
                <w:sz w:val="22"/>
                <w:szCs w:val="22"/>
                <w:highlight w:val="none"/>
                <w:u w:val="single"/>
                <w:lang w:val="en-US" w:eastAsia="zh-CN" w:bidi="ar-SA"/>
              </w:rPr>
              <w:t xml:space="preserve">  </w:t>
            </w:r>
            <w:r>
              <w:rPr>
                <w:rFonts w:hint="eastAsia" w:ascii="宋体" w:hAnsi="宋体" w:cs="宋体"/>
                <w:color w:val="auto"/>
                <w:kern w:val="2"/>
                <w:sz w:val="22"/>
                <w:szCs w:val="22"/>
                <w:highlight w:val="none"/>
                <w:u w:val="single"/>
                <w:lang w:val="en-US" w:eastAsia="zh-CN" w:bidi="ar-SA"/>
              </w:rPr>
              <w:t>5</w:t>
            </w:r>
            <w:r>
              <w:rPr>
                <w:rFonts w:hint="eastAsia" w:ascii="宋体" w:hAnsi="宋体" w:eastAsia="宋体" w:cs="宋体"/>
                <w:color w:val="auto"/>
                <w:kern w:val="2"/>
                <w:sz w:val="22"/>
                <w:szCs w:val="22"/>
                <w:highlight w:val="none"/>
                <w:u w:val="single"/>
                <w:lang w:val="en-US" w:eastAsia="zh-CN" w:bidi="ar-SA"/>
              </w:rPr>
              <w:t xml:space="preserve">人 </w:t>
            </w:r>
            <w:r>
              <w:rPr>
                <w:rFonts w:hint="eastAsia" w:ascii="宋体" w:hAnsi="宋体" w:eastAsia="宋体" w:cs="宋体"/>
                <w:color w:val="auto"/>
                <w:kern w:val="2"/>
                <w:sz w:val="22"/>
                <w:szCs w:val="22"/>
                <w:highlight w:val="none"/>
                <w:lang w:val="en-US" w:eastAsia="zh-CN" w:bidi="ar-SA"/>
              </w:rPr>
              <w:t>。</w:t>
            </w:r>
          </w:p>
          <w:p w14:paraId="6843D6F4">
            <w:pPr>
              <w:keepNext w:val="0"/>
              <w:keepLines w:val="0"/>
              <w:pageBreakBefore w:val="0"/>
              <w:wordWrap/>
              <w:overflowPunct/>
              <w:topLinePunct w:val="0"/>
              <w:bidi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SA"/>
              </w:rPr>
              <w:t>评标专家确定方式：依法从相应评标专家库中随机抽取。</w:t>
            </w:r>
          </w:p>
        </w:tc>
      </w:tr>
      <w:tr w14:paraId="3F32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0BFFFAF">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w:t>
            </w:r>
          </w:p>
        </w:tc>
        <w:tc>
          <w:tcPr>
            <w:tcW w:w="2950" w:type="dxa"/>
            <w:vAlign w:val="center"/>
          </w:tcPr>
          <w:p w14:paraId="78308945">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评标委员会推荐中标候选人</w:t>
            </w:r>
          </w:p>
          <w:p w14:paraId="3FE2E01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的人数</w:t>
            </w:r>
          </w:p>
        </w:tc>
        <w:tc>
          <w:tcPr>
            <w:tcW w:w="6198" w:type="dxa"/>
            <w:vAlign w:val="center"/>
          </w:tcPr>
          <w:p w14:paraId="10F0573C">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3人，如不足3人，按《公路工程建设项目招标投标管理办法》（交通运输部令2015年第24号）相关规定处理。</w:t>
            </w:r>
          </w:p>
        </w:tc>
      </w:tr>
      <w:tr w14:paraId="411B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44A2A5E">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7.1</w:t>
            </w:r>
          </w:p>
        </w:tc>
        <w:tc>
          <w:tcPr>
            <w:tcW w:w="2950" w:type="dxa"/>
            <w:vAlign w:val="center"/>
          </w:tcPr>
          <w:p w14:paraId="6BB82F6A">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中标候选人公示媒介及期限</w:t>
            </w:r>
          </w:p>
        </w:tc>
        <w:tc>
          <w:tcPr>
            <w:tcW w:w="6198" w:type="dxa"/>
            <w:vAlign w:val="center"/>
          </w:tcPr>
          <w:p w14:paraId="1C90E3F5">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公示媒介：同招标公告发布媒介</w:t>
            </w:r>
          </w:p>
          <w:p w14:paraId="42258687">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公示期限：</w:t>
            </w:r>
            <w:r>
              <w:rPr>
                <w:rFonts w:hint="eastAsia" w:ascii="宋体" w:hAnsi="宋体" w:cs="宋体"/>
                <w:color w:val="auto"/>
                <w:sz w:val="22"/>
                <w:szCs w:val="22"/>
                <w:highlight w:val="none"/>
                <w:lang w:val="en-US" w:eastAsia="zh-CN"/>
              </w:rPr>
              <w:t>不少于</w:t>
            </w:r>
            <w:r>
              <w:rPr>
                <w:rFonts w:hint="eastAsia" w:ascii="宋体" w:hAnsi="宋体" w:eastAsia="宋体" w:cs="宋体"/>
                <w:color w:val="auto"/>
                <w:sz w:val="22"/>
                <w:szCs w:val="22"/>
                <w:highlight w:val="none"/>
              </w:rPr>
              <w:t>3日</w:t>
            </w:r>
          </w:p>
          <w:p w14:paraId="4D6668BD">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公示的其他内容：</w:t>
            </w:r>
            <w:r>
              <w:rPr>
                <w:rFonts w:hint="eastAsia" w:ascii="宋体" w:hAnsi="宋体" w:eastAsia="宋体" w:cs="宋体"/>
                <w:color w:val="auto"/>
                <w:sz w:val="22"/>
                <w:szCs w:val="22"/>
                <w:highlight w:val="none"/>
                <w:lang w:val="en-US" w:eastAsia="zh-CN"/>
              </w:rPr>
              <w:t>若经查实投标人在投标过程中围标、串标、提供了虚假资料，</w:t>
            </w:r>
            <w:r>
              <w:rPr>
                <w:rFonts w:hint="eastAsia" w:ascii="宋体" w:hAnsi="宋体" w:cs="宋体"/>
                <w:color w:val="auto"/>
                <w:sz w:val="22"/>
                <w:szCs w:val="22"/>
                <w:highlight w:val="none"/>
                <w:lang w:val="en-US" w:eastAsia="zh-CN"/>
              </w:rPr>
              <w:t>将依法依规处理</w:t>
            </w:r>
            <w:r>
              <w:rPr>
                <w:rFonts w:hint="eastAsia" w:ascii="宋体" w:hAnsi="宋体" w:eastAsia="宋体" w:cs="宋体"/>
                <w:color w:val="auto"/>
                <w:sz w:val="22"/>
                <w:szCs w:val="22"/>
                <w:highlight w:val="none"/>
                <w:lang w:val="en-US" w:eastAsia="zh-CN"/>
              </w:rPr>
              <w:t>。评标结果公示期满后，招标人将依法履行定标程序</w:t>
            </w:r>
            <w:r>
              <w:rPr>
                <w:rFonts w:hint="eastAsia" w:ascii="宋体" w:hAnsi="宋体" w:cs="宋体"/>
                <w:color w:val="auto"/>
                <w:sz w:val="22"/>
                <w:szCs w:val="22"/>
                <w:highlight w:val="none"/>
                <w:lang w:val="en-US" w:eastAsia="zh-CN"/>
              </w:rPr>
              <w:t>。</w:t>
            </w:r>
          </w:p>
        </w:tc>
      </w:tr>
      <w:tr w14:paraId="070A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03E6711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7.4</w:t>
            </w:r>
          </w:p>
        </w:tc>
        <w:tc>
          <w:tcPr>
            <w:tcW w:w="2950" w:type="dxa"/>
            <w:vAlign w:val="center"/>
          </w:tcPr>
          <w:p w14:paraId="5559D892">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是否授权评标委员会确定中标人</w:t>
            </w:r>
          </w:p>
        </w:tc>
        <w:tc>
          <w:tcPr>
            <w:tcW w:w="6198" w:type="dxa"/>
            <w:vAlign w:val="center"/>
          </w:tcPr>
          <w:p w14:paraId="55369E9D">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否</w:t>
            </w:r>
          </w:p>
        </w:tc>
      </w:tr>
      <w:tr w14:paraId="3C4D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4CBD068">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7.5</w:t>
            </w:r>
          </w:p>
        </w:tc>
        <w:tc>
          <w:tcPr>
            <w:tcW w:w="2950" w:type="dxa"/>
            <w:vAlign w:val="center"/>
          </w:tcPr>
          <w:p w14:paraId="6283EF6E">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中标通知书和中标结果通知发出的形式</w:t>
            </w:r>
          </w:p>
        </w:tc>
        <w:tc>
          <w:tcPr>
            <w:tcW w:w="6198" w:type="dxa"/>
            <w:vAlign w:val="top"/>
          </w:tcPr>
          <w:p w14:paraId="323B2DA0">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书面</w:t>
            </w:r>
          </w:p>
          <w:p w14:paraId="141C5CEA">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pacing w:val="-10"/>
                <w:sz w:val="22"/>
                <w:szCs w:val="22"/>
                <w:highlight w:val="none"/>
                <w:lang w:eastAsia="zh-CN"/>
              </w:rPr>
              <w:t>☑</w:t>
            </w:r>
            <w:r>
              <w:rPr>
                <w:rFonts w:hint="eastAsia" w:ascii="宋体" w:hAnsi="宋体" w:eastAsia="宋体" w:cs="宋体"/>
                <w:color w:val="auto"/>
                <w:spacing w:val="-10"/>
                <w:sz w:val="22"/>
                <w:szCs w:val="22"/>
                <w:highlight w:val="none"/>
              </w:rPr>
              <w:t>数据电文</w:t>
            </w:r>
          </w:p>
        </w:tc>
      </w:tr>
      <w:tr w14:paraId="3D81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005CF1B">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7.6</w:t>
            </w:r>
          </w:p>
        </w:tc>
        <w:tc>
          <w:tcPr>
            <w:tcW w:w="2950" w:type="dxa"/>
            <w:vAlign w:val="center"/>
          </w:tcPr>
          <w:p w14:paraId="147BD1F3">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中标结果公告媒介</w:t>
            </w:r>
          </w:p>
        </w:tc>
        <w:tc>
          <w:tcPr>
            <w:tcW w:w="6198" w:type="dxa"/>
            <w:vAlign w:val="center"/>
          </w:tcPr>
          <w:p w14:paraId="6AE2DD4B">
            <w:pPr>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公示媒介：同招标公告发布媒介</w:t>
            </w:r>
          </w:p>
        </w:tc>
      </w:tr>
      <w:tr w14:paraId="3A5C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E141A7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7.7.1</w:t>
            </w:r>
          </w:p>
        </w:tc>
        <w:tc>
          <w:tcPr>
            <w:tcW w:w="2950" w:type="dxa"/>
            <w:vAlign w:val="center"/>
          </w:tcPr>
          <w:p w14:paraId="70454EF1">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w:t>
            </w:r>
          </w:p>
        </w:tc>
        <w:tc>
          <w:tcPr>
            <w:tcW w:w="6198" w:type="dxa"/>
            <w:vAlign w:val="center"/>
          </w:tcPr>
          <w:p w14:paraId="053FC169">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是否要求中标人提交履约保证金：</w:t>
            </w:r>
            <w:r>
              <w:rPr>
                <w:rFonts w:hint="eastAsia" w:ascii="宋体" w:hAnsi="宋体" w:eastAsia="宋体" w:cs="宋体"/>
                <w:color w:val="auto"/>
                <w:sz w:val="22"/>
                <w:szCs w:val="22"/>
                <w:highlight w:val="none"/>
              </w:rPr>
              <w:sym w:font="Wingdings" w:char="00FE"/>
            </w:r>
            <w:r>
              <w:rPr>
                <w:rFonts w:hint="eastAsia" w:ascii="宋体" w:hAnsi="宋体" w:eastAsia="宋体" w:cs="宋体"/>
                <w:color w:val="auto"/>
                <w:sz w:val="22"/>
                <w:szCs w:val="22"/>
                <w:highlight w:val="none"/>
              </w:rPr>
              <w:t>要求</w:t>
            </w:r>
          </w:p>
          <w:p w14:paraId="737E8508">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履约保证金形式：支持银行转账、银行电汇、银行保函、担保机构担保、保证保险使用。</w:t>
            </w:r>
          </w:p>
          <w:p w14:paraId="19151BED">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履约保证金的金额：</w:t>
            </w:r>
            <w:r>
              <w:rPr>
                <w:rFonts w:hint="eastAsia" w:ascii="宋体" w:hAnsi="宋体" w:cs="宋体"/>
                <w:color w:val="auto"/>
                <w:sz w:val="22"/>
                <w:szCs w:val="22"/>
                <w:highlight w:val="none"/>
                <w:u w:val="single"/>
                <w:lang w:val="en-US" w:eastAsia="zh-CN"/>
              </w:rPr>
              <w:t>5</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签约合同价。</w:t>
            </w:r>
          </w:p>
          <w:p w14:paraId="19017059">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如采用银行保函，银行保函应为</w:t>
            </w:r>
            <w:r>
              <w:rPr>
                <w:rFonts w:hint="eastAsia" w:ascii="宋体" w:hAnsi="宋体" w:eastAsia="宋体" w:cs="宋体"/>
                <w:color w:val="auto"/>
                <w:sz w:val="22"/>
                <w:szCs w:val="22"/>
                <w:highlight w:val="none"/>
                <w:lang w:val="en-US" w:eastAsia="zh-CN"/>
              </w:rPr>
              <w:t>滁州</w:t>
            </w:r>
            <w:r>
              <w:rPr>
                <w:rFonts w:hint="eastAsia" w:ascii="宋体" w:hAnsi="宋体" w:eastAsia="宋体" w:cs="宋体"/>
                <w:color w:val="auto"/>
                <w:sz w:val="22"/>
                <w:szCs w:val="22"/>
                <w:highlight w:val="none"/>
              </w:rPr>
              <w:t>行政区域具有分支机构的银行（或该银行国内任一分行或支行）出具的见索即付无条件保函。例如：某银行在</w:t>
            </w:r>
            <w:r>
              <w:rPr>
                <w:rFonts w:hint="eastAsia" w:ascii="宋体" w:hAnsi="宋体" w:eastAsia="宋体" w:cs="宋体"/>
                <w:color w:val="auto"/>
                <w:sz w:val="22"/>
                <w:szCs w:val="22"/>
                <w:highlight w:val="none"/>
                <w:lang w:val="en-US" w:eastAsia="zh-CN"/>
              </w:rPr>
              <w:t>滁州</w:t>
            </w:r>
            <w:r>
              <w:rPr>
                <w:rFonts w:hint="eastAsia" w:ascii="宋体" w:hAnsi="宋体" w:eastAsia="宋体" w:cs="宋体"/>
                <w:color w:val="auto"/>
                <w:sz w:val="22"/>
                <w:szCs w:val="22"/>
                <w:highlight w:val="none"/>
              </w:rPr>
              <w:t>行政区域有分支机构，则该银行总行（或该银行国内任一分行或支行）出具的满足招标文件要求的保函均予以认可。</w:t>
            </w:r>
          </w:p>
          <w:p w14:paraId="3A90527E">
            <w:pPr>
              <w:snapToGrid w:val="0"/>
              <w:spacing w:beforeLines="0" w:afterLines="0" w:line="44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如采用担保机构出具的保函（担保机构担保），应为经安徽省地方金融监督管理局审查批准，注册地在滁州市，</w:t>
            </w:r>
            <w:r>
              <w:rPr>
                <w:rFonts w:hint="eastAsia" w:ascii="宋体" w:hAnsi="宋体" w:eastAsia="宋体" w:cs="宋体"/>
                <w:color w:val="auto"/>
                <w:sz w:val="22"/>
                <w:szCs w:val="22"/>
                <w:highlight w:val="none"/>
                <w:lang w:val="en-US" w:eastAsia="zh-CN"/>
              </w:rPr>
              <w:t>依法取得融资担保业务经营许可证的融资担保机构出具的不可撤销、不可转让的见索即付独立保函。</w:t>
            </w:r>
          </w:p>
          <w:p w14:paraId="5023B025">
            <w:pPr>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履约保证金提交时间：收到中标通知书后21天内；</w:t>
            </w:r>
          </w:p>
          <w:p w14:paraId="6BF4F556">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履约保证金退还时间：签发交工验收证书后28天内。</w:t>
            </w:r>
          </w:p>
        </w:tc>
      </w:tr>
      <w:tr w14:paraId="0A62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087A2240">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8.5.1</w:t>
            </w:r>
          </w:p>
        </w:tc>
        <w:tc>
          <w:tcPr>
            <w:tcW w:w="2950" w:type="dxa"/>
            <w:vAlign w:val="center"/>
          </w:tcPr>
          <w:p w14:paraId="3DE095B6">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投诉</w:t>
            </w:r>
          </w:p>
        </w:tc>
        <w:tc>
          <w:tcPr>
            <w:tcW w:w="6198" w:type="dxa"/>
            <w:vAlign w:val="center"/>
          </w:tcPr>
          <w:p w14:paraId="6260A73F">
            <w:pPr>
              <w:widowControl/>
              <w:snapToGrid w:val="0"/>
              <w:spacing w:beforeLines="0" w:afterLines="0" w:line="440" w:lineRule="exact"/>
              <w:jc w:val="left"/>
              <w:rPr>
                <w:rFonts w:hint="eastAsia" w:ascii="宋体" w:hAnsi="宋体" w:eastAsia="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投标人或者其他利害关系人认为招标投标活动不符合法律、行政法规规定的，可以自知道或者应当知道之日起 10 日内向有关行政监督部门投诉。投诉应有明确的请求和必要的证明材料。</w:t>
            </w:r>
          </w:p>
        </w:tc>
      </w:tr>
      <w:tr w14:paraId="3F75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F2D3784">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8.5.1</w:t>
            </w:r>
          </w:p>
        </w:tc>
        <w:tc>
          <w:tcPr>
            <w:tcW w:w="2950" w:type="dxa"/>
            <w:vAlign w:val="center"/>
          </w:tcPr>
          <w:p w14:paraId="1F7EB3E7">
            <w:pPr>
              <w:spacing w:beforeLines="0" w:afterLines="0"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监督部门</w:t>
            </w:r>
          </w:p>
        </w:tc>
        <w:tc>
          <w:tcPr>
            <w:tcW w:w="6198" w:type="dxa"/>
            <w:vAlign w:val="center"/>
          </w:tcPr>
          <w:p w14:paraId="2E2ADAEC">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安徽省交通运输厅 </w:t>
            </w:r>
          </w:p>
          <w:p w14:paraId="03791FBF">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电话：0551-63629541 </w:t>
            </w:r>
          </w:p>
          <w:p w14:paraId="011FFE7F">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地址：安徽省合肥市包河区高铁路 98 号</w:t>
            </w:r>
          </w:p>
        </w:tc>
      </w:tr>
      <w:tr w14:paraId="0E0D2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E00C120">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9</w:t>
            </w:r>
          </w:p>
        </w:tc>
        <w:tc>
          <w:tcPr>
            <w:tcW w:w="2950" w:type="dxa"/>
            <w:vAlign w:val="center"/>
          </w:tcPr>
          <w:p w14:paraId="5905CB6D">
            <w:pPr>
              <w:spacing w:beforeLines="0" w:afterLines="0" w:line="440" w:lineRule="exact"/>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是否采用电子招标投标方式</w:t>
            </w:r>
          </w:p>
        </w:tc>
        <w:tc>
          <w:tcPr>
            <w:tcW w:w="6198" w:type="dxa"/>
            <w:vAlign w:val="center"/>
          </w:tcPr>
          <w:p w14:paraId="4104D6D3">
            <w:pPr>
              <w:snapToGrid w:val="0"/>
              <w:spacing w:beforeLines="0" w:afterLines="0" w:line="440" w:lineRule="exac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是</w:t>
            </w:r>
          </w:p>
        </w:tc>
      </w:tr>
      <w:tr w14:paraId="7AD9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085" w:type="dxa"/>
            <w:gridSpan w:val="3"/>
            <w:vAlign w:val="center"/>
          </w:tcPr>
          <w:p w14:paraId="06617617">
            <w:pPr>
              <w:spacing w:beforeLines="0" w:afterLines="0" w:line="44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需要补充的其他内容</w:t>
            </w:r>
          </w:p>
        </w:tc>
      </w:tr>
      <w:tr w14:paraId="6512C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6CEB931C">
            <w:pPr>
              <w:spacing w:beforeLines="0" w:afterLines="0" w:line="440" w:lineRule="exact"/>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10.</w:t>
            </w:r>
            <w:r>
              <w:rPr>
                <w:rFonts w:hint="eastAsia" w:ascii="宋体" w:hAnsi="宋体" w:cs="宋体"/>
                <w:b w:val="0"/>
                <w:bCs w:val="0"/>
                <w:color w:val="auto"/>
                <w:sz w:val="22"/>
                <w:szCs w:val="22"/>
                <w:highlight w:val="none"/>
                <w:lang w:val="en-US" w:eastAsia="zh-CN"/>
              </w:rPr>
              <w:t>1</w:t>
            </w:r>
          </w:p>
        </w:tc>
        <w:tc>
          <w:tcPr>
            <w:tcW w:w="9148" w:type="dxa"/>
            <w:gridSpan w:val="2"/>
            <w:vAlign w:val="center"/>
          </w:tcPr>
          <w:p w14:paraId="5AC33D47">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对招标文件、招标过程及评标结果异议的提出： </w:t>
            </w:r>
          </w:p>
          <w:p w14:paraId="36750718">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1、投标人对招标文件有异议的，请在投标截止时间10日前通过电子交易系统在线提出或以其他书面形式提出，逾期视为认可招标文件所有内容。 </w:t>
            </w:r>
          </w:p>
          <w:p w14:paraId="7C5340C0">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2、投标人对开标过程提出异议的，应于开标现场提出。 </w:t>
            </w:r>
          </w:p>
          <w:p w14:paraId="67CC6D25">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3、招标投标相关各方对评标结果有异议，应在评标结果公示期内通过电子交易系统在线提出或以其他书面形式提出。 </w:t>
            </w:r>
          </w:p>
          <w:p w14:paraId="0610B620">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（1）异议材料应当包括以下内容： </w:t>
            </w:r>
          </w:p>
          <w:p w14:paraId="1169B027">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①提出异议的投标人的名称、地址及有效联系方式； </w:t>
            </w:r>
          </w:p>
          <w:p w14:paraId="6BFC7BFE">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②异议对象的投标人的名称； </w:t>
            </w:r>
          </w:p>
          <w:p w14:paraId="63B27794">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③异议事项的基本事实；</w:t>
            </w:r>
          </w:p>
          <w:p w14:paraId="45E1ED9D">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④相关请求和主张；</w:t>
            </w:r>
          </w:p>
          <w:p w14:paraId="34CB93F3">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⑤有效线索和相关证明材料；</w:t>
            </w:r>
          </w:p>
          <w:p w14:paraId="37732AD3">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⑥提出异议的投标人是法人的，异议材料必须由其法定代表人签字并加盖单位公章，并附法定代表人及其委托联系人的有效身份证明复印件、注明联系方式；其他组织或者自然人提出异议的，异议材料必须由其主要负责人签字（有公章的须单位加盖公章），并附主要负责人及其委托联系人的有效身份证明复印件、注明联系方式。异议有关材料是外文的，应当同时提供其中文译本。 </w:t>
            </w:r>
          </w:p>
          <w:p w14:paraId="68369009">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（2）有下列情形的异议材料不予受理： </w:t>
            </w:r>
          </w:p>
          <w:p w14:paraId="05993E43">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①书面异议材料不完整的； </w:t>
            </w:r>
          </w:p>
          <w:p w14:paraId="5B119B6E">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②异议事项含有主观猜测等内容且无充分有效证据的； </w:t>
            </w:r>
          </w:p>
          <w:p w14:paraId="21EED5F5">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③对其他投标人的投标文件详细内容异议，无法提供合法来源渠道的；</w:t>
            </w:r>
          </w:p>
          <w:p w14:paraId="2811F401">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④违反相关法律法规的。 </w:t>
            </w:r>
          </w:p>
          <w:p w14:paraId="43F5EB77">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4、对于虚假、恶意异议： </w:t>
            </w:r>
          </w:p>
          <w:p w14:paraId="39E284B5">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提出异议的投标人不得以异议为名进行虚假、恶意异议，干扰招标投标活动的正常进行。对于提供虚假材料，以异议为名谋取中标或恶意异议扰乱招标工作秩序的，招标代理机构将报请行政监管部门处理。</w:t>
            </w:r>
          </w:p>
          <w:p w14:paraId="036DF2B4">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5、受理异议（质疑）的联系方式：</w:t>
            </w:r>
          </w:p>
          <w:p w14:paraId="2FBE1659">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招标代理机构：滁州市城投工程咨询管理有限公司</w:t>
            </w:r>
          </w:p>
          <w:p w14:paraId="066CB232">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地址：滁州市龙蟠大道109号房产大厦6楼620室</w:t>
            </w:r>
          </w:p>
          <w:p w14:paraId="57171E00">
            <w:pPr>
              <w:snapToGrid/>
              <w:spacing w:beforeLines="0" w:afterLines="0" w:line="440" w:lineRule="exact"/>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联系人：关勤勤 </w:t>
            </w:r>
          </w:p>
          <w:p w14:paraId="55D6975D">
            <w:pPr>
              <w:snapToGrid/>
              <w:spacing w:beforeLines="0" w:afterLines="0" w:line="440" w:lineRule="exact"/>
              <w:jc w:val="left"/>
              <w:rPr>
                <w:rFonts w:hint="eastAsia" w:ascii="宋体" w:hAnsi="宋体" w:eastAsia="宋体" w:cs="宋体"/>
                <w:b/>
                <w:bCs/>
                <w:color w:val="auto"/>
                <w:sz w:val="22"/>
                <w:szCs w:val="22"/>
                <w:highlight w:val="none"/>
              </w:rPr>
            </w:pPr>
            <w:r>
              <w:rPr>
                <w:rFonts w:hint="eastAsia" w:ascii="宋体" w:hAnsi="宋体" w:eastAsia="宋体" w:cs="宋体"/>
                <w:b w:val="0"/>
                <w:bCs w:val="0"/>
                <w:color w:val="auto"/>
                <w:sz w:val="22"/>
                <w:szCs w:val="22"/>
                <w:highlight w:val="none"/>
                <w:lang w:val="en-US" w:eastAsia="zh-CN"/>
              </w:rPr>
              <w:t>电话：18909605753。</w:t>
            </w:r>
          </w:p>
        </w:tc>
      </w:tr>
      <w:tr w14:paraId="7175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3324BC36">
            <w:pPr>
              <w:spacing w:beforeLines="0" w:afterLines="0" w:line="440" w:lineRule="exact"/>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10.2</w:t>
            </w:r>
          </w:p>
        </w:tc>
        <w:tc>
          <w:tcPr>
            <w:tcW w:w="9148" w:type="dxa"/>
            <w:gridSpan w:val="2"/>
            <w:vAlign w:val="center"/>
          </w:tcPr>
          <w:p w14:paraId="0314ECDF">
            <w:pPr>
              <w:snapToGrid w:val="0"/>
              <w:spacing w:before="0" w:beforeLines="0" w:after="0" w:afterLines="0" w:line="44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中心试验室无资格承担的试验检测项目，中心试验室可委托具备相应资质并经委托人认可的试验检测单位进行试验检测，由委托的试验检测机构直接出具试验报告。 </w:t>
            </w:r>
          </w:p>
          <w:p w14:paraId="37A1AAFC">
            <w:pPr>
              <w:snapToGrid w:val="0"/>
              <w:spacing w:before="0" w:beforeLines="0" w:after="0" w:afterLines="0" w:line="440" w:lineRule="exact"/>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lang w:val="en-US" w:eastAsia="zh-CN"/>
              </w:rPr>
              <w:t>中心试验室、施工、监理要建立外委试验管理台帐，详细记录外委试验情况，外委试验的报告应归入相关的工程或材料档案</w:t>
            </w:r>
            <w:r>
              <w:rPr>
                <w:rFonts w:hint="eastAsia" w:ascii="宋体" w:hAnsi="宋体" w:cs="宋体"/>
                <w:b/>
                <w:bCs/>
                <w:color w:val="auto"/>
                <w:sz w:val="22"/>
                <w:szCs w:val="22"/>
                <w:highlight w:val="none"/>
                <w:lang w:val="en-US" w:eastAsia="zh-CN"/>
              </w:rPr>
              <w:t>。</w:t>
            </w:r>
            <w:r>
              <w:rPr>
                <w:rFonts w:hint="eastAsia" w:ascii="宋体" w:hAnsi="宋体" w:eastAsia="宋体" w:cs="宋体"/>
                <w:b/>
                <w:bCs/>
                <w:color w:val="auto"/>
                <w:sz w:val="22"/>
                <w:szCs w:val="22"/>
                <w:highlight w:val="none"/>
                <w:lang w:val="en-US" w:eastAsia="zh-CN"/>
              </w:rPr>
              <w:t xml:space="preserve"> </w:t>
            </w:r>
          </w:p>
        </w:tc>
      </w:tr>
      <w:tr w14:paraId="4546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2ED59CD3">
            <w:pPr>
              <w:keepNext w:val="0"/>
              <w:keepLines w:val="0"/>
              <w:pageBreakBefore w:val="0"/>
              <w:widowControl w:val="0"/>
              <w:kinsoku/>
              <w:wordWrap w:val="0"/>
              <w:overflowPunct/>
              <w:topLinePunct w:val="0"/>
              <w:autoSpaceDE/>
              <w:autoSpaceDN/>
              <w:bidi w:val="0"/>
              <w:adjustRightInd/>
              <w:snapToGrid/>
              <w:spacing w:beforeLines="0" w:afterLines="0" w:line="440" w:lineRule="exact"/>
              <w:jc w:val="center"/>
              <w:textAlignment w:val="auto"/>
              <w:rPr>
                <w:rFonts w:hint="eastAsia" w:ascii="宋体" w:hAnsi="宋体" w:eastAsia="宋体" w:cs="宋体"/>
                <w:b/>
                <w:bCs/>
                <w:color w:val="auto"/>
                <w:sz w:val="22"/>
                <w:szCs w:val="22"/>
                <w:highlight w:val="none"/>
                <w:lang w:eastAsia="zh-CN"/>
              </w:rPr>
            </w:pPr>
            <w:r>
              <w:rPr>
                <w:rFonts w:hint="eastAsia" w:ascii="宋体" w:hAnsi="宋体" w:eastAsia="宋体" w:cs="宋体"/>
                <w:color w:val="auto"/>
                <w:spacing w:val="-1"/>
                <w:sz w:val="22"/>
                <w:szCs w:val="22"/>
                <w:highlight w:val="none"/>
              </w:rPr>
              <w:t>10.</w:t>
            </w:r>
            <w:r>
              <w:rPr>
                <w:rFonts w:hint="eastAsia" w:ascii="宋体" w:hAnsi="宋体" w:cs="宋体"/>
                <w:color w:val="auto"/>
                <w:spacing w:val="-1"/>
                <w:sz w:val="22"/>
                <w:szCs w:val="22"/>
                <w:highlight w:val="none"/>
                <w:lang w:val="en-US" w:eastAsia="zh-CN"/>
              </w:rPr>
              <w:t>3</w:t>
            </w:r>
          </w:p>
        </w:tc>
        <w:tc>
          <w:tcPr>
            <w:tcW w:w="9148" w:type="dxa"/>
            <w:gridSpan w:val="2"/>
            <w:vAlign w:val="center"/>
          </w:tcPr>
          <w:p w14:paraId="59A813CF">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1、入库/注册 </w:t>
            </w:r>
          </w:p>
          <w:p w14:paraId="2B4291B4">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投标人可通过以下两种方式入库/注册电子服务系统或电子交易系统账号（选其一即可）</w:t>
            </w:r>
          </w:p>
          <w:p w14:paraId="32B53BB3">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投标人可在安徽（区域）·公共资源交易电子服务系统办理入库：安徽（区域）·公共资源交易电子服务系统（以下简称“服务系统”）入库办理流程请参见中心网站“办事指南”栏目中的“投标人”--“主体库登记”--“交易主体登记指南”。入库后投标人通过登录服务系统跳转至交易系统获取招标文件。 </w:t>
            </w:r>
          </w:p>
          <w:p w14:paraId="13B944A6">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（2）投标人可在优质采云采购平台（电子交易系统）办理注册：投标人注册优质采云采购平台（电子交易系统）账号，注册成功后可登录电子交易系统获取招标文件并参与项目。注册流程详见注册指南。 </w:t>
            </w:r>
          </w:p>
          <w:p w14:paraId="79824D85">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2、关于数字证书办理 </w:t>
            </w:r>
          </w:p>
          <w:p w14:paraId="7B37411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投标人可办理服务平台或交易平台数字证书，选其一即可： </w:t>
            </w:r>
          </w:p>
          <w:p w14:paraId="0B35CB68">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（1）服务系统数字证书办理，详情参见电子服务系统 CA 办理。 </w:t>
            </w:r>
          </w:p>
          <w:p w14:paraId="3ABA118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（2）优质采云采购平台数字办理，详情参见关于优质采平台数字证书办理的须知。</w:t>
            </w:r>
          </w:p>
          <w:p w14:paraId="07952C4C">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3、投标文件制作与递交 </w:t>
            </w:r>
          </w:p>
          <w:p w14:paraId="576DBE4A">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（1）投标人通过优质采投标文件制作工具导入投标文件，并加密上传。 </w:t>
            </w:r>
          </w:p>
          <w:p w14:paraId="7FA1677B">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（2）加密与解密：解密与加密必须使用同一个数字证书 </w:t>
            </w:r>
          </w:p>
          <w:p w14:paraId="2EEA05CE">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（3）优质采投标文件制作工具下载地址：http://file.youzhicai.com/files/BidderTools.rar。 </w:t>
            </w:r>
          </w:p>
          <w:p w14:paraId="493D5C9A">
            <w:pPr>
              <w:keepNext w:val="0"/>
              <w:keepLines w:val="0"/>
              <w:pageBreakBefore w:val="0"/>
              <w:widowControl w:val="0"/>
              <w:kinsoku/>
              <w:wordWrap w:val="0"/>
              <w:overflowPunct/>
              <w:topLinePunct w:val="0"/>
              <w:autoSpaceDE/>
              <w:autoSpaceDN/>
              <w:bidi w:val="0"/>
              <w:adjustRightInd/>
              <w:snapToGrid/>
              <w:spacing w:beforeLines="0" w:afterLines="0" w:line="440" w:lineRule="exact"/>
              <w:jc w:val="left"/>
              <w:textAlignment w:val="auto"/>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4、使用优质采投标工具时需在国际互联网络通畅状态下进行，若因投标人没有及时更新软件或其他自身原因造成的电子投标文件制作错误，将责任自负</w:t>
            </w:r>
            <w:r>
              <w:rPr>
                <w:rFonts w:hint="eastAsia" w:ascii="宋体" w:hAnsi="宋体" w:eastAsia="宋体" w:cs="宋体"/>
                <w:b w:val="0"/>
                <w:bCs w:val="0"/>
                <w:color w:val="auto"/>
                <w:sz w:val="22"/>
                <w:szCs w:val="22"/>
                <w:highlight w:val="none"/>
                <w:lang w:val="en-US" w:eastAsia="zh-CN"/>
              </w:rPr>
              <w:t>。</w:t>
            </w:r>
          </w:p>
        </w:tc>
      </w:tr>
      <w:tr w14:paraId="0783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1C08942">
            <w:pPr>
              <w:spacing w:before="0" w:beforeLines="0" w:afterLines="0" w:line="440" w:lineRule="exact"/>
              <w:jc w:val="center"/>
              <w:rPr>
                <w:rFonts w:hint="eastAsia" w:ascii="宋体" w:hAnsi="宋体" w:eastAsia="宋体" w:cs="宋体"/>
                <w:b/>
                <w:bCs/>
                <w:color w:val="auto"/>
                <w:spacing w:val="-1"/>
                <w:sz w:val="22"/>
                <w:szCs w:val="22"/>
                <w:highlight w:val="none"/>
              </w:rPr>
            </w:pPr>
            <w:r>
              <w:rPr>
                <w:rFonts w:hint="eastAsia" w:ascii="宋体" w:hAnsi="宋体" w:eastAsia="宋体" w:cs="宋体"/>
                <w:b/>
                <w:bCs/>
                <w:color w:val="auto"/>
                <w:spacing w:val="-1"/>
                <w:sz w:val="22"/>
                <w:szCs w:val="22"/>
                <w:highlight w:val="none"/>
                <w:lang w:val="en-US" w:eastAsia="zh-CN"/>
              </w:rPr>
              <w:t>10.</w:t>
            </w:r>
            <w:r>
              <w:rPr>
                <w:rFonts w:hint="eastAsia" w:ascii="宋体" w:hAnsi="宋体" w:cs="宋体"/>
                <w:b/>
                <w:bCs/>
                <w:color w:val="auto"/>
                <w:spacing w:val="-1"/>
                <w:sz w:val="22"/>
                <w:szCs w:val="22"/>
                <w:highlight w:val="none"/>
                <w:lang w:val="en-US" w:eastAsia="zh-CN"/>
              </w:rPr>
              <w:t>4</w:t>
            </w:r>
          </w:p>
        </w:tc>
        <w:tc>
          <w:tcPr>
            <w:tcW w:w="9148" w:type="dxa"/>
            <w:gridSpan w:val="2"/>
            <w:vAlign w:val="center"/>
          </w:tcPr>
          <w:p w14:paraId="571EA5D9">
            <w:pPr>
              <w:widowControl/>
              <w:snapToGrid w:val="0"/>
              <w:spacing w:beforeLines="0" w:afterLines="0" w:line="440" w:lineRule="exact"/>
              <w:jc w:val="left"/>
              <w:rPr>
                <w:rFonts w:hint="eastAsia" w:ascii="宋体" w:hAnsi="宋体" w:cs="宋体"/>
                <w:color w:val="auto"/>
                <w:sz w:val="22"/>
                <w:szCs w:val="22"/>
                <w:highlight w:val="none"/>
              </w:rPr>
            </w:pPr>
            <w:r>
              <w:rPr>
                <w:rFonts w:hint="eastAsia" w:ascii="宋体" w:hAnsi="宋体" w:cs="宋体"/>
                <w:b/>
                <w:color w:val="auto"/>
                <w:kern w:val="0"/>
                <w:sz w:val="22"/>
                <w:szCs w:val="22"/>
                <w:highlight w:val="none"/>
                <w:lang w:val="en-US" w:eastAsia="zh-CN"/>
              </w:rPr>
              <w:t>电子投标文件须按格式文件要求签字或盖章（电子签章），招标文件格式中要求“签章”部位，指电子签章或盖章后扫描上传均可。委托代理人签署投标文件需上传有手写签名的扫描件。</w:t>
            </w:r>
          </w:p>
        </w:tc>
      </w:tr>
      <w:tr w14:paraId="55B2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CB4A4F8">
            <w:pPr>
              <w:spacing w:beforeLines="0" w:afterLines="0" w:line="44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10.</w:t>
            </w:r>
            <w:r>
              <w:rPr>
                <w:rFonts w:hint="eastAsia" w:ascii="宋体" w:hAnsi="宋体" w:cs="宋体"/>
                <w:color w:val="auto"/>
                <w:spacing w:val="-1"/>
                <w:sz w:val="22"/>
                <w:szCs w:val="22"/>
                <w:highlight w:val="none"/>
                <w:lang w:val="en-US" w:eastAsia="zh-CN"/>
              </w:rPr>
              <w:t>5</w:t>
            </w:r>
          </w:p>
        </w:tc>
        <w:tc>
          <w:tcPr>
            <w:tcW w:w="2950" w:type="dxa"/>
            <w:vAlign w:val="center"/>
          </w:tcPr>
          <w:p w14:paraId="667CC244">
            <w:pPr>
              <w:spacing w:beforeLines="0" w:afterLines="0" w:line="440" w:lineRule="exact"/>
              <w:jc w:val="center"/>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评标过程中的澄清、说明或补正</w:t>
            </w:r>
          </w:p>
        </w:tc>
        <w:tc>
          <w:tcPr>
            <w:tcW w:w="6198" w:type="dxa"/>
            <w:vAlign w:val="center"/>
          </w:tcPr>
          <w:p w14:paraId="57E35B83">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rPr>
              <w:t>评标委员会通过电子交易系统将需要澄清、说明或补正的内容以询标函的形式发送给投标人，投标人应安排专人登录电子交易系统并保持在线状态，以便及时接收评标委员会可能发出的询标函。</w:t>
            </w:r>
          </w:p>
          <w:p w14:paraId="7A5E2DD9">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（2）因投标人未登录电子交易系统导致无法及时接收询标函（远程网上询标）或未在规定时间内（从评标委员会发起远程网上询标至询标结束原则上为</w:t>
            </w:r>
            <w:r>
              <w:rPr>
                <w:rFonts w:hint="eastAsia" w:ascii="宋体" w:hAnsi="宋体" w:eastAsia="宋体" w:cs="宋体"/>
                <w:color w:val="auto"/>
                <w:sz w:val="22"/>
                <w:szCs w:val="22"/>
                <w:highlight w:val="none"/>
                <w:lang w:val="en-US" w:eastAsia="zh-CN"/>
              </w:rPr>
              <w:t>30</w:t>
            </w:r>
            <w:r>
              <w:rPr>
                <w:rFonts w:hint="eastAsia" w:ascii="宋体" w:hAnsi="宋体" w:eastAsia="宋体" w:cs="宋体"/>
                <w:color w:val="auto"/>
                <w:sz w:val="22"/>
                <w:szCs w:val="22"/>
                <w:highlight w:val="none"/>
              </w:rPr>
              <w:t>分钟，具体时间要求以评标委员会通过电子交易系统发出的网上询标函为准）按评标委员会要求进行澄清、说明或补正内容的视同投标人放弃澄清、说明或补正内容的权利，评标委员会可按对投标人不利的解释进行判定。</w:t>
            </w:r>
          </w:p>
        </w:tc>
      </w:tr>
      <w:tr w14:paraId="10C66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B8120B9">
            <w:pPr>
              <w:spacing w:beforeLines="0" w:afterLines="0" w:line="440" w:lineRule="exact"/>
              <w:jc w:val="center"/>
              <w:rPr>
                <w:rFonts w:hint="eastAsia" w:ascii="宋体" w:hAnsi="宋体" w:eastAsia="宋体" w:cs="宋体"/>
                <w:color w:val="auto"/>
                <w:spacing w:val="-1"/>
                <w:sz w:val="22"/>
                <w:szCs w:val="22"/>
                <w:highlight w:val="none"/>
                <w:lang w:val="en-US" w:eastAsia="zh-CN"/>
              </w:rPr>
            </w:pPr>
            <w:r>
              <w:rPr>
                <w:rFonts w:hint="eastAsia" w:ascii="宋体" w:hAnsi="宋体" w:eastAsia="宋体" w:cs="宋体"/>
                <w:color w:val="auto"/>
                <w:spacing w:val="-1"/>
                <w:sz w:val="22"/>
                <w:szCs w:val="22"/>
                <w:highlight w:val="none"/>
                <w:lang w:val="en-US" w:eastAsia="zh-CN"/>
              </w:rPr>
              <w:t>10.</w:t>
            </w:r>
            <w:r>
              <w:rPr>
                <w:rFonts w:hint="eastAsia" w:ascii="宋体" w:hAnsi="宋体" w:cs="宋体"/>
                <w:color w:val="auto"/>
                <w:spacing w:val="-1"/>
                <w:sz w:val="22"/>
                <w:szCs w:val="22"/>
                <w:highlight w:val="none"/>
                <w:lang w:val="en-US" w:eastAsia="zh-CN"/>
              </w:rPr>
              <w:t>6</w:t>
            </w:r>
          </w:p>
        </w:tc>
        <w:tc>
          <w:tcPr>
            <w:tcW w:w="2950" w:type="dxa"/>
            <w:vAlign w:val="center"/>
          </w:tcPr>
          <w:p w14:paraId="33FB0CEF">
            <w:pPr>
              <w:spacing w:beforeLines="0" w:afterLines="0" w:line="440" w:lineRule="exact"/>
              <w:jc w:val="center"/>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招标代理服务费</w:t>
            </w:r>
          </w:p>
        </w:tc>
        <w:tc>
          <w:tcPr>
            <w:tcW w:w="6198" w:type="dxa"/>
            <w:vAlign w:val="center"/>
          </w:tcPr>
          <w:p w14:paraId="79F10ABB">
            <w:pPr>
              <w:numPr>
                <w:ilvl w:val="-1"/>
                <w:numId w:val="0"/>
              </w:numPr>
              <w:snapToGrid w:val="0"/>
              <w:spacing w:beforeLines="0" w:afterLines="0" w:line="440" w:lineRule="exact"/>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eastAsia="zh-CN"/>
              </w:rPr>
              <w:t>（</w:t>
            </w:r>
            <w:r>
              <w:rPr>
                <w:rFonts w:hint="eastAsia" w:ascii="宋体" w:hAnsi="宋体" w:cs="宋体"/>
                <w:b/>
                <w:bCs/>
                <w:color w:val="auto"/>
                <w:sz w:val="22"/>
                <w:szCs w:val="22"/>
                <w:highlight w:val="none"/>
                <w:lang w:val="en-US" w:eastAsia="zh-CN"/>
              </w:rPr>
              <w:t>1</w:t>
            </w:r>
            <w:r>
              <w:rPr>
                <w:rFonts w:hint="eastAsia" w:ascii="宋体" w:hAnsi="宋体" w:cs="宋体"/>
                <w:b/>
                <w:bCs/>
                <w:color w:val="auto"/>
                <w:sz w:val="22"/>
                <w:szCs w:val="22"/>
                <w:highlight w:val="none"/>
                <w:lang w:eastAsia="zh-CN"/>
              </w:rPr>
              <w:t>）</w:t>
            </w:r>
            <w:r>
              <w:rPr>
                <w:rFonts w:hint="eastAsia" w:ascii="宋体" w:hAnsi="宋体" w:eastAsia="宋体" w:cs="宋体"/>
                <w:b/>
                <w:bCs/>
                <w:color w:val="auto"/>
                <w:sz w:val="22"/>
                <w:szCs w:val="22"/>
                <w:highlight w:val="none"/>
              </w:rPr>
              <w:t>招标代理服务费：</w:t>
            </w:r>
            <w:r>
              <w:rPr>
                <w:rFonts w:hint="eastAsia" w:ascii="宋体" w:hAnsi="宋体" w:eastAsia="宋体" w:cs="宋体"/>
                <w:b/>
                <w:bCs/>
                <w:color w:val="auto"/>
                <w:sz w:val="22"/>
                <w:szCs w:val="22"/>
                <w:highlight w:val="none"/>
                <w:lang w:val="en-US" w:eastAsia="zh-CN"/>
              </w:rPr>
              <w:t>中标人在领取中标通知书前须向招标代理机构缴纳招标代理服务费，可以银行转账、银行电汇方式。招标代理服务费以中标价为计算基数，按照下表规定的收费标准收取，收取金额不足10000元的按照10000元最低标准收取。</w:t>
            </w:r>
          </w:p>
          <w:tbl>
            <w:tblPr>
              <w:tblStyle w:val="75"/>
              <w:tblW w:w="583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5"/>
              <w:gridCol w:w="2931"/>
            </w:tblGrid>
            <w:tr w14:paraId="15730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15DC2">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中标金额（万元）</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C3354">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服务招标</w:t>
                  </w:r>
                </w:p>
              </w:tc>
            </w:tr>
            <w:tr w14:paraId="3CFE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2B74C">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100以下</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4FC37">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cs="宋体"/>
                      <w:i w:val="0"/>
                      <w:iCs w:val="0"/>
                      <w:color w:val="auto"/>
                      <w:kern w:val="0"/>
                      <w:sz w:val="22"/>
                      <w:szCs w:val="22"/>
                      <w:highlight w:val="none"/>
                      <w:u w:val="none"/>
                      <w:lang w:val="en-US" w:eastAsia="zh-CN" w:bidi="ar"/>
                    </w:rPr>
                    <w:t>1.2</w:t>
                  </w:r>
                  <w:r>
                    <w:rPr>
                      <w:rFonts w:hint="eastAsia" w:ascii="宋体" w:hAnsi="宋体" w:eastAsia="宋体" w:cs="宋体"/>
                      <w:i w:val="0"/>
                      <w:iCs w:val="0"/>
                      <w:color w:val="auto"/>
                      <w:kern w:val="0"/>
                      <w:sz w:val="22"/>
                      <w:szCs w:val="22"/>
                      <w:highlight w:val="none"/>
                      <w:u w:val="none"/>
                      <w:lang w:val="en-US" w:eastAsia="zh-CN" w:bidi="ar"/>
                    </w:rPr>
                    <w:t>%</w:t>
                  </w:r>
                </w:p>
              </w:tc>
            </w:tr>
            <w:tr w14:paraId="1888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F1C99C">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100—500</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FD5008">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cs="宋体"/>
                      <w:i w:val="0"/>
                      <w:iCs w:val="0"/>
                      <w:color w:val="auto"/>
                      <w:kern w:val="0"/>
                      <w:sz w:val="22"/>
                      <w:szCs w:val="22"/>
                      <w:highlight w:val="none"/>
                      <w:u w:val="none"/>
                      <w:lang w:val="en-US" w:eastAsia="zh-CN" w:bidi="ar"/>
                    </w:rPr>
                    <w:t>64</w:t>
                  </w:r>
                  <w:r>
                    <w:rPr>
                      <w:rFonts w:hint="eastAsia" w:ascii="宋体" w:hAnsi="宋体" w:eastAsia="宋体" w:cs="宋体"/>
                      <w:i w:val="0"/>
                      <w:iCs w:val="0"/>
                      <w:color w:val="auto"/>
                      <w:kern w:val="0"/>
                      <w:sz w:val="22"/>
                      <w:szCs w:val="22"/>
                      <w:highlight w:val="none"/>
                      <w:u w:val="none"/>
                      <w:lang w:val="en-US" w:eastAsia="zh-CN" w:bidi="ar"/>
                    </w:rPr>
                    <w:t>%</w:t>
                  </w:r>
                </w:p>
              </w:tc>
            </w:tr>
            <w:tr w14:paraId="2D26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A2E06">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500—1000</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CF0F1">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cs="宋体"/>
                      <w:i w:val="0"/>
                      <w:iCs w:val="0"/>
                      <w:color w:val="auto"/>
                      <w:kern w:val="0"/>
                      <w:sz w:val="22"/>
                      <w:szCs w:val="22"/>
                      <w:highlight w:val="none"/>
                      <w:u w:val="none"/>
                      <w:lang w:val="en-US" w:eastAsia="zh-CN" w:bidi="ar"/>
                    </w:rPr>
                    <w:t>36</w:t>
                  </w:r>
                  <w:r>
                    <w:rPr>
                      <w:rFonts w:hint="eastAsia" w:ascii="宋体" w:hAnsi="宋体" w:eastAsia="宋体" w:cs="宋体"/>
                      <w:i w:val="0"/>
                      <w:iCs w:val="0"/>
                      <w:color w:val="auto"/>
                      <w:kern w:val="0"/>
                      <w:sz w:val="22"/>
                      <w:szCs w:val="22"/>
                      <w:highlight w:val="none"/>
                      <w:u w:val="none"/>
                      <w:lang w:val="en-US" w:eastAsia="zh-CN" w:bidi="ar"/>
                    </w:rPr>
                    <w:t>%</w:t>
                  </w:r>
                </w:p>
              </w:tc>
            </w:tr>
            <w:tr w14:paraId="37E7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3A8BC">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1000—5000</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255F96">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cs="宋体"/>
                      <w:i w:val="0"/>
                      <w:iCs w:val="0"/>
                      <w:color w:val="auto"/>
                      <w:kern w:val="0"/>
                      <w:sz w:val="22"/>
                      <w:szCs w:val="22"/>
                      <w:highlight w:val="none"/>
                      <w:u w:val="none"/>
                      <w:lang w:val="en-US" w:eastAsia="zh-CN" w:bidi="ar"/>
                    </w:rPr>
                    <w:t>20</w:t>
                  </w:r>
                  <w:r>
                    <w:rPr>
                      <w:rFonts w:hint="eastAsia" w:ascii="宋体" w:hAnsi="宋体" w:eastAsia="宋体" w:cs="宋体"/>
                      <w:i w:val="0"/>
                      <w:iCs w:val="0"/>
                      <w:color w:val="auto"/>
                      <w:kern w:val="0"/>
                      <w:sz w:val="22"/>
                      <w:szCs w:val="22"/>
                      <w:highlight w:val="none"/>
                      <w:u w:val="none"/>
                      <w:lang w:val="en-US" w:eastAsia="zh-CN" w:bidi="ar"/>
                    </w:rPr>
                    <w:t>%</w:t>
                  </w:r>
                </w:p>
              </w:tc>
            </w:tr>
            <w:tr w14:paraId="2BFC9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55AD06">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5000—10000</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B2D60">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cs="宋体"/>
                      <w:i w:val="0"/>
                      <w:iCs w:val="0"/>
                      <w:color w:val="auto"/>
                      <w:kern w:val="0"/>
                      <w:sz w:val="22"/>
                      <w:szCs w:val="22"/>
                      <w:highlight w:val="none"/>
                      <w:u w:val="none"/>
                      <w:lang w:val="en-US" w:eastAsia="zh-CN" w:bidi="ar"/>
                    </w:rPr>
                    <w:t>08</w:t>
                  </w:r>
                  <w:r>
                    <w:rPr>
                      <w:rFonts w:hint="eastAsia" w:ascii="宋体" w:hAnsi="宋体" w:eastAsia="宋体" w:cs="宋体"/>
                      <w:i w:val="0"/>
                      <w:iCs w:val="0"/>
                      <w:color w:val="auto"/>
                      <w:kern w:val="0"/>
                      <w:sz w:val="22"/>
                      <w:szCs w:val="22"/>
                      <w:highlight w:val="none"/>
                      <w:u w:val="none"/>
                      <w:lang w:val="en-US" w:eastAsia="zh-CN" w:bidi="ar"/>
                    </w:rPr>
                    <w:t>%</w:t>
                  </w:r>
                </w:p>
              </w:tc>
            </w:tr>
            <w:tr w14:paraId="12D5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607CC">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10000——100000</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772A2">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cs="宋体"/>
                      <w:i w:val="0"/>
                      <w:iCs w:val="0"/>
                      <w:color w:val="auto"/>
                      <w:kern w:val="0"/>
                      <w:sz w:val="22"/>
                      <w:szCs w:val="22"/>
                      <w:highlight w:val="none"/>
                      <w:u w:val="none"/>
                      <w:lang w:val="en-US" w:eastAsia="zh-CN" w:bidi="ar"/>
                    </w:rPr>
                    <w:t>04</w:t>
                  </w:r>
                  <w:r>
                    <w:rPr>
                      <w:rFonts w:hint="eastAsia" w:ascii="宋体" w:hAnsi="宋体" w:eastAsia="宋体" w:cs="宋体"/>
                      <w:i w:val="0"/>
                      <w:iCs w:val="0"/>
                      <w:color w:val="auto"/>
                      <w:kern w:val="0"/>
                      <w:sz w:val="22"/>
                      <w:szCs w:val="22"/>
                      <w:highlight w:val="none"/>
                      <w:u w:val="none"/>
                      <w:lang w:val="en-US" w:eastAsia="zh-CN" w:bidi="ar"/>
                    </w:rPr>
                    <w:t>%</w:t>
                  </w:r>
                </w:p>
              </w:tc>
            </w:tr>
            <w:tr w14:paraId="3C284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9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1AFC3">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100000以上</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15726">
                  <w:pPr>
                    <w:keepNext w:val="0"/>
                    <w:keepLines w:val="0"/>
                    <w:widowControl/>
                    <w:suppressLineNumbers w:val="0"/>
                    <w:spacing w:beforeLines="0" w:afterLines="0" w:line="440" w:lineRule="exact"/>
                    <w:jc w:val="center"/>
                    <w:textAlignment w:val="bottom"/>
                    <w:rPr>
                      <w:rFonts w:hint="eastAsia" w:ascii="宋体" w:hAnsi="宋体" w:eastAsia="宋体" w:cs="宋体"/>
                      <w:i w:val="0"/>
                      <w:iCs w:val="0"/>
                      <w:color w:val="auto"/>
                      <w:kern w:val="0"/>
                      <w:sz w:val="22"/>
                      <w:szCs w:val="22"/>
                      <w:highlight w:val="none"/>
                      <w:u w:val="none"/>
                      <w:lang w:bidi="ar"/>
                    </w:rPr>
                  </w:pPr>
                  <w:r>
                    <w:rPr>
                      <w:rFonts w:hint="eastAsia" w:ascii="宋体" w:hAnsi="宋体" w:eastAsia="宋体" w:cs="宋体"/>
                      <w:i w:val="0"/>
                      <w:iCs w:val="0"/>
                      <w:color w:val="auto"/>
                      <w:kern w:val="0"/>
                      <w:sz w:val="22"/>
                      <w:szCs w:val="22"/>
                      <w:highlight w:val="none"/>
                      <w:u w:val="none"/>
                      <w:lang w:val="en-US" w:eastAsia="zh-CN" w:bidi="ar"/>
                    </w:rPr>
                    <w:t>0.</w:t>
                  </w:r>
                  <w:r>
                    <w:rPr>
                      <w:rFonts w:hint="eastAsia" w:ascii="宋体" w:hAnsi="宋体" w:cs="宋体"/>
                      <w:i w:val="0"/>
                      <w:iCs w:val="0"/>
                      <w:color w:val="auto"/>
                      <w:kern w:val="0"/>
                      <w:sz w:val="22"/>
                      <w:szCs w:val="22"/>
                      <w:highlight w:val="none"/>
                      <w:u w:val="none"/>
                      <w:lang w:val="en-US" w:eastAsia="zh-CN" w:bidi="ar"/>
                    </w:rPr>
                    <w:t>008</w:t>
                  </w:r>
                  <w:r>
                    <w:rPr>
                      <w:rFonts w:hint="eastAsia" w:ascii="宋体" w:hAnsi="宋体" w:eastAsia="宋体" w:cs="宋体"/>
                      <w:i w:val="0"/>
                      <w:iCs w:val="0"/>
                      <w:color w:val="auto"/>
                      <w:kern w:val="0"/>
                      <w:sz w:val="22"/>
                      <w:szCs w:val="22"/>
                      <w:highlight w:val="none"/>
                      <w:u w:val="none"/>
                      <w:lang w:val="en-US" w:eastAsia="zh-CN" w:bidi="ar"/>
                    </w:rPr>
                    <w:t>%</w:t>
                  </w:r>
                </w:p>
              </w:tc>
            </w:tr>
          </w:tbl>
          <w:p w14:paraId="656187C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代理费按差额定率累进法计算；如中标价为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00万元，计算方式为：</w:t>
            </w:r>
          </w:p>
          <w:p w14:paraId="2D807C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+（500-100）* 0.</w:t>
            </w:r>
            <w:r>
              <w:rPr>
                <w:rFonts w:hint="eastAsia" w:ascii="宋体" w:hAnsi="宋体" w:cs="宋体"/>
                <w:color w:val="auto"/>
                <w:sz w:val="21"/>
                <w:szCs w:val="21"/>
                <w:highlight w:val="none"/>
                <w:lang w:val="en-US" w:eastAsia="zh-CN"/>
              </w:rPr>
              <w:t>64</w:t>
            </w:r>
            <w:r>
              <w:rPr>
                <w:rFonts w:hint="eastAsia" w:ascii="宋体" w:hAnsi="宋体" w:eastAsia="宋体" w:cs="宋体"/>
                <w:color w:val="auto"/>
                <w:sz w:val="21"/>
                <w:szCs w:val="21"/>
                <w:highlight w:val="none"/>
                <w:lang w:val="en-US" w:eastAsia="zh-CN"/>
              </w:rPr>
              <w:t>% =</w:t>
            </w:r>
            <w:r>
              <w:rPr>
                <w:rFonts w:hint="eastAsia" w:ascii="宋体" w:hAnsi="宋体" w:cs="宋体"/>
                <w:color w:val="auto"/>
                <w:sz w:val="21"/>
                <w:szCs w:val="21"/>
                <w:highlight w:val="none"/>
                <w:lang w:val="en-US" w:eastAsia="zh-CN"/>
              </w:rPr>
              <w:t>3.76</w:t>
            </w:r>
            <w:r>
              <w:rPr>
                <w:rFonts w:hint="eastAsia" w:ascii="宋体" w:hAnsi="宋体" w:eastAsia="宋体" w:cs="宋体"/>
                <w:color w:val="auto"/>
                <w:sz w:val="21"/>
                <w:szCs w:val="21"/>
                <w:highlight w:val="none"/>
                <w:lang w:val="en-US" w:eastAsia="zh-CN"/>
              </w:rPr>
              <w:t>万元</w:t>
            </w:r>
          </w:p>
          <w:p w14:paraId="1A7EFD97">
            <w:pPr>
              <w:snapToGrid w:val="0"/>
              <w:spacing w:beforeLines="0" w:afterLines="0"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投标人所报单价中应视为已包含</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费用，投标人应自行核算</w:t>
            </w:r>
            <w:r>
              <w:rPr>
                <w:rFonts w:hint="eastAsia" w:ascii="宋体" w:hAnsi="宋体" w:eastAsia="宋体" w:cs="宋体"/>
                <w:color w:val="auto"/>
                <w:sz w:val="21"/>
                <w:szCs w:val="21"/>
                <w:highlight w:val="none"/>
                <w:lang w:val="en-US" w:eastAsia="zh-CN"/>
              </w:rPr>
              <w:t>上述</w:t>
            </w:r>
            <w:r>
              <w:rPr>
                <w:rFonts w:hint="eastAsia" w:ascii="宋体" w:hAnsi="宋体" w:eastAsia="宋体" w:cs="宋体"/>
                <w:color w:val="auto"/>
                <w:sz w:val="21"/>
                <w:szCs w:val="21"/>
                <w:highlight w:val="none"/>
              </w:rPr>
              <w:t>费用成本。</w:t>
            </w:r>
          </w:p>
        </w:tc>
      </w:tr>
      <w:tr w14:paraId="75A2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32BF1FF">
            <w:pPr>
              <w:pStyle w:val="74"/>
              <w:spacing w:beforeLines="0" w:after="0" w:afterLines="0" w:line="440" w:lineRule="exact"/>
              <w:ind w:left="0" w:leftChars="0" w:firstLine="0" w:firstLine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3"/>
                <w:sz w:val="22"/>
                <w:szCs w:val="22"/>
                <w:highlight w:val="none"/>
              </w:rPr>
              <w:t>10.</w:t>
            </w:r>
            <w:r>
              <w:rPr>
                <w:rFonts w:hint="eastAsia" w:ascii="宋体" w:hAnsi="宋体" w:cs="宋体"/>
                <w:color w:val="auto"/>
                <w:spacing w:val="-3"/>
                <w:sz w:val="22"/>
                <w:szCs w:val="22"/>
                <w:highlight w:val="none"/>
                <w:lang w:val="en-US" w:eastAsia="zh-CN"/>
              </w:rPr>
              <w:t>7</w:t>
            </w:r>
          </w:p>
        </w:tc>
        <w:tc>
          <w:tcPr>
            <w:tcW w:w="2950" w:type="dxa"/>
            <w:vAlign w:val="center"/>
          </w:tcPr>
          <w:p w14:paraId="43D698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pacing w:val="-5"/>
                <w:sz w:val="22"/>
                <w:szCs w:val="22"/>
                <w:highlight w:val="none"/>
              </w:rPr>
            </w:pPr>
            <w:r>
              <w:rPr>
                <w:rFonts w:hint="eastAsia" w:ascii="宋体" w:hAnsi="宋体" w:eastAsia="宋体" w:cs="宋体"/>
                <w:color w:val="auto"/>
                <w:sz w:val="22"/>
                <w:szCs w:val="22"/>
                <w:highlight w:val="none"/>
              </w:rPr>
              <w:t>同义词语</w:t>
            </w:r>
          </w:p>
        </w:tc>
        <w:tc>
          <w:tcPr>
            <w:tcW w:w="6198" w:type="dxa"/>
            <w:vAlign w:val="center"/>
          </w:tcPr>
          <w:p w14:paraId="14AB7F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构成招标文件组成部分的“通用合同条款”、“专用合同条款”、“</w:t>
            </w:r>
            <w:r>
              <w:rPr>
                <w:rFonts w:hint="eastAsia" w:ascii="宋体" w:hAnsi="宋体" w:cs="宋体"/>
                <w:color w:val="auto"/>
                <w:sz w:val="22"/>
                <w:szCs w:val="22"/>
                <w:highlight w:val="none"/>
                <w:lang w:val="en-US" w:eastAsia="zh-CN"/>
              </w:rPr>
              <w:t>委托人要求</w:t>
            </w:r>
            <w:r>
              <w:rPr>
                <w:rFonts w:hint="eastAsia" w:ascii="宋体" w:hAnsi="宋体" w:eastAsia="宋体" w:cs="宋体"/>
                <w:color w:val="auto"/>
                <w:sz w:val="22"/>
                <w:szCs w:val="22"/>
                <w:highlight w:val="none"/>
              </w:rPr>
              <w:t>”、“技术规范”和“工程量清单计量规则”等章节中“发包人”和“承包人”，除特殊约定外，等同于招标投标阶段的“招标人”和“投标人/中标人”。</w:t>
            </w:r>
          </w:p>
        </w:tc>
      </w:tr>
      <w:tr w14:paraId="3FAA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03281503">
            <w:pPr>
              <w:pStyle w:val="74"/>
              <w:spacing w:beforeLines="0" w:after="0" w:afterLines="0" w:line="440" w:lineRule="exact"/>
              <w:ind w:left="0" w:leftChars="0" w:firstLine="0" w:firstLineChars="0"/>
              <w:jc w:val="center"/>
              <w:rPr>
                <w:rFonts w:hint="eastAsia"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lang w:val="en-US" w:eastAsia="zh-CN"/>
              </w:rPr>
              <w:t>10.</w:t>
            </w:r>
            <w:r>
              <w:rPr>
                <w:rFonts w:hint="eastAsia" w:ascii="宋体" w:hAnsi="宋体" w:cs="宋体"/>
                <w:color w:val="auto"/>
                <w:spacing w:val="-3"/>
                <w:sz w:val="22"/>
                <w:szCs w:val="22"/>
                <w:highlight w:val="none"/>
                <w:lang w:val="en-US" w:eastAsia="zh-CN"/>
              </w:rPr>
              <w:t>8</w:t>
            </w:r>
          </w:p>
        </w:tc>
        <w:tc>
          <w:tcPr>
            <w:tcW w:w="2950" w:type="dxa"/>
            <w:vAlign w:val="center"/>
          </w:tcPr>
          <w:p w14:paraId="2A78AA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pacing w:val="-9"/>
                <w:sz w:val="22"/>
                <w:szCs w:val="22"/>
                <w:highlight w:val="none"/>
              </w:rPr>
            </w:pPr>
            <w:r>
              <w:rPr>
                <w:rFonts w:hint="eastAsia" w:ascii="宋体" w:hAnsi="宋体" w:eastAsia="宋体" w:cs="宋体"/>
                <w:color w:val="auto"/>
                <w:sz w:val="22"/>
                <w:szCs w:val="22"/>
                <w:highlight w:val="none"/>
              </w:rPr>
              <w:t>解释权</w:t>
            </w:r>
          </w:p>
        </w:tc>
        <w:tc>
          <w:tcPr>
            <w:tcW w:w="6198" w:type="dxa"/>
            <w:vAlign w:val="center"/>
          </w:tcPr>
          <w:p w14:paraId="66187A8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(1)构成本招标文件的各个组成文件应互为解释，互为说明；</w:t>
            </w:r>
          </w:p>
          <w:p w14:paraId="79E4923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(2)同一组成文件中就同一事项的规定或约定不一致的，以编排顺序在后者为准；</w:t>
            </w:r>
          </w:p>
          <w:p w14:paraId="25B4A2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(3)如有不明确或不一致，构成合同文件组成内容的，以合同文件约定内容为准，且以专用合同条款约定的合同文件优先顺序解释；</w:t>
            </w:r>
          </w:p>
          <w:p w14:paraId="33EFA9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(4)除招标文件中有特别规定外，仅适用于招标投标阶段的规定，按招标公告、投标人须知、评标办法、投标文件格式的先后顺序解释；</w:t>
            </w:r>
          </w:p>
          <w:p w14:paraId="7CD4AF6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(5)按本款前述规定仍不能形成结论的，由招标人负责解释。</w:t>
            </w:r>
          </w:p>
        </w:tc>
      </w:tr>
      <w:tr w14:paraId="7844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1DBC6D1A">
            <w:pPr>
              <w:pStyle w:val="74"/>
              <w:spacing w:beforeLines="0" w:after="0" w:afterLines="0" w:line="440" w:lineRule="exact"/>
              <w:ind w:left="0" w:leftChars="0" w:firstLine="0" w:firstLineChars="0"/>
              <w:jc w:val="center"/>
              <w:rPr>
                <w:rFonts w:hint="eastAsia"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rPr>
              <w:t>10.</w:t>
            </w:r>
            <w:r>
              <w:rPr>
                <w:rFonts w:hint="eastAsia" w:ascii="宋体" w:hAnsi="宋体" w:cs="宋体"/>
                <w:color w:val="auto"/>
                <w:spacing w:val="-3"/>
                <w:sz w:val="22"/>
                <w:szCs w:val="22"/>
                <w:highlight w:val="none"/>
                <w:lang w:val="en-US" w:eastAsia="zh-CN"/>
              </w:rPr>
              <w:t>9</w:t>
            </w:r>
          </w:p>
        </w:tc>
        <w:tc>
          <w:tcPr>
            <w:tcW w:w="2950" w:type="dxa"/>
            <w:vAlign w:val="center"/>
          </w:tcPr>
          <w:p w14:paraId="3F386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pacing w:val="-5"/>
                <w:sz w:val="22"/>
                <w:szCs w:val="22"/>
                <w:highlight w:val="none"/>
              </w:rPr>
            </w:pPr>
            <w:r>
              <w:rPr>
                <w:rFonts w:hint="eastAsia" w:ascii="宋体" w:hAnsi="宋体" w:eastAsia="宋体" w:cs="宋体"/>
                <w:color w:val="auto"/>
                <w:sz w:val="22"/>
                <w:szCs w:val="22"/>
                <w:highlight w:val="none"/>
              </w:rPr>
              <w:t>招标人补充的其他内容</w:t>
            </w:r>
          </w:p>
        </w:tc>
        <w:tc>
          <w:tcPr>
            <w:tcW w:w="6198" w:type="dxa"/>
            <w:vAlign w:val="center"/>
          </w:tcPr>
          <w:p w14:paraId="54C6D8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本项目中标候选人公示中将对中标候选人的企业业绩（如要求）、拟任本项目</w:t>
            </w:r>
            <w:r>
              <w:rPr>
                <w:rFonts w:hint="eastAsia" w:ascii="宋体" w:hAnsi="宋体" w:cs="宋体"/>
                <w:color w:val="auto"/>
                <w:sz w:val="22"/>
                <w:szCs w:val="22"/>
                <w:highlight w:val="none"/>
                <w:lang w:val="en-US" w:eastAsia="zh-CN"/>
              </w:rPr>
              <w:t>中心试验室主任</w:t>
            </w:r>
            <w:r>
              <w:rPr>
                <w:rFonts w:hint="eastAsia" w:ascii="宋体" w:hAnsi="宋体" w:eastAsia="宋体" w:cs="宋体"/>
                <w:color w:val="auto"/>
                <w:sz w:val="22"/>
                <w:szCs w:val="22"/>
                <w:highlight w:val="none"/>
                <w:lang w:val="en-US" w:eastAsia="zh-CN"/>
              </w:rPr>
              <w:t>姓名</w:t>
            </w:r>
            <w:r>
              <w:rPr>
                <w:rFonts w:hint="eastAsia" w:ascii="宋体" w:hAnsi="宋体" w:eastAsia="宋体" w:cs="宋体"/>
                <w:color w:val="auto"/>
                <w:sz w:val="22"/>
                <w:szCs w:val="22"/>
                <w:highlight w:val="none"/>
              </w:rPr>
              <w:t xml:space="preserve">及业绩（如要求）进行网上公示。 </w:t>
            </w:r>
          </w:p>
          <w:p w14:paraId="37F4BE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2、系统唱标信息内容与投标函中不一致的，以投标函中内容为准。</w:t>
            </w:r>
          </w:p>
        </w:tc>
      </w:tr>
      <w:tr w14:paraId="0A77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37" w:type="dxa"/>
            <w:vAlign w:val="center"/>
          </w:tcPr>
          <w:p w14:paraId="5DFD7C58">
            <w:pPr>
              <w:pStyle w:val="74"/>
              <w:spacing w:beforeLines="0" w:after="0" w:afterLines="0" w:line="440" w:lineRule="exact"/>
              <w:ind w:left="0" w:leftChars="0" w:firstLine="0" w:firstLineChars="0"/>
              <w:jc w:val="center"/>
              <w:rPr>
                <w:rFonts w:hint="default" w:ascii="宋体" w:hAnsi="宋体" w:eastAsia="宋体" w:cs="宋体"/>
                <w:color w:val="auto"/>
                <w:spacing w:val="-3"/>
                <w:sz w:val="22"/>
                <w:szCs w:val="22"/>
                <w:highlight w:val="none"/>
                <w:lang w:val="en-US" w:eastAsia="zh-CN"/>
              </w:rPr>
            </w:pPr>
            <w:r>
              <w:rPr>
                <w:rFonts w:hint="eastAsia" w:ascii="宋体" w:hAnsi="宋体" w:cs="宋体"/>
                <w:color w:val="auto"/>
                <w:spacing w:val="-3"/>
                <w:sz w:val="22"/>
                <w:szCs w:val="22"/>
                <w:highlight w:val="none"/>
                <w:lang w:val="en-US" w:eastAsia="zh-CN"/>
              </w:rPr>
              <w:t>10.10</w:t>
            </w:r>
          </w:p>
        </w:tc>
        <w:tc>
          <w:tcPr>
            <w:tcW w:w="2950" w:type="dxa"/>
            <w:vAlign w:val="center"/>
          </w:tcPr>
          <w:p w14:paraId="6EDAE4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2"/>
                <w:szCs w:val="22"/>
                <w:highlight w:val="none"/>
              </w:rPr>
              <w:t>重要提示</w:t>
            </w:r>
          </w:p>
        </w:tc>
        <w:tc>
          <w:tcPr>
            <w:tcW w:w="6198" w:type="dxa"/>
            <w:vAlign w:val="center"/>
          </w:tcPr>
          <w:p w14:paraId="40E0B7B1">
            <w:pPr>
              <w:keepNext w:val="0"/>
              <w:keepLines w:val="0"/>
              <w:suppressLineNumbers w:val="0"/>
              <w:snapToGrid w:val="0"/>
              <w:spacing w:before="0" w:beforeAutospacing="0" w:after="0" w:afterAutospacing="0" w:line="440" w:lineRule="exact"/>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1、各投标人无须至开标现场参与开标，投标人参与在线开标即可。</w:t>
            </w:r>
          </w:p>
          <w:p w14:paraId="13772E9E">
            <w:pPr>
              <w:keepNext w:val="0"/>
              <w:keepLines w:val="0"/>
              <w:suppressLineNumbers w:val="0"/>
              <w:snapToGrid w:val="0"/>
              <w:spacing w:before="0" w:beforeAutospacing="0" w:after="0" w:afterAutospacing="0" w:line="440" w:lineRule="exact"/>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2、投标人应按招标文件规定的时间，在线参加开标过程中对投标文件进行解密。逾期解密或解密不成功的投标视为无效投标。</w:t>
            </w:r>
          </w:p>
          <w:p w14:paraId="13AEBDBE">
            <w:pPr>
              <w:keepNext w:val="0"/>
              <w:keepLines w:val="0"/>
              <w:suppressLineNumbers w:val="0"/>
              <w:snapToGrid w:val="0"/>
              <w:spacing w:before="0" w:beforeAutospacing="0" w:after="0" w:afterAutospacing="0" w:line="440" w:lineRule="exact"/>
              <w:ind w:left="0" w:right="0"/>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3、本项目评标期间，投标人应保持通讯畅通。评标委员会要求投标人对投标文件进行澄清的，一律采用在线询标方式，投标人应关注交易系统并及时回复，否则视为认可评标委员会评审意见。</w:t>
            </w:r>
          </w:p>
          <w:p w14:paraId="6AA854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2"/>
                <w:szCs w:val="22"/>
                <w:highlight w:val="none"/>
                <w:lang w:eastAsia="zh-CN"/>
              </w:rPr>
            </w:pPr>
            <w:r>
              <w:rPr>
                <w:rFonts w:hint="eastAsia" w:ascii="宋体" w:hAnsi="宋体" w:cs="宋体"/>
                <w:b/>
                <w:bCs/>
                <w:color w:val="auto"/>
                <w:sz w:val="22"/>
                <w:szCs w:val="22"/>
                <w:highlight w:val="none"/>
                <w:lang w:val="en-US" w:eastAsia="zh-CN"/>
              </w:rPr>
              <w:t>4、</w:t>
            </w:r>
            <w:r>
              <w:rPr>
                <w:rFonts w:hint="eastAsia" w:ascii="宋体" w:hAnsi="宋体" w:eastAsia="宋体" w:cs="宋体"/>
                <w:b/>
                <w:bCs/>
                <w:color w:val="auto"/>
                <w:sz w:val="22"/>
                <w:szCs w:val="22"/>
                <w:highlight w:val="none"/>
              </w:rPr>
              <w:t>因电子服务系统或电子交易系统出现软件设计或功能缺陷、运行异常等情况，可能影响招投标活动公平、公正进行的，招标人（或招标代理机构）有权中止或终止招投标活动，招投标各方免责</w:t>
            </w:r>
            <w:r>
              <w:rPr>
                <w:rFonts w:hint="eastAsia" w:ascii="宋体" w:hAnsi="宋体" w:cs="宋体"/>
                <w:b/>
                <w:bCs/>
                <w:color w:val="auto"/>
                <w:sz w:val="22"/>
                <w:szCs w:val="22"/>
                <w:highlight w:val="none"/>
                <w:lang w:eastAsia="zh-CN"/>
              </w:rPr>
              <w:t>。</w:t>
            </w:r>
          </w:p>
          <w:p w14:paraId="43E74C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5、本项目投标保证金、履约保证金、工程质量保证金、农民工工资保证金均支持保函使用。以现金形式提交保证金的，应当同时退还保证金本金和银行同期存款利息。</w:t>
            </w:r>
          </w:p>
        </w:tc>
      </w:tr>
    </w:tbl>
    <w:p w14:paraId="7604C96E">
      <w:pPr>
        <w:widowControl/>
        <w:jc w:val="left"/>
        <w:rPr>
          <w:rFonts w:eastAsia="黑体"/>
          <w:b/>
          <w:bCs/>
          <w:color w:val="auto"/>
          <w:szCs w:val="21"/>
          <w:highlight w:val="none"/>
        </w:rPr>
      </w:pPr>
      <w:r>
        <w:rPr>
          <w:rFonts w:eastAsia="黑体"/>
          <w:b/>
          <w:bCs/>
          <w:color w:val="auto"/>
          <w:szCs w:val="21"/>
          <w:highlight w:val="none"/>
        </w:rPr>
        <w:br w:type="page"/>
      </w:r>
    </w:p>
    <w:p w14:paraId="3411E265">
      <w:pPr>
        <w:rPr>
          <w:b/>
          <w:bCs/>
          <w:color w:val="auto"/>
          <w:sz w:val="22"/>
          <w:szCs w:val="28"/>
          <w:highlight w:val="none"/>
        </w:rPr>
      </w:pPr>
      <w:bookmarkStart w:id="98" w:name="_Hlk71443222"/>
      <w:r>
        <w:rPr>
          <w:rFonts w:hint="eastAsia" w:ascii="宋体" w:hAnsi="宋体" w:eastAsia="宋体" w:cs="宋体"/>
          <w:b/>
          <w:bCs/>
          <w:color w:val="auto"/>
          <w:sz w:val="22"/>
          <w:szCs w:val="28"/>
          <w:highlight w:val="none"/>
        </w:rPr>
        <w:t xml:space="preserve">附录1  </w:t>
      </w:r>
      <w:r>
        <w:rPr>
          <w:b/>
          <w:bCs/>
          <w:color w:val="auto"/>
          <w:sz w:val="22"/>
          <w:szCs w:val="28"/>
          <w:highlight w:val="none"/>
        </w:rPr>
        <w:t>资格审查条件(资质最低条件)</w:t>
      </w:r>
    </w:p>
    <w:p w14:paraId="55E7B5E6">
      <w:pPr>
        <w:rPr>
          <w:b/>
          <w:bCs/>
          <w:color w:val="auto"/>
          <w:sz w:val="22"/>
          <w:szCs w:val="28"/>
          <w:highlight w:val="none"/>
        </w:rPr>
      </w:pPr>
      <w:r>
        <w:rPr>
          <w:b/>
          <w:bCs/>
          <w:color w:val="auto"/>
          <w:sz w:val="22"/>
          <w:szCs w:val="28"/>
          <w:highlight w:val="none"/>
        </w:rPr>
        <w:t xml:space="preserve"> </w:t>
      </w:r>
    </w:p>
    <w:tbl>
      <w:tblPr>
        <w:tblStyle w:val="7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6"/>
      </w:tblGrid>
      <w:tr w14:paraId="2C9D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5" w:hRule="atLeast"/>
          <w:jc w:val="center"/>
        </w:trPr>
        <w:tc>
          <w:tcPr>
            <w:tcW w:w="9616" w:type="dxa"/>
            <w:vAlign w:val="center"/>
          </w:tcPr>
          <w:p w14:paraId="0A53C76A">
            <w:pPr>
              <w:adjustRightInd w:val="0"/>
              <w:snapToGrid w:val="0"/>
              <w:jc w:val="center"/>
              <w:rPr>
                <w:b/>
                <w:bCs/>
                <w:color w:val="auto"/>
                <w:sz w:val="22"/>
                <w:szCs w:val="22"/>
                <w:highlight w:val="none"/>
              </w:rPr>
            </w:pPr>
            <w:r>
              <w:rPr>
                <w:b/>
                <w:bCs/>
                <w:color w:val="auto"/>
                <w:sz w:val="22"/>
                <w:szCs w:val="22"/>
                <w:highlight w:val="none"/>
              </w:rPr>
              <w:t>投标人营业执照、资质证书</w:t>
            </w:r>
          </w:p>
        </w:tc>
      </w:tr>
      <w:tr w14:paraId="0767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exact"/>
          <w:jc w:val="center"/>
        </w:trPr>
        <w:tc>
          <w:tcPr>
            <w:tcW w:w="9616" w:type="dxa"/>
            <w:vAlign w:val="center"/>
          </w:tcPr>
          <w:p w14:paraId="1BEF963A">
            <w:pPr>
              <w:numPr>
                <w:ilvl w:val="0"/>
                <w:numId w:val="1"/>
              </w:numPr>
              <w:spacing w:line="360" w:lineRule="auto"/>
              <w:jc w:val="left"/>
              <w:rPr>
                <w:color w:val="auto"/>
                <w:sz w:val="22"/>
                <w:szCs w:val="22"/>
                <w:highlight w:val="none"/>
              </w:rPr>
            </w:pPr>
            <w:r>
              <w:rPr>
                <w:rFonts w:hint="eastAsia"/>
                <w:color w:val="auto"/>
                <w:highlight w:val="none"/>
                <w:lang w:val="en-US" w:eastAsia="zh-CN"/>
              </w:rPr>
              <w:t>详见公告</w:t>
            </w:r>
          </w:p>
        </w:tc>
      </w:tr>
    </w:tbl>
    <w:p w14:paraId="7E2EC41D">
      <w:pPr>
        <w:rPr>
          <w:color w:val="auto"/>
          <w:sz w:val="22"/>
          <w:szCs w:val="28"/>
          <w:highlight w:val="none"/>
        </w:rPr>
      </w:pPr>
    </w:p>
    <w:p w14:paraId="7780CE60">
      <w:pPr>
        <w:spacing w:before="15" w:line="190" w:lineRule="auto"/>
        <w:rPr>
          <w:rFonts w:ascii="宋体" w:hAnsi="宋体" w:eastAsia="宋体" w:cs="宋体"/>
          <w:b/>
          <w:bCs/>
          <w:color w:val="auto"/>
          <w:sz w:val="22"/>
          <w:szCs w:val="22"/>
          <w:highlight w:val="none"/>
        </w:rPr>
      </w:pPr>
      <w:r>
        <w:rPr>
          <w:rFonts w:ascii="宋体" w:hAnsi="宋体" w:eastAsia="宋体" w:cs="宋体"/>
          <w:b/>
          <w:bCs/>
          <w:color w:val="auto"/>
          <w:spacing w:val="-8"/>
          <w:sz w:val="22"/>
          <w:szCs w:val="22"/>
          <w:highlight w:val="none"/>
        </w:rPr>
        <w:t>注：投标人需提供的资质等证明材料见</w:t>
      </w:r>
      <w:r>
        <w:rPr>
          <w:rFonts w:hint="eastAsia" w:ascii="宋体" w:hAnsi="宋体" w:cs="宋体"/>
          <w:b/>
          <w:bCs/>
          <w:color w:val="auto"/>
          <w:spacing w:val="-8"/>
          <w:sz w:val="22"/>
          <w:szCs w:val="22"/>
          <w:highlight w:val="none"/>
          <w:lang w:val="en-US" w:eastAsia="zh-CN"/>
        </w:rPr>
        <w:t>投标人须知前附表3.5.1要求</w:t>
      </w:r>
      <w:r>
        <w:rPr>
          <w:rFonts w:hint="eastAsia" w:ascii="宋体" w:hAnsi="宋体" w:cs="宋体"/>
          <w:b/>
          <w:bCs/>
          <w:color w:val="auto"/>
          <w:spacing w:val="-38"/>
          <w:sz w:val="22"/>
          <w:szCs w:val="22"/>
          <w:highlight w:val="none"/>
          <w:lang w:val="en-US" w:eastAsia="zh-CN"/>
        </w:rPr>
        <w:t xml:space="preserve"> </w:t>
      </w:r>
      <w:r>
        <w:rPr>
          <w:rFonts w:ascii="宋体" w:hAnsi="宋体" w:eastAsia="宋体" w:cs="宋体"/>
          <w:b/>
          <w:bCs/>
          <w:color w:val="auto"/>
          <w:spacing w:val="-8"/>
          <w:sz w:val="22"/>
          <w:szCs w:val="22"/>
          <w:highlight w:val="none"/>
        </w:rPr>
        <w:t>。</w:t>
      </w:r>
    </w:p>
    <w:p w14:paraId="019D1832">
      <w:pPr>
        <w:rPr>
          <w:color w:val="auto"/>
          <w:sz w:val="22"/>
          <w:szCs w:val="28"/>
          <w:highlight w:val="none"/>
        </w:rPr>
      </w:pPr>
      <w:r>
        <w:rPr>
          <w:rFonts w:hint="eastAsia" w:ascii="宋体" w:hAnsi="宋体" w:eastAsia="宋体" w:cs="宋体"/>
          <w:b/>
          <w:bCs/>
          <w:color w:val="auto"/>
          <w:spacing w:val="-8"/>
          <w:sz w:val="22"/>
          <w:szCs w:val="22"/>
          <w:highlight w:val="none"/>
          <w:lang w:val="en-US" w:eastAsia="zh-CN"/>
        </w:rPr>
        <w:t>《中国人民银行关于取消企业银行账户许可的通知》（银〔</w:t>
      </w:r>
      <w:r>
        <w:rPr>
          <w:rFonts w:hint="default" w:ascii="宋体" w:hAnsi="宋体" w:eastAsia="宋体" w:cs="宋体"/>
          <w:b/>
          <w:bCs/>
          <w:color w:val="auto"/>
          <w:spacing w:val="-8"/>
          <w:sz w:val="22"/>
          <w:szCs w:val="22"/>
          <w:highlight w:val="none"/>
          <w:lang w:val="en-US" w:eastAsia="zh-CN"/>
        </w:rPr>
        <w:t>2019</w:t>
      </w:r>
      <w:r>
        <w:rPr>
          <w:rFonts w:hint="eastAsia" w:ascii="宋体" w:hAnsi="宋体" w:eastAsia="宋体" w:cs="宋体"/>
          <w:b/>
          <w:bCs/>
          <w:color w:val="auto"/>
          <w:spacing w:val="-8"/>
          <w:sz w:val="22"/>
          <w:szCs w:val="22"/>
          <w:highlight w:val="none"/>
          <w:lang w:val="en-US" w:eastAsia="zh-CN"/>
        </w:rPr>
        <w:t>〕</w:t>
      </w:r>
      <w:r>
        <w:rPr>
          <w:rFonts w:hint="default" w:ascii="宋体" w:hAnsi="宋体" w:eastAsia="宋体" w:cs="宋体"/>
          <w:b/>
          <w:bCs/>
          <w:color w:val="auto"/>
          <w:spacing w:val="-8"/>
          <w:sz w:val="22"/>
          <w:szCs w:val="22"/>
          <w:highlight w:val="none"/>
          <w:lang w:val="en-US" w:eastAsia="zh-CN"/>
        </w:rPr>
        <w:t xml:space="preserve">41 </w:t>
      </w:r>
      <w:r>
        <w:rPr>
          <w:rFonts w:hint="eastAsia" w:ascii="宋体" w:hAnsi="宋体" w:eastAsia="宋体" w:cs="宋体"/>
          <w:b/>
          <w:bCs/>
          <w:color w:val="auto"/>
          <w:spacing w:val="-8"/>
          <w:sz w:val="22"/>
          <w:szCs w:val="22"/>
          <w:highlight w:val="none"/>
          <w:lang w:val="en-US" w:eastAsia="zh-CN"/>
        </w:rPr>
        <w:t>号），对于不再核发基本账户开户许可证地区的投标人可不提供基本账户开户许可证，但应提供当地人民银行分支机构的备案材料并逐页加盖投标人单位公章，备案材料中应真实的反映投标人基本账户信息（包括账户名称、账号、开户行名称等）。</w:t>
      </w:r>
    </w:p>
    <w:p w14:paraId="7A94C69A">
      <w:pPr>
        <w:rPr>
          <w:color w:val="auto"/>
          <w:sz w:val="22"/>
          <w:szCs w:val="28"/>
          <w:highlight w:val="none"/>
        </w:rPr>
      </w:pPr>
    </w:p>
    <w:p w14:paraId="7D68B933">
      <w:pPr>
        <w:pStyle w:val="74"/>
        <w:rPr>
          <w:color w:val="auto"/>
          <w:sz w:val="22"/>
          <w:szCs w:val="28"/>
          <w:highlight w:val="none"/>
        </w:rPr>
      </w:pPr>
    </w:p>
    <w:p w14:paraId="2E29BED2">
      <w:pPr>
        <w:rPr>
          <w:color w:val="auto"/>
          <w:highlight w:val="none"/>
        </w:rPr>
      </w:pPr>
    </w:p>
    <w:p w14:paraId="36C9EEB4">
      <w:pP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附录2  资格审查条件（财务最低要求）</w:t>
      </w:r>
    </w:p>
    <w:p w14:paraId="72839E60">
      <w:pPr>
        <w:rPr>
          <w:b/>
          <w:bCs/>
          <w:color w:val="auto"/>
          <w:sz w:val="22"/>
          <w:szCs w:val="28"/>
          <w:highlight w:val="none"/>
        </w:rPr>
      </w:pPr>
    </w:p>
    <w:tbl>
      <w:tblPr>
        <w:tblStyle w:val="75"/>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2"/>
      </w:tblGrid>
      <w:tr w14:paraId="7476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3" w:hRule="atLeast"/>
          <w:jc w:val="center"/>
        </w:trPr>
        <w:tc>
          <w:tcPr>
            <w:tcW w:w="9672" w:type="dxa"/>
            <w:vAlign w:val="center"/>
          </w:tcPr>
          <w:p w14:paraId="63678684">
            <w:pPr>
              <w:adjustRightInd w:val="0"/>
              <w:snapToGrid w:val="0"/>
              <w:jc w:val="center"/>
              <w:rPr>
                <w:b/>
                <w:bCs/>
                <w:color w:val="auto"/>
                <w:sz w:val="22"/>
                <w:szCs w:val="22"/>
                <w:highlight w:val="none"/>
              </w:rPr>
            </w:pPr>
            <w:r>
              <w:rPr>
                <w:b/>
                <w:bCs/>
                <w:color w:val="auto"/>
                <w:sz w:val="22"/>
                <w:szCs w:val="22"/>
                <w:highlight w:val="none"/>
              </w:rPr>
              <w:t>财务要求</w:t>
            </w:r>
          </w:p>
        </w:tc>
      </w:tr>
      <w:tr w14:paraId="33D2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7" w:hRule="atLeast"/>
          <w:jc w:val="center"/>
        </w:trPr>
        <w:tc>
          <w:tcPr>
            <w:tcW w:w="9672" w:type="dxa"/>
            <w:vAlign w:val="center"/>
          </w:tcPr>
          <w:p w14:paraId="4DFA7F8B">
            <w:pPr>
              <w:spacing w:line="360" w:lineRule="auto"/>
              <w:ind w:firstLine="220" w:firstLineChars="100"/>
              <w:jc w:val="left"/>
              <w:rPr>
                <w:b/>
                <w:bCs/>
                <w:color w:val="auto"/>
                <w:sz w:val="22"/>
                <w:szCs w:val="22"/>
                <w:highlight w:val="none"/>
              </w:rPr>
            </w:pPr>
            <w:r>
              <w:rPr>
                <w:rFonts w:hint="default"/>
                <w:b w:val="0"/>
                <w:bCs w:val="0"/>
                <w:color w:val="auto"/>
                <w:sz w:val="22"/>
                <w:szCs w:val="22"/>
                <w:highlight w:val="none"/>
              </w:rPr>
              <w:t xml:space="preserve"> </w:t>
            </w:r>
            <w:r>
              <w:rPr>
                <w:rFonts w:hint="default" w:cs="Times New Roman"/>
                <w:b w:val="0"/>
                <w:bCs w:val="0"/>
                <w:color w:val="auto"/>
                <w:sz w:val="22"/>
                <w:szCs w:val="22"/>
                <w:highlight w:val="none"/>
                <w:lang w:val="en-US" w:eastAsia="zh-CN"/>
              </w:rPr>
              <w:t>无</w:t>
            </w:r>
            <w:r>
              <w:rPr>
                <w:rFonts w:hint="default" w:ascii="Times New Roman" w:hAnsi="Times New Roman" w:cs="Times New Roman"/>
                <w:b w:val="0"/>
                <w:bCs w:val="0"/>
                <w:color w:val="auto"/>
                <w:sz w:val="22"/>
                <w:szCs w:val="22"/>
                <w:highlight w:val="none"/>
              </w:rPr>
              <w:t>。</w:t>
            </w:r>
            <w:r>
              <w:rPr>
                <w:rFonts w:hint="default" w:ascii="Times New Roman" w:hAnsi="Times New Roman" w:eastAsia="宋体" w:cs="Times New Roman"/>
                <w:color w:val="auto"/>
                <w:sz w:val="22"/>
                <w:szCs w:val="22"/>
                <w:highlight w:val="none"/>
                <w:u w:val="none" w:color="auto"/>
              </w:rPr>
              <w:t xml:space="preserve">  </w:t>
            </w:r>
          </w:p>
        </w:tc>
      </w:tr>
    </w:tbl>
    <w:p w14:paraId="4E179037">
      <w:pPr>
        <w:rPr>
          <w:rFonts w:ascii="Times New Roman" w:hAnsi="Times New Roman" w:eastAsia="宋体" w:cs="Times New Roman"/>
          <w:color w:val="auto"/>
          <w:sz w:val="22"/>
          <w:szCs w:val="28"/>
          <w:highlight w:val="none"/>
        </w:rPr>
      </w:pPr>
      <w:r>
        <w:rPr>
          <w:rFonts w:ascii="Times New Roman" w:hAnsi="Times New Roman" w:eastAsia="宋体" w:cs="Times New Roman"/>
          <w:color w:val="auto"/>
          <w:sz w:val="22"/>
          <w:szCs w:val="28"/>
          <w:highlight w:val="none"/>
        </w:rPr>
        <w:t>注：</w:t>
      </w:r>
      <w:r>
        <w:rPr>
          <w:rFonts w:hint="eastAsia" w:cs="Times New Roman"/>
          <w:color w:val="auto"/>
          <w:sz w:val="22"/>
          <w:szCs w:val="28"/>
          <w:highlight w:val="none"/>
          <w:lang w:val="en-US" w:eastAsia="zh-CN"/>
        </w:rPr>
        <w:t>本项目无财务要求</w:t>
      </w:r>
      <w:r>
        <w:rPr>
          <w:rFonts w:ascii="Times New Roman" w:hAnsi="Times New Roman" w:eastAsia="宋体" w:cs="Times New Roman"/>
          <w:color w:val="auto"/>
          <w:sz w:val="22"/>
          <w:szCs w:val="28"/>
          <w:highlight w:val="none"/>
        </w:rPr>
        <w:t>。</w:t>
      </w:r>
    </w:p>
    <w:p w14:paraId="62D9ABE8">
      <w:pPr>
        <w:adjustRightInd w:val="0"/>
        <w:snapToGrid w:val="0"/>
        <w:spacing w:line="360" w:lineRule="auto"/>
        <w:jc w:val="left"/>
        <w:rPr>
          <w:b/>
          <w:bCs/>
          <w:color w:val="auto"/>
          <w:sz w:val="22"/>
          <w:szCs w:val="22"/>
          <w:highlight w:val="none"/>
        </w:rPr>
      </w:pPr>
    </w:p>
    <w:p w14:paraId="7931C1B4">
      <w:pPr>
        <w:pStyle w:val="74"/>
        <w:ind w:firstLine="400"/>
        <w:rPr>
          <w:color w:val="auto"/>
          <w:highlight w:val="none"/>
        </w:rPr>
      </w:pPr>
    </w:p>
    <w:p w14:paraId="5F773889">
      <w:pPr>
        <w:rPr>
          <w:b/>
          <w:bCs/>
          <w:color w:val="auto"/>
          <w:sz w:val="22"/>
          <w:szCs w:val="28"/>
          <w:highlight w:val="none"/>
        </w:rPr>
      </w:pPr>
      <w:r>
        <w:rPr>
          <w:rFonts w:hint="eastAsia" w:ascii="宋体" w:hAnsi="宋体" w:eastAsia="宋体" w:cs="宋体"/>
          <w:b/>
          <w:bCs/>
          <w:color w:val="auto"/>
          <w:sz w:val="22"/>
          <w:szCs w:val="28"/>
          <w:highlight w:val="none"/>
        </w:rPr>
        <w:t>附录3 资格审查条件（业绩最低要求）</w:t>
      </w:r>
      <w:r>
        <w:rPr>
          <w:b/>
          <w:bCs/>
          <w:color w:val="auto"/>
          <w:sz w:val="22"/>
          <w:szCs w:val="28"/>
          <w:highlight w:val="none"/>
        </w:rPr>
        <w:t xml:space="preserve"> </w:t>
      </w:r>
    </w:p>
    <w:p w14:paraId="629B40CE">
      <w:pPr>
        <w:rPr>
          <w:b/>
          <w:bCs/>
          <w:color w:val="auto"/>
          <w:sz w:val="22"/>
          <w:szCs w:val="28"/>
          <w:highlight w:val="none"/>
        </w:rPr>
      </w:pPr>
    </w:p>
    <w:tbl>
      <w:tblPr>
        <w:tblStyle w:val="75"/>
        <w:tblW w:w="9808"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808"/>
      </w:tblGrid>
      <w:tr w14:paraId="4303FEBE">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cantSplit/>
          <w:trHeight w:val="547" w:hRule="atLeast"/>
          <w:jc w:val="center"/>
        </w:trPr>
        <w:tc>
          <w:tcPr>
            <w:tcW w:w="9808" w:type="dxa"/>
            <w:tcBorders>
              <w:top w:val="single" w:color="auto" w:sz="2" w:space="0"/>
            </w:tcBorders>
            <w:vAlign w:val="center"/>
          </w:tcPr>
          <w:p w14:paraId="52CEF653">
            <w:pPr>
              <w:adjustRightInd w:val="0"/>
              <w:snapToGrid w:val="0"/>
              <w:jc w:val="center"/>
              <w:rPr>
                <w:b/>
                <w:bCs/>
                <w:color w:val="auto"/>
                <w:sz w:val="22"/>
                <w:szCs w:val="22"/>
                <w:highlight w:val="none"/>
              </w:rPr>
            </w:pPr>
            <w:r>
              <w:rPr>
                <w:b/>
                <w:bCs/>
                <w:color w:val="auto"/>
                <w:sz w:val="22"/>
                <w:szCs w:val="22"/>
                <w:highlight w:val="none"/>
              </w:rPr>
              <w:t>业绩要求</w:t>
            </w:r>
          </w:p>
        </w:tc>
      </w:tr>
      <w:tr w14:paraId="6AE6A4C8">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cantSplit/>
          <w:trHeight w:val="1351" w:hRule="atLeast"/>
          <w:jc w:val="center"/>
        </w:trPr>
        <w:tc>
          <w:tcPr>
            <w:tcW w:w="9808" w:type="dxa"/>
            <w:vAlign w:val="center"/>
          </w:tcPr>
          <w:p w14:paraId="18E63112">
            <w:pPr>
              <w:spacing w:line="276" w:lineRule="auto"/>
              <w:rPr>
                <w:color w:val="auto"/>
                <w:sz w:val="22"/>
                <w:szCs w:val="22"/>
                <w:highlight w:val="none"/>
              </w:rPr>
            </w:pPr>
            <w:r>
              <w:rPr>
                <w:color w:val="auto"/>
                <w:sz w:val="22"/>
                <w:szCs w:val="22"/>
                <w:highlight w:val="none"/>
              </w:rPr>
              <w:t>业绩要求见招标公告要求。</w:t>
            </w:r>
          </w:p>
        </w:tc>
      </w:tr>
    </w:tbl>
    <w:p w14:paraId="3314085D">
      <w:pPr>
        <w:adjustRightInd w:val="0"/>
        <w:snapToGrid w:val="0"/>
        <w:spacing w:line="360" w:lineRule="auto"/>
        <w:jc w:val="left"/>
        <w:rPr>
          <w:b/>
          <w:bCs/>
          <w:color w:val="auto"/>
          <w:sz w:val="22"/>
          <w:szCs w:val="22"/>
          <w:highlight w:val="none"/>
        </w:rPr>
      </w:pPr>
      <w:r>
        <w:rPr>
          <w:b/>
          <w:bCs/>
          <w:color w:val="auto"/>
          <w:sz w:val="22"/>
          <w:szCs w:val="22"/>
          <w:highlight w:val="none"/>
        </w:rPr>
        <w:t>注：</w:t>
      </w:r>
      <w:r>
        <w:rPr>
          <w:rFonts w:ascii="宋体" w:hAnsi="宋体" w:eastAsia="宋体" w:cs="宋体"/>
          <w:b/>
          <w:bCs/>
          <w:color w:val="auto"/>
          <w:spacing w:val="-8"/>
          <w:sz w:val="22"/>
          <w:szCs w:val="22"/>
          <w:highlight w:val="none"/>
        </w:rPr>
        <w:t>投标人需提供的证明材料见</w:t>
      </w:r>
      <w:r>
        <w:rPr>
          <w:rFonts w:hint="eastAsia" w:ascii="宋体" w:hAnsi="宋体" w:cs="宋体"/>
          <w:b/>
          <w:bCs/>
          <w:color w:val="auto"/>
          <w:spacing w:val="-8"/>
          <w:sz w:val="22"/>
          <w:szCs w:val="22"/>
          <w:highlight w:val="none"/>
          <w:lang w:val="en-US" w:eastAsia="zh-CN"/>
        </w:rPr>
        <w:t>投标人须知前附表3.5.2</w:t>
      </w:r>
      <w:r>
        <w:rPr>
          <w:rFonts w:hint="eastAsia" w:ascii="宋体" w:hAnsi="宋体" w:eastAsia="宋体" w:cs="宋体"/>
          <w:b/>
          <w:bCs/>
          <w:color w:val="auto"/>
          <w:sz w:val="22"/>
          <w:szCs w:val="22"/>
          <w:highlight w:val="none"/>
          <w:lang w:val="en-US" w:eastAsia="zh-CN"/>
        </w:rPr>
        <w:t>业绩证明资料</w:t>
      </w:r>
      <w:r>
        <w:rPr>
          <w:rFonts w:hint="eastAsia" w:ascii="宋体" w:hAnsi="宋体" w:cs="宋体"/>
          <w:b/>
          <w:bCs/>
          <w:color w:val="auto"/>
          <w:spacing w:val="-38"/>
          <w:sz w:val="22"/>
          <w:szCs w:val="22"/>
          <w:highlight w:val="none"/>
          <w:lang w:val="en-US" w:eastAsia="zh-CN"/>
        </w:rPr>
        <w:t xml:space="preserve"> </w:t>
      </w:r>
      <w:r>
        <w:rPr>
          <w:b/>
          <w:bCs/>
          <w:color w:val="auto"/>
          <w:sz w:val="22"/>
          <w:szCs w:val="22"/>
          <w:highlight w:val="none"/>
        </w:rPr>
        <w:t>。</w:t>
      </w:r>
    </w:p>
    <w:p w14:paraId="27AF773A">
      <w:pPr>
        <w:pStyle w:val="45"/>
        <w:ind w:firstLine="0" w:firstLineChars="0"/>
        <w:rPr>
          <w:color w:val="auto"/>
          <w:highlight w:val="none"/>
        </w:rPr>
      </w:pPr>
    </w:p>
    <w:p w14:paraId="7E7D2C7E">
      <w:pPr>
        <w:pStyle w:val="45"/>
        <w:ind w:firstLine="0" w:firstLineChars="0"/>
        <w:rPr>
          <w:color w:val="auto"/>
          <w:highlight w:val="none"/>
        </w:rPr>
      </w:pPr>
    </w:p>
    <w:p w14:paraId="1C74934A">
      <w:pPr>
        <w:pStyle w:val="45"/>
        <w:ind w:firstLine="0" w:firstLineChars="0"/>
        <w:rPr>
          <w:color w:val="auto"/>
          <w:highlight w:val="none"/>
        </w:rPr>
      </w:pPr>
    </w:p>
    <w:p w14:paraId="7E255792">
      <w:pPr>
        <w:pStyle w:val="45"/>
        <w:ind w:firstLine="0" w:firstLineChars="0"/>
        <w:rPr>
          <w:color w:val="auto"/>
          <w:highlight w:val="none"/>
        </w:rPr>
      </w:pPr>
    </w:p>
    <w:p w14:paraId="6B67E1DD">
      <w:pPr>
        <w:pStyle w:val="45"/>
        <w:ind w:firstLine="0" w:firstLineChars="0"/>
        <w:rPr>
          <w:color w:val="auto"/>
          <w:highlight w:val="none"/>
        </w:rPr>
      </w:pPr>
    </w:p>
    <w:p w14:paraId="7288B539">
      <w:pPr>
        <w:pStyle w:val="45"/>
        <w:ind w:firstLine="0" w:firstLineChars="0"/>
        <w:rPr>
          <w:color w:val="auto"/>
          <w:highlight w:val="none"/>
        </w:rPr>
      </w:pPr>
    </w:p>
    <w:p w14:paraId="3228FBAA">
      <w:pPr>
        <w:pStyle w:val="45"/>
        <w:ind w:firstLine="0" w:firstLineChars="0"/>
        <w:rPr>
          <w:color w:val="auto"/>
          <w:highlight w:val="none"/>
        </w:rPr>
      </w:pPr>
    </w:p>
    <w:p w14:paraId="5F653A52">
      <w:pPr>
        <w:rPr>
          <w:rFonts w:hint="eastAsia" w:ascii="宋体" w:hAnsi="宋体" w:eastAsia="宋体" w:cs="宋体"/>
          <w:b/>
          <w:bCs/>
          <w:color w:val="auto"/>
          <w:sz w:val="22"/>
          <w:szCs w:val="28"/>
          <w:highlight w:val="none"/>
        </w:rPr>
      </w:pPr>
    </w:p>
    <w:p w14:paraId="6F24CC22">
      <w:pPr>
        <w:rPr>
          <w:rFonts w:hint="eastAsia" w:ascii="宋体" w:hAnsi="宋体" w:eastAsia="宋体" w:cs="宋体"/>
          <w:b/>
          <w:bCs/>
          <w:color w:val="auto"/>
          <w:sz w:val="22"/>
          <w:szCs w:val="28"/>
          <w:highlight w:val="none"/>
        </w:rPr>
      </w:pPr>
      <w:r>
        <w:rPr>
          <w:rFonts w:hint="eastAsia" w:ascii="宋体" w:hAnsi="宋体" w:eastAsia="宋体" w:cs="宋体"/>
          <w:b/>
          <w:bCs/>
          <w:color w:val="auto"/>
          <w:sz w:val="22"/>
          <w:szCs w:val="28"/>
          <w:highlight w:val="none"/>
        </w:rPr>
        <w:t>附录4  资格审查条件（信誉要求）</w:t>
      </w:r>
    </w:p>
    <w:p w14:paraId="7665B3FE">
      <w:pPr>
        <w:rPr>
          <w:b/>
          <w:bCs/>
          <w:color w:val="auto"/>
          <w:sz w:val="22"/>
          <w:szCs w:val="28"/>
          <w:highlight w:val="none"/>
        </w:rPr>
      </w:pPr>
    </w:p>
    <w:tbl>
      <w:tblPr>
        <w:tblStyle w:val="75"/>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6"/>
      </w:tblGrid>
      <w:tr w14:paraId="601B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3" w:hRule="atLeast"/>
          <w:jc w:val="center"/>
        </w:trPr>
        <w:tc>
          <w:tcPr>
            <w:tcW w:w="9836" w:type="dxa"/>
            <w:vAlign w:val="center"/>
          </w:tcPr>
          <w:p w14:paraId="5D9771B3">
            <w:pPr>
              <w:adjustRightInd w:val="0"/>
              <w:snapToGrid w:val="0"/>
              <w:jc w:val="center"/>
              <w:rPr>
                <w:b/>
                <w:bCs/>
                <w:color w:val="auto"/>
                <w:sz w:val="22"/>
                <w:szCs w:val="22"/>
                <w:highlight w:val="none"/>
              </w:rPr>
            </w:pPr>
            <w:r>
              <w:rPr>
                <w:b/>
                <w:bCs/>
                <w:color w:val="auto"/>
                <w:sz w:val="22"/>
                <w:szCs w:val="22"/>
                <w:highlight w:val="none"/>
              </w:rPr>
              <w:t>信 誉 要 求</w:t>
            </w:r>
          </w:p>
        </w:tc>
      </w:tr>
      <w:tr w14:paraId="3D61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2" w:hRule="atLeast"/>
          <w:jc w:val="center"/>
        </w:trPr>
        <w:tc>
          <w:tcPr>
            <w:tcW w:w="9836" w:type="dxa"/>
            <w:vAlign w:val="center"/>
          </w:tcPr>
          <w:p w14:paraId="4BE780D3">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1、</w:t>
            </w:r>
            <w:r>
              <w:rPr>
                <w:rFonts w:hint="eastAsia" w:ascii="宋体" w:hAnsi="宋体" w:eastAsia="宋体" w:cs="宋体"/>
                <w:color w:val="auto"/>
                <w:kern w:val="0"/>
                <w:sz w:val="22"/>
                <w:szCs w:val="22"/>
                <w:highlight w:val="none"/>
              </w:rPr>
              <w:t>投标人不得存在下列不良状况或不良信用记录：</w:t>
            </w:r>
          </w:p>
          <w:p w14:paraId="3DB612E1">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（1）被交通运输部或安徽省交通运输厅</w:t>
            </w:r>
            <w:r>
              <w:rPr>
                <w:rFonts w:hint="eastAsia" w:ascii="宋体" w:hAnsi="宋体" w:eastAsia="宋体" w:cs="宋体"/>
                <w:color w:val="auto"/>
                <w:kern w:val="0"/>
                <w:sz w:val="22"/>
                <w:szCs w:val="22"/>
                <w:highlight w:val="none"/>
                <w:lang w:val="en-US" w:eastAsia="zh-CN"/>
              </w:rPr>
              <w:t>取</w:t>
            </w:r>
            <w:r>
              <w:rPr>
                <w:rFonts w:hint="eastAsia" w:ascii="宋体" w:hAnsi="宋体" w:eastAsia="宋体" w:cs="宋体"/>
                <w:color w:val="auto"/>
                <w:kern w:val="0"/>
                <w:sz w:val="22"/>
                <w:szCs w:val="22"/>
                <w:highlight w:val="none"/>
              </w:rPr>
              <w:t>消招标项目所在地的投标资格且处于有效期内；</w:t>
            </w:r>
          </w:p>
          <w:p w14:paraId="74B293B9">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（2）被责令停业，暂扣或吊销执照，或吊销资质证书；</w:t>
            </w:r>
          </w:p>
          <w:p w14:paraId="1704708E">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（3）进入清算程序，或被宣告破产，或其他丧失履约能力的情形；</w:t>
            </w:r>
          </w:p>
          <w:p w14:paraId="070DA759">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（4）在国家企业信用信息公示系统（http://www.gsxt.gov.cn/）中被列入严重违法失信企业名单；</w:t>
            </w:r>
          </w:p>
          <w:p w14:paraId="15F615E9">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（5）在“信用中国”网站（http://www.creditchina.gov.cn/）中被列入失信被执行人名单；</w:t>
            </w:r>
          </w:p>
          <w:p w14:paraId="4229ED35">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（6）投标人或其法定代表人、拟委任的</w:t>
            </w:r>
            <w:r>
              <w:rPr>
                <w:rFonts w:hint="eastAsia" w:ascii="宋体" w:hAnsi="宋体" w:eastAsia="宋体" w:cs="宋体"/>
                <w:color w:val="auto"/>
                <w:kern w:val="0"/>
                <w:sz w:val="22"/>
                <w:szCs w:val="22"/>
                <w:highlight w:val="none"/>
                <w:lang w:val="en-US" w:eastAsia="zh-CN"/>
              </w:rPr>
              <w:t>中心试验室主任</w:t>
            </w:r>
            <w:r>
              <w:rPr>
                <w:rFonts w:hint="eastAsia" w:ascii="宋体" w:hAnsi="宋体" w:eastAsia="宋体" w:cs="宋体"/>
                <w:color w:val="auto"/>
                <w:kern w:val="0"/>
                <w:sz w:val="22"/>
                <w:szCs w:val="22"/>
                <w:highlight w:val="none"/>
              </w:rPr>
              <w:t>在近三年内有行贿犯罪行为的；</w:t>
            </w:r>
          </w:p>
          <w:p w14:paraId="69AC763F">
            <w:pPr>
              <w:pStyle w:val="45"/>
              <w:spacing w:line="440" w:lineRule="exact"/>
              <w:ind w:firstLineChars="20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lang w:val="en-US" w:eastAsia="zh-CN"/>
              </w:rPr>
              <w:t>7）被人力资源社会保障行政部门列入拖欠农民工工资“黑名单”；</w:t>
            </w:r>
          </w:p>
          <w:p w14:paraId="3EAF0F27">
            <w:pPr>
              <w:pStyle w:val="45"/>
              <w:spacing w:line="440" w:lineRule="exact"/>
              <w:ind w:firstLineChars="20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r>
              <w:rPr>
                <w:rFonts w:hint="eastAsia" w:ascii="宋体" w:hAnsi="宋体" w:eastAsia="宋体" w:cs="宋体"/>
                <w:color w:val="auto"/>
                <w:kern w:val="0"/>
                <w:sz w:val="22"/>
                <w:szCs w:val="22"/>
                <w:highlight w:val="none"/>
                <w:lang w:val="en-US" w:eastAsia="zh-CN"/>
              </w:rPr>
              <w:t>8</w:t>
            </w:r>
            <w:r>
              <w:rPr>
                <w:rFonts w:hint="eastAsia" w:ascii="宋体" w:hAnsi="宋体" w:eastAsia="宋体" w:cs="宋体"/>
                <w:color w:val="auto"/>
                <w:kern w:val="0"/>
                <w:sz w:val="22"/>
                <w:szCs w:val="22"/>
                <w:highlight w:val="none"/>
              </w:rPr>
              <w:t>）法律法规或投标人须知前附表规定的其他情形。</w:t>
            </w:r>
          </w:p>
          <w:p w14:paraId="4FB2CFCD">
            <w:pPr>
              <w:pStyle w:val="45"/>
              <w:spacing w:line="440" w:lineRule="exact"/>
              <w:ind w:firstLine="440"/>
              <w:rPr>
                <w:color w:val="auto"/>
                <w:highlight w:val="none"/>
              </w:rPr>
            </w:pPr>
          </w:p>
        </w:tc>
      </w:tr>
    </w:tbl>
    <w:p w14:paraId="792A95CD">
      <w:pPr>
        <w:rPr>
          <w:b/>
          <w:bCs/>
          <w:color w:val="auto"/>
          <w:sz w:val="22"/>
          <w:szCs w:val="28"/>
          <w:highlight w:val="none"/>
        </w:rPr>
      </w:pPr>
    </w:p>
    <w:p w14:paraId="67A90D11">
      <w:pPr>
        <w:spacing w:before="30" w:line="351" w:lineRule="auto"/>
        <w:ind w:right="71"/>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注：</w:t>
      </w:r>
      <w:r>
        <w:rPr>
          <w:rFonts w:hint="eastAsia" w:ascii="宋体" w:hAnsi="宋体" w:cs="宋体"/>
          <w:color w:val="auto"/>
          <w:spacing w:val="-9"/>
          <w:sz w:val="22"/>
          <w:szCs w:val="22"/>
          <w:highlight w:val="none"/>
          <w:lang w:val="en-US" w:eastAsia="zh-CN"/>
        </w:rPr>
        <w:t>1、</w:t>
      </w:r>
      <w:r>
        <w:rPr>
          <w:rFonts w:ascii="宋体" w:hAnsi="宋体" w:eastAsia="宋体" w:cs="宋体"/>
          <w:color w:val="auto"/>
          <w:spacing w:val="-9"/>
          <w:sz w:val="22"/>
          <w:szCs w:val="22"/>
          <w:highlight w:val="none"/>
        </w:rPr>
        <w:t>除上述具体信誉要求外，投标人还应满足投标人须知正文第</w:t>
      </w:r>
      <w:r>
        <w:rPr>
          <w:rFonts w:ascii="宋体" w:hAnsi="宋体" w:eastAsia="宋体" w:cs="宋体"/>
          <w:color w:val="auto"/>
          <w:spacing w:val="-40"/>
          <w:sz w:val="22"/>
          <w:szCs w:val="22"/>
          <w:highlight w:val="none"/>
        </w:rPr>
        <w:t xml:space="preserve"> </w:t>
      </w:r>
      <w:r>
        <w:rPr>
          <w:rFonts w:ascii="宋体" w:hAnsi="宋体" w:eastAsia="宋体" w:cs="宋体"/>
          <w:color w:val="auto"/>
          <w:spacing w:val="-9"/>
          <w:sz w:val="22"/>
          <w:szCs w:val="22"/>
          <w:highlight w:val="none"/>
        </w:rPr>
        <w:t>1.4.4</w:t>
      </w:r>
      <w:r>
        <w:rPr>
          <w:rFonts w:ascii="宋体" w:hAnsi="宋体" w:eastAsia="宋体" w:cs="宋体"/>
          <w:color w:val="auto"/>
          <w:spacing w:val="-47"/>
          <w:sz w:val="22"/>
          <w:szCs w:val="22"/>
          <w:highlight w:val="none"/>
        </w:rPr>
        <w:t xml:space="preserve"> </w:t>
      </w:r>
      <w:r>
        <w:rPr>
          <w:rFonts w:ascii="宋体" w:hAnsi="宋体" w:eastAsia="宋体" w:cs="宋体"/>
          <w:color w:val="auto"/>
          <w:spacing w:val="-9"/>
          <w:sz w:val="22"/>
          <w:szCs w:val="22"/>
          <w:highlight w:val="none"/>
        </w:rPr>
        <w:t>项的要求，需要提供的</w:t>
      </w:r>
      <w:r>
        <w:rPr>
          <w:rFonts w:ascii="宋体" w:hAnsi="宋体" w:eastAsia="宋体" w:cs="宋体"/>
          <w:color w:val="auto"/>
          <w:spacing w:val="-7"/>
          <w:sz w:val="22"/>
          <w:szCs w:val="22"/>
          <w:highlight w:val="none"/>
        </w:rPr>
        <w:t>信誉证明材料见本章第</w:t>
      </w:r>
      <w:r>
        <w:rPr>
          <w:rFonts w:ascii="宋体" w:hAnsi="宋体" w:eastAsia="宋体" w:cs="宋体"/>
          <w:color w:val="auto"/>
          <w:spacing w:val="-43"/>
          <w:sz w:val="22"/>
          <w:szCs w:val="22"/>
          <w:highlight w:val="none"/>
        </w:rPr>
        <w:t xml:space="preserve"> </w:t>
      </w:r>
      <w:r>
        <w:rPr>
          <w:rFonts w:ascii="宋体" w:hAnsi="宋体" w:eastAsia="宋体" w:cs="宋体"/>
          <w:color w:val="auto"/>
          <w:spacing w:val="-7"/>
          <w:sz w:val="22"/>
          <w:szCs w:val="22"/>
          <w:highlight w:val="none"/>
        </w:rPr>
        <w:t>3.5.</w:t>
      </w:r>
      <w:r>
        <w:rPr>
          <w:rFonts w:hint="eastAsia" w:ascii="宋体" w:hAnsi="宋体" w:cs="宋体"/>
          <w:color w:val="auto"/>
          <w:spacing w:val="-7"/>
          <w:sz w:val="22"/>
          <w:szCs w:val="22"/>
          <w:highlight w:val="none"/>
          <w:lang w:val="en-US" w:eastAsia="zh-CN"/>
        </w:rPr>
        <w:t>3</w:t>
      </w:r>
      <w:r>
        <w:rPr>
          <w:rFonts w:ascii="宋体" w:hAnsi="宋体" w:eastAsia="宋体" w:cs="宋体"/>
          <w:color w:val="auto"/>
          <w:spacing w:val="-47"/>
          <w:sz w:val="22"/>
          <w:szCs w:val="22"/>
          <w:highlight w:val="none"/>
        </w:rPr>
        <w:t xml:space="preserve"> </w:t>
      </w:r>
      <w:r>
        <w:rPr>
          <w:rFonts w:ascii="宋体" w:hAnsi="宋体" w:eastAsia="宋体" w:cs="宋体"/>
          <w:color w:val="auto"/>
          <w:spacing w:val="-7"/>
          <w:sz w:val="22"/>
          <w:szCs w:val="22"/>
          <w:highlight w:val="none"/>
        </w:rPr>
        <w:t>项规定。</w:t>
      </w:r>
    </w:p>
    <w:p w14:paraId="51EB2216">
      <w:pPr>
        <w:widowControl/>
        <w:jc w:val="left"/>
        <w:rPr>
          <w:b/>
          <w:bCs/>
          <w:color w:val="auto"/>
          <w:sz w:val="22"/>
          <w:szCs w:val="28"/>
          <w:highlight w:val="none"/>
        </w:rPr>
      </w:pPr>
      <w:r>
        <w:rPr>
          <w:rFonts w:hint="eastAsia"/>
          <w:b/>
          <w:bCs/>
          <w:color w:val="auto"/>
          <w:sz w:val="22"/>
          <w:szCs w:val="28"/>
          <w:highlight w:val="none"/>
          <w:lang w:val="en-US" w:eastAsia="zh-CN"/>
        </w:rPr>
        <w:t xml:space="preserve"> </w:t>
      </w:r>
    </w:p>
    <w:p w14:paraId="07954DE3">
      <w:pPr>
        <w:widowControl/>
        <w:jc w:val="left"/>
        <w:rPr>
          <w:b/>
          <w:bCs/>
          <w:color w:val="auto"/>
          <w:sz w:val="22"/>
          <w:szCs w:val="28"/>
          <w:highlight w:val="none"/>
        </w:rPr>
      </w:pPr>
    </w:p>
    <w:p w14:paraId="1D8E3A61">
      <w:pPr>
        <w:widowControl/>
        <w:jc w:val="left"/>
        <w:rPr>
          <w:rFonts w:hint="eastAsia"/>
          <w:b/>
          <w:bCs/>
          <w:color w:val="auto"/>
          <w:sz w:val="22"/>
          <w:szCs w:val="28"/>
          <w:highlight w:val="none"/>
          <w:lang w:eastAsia="zh-CN"/>
        </w:rPr>
      </w:pPr>
    </w:p>
    <w:p w14:paraId="11D44B53">
      <w:pPr>
        <w:widowControl/>
        <w:jc w:val="left"/>
        <w:rPr>
          <w:rFonts w:hint="eastAsia"/>
          <w:b/>
          <w:bCs/>
          <w:color w:val="auto"/>
          <w:sz w:val="22"/>
          <w:szCs w:val="28"/>
          <w:highlight w:val="none"/>
          <w:lang w:eastAsia="zh-CN"/>
        </w:rPr>
      </w:pPr>
    </w:p>
    <w:p w14:paraId="298AA784">
      <w:pPr>
        <w:pStyle w:val="45"/>
        <w:rPr>
          <w:b/>
          <w:bCs/>
          <w:color w:val="auto"/>
          <w:sz w:val="22"/>
          <w:szCs w:val="28"/>
          <w:highlight w:val="none"/>
        </w:rPr>
      </w:pPr>
    </w:p>
    <w:p w14:paraId="7D719D2A">
      <w:pPr>
        <w:rPr>
          <w:rFonts w:hint="eastAsia" w:ascii="宋体" w:hAnsi="宋体" w:eastAsia="宋体" w:cs="宋体"/>
          <w:b/>
          <w:bCs/>
          <w:color w:val="auto"/>
          <w:sz w:val="22"/>
          <w:szCs w:val="28"/>
          <w:highlight w:val="none"/>
          <w:lang w:eastAsia="zh-CN"/>
        </w:rPr>
      </w:pPr>
      <w:r>
        <w:rPr>
          <w:rFonts w:hint="eastAsia" w:ascii="宋体" w:hAnsi="宋体" w:eastAsia="宋体" w:cs="宋体"/>
          <w:b/>
          <w:bCs/>
          <w:color w:val="auto"/>
          <w:sz w:val="22"/>
          <w:szCs w:val="28"/>
          <w:highlight w:val="none"/>
        </w:rPr>
        <w:t>附录5  资格审查条件（</w:t>
      </w:r>
      <w:r>
        <w:rPr>
          <w:rFonts w:hint="eastAsia" w:ascii="宋体" w:hAnsi="宋体" w:eastAsia="宋体" w:cs="宋体"/>
          <w:b/>
          <w:bCs/>
          <w:color w:val="auto"/>
          <w:sz w:val="22"/>
          <w:szCs w:val="28"/>
          <w:highlight w:val="none"/>
          <w:lang w:val="en-US" w:eastAsia="zh-CN"/>
        </w:rPr>
        <w:t>主要人员最低要求</w:t>
      </w:r>
      <w:r>
        <w:rPr>
          <w:rFonts w:hint="eastAsia" w:ascii="宋体" w:hAnsi="宋体" w:eastAsia="宋体" w:cs="宋体"/>
          <w:b/>
          <w:bCs/>
          <w:color w:val="auto"/>
          <w:sz w:val="22"/>
          <w:szCs w:val="28"/>
          <w:highlight w:val="none"/>
        </w:rPr>
        <w:t>）</w:t>
      </w:r>
    </w:p>
    <w:p w14:paraId="080B24CF">
      <w:pPr>
        <w:rPr>
          <w:b/>
          <w:bCs/>
          <w:color w:val="auto"/>
          <w:sz w:val="22"/>
          <w:szCs w:val="28"/>
          <w:highlight w:val="none"/>
        </w:rPr>
      </w:pPr>
    </w:p>
    <w:tbl>
      <w:tblPr>
        <w:tblStyle w:val="7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07"/>
        <w:gridCol w:w="5204"/>
        <w:gridCol w:w="2965"/>
      </w:tblGrid>
      <w:tr w14:paraId="2C5F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6" w:type="dxa"/>
            <w:vAlign w:val="center"/>
          </w:tcPr>
          <w:p w14:paraId="5AB4B9F3">
            <w:pPr>
              <w:spacing w:line="276" w:lineRule="auto"/>
              <w:jc w:val="center"/>
              <w:rPr>
                <w:b/>
                <w:bCs/>
                <w:color w:val="auto"/>
                <w:sz w:val="22"/>
                <w:szCs w:val="22"/>
                <w:highlight w:val="none"/>
              </w:rPr>
            </w:pPr>
            <w:r>
              <w:rPr>
                <w:b/>
                <w:bCs/>
                <w:color w:val="auto"/>
                <w:sz w:val="22"/>
                <w:szCs w:val="22"/>
                <w:highlight w:val="none"/>
              </w:rPr>
              <w:t>人员</w:t>
            </w:r>
          </w:p>
        </w:tc>
        <w:tc>
          <w:tcPr>
            <w:tcW w:w="807" w:type="dxa"/>
            <w:vAlign w:val="center"/>
          </w:tcPr>
          <w:p w14:paraId="11530E7F">
            <w:pPr>
              <w:spacing w:line="276" w:lineRule="auto"/>
              <w:jc w:val="center"/>
              <w:rPr>
                <w:b/>
                <w:bCs/>
                <w:color w:val="auto"/>
                <w:sz w:val="22"/>
                <w:szCs w:val="22"/>
                <w:highlight w:val="none"/>
              </w:rPr>
            </w:pPr>
            <w:r>
              <w:rPr>
                <w:b/>
                <w:bCs/>
                <w:color w:val="auto"/>
                <w:sz w:val="22"/>
                <w:szCs w:val="22"/>
                <w:highlight w:val="none"/>
              </w:rPr>
              <w:t>数量</w:t>
            </w:r>
          </w:p>
        </w:tc>
        <w:tc>
          <w:tcPr>
            <w:tcW w:w="5204" w:type="dxa"/>
            <w:vAlign w:val="center"/>
          </w:tcPr>
          <w:p w14:paraId="19E71448">
            <w:pPr>
              <w:spacing w:line="276" w:lineRule="auto"/>
              <w:jc w:val="center"/>
              <w:rPr>
                <w:b/>
                <w:bCs/>
                <w:color w:val="auto"/>
                <w:sz w:val="22"/>
                <w:szCs w:val="22"/>
                <w:highlight w:val="none"/>
              </w:rPr>
            </w:pPr>
            <w:r>
              <w:rPr>
                <w:b/>
                <w:bCs/>
                <w:color w:val="auto"/>
                <w:sz w:val="22"/>
                <w:szCs w:val="22"/>
                <w:highlight w:val="none"/>
              </w:rPr>
              <w:t>资格要求</w:t>
            </w:r>
          </w:p>
        </w:tc>
        <w:tc>
          <w:tcPr>
            <w:tcW w:w="2965" w:type="dxa"/>
            <w:vAlign w:val="center"/>
          </w:tcPr>
          <w:p w14:paraId="53AA6F11">
            <w:pPr>
              <w:spacing w:line="276" w:lineRule="auto"/>
              <w:jc w:val="center"/>
              <w:rPr>
                <w:rFonts w:hint="default" w:eastAsia="宋体"/>
                <w:b/>
                <w:bCs/>
                <w:color w:val="auto"/>
                <w:sz w:val="22"/>
                <w:szCs w:val="22"/>
                <w:highlight w:val="none"/>
                <w:lang w:val="en-US" w:eastAsia="zh-CN"/>
              </w:rPr>
            </w:pPr>
            <w:r>
              <w:rPr>
                <w:rFonts w:hint="eastAsia"/>
                <w:b/>
                <w:bCs/>
                <w:color w:val="auto"/>
                <w:sz w:val="22"/>
                <w:szCs w:val="22"/>
                <w:highlight w:val="none"/>
                <w:lang w:val="en-US" w:eastAsia="zh-CN"/>
              </w:rPr>
              <w:t>在岗要求</w:t>
            </w:r>
          </w:p>
        </w:tc>
      </w:tr>
      <w:tr w14:paraId="4CBB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exact"/>
          <w:jc w:val="center"/>
        </w:trPr>
        <w:tc>
          <w:tcPr>
            <w:tcW w:w="866" w:type="dxa"/>
            <w:vAlign w:val="center"/>
          </w:tcPr>
          <w:p w14:paraId="70BC2D82">
            <w:pPr>
              <w:spacing w:line="276" w:lineRule="auto"/>
              <w:jc w:val="center"/>
              <w:rPr>
                <w:color w:val="auto"/>
                <w:sz w:val="22"/>
                <w:szCs w:val="22"/>
                <w:highlight w:val="none"/>
              </w:rPr>
            </w:pPr>
            <w:r>
              <w:rPr>
                <w:rFonts w:hint="eastAsia"/>
                <w:color w:val="auto"/>
                <w:sz w:val="22"/>
                <w:szCs w:val="22"/>
                <w:highlight w:val="none"/>
                <w:lang w:val="en-US" w:eastAsia="zh-CN"/>
              </w:rPr>
              <w:t>中心试验室主任</w:t>
            </w:r>
          </w:p>
        </w:tc>
        <w:tc>
          <w:tcPr>
            <w:tcW w:w="807" w:type="dxa"/>
            <w:vAlign w:val="center"/>
          </w:tcPr>
          <w:p w14:paraId="47B32A90">
            <w:pPr>
              <w:spacing w:line="276" w:lineRule="auto"/>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5204" w:type="dxa"/>
            <w:vAlign w:val="center"/>
          </w:tcPr>
          <w:p w14:paraId="36FDE4A4">
            <w:pPr>
              <w:spacing w:line="360" w:lineRule="auto"/>
              <w:rPr>
                <w:color w:val="auto"/>
                <w:highlight w:val="none"/>
              </w:rPr>
            </w:pPr>
            <w:r>
              <w:rPr>
                <w:rFonts w:hint="eastAsia" w:ascii="Times New Roman" w:hAnsi="Times New Roman" w:eastAsia="宋体" w:cs="Times New Roman"/>
                <w:b w:val="0"/>
                <w:bCs w:val="0"/>
                <w:color w:val="auto"/>
                <w:sz w:val="22"/>
                <w:szCs w:val="22"/>
                <w:highlight w:val="none"/>
                <w:lang w:val="en-US" w:eastAsia="zh-CN"/>
              </w:rPr>
              <w:t>资格要求详见公告要求。</w:t>
            </w:r>
          </w:p>
        </w:tc>
        <w:tc>
          <w:tcPr>
            <w:tcW w:w="2965" w:type="dxa"/>
            <w:vAlign w:val="center"/>
          </w:tcPr>
          <w:p w14:paraId="0AB838B4">
            <w:pPr>
              <w:spacing w:line="360" w:lineRule="auto"/>
              <w:rPr>
                <w:rFonts w:ascii="Times New Roman" w:hAnsi="Times New Roman" w:eastAsia="宋体" w:cs="Times New Roman"/>
                <w:b w:val="0"/>
                <w:bCs w:val="0"/>
                <w:color w:val="auto"/>
                <w:sz w:val="22"/>
                <w:szCs w:val="22"/>
                <w:highlight w:val="none"/>
              </w:rPr>
            </w:pPr>
            <w:r>
              <w:rPr>
                <w:rFonts w:ascii="Times New Roman" w:hAnsi="Times New Roman" w:eastAsia="宋体" w:cs="Times New Roman"/>
                <w:b w:val="0"/>
                <w:bCs w:val="0"/>
                <w:color w:val="auto"/>
                <w:sz w:val="22"/>
                <w:szCs w:val="22"/>
                <w:highlight w:val="none"/>
                <w:lang w:val="en-US" w:eastAsia="zh-CN"/>
              </w:rPr>
              <w:t>无在岗项目（指</w:t>
            </w:r>
            <w:r>
              <w:rPr>
                <w:rFonts w:hint="eastAsia" w:ascii="Times New Roman" w:hAnsi="Times New Roman" w:eastAsia="宋体" w:cs="Times New Roman"/>
                <w:b w:val="0"/>
                <w:bCs w:val="0"/>
                <w:color w:val="auto"/>
                <w:sz w:val="22"/>
                <w:szCs w:val="22"/>
                <w:highlight w:val="none"/>
                <w:lang w:val="en-US" w:eastAsia="zh-CN"/>
              </w:rPr>
              <w:t>目前未在其他项目上任职，或虽在其他项目上任职但本项目中标后能够从该项目撤离）</w:t>
            </w:r>
            <w:r>
              <w:rPr>
                <w:rFonts w:hint="eastAsia" w:cs="Times New Roman"/>
                <w:b w:val="0"/>
                <w:bCs w:val="0"/>
                <w:color w:val="auto"/>
                <w:sz w:val="22"/>
                <w:szCs w:val="22"/>
                <w:highlight w:val="none"/>
                <w:lang w:val="en-US" w:eastAsia="zh-CN"/>
              </w:rPr>
              <w:t>。</w:t>
            </w:r>
          </w:p>
        </w:tc>
      </w:tr>
    </w:tbl>
    <w:p w14:paraId="7D5A13FB">
      <w:pPr>
        <w:spacing w:line="340" w:lineRule="exact"/>
        <w:rPr>
          <w:rFonts w:ascii="宋体" w:hAnsi="宋体" w:eastAsia="宋体" w:cs="宋体"/>
          <w:b/>
          <w:bCs/>
          <w:color w:val="auto"/>
          <w:spacing w:val="-9"/>
          <w:sz w:val="22"/>
          <w:szCs w:val="22"/>
          <w:highlight w:val="none"/>
        </w:rPr>
      </w:pPr>
    </w:p>
    <w:p w14:paraId="01D07885">
      <w:pPr>
        <w:spacing w:line="340" w:lineRule="exact"/>
        <w:rPr>
          <w:b/>
          <w:bCs/>
          <w:color w:val="auto"/>
          <w:sz w:val="22"/>
          <w:szCs w:val="22"/>
          <w:highlight w:val="none"/>
        </w:rPr>
      </w:pPr>
      <w:r>
        <w:rPr>
          <w:rFonts w:ascii="宋体" w:hAnsi="宋体" w:eastAsia="宋体" w:cs="宋体"/>
          <w:b/>
          <w:bCs/>
          <w:color w:val="auto"/>
          <w:spacing w:val="-9"/>
          <w:sz w:val="22"/>
          <w:szCs w:val="22"/>
          <w:highlight w:val="none"/>
        </w:rPr>
        <w:t>注：投标人需提供的</w:t>
      </w:r>
      <w:r>
        <w:rPr>
          <w:rFonts w:hint="eastAsia" w:ascii="宋体" w:hAnsi="宋体" w:eastAsia="宋体" w:cs="宋体"/>
          <w:b/>
          <w:bCs/>
          <w:color w:val="auto"/>
          <w:spacing w:val="-9"/>
          <w:sz w:val="22"/>
          <w:szCs w:val="22"/>
          <w:highlight w:val="none"/>
          <w:lang w:val="en-US" w:eastAsia="zh-CN"/>
        </w:rPr>
        <w:t>中心试验室主任</w:t>
      </w:r>
      <w:r>
        <w:rPr>
          <w:rFonts w:ascii="宋体" w:hAnsi="宋体" w:eastAsia="宋体" w:cs="宋体"/>
          <w:b/>
          <w:bCs/>
          <w:color w:val="auto"/>
          <w:spacing w:val="-9"/>
          <w:sz w:val="22"/>
          <w:szCs w:val="22"/>
          <w:highlight w:val="none"/>
        </w:rPr>
        <w:t>的相关证明材料见</w:t>
      </w:r>
      <w:r>
        <w:rPr>
          <w:rFonts w:hint="eastAsia" w:ascii="宋体" w:hAnsi="宋体" w:cs="宋体"/>
          <w:b/>
          <w:bCs/>
          <w:color w:val="auto"/>
          <w:spacing w:val="-8"/>
          <w:sz w:val="22"/>
          <w:szCs w:val="22"/>
          <w:highlight w:val="none"/>
          <w:lang w:val="en-US" w:eastAsia="zh-CN"/>
        </w:rPr>
        <w:t>投标人须知前附表3.5.5</w:t>
      </w:r>
      <w:r>
        <w:rPr>
          <w:rFonts w:ascii="宋体" w:hAnsi="宋体" w:eastAsia="宋体" w:cs="宋体"/>
          <w:b/>
          <w:bCs/>
          <w:color w:val="auto"/>
          <w:spacing w:val="-9"/>
          <w:sz w:val="22"/>
          <w:szCs w:val="22"/>
          <w:highlight w:val="none"/>
        </w:rPr>
        <w:t>规定。</w:t>
      </w:r>
    </w:p>
    <w:bookmarkEnd w:id="98"/>
    <w:p w14:paraId="0264733C">
      <w:pPr>
        <w:widowControl/>
        <w:jc w:val="left"/>
        <w:rPr>
          <w:b/>
          <w:bCs/>
          <w:color w:val="auto"/>
          <w:sz w:val="22"/>
          <w:szCs w:val="28"/>
          <w:highlight w:val="none"/>
        </w:rPr>
      </w:pPr>
    </w:p>
    <w:p w14:paraId="64B42A24">
      <w:pPr>
        <w:pStyle w:val="74"/>
        <w:rPr>
          <w:b/>
          <w:bCs/>
          <w:color w:val="auto"/>
          <w:sz w:val="22"/>
          <w:szCs w:val="28"/>
          <w:highlight w:val="none"/>
        </w:rPr>
      </w:pPr>
    </w:p>
    <w:p w14:paraId="1AC41FEC">
      <w:pPr>
        <w:rPr>
          <w:b/>
          <w:bCs/>
          <w:color w:val="auto"/>
          <w:sz w:val="22"/>
          <w:szCs w:val="28"/>
          <w:highlight w:val="none"/>
        </w:rPr>
      </w:pPr>
    </w:p>
    <w:p w14:paraId="21E2C76D">
      <w:pPr>
        <w:pStyle w:val="74"/>
        <w:rPr>
          <w:b/>
          <w:bCs/>
          <w:color w:val="auto"/>
          <w:sz w:val="22"/>
          <w:szCs w:val="28"/>
          <w:highlight w:val="none"/>
        </w:rPr>
      </w:pPr>
    </w:p>
    <w:p w14:paraId="7B0F572A">
      <w:pPr>
        <w:rPr>
          <w:b/>
          <w:bCs/>
          <w:color w:val="auto"/>
          <w:sz w:val="22"/>
          <w:szCs w:val="28"/>
          <w:highlight w:val="none"/>
        </w:rPr>
      </w:pPr>
    </w:p>
    <w:p w14:paraId="4B8FA2AD">
      <w:pPr>
        <w:pStyle w:val="74"/>
        <w:rPr>
          <w:b/>
          <w:bCs/>
          <w:color w:val="auto"/>
          <w:sz w:val="22"/>
          <w:szCs w:val="28"/>
          <w:highlight w:val="none"/>
        </w:rPr>
      </w:pPr>
    </w:p>
    <w:p w14:paraId="6466E441">
      <w:pPr>
        <w:rPr>
          <w:b/>
          <w:bCs/>
          <w:color w:val="auto"/>
          <w:sz w:val="22"/>
          <w:szCs w:val="28"/>
          <w:highlight w:val="none"/>
        </w:rPr>
      </w:pPr>
    </w:p>
    <w:p w14:paraId="00B442D9">
      <w:pPr>
        <w:keepNext w:val="0"/>
        <w:keepLines w:val="0"/>
        <w:widowControl/>
        <w:suppressLineNumbers w:val="0"/>
        <w:jc w:val="center"/>
        <w:rPr>
          <w:color w:val="auto"/>
          <w:highlight w:val="none"/>
        </w:rPr>
      </w:pPr>
      <w:r>
        <w:rPr>
          <w:rFonts w:ascii="黑体" w:hAnsi="宋体" w:eastAsia="黑体" w:cs="黑体"/>
          <w:color w:val="auto"/>
          <w:kern w:val="0"/>
          <w:sz w:val="28"/>
          <w:szCs w:val="28"/>
          <w:highlight w:val="none"/>
          <w:lang w:val="en-US" w:eastAsia="zh-CN" w:bidi="ar"/>
        </w:rPr>
        <w:t xml:space="preserve">附件 </w:t>
      </w:r>
      <w:r>
        <w:rPr>
          <w:rFonts w:hint="default" w:ascii="Times New Roman" w:hAnsi="Times New Roman" w:eastAsia="宋体" w:cs="Times New Roman"/>
          <w:color w:val="auto"/>
          <w:kern w:val="0"/>
          <w:sz w:val="28"/>
          <w:szCs w:val="28"/>
          <w:highlight w:val="none"/>
          <w:lang w:val="en-US" w:eastAsia="zh-CN" w:bidi="ar"/>
        </w:rPr>
        <w:t>1</w:t>
      </w:r>
      <w:r>
        <w:rPr>
          <w:rFonts w:hint="eastAsia" w:ascii="黑体" w:hAnsi="宋体" w:eastAsia="黑体" w:cs="黑体"/>
          <w:color w:val="auto"/>
          <w:kern w:val="0"/>
          <w:sz w:val="28"/>
          <w:szCs w:val="28"/>
          <w:highlight w:val="none"/>
          <w:lang w:val="en-US" w:eastAsia="zh-CN" w:bidi="ar"/>
        </w:rPr>
        <w:t>：项目概况</w:t>
      </w:r>
    </w:p>
    <w:p w14:paraId="5072B4A6">
      <w:pPr>
        <w:keepNext w:val="0"/>
        <w:keepLines w:val="0"/>
        <w:widowControl/>
        <w:suppressLineNumbers w:val="0"/>
        <w:spacing w:line="480" w:lineRule="auto"/>
        <w:ind w:firstLine="442" w:firstLineChars="200"/>
        <w:jc w:val="left"/>
        <w:rPr>
          <w:rFonts w:hint="eastAsia" w:ascii="宋体" w:hAnsi="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
        </w:rPr>
        <w:t xml:space="preserve">一、项目概况 </w:t>
      </w:r>
    </w:p>
    <w:p w14:paraId="6146B6DD">
      <w:pPr>
        <w:keepNext w:val="0"/>
        <w:keepLines w:val="0"/>
        <w:widowControl/>
        <w:suppressLineNumbers w:val="0"/>
        <w:spacing w:line="440" w:lineRule="exact"/>
        <w:ind w:firstLine="440" w:firstLineChars="200"/>
        <w:jc w:val="left"/>
        <w:rPr>
          <w:rFonts w:hint="eastAsia" w:ascii="宋体" w:hAnsi="宋体" w:eastAsia="宋体" w:cs="宋体"/>
          <w:bCs/>
          <w:snapToGrid w:val="0"/>
          <w:color w:val="auto"/>
          <w:kern w:val="0"/>
          <w:sz w:val="22"/>
          <w:szCs w:val="22"/>
          <w:highlight w:val="none"/>
          <w:lang w:val="en-US" w:eastAsia="zh-CN"/>
        </w:rPr>
      </w:pPr>
      <w:r>
        <w:rPr>
          <w:rFonts w:hint="eastAsia" w:ascii="宋体" w:hAnsi="宋体" w:eastAsia="宋体" w:cs="宋体"/>
          <w:bCs/>
          <w:snapToGrid w:val="0"/>
          <w:color w:val="auto"/>
          <w:kern w:val="0"/>
          <w:sz w:val="22"/>
          <w:szCs w:val="22"/>
          <w:highlight w:val="none"/>
          <w:lang w:val="en-US" w:eastAsia="zh-CN"/>
        </w:rPr>
        <w:t>本项目</w:t>
      </w:r>
      <w:r>
        <w:rPr>
          <w:rFonts w:hint="eastAsia" w:ascii="宋体" w:hAnsi="宋体" w:eastAsia="宋体" w:cs="宋体"/>
          <w:bCs/>
          <w:snapToGrid w:val="0"/>
          <w:color w:val="auto"/>
          <w:kern w:val="0"/>
          <w:sz w:val="22"/>
          <w:szCs w:val="22"/>
          <w:highlight w:val="none"/>
          <w:lang w:eastAsia="zh-CN"/>
        </w:rPr>
        <w:t>为</w:t>
      </w:r>
      <w:r>
        <w:rPr>
          <w:rFonts w:hint="eastAsia" w:ascii="宋体" w:hAnsi="宋体" w:eastAsia="宋体" w:cs="宋体"/>
          <w:bCs/>
          <w:snapToGrid w:val="0"/>
          <w:color w:val="auto"/>
          <w:kern w:val="0"/>
          <w:sz w:val="22"/>
          <w:szCs w:val="22"/>
          <w:highlight w:val="none"/>
          <w:lang w:val="en-US" w:eastAsia="zh-CN"/>
        </w:rPr>
        <w:t>盱眙至明光高速公路安徽段项目</w:t>
      </w:r>
      <w:r>
        <w:rPr>
          <w:rFonts w:hint="eastAsia" w:ascii="宋体" w:hAnsi="宋体" w:eastAsia="宋体" w:cs="宋体"/>
          <w:bCs/>
          <w:snapToGrid w:val="0"/>
          <w:color w:val="auto"/>
          <w:kern w:val="0"/>
          <w:sz w:val="22"/>
          <w:szCs w:val="22"/>
          <w:highlight w:val="none"/>
          <w:lang w:eastAsia="zh-CN"/>
        </w:rPr>
        <w:t>，</w:t>
      </w:r>
      <w:r>
        <w:rPr>
          <w:rFonts w:hint="eastAsia" w:ascii="宋体" w:hAnsi="宋体" w:eastAsia="宋体" w:cs="宋体"/>
          <w:bCs/>
          <w:snapToGrid w:val="0"/>
          <w:color w:val="auto"/>
          <w:kern w:val="0"/>
          <w:sz w:val="22"/>
          <w:szCs w:val="22"/>
          <w:highlight w:val="none"/>
          <w:lang w:val="en-US" w:eastAsia="zh-CN"/>
        </w:rPr>
        <w:t>项目路线起于明光市涧溪镇王郢村附近皖苏省界，顺接盱眙至明光高速公路江苏段，向西南布设，经涧溪镇镇区北侧，于胡郢村东侧与省道 S319 交叉，止于涧溪镇四山村附近，接规划扬州至淮南高速公路。</w:t>
      </w:r>
    </w:p>
    <w:p w14:paraId="511C62C9">
      <w:pPr>
        <w:keepNext w:val="0"/>
        <w:keepLines w:val="0"/>
        <w:widowControl/>
        <w:suppressLineNumbers w:val="0"/>
        <w:spacing w:line="440" w:lineRule="exact"/>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bCs/>
          <w:snapToGrid w:val="0"/>
          <w:color w:val="auto"/>
          <w:kern w:val="0"/>
          <w:sz w:val="22"/>
          <w:szCs w:val="22"/>
          <w:highlight w:val="none"/>
          <w:lang w:val="en-US" w:eastAsia="zh-CN"/>
        </w:rPr>
        <w:t>本项目为盱眙至明光高速公路安徽段项目，全长约15.1公里。全线设大桥 5座，中桥3座，车行天桥3座；设四山（枢纽）、涧溪2处互通立交；设匝道收费站 1处；交通工程及沿线设施。本次招标主要内容为项目全线范围内的独立中心试验室</w:t>
      </w:r>
      <w:r>
        <w:rPr>
          <w:rFonts w:hint="eastAsia" w:ascii="宋体" w:hAnsi="宋体" w:eastAsia="宋体" w:cs="宋体"/>
          <w:color w:val="auto"/>
          <w:kern w:val="2"/>
          <w:sz w:val="22"/>
          <w:szCs w:val="22"/>
          <w:highlight w:val="none"/>
          <w:lang w:val="en-US" w:eastAsia="zh-CN" w:bidi="ar"/>
        </w:rPr>
        <w:t xml:space="preserve">。 </w:t>
      </w:r>
    </w:p>
    <w:p w14:paraId="649145B1">
      <w:pPr>
        <w:keepNext w:val="0"/>
        <w:keepLines w:val="0"/>
        <w:widowControl/>
        <w:suppressLineNumbers w:val="0"/>
        <w:spacing w:line="480" w:lineRule="auto"/>
        <w:ind w:firstLine="442" w:firstLineChars="200"/>
        <w:jc w:val="left"/>
        <w:rPr>
          <w:rFonts w:hint="eastAsia" w:ascii="宋体" w:hAnsi="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
        </w:rPr>
        <w:t xml:space="preserve">二、建设要求 </w:t>
      </w:r>
    </w:p>
    <w:p w14:paraId="6E005F9F">
      <w:pPr>
        <w:keepNext w:val="0"/>
        <w:keepLines w:val="0"/>
        <w:widowControl/>
        <w:suppressLineNumbers w:val="0"/>
        <w:spacing w:line="48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本项目试验检测总服务期为施工准备期+60个月（其中施工期36个月、验收与缺陷责任期24个月），具体时间以合同规定为准。 </w:t>
      </w:r>
    </w:p>
    <w:p w14:paraId="3D8B6C74">
      <w:pPr>
        <w:keepNext w:val="0"/>
        <w:keepLines w:val="0"/>
        <w:widowControl/>
        <w:suppressLineNumbers w:val="0"/>
        <w:spacing w:line="48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工程交工验收的质量评定等级为合格，竣工验收的质量评定等级为优良。 </w:t>
      </w:r>
    </w:p>
    <w:p w14:paraId="00D54D42">
      <w:pPr>
        <w:keepNext w:val="0"/>
        <w:keepLines w:val="0"/>
        <w:widowControl/>
        <w:suppressLineNumbers w:val="0"/>
        <w:spacing w:line="480" w:lineRule="auto"/>
        <w:ind w:firstLine="442" w:firstLineChars="200"/>
        <w:jc w:val="left"/>
        <w:rPr>
          <w:rFonts w:hint="eastAsia" w:ascii="宋体" w:hAnsi="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
        </w:rPr>
        <w:t xml:space="preserve">三、标段划分 </w:t>
      </w:r>
    </w:p>
    <w:p w14:paraId="49DEC815">
      <w:pPr>
        <w:keepNext w:val="0"/>
        <w:keepLines w:val="0"/>
        <w:widowControl/>
        <w:suppressLineNumbers w:val="0"/>
        <w:spacing w:line="480" w:lineRule="auto"/>
        <w:ind w:firstLine="440" w:firstLineChars="200"/>
        <w:jc w:val="left"/>
        <w:rPr>
          <w:rFonts w:hint="default" w:ascii="宋体" w:hAnsi="宋体" w:cs="宋体"/>
          <w:color w:val="auto"/>
          <w:sz w:val="22"/>
          <w:szCs w:val="22"/>
          <w:highlight w:val="none"/>
          <w:lang w:val="en-US"/>
        </w:rPr>
      </w:pPr>
      <w:r>
        <w:rPr>
          <w:rFonts w:hint="eastAsia" w:ascii="宋体" w:hAnsi="宋体" w:eastAsia="宋体" w:cs="宋体"/>
          <w:color w:val="auto"/>
          <w:kern w:val="2"/>
          <w:sz w:val="22"/>
          <w:szCs w:val="22"/>
          <w:highlight w:val="none"/>
          <w:lang w:val="en-US" w:eastAsia="zh-CN" w:bidi="ar"/>
        </w:rPr>
        <w:t>标段划分：</w:t>
      </w:r>
      <w:r>
        <w:rPr>
          <w:rFonts w:hint="eastAsia" w:ascii="宋体" w:hAnsi="宋体" w:cs="宋体"/>
          <w:color w:val="auto"/>
          <w:kern w:val="2"/>
          <w:sz w:val="22"/>
          <w:szCs w:val="22"/>
          <w:highlight w:val="none"/>
          <w:lang w:val="en-US" w:eastAsia="zh-CN" w:bidi="ar"/>
        </w:rPr>
        <w:t>1</w:t>
      </w:r>
      <w:r>
        <w:rPr>
          <w:rFonts w:hint="eastAsia" w:ascii="宋体" w:hAnsi="宋体" w:eastAsia="宋体" w:cs="宋体"/>
          <w:color w:val="auto"/>
          <w:kern w:val="2"/>
          <w:sz w:val="22"/>
          <w:szCs w:val="22"/>
          <w:highlight w:val="none"/>
          <w:lang w:val="en-US" w:eastAsia="zh-CN" w:bidi="ar"/>
        </w:rPr>
        <w:t>个标段</w:t>
      </w:r>
      <w:r>
        <w:rPr>
          <w:rFonts w:hint="eastAsia" w:ascii="宋体" w:hAnsi="宋体" w:cs="宋体"/>
          <w:color w:val="auto"/>
          <w:kern w:val="2"/>
          <w:sz w:val="22"/>
          <w:szCs w:val="22"/>
          <w:highlight w:val="none"/>
          <w:lang w:val="en-US" w:eastAsia="zh-CN" w:bidi="ar"/>
        </w:rPr>
        <w:t>。</w:t>
      </w:r>
    </w:p>
    <w:p w14:paraId="77E583CD">
      <w:pPr>
        <w:spacing w:line="360" w:lineRule="auto"/>
        <w:rPr>
          <w:rFonts w:hint="eastAsia" w:ascii="宋体" w:hAnsi="宋体" w:eastAsia="宋体" w:cs="宋体"/>
          <w:b/>
          <w:bCs/>
          <w:color w:val="auto"/>
          <w:sz w:val="22"/>
          <w:szCs w:val="22"/>
          <w:highlight w:val="none"/>
        </w:rPr>
      </w:pPr>
    </w:p>
    <w:p w14:paraId="05E53C6E">
      <w:pPr>
        <w:spacing w:line="360" w:lineRule="auto"/>
        <w:rPr>
          <w:rFonts w:hint="eastAsia" w:ascii="宋体" w:hAnsi="宋体" w:eastAsia="宋体" w:cs="宋体"/>
          <w:b/>
          <w:bCs/>
          <w:color w:val="auto"/>
          <w:sz w:val="22"/>
          <w:szCs w:val="22"/>
          <w:highlight w:val="none"/>
        </w:rPr>
      </w:pPr>
    </w:p>
    <w:p w14:paraId="354240BD">
      <w:pPr>
        <w:spacing w:line="360" w:lineRule="auto"/>
        <w:rPr>
          <w:rFonts w:hint="eastAsia" w:ascii="宋体" w:hAnsi="宋体" w:eastAsia="宋体" w:cs="宋体"/>
          <w:b/>
          <w:bCs/>
          <w:color w:val="auto"/>
          <w:sz w:val="22"/>
          <w:szCs w:val="22"/>
          <w:highlight w:val="none"/>
        </w:rPr>
      </w:pPr>
    </w:p>
    <w:p w14:paraId="7DB46440">
      <w:pPr>
        <w:spacing w:line="360" w:lineRule="auto"/>
        <w:rPr>
          <w:rFonts w:hint="eastAsia" w:ascii="宋体" w:hAnsi="宋体" w:eastAsia="宋体" w:cs="宋体"/>
          <w:b/>
          <w:bCs/>
          <w:color w:val="auto"/>
          <w:sz w:val="22"/>
          <w:szCs w:val="22"/>
          <w:highlight w:val="none"/>
        </w:rPr>
      </w:pPr>
    </w:p>
    <w:p w14:paraId="41B11F6D">
      <w:pPr>
        <w:spacing w:line="360" w:lineRule="auto"/>
        <w:rPr>
          <w:rFonts w:hint="eastAsia" w:ascii="宋体" w:hAnsi="宋体" w:eastAsia="宋体" w:cs="宋体"/>
          <w:b/>
          <w:bCs/>
          <w:color w:val="auto"/>
          <w:sz w:val="22"/>
          <w:szCs w:val="22"/>
          <w:highlight w:val="none"/>
        </w:rPr>
      </w:pPr>
    </w:p>
    <w:p w14:paraId="306A9D93">
      <w:pPr>
        <w:spacing w:line="360" w:lineRule="auto"/>
        <w:rPr>
          <w:rFonts w:hint="eastAsia" w:ascii="宋体" w:hAnsi="宋体" w:eastAsia="宋体" w:cs="宋体"/>
          <w:b/>
          <w:bCs/>
          <w:color w:val="auto"/>
          <w:sz w:val="22"/>
          <w:szCs w:val="22"/>
          <w:highlight w:val="none"/>
        </w:rPr>
      </w:pPr>
    </w:p>
    <w:p w14:paraId="7375A199">
      <w:pPr>
        <w:spacing w:line="360" w:lineRule="auto"/>
        <w:rPr>
          <w:rFonts w:hint="eastAsia" w:ascii="宋体" w:hAnsi="宋体" w:eastAsia="宋体" w:cs="宋体"/>
          <w:b/>
          <w:bCs/>
          <w:color w:val="auto"/>
          <w:sz w:val="22"/>
          <w:szCs w:val="22"/>
          <w:highlight w:val="none"/>
        </w:rPr>
      </w:pPr>
    </w:p>
    <w:p w14:paraId="07299511">
      <w:pPr>
        <w:spacing w:line="360" w:lineRule="auto"/>
        <w:rPr>
          <w:rFonts w:hint="eastAsia" w:ascii="宋体" w:hAnsi="宋体" w:eastAsia="宋体" w:cs="宋体"/>
          <w:b/>
          <w:bCs/>
          <w:color w:val="auto"/>
          <w:sz w:val="22"/>
          <w:szCs w:val="22"/>
          <w:highlight w:val="none"/>
        </w:rPr>
      </w:pPr>
    </w:p>
    <w:p w14:paraId="2AD1E0ED">
      <w:pPr>
        <w:pStyle w:val="74"/>
        <w:rPr>
          <w:rFonts w:hint="eastAsia" w:ascii="宋体" w:hAnsi="宋体" w:eastAsia="宋体" w:cs="宋体"/>
          <w:b/>
          <w:bCs/>
          <w:color w:val="auto"/>
          <w:sz w:val="22"/>
          <w:szCs w:val="22"/>
          <w:highlight w:val="none"/>
        </w:rPr>
      </w:pPr>
    </w:p>
    <w:p w14:paraId="1E738CC8">
      <w:pPr>
        <w:rPr>
          <w:rFonts w:hint="eastAsia" w:ascii="宋体" w:hAnsi="宋体" w:eastAsia="宋体" w:cs="宋体"/>
          <w:b/>
          <w:bCs/>
          <w:color w:val="auto"/>
          <w:sz w:val="22"/>
          <w:szCs w:val="22"/>
          <w:highlight w:val="none"/>
        </w:rPr>
      </w:pPr>
    </w:p>
    <w:p w14:paraId="7FFD4DD2">
      <w:pPr>
        <w:pStyle w:val="74"/>
        <w:rPr>
          <w:rFonts w:hint="eastAsia" w:ascii="宋体" w:hAnsi="宋体" w:eastAsia="宋体" w:cs="宋体"/>
          <w:b/>
          <w:bCs/>
          <w:color w:val="auto"/>
          <w:sz w:val="22"/>
          <w:szCs w:val="22"/>
          <w:highlight w:val="none"/>
        </w:rPr>
      </w:pPr>
    </w:p>
    <w:p w14:paraId="582ED37D">
      <w:pPr>
        <w:rPr>
          <w:rFonts w:hint="eastAsia" w:ascii="宋体" w:hAnsi="宋体" w:eastAsia="宋体" w:cs="宋体"/>
          <w:b/>
          <w:bCs/>
          <w:color w:val="auto"/>
          <w:sz w:val="22"/>
          <w:szCs w:val="22"/>
          <w:highlight w:val="none"/>
        </w:rPr>
      </w:pPr>
    </w:p>
    <w:p w14:paraId="27E7C64C">
      <w:pPr>
        <w:pStyle w:val="74"/>
        <w:rPr>
          <w:rFonts w:hint="eastAsia" w:ascii="宋体" w:hAnsi="宋体" w:eastAsia="宋体" w:cs="宋体"/>
          <w:b/>
          <w:bCs/>
          <w:color w:val="auto"/>
          <w:sz w:val="22"/>
          <w:szCs w:val="22"/>
          <w:highlight w:val="none"/>
        </w:rPr>
      </w:pPr>
    </w:p>
    <w:p w14:paraId="755595DE">
      <w:pPr>
        <w:rPr>
          <w:rFonts w:hint="eastAsia" w:ascii="宋体" w:hAnsi="宋体" w:eastAsia="宋体" w:cs="宋体"/>
          <w:b/>
          <w:bCs/>
          <w:color w:val="auto"/>
          <w:sz w:val="22"/>
          <w:szCs w:val="22"/>
          <w:highlight w:val="none"/>
        </w:rPr>
      </w:pPr>
    </w:p>
    <w:p w14:paraId="2A01BF6D">
      <w:pPr>
        <w:pStyle w:val="74"/>
        <w:rPr>
          <w:rFonts w:hint="eastAsia" w:ascii="宋体" w:hAnsi="宋体" w:eastAsia="宋体" w:cs="宋体"/>
          <w:b/>
          <w:bCs/>
          <w:color w:val="auto"/>
          <w:sz w:val="22"/>
          <w:szCs w:val="22"/>
          <w:highlight w:val="none"/>
        </w:rPr>
      </w:pPr>
    </w:p>
    <w:p w14:paraId="0BF736DA">
      <w:pPr>
        <w:rPr>
          <w:rFonts w:hint="eastAsia" w:ascii="宋体" w:hAnsi="宋体" w:eastAsia="宋体" w:cs="宋体"/>
          <w:b/>
          <w:bCs/>
          <w:color w:val="auto"/>
          <w:sz w:val="22"/>
          <w:szCs w:val="22"/>
          <w:highlight w:val="none"/>
        </w:rPr>
      </w:pPr>
    </w:p>
    <w:p w14:paraId="455AFB71">
      <w:pPr>
        <w:pStyle w:val="74"/>
        <w:rPr>
          <w:rFonts w:hint="eastAsia" w:ascii="宋体" w:hAnsi="宋体" w:eastAsia="宋体" w:cs="宋体"/>
          <w:b/>
          <w:bCs/>
          <w:color w:val="auto"/>
          <w:sz w:val="22"/>
          <w:szCs w:val="22"/>
          <w:highlight w:val="none"/>
        </w:rPr>
      </w:pPr>
    </w:p>
    <w:p w14:paraId="5B74E17E">
      <w:pPr>
        <w:rPr>
          <w:rFonts w:hint="eastAsia" w:ascii="宋体" w:hAnsi="宋体" w:eastAsia="宋体" w:cs="宋体"/>
          <w:b/>
          <w:bCs/>
          <w:color w:val="auto"/>
          <w:sz w:val="22"/>
          <w:szCs w:val="22"/>
          <w:highlight w:val="none"/>
        </w:rPr>
      </w:pPr>
    </w:p>
    <w:p w14:paraId="285BA124">
      <w:pPr>
        <w:pStyle w:val="74"/>
        <w:rPr>
          <w:rFonts w:hint="eastAsia"/>
          <w:color w:val="auto"/>
          <w:highlight w:val="none"/>
        </w:rPr>
      </w:pPr>
    </w:p>
    <w:p w14:paraId="44537FD6">
      <w:pPr>
        <w:spacing w:line="360" w:lineRule="auto"/>
        <w:rPr>
          <w:rFonts w:hint="eastAsia" w:ascii="宋体" w:hAnsi="宋体" w:eastAsia="宋体" w:cs="宋体"/>
          <w:b/>
          <w:bCs/>
          <w:color w:val="auto"/>
          <w:sz w:val="22"/>
          <w:szCs w:val="22"/>
          <w:highlight w:val="none"/>
        </w:rPr>
      </w:pPr>
    </w:p>
    <w:p w14:paraId="6047F4AC">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 总则</w:t>
      </w:r>
    </w:p>
    <w:p w14:paraId="5E7664E3">
      <w:pPr>
        <w:spacing w:line="360" w:lineRule="auto"/>
        <w:rPr>
          <w:rFonts w:hint="eastAsia" w:ascii="宋体" w:hAnsi="宋体" w:eastAsia="宋体" w:cs="宋体"/>
          <w:b/>
          <w:bCs/>
          <w:color w:val="auto"/>
          <w:sz w:val="22"/>
          <w:szCs w:val="22"/>
          <w:highlight w:val="none"/>
        </w:rPr>
      </w:pPr>
      <w:bookmarkStart w:id="99" w:name="_Toc152045530"/>
      <w:bookmarkStart w:id="100" w:name="_Toc144974498"/>
      <w:bookmarkStart w:id="101" w:name="_Toc152042306"/>
      <w:r>
        <w:rPr>
          <w:rFonts w:hint="eastAsia" w:ascii="宋体" w:hAnsi="宋体" w:eastAsia="宋体" w:cs="宋体"/>
          <w:b/>
          <w:bCs/>
          <w:color w:val="auto"/>
          <w:sz w:val="22"/>
          <w:szCs w:val="22"/>
          <w:highlight w:val="none"/>
        </w:rPr>
        <w:t>1.1 项目概况</w:t>
      </w:r>
    </w:p>
    <w:p w14:paraId="3E9EC61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1.1.1根据《中华人民共和国招标投标法》、《中华人民共和国招标投标法实施条例》、《公路工程建设项目招标投标管理办法》等有关法律、法规和规章的规定，</w:t>
      </w:r>
      <w:r>
        <w:rPr>
          <w:rFonts w:hint="eastAsia" w:ascii="宋体" w:hAnsi="宋体" w:eastAsia="宋体" w:cs="宋体"/>
          <w:color w:val="auto"/>
          <w:sz w:val="22"/>
          <w:szCs w:val="22"/>
          <w:highlight w:val="none"/>
          <w:lang w:val="en-US" w:eastAsia="zh-CN"/>
        </w:rPr>
        <w:t>本招标项目己具备招标条件，现对本标段施工试验检测进行招标</w:t>
      </w:r>
      <w:r>
        <w:rPr>
          <w:rFonts w:hint="eastAsia" w:ascii="宋体" w:hAnsi="宋体" w:eastAsia="宋体" w:cs="宋体"/>
          <w:color w:val="auto"/>
          <w:sz w:val="22"/>
          <w:szCs w:val="22"/>
          <w:highlight w:val="none"/>
        </w:rPr>
        <w:t>。</w:t>
      </w:r>
    </w:p>
    <w:p w14:paraId="3F8ED7D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1.1.2 本招标项目招标人：见投标人须知前附表。</w:t>
      </w:r>
    </w:p>
    <w:p w14:paraId="227F854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1.1.3 本标段招标代理机构：见投标人须知前附表。</w:t>
      </w:r>
    </w:p>
    <w:p w14:paraId="7BE7FA4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1.1.4 本招标项目名称：见投标人须知前附表。</w:t>
      </w:r>
    </w:p>
    <w:p w14:paraId="16D737C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1.1.5 本标段建设地点：见投标人须知前附表。</w:t>
      </w:r>
    </w:p>
    <w:p w14:paraId="79ED9FA2">
      <w:pPr>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1.1.6 本标段建设规模：见投标人须知前附表。 </w:t>
      </w:r>
    </w:p>
    <w:p w14:paraId="680750F6">
      <w:pPr>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1.1.7 招标项目施工预计开工日期和建设周期：见投标人须知前附表。 </w:t>
      </w:r>
    </w:p>
    <w:p w14:paraId="3D54C7C5">
      <w:pPr>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1.1.8 建筑安装工程费/工程概算：见投标人须知前附表。 </w:t>
      </w:r>
    </w:p>
    <w:p w14:paraId="78781BF5">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1.2 招标项目的资金来源和落实情况</w:t>
      </w:r>
    </w:p>
    <w:p w14:paraId="0257667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1.2.1 资金来源及比例：见投标人须知前附表。</w:t>
      </w:r>
    </w:p>
    <w:p w14:paraId="6A94ECC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1.2.2 资金落实情况：见投标人须知前附表。</w:t>
      </w:r>
    </w:p>
    <w:p w14:paraId="0C6AF299">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1.3 </w:t>
      </w:r>
      <w:r>
        <w:rPr>
          <w:rFonts w:hint="eastAsia" w:ascii="宋体" w:hAnsi="宋体" w:eastAsia="宋体" w:cs="宋体"/>
          <w:b/>
          <w:bCs/>
          <w:color w:val="auto"/>
          <w:sz w:val="22"/>
          <w:szCs w:val="22"/>
          <w:highlight w:val="none"/>
          <w:lang w:val="en-US" w:eastAsia="zh-CN"/>
        </w:rPr>
        <w:t>招标范围、试验检测服务期限、质量要求和安全目标</w:t>
      </w:r>
    </w:p>
    <w:p w14:paraId="017802F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1.3.1 招标范围：见投标人须知前附表。</w:t>
      </w:r>
    </w:p>
    <w:p w14:paraId="0B27AB4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1.3.2 </w:t>
      </w:r>
      <w:r>
        <w:rPr>
          <w:rFonts w:hint="eastAsia" w:ascii="宋体" w:hAnsi="宋体" w:eastAsia="宋体" w:cs="宋体"/>
          <w:color w:val="auto"/>
          <w:sz w:val="22"/>
          <w:szCs w:val="22"/>
          <w:highlight w:val="none"/>
          <w:lang w:val="en-US" w:eastAsia="zh-CN"/>
        </w:rPr>
        <w:t>本标段的试验检测服务期限</w:t>
      </w:r>
      <w:r>
        <w:rPr>
          <w:rFonts w:hint="eastAsia" w:ascii="宋体" w:hAnsi="宋体" w:eastAsia="宋体" w:cs="宋体"/>
          <w:color w:val="auto"/>
          <w:sz w:val="22"/>
          <w:szCs w:val="22"/>
          <w:highlight w:val="none"/>
        </w:rPr>
        <w:t>：见投标人须知前附表。</w:t>
      </w:r>
    </w:p>
    <w:p w14:paraId="4120CAD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1.3.3 本标段的质量要求：见投标人须知前附表。</w:t>
      </w:r>
    </w:p>
    <w:p w14:paraId="6B5E9ED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1.3.4 本标段的安全目标：见投标人须知前附表。</w:t>
      </w:r>
    </w:p>
    <w:p w14:paraId="6BEEB55E">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1.4 投标人资格要求</w:t>
      </w:r>
    </w:p>
    <w:p w14:paraId="5DC60C8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1.4.1 投标人应具备承担本标段试验检测的资质条件、能力和信誉。 </w:t>
      </w:r>
    </w:p>
    <w:p w14:paraId="1BF8F6F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（1）资质要求：见投标人须知前附表； </w:t>
      </w:r>
    </w:p>
    <w:p w14:paraId="2A701D1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（2）业绩要求：见投标人须知前附表； </w:t>
      </w:r>
    </w:p>
    <w:p w14:paraId="43019A0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（3）信誉要求：见投标人须知前附表； </w:t>
      </w:r>
    </w:p>
    <w:p w14:paraId="7C9C492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（4）试验室主任资格：见投标人须知前附表； </w:t>
      </w:r>
    </w:p>
    <w:p w14:paraId="10A47BE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（5）其他要求：见投标人须知前附表。 </w:t>
      </w:r>
    </w:p>
    <w:p w14:paraId="537C684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需要提交的相关证明材料见本章第 3.5 款的规定。</w:t>
      </w:r>
    </w:p>
    <w:p w14:paraId="3BE6572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1.4.2 投标人须知前附表规定接受联合体投标的，联合体除应符合本章第1.4.1项和投标人须知前附表的要求外，还应遵守以下规定：</w:t>
      </w:r>
    </w:p>
    <w:p w14:paraId="0E088C6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（1）联合体各方应按招标文件提供的格式签订联合体协议书，明确联合体牵头人和各方权利义务，并承诺就中标项目向招标人承担连带责任；</w:t>
      </w:r>
    </w:p>
    <w:p w14:paraId="482C382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（2）由同一专业的单位组成的联合体，按照资质等级较低的单位确定资质等级；</w:t>
      </w:r>
    </w:p>
    <w:p w14:paraId="5420E6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（3）联合体各方不得再以自己名义单独或参加其他联合体在同一标段中投标。</w:t>
      </w:r>
    </w:p>
    <w:p w14:paraId="69EF990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362E5E6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（5）尽管委任了联合体牵头人，但联合体各成员在投标、签约合同与履行合同过程中</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仍负有连带的和各自的法律责任。</w:t>
      </w:r>
    </w:p>
    <w:p w14:paraId="280FCB1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1.4.3 投标人不得与本标段相关单位存在下列关联关系：</w:t>
      </w:r>
    </w:p>
    <w:p w14:paraId="27AB2D4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（1）为招标人不具有独立法人资格的附属机构（单位）； </w:t>
      </w:r>
    </w:p>
    <w:p w14:paraId="3E5A475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（2）与招标人存在利害关系且可能影响招标公正性； </w:t>
      </w:r>
    </w:p>
    <w:p w14:paraId="2B5EE9B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（3）与本标段的其他投标人同为一个单位负责人； </w:t>
      </w:r>
    </w:p>
    <w:p w14:paraId="211F9EE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（4）与本标段的其他投标人存在控股、管理关系； </w:t>
      </w:r>
    </w:p>
    <w:p w14:paraId="1A9B534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（5）为本标段的代建人； </w:t>
      </w:r>
    </w:p>
    <w:p w14:paraId="5F8B798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（6）为本标段的招标代理机构； </w:t>
      </w:r>
    </w:p>
    <w:p w14:paraId="24E6BC4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（7）与本标段的代建人或招标代理机构同为一个法定代表人； </w:t>
      </w:r>
    </w:p>
    <w:p w14:paraId="64642B0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（8）与本标段的代建人或招标代理机构存在控股或参股关系； </w:t>
      </w:r>
    </w:p>
    <w:p w14:paraId="7AB96F5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（9）与本标段对应工程的施工承包人以及建筑材料、建筑构配件和设备供应商有隶属关系或其他利害关系； </w:t>
      </w:r>
    </w:p>
    <w:p w14:paraId="691FB42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（10）法律法规或投标人须知前附表规定的其他情形。</w:t>
      </w:r>
    </w:p>
    <w:p w14:paraId="6FEA650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1.4.4 投标人不得存在下列不良状况或不良信用记录：</w:t>
      </w:r>
    </w:p>
    <w:p w14:paraId="232394D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b w:val="0"/>
          <w:bCs w:val="0"/>
          <w:color w:val="auto"/>
          <w:sz w:val="22"/>
          <w:szCs w:val="22"/>
          <w:highlight w:val="none"/>
        </w:rPr>
        <w:t>被交通运输部或安徽省交通运输厅</w:t>
      </w:r>
      <w:r>
        <w:rPr>
          <w:rFonts w:hint="eastAsia"/>
          <w:b w:val="0"/>
          <w:bCs w:val="0"/>
          <w:color w:val="auto"/>
          <w:sz w:val="22"/>
          <w:szCs w:val="22"/>
          <w:highlight w:val="none"/>
          <w:lang w:val="en-US" w:eastAsia="zh-CN"/>
        </w:rPr>
        <w:t>取</w:t>
      </w:r>
      <w:r>
        <w:rPr>
          <w:b w:val="0"/>
          <w:bCs w:val="0"/>
          <w:color w:val="auto"/>
          <w:sz w:val="22"/>
          <w:szCs w:val="22"/>
          <w:highlight w:val="none"/>
        </w:rPr>
        <w:t>消招标项目所在地的投标资格且处于有效期内</w:t>
      </w:r>
      <w:r>
        <w:rPr>
          <w:rFonts w:hint="eastAsia" w:ascii="宋体" w:hAnsi="宋体" w:eastAsia="宋体" w:cs="宋体"/>
          <w:color w:val="auto"/>
          <w:sz w:val="22"/>
          <w:szCs w:val="22"/>
          <w:highlight w:val="none"/>
        </w:rPr>
        <w:t>；</w:t>
      </w:r>
    </w:p>
    <w:p w14:paraId="35AFB91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（2）被责令停业，暂扣或吊销执照，或吊销资质证书；</w:t>
      </w:r>
    </w:p>
    <w:p w14:paraId="6493EC7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（3）进入清算程序，或被宣告破产，或其他丧失履约能力的情形；</w:t>
      </w:r>
    </w:p>
    <w:p w14:paraId="0F15B9F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（4）在国家企业信用信息公示系统（http://www.gsxt.gov.cn/）中被列入严重违法失信企业名单；</w:t>
      </w:r>
    </w:p>
    <w:p w14:paraId="131DA2D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（5）在“信用中国”网站（http://www.creditchina.gov.cn/）中被列入失信被执行人名</w:t>
      </w:r>
      <w:r>
        <w:rPr>
          <w:rFonts w:hint="eastAsia" w:ascii="宋体" w:hAnsi="宋体" w:eastAsia="宋体" w:cs="宋体"/>
          <w:color w:val="auto"/>
          <w:sz w:val="22"/>
          <w:szCs w:val="22"/>
          <w:highlight w:val="none"/>
          <w:lang w:eastAsia="zh-CN"/>
        </w:rPr>
        <w:t>单；</w:t>
      </w:r>
    </w:p>
    <w:p w14:paraId="6DFC80A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投标人或其法定代表人、拟委任的中心试验室主任在近三年内有行贿犯罪行为的</w:t>
      </w:r>
      <w:r>
        <w:rPr>
          <w:rFonts w:hint="eastAsia" w:ascii="宋体" w:hAnsi="宋体" w:eastAsia="宋体" w:cs="宋体"/>
          <w:color w:val="auto"/>
          <w:sz w:val="22"/>
          <w:szCs w:val="22"/>
          <w:highlight w:val="none"/>
        </w:rPr>
        <w:t>；</w:t>
      </w:r>
    </w:p>
    <w:p w14:paraId="6532F6A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7</w:t>
      </w:r>
      <w:r>
        <w:rPr>
          <w:rFonts w:hint="eastAsia" w:ascii="宋体" w:hAnsi="宋体" w:eastAsia="宋体" w:cs="宋体"/>
          <w:color w:val="auto"/>
          <w:sz w:val="22"/>
          <w:szCs w:val="22"/>
          <w:highlight w:val="none"/>
        </w:rPr>
        <w:t>）被人力资源社会保障行政部门列入拖欠农民工工资“黑名单”；</w:t>
      </w:r>
    </w:p>
    <w:p w14:paraId="715BF5C5">
      <w:pPr>
        <w:wordWrap w:val="0"/>
        <w:spacing w:line="360" w:lineRule="auto"/>
        <w:ind w:firstLine="440" w:firstLineChars="200"/>
        <w:rPr>
          <w:rFonts w:hint="eastAsia" w:ascii="宋体" w:hAnsi="宋体" w:cs="宋体"/>
          <w:color w:val="auto"/>
          <w:sz w:val="22"/>
          <w:szCs w:val="22"/>
          <w:highlight w:val="none"/>
          <w:lang w:eastAsia="zh-CN"/>
        </w:rPr>
      </w:pPr>
      <w:r>
        <w:rPr>
          <w:rFonts w:hint="eastAsia" w:ascii="宋体" w:hAnsi="宋体" w:eastAsia="宋体" w:cs="宋体"/>
          <w:color w:val="auto"/>
          <w:sz w:val="22"/>
          <w:szCs w:val="22"/>
          <w:highlight w:val="none"/>
        </w:rPr>
        <w:t>（</w:t>
      </w:r>
      <w:r>
        <w:rPr>
          <w:rFonts w:hint="eastAsia" w:ascii="宋体" w:hAnsi="宋体" w:cs="宋体"/>
          <w:color w:val="auto"/>
          <w:sz w:val="22"/>
          <w:szCs w:val="22"/>
          <w:highlight w:val="none"/>
          <w:lang w:val="en-US" w:eastAsia="zh-CN"/>
        </w:rPr>
        <w:t>8</w:t>
      </w:r>
      <w:r>
        <w:rPr>
          <w:rFonts w:hint="eastAsia" w:ascii="宋体" w:hAnsi="宋体" w:eastAsia="宋体" w:cs="宋体"/>
          <w:color w:val="auto"/>
          <w:sz w:val="22"/>
          <w:szCs w:val="22"/>
          <w:highlight w:val="none"/>
        </w:rPr>
        <w:t>）法律法规或投标人须知前附表规定的其他情形</w:t>
      </w:r>
      <w:r>
        <w:rPr>
          <w:rFonts w:hint="eastAsia" w:ascii="宋体" w:hAnsi="宋体" w:cs="宋体"/>
          <w:color w:val="auto"/>
          <w:sz w:val="22"/>
          <w:szCs w:val="22"/>
          <w:highlight w:val="none"/>
          <w:lang w:eastAsia="zh-CN"/>
        </w:rPr>
        <w:t>。</w:t>
      </w:r>
    </w:p>
    <w:p w14:paraId="744A716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1.5 费用承担</w:t>
      </w:r>
    </w:p>
    <w:p w14:paraId="7E9B512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投标人准备和参加投标活动发生的费用自理。</w:t>
      </w:r>
    </w:p>
    <w:p w14:paraId="2899D6E7">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 保密</w:t>
      </w:r>
    </w:p>
    <w:p w14:paraId="4122658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参与招标投标活动的各方应对招标文件和投标文件中的商业和技术等秘密保密，否则应承担相应的法律责任。</w:t>
      </w:r>
    </w:p>
    <w:p w14:paraId="3C78A51D">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1.7 语言文字</w:t>
      </w:r>
    </w:p>
    <w:p w14:paraId="5184992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招标投标使用的语言文字为中文。专用术语使用外文的，应附有中文注释。</w:t>
      </w:r>
    </w:p>
    <w:p w14:paraId="3E51AF46">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1.8 计量单位</w:t>
      </w:r>
    </w:p>
    <w:p w14:paraId="3A433BA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所有计量均采用中华人民共和国法定计量单位。</w:t>
      </w:r>
    </w:p>
    <w:p w14:paraId="337ACE80">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1.9 踏勘现场</w:t>
      </w:r>
    </w:p>
    <w:p w14:paraId="06C04EC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1.9.1第一章“招标公告”规定组织踏勘现场的，招标人按规定的时间、地点组织投标人踏勘项目现场。部分投标人未按时参加踏勘现场的，不影响踏勘现场的正常进行。招标人不得组织单个或部分投标人踏勘项目现场。</w:t>
      </w:r>
    </w:p>
    <w:p w14:paraId="3E205E3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1.9.2投标人踏勘现场发生的费用自理。</w:t>
      </w:r>
    </w:p>
    <w:p w14:paraId="52EB349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1.9.3除招标人的原因外，投标人自行负责在踏勘现场中所发生的人员伤亡和财产损失。</w:t>
      </w:r>
    </w:p>
    <w:p w14:paraId="5E07C9A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1.9.4招标人在踏勘现场中介绍的工程场地和相关的周边环境情况，供投标人在编制投标文件时参考，招标人不对投标人据此作出的判断和决策负责。</w:t>
      </w:r>
    </w:p>
    <w:p w14:paraId="24D1D73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1.9.5无论投标人是否到施工现场实地踏勘，中标后签订合同时和履约过程中，投标人不得以不完全了解现场情况或现场情况与招标文件描述不一致等为由，提出任何形式的增加工程造价或索赔的要求。</w:t>
      </w:r>
    </w:p>
    <w:p w14:paraId="1F7BD8F2">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1.10 投标预备会</w:t>
      </w:r>
    </w:p>
    <w:p w14:paraId="16CF462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1.10.1第一章“招标公告”规定召开投标预备会的，招标人按规定的时间和地点召开投标预备会，澄清投标人提出的问题。</w:t>
      </w:r>
    </w:p>
    <w:p w14:paraId="17371B8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1.10.2投标人应在投标人须知前附表规定的时间和形式将提出的问题送达招标人，以便招标人在会议期间澄清。</w:t>
      </w:r>
    </w:p>
    <w:p w14:paraId="713ADA2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1.10.3 投标预备会后，招标人将对投标人所提问题的澄清，以本章第 2.2 款规定的时间和形式通知所有购买招标文件的投标人。该澄清内容为招标文件的组成部分。</w:t>
      </w:r>
    </w:p>
    <w:p w14:paraId="0B8A9E99">
      <w:pPr>
        <w:spacing w:line="360" w:lineRule="auto"/>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rPr>
        <w:t>1.11 分包</w:t>
      </w:r>
    </w:p>
    <w:p w14:paraId="74E2E72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本项目严禁分包。</w:t>
      </w:r>
    </w:p>
    <w:p w14:paraId="3F65A8BB">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1.12 </w:t>
      </w:r>
      <w:r>
        <w:rPr>
          <w:rFonts w:hint="eastAsia" w:ascii="宋体" w:hAnsi="宋体" w:cs="宋体"/>
          <w:b/>
          <w:bCs/>
          <w:color w:val="auto"/>
          <w:sz w:val="22"/>
          <w:szCs w:val="22"/>
          <w:highlight w:val="none"/>
          <w:lang w:val="en-US" w:eastAsia="zh-CN"/>
        </w:rPr>
        <w:t>响应和</w:t>
      </w:r>
      <w:r>
        <w:rPr>
          <w:rFonts w:hint="eastAsia" w:ascii="宋体" w:hAnsi="宋体" w:eastAsia="宋体" w:cs="宋体"/>
          <w:b/>
          <w:bCs/>
          <w:color w:val="auto"/>
          <w:sz w:val="22"/>
          <w:szCs w:val="22"/>
          <w:highlight w:val="none"/>
        </w:rPr>
        <w:t>偏离</w:t>
      </w:r>
    </w:p>
    <w:p w14:paraId="16B6E51D">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1.12.1 投标文件偏离招标文件某些要求，视为投标文件存在偏差。偏差包括重大偏差和细微偏差。</w:t>
      </w:r>
    </w:p>
    <w:p w14:paraId="480F57DA">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1.12.2 投标文件应对招标文件的实质性要求和条件作出满足性或更有利于招标人的响应，否则，视为投标文件存在重大偏差，投标人的投标将被否决。</w:t>
      </w:r>
    </w:p>
    <w:p w14:paraId="54BA595B">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 xml:space="preserve">投标文件存在第三章“评标办法”中所列任一否决投标情形的，均属于存在重大偏差。 </w:t>
      </w:r>
    </w:p>
    <w:p w14:paraId="5BF93758">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1.12.3 投标文件中的下列偏差为细微偏差：</w:t>
      </w:r>
    </w:p>
    <w:p w14:paraId="2806174C">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（1）在按照第三章“评标办法”的规定对投标价进行算术性错误修正后，最终投标报价未超过最高投标限价（如有）的情况下，出现第三章“评标办法”规定的算术性错误； </w:t>
      </w:r>
    </w:p>
    <w:p w14:paraId="410459F5">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（2）技术建议书不够完善； </w:t>
      </w:r>
    </w:p>
    <w:p w14:paraId="0052178B">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（3）投标文件页码不连续、采用活页夹装订、个别文字有遗漏错误等不影响投标文件实质性内容的偏差。 </w:t>
      </w:r>
    </w:p>
    <w:p w14:paraId="700F4546">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1.12.4 评标委员会对投标文件中的细微偏差按如下规定处理： </w:t>
      </w:r>
    </w:p>
    <w:p w14:paraId="77DCAD5D">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（1）对于本章第 1.12.3 项（1）目所述的细微偏差，按照第三章“评标办法”的规定予以修正并要求投标人进行澄清； </w:t>
      </w:r>
    </w:p>
    <w:p w14:paraId="1922D37E">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（2）对于本章第 1.12.3 项（2）、（3）目所述的细微偏差，可在相关评分因素的评分中酌情扣分。 </w:t>
      </w:r>
    </w:p>
    <w:p w14:paraId="55A3C5FE">
      <w:pPr>
        <w:spacing w:line="36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 xml:space="preserve">1.12.5 投标人应根据招标文件的要求提供技术建议书等内容以对招标文件作出响应。 </w:t>
      </w:r>
    </w:p>
    <w:p w14:paraId="686B2BA9">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 招标文件</w:t>
      </w:r>
    </w:p>
    <w:p w14:paraId="4C69BF7A">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2.1 招标文件的组成</w:t>
      </w:r>
    </w:p>
    <w:p w14:paraId="4691F5E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本招标文件包括：</w:t>
      </w:r>
    </w:p>
    <w:p w14:paraId="6632C25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（1）招标公告；</w:t>
      </w:r>
    </w:p>
    <w:p w14:paraId="29B68B8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（2）投标人须知；</w:t>
      </w:r>
    </w:p>
    <w:p w14:paraId="0C87FF0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（3）评标办法；</w:t>
      </w:r>
    </w:p>
    <w:p w14:paraId="1DEC23C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（4）合同条款及格式；</w:t>
      </w:r>
    </w:p>
    <w:p w14:paraId="1053F90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highlight w:val="none"/>
          <w:lang w:val="en-US" w:eastAsia="zh-CN"/>
        </w:rPr>
        <w:t>委托人要求</w:t>
      </w:r>
      <w:r>
        <w:rPr>
          <w:rFonts w:hint="eastAsia" w:ascii="宋体" w:hAnsi="宋体" w:eastAsia="宋体" w:cs="宋体"/>
          <w:color w:val="auto"/>
          <w:sz w:val="22"/>
          <w:szCs w:val="22"/>
          <w:highlight w:val="none"/>
        </w:rPr>
        <w:t>；</w:t>
      </w:r>
    </w:p>
    <w:p w14:paraId="7FC004F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highlight w:val="none"/>
          <w:lang w:val="en-US" w:eastAsia="zh-CN"/>
        </w:rPr>
        <w:t>图纸和资料</w:t>
      </w:r>
      <w:r>
        <w:rPr>
          <w:rFonts w:hint="eastAsia" w:ascii="宋体" w:hAnsi="宋体" w:eastAsia="宋体" w:cs="宋体"/>
          <w:color w:val="auto"/>
          <w:sz w:val="22"/>
          <w:szCs w:val="22"/>
          <w:highlight w:val="none"/>
        </w:rPr>
        <w:t>；</w:t>
      </w:r>
    </w:p>
    <w:p w14:paraId="58A4FCAB">
      <w:pPr>
        <w:spacing w:line="360" w:lineRule="auto"/>
        <w:ind w:firstLine="440" w:firstLineChars="200"/>
        <w:rPr>
          <w:color w:val="auto"/>
          <w:sz w:val="22"/>
          <w:szCs w:val="22"/>
          <w:highlight w:val="none"/>
        </w:rPr>
      </w:pPr>
      <w:r>
        <w:rPr>
          <w:rFonts w:hint="eastAsia" w:ascii="宋体" w:hAnsi="宋体" w:eastAsia="宋体" w:cs="宋体"/>
          <w:color w:val="auto"/>
          <w:sz w:val="22"/>
          <w:szCs w:val="22"/>
          <w:highlight w:val="none"/>
        </w:rPr>
        <w:t>（7）</w:t>
      </w:r>
      <w:r>
        <w:rPr>
          <w:color w:val="auto"/>
          <w:sz w:val="22"/>
          <w:szCs w:val="22"/>
          <w:highlight w:val="none"/>
        </w:rPr>
        <w:t>投标文件格式；</w:t>
      </w:r>
    </w:p>
    <w:p w14:paraId="63588BCA">
      <w:pPr>
        <w:spacing w:line="360" w:lineRule="auto"/>
        <w:ind w:firstLine="440" w:firstLineChars="200"/>
        <w:rPr>
          <w:color w:val="auto"/>
          <w:sz w:val="22"/>
          <w:szCs w:val="22"/>
          <w:highlight w:val="none"/>
        </w:rPr>
      </w:pPr>
      <w:r>
        <w:rPr>
          <w:color w:val="auto"/>
          <w:sz w:val="22"/>
          <w:szCs w:val="22"/>
          <w:highlight w:val="none"/>
        </w:rPr>
        <w:t>（</w:t>
      </w:r>
      <w:r>
        <w:rPr>
          <w:rFonts w:hint="eastAsia"/>
          <w:color w:val="auto"/>
          <w:sz w:val="22"/>
          <w:szCs w:val="22"/>
          <w:highlight w:val="none"/>
          <w:lang w:val="en-US" w:eastAsia="zh-CN"/>
        </w:rPr>
        <w:t>8</w:t>
      </w:r>
      <w:r>
        <w:rPr>
          <w:color w:val="auto"/>
          <w:sz w:val="22"/>
          <w:szCs w:val="22"/>
          <w:highlight w:val="none"/>
        </w:rPr>
        <w:t>）投标人须知前附表规定的其他材料。</w:t>
      </w:r>
    </w:p>
    <w:p w14:paraId="176D258F">
      <w:pPr>
        <w:spacing w:line="360" w:lineRule="auto"/>
        <w:ind w:firstLine="440" w:firstLineChars="200"/>
        <w:rPr>
          <w:color w:val="auto"/>
          <w:sz w:val="22"/>
          <w:szCs w:val="22"/>
          <w:highlight w:val="none"/>
        </w:rPr>
      </w:pPr>
      <w:r>
        <w:rPr>
          <w:color w:val="auto"/>
          <w:sz w:val="22"/>
          <w:szCs w:val="22"/>
          <w:highlight w:val="none"/>
        </w:rPr>
        <w:t>根据本章第1.10款、第2.2款和第2.3款对招标文件所作的澄清、修改，构成招标文件的组成部分。</w:t>
      </w:r>
    </w:p>
    <w:p w14:paraId="2EBADC8C">
      <w:pPr>
        <w:spacing w:line="360" w:lineRule="auto"/>
        <w:ind w:firstLine="416" w:firstLineChars="200"/>
        <w:rPr>
          <w:color w:val="auto"/>
          <w:spacing w:val="-6"/>
          <w:sz w:val="22"/>
          <w:szCs w:val="22"/>
          <w:highlight w:val="none"/>
        </w:rPr>
      </w:pPr>
      <w:r>
        <w:rPr>
          <w:color w:val="auto"/>
          <w:spacing w:val="-6"/>
          <w:sz w:val="22"/>
          <w:szCs w:val="22"/>
          <w:highlight w:val="none"/>
        </w:rPr>
        <w:t>当招标文件、招标文件的澄清或修改等在同一内容的表述上不一致时，以最后发出的书面文件为准。</w:t>
      </w:r>
    </w:p>
    <w:p w14:paraId="01DE673F">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2.2 招标文件的澄清</w:t>
      </w:r>
    </w:p>
    <w:p w14:paraId="682A5D7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2.2.1投标人应仔细阅读和检查招标文件的全部内容。如发现缺页或附件不全，应及时向招标人提出，以便补齐。如有疑问，应在投标人须知前附表规定的时间前要求招标人对招标文件予以澄清。</w:t>
      </w:r>
    </w:p>
    <w:p w14:paraId="753F017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2.2.2 招标文件的澄清以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14:paraId="2AA9D73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2.2.3 投标人在收到澄清后，应按投标人须知前附表规定的时间和形式通知招标人，确认已收到该澄清。</w:t>
      </w:r>
    </w:p>
    <w:p w14:paraId="430FAF8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2.2.4 除非招标人认为确有必要答复，否则，招标人有权拒绝回复投标人在本章第2.2.1项规定的时间后提出的任何澄清要求。</w:t>
      </w:r>
    </w:p>
    <w:p w14:paraId="25AF6490">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2.3 招标文件的修改</w:t>
      </w:r>
    </w:p>
    <w:p w14:paraId="68ACE3CE">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2.3.1 招标人以投标人须知前附表规定的形式修改招标文件，并通知所有已购买招标文件的投标人。修改招标文件的时间距本章第4.2.1项规定的投标截止时间不足15日，且修改内容可能影响投标文件编制的，将相应延长投标截止时间。</w:t>
      </w:r>
    </w:p>
    <w:p w14:paraId="57F06C3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2.3.2投标人收到修改内容后，应按投标人须知前附表规定的时间和形式通知招标人，确认已收到该修改。</w:t>
      </w:r>
    </w:p>
    <w:p w14:paraId="6DABB6EC">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2.4 对招标文件的异议</w:t>
      </w:r>
    </w:p>
    <w:p w14:paraId="2B8E91A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投标人或者其他利害关系人对招标文件有异议的，应在投标截止时间10日前以书面形式提出。招标人将在收到异议之日起3日内作出答复；作出答复前，暂停招标投标活动。</w:t>
      </w:r>
    </w:p>
    <w:p w14:paraId="546231FC">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投标文件</w:t>
      </w:r>
    </w:p>
    <w:p w14:paraId="3DE4EF0F">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3.1 投标文件的组成</w:t>
      </w:r>
    </w:p>
    <w:p w14:paraId="21076B83">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根据投标人须知前附表规定的不同形式，投标文件的组成应满足相应条款要求。 </w:t>
      </w:r>
    </w:p>
    <w:p w14:paraId="63629CE3">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若采用双信封形式，第 3.1.1 项采用以下条款： </w:t>
      </w:r>
    </w:p>
    <w:p w14:paraId="2333D1F7">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3.1.1 投标文件应包括下列内容： </w:t>
      </w:r>
    </w:p>
    <w:p w14:paraId="3A467936">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第一个信封（商务及技术文件）： </w:t>
      </w:r>
    </w:p>
    <w:p w14:paraId="797AD7BB">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（1）投标函； </w:t>
      </w:r>
    </w:p>
    <w:p w14:paraId="29726AE5">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（2）授权委托书或法定代表人身份证明； </w:t>
      </w:r>
    </w:p>
    <w:p w14:paraId="529AF25C">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（3）联合体协议书； </w:t>
      </w:r>
    </w:p>
    <w:p w14:paraId="350FA1F4">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（4）投标保证金； </w:t>
      </w:r>
    </w:p>
    <w:p w14:paraId="5B2483CF">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（5）资格审查资料； </w:t>
      </w:r>
    </w:p>
    <w:p w14:paraId="36826BB1">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（6）技术建议书； </w:t>
      </w:r>
    </w:p>
    <w:p w14:paraId="28D30772">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（7）投标人须知前附表规定的其他资料。 </w:t>
      </w:r>
    </w:p>
    <w:p w14:paraId="1C9F1899">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第二个信封（报价文件）： </w:t>
      </w:r>
    </w:p>
    <w:p w14:paraId="712BADF9">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（1）投标函； </w:t>
      </w:r>
    </w:p>
    <w:p w14:paraId="2F36BB43">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（2）试验检测服务费用清单。 </w:t>
      </w:r>
    </w:p>
    <w:p w14:paraId="0B9A2063">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投标人在评标过程中作出的符合法律法规和招标文件规定的澄清确认，构成投标文件的组成部分。</w:t>
      </w:r>
    </w:p>
    <w:p w14:paraId="4E25779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3.1.2 投标人须知前附表规定不接受联合体投标的，或投标人没有组成联合体的，投标文件不包括本章第 3.1.1.1 商务文件（3）目所指的联合体协议书。</w:t>
      </w:r>
    </w:p>
    <w:p w14:paraId="2032EB2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3.1.3 投标人须知前附表未要求提交投标保证金的，投标文件不包括本章第 3.1.1.1 商务文件（4）目所指的投标保证金。</w:t>
      </w:r>
    </w:p>
    <w:p w14:paraId="0634DE4B">
      <w:pPr>
        <w:spacing w:line="360" w:lineRule="auto"/>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3.2 投标报价</w:t>
      </w:r>
    </w:p>
    <w:p w14:paraId="517EA5F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3.2.1 投标报价应包括国家规定的增值税税金，除投标人须知前附表另有规定外，增值税税金按一般计税方法计算。投标人应按第七章“投标文件格式”的要求在投标函中进行报价并填写试验检测服务费用清单相应表格。 </w:t>
      </w:r>
    </w:p>
    <w:p w14:paraId="4CF0BC57">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3.2.2 投标人应充分了解本项目的总体情况以及影响投标报价的其他要素，按照招标文件规定的试验检测工作内容和计划工作量，自行测算试验检测服务费用。投标报价应涵盖投标人完成施工准备阶段、施工阶段、验收与缺陷责任期阶段试验检测工作所需的全部费用。 </w:t>
      </w:r>
    </w:p>
    <w:p w14:paraId="04480DC8">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投标人应按照“投标文件格式”中“试验检测服务费用清单”的要求填报试验检测服务费。投标人未填报的部分，在工程实施时委托人将不予支付,并认为该部分费用已包含在报价中。 </w:t>
      </w:r>
    </w:p>
    <w:p w14:paraId="17D41D3D">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3.2.3 本项目的报价方式见投标人须知前附表。投标人在投标截止时间前修改投标函中的投标报价总额，应同时修改投标文件“试验检测服务费用清单”中的相应报价。此修改须符合本章第4.3 款的有关要求</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 xml:space="preserve"> </w:t>
      </w:r>
    </w:p>
    <w:p w14:paraId="6878414A">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3.2.4 招标人设有最高投标限价的，投标人的投标报价不得超过最高投标限价，最高投标限价在投标人须知前附表中载明。 </w:t>
      </w:r>
    </w:p>
    <w:p w14:paraId="2C9531FE">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3.2.5 投标报价的其他要求见投标人须知前附表。 </w:t>
      </w:r>
    </w:p>
    <w:p w14:paraId="30B589FD">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3.3 投标有效期</w:t>
      </w:r>
    </w:p>
    <w:p w14:paraId="450A2421">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3.3.1 除投标人须知前附表另有规定外，投标有效期为</w:t>
      </w:r>
      <w:r>
        <w:rPr>
          <w:rFonts w:hint="eastAsia" w:ascii="宋体" w:hAnsi="宋体" w:cs="宋体"/>
          <w:color w:val="auto"/>
          <w:sz w:val="22"/>
          <w:szCs w:val="22"/>
          <w:highlight w:val="none"/>
          <w:lang w:val="en-US" w:eastAsia="zh-CN"/>
        </w:rPr>
        <w:t>90</w:t>
      </w:r>
      <w:r>
        <w:rPr>
          <w:rFonts w:hint="eastAsia" w:ascii="宋体" w:hAnsi="宋体" w:eastAsia="宋体" w:cs="宋体"/>
          <w:color w:val="auto"/>
          <w:sz w:val="22"/>
          <w:szCs w:val="22"/>
          <w:highlight w:val="none"/>
        </w:rPr>
        <w:t>天。</w:t>
      </w:r>
    </w:p>
    <w:p w14:paraId="1589B402">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3.3.2 在投标有效期内，投标人撤销投标文件的，应承担招标文件和法律规定的责任。</w:t>
      </w:r>
    </w:p>
    <w:p w14:paraId="52549AE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3.3.3 出现特殊情况需要延长投标有效期的，招标人以书面形式通知所有投标人延长投标有效期。投标人应予以书面答复，同意延长的，应相应延长其投标保证金的有效期，但不得要求或被允许修改或撤销其投标文件；投标人拒绝延长的，其投标失效，但投标人有权收回其投标保证金及现金或支票形式递交的投标保证金的银行同期活期存款利息。</w:t>
      </w:r>
    </w:p>
    <w:p w14:paraId="1BA72788">
      <w:pPr>
        <w:spacing w:line="360" w:lineRule="auto"/>
        <w:ind w:firstLine="442" w:firstLineChars="200"/>
        <w:rPr>
          <w:rFonts w:hint="eastAsia" w:ascii="宋体" w:hAnsi="宋体" w:eastAsia="宋体" w:cs="宋体"/>
          <w:b w:val="0"/>
          <w:bCs w:val="0"/>
          <w:color w:val="auto"/>
          <w:sz w:val="22"/>
          <w:szCs w:val="22"/>
          <w:highlight w:val="none"/>
        </w:rPr>
      </w:pPr>
      <w:r>
        <w:rPr>
          <w:rFonts w:hint="eastAsia" w:ascii="宋体" w:hAnsi="宋体" w:eastAsia="宋体" w:cs="宋体"/>
          <w:b/>
          <w:bCs/>
          <w:color w:val="auto"/>
          <w:sz w:val="22"/>
          <w:szCs w:val="22"/>
          <w:highlight w:val="none"/>
        </w:rPr>
        <w:t>3.4 投标保证金</w:t>
      </w:r>
    </w:p>
    <w:p w14:paraId="1B4F78F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3.4.1 投标人在递交投标文件的同时，应按投标人须知前附表规定的金额</w:t>
      </w:r>
      <w:r>
        <w:rPr>
          <w:rStyle w:val="92"/>
          <w:rFonts w:hint="eastAsia" w:ascii="宋体" w:hAnsi="宋体" w:eastAsia="宋体" w:cs="宋体"/>
          <w:color w:val="auto"/>
          <w:sz w:val="22"/>
          <w:szCs w:val="22"/>
          <w:highlight w:val="none"/>
        </w:rPr>
        <w:footnoteReference w:id="0"/>
      </w:r>
      <w:r>
        <w:rPr>
          <w:rFonts w:hint="eastAsia" w:ascii="宋体" w:hAnsi="宋体" w:eastAsia="宋体" w:cs="宋体"/>
          <w:color w:val="auto"/>
          <w:sz w:val="22"/>
          <w:szCs w:val="22"/>
          <w:highlight w:val="none"/>
        </w:rPr>
        <w:t>和第</w:t>
      </w:r>
      <w:r>
        <w:rPr>
          <w:rFonts w:hint="eastAsia" w:ascii="宋体" w:hAnsi="宋体" w:cs="宋体"/>
          <w:color w:val="auto"/>
          <w:sz w:val="22"/>
          <w:szCs w:val="22"/>
          <w:highlight w:val="none"/>
          <w:lang w:val="en-US" w:eastAsia="zh-CN"/>
        </w:rPr>
        <w:t>七</w:t>
      </w:r>
      <w:r>
        <w:rPr>
          <w:rFonts w:hint="eastAsia" w:ascii="宋体" w:hAnsi="宋体" w:eastAsia="宋体" w:cs="宋体"/>
          <w:color w:val="auto"/>
          <w:sz w:val="22"/>
          <w:szCs w:val="22"/>
          <w:highlight w:val="none"/>
        </w:rPr>
        <w:t>章“投标文件格式”规定的投标保证金格式递交投标保证金，并作为其投标文件的组成部分。联合体投标的，其投标保证金由牵头人递交，并应符合投标人须知前附表的规定。</w:t>
      </w:r>
    </w:p>
    <w:p w14:paraId="4274D036">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投标保证金应采用现金、支票、银行保函或招标人在投标人须知前附表规定的其他形式，投标保证金的递交方法见投标人须知前附表。</w:t>
      </w:r>
    </w:p>
    <w:p w14:paraId="366274EC">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无论采取何种形式的投标保证金，投标保证金有效期均应与投标有效期一致。招标人如果按本章第 3.3.3 项的规定延长了投标有效期，则投标保证金的有效期也相应延长。</w:t>
      </w:r>
    </w:p>
    <w:p w14:paraId="25D4313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3.4.2 投标人不按本章第3.4.1项要求提交投标保证金的，评标委员会将否决其投标。</w:t>
      </w:r>
    </w:p>
    <w:p w14:paraId="62FBBF1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3.4.3 招标人最迟将在中标通知书发出后5日内向中标候选人以外的其他投标人退还投标保证金，与中标人签订书面合同后5日内向中标人和其他中标候选人退还投标保证金。投标保证金以现金或者支票形式递交的，招标人应同时退还投标保证金的银行同期活期存款利息，且退还至投标人的基本账户。</w:t>
      </w:r>
    </w:p>
    <w:p w14:paraId="1239DCE9">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利息计算原则见投标人须知前附表。</w:t>
      </w:r>
    </w:p>
    <w:p w14:paraId="7D88EDD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3.4.4 有下列情形之一的，投标保证金将不予退还：</w:t>
      </w:r>
    </w:p>
    <w:p w14:paraId="7D631A2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（1）投标人在规定的投标有效期内撤销其投标文件；</w:t>
      </w:r>
    </w:p>
    <w:p w14:paraId="1CA1D76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中标候选人无正当理由放弃中标项目资格的；或中标人无正当理由不与招标人签订合同的；或中标人在签订合同时向招标人提出附加条件或者更改合同实质性内容的；或者中标人不提交招标文件所要求的履约保证金的；</w:t>
      </w:r>
    </w:p>
    <w:p w14:paraId="65B1BEA0">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（3）发生投标人须知前附表规定的其他可以不予退还投标保证金的情形。</w:t>
      </w:r>
    </w:p>
    <w:p w14:paraId="3AB6022B">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3.5 资格审查资料（适用于未进行资格预审的）</w:t>
      </w:r>
    </w:p>
    <w:p w14:paraId="1826D51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除投标人须知前附表另有规定外，投标人应按下列规定提供资格审查资料，以证明其满足本章第1.4款规定的资质、财务、业绩、信誉等要求。</w:t>
      </w:r>
    </w:p>
    <w:p w14:paraId="54BC89C1">
      <w:pPr>
        <w:keepNext w:val="0"/>
        <w:keepLines w:val="0"/>
        <w:pageBreakBefore w:val="0"/>
        <w:widowControl w:val="0"/>
        <w:suppressLineNumbers w:val="0"/>
        <w:kinsoku/>
        <w:wordWrap w:val="0"/>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3.5.1 </w:t>
      </w:r>
      <w:r>
        <w:rPr>
          <w:rFonts w:hint="eastAsia" w:ascii="宋体" w:hAnsi="宋体" w:eastAsia="宋体" w:cs="宋体"/>
          <w:color w:val="auto"/>
          <w:sz w:val="22"/>
          <w:szCs w:val="22"/>
          <w:highlight w:val="none"/>
          <w:lang w:val="en-US" w:eastAsia="zh-CN"/>
        </w:rPr>
        <w:t>“投标人基本情况表”应附企业法人营业执照副本和组织机构代码证副本（按照“三证合一”或“五证合一”登记制度进行登记的，可仅提供营业执照副本，下同）、试验检测资质证书副本、基本账户开户许可证的复印件②，投标人在交通运输部“公路水运工程质量检测管理信息系统（https://www.ttiis.cn）”</w:t>
      </w:r>
      <w:r>
        <w:rPr>
          <w:rFonts w:hint="default" w:ascii="宋体" w:hAnsi="宋体" w:eastAsia="宋体" w:cs="宋体"/>
          <w:color w:val="auto"/>
          <w:sz w:val="22"/>
          <w:szCs w:val="22"/>
          <w:highlight w:val="none"/>
          <w:lang w:val="en-US" w:eastAsia="zh-CN"/>
        </w:rPr>
        <w:t>公路试验检测企业</w:t>
      </w:r>
      <w:r>
        <w:rPr>
          <w:rFonts w:hint="eastAsia" w:ascii="宋体" w:hAnsi="宋体" w:eastAsia="宋体" w:cs="宋体"/>
          <w:color w:val="auto"/>
          <w:sz w:val="22"/>
          <w:szCs w:val="22"/>
          <w:highlight w:val="none"/>
          <w:lang w:val="en-US" w:eastAsia="zh-CN"/>
        </w:rPr>
        <w:t xml:space="preserve">名录中的网页截图复印件，以及投标人在国家企业信用信息公示系统中基础信息（体现股东及出资详细信息）的网页截图或由法定的社会验资机构出具的验资报告或注册地工商部门出具的股东出资情况证明复印件。 </w:t>
      </w:r>
    </w:p>
    <w:p w14:paraId="33A814B4">
      <w:pPr>
        <w:keepNext w:val="0"/>
        <w:keepLines w:val="0"/>
        <w:widowControl w:val="0"/>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sz w:val="22"/>
          <w:szCs w:val="22"/>
          <w:highlight w:val="none"/>
          <w:lang w:val="en-US" w:eastAsia="zh-CN"/>
        </w:rPr>
        <w:t>企业法人营业执照副本和组织机构代码证副本、资质证书副本、基本账户开户许可证的复印件应提供全本（证书封面、封底、空白页除外），应包括投标人名称、投标人其他相关信息、颁发机构名称、投标人信息变更情况等关键页在内，并逐页加盖投标人单位章</w:t>
      </w:r>
      <w:r>
        <w:rPr>
          <w:rFonts w:hint="eastAsia" w:ascii="宋体" w:hAnsi="宋体" w:eastAsia="宋体" w:cs="宋体"/>
          <w:color w:val="auto"/>
          <w:kern w:val="2"/>
          <w:sz w:val="22"/>
          <w:szCs w:val="22"/>
          <w:highlight w:val="none"/>
          <w:lang w:val="en-US" w:eastAsia="zh-CN" w:bidi="ar"/>
        </w:rPr>
        <w:t>。</w:t>
      </w:r>
    </w:p>
    <w:p w14:paraId="3870AD9A">
      <w:pPr>
        <w:keepNext w:val="0"/>
        <w:keepLines w:val="0"/>
        <w:widowControl/>
        <w:suppressLineNumbers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3.5.2 “近年完成的类似项目”应是已列入交通运输主管部门“公路水运工程质量检测管理信息系统（https://www.ttiis.cn）”并公开的业绩，具体时间要求见投标人须知前附表。 </w:t>
      </w:r>
    </w:p>
    <w:p w14:paraId="783299B9">
      <w:pPr>
        <w:keepNext w:val="0"/>
        <w:keepLines w:val="0"/>
        <w:pageBreakBefore w:val="0"/>
        <w:widowControl/>
        <w:suppressLineNumbers w:val="0"/>
        <w:kinsoku/>
        <w:wordWrap w:val="0"/>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“近年完成的类似项目情况表”应附在交通运输部“公路水运工程质量检测管理信息系统（https://www.ttiis.cn）”中查询到的企业“业绩信息”相关项目网页截图复印件。</w:t>
      </w:r>
    </w:p>
    <w:p w14:paraId="087086B5">
      <w:pPr>
        <w:keepNext w:val="0"/>
        <w:keepLines w:val="0"/>
        <w:widowControl/>
        <w:suppressLineNumbers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如投标人未提供相关项目网页截图复印件或相关项目网页截图中的信息无法证实投标人满足招标文件规定的资格审查条件（业绩最低要求），则该项目业绩不予认定。</w:t>
      </w:r>
    </w:p>
    <w:p w14:paraId="7A1BBC19">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sz w:val="22"/>
          <w:szCs w:val="22"/>
          <w:highlight w:val="none"/>
        </w:rPr>
        <w:t>3.5.</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rPr>
        <w:t xml:space="preserve"> </w:t>
      </w:r>
      <w:r>
        <w:rPr>
          <w:rFonts w:hint="eastAsia" w:ascii="宋体" w:hAnsi="宋体" w:eastAsia="宋体" w:cs="宋体"/>
          <w:color w:val="auto"/>
          <w:kern w:val="2"/>
          <w:sz w:val="22"/>
          <w:szCs w:val="22"/>
          <w:highlight w:val="none"/>
          <w:lang w:val="en-US" w:eastAsia="zh-CN" w:bidi="ar"/>
        </w:rPr>
        <w:t>“投标人的信誉情况表”应附投标人在国家企业信用信息公示系统中未被列入严重违法失信企业名单、在“信用中国”网站中未被列入失信被执行人名单的网页截图复印件，以及近三年内投标人及其法定代表人、拟委任的</w:t>
      </w:r>
      <w:r>
        <w:rPr>
          <w:rFonts w:hint="eastAsia" w:ascii="宋体" w:hAnsi="宋体" w:cs="宋体"/>
          <w:color w:val="auto"/>
          <w:kern w:val="2"/>
          <w:sz w:val="22"/>
          <w:szCs w:val="22"/>
          <w:highlight w:val="none"/>
          <w:lang w:val="en-US" w:eastAsia="zh-CN" w:bidi="ar"/>
        </w:rPr>
        <w:t>中心试验室主任</w:t>
      </w:r>
      <w:r>
        <w:rPr>
          <w:rFonts w:hint="eastAsia" w:ascii="宋体" w:hAnsi="宋体" w:eastAsia="宋体" w:cs="宋体"/>
          <w:color w:val="auto"/>
          <w:kern w:val="2"/>
          <w:sz w:val="22"/>
          <w:szCs w:val="22"/>
          <w:highlight w:val="none"/>
          <w:lang w:val="en-US" w:eastAsia="zh-CN" w:bidi="ar"/>
        </w:rPr>
        <w:t>均无行贿犯罪行为承诺函。</w:t>
      </w:r>
    </w:p>
    <w:p w14:paraId="2D4C986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3.5.4“拟委任的主要检测人员资历表”应附试检测人员的身份证、职称资格证书和资格审查条件所要求的其他相关证书（如试验检测工程师证书等）的复印件，以及投标人所属社保机构出具的拟检测人员的社保缴费证明或其他能够证明参加社保的有效证明材料复印件。 </w:t>
      </w:r>
    </w:p>
    <w:p w14:paraId="74F7BC3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3.5.5 中心试验室主任资历证明材料详见投标须知前附表。 </w:t>
      </w:r>
    </w:p>
    <w:p w14:paraId="6D840EC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3.5.6 投标人须知前附表规定接受联合体投标的，本章第 3.5.1 项至第 3.5.5 项规定的表格和资料应包括联合体各方相关情况。 </w:t>
      </w:r>
    </w:p>
    <w:p w14:paraId="2D2A4169">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3.5.7 除合同条款约定的特殊情形外，投标人在投标文件中填报的</w:t>
      </w:r>
      <w:r>
        <w:rPr>
          <w:rFonts w:hint="eastAsia" w:ascii="宋体" w:hAnsi="宋体" w:cs="宋体"/>
          <w:color w:val="auto"/>
          <w:kern w:val="2"/>
          <w:sz w:val="22"/>
          <w:szCs w:val="22"/>
          <w:highlight w:val="none"/>
          <w:lang w:val="en-US" w:eastAsia="zh-CN" w:bidi="ar"/>
        </w:rPr>
        <w:t>中心试验室主任</w:t>
      </w:r>
      <w:r>
        <w:rPr>
          <w:rFonts w:hint="eastAsia" w:ascii="宋体" w:hAnsi="宋体" w:eastAsia="宋体" w:cs="宋体"/>
          <w:color w:val="auto"/>
          <w:sz w:val="22"/>
          <w:szCs w:val="22"/>
          <w:highlight w:val="none"/>
          <w:lang w:val="en-US" w:eastAsia="zh-CN"/>
        </w:rPr>
        <w:t xml:space="preserve">不允许更换。 </w:t>
      </w:r>
    </w:p>
    <w:p w14:paraId="4CC75836">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3.5.8 投标人在投标文件中填报的资质、业绩、主要人员资历和目前在岗情况、信用等级等信息，应与其在交通运输主管部门“</w:t>
      </w:r>
      <w:r>
        <w:rPr>
          <w:rFonts w:hint="eastAsia" w:ascii="宋体" w:hAnsi="宋体" w:eastAsia="宋体" w:cs="宋体"/>
          <w:color w:val="auto"/>
          <w:sz w:val="22"/>
          <w:szCs w:val="22"/>
          <w:highlight w:val="none"/>
          <w:lang w:val="en-US" w:eastAsia="zh-CN"/>
        </w:rPr>
        <w:t>公路水运工程质量检测管理信息系统（https://www.ttiis.cn）</w:t>
      </w:r>
      <w:r>
        <w:rPr>
          <w:rFonts w:hint="eastAsia" w:ascii="宋体" w:hAnsi="宋体" w:eastAsia="宋体" w:cs="宋体"/>
          <w:b w:val="0"/>
          <w:bCs w:val="0"/>
          <w:color w:val="auto"/>
          <w:sz w:val="22"/>
          <w:szCs w:val="22"/>
          <w:highlight w:val="none"/>
          <w:lang w:val="en-US" w:eastAsia="zh-CN"/>
        </w:rPr>
        <w:t xml:space="preserve">”上填报并发布的相关信息一致。投标人应根据本单位实际情况及时完成相关信息的申报、录入和动态更新，并对相关信息的真实性，完整性和准确性负责。 </w:t>
      </w:r>
    </w:p>
    <w:p w14:paraId="7CFA6034">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3.5.9 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或履约保证金中扣除不超过 5%签约合同价的金额作为违约金。同时招标人将投标人上述弄虚作假行为上报省级交通运输主管部门。 </w:t>
      </w:r>
    </w:p>
    <w:p w14:paraId="3E754191">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3.6 备选投标方案</w:t>
      </w:r>
    </w:p>
    <w:p w14:paraId="5C2E05FF">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3.6.1 除投标人须知前附表另有规定外，投标人不得递交备选投标方案，否则其投标将被否决。</w:t>
      </w:r>
    </w:p>
    <w:p w14:paraId="23E17E0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5B401508">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3.6.3 投标人提供两个或两个以上投标报价，或在投标文件中提供一个报价，但同时提供两个或两个以上施工组织设计的，视为提供备选方案。</w:t>
      </w:r>
    </w:p>
    <w:p w14:paraId="0739532E">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3.7 投标文件的编制</w:t>
      </w:r>
    </w:p>
    <w:p w14:paraId="605FBAFC">
      <w:pPr>
        <w:spacing w:line="360" w:lineRule="auto"/>
        <w:ind w:firstLine="440" w:firstLineChars="200"/>
        <w:rPr>
          <w:rFonts w:hint="eastAsia" w:ascii="宋体" w:hAnsi="宋体" w:eastAsia="宋体" w:cs="宋体"/>
          <w:b w:val="0"/>
          <w:bCs w:val="0"/>
          <w:color w:val="auto"/>
          <w:sz w:val="22"/>
          <w:szCs w:val="22"/>
          <w:highlight w:val="none"/>
        </w:rPr>
      </w:pPr>
      <w:bookmarkStart w:id="102" w:name="_Toc24948"/>
      <w:r>
        <w:rPr>
          <w:rFonts w:hint="eastAsia" w:ascii="宋体" w:hAnsi="宋体" w:eastAsia="宋体" w:cs="宋体"/>
          <w:b w:val="0"/>
          <w:bCs w:val="0"/>
          <w:color w:val="auto"/>
          <w:sz w:val="22"/>
          <w:szCs w:val="22"/>
          <w:highlight w:val="none"/>
          <w:lang w:val="en-US" w:eastAsia="zh-CN"/>
        </w:rPr>
        <w:t xml:space="preserve">3.7.1 投标文件应按第七章“投标文件格式”进行编写，如有必要，可以增加附页，作为投标文件的组成部分。 </w:t>
      </w:r>
    </w:p>
    <w:p w14:paraId="59C0E756">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 xml:space="preserve">3.7.2 投标文件应对招标文件有关试验检测服务期限、投标有效期、质量要求、安全目标、委任人要求、招标范围等实质性内容作出响应。 </w:t>
      </w:r>
    </w:p>
    <w:p w14:paraId="3835247A">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3.7.3 投标文件的制作应满足以下规定： </w:t>
      </w:r>
    </w:p>
    <w:p w14:paraId="5494B3B7">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（1）投标文件由投标人使用“电子交易平台”自带的“投标文件制作工具”制作生成。</w:t>
      </w:r>
    </w:p>
    <w:p w14:paraId="31B55609">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（2）投标人在编制投标文件时应建立分级目录，并按照标签提示导入相关内容。 </w:t>
      </w:r>
    </w:p>
    <w:p w14:paraId="01B60067">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（3）投标文件中证明资料的“复印件”均为“原件的扫描件”，应从“电子交易平台”会员诚信库中选择并进行超链接，未标示“复印件”的证明资料均应直接制作生成。 </w:t>
      </w:r>
    </w:p>
    <w:p w14:paraId="5ECC098F">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（4）投标文件中的已标价报价清单数据文件应与招标人提供的报价清单数据文件格式一致。 </w:t>
      </w:r>
    </w:p>
    <w:p w14:paraId="21DC1776">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（5）第七章“投标文件格式”中要求盖单位章和（或）签字的地方，投标人均应使用 CA 数字证书加盖投标人的单位电子印章和（或）法定代表人的个人电子印章或电子签名章。联合体投标的，投标文件由联合体牵头人按上述规定加盖联合体牵头人单位电子印章和（或）法定代表人的个人电子印章或电子签名章。 </w:t>
      </w:r>
    </w:p>
    <w:p w14:paraId="58FB03E5">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（6）投标文件制作完成后，投标人应使用 CA 数字证书对投标文件进行文件加密，形成加密的投标文件。 </w:t>
      </w:r>
    </w:p>
    <w:p w14:paraId="7E7F5F4F">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
        </w:rPr>
        <w:t>（7）投标文件制作的具体方法详见“投标文件制作工具”中的帮助文档。</w:t>
      </w:r>
      <w:r>
        <w:rPr>
          <w:rFonts w:hint="eastAsia" w:ascii="宋体" w:hAnsi="宋体" w:eastAsia="宋体" w:cs="宋体"/>
          <w:b w:val="0"/>
          <w:bCs w:val="0"/>
          <w:color w:val="auto"/>
          <w:sz w:val="22"/>
          <w:szCs w:val="22"/>
          <w:highlight w:val="none"/>
          <w:lang w:val="en-US" w:eastAsia="zh-CN"/>
        </w:rPr>
        <w:t xml:space="preserve"> </w:t>
      </w:r>
    </w:p>
    <w:p w14:paraId="3180F770">
      <w:pPr>
        <w:spacing w:line="360" w:lineRule="auto"/>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3.7.4 因投标人自身原因而导致投标文件无法导入“电子交易平台”电子开标、评标系统，该投标视为无效投标，投标人自行承担由此导致的全部责任</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 xml:space="preserve"> </w:t>
      </w:r>
    </w:p>
    <w:p w14:paraId="41F2F85E">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 投标</w:t>
      </w:r>
      <w:bookmarkEnd w:id="102"/>
    </w:p>
    <w:p w14:paraId="0E4FDBA3">
      <w:pPr>
        <w:spacing w:line="360" w:lineRule="auto"/>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4.1  投标文件的</w:t>
      </w:r>
      <w:r>
        <w:rPr>
          <w:rFonts w:hint="eastAsia" w:ascii="宋体" w:hAnsi="宋体" w:cs="宋体"/>
          <w:b/>
          <w:bCs/>
          <w:color w:val="auto"/>
          <w:sz w:val="22"/>
          <w:szCs w:val="22"/>
          <w:highlight w:val="none"/>
          <w:lang w:val="en-US" w:eastAsia="zh-CN"/>
        </w:rPr>
        <w:t>加密</w:t>
      </w:r>
    </w:p>
    <w:p w14:paraId="2D9D2037">
      <w:pPr>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投标文件应按照本章第 3.7.3 项要求制作并加密，未按要求加密的投标文件，招标人（“电子交易平台”）将拒绝接收并提示。 </w:t>
      </w:r>
    </w:p>
    <w:p w14:paraId="79652568">
      <w:pPr>
        <w:spacing w:line="360" w:lineRule="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4.2  投标文件的递交</w:t>
      </w:r>
    </w:p>
    <w:p w14:paraId="2C7AE7CD">
      <w:pPr>
        <w:keepNext w:val="0"/>
        <w:keepLines w:val="0"/>
        <w:widowControl/>
        <w:suppressLineNumbers w:val="0"/>
        <w:spacing w:line="360" w:lineRule="auto"/>
        <w:ind w:firstLine="440" w:firstLineChars="200"/>
        <w:jc w:val="left"/>
        <w:rPr>
          <w:rFonts w:hint="eastAsia" w:ascii="宋体" w:hAnsi="宋体" w:cs="宋体"/>
          <w:color w:val="auto"/>
          <w:kern w:val="2"/>
          <w:sz w:val="22"/>
          <w:szCs w:val="22"/>
          <w:highlight w:val="none"/>
          <w:lang w:val="en-US" w:eastAsia="zh-CN" w:bidi="ar"/>
        </w:rPr>
      </w:pPr>
      <w:r>
        <w:rPr>
          <w:rFonts w:hint="eastAsia" w:ascii="宋体" w:hAnsi="宋体" w:cs="宋体"/>
          <w:color w:val="auto"/>
          <w:kern w:val="2"/>
          <w:sz w:val="22"/>
          <w:szCs w:val="22"/>
          <w:highlight w:val="none"/>
          <w:lang w:val="en-US" w:eastAsia="zh-CN" w:bidi="ar"/>
        </w:rPr>
        <w:t xml:space="preserve">4.2.1 投标人应在第一章“招标公告”或“投标邀请书”规定的投标截止时间前，通过互联网使用 CA 数字证书登录“电子交易平台”，将加密的投标文件上传，并保存上传成功后系统自动生成的电子签收凭证，递交时间即为电子签收凭证时间。投标人应充分考虑上传文件时的不可预见因素，未在投标截止时间前完成上传的，视为逾期送达，招标人（“电子交易平台”）将拒绝接收。 </w:t>
      </w:r>
    </w:p>
    <w:p w14:paraId="03BBDBC0">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kern w:val="2"/>
          <w:sz w:val="22"/>
          <w:szCs w:val="22"/>
          <w:highlight w:val="none"/>
          <w:lang w:val="en-US" w:eastAsia="zh-CN" w:bidi="ar"/>
        </w:rPr>
        <w:t>4.2.2 根据本章第 4.1 款的规定，投标人递交的投标文件，只要出现应当拒收的情形，其投标文件予以拒收。</w:t>
      </w:r>
    </w:p>
    <w:p w14:paraId="499B8BE3">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4.3 投标文件的修改与撤回</w:t>
      </w:r>
    </w:p>
    <w:p w14:paraId="6A81D00A">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bookmarkStart w:id="103" w:name="_Toc23361"/>
      <w:r>
        <w:rPr>
          <w:rFonts w:hint="eastAsia" w:ascii="宋体" w:hAnsi="宋体" w:cs="宋体"/>
          <w:color w:val="auto"/>
          <w:sz w:val="22"/>
          <w:szCs w:val="22"/>
          <w:highlight w:val="none"/>
          <w:lang w:val="en-US" w:eastAsia="zh-CN"/>
        </w:rPr>
        <w:t xml:space="preserve">4.3.1 在本章第 4.2.1 项规定的投标截止时间前，投标人可以修改或撤回已递交的投标文件，但应以书面形式通知招标人。 </w:t>
      </w:r>
    </w:p>
    <w:p w14:paraId="1DD31C58">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4.3.2 投标人修改或撤回已递交投标文件的书面通知应按照本章第 3.7.3 项的要求签字或盖章。招标人收到书面通知后，向投标人出具签收凭证。 </w:t>
      </w:r>
    </w:p>
    <w:p w14:paraId="7F83EA7D">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 xml:space="preserve">4.3.3 投标人撤回投标文件的，招标人自收到投标人书面撤回通知之日起 5 日内退还已收取的投标保证金。 </w:t>
      </w:r>
    </w:p>
    <w:p w14:paraId="77961EB6">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4.3.4 修改的内容为投标文件的组成部分。修改的投标文件应按照本章第 3 条、第 4 条的规定进行编制、密封、标记和递交，并标明“修改”字样。</w:t>
      </w:r>
    </w:p>
    <w:p w14:paraId="342AEA47">
      <w:pPr>
        <w:spacing w:line="360" w:lineRule="auto"/>
        <w:rPr>
          <w:b/>
          <w:bCs/>
          <w:color w:val="auto"/>
          <w:sz w:val="22"/>
          <w:szCs w:val="22"/>
          <w:highlight w:val="none"/>
        </w:rPr>
      </w:pPr>
      <w:r>
        <w:rPr>
          <w:b/>
          <w:bCs/>
          <w:color w:val="auto"/>
          <w:sz w:val="22"/>
          <w:szCs w:val="22"/>
          <w:highlight w:val="none"/>
        </w:rPr>
        <w:t>5. 开标</w:t>
      </w:r>
      <w:bookmarkEnd w:id="103"/>
    </w:p>
    <w:p w14:paraId="7057EEC6">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5.1开标时间和地点</w:t>
      </w:r>
    </w:p>
    <w:p w14:paraId="2B36709B">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bookmarkStart w:id="104" w:name="_bookmark62"/>
      <w:bookmarkEnd w:id="104"/>
      <w:r>
        <w:rPr>
          <w:rFonts w:hint="eastAsia" w:ascii="宋体" w:hAnsi="宋体" w:eastAsia="宋体" w:cs="宋体"/>
          <w:color w:val="auto"/>
          <w:kern w:val="2"/>
          <w:sz w:val="22"/>
          <w:szCs w:val="22"/>
          <w:highlight w:val="none"/>
          <w:lang w:val="en-US" w:eastAsia="zh-CN" w:bidi="ar"/>
        </w:rPr>
        <w:t xml:space="preserve">招标人在本章第 4.2.1 项规定的投标截止时间（开标时间）和投标人须知前附表规定的地点对收到的投标文件第一个信封（商务及技术文件）公开开标，并邀请所有投标人的法定代表人或其委托代理人准时参加。 </w:t>
      </w:r>
    </w:p>
    <w:p w14:paraId="531D6C19">
      <w:pPr>
        <w:keepNext w:val="0"/>
        <w:keepLines w:val="0"/>
        <w:widowControl/>
        <w:suppressLineNumbers w:val="0"/>
        <w:spacing w:line="360" w:lineRule="auto"/>
        <w:ind w:firstLine="440" w:firstLineChars="200"/>
        <w:jc w:val="left"/>
        <w:rPr>
          <w:rFonts w:hint="eastAsia" w:ascii="宋体" w:hAnsi="宋体" w:eastAsia="宋体" w:cs="宋体"/>
          <w:color w:val="auto"/>
          <w:kern w:val="2"/>
          <w:sz w:val="22"/>
          <w:szCs w:val="22"/>
          <w:highlight w:val="none"/>
          <w:lang w:val="en-US" w:eastAsia="zh-CN" w:bidi="ar"/>
        </w:rPr>
      </w:pPr>
      <w:r>
        <w:rPr>
          <w:rFonts w:hint="eastAsia" w:ascii="宋体" w:hAnsi="宋体" w:eastAsia="宋体" w:cs="宋体"/>
          <w:color w:val="auto"/>
          <w:kern w:val="2"/>
          <w:sz w:val="22"/>
          <w:szCs w:val="22"/>
          <w:highlight w:val="none"/>
          <w:lang w:val="en-US" w:eastAsia="zh-CN" w:bidi="ar"/>
        </w:rPr>
        <w:t xml:space="preserve">招标人在投标人须知前附表规定的时间和地点对投标文件第二个信封（报价文件）进行开标，并邀请所有投标人的法定代表人或其委托代理人准时参加。 </w:t>
      </w:r>
    </w:p>
    <w:p w14:paraId="74C4B3DB">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若未派法定代表人或委托代理人参加第一个信封（商务及技术文件）开标的，其投标将被否决。投标人若未派法定代表人或委托代理人参加第二个信封（报价文件）开标的，视为该投标人默认第二个信封（报价文件）的开标结果。</w:t>
      </w:r>
    </w:p>
    <w:p w14:paraId="75A92289">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5.2开标程序</w:t>
      </w:r>
    </w:p>
    <w:p w14:paraId="770E0BDA">
      <w:pPr>
        <w:spacing w:line="360" w:lineRule="auto"/>
        <w:ind w:firstLine="440" w:firstLineChars="200"/>
        <w:rPr>
          <w:rFonts w:hint="eastAsia" w:ascii="宋体" w:hAnsi="宋体" w:eastAsia="宋体" w:cs="宋体"/>
          <w:color w:val="auto"/>
          <w:sz w:val="22"/>
          <w:szCs w:val="22"/>
          <w:highlight w:val="none"/>
          <w:lang w:val="en-US" w:eastAsia="zh-CN"/>
        </w:rPr>
      </w:pPr>
      <w:bookmarkStart w:id="105" w:name="_bookmark65"/>
      <w:bookmarkEnd w:id="105"/>
      <w:r>
        <w:rPr>
          <w:rFonts w:hint="eastAsia" w:ascii="宋体" w:hAnsi="宋体" w:eastAsia="宋体" w:cs="宋体"/>
          <w:color w:val="auto"/>
          <w:sz w:val="22"/>
          <w:szCs w:val="22"/>
          <w:highlight w:val="none"/>
          <w:lang w:val="en-US" w:eastAsia="zh-CN"/>
        </w:rPr>
        <w:t xml:space="preserve">5.2.1 主持人按下列程序对投标文件第一个信封（商务及技术文件）进行开标： </w:t>
      </w:r>
    </w:p>
    <w:p w14:paraId="61220B3F">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（1）宣布开标纪律； </w:t>
      </w:r>
    </w:p>
    <w:p w14:paraId="1478CAE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（2）公布在投标截止时间前递交投标文件的投标人数量； </w:t>
      </w:r>
    </w:p>
    <w:p w14:paraId="4697C11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（3）宣布开标人、唱标人、记录人等有关人员姓名； </w:t>
      </w:r>
    </w:p>
    <w:p w14:paraId="62D62FE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（4）由招标人现场随机抽取的投标人代表抽取评标基准价系数（如有）； </w:t>
      </w:r>
    </w:p>
    <w:p w14:paraId="2E7929A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（5）投标人代表解密加密的投标文件； </w:t>
      </w:r>
    </w:p>
    <w:p w14:paraId="2EDB54DF">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（6）招标人对未成功解密的投标文件进行退回并按本章第 5.3 款进行补救处理，对已解密成功的投标文件进行二次解密； </w:t>
      </w:r>
    </w:p>
    <w:p w14:paraId="7DB51DC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（7）导入并读取所有解密成功的投标文件第一个信封（商务及技术文件）的内容；</w:t>
      </w:r>
    </w:p>
    <w:p w14:paraId="63998C4F">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（8）公布标段名称、投标人名称、投标保证金的递交情况、服务期限及其他内容，并记录在案； </w:t>
      </w:r>
    </w:p>
    <w:p w14:paraId="73842BE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（9）投标人代表、招标人代表、记录人等有关人员在开标记录上签字确认； </w:t>
      </w:r>
    </w:p>
    <w:p w14:paraId="0E7EAB7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（10）开标结束。 </w:t>
      </w:r>
    </w:p>
    <w:p w14:paraId="04238BC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5.2.2 投标文件第二个信封（报价文件）在投标文件第一个信封（商务及技术文件）完成评审前，“电子交易平台”的开标评标系统将不进行读取。 </w:t>
      </w:r>
    </w:p>
    <w:p w14:paraId="2727C2C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5.2.3 招标人将按照本章第 5.1 款规定的时间和地点对投标文件第二个信封（报价文件）进行开标。主持人按下列程序进行开标： </w:t>
      </w:r>
    </w:p>
    <w:p w14:paraId="6669069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（1）宣布开标纪律； </w:t>
      </w:r>
    </w:p>
    <w:p w14:paraId="2C92BFF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（2）当众拆开投标文件第一个信封（商务及技术文件）评审结果的密封袋，宣布通过投标文件第一个信封（商务及技术文件）评审的投标人名单； </w:t>
      </w:r>
    </w:p>
    <w:p w14:paraId="1799EEE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（3）宣布开标人、唱标人、记录人等有关人员姓名； </w:t>
      </w:r>
    </w:p>
    <w:p w14:paraId="23EF096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（4）开标人将所有投标文件第二个信封（报价文件）的内容导入“电子交易平台”的开标评标系统，未通过投标文件第一个信封（商务及技术文件）评审的投标人的第二个信封（报价文件）不予读取；</w:t>
      </w:r>
    </w:p>
    <w:p w14:paraId="4907E21B">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（5）公布标段名称、投标人名称、投标报价及其他内容，并记录在案；</w:t>
      </w:r>
    </w:p>
    <w:p w14:paraId="60CB8181">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（6）投标人代表、招标人代表、记录人等有关人员在开标记录上签字确认；</w:t>
      </w:r>
    </w:p>
    <w:p w14:paraId="1482F15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（7）开标结束。 </w:t>
      </w:r>
    </w:p>
    <w:p w14:paraId="3B59BA08">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5.2.4 在投标文件第二个信封（报价文件）开标现场，招标人将按第三章“评标办法”规定的原则计算并宣布评标基准价。若招标人发现投标文件出现以下任一情况，其投标报价将不再参加评标基准价的计算： </w:t>
      </w:r>
    </w:p>
    <w:p w14:paraId="1CD7E91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（1）未在投标函上填写投标总价；</w:t>
      </w:r>
    </w:p>
    <w:p w14:paraId="18453465">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（2）投标报价超出招标人公布的最高投标限价（如有）；</w:t>
      </w:r>
    </w:p>
    <w:p w14:paraId="4BC89C69">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（3）投标报价的大写金额无法确定具体数值；</w:t>
      </w:r>
    </w:p>
    <w:p w14:paraId="7DF88318">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（4）投标函上填写的标段号与投标文件封套上标记的标段号不一致。</w:t>
      </w:r>
    </w:p>
    <w:p w14:paraId="6280D5C1">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14:paraId="0EA9DA9C">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5.2.5 在投标文件第一个信封（商务及技术文件）或第二个信封（报价文件）开标过程中，若招标人宣读的内容与投标文件不符，投标人有权在开标现场提出疑问</w:t>
      </w:r>
      <w:r>
        <w:rPr>
          <w:rFonts w:hint="eastAsia" w:ascii="宋体" w:hAnsi="宋体" w:cs="宋体"/>
          <w:color w:val="auto"/>
          <w:sz w:val="22"/>
          <w:szCs w:val="22"/>
          <w:highlight w:val="none"/>
          <w:lang w:val="en-US" w:eastAsia="zh-CN"/>
        </w:rPr>
        <w:t>，</w:t>
      </w:r>
      <w:r>
        <w:rPr>
          <w:rFonts w:hint="eastAsia" w:ascii="宋体" w:hAnsi="宋体" w:eastAsia="宋体" w:cs="宋体"/>
          <w:color w:val="auto"/>
          <w:sz w:val="22"/>
          <w:szCs w:val="22"/>
          <w:highlight w:val="none"/>
          <w:lang w:val="en-US" w:eastAsia="zh-CN"/>
        </w:rPr>
        <w:t>经招标人当场核查确认之后，可重新宣读其投标文件。若投标人现场未提出疑问，则认为投标人已确认招标人宣读的内容。</w:t>
      </w:r>
    </w:p>
    <w:p w14:paraId="437E016C">
      <w:pPr>
        <w:keepNext w:val="0"/>
        <w:keepLines w:val="0"/>
        <w:widowControl/>
        <w:suppressLineNumbers w:val="0"/>
        <w:spacing w:line="360" w:lineRule="auto"/>
        <w:jc w:val="left"/>
        <w:rPr>
          <w:rFonts w:hint="eastAsia" w:ascii="宋体" w:hAnsi="宋体" w:cs="宋体"/>
          <w:b/>
          <w:bCs/>
          <w:color w:val="auto"/>
          <w:sz w:val="22"/>
          <w:szCs w:val="22"/>
          <w:highlight w:val="none"/>
          <w:lang w:bidi="ar"/>
        </w:rPr>
      </w:pPr>
      <w:r>
        <w:rPr>
          <w:rFonts w:hint="eastAsia" w:ascii="宋体" w:hAnsi="宋体" w:eastAsia="宋体" w:cs="宋体"/>
          <w:b/>
          <w:bCs/>
          <w:color w:val="auto"/>
          <w:sz w:val="22"/>
          <w:szCs w:val="22"/>
          <w:highlight w:val="none"/>
        </w:rPr>
        <w:t xml:space="preserve">5.3 </w:t>
      </w:r>
      <w:r>
        <w:rPr>
          <w:rFonts w:hint="eastAsia" w:ascii="宋体" w:hAnsi="宋体" w:eastAsia="宋体" w:cs="宋体"/>
          <w:b/>
          <w:bCs/>
          <w:color w:val="auto"/>
          <w:kern w:val="2"/>
          <w:sz w:val="22"/>
          <w:szCs w:val="22"/>
          <w:highlight w:val="none"/>
          <w:lang w:val="en-US" w:eastAsia="zh-CN" w:bidi="ar"/>
        </w:rPr>
        <w:t xml:space="preserve">开标补救措施 </w:t>
      </w:r>
    </w:p>
    <w:p w14:paraId="3BD620DE">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5.3.1 开标过程中因本章第 5.3.2 项、第 5.3.3 项所列原因，导致系统无法正常运行，将按投标人须知前附表的规定采取补救措施。 </w:t>
      </w:r>
    </w:p>
    <w:p w14:paraId="55F98D93">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5.3.2 因“电子交易平台”系统故障导致投标人无法正常上传加密的投标文件，投标人应打印并递交电子交易平台自动生成的上传失败的异常记录单。 </w:t>
      </w:r>
    </w:p>
    <w:p w14:paraId="0B819F9B">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5.3.3 当出现以下情况时，应对未开标的中止电子开标，并在恢复正常后及时安排时间开标： </w:t>
      </w:r>
    </w:p>
    <w:p w14:paraId="656D5390">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（1）系统服务器发生故障，无法访问或无法使用系统； </w:t>
      </w:r>
    </w:p>
    <w:p w14:paraId="11312EE6">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（2）系统的软件或数据库出现错误，不能进行正常操作； </w:t>
      </w:r>
    </w:p>
    <w:p w14:paraId="1CF95992">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（3）系统发现有安全漏洞，有潜在的泄密危险； </w:t>
      </w:r>
    </w:p>
    <w:p w14:paraId="78A32EA2">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（4）出现断电事故且短时间内无法恢复供电； </w:t>
      </w:r>
    </w:p>
    <w:p w14:paraId="58D77562">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（5）其他无法保证招投标过程正常进行的情形。 </w:t>
      </w:r>
    </w:p>
    <w:p w14:paraId="0F4A037A">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5.3.4 采取补救措施时，必须对原有资料及信息作出妥善保密处理。 </w:t>
      </w:r>
    </w:p>
    <w:p w14:paraId="560151DB">
      <w:pPr>
        <w:keepNext w:val="0"/>
        <w:keepLines w:val="0"/>
        <w:widowControl/>
        <w:suppressLineNumbers w:val="0"/>
        <w:spacing w:line="360" w:lineRule="auto"/>
        <w:jc w:val="left"/>
        <w:rPr>
          <w:rFonts w:hint="eastAsia" w:ascii="宋体" w:hAnsi="宋体" w:cs="宋体"/>
          <w:b/>
          <w:bCs/>
          <w:color w:val="auto"/>
          <w:sz w:val="22"/>
          <w:szCs w:val="22"/>
          <w:highlight w:val="none"/>
        </w:rPr>
      </w:pPr>
      <w:r>
        <w:rPr>
          <w:rFonts w:hint="eastAsia" w:ascii="宋体" w:hAnsi="宋体" w:eastAsia="宋体" w:cs="宋体"/>
          <w:b/>
          <w:bCs/>
          <w:color w:val="auto"/>
          <w:kern w:val="2"/>
          <w:sz w:val="22"/>
          <w:szCs w:val="22"/>
          <w:highlight w:val="none"/>
          <w:lang w:val="en-US" w:eastAsia="zh-CN" w:bidi="ar"/>
        </w:rPr>
        <w:t xml:space="preserve">5.4 开标异议 </w:t>
      </w:r>
    </w:p>
    <w:p w14:paraId="09D80C0B">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投标人对开标有异议的，应在开标现场提出，招标人当场作出答复，并制作记录，有异议的投标人代表、招标人代表、记录人等有关人员在记录上签字确认</w:t>
      </w:r>
      <w:r>
        <w:rPr>
          <w:rFonts w:hint="eastAsia" w:ascii="宋体" w:hAnsi="宋体" w:eastAsia="宋体" w:cs="宋体"/>
          <w:color w:val="auto"/>
          <w:kern w:val="0"/>
          <w:sz w:val="24"/>
          <w:szCs w:val="24"/>
          <w:highlight w:val="none"/>
          <w:lang w:val="en-US" w:eastAsia="zh-CN" w:bidi="ar"/>
        </w:rPr>
        <w:t>。</w:t>
      </w:r>
    </w:p>
    <w:p w14:paraId="2853F1E2">
      <w:pPr>
        <w:spacing w:line="360" w:lineRule="auto"/>
        <w:rPr>
          <w:rFonts w:hint="eastAsia" w:ascii="宋体" w:hAnsi="宋体" w:eastAsia="宋体" w:cs="宋体"/>
          <w:b/>
          <w:bCs/>
          <w:color w:val="auto"/>
          <w:sz w:val="22"/>
          <w:szCs w:val="22"/>
          <w:highlight w:val="none"/>
        </w:rPr>
      </w:pPr>
      <w:bookmarkStart w:id="106" w:name="_Toc12250"/>
      <w:r>
        <w:rPr>
          <w:rFonts w:hint="eastAsia" w:ascii="宋体" w:hAnsi="宋体" w:eastAsia="宋体" w:cs="宋体"/>
          <w:b/>
          <w:bCs/>
          <w:color w:val="auto"/>
          <w:sz w:val="22"/>
          <w:szCs w:val="22"/>
          <w:highlight w:val="none"/>
        </w:rPr>
        <w:t>6. 评标</w:t>
      </w:r>
      <w:bookmarkEnd w:id="106"/>
    </w:p>
    <w:p w14:paraId="1A29CCAA">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6.1 评标委员会</w:t>
      </w:r>
    </w:p>
    <w:p w14:paraId="74785DF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0EE4E5A8">
      <w:pPr>
        <w:wordWrap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6.1.2 评标委员会成员有下列情形之一的，应主动提出回避：</w:t>
      </w:r>
    </w:p>
    <w:p w14:paraId="0878A594">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（1）为负责招标项目监督管理的交通运输主管部门的工作人员； </w:t>
      </w:r>
    </w:p>
    <w:p w14:paraId="5245EB8E">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（2）与投标人法定代表人或其委托代理人有近亲属关系； </w:t>
      </w:r>
    </w:p>
    <w:p w14:paraId="01DA57A3">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（3）为投标人的工作人员或退休人员； </w:t>
      </w:r>
    </w:p>
    <w:p w14:paraId="78B46EEF">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 xml:space="preserve">（4）与投标人有其他利害关系，可能影响评标活动公正性； </w:t>
      </w:r>
    </w:p>
    <w:p w14:paraId="6BD49022">
      <w:pPr>
        <w:keepNext w:val="0"/>
        <w:keepLines w:val="0"/>
        <w:widowControl/>
        <w:suppressLineNumbers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eastAsia="宋体" w:cs="宋体"/>
          <w:color w:val="auto"/>
          <w:kern w:val="2"/>
          <w:sz w:val="22"/>
          <w:szCs w:val="22"/>
          <w:highlight w:val="none"/>
          <w:lang w:val="en-US" w:eastAsia="zh-CN" w:bidi="ar"/>
        </w:rPr>
        <w:t>（5）在与招标投标有关的活动中有过违法违规行为、曾受过行政处罚或刑事处罚。</w:t>
      </w:r>
    </w:p>
    <w:p w14:paraId="04B5E606">
      <w:pPr>
        <w:spacing w:line="360" w:lineRule="auto"/>
        <w:ind w:firstLine="440" w:firstLineChars="200"/>
        <w:rPr>
          <w:rFonts w:hint="eastAsia"/>
          <w:color w:val="auto"/>
          <w:highlight w:val="none"/>
          <w:lang w:val="en-US" w:eastAsia="zh-CN"/>
        </w:rPr>
      </w:pPr>
      <w:r>
        <w:rPr>
          <w:rFonts w:hint="eastAsia" w:ascii="宋体" w:hAnsi="宋体" w:eastAsia="宋体" w:cs="宋体"/>
          <w:color w:val="auto"/>
          <w:sz w:val="22"/>
          <w:szCs w:val="22"/>
          <w:highlight w:val="none"/>
          <w:lang w:val="en-US" w:eastAsia="zh-CN"/>
        </w:rPr>
        <w:t>6.1.3 评标过程中，评标委员会成员有回避事由、擅离职守或因健康等原因不能继续评标的，招标人有权更换。被更换的评标委员会成员作出的评审结论无效，由更换后的评标委员会成员重新进行评审。</w:t>
      </w:r>
    </w:p>
    <w:p w14:paraId="243E3D1D">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6.2 评标原则</w:t>
      </w:r>
      <w:r>
        <w:rPr>
          <w:rFonts w:hint="eastAsia" w:ascii="宋体" w:hAnsi="宋体" w:eastAsia="宋体" w:cs="宋体"/>
          <w:b/>
          <w:bCs/>
          <w:color w:val="auto"/>
          <w:sz w:val="22"/>
          <w:szCs w:val="22"/>
          <w:highlight w:val="none"/>
        </w:rPr>
        <w:tab/>
      </w:r>
    </w:p>
    <w:p w14:paraId="26D18CDD">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评标活动遵循公平、公正、科学和择优的原则。</w:t>
      </w:r>
    </w:p>
    <w:p w14:paraId="2C6A7CE7">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6.3 评标</w:t>
      </w:r>
    </w:p>
    <w:p w14:paraId="16EF56F3">
      <w:pPr>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6.3.1 评标委员会按照第三章“评标办法”规定的方法、评审因素、标准和程序对投标文件进行评审。第三章“评标办法”没有规定的方法、评审因素和标准，不作为评标依据。</w:t>
      </w:r>
    </w:p>
    <w:p w14:paraId="121E751E">
      <w:pPr>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6.3.2 评标及补救措施</w:t>
      </w:r>
    </w:p>
    <w:p w14:paraId="59E6F7BC">
      <w:pPr>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评标委员会按照本章第 6.3.1 项的规定在电子评标系统上开展评审工作。如果评标过程中出现异常情况，导致无法继续评审工作的，可暂停评标，对原有资料及信息作出妥善保密处理，待电子评标系统恢复正常之后，应重新组织评审。</w:t>
      </w:r>
    </w:p>
    <w:p w14:paraId="2EC5DAB0">
      <w:pPr>
        <w:wordWrap w:val="0"/>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评标完成后，评标委员会应向招标人提交评标报告和中标候选人名单。评标委员会推荐中标候选人的人数见投标人须知前附表。</w:t>
      </w:r>
    </w:p>
    <w:p w14:paraId="521BB8F6">
      <w:pPr>
        <w:spacing w:line="360" w:lineRule="auto"/>
        <w:rPr>
          <w:rFonts w:hint="eastAsia" w:ascii="宋体" w:hAnsi="宋体" w:eastAsia="宋体" w:cs="宋体"/>
          <w:b/>
          <w:bCs/>
          <w:color w:val="auto"/>
          <w:sz w:val="22"/>
          <w:szCs w:val="22"/>
          <w:highlight w:val="none"/>
        </w:rPr>
      </w:pPr>
      <w:bookmarkStart w:id="107" w:name="_Toc4227"/>
      <w:r>
        <w:rPr>
          <w:rFonts w:hint="eastAsia" w:ascii="宋体" w:hAnsi="宋体" w:eastAsia="宋体" w:cs="宋体"/>
          <w:b/>
          <w:bCs/>
          <w:color w:val="auto"/>
          <w:sz w:val="22"/>
          <w:szCs w:val="22"/>
          <w:highlight w:val="none"/>
        </w:rPr>
        <w:t>7. 合同授予</w:t>
      </w:r>
      <w:bookmarkEnd w:id="107"/>
    </w:p>
    <w:p w14:paraId="256F6600">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7.1 中标候选人公示</w:t>
      </w:r>
    </w:p>
    <w:p w14:paraId="047B5214">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招标人在收到评标报告之日起 3 日内，按照投标人须知前附表规定的公示媒介和期限公示中标候选人，公示期不得少于 3 日，公示内容包括： </w:t>
      </w:r>
    </w:p>
    <w:p w14:paraId="3A22EF4B">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（1）中标候选人排序、名称、投标报价，对质量要求的响应情况； </w:t>
      </w:r>
    </w:p>
    <w:p w14:paraId="34BC2615">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（2）中标候选人在投标文件中承诺的</w:t>
      </w:r>
      <w:r>
        <w:rPr>
          <w:rFonts w:hint="eastAsia"/>
          <w:color w:val="auto"/>
          <w:sz w:val="22"/>
          <w:szCs w:val="22"/>
          <w:highlight w:val="none"/>
          <w:u w:val="none"/>
          <w:lang w:val="en-US" w:eastAsia="zh-CN"/>
        </w:rPr>
        <w:t>试验检测工程师资格证书</w:t>
      </w:r>
      <w:r>
        <w:rPr>
          <w:rFonts w:hint="eastAsia" w:ascii="宋体" w:hAnsi="宋体" w:eastAsia="宋体" w:cs="宋体"/>
          <w:color w:val="auto"/>
          <w:sz w:val="22"/>
          <w:szCs w:val="22"/>
          <w:highlight w:val="none"/>
          <w:lang w:val="en-US" w:eastAsia="zh-CN"/>
        </w:rPr>
        <w:t xml:space="preserve">姓名、个人业绩、相关证书名称和编号； </w:t>
      </w:r>
    </w:p>
    <w:p w14:paraId="6042E0F3">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（3）中标候选人在投标文件中填报的项目业绩； </w:t>
      </w:r>
    </w:p>
    <w:p w14:paraId="2A3E77AA">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（4）被否决投标的投标人名称、否决依据和原因； </w:t>
      </w:r>
    </w:p>
    <w:p w14:paraId="28E9C6D8">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（5）提出异议的渠道和方式； </w:t>
      </w:r>
    </w:p>
    <w:p w14:paraId="618AF90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（6）投标人须知前附表规定公示的其他内容</w:t>
      </w:r>
      <w:r>
        <w:rPr>
          <w:rFonts w:hint="eastAsia" w:ascii="宋体" w:hAnsi="宋体" w:eastAsia="宋体" w:cs="宋体"/>
          <w:color w:val="auto"/>
          <w:sz w:val="22"/>
          <w:szCs w:val="22"/>
          <w:highlight w:val="none"/>
        </w:rPr>
        <w:t>。</w:t>
      </w:r>
    </w:p>
    <w:p w14:paraId="4789804D">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7.2 评标结果异议</w:t>
      </w:r>
    </w:p>
    <w:p w14:paraId="57E90C6F">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投标人或其他利害关系人对依法必须进行招标的项目的评标结果有异议的，应在中标候选人公示期间提出。招标人将在收到异议之日起 3 日内作出答复；作出答复前，将暂停招标投标活动。提出异议与作出答复均应通过“电子交易平台”在“异议与答复”菜单以书面形式进行。</w:t>
      </w:r>
    </w:p>
    <w:p w14:paraId="352F347A">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7.3 中标候选人履约能力审查</w:t>
      </w:r>
    </w:p>
    <w:p w14:paraId="2CF7BEF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中标候选人的经营、财务状况发生较大变化或者存在违法行为，招标人认为可能影响其履约能力的，将在发出中标通知书前提请原评标委员会按照招标文件规定的标准和方法审查确认。</w:t>
      </w:r>
    </w:p>
    <w:p w14:paraId="45CDF1C8">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7.4 定标方式</w:t>
      </w:r>
    </w:p>
    <w:p w14:paraId="7C1FF956">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按照投标人须知前附表的规定， 招标人或招标人授权的评标委员会依法确定中标人。</w:t>
      </w:r>
    </w:p>
    <w:p w14:paraId="69C5C9B3">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7.5 中标通知</w:t>
      </w:r>
    </w:p>
    <w:p w14:paraId="09406D7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在本章第3.3款规定的投标有效期内，招标人以投标人须知</w:t>
      </w:r>
      <w:r>
        <w:rPr>
          <w:rFonts w:hint="eastAsia" w:ascii="宋体" w:hAnsi="宋体" w:cs="宋体"/>
          <w:color w:val="auto"/>
          <w:sz w:val="22"/>
          <w:szCs w:val="22"/>
          <w:highlight w:val="none"/>
          <w:lang w:val="en-US" w:eastAsia="zh-CN"/>
        </w:rPr>
        <w:t>前附</w:t>
      </w:r>
      <w:r>
        <w:rPr>
          <w:rFonts w:hint="eastAsia" w:ascii="宋体" w:hAnsi="宋体" w:eastAsia="宋体" w:cs="宋体"/>
          <w:color w:val="auto"/>
          <w:sz w:val="22"/>
          <w:szCs w:val="22"/>
          <w:highlight w:val="none"/>
          <w:lang w:val="en-US" w:eastAsia="zh-CN"/>
        </w:rPr>
        <w:t>表规定的形式向中标人发出中标通知书，同时将中标结果通知未中标的投标人。</w:t>
      </w:r>
    </w:p>
    <w:p w14:paraId="33009D1E">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7.6 中标结果公告</w:t>
      </w:r>
    </w:p>
    <w:p w14:paraId="53109F23">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招标人在确定中标人之日起 3 日内，按照投标人须知前附表规定的公告媒介和期限公告中标结果，公告期不得少于 3 日。公告内容包括中标人名称、中标价。</w:t>
      </w:r>
    </w:p>
    <w:p w14:paraId="011770F3">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7.7 履约保证金</w:t>
      </w:r>
    </w:p>
    <w:p w14:paraId="426BCFD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 10%。联合体中标的，其履约保证金以联合体各方或联合体中牵头人的名义提交。 </w:t>
      </w:r>
    </w:p>
    <w:p w14:paraId="06702496">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采用银行保函时，应由符合投标人须知前附表规定级别的银行开具，所需的费用由中标人承担，中标人应保证银行保函有效。 </w:t>
      </w:r>
    </w:p>
    <w:p w14:paraId="0B74F827">
      <w:pPr>
        <w:spacing w:line="36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7.7.2 中标人不能按本章第 7.7.1 项要求提交履约保证金的，视为放弃中标，其投标保证金不予退还，给招标人造成的损失超过投标保证金数额的，中标人还应对超过部分予以赔偿。</w:t>
      </w:r>
    </w:p>
    <w:p w14:paraId="70A33DE4">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7.8 签订合同</w:t>
      </w:r>
    </w:p>
    <w:p w14:paraId="1ED406C7">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7.8.1 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14:paraId="16BB129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7.8.2 发出中标通知书后，招标人无正当理由拒签合同，或在签订合同时向中标人提出附加条件的，招标人向中标人退还投标保证金；给中标人造成损失的，还应赔偿损失。 </w:t>
      </w:r>
    </w:p>
    <w:p w14:paraId="17A92EA6">
      <w:pPr>
        <w:spacing w:line="360" w:lineRule="auto"/>
        <w:ind w:firstLine="440"/>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 xml:space="preserve">招标人不得以压低施工试验检测费、增加工作量、缩短施工试验检测服务期限等作为中标的条件，不得与中标人再行订立背离合同实质性内容的其他协议。 </w:t>
      </w:r>
    </w:p>
    <w:p w14:paraId="385569C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7.8.3 签约合同价的确定原则如下： </w:t>
      </w:r>
    </w:p>
    <w:p w14:paraId="2D1D913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（1）按照评标办法规定对投标报价进行修正后，若修正后的最终投标报价小于开标时的投标函大写金额报价，则签订合同时以修正后的最终投标报价为准； </w:t>
      </w:r>
    </w:p>
    <w:p w14:paraId="3A7B3D22">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（2）按照评标办法规定对投标报价进行修正后，若修正后的最终投标报价大于开标时的投标函大写金额报价，则签订合同时以开标时的投标函大写金额报价为准，同时按比例修正相应子目的单价或合价。 </w:t>
      </w:r>
    </w:p>
    <w:p w14:paraId="2F42FBF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7.8.4 联合体中标的，联合体各方应共同与招标人签订合同，就中标项目向招标人承担连带责任。 </w:t>
      </w:r>
    </w:p>
    <w:p w14:paraId="58A4B54D">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7.8.5 招标人和中标人在签订合同协议书的同时，须按照本招标文件规定的格式和要求签订廉政合同，明确双方在廉政建设方面的权利和义务以及应承担的违约责任。 </w:t>
      </w:r>
    </w:p>
    <w:p w14:paraId="0B86D95D">
      <w:pPr>
        <w:spacing w:line="360" w:lineRule="auto"/>
        <w:rPr>
          <w:rFonts w:hint="eastAsia" w:ascii="宋体" w:hAnsi="宋体" w:eastAsia="宋体" w:cs="宋体"/>
          <w:b/>
          <w:bCs/>
          <w:color w:val="auto"/>
          <w:sz w:val="22"/>
          <w:szCs w:val="22"/>
          <w:highlight w:val="none"/>
        </w:rPr>
      </w:pPr>
      <w:bookmarkStart w:id="108" w:name="_Toc9690"/>
      <w:r>
        <w:rPr>
          <w:rFonts w:hint="eastAsia" w:ascii="宋体" w:hAnsi="宋体" w:eastAsia="宋体" w:cs="宋体"/>
          <w:b/>
          <w:bCs/>
          <w:color w:val="auto"/>
          <w:sz w:val="22"/>
          <w:szCs w:val="22"/>
          <w:highlight w:val="none"/>
        </w:rPr>
        <w:t xml:space="preserve">8. </w:t>
      </w:r>
      <w:r>
        <w:rPr>
          <w:rFonts w:hint="eastAsia" w:ascii="宋体" w:hAnsi="宋体" w:eastAsia="宋体" w:cs="宋体"/>
          <w:b/>
          <w:bCs/>
          <w:color w:val="auto"/>
          <w:sz w:val="22"/>
          <w:szCs w:val="22"/>
          <w:highlight w:val="none"/>
          <w:lang w:val="en-US" w:eastAsia="zh-CN"/>
        </w:rPr>
        <w:t>纪律和</w:t>
      </w:r>
      <w:r>
        <w:rPr>
          <w:rFonts w:hint="eastAsia" w:ascii="宋体" w:hAnsi="宋体" w:cs="宋体"/>
          <w:b/>
          <w:bCs/>
          <w:color w:val="auto"/>
          <w:sz w:val="22"/>
          <w:szCs w:val="22"/>
          <w:highlight w:val="none"/>
          <w:lang w:val="en-US" w:eastAsia="zh-CN"/>
        </w:rPr>
        <w:t>监督</w:t>
      </w:r>
    </w:p>
    <w:p w14:paraId="7CCC37C8">
      <w:pPr>
        <w:spacing w:line="360" w:lineRule="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xml:space="preserve">8.1 </w:t>
      </w:r>
      <w:r>
        <w:rPr>
          <w:rFonts w:hint="eastAsia" w:ascii="宋体" w:hAnsi="宋体" w:eastAsia="宋体" w:cs="宋体"/>
          <w:b/>
          <w:bCs/>
          <w:color w:val="auto"/>
          <w:sz w:val="22"/>
          <w:szCs w:val="22"/>
          <w:highlight w:val="none"/>
          <w:lang w:val="en-US" w:eastAsia="zh-CN"/>
        </w:rPr>
        <w:t>对招标人的纪律要求</w:t>
      </w:r>
    </w:p>
    <w:p w14:paraId="0FD3A4A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招标人不得泄露招标投标活动中应保密的情况和资料，不得与投标人串通损害国家利益、社会公共利益或他人合法权益。</w:t>
      </w:r>
    </w:p>
    <w:p w14:paraId="6D43F36F">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8.2 对投标人的纪律要求 </w:t>
      </w:r>
    </w:p>
    <w:p w14:paraId="78015A1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投标人不得相互串通投标或与招标人串通投标，不得向招标人或评标委员会成员行贿谋取中标，不得以他人名义投标或以其他方式弄虚作假骗取中标；投标人不得以任何方式干扰、影响评标工作。 </w:t>
      </w:r>
    </w:p>
    <w:p w14:paraId="53440AE2">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8.3 对评标委员会成员的纪律要求 </w:t>
      </w:r>
    </w:p>
    <w:p w14:paraId="4E8FAC9E">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 </w:t>
      </w:r>
    </w:p>
    <w:p w14:paraId="2AE1592E">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8.4 对与评标活动有关的工作人员的纪律要求 </w:t>
      </w:r>
    </w:p>
    <w:p w14:paraId="1439B53A">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14:paraId="04739D62">
      <w:pPr>
        <w:spacing w:line="360" w:lineRule="auto"/>
        <w:ind w:firstLine="0" w:firstLineChars="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8.5 投诉</w:t>
      </w:r>
    </w:p>
    <w:p w14:paraId="28CCDFC4">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8.5.1 投标人或其他利害关系人认为招标投标活动不符合法律、行政法规规定的，可以自知道或应当知道之日起 10 日内向有关行政监督部门投诉。投诉应有明确的请求和必要的证明材料。</w:t>
      </w:r>
    </w:p>
    <w:p w14:paraId="66AA17E0">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监督部门的联系方式见投标人须知前附表。 </w:t>
      </w:r>
    </w:p>
    <w:p w14:paraId="57D3953B">
      <w:pPr>
        <w:spacing w:line="360" w:lineRule="auto"/>
        <w:ind w:firstLine="440" w:firstLineChars="20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lang w:val="en-US" w:eastAsia="zh-CN"/>
        </w:rPr>
        <w:t>8.5.2 投标人或其他利害关系人对招标文件、开标和评标结果提出投诉的，应按照本章第 2.4款、第 5.3 款和第 7.2 款的规定先向招标人提出异议。异议答复期间不计算在第 8.5.1 项规定的</w:t>
      </w:r>
      <w:r>
        <w:rPr>
          <w:rFonts w:hint="eastAsia" w:ascii="宋体" w:hAnsi="宋体" w:cs="宋体"/>
          <w:color w:val="auto"/>
          <w:sz w:val="22"/>
          <w:szCs w:val="22"/>
          <w:highlight w:val="none"/>
          <w:lang w:val="en-US" w:eastAsia="zh-CN"/>
        </w:rPr>
        <w:t>期限内。</w:t>
      </w:r>
    </w:p>
    <w:p w14:paraId="739238EF">
      <w:pPr>
        <w:spacing w:line="360" w:lineRule="auto"/>
        <w:rPr>
          <w:rFonts w:hint="eastAsia" w:ascii="宋体" w:hAnsi="宋体" w:eastAsia="宋体" w:cs="宋体"/>
          <w:b/>
          <w:bCs/>
          <w:color w:val="auto"/>
          <w:sz w:val="22"/>
          <w:szCs w:val="22"/>
          <w:highlight w:val="none"/>
        </w:rPr>
      </w:pPr>
      <w:r>
        <w:rPr>
          <w:rFonts w:hint="eastAsia" w:ascii="宋体" w:hAnsi="宋体" w:cs="宋体"/>
          <w:b/>
          <w:bCs/>
          <w:color w:val="auto"/>
          <w:sz w:val="22"/>
          <w:szCs w:val="22"/>
          <w:highlight w:val="none"/>
          <w:lang w:val="en-US" w:eastAsia="zh-CN"/>
        </w:rPr>
        <w:t>9</w:t>
      </w:r>
      <w:r>
        <w:rPr>
          <w:rFonts w:hint="eastAsia" w:ascii="宋体" w:hAnsi="宋体" w:eastAsia="宋体" w:cs="宋体"/>
          <w:b/>
          <w:bCs/>
          <w:color w:val="auto"/>
          <w:sz w:val="22"/>
          <w:szCs w:val="22"/>
          <w:highlight w:val="none"/>
        </w:rPr>
        <w:t xml:space="preserve">. </w:t>
      </w:r>
      <w:r>
        <w:rPr>
          <w:rFonts w:hint="eastAsia" w:ascii="宋体" w:hAnsi="宋体" w:eastAsia="宋体" w:cs="宋体"/>
          <w:b/>
          <w:bCs/>
          <w:color w:val="auto"/>
          <w:sz w:val="22"/>
          <w:szCs w:val="22"/>
          <w:highlight w:val="none"/>
          <w:lang w:val="en-US" w:eastAsia="zh-CN"/>
        </w:rPr>
        <w:t>是否采用电子招标投标</w:t>
      </w:r>
      <w:bookmarkEnd w:id="108"/>
    </w:p>
    <w:p w14:paraId="20BBC298">
      <w:pPr>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本招标项目是否采用电子招标投标方式，见投标人须知前附表。</w:t>
      </w:r>
    </w:p>
    <w:p w14:paraId="2B96EE25">
      <w:pPr>
        <w:spacing w:line="360" w:lineRule="auto"/>
        <w:rPr>
          <w:rFonts w:hint="eastAsia" w:ascii="宋体" w:hAnsi="宋体" w:eastAsia="宋体" w:cs="宋体"/>
          <w:b/>
          <w:bCs/>
          <w:color w:val="auto"/>
          <w:sz w:val="22"/>
          <w:szCs w:val="22"/>
          <w:highlight w:val="none"/>
        </w:rPr>
      </w:pPr>
      <w:bookmarkStart w:id="109" w:name="_Toc25637"/>
      <w:r>
        <w:rPr>
          <w:rFonts w:hint="eastAsia" w:ascii="宋体" w:hAnsi="宋体" w:eastAsia="宋体" w:cs="宋体"/>
          <w:b/>
          <w:bCs/>
          <w:color w:val="auto"/>
          <w:sz w:val="22"/>
          <w:szCs w:val="22"/>
          <w:highlight w:val="none"/>
        </w:rPr>
        <w:t>10. 需要补充的其他内容</w:t>
      </w:r>
      <w:bookmarkEnd w:id="109"/>
    </w:p>
    <w:p w14:paraId="336C6F11">
      <w:pPr>
        <w:spacing w:line="360" w:lineRule="auto"/>
        <w:ind w:firstLine="428" w:firstLineChars="200"/>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lang w:val="en-US" w:eastAsia="zh-CN"/>
        </w:rPr>
        <w:t>10.1 自购买招标文件之日起，投标人应保证其提供的联系方式（电话、传真、电子邮件）一直有效，以便及时收到招标人发出的函件(招标文件的澄清、修改等)，并应及时向招标人反馈信息，否则招标人不承担由此引起的一切后果。</w:t>
      </w:r>
    </w:p>
    <w:p w14:paraId="1EBF67C1">
      <w:pPr>
        <w:spacing w:line="360" w:lineRule="auto"/>
        <w:ind w:firstLine="428" w:firstLineChars="200"/>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需要补充的其他内容：见投标人须知前附表</w:t>
      </w:r>
      <w:bookmarkEnd w:id="99"/>
      <w:bookmarkEnd w:id="100"/>
      <w:bookmarkEnd w:id="101"/>
      <w:r>
        <w:rPr>
          <w:rFonts w:hint="eastAsia" w:ascii="宋体" w:hAnsi="宋体" w:eastAsia="宋体" w:cs="宋体"/>
          <w:color w:val="auto"/>
          <w:sz w:val="22"/>
          <w:szCs w:val="22"/>
          <w:highlight w:val="none"/>
        </w:rPr>
        <w:t>。</w:t>
      </w:r>
    </w:p>
    <w:p w14:paraId="549C3E1E">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 xml:space="preserve">本项目采用优质采云采购平台进行全流程电子招投标。依据《关于进一步规范电子招标投标系统建设运营的通知》（发改委法规【2014】1925 号)的相关规定，由中标人支付交易平台使用与技术支持服务费用。收费标准:按每标段按中标金额*0.2‰费率计算，不满 3000 元时按 3000 元收取，超过 8000 元时，按 8000 元收取。该费用在工程量清单中不单独计列，请各投标人综合考虑报价。中标人在支付优质采云采购平台使用与技术支持服务费用后，凭缴费收据或发票到招标人处领取中标通知书。 </w:t>
      </w:r>
    </w:p>
    <w:p w14:paraId="3FF1DCA9">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户名: 安徽智云上数字科技有限公司</w:t>
      </w:r>
    </w:p>
    <w:p w14:paraId="78AFDC5A">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账号: 34050147470800003969</w:t>
      </w:r>
    </w:p>
    <w:p w14:paraId="3241B0C3">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开户银行: 中国建设银行股份有限公司合肥滨湖新区支行</w:t>
      </w:r>
    </w:p>
    <w:p w14:paraId="0E6B6664">
      <w:pPr>
        <w:spacing w:line="360" w:lineRule="auto"/>
        <w:ind w:firstLine="442" w:firstLineChars="200"/>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缴费咨询电话: 0551-62220164</w:t>
      </w:r>
    </w:p>
    <w:p w14:paraId="5A06632F">
      <w:pPr>
        <w:autoSpaceDE w:val="0"/>
        <w:autoSpaceDN w:val="0"/>
        <w:adjustRightInd w:val="0"/>
        <w:spacing w:line="360" w:lineRule="auto"/>
        <w:jc w:val="center"/>
        <w:rPr>
          <w:b/>
          <w:bCs/>
          <w:color w:val="auto"/>
          <w:sz w:val="22"/>
          <w:szCs w:val="22"/>
          <w:highlight w:val="none"/>
        </w:rPr>
      </w:pPr>
    </w:p>
    <w:p w14:paraId="422AB582">
      <w:pPr>
        <w:autoSpaceDE w:val="0"/>
        <w:autoSpaceDN w:val="0"/>
        <w:adjustRightInd w:val="0"/>
        <w:spacing w:line="360" w:lineRule="auto"/>
        <w:jc w:val="center"/>
        <w:rPr>
          <w:b/>
          <w:bCs/>
          <w:color w:val="auto"/>
          <w:sz w:val="22"/>
          <w:szCs w:val="22"/>
          <w:highlight w:val="none"/>
        </w:rPr>
      </w:pPr>
    </w:p>
    <w:p w14:paraId="68E72EF1">
      <w:pPr>
        <w:autoSpaceDE w:val="0"/>
        <w:autoSpaceDN w:val="0"/>
        <w:adjustRightInd w:val="0"/>
        <w:spacing w:line="360" w:lineRule="auto"/>
        <w:jc w:val="center"/>
        <w:rPr>
          <w:b/>
          <w:bCs/>
          <w:color w:val="auto"/>
          <w:sz w:val="22"/>
          <w:szCs w:val="22"/>
          <w:highlight w:val="none"/>
        </w:rPr>
      </w:pPr>
      <w:r>
        <w:rPr>
          <w:b/>
          <w:bCs/>
          <w:color w:val="auto"/>
          <w:sz w:val="22"/>
          <w:szCs w:val="22"/>
          <w:highlight w:val="none"/>
        </w:rPr>
        <w:t>附件：</w:t>
      </w:r>
      <w:r>
        <w:rPr>
          <w:rFonts w:hint="eastAsia"/>
          <w:b/>
          <w:bCs/>
          <w:color w:val="auto"/>
          <w:sz w:val="22"/>
          <w:szCs w:val="22"/>
          <w:highlight w:val="none"/>
        </w:rPr>
        <w:t>关于印发《合肥市公共资源交易电子招标投标操作规程》的通知</w:t>
      </w:r>
    </w:p>
    <w:p w14:paraId="413414D4">
      <w:pPr>
        <w:autoSpaceDE w:val="0"/>
        <w:autoSpaceDN w:val="0"/>
        <w:adjustRightInd w:val="0"/>
        <w:spacing w:line="360" w:lineRule="auto"/>
        <w:jc w:val="center"/>
        <w:rPr>
          <w:rFonts w:hint="eastAsia" w:eastAsia="宋体"/>
          <w:b/>
          <w:bCs/>
          <w:color w:val="auto"/>
          <w:sz w:val="22"/>
          <w:szCs w:val="22"/>
          <w:highlight w:val="none"/>
          <w:lang w:eastAsia="zh-CN"/>
        </w:rPr>
      </w:pPr>
      <w:r>
        <w:rPr>
          <w:rFonts w:hint="eastAsia"/>
          <w:b/>
          <w:bCs/>
          <w:color w:val="auto"/>
          <w:sz w:val="22"/>
          <w:szCs w:val="22"/>
          <w:highlight w:val="none"/>
        </w:rPr>
        <w:t>合公业〔2022〕250号</w:t>
      </w:r>
    </w:p>
    <w:p w14:paraId="5703469F">
      <w:pPr>
        <w:pStyle w:val="28"/>
        <w:spacing w:line="360" w:lineRule="auto"/>
        <w:rPr>
          <w:rFonts w:hint="default"/>
          <w:color w:val="auto"/>
          <w:sz w:val="22"/>
          <w:szCs w:val="22"/>
          <w:highlight w:val="none"/>
        </w:rPr>
      </w:pPr>
      <w:r>
        <w:rPr>
          <w:rFonts w:hint="default"/>
          <w:color w:val="auto"/>
          <w:sz w:val="22"/>
          <w:szCs w:val="22"/>
          <w:highlight w:val="none"/>
        </w:rPr>
        <w:t>各有关单位：</w:t>
      </w:r>
    </w:p>
    <w:p w14:paraId="6DFED4A7">
      <w:pPr>
        <w:pStyle w:val="28"/>
        <w:spacing w:line="360" w:lineRule="auto"/>
        <w:ind w:firstLine="440" w:firstLineChars="200"/>
        <w:rPr>
          <w:rFonts w:hint="default"/>
          <w:color w:val="auto"/>
          <w:sz w:val="22"/>
          <w:szCs w:val="22"/>
          <w:highlight w:val="none"/>
        </w:rPr>
      </w:pPr>
      <w:r>
        <w:rPr>
          <w:rFonts w:hint="default"/>
          <w:color w:val="auto"/>
          <w:sz w:val="22"/>
          <w:szCs w:val="22"/>
          <w:highlight w:val="none"/>
        </w:rPr>
        <w:t>市公共资源交易监督管理局结合实际对《合肥市公共资源交易电子招标投标操作规程》进行修订，相关内容已经审议通过，并经市司法局依法登记，登记号“HFGS-2022-046”，现印发给你们，请遵照执行。</w:t>
      </w:r>
    </w:p>
    <w:p w14:paraId="68B8608E">
      <w:pPr>
        <w:pStyle w:val="28"/>
        <w:spacing w:line="360" w:lineRule="auto"/>
        <w:jc w:val="right"/>
        <w:rPr>
          <w:rFonts w:hint="default"/>
          <w:color w:val="auto"/>
          <w:sz w:val="22"/>
          <w:szCs w:val="22"/>
          <w:highlight w:val="none"/>
        </w:rPr>
      </w:pPr>
      <w:r>
        <w:rPr>
          <w:rFonts w:hint="default"/>
          <w:color w:val="auto"/>
          <w:sz w:val="22"/>
          <w:szCs w:val="22"/>
          <w:highlight w:val="none"/>
        </w:rPr>
        <w:t>2022年11月8日</w:t>
      </w:r>
    </w:p>
    <w:p w14:paraId="18D3E619">
      <w:pPr>
        <w:pStyle w:val="28"/>
        <w:spacing w:line="360" w:lineRule="auto"/>
        <w:rPr>
          <w:rFonts w:hint="default"/>
          <w:color w:val="auto"/>
          <w:sz w:val="22"/>
          <w:szCs w:val="22"/>
          <w:highlight w:val="none"/>
        </w:rPr>
      </w:pPr>
    </w:p>
    <w:p w14:paraId="7ACE336C">
      <w:pPr>
        <w:pStyle w:val="28"/>
        <w:spacing w:line="360" w:lineRule="auto"/>
        <w:jc w:val="center"/>
        <w:rPr>
          <w:rFonts w:hint="default"/>
          <w:color w:val="auto"/>
          <w:sz w:val="22"/>
          <w:szCs w:val="22"/>
          <w:highlight w:val="none"/>
        </w:rPr>
      </w:pPr>
      <w:r>
        <w:rPr>
          <w:rFonts w:hint="default"/>
          <w:color w:val="auto"/>
          <w:sz w:val="22"/>
          <w:szCs w:val="22"/>
          <w:highlight w:val="none"/>
        </w:rPr>
        <w:t>合肥市公共资源交易电子招标投标操作规程</w:t>
      </w:r>
    </w:p>
    <w:p w14:paraId="663759DA">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color w:val="auto"/>
          <w:sz w:val="22"/>
          <w:szCs w:val="22"/>
          <w:highlight w:val="none"/>
        </w:rPr>
        <w:t xml:space="preserve">第一条  </w:t>
      </w:r>
      <w:r>
        <w:rPr>
          <w:rFonts w:hint="eastAsia"/>
          <w:color w:val="auto"/>
          <w:sz w:val="22"/>
          <w:szCs w:val="22"/>
          <w:highlight w:val="none"/>
        </w:rPr>
        <w:t>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14:paraId="1BD3481A">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第二条  本规程适用于进入安徽合肥公共资源交易平台交易的项目。行业主管部门另有规定的，从其规定。</w:t>
      </w:r>
    </w:p>
    <w:p w14:paraId="6009A172">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第三条  本规程所称的电子招标投标，是指以数据电文形式，依托电子交易系统和电子服务系统完成的全部或者部分招标投标交易活动。</w:t>
      </w:r>
    </w:p>
    <w:p w14:paraId="770C8D4B">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第四条  电子交易系统是招标投标当事人通过数据电文形式完成招标投标交易活动的系统。</w:t>
      </w:r>
    </w:p>
    <w:p w14:paraId="7F7B12C5">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电子交易系统要具备在线完成招标投标全部交易过程，编辑、生成、对接、交换和发布有关招标投标数据信息的功能，并为行政监督部门依法实施监督和受理投诉提供所需的信息通道。</w:t>
      </w:r>
    </w:p>
    <w:p w14:paraId="2BB6D525">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第五条  电子服务系统是满足与各电子交易系统之间电子招标投标信息对接交换、资源共享需要，并为市场主体、行政监督部门和社会公众提供信息交换、整合和发布的系统。</w:t>
      </w:r>
    </w:p>
    <w:p w14:paraId="79209A7F">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电子服务系统要具备与各电子交易系统之间招标投标相关信息对接、交换、发布、资格信誉和业绩公开、行业统计分析、连接评标专家库、提供行政监督通道等服务功能。</w:t>
      </w:r>
    </w:p>
    <w:p w14:paraId="55F3CE28">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第六条  招标人或招标代理机构负责电子招标投标的组织实施，电子交易系统建设单位负责电子交易系统的服务保障，电子服务系统建设单位负责电子服务系统的服务保障。</w:t>
      </w:r>
    </w:p>
    <w:p w14:paraId="27BB9B58">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第七条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14:paraId="6F83E41D">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投标人应妥善保管数字证书，由于数字证书遗失、损坏、更换、续期等情况导致投标文件无法上传或解密，由投标人自行承担责任。</w:t>
      </w:r>
    </w:p>
    <w:p w14:paraId="06E9C308">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 xml:space="preserve">第八条  招标人或招标代理机构应在招标公告和招标文件中明确招标项目采取电子招标投标方式，并按相关流程通过电子交易系统制作招标文件。 </w:t>
      </w:r>
    </w:p>
    <w:p w14:paraId="7B64AF13">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第九条  招标公告、招标文件应由招标人或招标代理机构通过电子服务系统在安徽合肥公共资源交易中心网站发布，其中招标文件须加盖电子签章。</w:t>
      </w:r>
    </w:p>
    <w:p w14:paraId="6ACD5DAE">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第十条  投标人登录安徽合肥公共资源交易中心电子服务系统获取招标文件。</w:t>
      </w:r>
    </w:p>
    <w:p w14:paraId="7FD40CD1">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第十一条  澄清、修改文件应由招标人或招标代理机构通过电子服务系统在安徽合肥公共资源交易中心网站发布，投标人应及时查阅相关澄清、修改信息。</w:t>
      </w:r>
    </w:p>
    <w:p w14:paraId="1B711194">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第十二条  投标人应使用电子标书制作软件制作投标文件，电子标书制作软件应允许投标人离线制作投标文件，并且具备分段或整体加密、解密功能。</w:t>
      </w:r>
    </w:p>
    <w:p w14:paraId="2FF5B261">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第十三条  投标人必须对投标文件进行电子签章并使用数字证书加密，并于招标文件规定的投标截止时间前通过电子交易系统完成上传。</w:t>
      </w:r>
    </w:p>
    <w:p w14:paraId="5FB346F4">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投标人对加密的投标文件进行撤回的，应通过电子交易系统在投标截止时间前进行撤回操作；投标人对加密的投标文件进行修改的，应在投标截止时间前完成上传。</w:t>
      </w:r>
    </w:p>
    <w:p w14:paraId="582A5D9D">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第十四条  投标截止时间以电子交易系统显示的时间为准，逾期系统将自动关闭, 未完成上传的投标文件将被拒绝。</w:t>
      </w:r>
    </w:p>
    <w:p w14:paraId="161E16B4">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第十五条  投标人在投标截止时间后按招标文件规定的解密时间完成投标文件解密，加密和解密须用同一数字证书。投标人未在招标文件规定的时间内完成解密的视为其放弃投标。</w:t>
      </w:r>
    </w:p>
    <w:p w14:paraId="089713FA">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招标人或招标代理机构完成解密，导入并读取所有成功解密的投标文件，电子交易系统应自动记录开标过程。</w:t>
      </w:r>
    </w:p>
    <w:p w14:paraId="03E6055F">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招标文件约定须到达指定地点或线上进行演示、答辩、磋商、谈判等情形的，投标人应按照招标文件规定的时间到达指定地点或登录电子交易系统保持在线。</w:t>
      </w:r>
    </w:p>
    <w:p w14:paraId="7A3D35AA">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第十六条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14:paraId="5ACDA99D">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第十七条  招标人或招标代理机构组织评标，评标委员会依据招标文件规定的评标办法进行电子评标，并对评标结果签字或电子签名确认。</w:t>
      </w:r>
    </w:p>
    <w:p w14:paraId="4C3873C8">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多次报价应按招标文件的要求提交。</w:t>
      </w:r>
    </w:p>
    <w:p w14:paraId="125CD490">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第十八条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14:paraId="26E4B1F0">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第十九条  评标委员会完成评标后，应通过电子交易系统提交评标报告。招标人或招标代理机构将评标报告及时交互至电子服务系统。</w:t>
      </w:r>
    </w:p>
    <w:p w14:paraId="1AA55299">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第二十条  招标人或招标代理机构应通过电子服务系统在安徽合肥公共资源交易中心网站公示和公布中标候选人及中标结果。</w:t>
      </w:r>
    </w:p>
    <w:p w14:paraId="4D5C9351">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第二十一条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14:paraId="5BD2CE1F">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 xml:space="preserve">第二十二条  招标人确定中标人后，应通过电子交易系统向中标人发出中标通知书，中标通知书发出即视为送达。 </w:t>
      </w:r>
    </w:p>
    <w:p w14:paraId="0B35160A">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第二十三条  出现下列情形导致电子服务系统或电子交易系统无法正常运行，影响招标投标过程的公平、公正和信息安全，经第三方机构认定后，各方当事人免责：</w:t>
      </w:r>
    </w:p>
    <w:p w14:paraId="1CC5C9DB">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（一）网络、服务器、数据库发生故障造成无法访问或使用的；</w:t>
      </w:r>
    </w:p>
    <w:p w14:paraId="63AE95A9">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（二）电力系统发生故障导致电子服务系统或电子交易系统无法运行的；</w:t>
      </w:r>
    </w:p>
    <w:p w14:paraId="084D1BED">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（三）出现网络攻击、病毒入侵以及电子服务系统或电子交易系统安全漏洞导致无法正常提供服务的；</w:t>
      </w:r>
    </w:p>
    <w:p w14:paraId="35CC081D">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（四）其他无法保证招标投标过程公平、公正和信息安全的情形。</w:t>
      </w:r>
    </w:p>
    <w:p w14:paraId="56FAA1B2">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第二十四条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14:paraId="24E52D59">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14:paraId="5CEF5CE2">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14:paraId="44AE1F8B">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第二十五条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14:paraId="19BE9F6E">
      <w:pPr>
        <w:pStyle w:val="28"/>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default"/>
          <w:color w:val="auto"/>
          <w:sz w:val="22"/>
          <w:szCs w:val="22"/>
          <w:highlight w:val="none"/>
        </w:rPr>
      </w:pPr>
      <w:r>
        <w:rPr>
          <w:rFonts w:hint="eastAsia"/>
          <w:color w:val="auto"/>
          <w:sz w:val="22"/>
          <w:szCs w:val="22"/>
          <w:highlight w:val="none"/>
        </w:rPr>
        <w:t>第二十六条  本规程由合肥市公共资源交易监督管理局负责解释。</w:t>
      </w:r>
    </w:p>
    <w:p w14:paraId="0ADE872F">
      <w:pPr>
        <w:pStyle w:val="28"/>
        <w:spacing w:line="360" w:lineRule="auto"/>
        <w:rPr>
          <w:color w:val="auto"/>
          <w:sz w:val="22"/>
          <w:szCs w:val="22"/>
          <w:highlight w:val="none"/>
        </w:rPr>
      </w:pPr>
      <w:r>
        <w:rPr>
          <w:rFonts w:hint="eastAsia"/>
          <w:color w:val="auto"/>
          <w:sz w:val="22"/>
          <w:szCs w:val="22"/>
          <w:highlight w:val="none"/>
        </w:rPr>
        <w:t>第二十七条  本规程自发布之日起施行，有效期2年。原《合肥市公共资源交易电子招标投标操作规程》（合公法〔2020〕16号）同时废止</w:t>
      </w:r>
      <w:r>
        <w:rPr>
          <w:color w:val="auto"/>
          <w:sz w:val="22"/>
          <w:szCs w:val="22"/>
          <w:highlight w:val="none"/>
        </w:rPr>
        <w:t>。</w:t>
      </w:r>
    </w:p>
    <w:p w14:paraId="68B99730">
      <w:pPr>
        <w:topLinePunct/>
        <w:spacing w:line="300" w:lineRule="auto"/>
        <w:ind w:right="31" w:rightChars="15"/>
        <w:jc w:val="center"/>
        <w:outlineLvl w:val="0"/>
        <w:rPr>
          <w:rFonts w:eastAsia="黑体"/>
          <w:b/>
          <w:bCs/>
          <w:color w:val="auto"/>
          <w:sz w:val="36"/>
          <w:szCs w:val="36"/>
          <w:highlight w:val="none"/>
        </w:rPr>
      </w:pPr>
      <w:bookmarkStart w:id="110" w:name="_Toc496369618"/>
      <w:bookmarkStart w:id="111" w:name="_Toc20456"/>
      <w:bookmarkStart w:id="112" w:name="_Toc494703653"/>
      <w:bookmarkStart w:id="113" w:name="_Toc464508723"/>
      <w:bookmarkStart w:id="114" w:name="_Toc496537747"/>
    </w:p>
    <w:p w14:paraId="5AA35DC4">
      <w:pPr>
        <w:topLinePunct/>
        <w:spacing w:line="300" w:lineRule="auto"/>
        <w:ind w:right="31" w:rightChars="15"/>
        <w:jc w:val="center"/>
        <w:outlineLvl w:val="0"/>
        <w:rPr>
          <w:rFonts w:eastAsia="黑体"/>
          <w:b/>
          <w:bCs/>
          <w:color w:val="auto"/>
          <w:sz w:val="36"/>
          <w:szCs w:val="36"/>
          <w:highlight w:val="none"/>
        </w:rPr>
      </w:pPr>
    </w:p>
    <w:p w14:paraId="0C6D8A5F">
      <w:pPr>
        <w:topLinePunct/>
        <w:spacing w:line="300" w:lineRule="auto"/>
        <w:ind w:right="31" w:rightChars="15"/>
        <w:jc w:val="center"/>
        <w:outlineLvl w:val="0"/>
        <w:rPr>
          <w:rFonts w:eastAsia="黑体"/>
          <w:b/>
          <w:bCs/>
          <w:color w:val="auto"/>
          <w:sz w:val="36"/>
          <w:szCs w:val="36"/>
          <w:highlight w:val="none"/>
        </w:rPr>
      </w:pPr>
    </w:p>
    <w:p w14:paraId="3A7FB384">
      <w:pPr>
        <w:rPr>
          <w:color w:val="auto"/>
          <w:highlight w:val="none"/>
        </w:rPr>
      </w:pPr>
    </w:p>
    <w:p w14:paraId="7459554B">
      <w:pPr>
        <w:topLinePunct/>
        <w:spacing w:line="300" w:lineRule="auto"/>
        <w:ind w:right="31" w:rightChars="15"/>
        <w:jc w:val="center"/>
        <w:outlineLvl w:val="0"/>
        <w:rPr>
          <w:rFonts w:eastAsia="黑体"/>
          <w:b/>
          <w:bCs/>
          <w:color w:val="auto"/>
          <w:sz w:val="36"/>
          <w:szCs w:val="36"/>
          <w:highlight w:val="none"/>
        </w:rPr>
      </w:pPr>
      <w:bookmarkStart w:id="115" w:name="_Toc5696"/>
      <w:r>
        <w:rPr>
          <w:rFonts w:eastAsia="黑体"/>
          <w:b/>
          <w:bCs/>
          <w:color w:val="auto"/>
          <w:sz w:val="36"/>
          <w:szCs w:val="36"/>
          <w:highlight w:val="none"/>
        </w:rPr>
        <w:t>第三章  评标办法</w:t>
      </w:r>
      <w:bookmarkEnd w:id="110"/>
      <w:bookmarkEnd w:id="111"/>
      <w:bookmarkEnd w:id="112"/>
      <w:bookmarkEnd w:id="113"/>
      <w:bookmarkEnd w:id="114"/>
      <w:r>
        <w:rPr>
          <w:rFonts w:ascii="宋体" w:hAnsi="宋体" w:eastAsia="宋体" w:cs="宋体"/>
          <w:color w:val="auto"/>
          <w:spacing w:val="10"/>
          <w:sz w:val="36"/>
          <w:szCs w:val="36"/>
          <w:highlight w:val="none"/>
          <w14:textOutline w14:w="6540" w14:cap="flat" w14:cmpd="sng">
            <w14:solidFill>
              <w14:srgbClr w14:val="000000"/>
            </w14:solidFill>
            <w14:prstDash w14:val="solid"/>
            <w14:miter w14:val="0"/>
          </w14:textOutline>
        </w:rPr>
        <w:t>（</w:t>
      </w:r>
      <w:r>
        <w:rPr>
          <w:rFonts w:hint="eastAsia" w:ascii="宋体" w:hAnsi="宋体" w:cs="宋体"/>
          <w:color w:val="auto"/>
          <w:spacing w:val="10"/>
          <w:sz w:val="36"/>
          <w:szCs w:val="36"/>
          <w:highlight w:val="none"/>
          <w:lang w:val="en-US" w:eastAsia="zh-CN"/>
          <w14:textOutline w14:w="6540" w14:cap="flat" w14:cmpd="sng">
            <w14:solidFill>
              <w14:srgbClr w14:val="000000"/>
            </w14:solidFill>
            <w14:prstDash w14:val="solid"/>
            <w14:miter w14:val="0"/>
          </w14:textOutline>
        </w:rPr>
        <w:t>综合评估法</w:t>
      </w:r>
      <w:r>
        <w:rPr>
          <w:rFonts w:ascii="宋体" w:hAnsi="宋体" w:eastAsia="宋体" w:cs="宋体"/>
          <w:color w:val="auto"/>
          <w:spacing w:val="10"/>
          <w:sz w:val="36"/>
          <w:szCs w:val="36"/>
          <w:highlight w:val="none"/>
          <w14:textOutline w14:w="6540" w14:cap="flat" w14:cmpd="sng">
            <w14:solidFill>
              <w14:srgbClr w14:val="000000"/>
            </w14:solidFill>
            <w14:prstDash w14:val="solid"/>
            <w14:miter w14:val="0"/>
          </w14:textOutline>
        </w:rPr>
        <w:t>）</w:t>
      </w:r>
      <w:bookmarkEnd w:id="115"/>
    </w:p>
    <w:p w14:paraId="72F21406">
      <w:pPr>
        <w:pStyle w:val="28"/>
        <w:spacing w:before="1"/>
        <w:jc w:val="center"/>
        <w:rPr>
          <w:rFonts w:ascii="Times New Roman" w:hAnsi="Times New Roman" w:eastAsia="宋体" w:cs="Times New Roman"/>
          <w:b/>
          <w:bCs/>
          <w:color w:val="auto"/>
          <w:kern w:val="0"/>
          <w:sz w:val="28"/>
          <w:szCs w:val="28"/>
          <w:highlight w:val="none"/>
          <w:lang w:val="en-US" w:eastAsia="zh-CN" w:bidi="ar-SA"/>
        </w:rPr>
      </w:pPr>
      <w:bookmarkStart w:id="116" w:name="_bookmark95"/>
      <w:bookmarkEnd w:id="116"/>
      <w:bookmarkStart w:id="117" w:name="_bookmark94"/>
      <w:bookmarkEnd w:id="117"/>
      <w:r>
        <w:rPr>
          <w:rFonts w:ascii="Times New Roman" w:hAnsi="Times New Roman" w:eastAsia="宋体" w:cs="Times New Roman"/>
          <w:b/>
          <w:bCs/>
          <w:color w:val="auto"/>
          <w:kern w:val="0"/>
          <w:sz w:val="28"/>
          <w:szCs w:val="28"/>
          <w:highlight w:val="none"/>
          <w:lang w:val="en-US" w:eastAsia="zh-CN" w:bidi="ar-SA"/>
        </w:rPr>
        <w:t>评标办法前附表</w:t>
      </w:r>
      <w:r>
        <w:rPr>
          <w:rStyle w:val="92"/>
          <w:rFonts w:ascii="Times New Roman" w:hAnsi="Times New Roman" w:eastAsia="宋体" w:cs="Times New Roman"/>
          <w:b/>
          <w:bCs/>
          <w:color w:val="auto"/>
          <w:kern w:val="0"/>
          <w:sz w:val="28"/>
          <w:szCs w:val="28"/>
          <w:highlight w:val="none"/>
          <w:lang w:val="en-US" w:eastAsia="zh-CN" w:bidi="ar-SA"/>
        </w:rPr>
        <w:footnoteReference w:id="1"/>
      </w:r>
    </w:p>
    <w:tbl>
      <w:tblPr>
        <w:tblStyle w:val="650"/>
        <w:tblW w:w="9569"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6"/>
        <w:gridCol w:w="767"/>
        <w:gridCol w:w="7906"/>
      </w:tblGrid>
      <w:tr w14:paraId="096C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1663" w:type="dxa"/>
            <w:gridSpan w:val="2"/>
            <w:vAlign w:val="center"/>
          </w:tcPr>
          <w:p w14:paraId="6CF25274">
            <w:pPr>
              <w:autoSpaceDE w:val="0"/>
              <w:autoSpaceDN w:val="0"/>
              <w:spacing w:before="107" w:line="181" w:lineRule="auto"/>
              <w:ind w:firstLine="490"/>
              <w:jc w:val="both"/>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14:textOutline w14:w="3917" w14:cap="flat" w14:cmpd="sng">
                  <w14:solidFill>
                    <w14:srgbClr w14:val="000000"/>
                  </w14:solidFill>
                  <w14:prstDash w14:val="solid"/>
                  <w14:miter w14:val="0"/>
                </w14:textOutline>
              </w:rPr>
              <w:t>条款号</w:t>
            </w:r>
          </w:p>
        </w:tc>
        <w:tc>
          <w:tcPr>
            <w:tcW w:w="7906" w:type="dxa"/>
            <w:vAlign w:val="center"/>
          </w:tcPr>
          <w:p w14:paraId="1BFD5B8D">
            <w:pPr>
              <w:widowControl/>
              <w:autoSpaceDE/>
              <w:autoSpaceDN/>
              <w:spacing w:before="0" w:line="240" w:lineRule="auto"/>
              <w:ind w:firstLine="0"/>
              <w:jc w:val="center"/>
              <w:rPr>
                <w:rFonts w:hint="eastAsia" w:ascii="宋体" w:hAnsi="宋体" w:eastAsia="宋体" w:cs="宋体"/>
                <w:color w:val="auto"/>
                <w:sz w:val="22"/>
                <w:szCs w:val="22"/>
                <w:highlight w:val="none"/>
              </w:rPr>
            </w:pPr>
            <w:r>
              <w:rPr>
                <w:rFonts w:hint="eastAsia" w:ascii="宋体" w:hAnsi="宋体" w:eastAsia="宋体" w:cs="宋体"/>
                <w:b w:val="0"/>
                <w:bCs w:val="0"/>
                <w:color w:val="auto"/>
                <w:spacing w:val="2"/>
                <w:kern w:val="2"/>
                <w:sz w:val="22"/>
                <w:szCs w:val="22"/>
                <w:highlight w:val="none"/>
                <w:lang w:val="en-US" w:eastAsia="zh-CN" w:bidi="ar"/>
                <w14:textOutline w14:w="3917" w14:cap="flat" w14:cmpd="sng">
                  <w14:solidFill>
                    <w14:srgbClr w14:val="000000"/>
                  </w14:solidFill>
                  <w14:prstDash w14:val="solid"/>
                  <w14:miter w14:val="0"/>
                </w14:textOutline>
              </w:rPr>
              <w:t>评审因素与评审标准</w:t>
            </w:r>
          </w:p>
        </w:tc>
      </w:tr>
      <w:tr w14:paraId="63CE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896" w:type="dxa"/>
            <w:vAlign w:val="center"/>
          </w:tcPr>
          <w:p w14:paraId="5E1C897C">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767" w:type="dxa"/>
            <w:vAlign w:val="center"/>
          </w:tcPr>
          <w:p w14:paraId="542186B3">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906" w:type="dxa"/>
            <w:vAlign w:val="center"/>
          </w:tcPr>
          <w:p w14:paraId="16512E91">
            <w:pPr>
              <w:keepNext w:val="0"/>
              <w:keepLines w:val="0"/>
              <w:widowControl/>
              <w:suppressLineNumbers w:val="0"/>
              <w:autoSpaceDE w:val="0"/>
              <w:autoSpaceDN w:val="0"/>
              <w:jc w:val="left"/>
              <w:rPr>
                <w:rFonts w:hint="eastAsia" w:ascii="宋体" w:hAnsi="宋体" w:cs="宋体"/>
                <w:color w:val="auto"/>
                <w:spacing w:val="-4"/>
                <w:sz w:val="22"/>
                <w:szCs w:val="22"/>
                <w:highlight w:val="none"/>
              </w:rPr>
            </w:pPr>
            <w:r>
              <w:rPr>
                <w:rFonts w:hint="eastAsia" w:ascii="宋体" w:hAnsi="宋体" w:eastAsia="宋体" w:cs="宋体"/>
                <w:color w:val="auto"/>
                <w:spacing w:val="-4"/>
                <w:kern w:val="2"/>
                <w:sz w:val="22"/>
                <w:szCs w:val="22"/>
                <w:highlight w:val="none"/>
                <w:lang w:val="en-US" w:eastAsia="zh-CN" w:bidi="ar"/>
              </w:rPr>
              <w:t>评标委员会按</w:t>
            </w:r>
            <w:r>
              <w:rPr>
                <w:rFonts w:hint="eastAsia" w:ascii="宋体" w:hAnsi="宋体" w:cs="宋体"/>
                <w:color w:val="auto"/>
                <w:spacing w:val="-4"/>
                <w:kern w:val="2"/>
                <w:sz w:val="22"/>
                <w:szCs w:val="22"/>
                <w:highlight w:val="none"/>
                <w:lang w:val="en-US" w:eastAsia="zh-CN" w:bidi="ar"/>
              </w:rPr>
              <w:t>综合评分</w:t>
            </w:r>
            <w:r>
              <w:rPr>
                <w:rFonts w:hint="eastAsia" w:ascii="宋体" w:hAnsi="宋体" w:eastAsia="宋体" w:cs="宋体"/>
                <w:color w:val="auto"/>
                <w:spacing w:val="-4"/>
                <w:kern w:val="2"/>
                <w:sz w:val="22"/>
                <w:szCs w:val="22"/>
                <w:highlight w:val="none"/>
                <w:lang w:val="en-US" w:eastAsia="zh-CN" w:bidi="ar"/>
              </w:rPr>
              <w:t>由高到低顺序推荐中标候选人，得分相等时，评标委员会依次按照以下优先顺序推荐中标候选人：</w:t>
            </w:r>
          </w:p>
          <w:p w14:paraId="5B453C49">
            <w:pPr>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（1）评标价低的投标人优先； </w:t>
            </w:r>
          </w:p>
          <w:p w14:paraId="0D7A7383">
            <w:pPr>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（2）商务和技术得分较高的投标人优先</w:t>
            </w:r>
            <w:r>
              <w:rPr>
                <w:rFonts w:hint="eastAsia" w:ascii="宋体" w:hAnsi="宋体" w:cs="宋体"/>
                <w:color w:val="auto"/>
                <w:sz w:val="22"/>
                <w:szCs w:val="22"/>
                <w:highlight w:val="none"/>
                <w:lang w:val="en-US" w:eastAsia="zh-CN"/>
              </w:rPr>
              <w:t>；</w:t>
            </w:r>
          </w:p>
          <w:p w14:paraId="629B572D">
            <w:pPr>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 xml:space="preserve">）投标文件提供的业绩数量多的投标人优先； </w:t>
            </w:r>
          </w:p>
          <w:p w14:paraId="12DE9629">
            <w:pPr>
              <w:keepNext w:val="0"/>
              <w:keepLines w:val="0"/>
              <w:pageBreakBefore w:val="0"/>
              <w:widowControl/>
              <w:kinsoku/>
              <w:wordWrap/>
              <w:overflowPunct/>
              <w:topLinePunct w:val="0"/>
              <w:autoSpaceDE w:val="0"/>
              <w:autoSpaceDN w:val="0"/>
              <w:bidi w:val="0"/>
              <w:adjustRightInd/>
              <w:snapToGrid/>
              <w:spacing w:line="240" w:lineRule="auto"/>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）投标文件提供的业绩累计合同金额大的投标人优先。</w:t>
            </w:r>
          </w:p>
        </w:tc>
      </w:tr>
      <w:tr w14:paraId="15C28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896" w:type="dxa"/>
            <w:vAlign w:val="center"/>
          </w:tcPr>
          <w:p w14:paraId="790B0092">
            <w:pPr>
              <w:autoSpaceDE w:val="0"/>
              <w:autoSpaceDN w:val="0"/>
              <w:jc w:val="center"/>
              <w:rPr>
                <w:rFonts w:hint="eastAsia"/>
                <w:color w:val="auto"/>
                <w:highlight w:val="none"/>
                <w:lang w:val="en-US" w:eastAsia="zh-CN"/>
              </w:rPr>
            </w:pPr>
            <w:r>
              <w:rPr>
                <w:rFonts w:hint="eastAsia"/>
                <w:color w:val="auto"/>
                <w:highlight w:val="none"/>
                <w:lang w:val="en-US" w:eastAsia="zh-CN"/>
              </w:rPr>
              <w:t>2.1.2</w:t>
            </w:r>
          </w:p>
          <w:p w14:paraId="56904076">
            <w:pPr>
              <w:pStyle w:val="74"/>
              <w:autoSpaceDE w:val="0"/>
              <w:autoSpaceDN w:val="0"/>
              <w:ind w:left="0" w:leftChars="0" w:firstLine="0" w:firstLineChars="0"/>
              <w:jc w:val="center"/>
              <w:rPr>
                <w:rFonts w:hint="default"/>
                <w:color w:val="auto"/>
                <w:highlight w:val="none"/>
                <w:lang w:val="en-US" w:eastAsia="zh-CN"/>
              </w:rPr>
            </w:pPr>
            <w:r>
              <w:rPr>
                <w:rFonts w:hint="eastAsia" w:ascii="Times New Roman" w:hAnsi="Times New Roman" w:cs="Times New Roman"/>
                <w:color w:val="auto"/>
                <w:kern w:val="2"/>
                <w:sz w:val="21"/>
                <w:szCs w:val="24"/>
                <w:highlight w:val="none"/>
                <w:lang w:val="en-US" w:eastAsia="zh-CN"/>
              </w:rPr>
              <w:t>2.1.3</w:t>
            </w:r>
          </w:p>
        </w:tc>
        <w:tc>
          <w:tcPr>
            <w:tcW w:w="767" w:type="dxa"/>
            <w:vAlign w:val="center"/>
          </w:tcPr>
          <w:p w14:paraId="5E0A084F">
            <w:pPr>
              <w:autoSpaceDE w:val="0"/>
              <w:autoSpaceDN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形式评审与响应性评审标准</w:t>
            </w:r>
          </w:p>
        </w:tc>
        <w:tc>
          <w:tcPr>
            <w:tcW w:w="7906" w:type="dxa"/>
            <w:vAlign w:val="center"/>
          </w:tcPr>
          <w:p w14:paraId="0456FDC8">
            <w:pPr>
              <w:keepNext w:val="0"/>
              <w:keepLines w:val="0"/>
              <w:widowControl/>
              <w:suppressLineNumbers w:val="0"/>
              <w:autoSpaceDE w:val="0"/>
              <w:autoSpaceDN w:val="0"/>
              <w:ind w:firstLine="221" w:firstLineChars="100"/>
              <w:jc w:val="left"/>
              <w:rPr>
                <w:color w:val="auto"/>
                <w:highlight w:val="none"/>
              </w:rPr>
            </w:pPr>
            <w:r>
              <w:rPr>
                <w:rFonts w:hint="eastAsia" w:ascii="宋体" w:hAnsi="宋体" w:eastAsia="宋体" w:cs="宋体"/>
                <w:b/>
                <w:bCs/>
                <w:color w:val="auto"/>
                <w:kern w:val="0"/>
                <w:sz w:val="22"/>
                <w:szCs w:val="22"/>
                <w:highlight w:val="none"/>
                <w:lang w:val="en-US" w:eastAsia="zh-CN" w:bidi="ar"/>
              </w:rPr>
              <w:t xml:space="preserve">第一个信封（商务及技术文件）： </w:t>
            </w:r>
          </w:p>
          <w:p w14:paraId="6A90B857">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（1）投标文件按照招标文件规定的格式、内容填写，字迹清晰可辨： </w:t>
            </w:r>
          </w:p>
          <w:p w14:paraId="64F263CB">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a.投标函按招标文件规定填报了项目名称、标段号、补遗书编号（如有）、试验检测服务期限、工程质量要求及安全目标； </w:t>
            </w:r>
          </w:p>
          <w:p w14:paraId="4A36E782">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b.投标文件组成齐全完整，内容均按规定填写。 </w:t>
            </w:r>
          </w:p>
          <w:p w14:paraId="796AA6E4">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（2）投标文件上法定代表人或其委托代理人的签字、投标人的单位章盖章齐全，符合招标文件规定。 </w:t>
            </w:r>
          </w:p>
          <w:p w14:paraId="0E6C1D6D">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（3）投标人按照招标文件的规定提供了投标保证金： </w:t>
            </w:r>
          </w:p>
          <w:p w14:paraId="53DA206B">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a.投标保证金金额符合招标文件规定的金额，且投标保证金有效期不少于投标有效期； </w:t>
            </w:r>
          </w:p>
          <w:p w14:paraId="6221C8D8">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b.若投标保证金采用现金或支票形式提交，投标人应在递交投标文件截止时间之前，将投标保证金由投标人的基本账户转入并到达招标文件指定账户； </w:t>
            </w:r>
          </w:p>
          <w:p w14:paraId="1B876EAB">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c.若投标保证金采用银行保函形式提交，银行保函的格式、开具保函的银行均满足招标文件要求，且提交了银行保函承诺函。 </w:t>
            </w:r>
          </w:p>
          <w:p w14:paraId="62D1A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21" w:firstLineChars="100"/>
              <w:jc w:val="left"/>
              <w:textAlignment w:val="auto"/>
              <w:rPr>
                <w:rFonts w:hint="eastAsia" w:ascii="宋体" w:hAnsi="宋体" w:eastAsia="宋体" w:cs="宋体"/>
                <w:b/>
                <w:bCs/>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（4）投标人法定代表人授权委托代理人签署投标文件的，</w:t>
            </w:r>
            <w:r>
              <w:rPr>
                <w:rFonts w:hint="eastAsia" w:ascii="宋体" w:hAnsi="宋体" w:cs="宋体"/>
                <w:b/>
                <w:bCs/>
                <w:color w:val="auto"/>
                <w:kern w:val="0"/>
                <w:sz w:val="22"/>
                <w:szCs w:val="22"/>
                <w:highlight w:val="none"/>
                <w:lang w:val="en-US" w:eastAsia="zh-CN" w:bidi="ar"/>
              </w:rPr>
              <w:t>须</w:t>
            </w:r>
            <w:r>
              <w:rPr>
                <w:rFonts w:hint="eastAsia" w:ascii="宋体" w:hAnsi="宋体" w:eastAsia="宋体" w:cs="宋体"/>
                <w:b/>
                <w:bCs/>
                <w:color w:val="auto"/>
                <w:kern w:val="0"/>
                <w:sz w:val="22"/>
                <w:szCs w:val="22"/>
                <w:highlight w:val="none"/>
                <w:lang w:val="en-US" w:eastAsia="zh-CN" w:bidi="ar"/>
              </w:rPr>
              <w:t>提交授权委托书，且授权人和被授权人均在授权委托书上签名</w:t>
            </w:r>
            <w:r>
              <w:rPr>
                <w:rFonts w:hint="eastAsia" w:ascii="宋体" w:hAnsi="宋体" w:cs="宋体"/>
                <w:b/>
                <w:bCs/>
                <w:color w:val="auto"/>
                <w:kern w:val="0"/>
                <w:sz w:val="22"/>
                <w:szCs w:val="22"/>
                <w:highlight w:val="none"/>
                <w:lang w:val="en-US" w:eastAsia="zh-CN" w:bidi="ar"/>
              </w:rPr>
              <w:t>，未使用印章、签名章或其他电子版签名代替。</w:t>
            </w:r>
            <w:r>
              <w:rPr>
                <w:rFonts w:hint="eastAsia" w:ascii="宋体" w:hAnsi="宋体" w:eastAsia="宋体" w:cs="宋体"/>
                <w:b/>
                <w:bCs/>
                <w:color w:val="auto"/>
                <w:kern w:val="0"/>
                <w:sz w:val="22"/>
                <w:szCs w:val="22"/>
                <w:highlight w:val="none"/>
                <w:lang w:val="en-US" w:eastAsia="zh-CN" w:bidi="ar"/>
              </w:rPr>
              <w:t xml:space="preserve"> </w:t>
            </w:r>
          </w:p>
          <w:p w14:paraId="41C23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221"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b/>
                <w:bCs/>
                <w:color w:val="auto"/>
                <w:kern w:val="0"/>
                <w:sz w:val="22"/>
                <w:szCs w:val="22"/>
                <w:highlight w:val="none"/>
                <w:lang w:val="en-US" w:eastAsia="zh-CN" w:bidi="ar"/>
              </w:rPr>
              <w:t>（5）投标人法定代表人亲自签署投标文件的，提供了法定代表人身份证明，且法定代表人在法定代表人身份证明上签名</w:t>
            </w:r>
            <w:r>
              <w:rPr>
                <w:rFonts w:hint="eastAsia" w:ascii="宋体" w:hAnsi="宋体" w:cs="宋体"/>
                <w:b/>
                <w:bCs/>
                <w:color w:val="auto"/>
                <w:kern w:val="0"/>
                <w:sz w:val="22"/>
                <w:szCs w:val="22"/>
                <w:highlight w:val="none"/>
                <w:lang w:val="en-US" w:eastAsia="zh-CN" w:bidi="ar"/>
              </w:rPr>
              <w:t>，未使用印章、签名章或其他电子版签名代替</w:t>
            </w:r>
            <w:r>
              <w:rPr>
                <w:rFonts w:hint="eastAsia" w:ascii="宋体" w:hAnsi="宋体" w:eastAsia="宋体" w:cs="宋体"/>
                <w:b/>
                <w:bCs/>
                <w:color w:val="auto"/>
                <w:kern w:val="0"/>
                <w:sz w:val="22"/>
                <w:szCs w:val="22"/>
                <w:highlight w:val="none"/>
                <w:lang w:val="en-US" w:eastAsia="zh-CN" w:bidi="ar"/>
              </w:rPr>
              <w:t>。</w:t>
            </w:r>
            <w:r>
              <w:rPr>
                <w:rFonts w:hint="eastAsia" w:ascii="宋体" w:hAnsi="宋体" w:eastAsia="宋体" w:cs="宋体"/>
                <w:color w:val="auto"/>
                <w:kern w:val="0"/>
                <w:sz w:val="22"/>
                <w:szCs w:val="22"/>
                <w:highlight w:val="none"/>
                <w:lang w:val="en-US" w:eastAsia="zh-CN" w:bidi="ar"/>
              </w:rPr>
              <w:t xml:space="preserve"> </w:t>
            </w:r>
          </w:p>
          <w:p w14:paraId="45F7C646">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（6）投标人未以联合体形式参加投标。 </w:t>
            </w:r>
          </w:p>
          <w:p w14:paraId="2C98A22A">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（7）同一投标人未提交两个及以上不同的投标文件。 </w:t>
            </w:r>
          </w:p>
          <w:p w14:paraId="5D3B741B">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（8）投标文件中未出现有关投标报价的内容。 </w:t>
            </w:r>
          </w:p>
          <w:p w14:paraId="45A6D1F6">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（9）投标文件载明的招标项目完成期限符合招标文件规定。 </w:t>
            </w:r>
          </w:p>
          <w:p w14:paraId="3E1DDBEC">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（10）投标文件对招标文件的实质性要求和条件作出响应。 </w:t>
            </w:r>
          </w:p>
          <w:p w14:paraId="2B1E68CA">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（11）权利义务符合招标文件规定：</w:t>
            </w:r>
          </w:p>
          <w:p w14:paraId="09A58CA5">
            <w:pPr>
              <w:widowControl/>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a.投标人应接受招标文件规定的风险划分原则，未提出新的风险划分办法； </w:t>
            </w:r>
          </w:p>
          <w:p w14:paraId="43FA512D">
            <w:pPr>
              <w:widowControl/>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b.投标人未增加委托人的责任范围，或减少投标人义务； </w:t>
            </w:r>
          </w:p>
          <w:p w14:paraId="2FBCD24A">
            <w:pPr>
              <w:widowControl/>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c.投标人未提出不同的支付办法； </w:t>
            </w:r>
          </w:p>
          <w:p w14:paraId="14A6F32E">
            <w:pPr>
              <w:widowControl/>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d.投标人对合同纠纷、事故处理办法未提出异议； </w:t>
            </w:r>
          </w:p>
          <w:p w14:paraId="518F3767">
            <w:pPr>
              <w:widowControl/>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e.投标人在投标活动中无欺诈行为； </w:t>
            </w:r>
          </w:p>
          <w:p w14:paraId="6BAEF512">
            <w:pPr>
              <w:widowControl/>
              <w:autoSpaceDE w:val="0"/>
              <w:autoSpaceDN w:val="0"/>
              <w:ind w:firstLine="220" w:firstLineChars="100"/>
              <w:jc w:val="left"/>
              <w:rPr>
                <w:rFonts w:hint="eastAsia"/>
                <w:color w:val="auto"/>
                <w:highlight w:val="none"/>
                <w:lang w:val="en-US" w:eastAsia="zh-CN"/>
              </w:rPr>
            </w:pPr>
            <w:r>
              <w:rPr>
                <w:rFonts w:hint="eastAsia" w:ascii="宋体" w:hAnsi="宋体" w:eastAsia="宋体" w:cs="宋体"/>
                <w:color w:val="auto"/>
                <w:kern w:val="0"/>
                <w:sz w:val="22"/>
                <w:szCs w:val="22"/>
                <w:highlight w:val="none"/>
                <w:lang w:val="en-US" w:eastAsia="zh-CN" w:bidi="ar"/>
              </w:rPr>
              <w:t>f.投标人未对合同条款有重要保留</w:t>
            </w:r>
            <w:r>
              <w:rPr>
                <w:rFonts w:hint="eastAsia" w:ascii="宋体" w:hAnsi="宋体" w:cs="宋体"/>
                <w:color w:val="auto"/>
                <w:kern w:val="0"/>
                <w:sz w:val="22"/>
                <w:szCs w:val="22"/>
                <w:highlight w:val="none"/>
                <w:lang w:val="en-US" w:eastAsia="zh-CN" w:bidi="ar"/>
              </w:rPr>
              <w:t>。</w:t>
            </w:r>
          </w:p>
          <w:p w14:paraId="1B5D9294">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 xml:space="preserve">（12）按招标文件要求上传了加密电子投标文件，并按要求成功解密。 </w:t>
            </w:r>
          </w:p>
          <w:p w14:paraId="7D41BFC7">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 xml:space="preserve">（13）投标人网上下载招标文件的标段和投标文件所投标段一致，投标保证金提交的标段符合招标文件规定，投标数量符合招标文件规定。 </w:t>
            </w:r>
          </w:p>
          <w:p w14:paraId="7D1A28ED">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 xml:space="preserve">（14）不同投标人未出现使用相同的机器识别码进行投标的情形。 </w:t>
            </w:r>
          </w:p>
          <w:p w14:paraId="70C06DC9">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（15）投标人对其信誉情况的承诺与事实相符。</w:t>
            </w:r>
          </w:p>
          <w:p w14:paraId="0A920DDC">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cs="宋体"/>
                <w:color w:val="auto"/>
                <w:kern w:val="0"/>
                <w:sz w:val="22"/>
                <w:szCs w:val="22"/>
                <w:highlight w:val="none"/>
                <w:lang w:val="en-US" w:eastAsia="zh-CN" w:bidi="ar"/>
              </w:rPr>
              <w:t xml:space="preserve">（16）投标文件未附有招标人不能接受的条件。 </w:t>
            </w:r>
          </w:p>
          <w:p w14:paraId="590D8A58">
            <w:pPr>
              <w:keepNext w:val="0"/>
              <w:keepLines w:val="0"/>
              <w:widowControl/>
              <w:suppressLineNumbers w:val="0"/>
              <w:autoSpaceDE w:val="0"/>
              <w:autoSpaceDN w:val="0"/>
              <w:ind w:firstLine="221" w:firstLineChars="100"/>
              <w:jc w:val="left"/>
              <w:rPr>
                <w:rFonts w:hint="eastAsia" w:ascii="宋体" w:hAnsi="宋体" w:cs="宋体"/>
                <w:b/>
                <w:bCs/>
                <w:color w:val="auto"/>
                <w:kern w:val="0"/>
                <w:sz w:val="22"/>
                <w:szCs w:val="22"/>
                <w:highlight w:val="none"/>
                <w:lang w:bidi="ar"/>
              </w:rPr>
            </w:pPr>
            <w:r>
              <w:rPr>
                <w:rFonts w:hint="eastAsia" w:ascii="宋体" w:hAnsi="宋体" w:eastAsia="宋体" w:cs="宋体"/>
                <w:b/>
                <w:bCs/>
                <w:color w:val="auto"/>
                <w:kern w:val="0"/>
                <w:sz w:val="22"/>
                <w:szCs w:val="22"/>
                <w:highlight w:val="none"/>
                <w:lang w:val="en-US" w:eastAsia="zh-CN" w:bidi="ar"/>
              </w:rPr>
              <w:t xml:space="preserve">第二个信封（报价文件）评审标准： </w:t>
            </w:r>
          </w:p>
          <w:p w14:paraId="613D333A">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（1）报价文件按照招标文件规定的格式、内容填写，字迹清晰可辨： </w:t>
            </w:r>
          </w:p>
          <w:p w14:paraId="19B761A2">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a.投标函按招标文件规定填报了招标人名称、项目名称、标段号、补遗书编号（如有）、投标价（包括大写金额和小写金额）； </w:t>
            </w:r>
          </w:p>
          <w:p w14:paraId="517C6DC8">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b.报价清单说明文字与招标文件规定一致，未进行实质性修改和删减； </w:t>
            </w:r>
          </w:p>
          <w:p w14:paraId="6B6B5287">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c.投标文件组成齐全完整（包括报价清单各项表格），内容均按规定填写。 </w:t>
            </w:r>
          </w:p>
          <w:p w14:paraId="631B4E6B">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（2）投标文件上法定代表人电子签名章、投标人的单位电子印章盖章齐全，符合招标文件规定。 </w:t>
            </w:r>
          </w:p>
          <w:p w14:paraId="715ECB38">
            <w:pPr>
              <w:keepNext w:val="0"/>
              <w:keepLines w:val="0"/>
              <w:widowControl/>
              <w:suppressLineNumbers w:val="0"/>
              <w:autoSpaceDE w:val="0"/>
              <w:autoSpaceDN w:val="0"/>
              <w:ind w:firstLine="220" w:firstLineChars="100"/>
              <w:jc w:val="left"/>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（3）投标报价未超过招标文件设定的最高投标限价（如有）。</w:t>
            </w:r>
          </w:p>
          <w:p w14:paraId="341761AA">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（4）投标报价的大写金额能够确定具体数值。 </w:t>
            </w:r>
          </w:p>
          <w:p w14:paraId="6A52DD05">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（5）同一投标人未提交两个以上不同的投标报价。 </w:t>
            </w:r>
          </w:p>
          <w:p w14:paraId="45A0004C">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（6）未被评标委员会认定以低于成本价竞标。 </w:t>
            </w:r>
          </w:p>
          <w:p w14:paraId="5B3E7DAF">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color w:val="auto"/>
                <w:kern w:val="0"/>
                <w:sz w:val="22"/>
                <w:szCs w:val="22"/>
                <w:highlight w:val="none"/>
                <w:lang w:val="en-US" w:eastAsia="zh-CN" w:bidi="ar"/>
              </w:rPr>
              <w:t xml:space="preserve">（7）按招标文件要求上传了加密电子投标文件，并按要求成功解密。 </w:t>
            </w:r>
          </w:p>
          <w:p w14:paraId="1924A9C1">
            <w:pPr>
              <w:keepNext w:val="0"/>
              <w:keepLines w:val="0"/>
              <w:widowControl/>
              <w:suppressLineNumbers w:val="0"/>
              <w:autoSpaceDE w:val="0"/>
              <w:autoSpaceDN w:val="0"/>
              <w:ind w:firstLine="220" w:firstLineChars="100"/>
              <w:jc w:val="left"/>
              <w:rPr>
                <w:rFonts w:hint="eastAsia" w:ascii="宋体" w:hAnsi="宋体" w:cs="宋体"/>
                <w:color w:val="auto"/>
                <w:kern w:val="0"/>
                <w:sz w:val="22"/>
                <w:szCs w:val="22"/>
                <w:highlight w:val="none"/>
                <w:lang w:bidi="ar"/>
              </w:rPr>
            </w:pPr>
            <w:r>
              <w:rPr>
                <w:rFonts w:hint="eastAsia" w:ascii="宋体" w:hAnsi="宋体" w:eastAsia="宋体" w:cs="宋体"/>
                <w:b w:val="0"/>
                <w:bCs w:val="0"/>
                <w:color w:val="auto"/>
                <w:kern w:val="0"/>
                <w:sz w:val="22"/>
                <w:szCs w:val="22"/>
                <w:highlight w:val="none"/>
                <w:lang w:val="en-US" w:eastAsia="zh-CN" w:bidi="ar"/>
              </w:rPr>
              <w:t xml:space="preserve">（8）不同投标人未出现使用相同的机器识别码进行投标的情形。 </w:t>
            </w:r>
          </w:p>
          <w:p w14:paraId="4E61EF93">
            <w:pPr>
              <w:keepNext w:val="0"/>
              <w:keepLines w:val="0"/>
              <w:pageBreakBefore w:val="0"/>
              <w:widowControl/>
              <w:kinsoku/>
              <w:wordWrap/>
              <w:overflowPunct/>
              <w:topLinePunct w:val="0"/>
              <w:autoSpaceDE w:val="0"/>
              <w:autoSpaceDN w:val="0"/>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（9）未附有招标人不能接受的条件。</w:t>
            </w:r>
          </w:p>
        </w:tc>
      </w:tr>
      <w:tr w14:paraId="51E7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896" w:type="dxa"/>
            <w:vAlign w:val="center"/>
          </w:tcPr>
          <w:p w14:paraId="008642AF">
            <w:pPr>
              <w:pStyle w:val="74"/>
              <w:autoSpaceDE w:val="0"/>
              <w:autoSpaceDN w:val="0"/>
              <w:ind w:left="0" w:leftChars="0" w:firstLine="0" w:firstLineChars="0"/>
              <w:jc w:val="center"/>
              <w:rPr>
                <w:rFonts w:hint="default" w:ascii="Times New Roman" w:hAnsi="Times New Roman" w:cs="Times New Roman"/>
                <w:color w:val="auto"/>
                <w:kern w:val="2"/>
                <w:sz w:val="21"/>
                <w:szCs w:val="24"/>
                <w:highlight w:val="none"/>
                <w:lang w:val="en-US" w:eastAsia="zh-CN"/>
              </w:rPr>
            </w:pPr>
            <w:r>
              <w:rPr>
                <w:rFonts w:hint="eastAsia" w:cs="Times New Roman"/>
                <w:color w:val="auto"/>
                <w:kern w:val="2"/>
                <w:sz w:val="21"/>
                <w:szCs w:val="24"/>
                <w:highlight w:val="none"/>
                <w:lang w:val="en-US" w:eastAsia="zh-CN"/>
              </w:rPr>
              <w:t>2.1.2</w:t>
            </w:r>
          </w:p>
        </w:tc>
        <w:tc>
          <w:tcPr>
            <w:tcW w:w="767" w:type="dxa"/>
            <w:vAlign w:val="center"/>
          </w:tcPr>
          <w:p w14:paraId="1FD4F359">
            <w:pPr>
              <w:autoSpaceDE w:val="0"/>
              <w:autoSpaceDN w:val="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资格评审标准</w:t>
            </w:r>
          </w:p>
          <w:p w14:paraId="3AA063B7">
            <w:pPr>
              <w:autoSpaceDE w:val="0"/>
              <w:autoSpaceDN w:val="0"/>
              <w:jc w:val="center"/>
              <w:rPr>
                <w:rFonts w:hint="eastAsia" w:ascii="宋体" w:hAnsi="宋体" w:eastAsia="宋体" w:cs="宋体"/>
                <w:color w:val="auto"/>
                <w:sz w:val="22"/>
                <w:szCs w:val="22"/>
                <w:highlight w:val="none"/>
                <w:lang w:val="en-US" w:eastAsia="zh-CN"/>
              </w:rPr>
            </w:pPr>
          </w:p>
        </w:tc>
        <w:tc>
          <w:tcPr>
            <w:tcW w:w="7906" w:type="dxa"/>
            <w:vAlign w:val="center"/>
          </w:tcPr>
          <w:p w14:paraId="14EA6FBB">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（1）投标人具备有效的营业执照、组织机构代码证、资质证书</w:t>
            </w:r>
            <w:r>
              <w:rPr>
                <w:rFonts w:hint="eastAsia" w:ascii="宋体" w:hAnsi="宋体" w:cs="宋体"/>
                <w:color w:val="auto"/>
                <w:kern w:val="0"/>
                <w:sz w:val="22"/>
                <w:szCs w:val="22"/>
                <w:highlight w:val="none"/>
                <w:lang w:val="en-US" w:eastAsia="zh-CN" w:bidi="ar"/>
              </w:rPr>
              <w:t>、CMA证书</w:t>
            </w:r>
            <w:r>
              <w:rPr>
                <w:rFonts w:hint="eastAsia" w:ascii="宋体" w:hAnsi="宋体" w:eastAsia="宋体" w:cs="宋体"/>
                <w:color w:val="auto"/>
                <w:kern w:val="0"/>
                <w:sz w:val="22"/>
                <w:szCs w:val="22"/>
                <w:highlight w:val="none"/>
                <w:lang w:val="en-US" w:eastAsia="zh-CN" w:bidi="ar"/>
              </w:rPr>
              <w:t xml:space="preserve">和基本账户开户许可证； </w:t>
            </w:r>
          </w:p>
          <w:p w14:paraId="4AD62EFB">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（2）投标人的资质等级符合招标文件规定； </w:t>
            </w:r>
          </w:p>
          <w:p w14:paraId="75B99745">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（3）投标人的类似项目业绩符合招标文件规定； </w:t>
            </w:r>
          </w:p>
          <w:p w14:paraId="2176DCAB">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（4）投标人的信誉符合招标文件规定； </w:t>
            </w:r>
          </w:p>
          <w:p w14:paraId="11319F56">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（5）投标人的主要人员资格、在岗情况符合招标文件规定； </w:t>
            </w:r>
          </w:p>
          <w:p w14:paraId="006E853D">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 xml:space="preserve">（6）投标人的其他要求符合招标文件规定； </w:t>
            </w:r>
          </w:p>
          <w:p w14:paraId="2DBC0843">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7</w:t>
            </w:r>
            <w:r>
              <w:rPr>
                <w:rFonts w:hint="eastAsia" w:ascii="宋体" w:hAnsi="宋体" w:eastAsia="宋体" w:cs="宋体"/>
                <w:color w:val="auto"/>
                <w:kern w:val="0"/>
                <w:sz w:val="22"/>
                <w:szCs w:val="22"/>
                <w:highlight w:val="none"/>
                <w:lang w:val="en-US" w:eastAsia="zh-CN" w:bidi="ar"/>
              </w:rPr>
              <w:t xml:space="preserve">）投标人不存在第二章“投标人须知”第 1.4.3 项或第 1.4.4 项规定的任何一种情形； </w:t>
            </w:r>
          </w:p>
          <w:p w14:paraId="45E9C7E2">
            <w:pPr>
              <w:keepNext w:val="0"/>
              <w:keepLines w:val="0"/>
              <w:pageBreakBefore w:val="0"/>
              <w:widowControl/>
              <w:kinsoku/>
              <w:wordWrap/>
              <w:overflowPunct/>
              <w:topLinePunct w:val="0"/>
              <w:autoSpaceDE/>
              <w:autoSpaceDN/>
              <w:bidi w:val="0"/>
              <w:adjustRightInd/>
              <w:snapToGrid/>
              <w:spacing w:line="240" w:lineRule="auto"/>
              <w:ind w:firstLine="220" w:firstLineChars="1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w:t>
            </w:r>
            <w:r>
              <w:rPr>
                <w:rFonts w:hint="eastAsia" w:ascii="宋体" w:hAnsi="宋体" w:cs="宋体"/>
                <w:color w:val="auto"/>
                <w:kern w:val="0"/>
                <w:sz w:val="22"/>
                <w:szCs w:val="22"/>
                <w:highlight w:val="none"/>
                <w:lang w:val="en-US" w:eastAsia="zh-CN" w:bidi="ar"/>
              </w:rPr>
              <w:t>8</w:t>
            </w:r>
            <w:r>
              <w:rPr>
                <w:rFonts w:hint="eastAsia" w:ascii="宋体" w:hAnsi="宋体" w:eastAsia="宋体" w:cs="宋体"/>
                <w:color w:val="auto"/>
                <w:kern w:val="0"/>
                <w:sz w:val="22"/>
                <w:szCs w:val="22"/>
                <w:highlight w:val="none"/>
                <w:lang w:val="en-US" w:eastAsia="zh-CN" w:bidi="ar"/>
              </w:rPr>
              <w:t>）投标人符合第二章“投标人须知”第 1.4.5 项规定。</w:t>
            </w:r>
          </w:p>
        </w:tc>
      </w:tr>
    </w:tbl>
    <w:p w14:paraId="29AA4284">
      <w:pPr>
        <w:pStyle w:val="28"/>
        <w:spacing w:before="1"/>
        <w:jc w:val="center"/>
        <w:rPr>
          <w:rFonts w:ascii="Times New Roman" w:hAnsi="Times New Roman" w:eastAsia="宋体" w:cs="Times New Roman"/>
          <w:b/>
          <w:bCs/>
          <w:color w:val="auto"/>
          <w:kern w:val="0"/>
          <w:sz w:val="28"/>
          <w:szCs w:val="28"/>
          <w:highlight w:val="none"/>
          <w:lang w:val="en-US" w:eastAsia="zh-CN" w:bidi="ar-SA"/>
        </w:rPr>
      </w:pPr>
    </w:p>
    <w:tbl>
      <w:tblPr>
        <w:tblStyle w:val="650"/>
        <w:tblW w:w="9686"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
        <w:gridCol w:w="881"/>
        <w:gridCol w:w="932"/>
        <w:gridCol w:w="941"/>
        <w:gridCol w:w="19"/>
        <w:gridCol w:w="1003"/>
        <w:gridCol w:w="757"/>
        <w:gridCol w:w="652"/>
        <w:gridCol w:w="4499"/>
      </w:tblGrid>
      <w:tr w14:paraId="56ED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883" w:type="dxa"/>
            <w:gridSpan w:val="2"/>
            <w:vAlign w:val="center"/>
          </w:tcPr>
          <w:p w14:paraId="39848444">
            <w:pPr>
              <w:autoSpaceDE w:val="0"/>
              <w:autoSpaceDN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条款号</w:t>
            </w:r>
          </w:p>
        </w:tc>
        <w:tc>
          <w:tcPr>
            <w:tcW w:w="1873" w:type="dxa"/>
            <w:gridSpan w:val="2"/>
            <w:vAlign w:val="center"/>
          </w:tcPr>
          <w:p w14:paraId="1DFA36D1">
            <w:pPr>
              <w:autoSpaceDE w:val="0"/>
              <w:autoSpaceDN w:val="0"/>
              <w:jc w:val="center"/>
              <w:rPr>
                <w:rFonts w:hint="default" w:ascii="宋体" w:hAnsi="宋体" w:eastAsia="宋体" w:cs="宋体"/>
                <w:b/>
                <w:bCs/>
                <w:color w:val="auto"/>
                <w:sz w:val="22"/>
                <w:szCs w:val="22"/>
                <w:highlight w:val="none"/>
                <w:lang w:val="en-US" w:eastAsia="zh-CN"/>
              </w:rPr>
            </w:pPr>
            <w:r>
              <w:rPr>
                <w:rFonts w:hint="eastAsia" w:ascii="宋体" w:hAnsi="宋体" w:cs="宋体"/>
                <w:b/>
                <w:bCs/>
                <w:color w:val="auto"/>
                <w:sz w:val="22"/>
                <w:szCs w:val="22"/>
                <w:highlight w:val="none"/>
                <w:lang w:val="en-US" w:eastAsia="zh-CN"/>
              </w:rPr>
              <w:t>条款内容</w:t>
            </w:r>
          </w:p>
        </w:tc>
        <w:tc>
          <w:tcPr>
            <w:tcW w:w="6930" w:type="dxa"/>
            <w:gridSpan w:val="5"/>
            <w:vAlign w:val="center"/>
          </w:tcPr>
          <w:p w14:paraId="124143E2">
            <w:pPr>
              <w:autoSpaceDE w:val="0"/>
              <w:autoSpaceDN w:val="0"/>
              <w:jc w:val="center"/>
              <w:rPr>
                <w:rFonts w:hint="eastAsia" w:ascii="宋体" w:hAnsi="宋体" w:eastAsia="宋体" w:cs="宋体"/>
                <w:b/>
                <w:bCs/>
                <w:color w:val="auto"/>
                <w:sz w:val="22"/>
                <w:szCs w:val="22"/>
                <w:highlight w:val="none"/>
              </w:rPr>
            </w:pPr>
            <w:r>
              <w:rPr>
                <w:rFonts w:hint="eastAsia" w:ascii="宋体" w:hAnsi="宋体" w:eastAsia="宋体" w:cs="宋体"/>
                <w:b w:val="0"/>
                <w:bCs w:val="0"/>
                <w:color w:val="auto"/>
                <w:spacing w:val="2"/>
                <w:kern w:val="2"/>
                <w:sz w:val="22"/>
                <w:szCs w:val="22"/>
                <w:highlight w:val="none"/>
                <w:lang w:val="en-US" w:eastAsia="zh-CN" w:bidi="ar"/>
                <w14:textOutline w14:w="3917" w14:cap="flat" w14:cmpd="sng">
                  <w14:solidFill>
                    <w14:srgbClr w14:val="000000"/>
                  </w14:solidFill>
                  <w14:prstDash w14:val="solid"/>
                  <w14:miter w14:val="0"/>
                </w14:textOutline>
              </w:rPr>
              <w:t>评审因素与评审标准</w:t>
            </w:r>
          </w:p>
        </w:tc>
      </w:tr>
      <w:tr w14:paraId="422AE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8" w:hRule="exact"/>
        </w:trPr>
        <w:tc>
          <w:tcPr>
            <w:tcW w:w="883" w:type="dxa"/>
            <w:gridSpan w:val="2"/>
            <w:vAlign w:val="center"/>
          </w:tcPr>
          <w:p w14:paraId="58D07D81">
            <w:pPr>
              <w:autoSpaceDE w:val="0"/>
              <w:autoSpaceDN w:val="0"/>
              <w:jc w:val="center"/>
              <w:rPr>
                <w:rFonts w:hint="default" w:ascii="宋体" w:hAnsi="宋体" w:eastAsia="宋体" w:cs="宋体"/>
                <w:color w:val="auto"/>
                <w:sz w:val="22"/>
                <w:szCs w:val="22"/>
                <w:highlight w:val="none"/>
                <w:lang w:val="en-US"/>
              </w:rPr>
            </w:pPr>
            <w:r>
              <w:rPr>
                <w:rFonts w:hint="eastAsia" w:ascii="宋体" w:hAnsi="宋体" w:cs="宋体"/>
                <w:color w:val="auto"/>
                <w:sz w:val="22"/>
                <w:szCs w:val="22"/>
                <w:highlight w:val="none"/>
                <w:lang w:val="en-US" w:eastAsia="zh-CN"/>
              </w:rPr>
              <w:t>2.2.1</w:t>
            </w:r>
          </w:p>
        </w:tc>
        <w:tc>
          <w:tcPr>
            <w:tcW w:w="1873" w:type="dxa"/>
            <w:gridSpan w:val="2"/>
            <w:vAlign w:val="center"/>
          </w:tcPr>
          <w:p w14:paraId="67CBED1D">
            <w:pPr>
              <w:autoSpaceDE w:val="0"/>
              <w:autoSpaceDN w:val="0"/>
              <w:spacing w:before="29" w:line="304" w:lineRule="auto"/>
              <w:ind w:left="96" w:hanging="1"/>
              <w:jc w:val="center"/>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分值构成（总分 100分）</w:t>
            </w:r>
          </w:p>
        </w:tc>
        <w:tc>
          <w:tcPr>
            <w:tcW w:w="6930" w:type="dxa"/>
            <w:gridSpan w:val="5"/>
            <w:vAlign w:val="center"/>
          </w:tcPr>
          <w:p w14:paraId="53DB2E5E">
            <w:pPr>
              <w:widowControl/>
              <w:autoSpaceDE/>
              <w:autoSpaceDN/>
              <w:spacing w:before="0" w:line="240" w:lineRule="auto"/>
              <w:ind w:left="0" w:firstLine="0"/>
              <w:jc w:val="left"/>
              <w:rPr>
                <w:rFonts w:hint="eastAsia" w:ascii="宋体" w:hAnsi="宋体" w:eastAsia="宋体" w:cs="宋体"/>
                <w:b/>
                <w:bCs/>
                <w:color w:val="auto"/>
                <w:spacing w:val="-4"/>
                <w:sz w:val="22"/>
                <w:szCs w:val="22"/>
                <w:highlight w:val="none"/>
                <w:lang w:val="en-US" w:eastAsia="zh-CN"/>
              </w:rPr>
            </w:pPr>
            <w:r>
              <w:rPr>
                <w:rFonts w:hint="eastAsia" w:ascii="宋体" w:hAnsi="宋体" w:eastAsia="宋体" w:cs="宋体"/>
                <w:b/>
                <w:bCs/>
                <w:color w:val="auto"/>
                <w:spacing w:val="-4"/>
                <w:sz w:val="22"/>
                <w:szCs w:val="22"/>
                <w:highlight w:val="none"/>
                <w:lang w:val="en-US" w:eastAsia="zh-CN"/>
              </w:rPr>
              <w:t xml:space="preserve">第一个信封（商务及技术文件）评分分值构成： </w:t>
            </w:r>
          </w:p>
          <w:p w14:paraId="0C7AADF3">
            <w:pPr>
              <w:widowControl/>
              <w:autoSpaceDE/>
              <w:autoSpaceDN/>
              <w:spacing w:before="0" w:line="240" w:lineRule="auto"/>
              <w:ind w:left="0" w:firstLine="0"/>
              <w:jc w:val="left"/>
              <w:rPr>
                <w:rFonts w:hint="eastAsia" w:ascii="宋体" w:hAnsi="宋体" w:eastAsia="宋体" w:cs="宋体"/>
                <w:b w:val="0"/>
                <w:bCs w:val="0"/>
                <w:color w:val="auto"/>
                <w:spacing w:val="-4"/>
                <w:sz w:val="22"/>
                <w:szCs w:val="22"/>
                <w:highlight w:val="none"/>
                <w:lang w:val="en-US" w:eastAsia="zh-CN"/>
              </w:rPr>
            </w:pPr>
            <w:r>
              <w:rPr>
                <w:rFonts w:hint="eastAsia" w:ascii="宋体" w:hAnsi="宋体" w:eastAsia="宋体" w:cs="宋体"/>
                <w:b w:val="0"/>
                <w:bCs w:val="0"/>
                <w:color w:val="auto"/>
                <w:spacing w:val="-4"/>
                <w:sz w:val="22"/>
                <w:szCs w:val="22"/>
                <w:highlight w:val="none"/>
                <w:lang w:val="en-US" w:eastAsia="zh-CN"/>
              </w:rPr>
              <w:t>技术建议书：</w:t>
            </w:r>
            <w:r>
              <w:rPr>
                <w:rFonts w:hint="eastAsia" w:ascii="宋体" w:hAnsi="宋体" w:cs="宋体"/>
                <w:b w:val="0"/>
                <w:bCs w:val="0"/>
                <w:color w:val="auto"/>
                <w:spacing w:val="-4"/>
                <w:sz w:val="22"/>
                <w:szCs w:val="22"/>
                <w:highlight w:val="none"/>
                <w:u w:val="single"/>
                <w:lang w:val="en-US" w:eastAsia="zh-CN"/>
              </w:rPr>
              <w:t>25</w:t>
            </w:r>
            <w:r>
              <w:rPr>
                <w:rFonts w:hint="eastAsia" w:ascii="宋体" w:hAnsi="宋体" w:eastAsia="宋体" w:cs="宋体"/>
                <w:b w:val="0"/>
                <w:bCs w:val="0"/>
                <w:color w:val="auto"/>
                <w:spacing w:val="-4"/>
                <w:sz w:val="22"/>
                <w:szCs w:val="22"/>
                <w:highlight w:val="none"/>
                <w:u w:val="single"/>
                <w:lang w:val="en-US" w:eastAsia="zh-CN"/>
              </w:rPr>
              <w:t xml:space="preserve"> 分 </w:t>
            </w:r>
          </w:p>
          <w:p w14:paraId="22653994">
            <w:pPr>
              <w:widowControl/>
              <w:autoSpaceDE/>
              <w:autoSpaceDN/>
              <w:spacing w:before="0" w:line="240" w:lineRule="auto"/>
              <w:ind w:left="0" w:firstLine="0"/>
              <w:jc w:val="left"/>
              <w:rPr>
                <w:rFonts w:hint="eastAsia" w:ascii="宋体" w:hAnsi="宋体" w:eastAsia="宋体" w:cs="宋体"/>
                <w:b w:val="0"/>
                <w:bCs w:val="0"/>
                <w:color w:val="auto"/>
                <w:spacing w:val="-4"/>
                <w:sz w:val="22"/>
                <w:szCs w:val="22"/>
                <w:highlight w:val="none"/>
                <w:lang w:val="en-US" w:eastAsia="zh-CN"/>
              </w:rPr>
            </w:pPr>
            <w:r>
              <w:rPr>
                <w:rFonts w:hint="eastAsia" w:ascii="宋体" w:hAnsi="宋体" w:eastAsia="宋体" w:cs="宋体"/>
                <w:b w:val="0"/>
                <w:bCs w:val="0"/>
                <w:color w:val="auto"/>
                <w:spacing w:val="-4"/>
                <w:sz w:val="22"/>
                <w:szCs w:val="22"/>
                <w:highlight w:val="none"/>
                <w:lang w:val="en-US" w:eastAsia="zh-CN"/>
              </w:rPr>
              <w:t>主要人员：</w:t>
            </w:r>
            <w:r>
              <w:rPr>
                <w:rFonts w:hint="eastAsia" w:ascii="宋体" w:hAnsi="宋体" w:eastAsia="宋体" w:cs="宋体"/>
                <w:b w:val="0"/>
                <w:bCs w:val="0"/>
                <w:color w:val="auto"/>
                <w:spacing w:val="-4"/>
                <w:sz w:val="22"/>
                <w:szCs w:val="22"/>
                <w:highlight w:val="none"/>
                <w:u w:val="single"/>
                <w:lang w:val="en-US" w:eastAsia="zh-CN"/>
              </w:rPr>
              <w:t xml:space="preserve">25 分 </w:t>
            </w:r>
          </w:p>
          <w:p w14:paraId="6FC1A5A7">
            <w:pPr>
              <w:widowControl/>
              <w:autoSpaceDE/>
              <w:autoSpaceDN/>
              <w:spacing w:before="0" w:line="240" w:lineRule="auto"/>
              <w:ind w:left="0" w:firstLine="0"/>
              <w:jc w:val="left"/>
              <w:rPr>
                <w:rFonts w:hint="eastAsia" w:ascii="宋体" w:hAnsi="宋体" w:eastAsia="宋体" w:cs="宋体"/>
                <w:b w:val="0"/>
                <w:bCs w:val="0"/>
                <w:color w:val="auto"/>
                <w:spacing w:val="-4"/>
                <w:sz w:val="22"/>
                <w:szCs w:val="22"/>
                <w:highlight w:val="none"/>
                <w:lang w:val="en-US" w:eastAsia="zh-CN"/>
              </w:rPr>
            </w:pPr>
            <w:r>
              <w:rPr>
                <w:rFonts w:hint="eastAsia" w:ascii="宋体" w:hAnsi="宋体" w:cs="宋体"/>
                <w:b w:val="0"/>
                <w:bCs w:val="0"/>
                <w:color w:val="auto"/>
                <w:sz w:val="22"/>
                <w:szCs w:val="22"/>
                <w:highlight w:val="none"/>
                <w:lang w:val="en-US" w:eastAsia="zh-CN"/>
              </w:rPr>
              <w:t>投标人业绩</w:t>
            </w:r>
            <w:r>
              <w:rPr>
                <w:rFonts w:hint="eastAsia" w:ascii="宋体" w:hAnsi="宋体" w:eastAsia="宋体" w:cs="宋体"/>
                <w:b w:val="0"/>
                <w:bCs w:val="0"/>
                <w:color w:val="auto"/>
                <w:spacing w:val="-4"/>
                <w:sz w:val="22"/>
                <w:szCs w:val="22"/>
                <w:highlight w:val="none"/>
                <w:lang w:val="en-US" w:eastAsia="zh-CN"/>
              </w:rPr>
              <w:t>：</w:t>
            </w:r>
            <w:r>
              <w:rPr>
                <w:rFonts w:hint="eastAsia" w:ascii="宋体" w:hAnsi="宋体" w:eastAsia="宋体" w:cs="宋体"/>
                <w:b w:val="0"/>
                <w:bCs w:val="0"/>
                <w:color w:val="auto"/>
                <w:spacing w:val="-4"/>
                <w:sz w:val="22"/>
                <w:szCs w:val="22"/>
                <w:highlight w:val="none"/>
                <w:u w:val="single"/>
                <w:lang w:val="en-US" w:eastAsia="zh-CN"/>
              </w:rPr>
              <w:t>2</w:t>
            </w:r>
            <w:r>
              <w:rPr>
                <w:rFonts w:hint="eastAsia" w:ascii="宋体" w:hAnsi="宋体" w:cs="宋体"/>
                <w:b w:val="0"/>
                <w:bCs w:val="0"/>
                <w:color w:val="auto"/>
                <w:spacing w:val="-4"/>
                <w:sz w:val="22"/>
                <w:szCs w:val="22"/>
                <w:highlight w:val="none"/>
                <w:u w:val="single"/>
                <w:lang w:val="en-US" w:eastAsia="zh-CN"/>
              </w:rPr>
              <w:t>5</w:t>
            </w:r>
            <w:r>
              <w:rPr>
                <w:rFonts w:hint="eastAsia" w:ascii="宋体" w:hAnsi="宋体" w:eastAsia="宋体" w:cs="宋体"/>
                <w:b w:val="0"/>
                <w:bCs w:val="0"/>
                <w:color w:val="auto"/>
                <w:spacing w:val="-4"/>
                <w:sz w:val="22"/>
                <w:szCs w:val="22"/>
                <w:highlight w:val="none"/>
                <w:u w:val="single"/>
                <w:lang w:val="en-US" w:eastAsia="zh-CN"/>
              </w:rPr>
              <w:t xml:space="preserve">分 </w:t>
            </w:r>
          </w:p>
          <w:p w14:paraId="0F74E03B">
            <w:pPr>
              <w:widowControl/>
              <w:autoSpaceDE/>
              <w:autoSpaceDN/>
              <w:spacing w:before="0" w:line="240" w:lineRule="auto"/>
              <w:ind w:left="0" w:firstLine="0"/>
              <w:jc w:val="left"/>
              <w:rPr>
                <w:rFonts w:hint="eastAsia" w:ascii="宋体" w:hAnsi="宋体" w:eastAsia="宋体" w:cs="宋体"/>
                <w:b w:val="0"/>
                <w:bCs w:val="0"/>
                <w:color w:val="auto"/>
                <w:spacing w:val="-4"/>
                <w:sz w:val="22"/>
                <w:szCs w:val="22"/>
                <w:highlight w:val="none"/>
                <w:lang w:val="en-US" w:eastAsia="zh-CN"/>
              </w:rPr>
            </w:pPr>
            <w:r>
              <w:rPr>
                <w:rFonts w:hint="eastAsia" w:ascii="宋体" w:hAnsi="宋体" w:eastAsia="宋体" w:cs="宋体"/>
                <w:b w:val="0"/>
                <w:bCs w:val="0"/>
                <w:color w:val="auto"/>
                <w:spacing w:val="-4"/>
                <w:sz w:val="22"/>
                <w:szCs w:val="22"/>
                <w:highlight w:val="none"/>
                <w:lang w:val="en-US" w:eastAsia="zh-CN"/>
              </w:rPr>
              <w:t>信用评价：</w:t>
            </w:r>
            <w:r>
              <w:rPr>
                <w:rFonts w:hint="eastAsia" w:ascii="宋体" w:hAnsi="宋体" w:cs="宋体"/>
                <w:b w:val="0"/>
                <w:bCs w:val="0"/>
                <w:color w:val="auto"/>
                <w:spacing w:val="-4"/>
                <w:sz w:val="22"/>
                <w:szCs w:val="22"/>
                <w:highlight w:val="none"/>
                <w:u w:val="single"/>
                <w:lang w:val="en-US" w:eastAsia="zh-CN"/>
              </w:rPr>
              <w:t>0</w:t>
            </w:r>
            <w:r>
              <w:rPr>
                <w:rFonts w:hint="eastAsia" w:ascii="宋体" w:hAnsi="宋体" w:eastAsia="宋体" w:cs="宋体"/>
                <w:b w:val="0"/>
                <w:bCs w:val="0"/>
                <w:color w:val="auto"/>
                <w:spacing w:val="-4"/>
                <w:sz w:val="22"/>
                <w:szCs w:val="22"/>
                <w:highlight w:val="none"/>
                <w:u w:val="single"/>
                <w:lang w:val="en-US" w:eastAsia="zh-CN"/>
              </w:rPr>
              <w:t xml:space="preserve"> 分 </w:t>
            </w:r>
          </w:p>
          <w:p w14:paraId="14E7A5AB">
            <w:pPr>
              <w:widowControl/>
              <w:autoSpaceDE/>
              <w:autoSpaceDN/>
              <w:spacing w:before="0" w:line="240" w:lineRule="auto"/>
              <w:ind w:left="0" w:firstLine="0"/>
              <w:jc w:val="left"/>
              <w:rPr>
                <w:rFonts w:hint="eastAsia" w:ascii="宋体" w:hAnsi="宋体" w:eastAsia="宋体" w:cs="宋体"/>
                <w:b/>
                <w:bCs/>
                <w:color w:val="auto"/>
                <w:spacing w:val="-4"/>
                <w:sz w:val="22"/>
                <w:szCs w:val="22"/>
                <w:highlight w:val="none"/>
                <w:lang w:val="en-US" w:eastAsia="zh-CN"/>
              </w:rPr>
            </w:pPr>
            <w:r>
              <w:rPr>
                <w:rFonts w:hint="eastAsia" w:ascii="宋体" w:hAnsi="宋体" w:eastAsia="宋体" w:cs="宋体"/>
                <w:b/>
                <w:bCs/>
                <w:color w:val="auto"/>
                <w:spacing w:val="-4"/>
                <w:sz w:val="22"/>
                <w:szCs w:val="22"/>
                <w:highlight w:val="none"/>
                <w:lang w:val="en-US" w:eastAsia="zh-CN"/>
              </w:rPr>
              <w:t xml:space="preserve">第二个信封（报价文件）评分分值构成： </w:t>
            </w:r>
          </w:p>
          <w:p w14:paraId="61C80201">
            <w:pPr>
              <w:widowControl/>
              <w:autoSpaceDE/>
              <w:autoSpaceDN/>
              <w:spacing w:before="0" w:line="240" w:lineRule="auto"/>
              <w:ind w:left="0" w:firstLine="0"/>
              <w:jc w:val="left"/>
              <w:rPr>
                <w:rFonts w:hint="eastAsia"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评标价：</w:t>
            </w:r>
            <w:r>
              <w:rPr>
                <w:rFonts w:hint="eastAsia" w:ascii="宋体" w:hAnsi="宋体" w:cs="宋体"/>
                <w:color w:val="auto"/>
                <w:spacing w:val="-4"/>
                <w:sz w:val="22"/>
                <w:szCs w:val="22"/>
                <w:highlight w:val="none"/>
                <w:u w:val="single"/>
                <w:lang w:val="en-US" w:eastAsia="zh-CN"/>
              </w:rPr>
              <w:t>25</w:t>
            </w:r>
            <w:r>
              <w:rPr>
                <w:rFonts w:hint="eastAsia" w:ascii="宋体" w:hAnsi="宋体" w:eastAsia="宋体" w:cs="宋体"/>
                <w:color w:val="auto"/>
                <w:spacing w:val="-4"/>
                <w:sz w:val="22"/>
                <w:szCs w:val="22"/>
                <w:highlight w:val="none"/>
                <w:u w:val="single"/>
                <w:lang w:val="en-US" w:eastAsia="zh-CN"/>
              </w:rPr>
              <w:t>分</w:t>
            </w:r>
          </w:p>
        </w:tc>
      </w:tr>
      <w:tr w14:paraId="1FA97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57" w:hRule="atLeast"/>
        </w:trPr>
        <w:tc>
          <w:tcPr>
            <w:tcW w:w="881" w:type="dxa"/>
            <w:vAlign w:val="center"/>
          </w:tcPr>
          <w:p w14:paraId="3F0F1FDA">
            <w:pPr>
              <w:autoSpaceDE w:val="0"/>
              <w:autoSpaceDN w:val="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2.2.</w:t>
            </w:r>
            <w:r>
              <w:rPr>
                <w:rFonts w:hint="eastAsia" w:ascii="宋体" w:hAnsi="宋体" w:cs="宋体"/>
                <w:color w:val="auto"/>
                <w:sz w:val="22"/>
                <w:szCs w:val="22"/>
                <w:highlight w:val="none"/>
                <w:lang w:val="en-US" w:eastAsia="zh-CN"/>
              </w:rPr>
              <w:t>2</w:t>
            </w:r>
          </w:p>
        </w:tc>
        <w:tc>
          <w:tcPr>
            <w:tcW w:w="1892" w:type="dxa"/>
            <w:gridSpan w:val="3"/>
            <w:vAlign w:val="center"/>
          </w:tcPr>
          <w:p w14:paraId="4588BF47">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评标基准价计算 </w:t>
            </w:r>
          </w:p>
          <w:p w14:paraId="33599B0B">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方法</w:t>
            </w:r>
          </w:p>
        </w:tc>
        <w:tc>
          <w:tcPr>
            <w:tcW w:w="6911" w:type="dxa"/>
            <w:gridSpan w:val="4"/>
            <w:vAlign w:val="center"/>
          </w:tcPr>
          <w:p w14:paraId="31BE382D">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评标基准价的计算： </w:t>
            </w:r>
          </w:p>
          <w:p w14:paraId="5223C301">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在开标现场，招标人将当场计算并宣布评标基准价。 </w:t>
            </w:r>
          </w:p>
          <w:p w14:paraId="6268FCEB">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（1）评标价的确定： </w:t>
            </w:r>
          </w:p>
          <w:p w14:paraId="151ACB05">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评标价=投标函文字报价 </w:t>
            </w:r>
          </w:p>
          <w:p w14:paraId="16C0A01E">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（2）评标价平均值计算 </w:t>
            </w:r>
          </w:p>
          <w:p w14:paraId="42C0F9E6">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或等于5家，则计算评标价平均值时不去掉最高值和最低值）。 </w:t>
            </w:r>
          </w:p>
          <w:p w14:paraId="5D447B52">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（2）评标基准价的确定： </w:t>
            </w:r>
          </w:p>
          <w:p w14:paraId="7BB7F331">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□方法一：将评标价平均值直接作为评标基准价。 </w:t>
            </w:r>
          </w:p>
          <w:p w14:paraId="55D9D40C">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□方法二：将评标价平均值下浮__%，作为评标基准价。 </w:t>
            </w:r>
          </w:p>
          <w:p w14:paraId="1F5ED344">
            <w:pPr>
              <w:autoSpaceDE w:val="0"/>
              <w:autoSpaceDN w:val="0"/>
              <w:spacing w:before="29" w:line="400" w:lineRule="exact"/>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☑方法三：招标人设置评标基准价系数 0.5%、1%、1.5%，评标基准价系数开标现场随机抽取，评标基准价=评标价平均值*(1-评标基准价系数)。 </w:t>
            </w:r>
          </w:p>
          <w:p w14:paraId="6B203EB0">
            <w:pPr>
              <w:autoSpaceDE w:val="0"/>
              <w:autoSpaceDN w:val="0"/>
              <w:spacing w:before="29" w:line="240" w:lineRule="auto"/>
              <w:jc w:val="lef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在评标过程中，评标委员会应对招标人计算的评标基准价进行复核，存在计算错误的应予以修正并在评标报告中作出说明。除此之外，评标基准价在整个评标期间保持不变，不随任何因素发生变化。 </w:t>
            </w:r>
          </w:p>
        </w:tc>
      </w:tr>
      <w:tr w14:paraId="0EB3A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0" w:hRule="atLeast"/>
        </w:trPr>
        <w:tc>
          <w:tcPr>
            <w:tcW w:w="881" w:type="dxa"/>
            <w:vAlign w:val="center"/>
          </w:tcPr>
          <w:p w14:paraId="1140232A">
            <w:pPr>
              <w:autoSpaceDE w:val="0"/>
              <w:autoSpaceDN w:val="0"/>
              <w:jc w:val="center"/>
              <w:rPr>
                <w:rFonts w:hint="eastAsia"/>
                <w:color w:val="auto"/>
                <w:highlight w:val="none"/>
              </w:rPr>
            </w:pPr>
            <w:r>
              <w:rPr>
                <w:rFonts w:hint="eastAsia" w:ascii="宋体" w:hAnsi="宋体" w:cs="宋体"/>
                <w:color w:val="auto"/>
                <w:sz w:val="22"/>
                <w:szCs w:val="22"/>
                <w:highlight w:val="none"/>
                <w:lang w:val="en-US" w:eastAsia="zh-CN"/>
              </w:rPr>
              <w:t>2.2.3</w:t>
            </w:r>
          </w:p>
        </w:tc>
        <w:tc>
          <w:tcPr>
            <w:tcW w:w="1892" w:type="dxa"/>
            <w:gridSpan w:val="3"/>
            <w:vAlign w:val="center"/>
          </w:tcPr>
          <w:p w14:paraId="52B66AA1">
            <w:pPr>
              <w:autoSpaceDE w:val="0"/>
              <w:autoSpaceDN w:val="0"/>
              <w:jc w:val="center"/>
              <w:rPr>
                <w:rFonts w:hint="eastAsia"/>
                <w:color w:val="auto"/>
                <w:sz w:val="22"/>
                <w:szCs w:val="22"/>
                <w:highlight w:val="none"/>
                <w:lang w:val="en-US" w:eastAsia="zh-CN"/>
              </w:rPr>
            </w:pPr>
            <w:r>
              <w:rPr>
                <w:rFonts w:hint="eastAsia"/>
                <w:color w:val="auto"/>
                <w:sz w:val="22"/>
                <w:szCs w:val="22"/>
                <w:highlight w:val="none"/>
                <w:lang w:val="en-US" w:eastAsia="zh-CN"/>
              </w:rPr>
              <w:t>评标价的偏差率计算公式</w:t>
            </w:r>
          </w:p>
        </w:tc>
        <w:tc>
          <w:tcPr>
            <w:tcW w:w="6911" w:type="dxa"/>
            <w:gridSpan w:val="4"/>
            <w:vAlign w:val="center"/>
          </w:tcPr>
          <w:p w14:paraId="2D73B1DE">
            <w:pPr>
              <w:pStyle w:val="74"/>
              <w:widowControl/>
              <w:autoSpaceDE/>
              <w:autoSpaceDN/>
              <w:spacing w:before="0" w:line="240" w:lineRule="auto"/>
              <w:ind w:left="0" w:leftChars="0" w:firstLine="0" w:firstLineChars="0"/>
              <w:jc w:val="both"/>
              <w:rPr>
                <w:rFonts w:hint="eastAsia"/>
                <w:color w:val="auto"/>
                <w:sz w:val="22"/>
                <w:szCs w:val="22"/>
                <w:highlight w:val="none"/>
                <w:lang w:val="en-US" w:eastAsia="zh-CN"/>
              </w:rPr>
            </w:pPr>
            <w:r>
              <w:rPr>
                <w:rFonts w:hint="eastAsia"/>
                <w:color w:val="auto"/>
                <w:sz w:val="22"/>
                <w:szCs w:val="22"/>
                <w:highlight w:val="none"/>
                <w:lang w:val="en-US" w:eastAsia="zh-CN"/>
              </w:rPr>
              <w:t>偏差率=100%×（投标人评标价－评标基准价）/评标基准价</w:t>
            </w:r>
          </w:p>
          <w:p w14:paraId="240E10D6">
            <w:pPr>
              <w:pStyle w:val="74"/>
              <w:autoSpaceDE w:val="0"/>
              <w:autoSpaceDN w:val="0"/>
              <w:ind w:left="0" w:leftChars="0" w:firstLine="0" w:firstLineChars="0"/>
              <w:rPr>
                <w:rFonts w:hint="eastAsia"/>
                <w:color w:val="auto"/>
                <w:sz w:val="22"/>
                <w:szCs w:val="22"/>
                <w:highlight w:val="none"/>
                <w:lang w:val="en-US" w:eastAsia="zh-CN"/>
              </w:rPr>
            </w:pPr>
            <w:r>
              <w:rPr>
                <w:rFonts w:hint="eastAsia"/>
                <w:color w:val="auto"/>
                <w:sz w:val="22"/>
                <w:szCs w:val="22"/>
                <w:highlight w:val="none"/>
                <w:lang w:val="en-US" w:eastAsia="zh-CN"/>
              </w:rPr>
              <w:t>偏差率保留 2 位小数</w:t>
            </w:r>
          </w:p>
        </w:tc>
      </w:tr>
      <w:tr w14:paraId="7501F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85" w:hRule="atLeast"/>
        </w:trPr>
        <w:tc>
          <w:tcPr>
            <w:tcW w:w="4533" w:type="dxa"/>
            <w:gridSpan w:val="6"/>
            <w:tcBorders>
              <w:right w:val="single" w:color="auto" w:sz="4" w:space="0"/>
            </w:tcBorders>
            <w:vAlign w:val="center"/>
          </w:tcPr>
          <w:p w14:paraId="3053F1F8">
            <w:pPr>
              <w:autoSpaceDE w:val="0"/>
              <w:autoSpaceDN w:val="0"/>
              <w:jc w:val="both"/>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评分因素与权重分值</w:t>
            </w:r>
          </w:p>
        </w:tc>
        <w:tc>
          <w:tcPr>
            <w:tcW w:w="5151" w:type="dxa"/>
            <w:gridSpan w:val="2"/>
            <w:vMerge w:val="restart"/>
            <w:tcBorders>
              <w:left w:val="single" w:color="auto" w:sz="4" w:space="0"/>
            </w:tcBorders>
            <w:vAlign w:val="center"/>
          </w:tcPr>
          <w:p w14:paraId="5B0E8929">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评分标准</w:t>
            </w:r>
          </w:p>
        </w:tc>
      </w:tr>
      <w:tr w14:paraId="776B4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0" w:hRule="atLeast"/>
        </w:trPr>
        <w:tc>
          <w:tcPr>
            <w:tcW w:w="881" w:type="dxa"/>
            <w:vAlign w:val="center"/>
          </w:tcPr>
          <w:p w14:paraId="2F4AC862">
            <w:pPr>
              <w:autoSpaceDE w:val="0"/>
              <w:autoSpaceDN w:val="0"/>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条款号</w:t>
            </w:r>
          </w:p>
        </w:tc>
        <w:tc>
          <w:tcPr>
            <w:tcW w:w="932" w:type="dxa"/>
            <w:tcBorders>
              <w:right w:val="single" w:color="auto" w:sz="4" w:space="0"/>
            </w:tcBorders>
            <w:vAlign w:val="center"/>
          </w:tcPr>
          <w:p w14:paraId="16B187D0">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评分因素</w:t>
            </w:r>
          </w:p>
        </w:tc>
        <w:tc>
          <w:tcPr>
            <w:tcW w:w="960" w:type="dxa"/>
            <w:gridSpan w:val="2"/>
            <w:tcBorders>
              <w:left w:val="single" w:color="auto" w:sz="4" w:space="0"/>
            </w:tcBorders>
            <w:vAlign w:val="center"/>
          </w:tcPr>
          <w:p w14:paraId="40910F4F">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评分因素</w:t>
            </w:r>
          </w:p>
          <w:p w14:paraId="2085F1C8">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权重分值</w:t>
            </w:r>
          </w:p>
        </w:tc>
        <w:tc>
          <w:tcPr>
            <w:tcW w:w="1003" w:type="dxa"/>
            <w:tcBorders>
              <w:right w:val="single" w:color="auto" w:sz="4" w:space="0"/>
            </w:tcBorders>
            <w:vAlign w:val="center"/>
          </w:tcPr>
          <w:p w14:paraId="28E6D82F">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各评分因素细分项</w:t>
            </w:r>
          </w:p>
        </w:tc>
        <w:tc>
          <w:tcPr>
            <w:tcW w:w="757" w:type="dxa"/>
            <w:tcBorders>
              <w:left w:val="single" w:color="auto" w:sz="4" w:space="0"/>
              <w:right w:val="single" w:color="auto" w:sz="4" w:space="0"/>
            </w:tcBorders>
            <w:vAlign w:val="center"/>
          </w:tcPr>
          <w:p w14:paraId="7F56E958">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分值</w:t>
            </w:r>
          </w:p>
        </w:tc>
        <w:tc>
          <w:tcPr>
            <w:tcW w:w="5151" w:type="dxa"/>
            <w:gridSpan w:val="2"/>
            <w:vMerge w:val="continue"/>
            <w:tcBorders>
              <w:left w:val="single" w:color="auto" w:sz="4" w:space="0"/>
            </w:tcBorders>
            <w:vAlign w:val="center"/>
          </w:tcPr>
          <w:p w14:paraId="53E63CC1">
            <w:pPr>
              <w:autoSpaceDE w:val="0"/>
              <w:autoSpaceDN w:val="0"/>
              <w:jc w:val="both"/>
              <w:rPr>
                <w:rFonts w:hint="eastAsia" w:ascii="宋体" w:hAnsi="宋体" w:eastAsia="宋体" w:cs="宋体"/>
                <w:b/>
                <w:bCs/>
                <w:color w:val="auto"/>
                <w:sz w:val="22"/>
                <w:szCs w:val="22"/>
                <w:highlight w:val="none"/>
                <w:lang w:val="en-US" w:eastAsia="zh-CN"/>
              </w:rPr>
            </w:pPr>
          </w:p>
        </w:tc>
      </w:tr>
      <w:tr w14:paraId="62527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60" w:hRule="atLeast"/>
        </w:trPr>
        <w:tc>
          <w:tcPr>
            <w:tcW w:w="881" w:type="dxa"/>
            <w:vMerge w:val="restart"/>
            <w:vAlign w:val="center"/>
          </w:tcPr>
          <w:p w14:paraId="618A7F42">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2.2.4(1)</w:t>
            </w:r>
            <w:r>
              <w:rPr>
                <w:rFonts w:hint="eastAsia" w:ascii="宋体" w:hAnsi="宋体" w:eastAsia="宋体" w:cs="宋体"/>
                <w:b/>
                <w:bCs/>
                <w:color w:val="auto"/>
                <w:sz w:val="22"/>
                <w:szCs w:val="22"/>
                <w:highlight w:val="none"/>
                <w:lang w:val="en-US" w:eastAsia="zh-CN"/>
              </w:rPr>
              <w:t xml:space="preserve"> </w:t>
            </w:r>
          </w:p>
        </w:tc>
        <w:tc>
          <w:tcPr>
            <w:tcW w:w="932" w:type="dxa"/>
            <w:vMerge w:val="restart"/>
            <w:tcBorders>
              <w:right w:val="single" w:color="auto" w:sz="4" w:space="0"/>
            </w:tcBorders>
            <w:vAlign w:val="center"/>
          </w:tcPr>
          <w:p w14:paraId="20F75433">
            <w:pPr>
              <w:autoSpaceDE w:val="0"/>
              <w:autoSpaceDN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技术建议书</w:t>
            </w:r>
          </w:p>
        </w:tc>
        <w:tc>
          <w:tcPr>
            <w:tcW w:w="960" w:type="dxa"/>
            <w:gridSpan w:val="2"/>
            <w:vMerge w:val="restart"/>
            <w:tcBorders>
              <w:left w:val="single" w:color="auto" w:sz="4" w:space="0"/>
            </w:tcBorders>
            <w:vAlign w:val="center"/>
          </w:tcPr>
          <w:p w14:paraId="54EF9186">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25分</w:t>
            </w:r>
          </w:p>
        </w:tc>
        <w:tc>
          <w:tcPr>
            <w:tcW w:w="1003" w:type="dxa"/>
            <w:tcBorders>
              <w:right w:val="single" w:color="auto" w:sz="4" w:space="0"/>
            </w:tcBorders>
            <w:vAlign w:val="center"/>
          </w:tcPr>
          <w:p w14:paraId="68B83F03">
            <w:pPr>
              <w:autoSpaceDE w:val="0"/>
              <w:autoSpaceDN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检测大纲和措施</w:t>
            </w:r>
          </w:p>
        </w:tc>
        <w:tc>
          <w:tcPr>
            <w:tcW w:w="757" w:type="dxa"/>
            <w:tcBorders>
              <w:left w:val="single" w:color="auto" w:sz="4" w:space="0"/>
              <w:right w:val="single" w:color="auto" w:sz="4" w:space="0"/>
            </w:tcBorders>
            <w:vAlign w:val="center"/>
          </w:tcPr>
          <w:p w14:paraId="70CA5A0B">
            <w:pPr>
              <w:autoSpaceDE w:val="0"/>
              <w:autoSpaceDN w:val="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10分</w:t>
            </w:r>
          </w:p>
        </w:tc>
        <w:tc>
          <w:tcPr>
            <w:tcW w:w="5151" w:type="dxa"/>
            <w:gridSpan w:val="2"/>
            <w:tcBorders>
              <w:left w:val="single" w:color="auto" w:sz="4" w:space="0"/>
            </w:tcBorders>
            <w:vAlign w:val="center"/>
          </w:tcPr>
          <w:p w14:paraId="47301A30">
            <w:pPr>
              <w:autoSpaceDE w:val="0"/>
              <w:autoSpaceDN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基本满足，得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分；措施得力，人员进场计划合理，人员职责分工明确，程序规范，检测技术先进加0~4 分</w:t>
            </w:r>
            <w:r>
              <w:rPr>
                <w:rFonts w:hint="eastAsia" w:ascii="宋体" w:hAnsi="宋体" w:cs="宋体"/>
                <w:b w:val="0"/>
                <w:bCs w:val="0"/>
                <w:color w:val="auto"/>
                <w:sz w:val="22"/>
                <w:szCs w:val="22"/>
                <w:highlight w:val="none"/>
                <w:lang w:val="en-US" w:eastAsia="zh-CN"/>
              </w:rPr>
              <w:t>。</w:t>
            </w:r>
          </w:p>
        </w:tc>
      </w:tr>
      <w:tr w14:paraId="4B89E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016" w:hRule="atLeast"/>
        </w:trPr>
        <w:tc>
          <w:tcPr>
            <w:tcW w:w="881" w:type="dxa"/>
            <w:vMerge w:val="continue"/>
            <w:vAlign w:val="center"/>
          </w:tcPr>
          <w:p w14:paraId="1F29978F">
            <w:pPr>
              <w:autoSpaceDE w:val="0"/>
              <w:autoSpaceDN w:val="0"/>
              <w:jc w:val="center"/>
              <w:rPr>
                <w:rFonts w:hint="eastAsia" w:ascii="宋体" w:hAnsi="宋体" w:eastAsia="宋体" w:cs="宋体"/>
                <w:b/>
                <w:bCs/>
                <w:color w:val="auto"/>
                <w:sz w:val="22"/>
                <w:szCs w:val="22"/>
                <w:highlight w:val="none"/>
                <w:lang w:val="en-US" w:eastAsia="zh-CN"/>
              </w:rPr>
            </w:pPr>
          </w:p>
        </w:tc>
        <w:tc>
          <w:tcPr>
            <w:tcW w:w="932" w:type="dxa"/>
            <w:vMerge w:val="continue"/>
            <w:tcBorders>
              <w:right w:val="single" w:color="auto" w:sz="4" w:space="0"/>
            </w:tcBorders>
            <w:vAlign w:val="center"/>
          </w:tcPr>
          <w:p w14:paraId="1484CC10">
            <w:pPr>
              <w:autoSpaceDE w:val="0"/>
              <w:autoSpaceDN w:val="0"/>
              <w:jc w:val="center"/>
              <w:rPr>
                <w:rFonts w:hint="eastAsia" w:ascii="宋体" w:hAnsi="宋体" w:eastAsia="宋体" w:cs="宋体"/>
                <w:b/>
                <w:bCs/>
                <w:color w:val="auto"/>
                <w:sz w:val="22"/>
                <w:szCs w:val="22"/>
                <w:highlight w:val="none"/>
                <w:lang w:val="en-US" w:eastAsia="zh-CN"/>
              </w:rPr>
            </w:pPr>
          </w:p>
        </w:tc>
        <w:tc>
          <w:tcPr>
            <w:tcW w:w="960" w:type="dxa"/>
            <w:gridSpan w:val="2"/>
            <w:vMerge w:val="continue"/>
            <w:tcBorders>
              <w:left w:val="single" w:color="auto" w:sz="4" w:space="0"/>
            </w:tcBorders>
            <w:vAlign w:val="center"/>
          </w:tcPr>
          <w:p w14:paraId="3A380CCB">
            <w:pPr>
              <w:autoSpaceDE w:val="0"/>
              <w:autoSpaceDN w:val="0"/>
              <w:jc w:val="center"/>
              <w:rPr>
                <w:rFonts w:hint="eastAsia" w:ascii="宋体" w:hAnsi="宋体" w:eastAsia="宋体" w:cs="宋体"/>
                <w:b/>
                <w:bCs/>
                <w:color w:val="auto"/>
                <w:sz w:val="22"/>
                <w:szCs w:val="22"/>
                <w:highlight w:val="none"/>
                <w:lang w:val="en-US" w:eastAsia="zh-CN"/>
              </w:rPr>
            </w:pPr>
          </w:p>
        </w:tc>
        <w:tc>
          <w:tcPr>
            <w:tcW w:w="1003" w:type="dxa"/>
            <w:tcBorders>
              <w:right w:val="single" w:color="auto" w:sz="4" w:space="0"/>
            </w:tcBorders>
            <w:vAlign w:val="center"/>
          </w:tcPr>
          <w:p w14:paraId="3DA6099F">
            <w:pPr>
              <w:widowControl/>
              <w:autoSpaceDE/>
              <w:autoSpaceDN/>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对本工程重点</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难点分析</w:t>
            </w:r>
          </w:p>
        </w:tc>
        <w:tc>
          <w:tcPr>
            <w:tcW w:w="757" w:type="dxa"/>
            <w:tcBorders>
              <w:left w:val="single" w:color="auto" w:sz="4" w:space="0"/>
              <w:right w:val="single" w:color="auto" w:sz="4" w:space="0"/>
            </w:tcBorders>
            <w:vAlign w:val="center"/>
          </w:tcPr>
          <w:p w14:paraId="6CB13526">
            <w:pPr>
              <w:autoSpaceDE w:val="0"/>
              <w:autoSpaceDN w:val="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10分</w:t>
            </w:r>
          </w:p>
        </w:tc>
        <w:tc>
          <w:tcPr>
            <w:tcW w:w="5151" w:type="dxa"/>
            <w:gridSpan w:val="2"/>
            <w:tcBorders>
              <w:left w:val="single" w:color="auto" w:sz="4" w:space="0"/>
            </w:tcBorders>
            <w:vAlign w:val="center"/>
          </w:tcPr>
          <w:p w14:paraId="36906DCD">
            <w:pPr>
              <w:autoSpaceDE w:val="0"/>
              <w:autoSpaceDN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基本满足，得</w:t>
            </w:r>
            <w:r>
              <w:rPr>
                <w:rFonts w:hint="eastAsia" w:ascii="宋体" w:hAnsi="宋体" w:cs="宋体"/>
                <w:b w:val="0"/>
                <w:bCs w:val="0"/>
                <w:color w:val="auto"/>
                <w:sz w:val="22"/>
                <w:szCs w:val="22"/>
                <w:highlight w:val="none"/>
                <w:lang w:val="en-US" w:eastAsia="zh-CN"/>
              </w:rPr>
              <w:t>6</w:t>
            </w:r>
            <w:r>
              <w:rPr>
                <w:rFonts w:hint="eastAsia" w:ascii="宋体" w:hAnsi="宋体" w:eastAsia="宋体" w:cs="宋体"/>
                <w:b w:val="0"/>
                <w:bCs w:val="0"/>
                <w:color w:val="auto"/>
                <w:sz w:val="22"/>
                <w:szCs w:val="22"/>
                <w:highlight w:val="none"/>
                <w:lang w:val="en-US" w:eastAsia="zh-CN"/>
              </w:rPr>
              <w:t xml:space="preserve">分。重点及难点分析针对特殊工程提出质量控制方法、常见问题、创优措施等方面进行论述，论述完整、正确、先进、可行，加0~4 分。  </w:t>
            </w:r>
          </w:p>
        </w:tc>
      </w:tr>
      <w:tr w14:paraId="46C7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016" w:hRule="atLeast"/>
        </w:trPr>
        <w:tc>
          <w:tcPr>
            <w:tcW w:w="881" w:type="dxa"/>
            <w:vMerge w:val="continue"/>
            <w:vAlign w:val="center"/>
          </w:tcPr>
          <w:p w14:paraId="61CBCDFE">
            <w:pPr>
              <w:autoSpaceDE w:val="0"/>
              <w:autoSpaceDN w:val="0"/>
              <w:jc w:val="center"/>
              <w:rPr>
                <w:rFonts w:hint="eastAsia" w:ascii="宋体" w:hAnsi="宋体" w:eastAsia="宋体" w:cs="宋体"/>
                <w:b/>
                <w:bCs/>
                <w:color w:val="auto"/>
                <w:sz w:val="22"/>
                <w:szCs w:val="22"/>
                <w:highlight w:val="none"/>
                <w:lang w:val="en-US" w:eastAsia="zh-CN"/>
              </w:rPr>
            </w:pPr>
          </w:p>
        </w:tc>
        <w:tc>
          <w:tcPr>
            <w:tcW w:w="932" w:type="dxa"/>
            <w:vMerge w:val="continue"/>
            <w:tcBorders>
              <w:right w:val="single" w:color="auto" w:sz="4" w:space="0"/>
            </w:tcBorders>
            <w:vAlign w:val="center"/>
          </w:tcPr>
          <w:p w14:paraId="24BD0F42">
            <w:pPr>
              <w:autoSpaceDE w:val="0"/>
              <w:autoSpaceDN w:val="0"/>
              <w:jc w:val="center"/>
              <w:rPr>
                <w:rFonts w:hint="eastAsia" w:ascii="宋体" w:hAnsi="宋体" w:eastAsia="宋体" w:cs="宋体"/>
                <w:b/>
                <w:bCs/>
                <w:color w:val="auto"/>
                <w:sz w:val="22"/>
                <w:szCs w:val="22"/>
                <w:highlight w:val="none"/>
                <w:lang w:val="en-US" w:eastAsia="zh-CN"/>
              </w:rPr>
            </w:pPr>
          </w:p>
        </w:tc>
        <w:tc>
          <w:tcPr>
            <w:tcW w:w="960" w:type="dxa"/>
            <w:gridSpan w:val="2"/>
            <w:vMerge w:val="continue"/>
            <w:tcBorders>
              <w:left w:val="single" w:color="auto" w:sz="4" w:space="0"/>
            </w:tcBorders>
            <w:vAlign w:val="center"/>
          </w:tcPr>
          <w:p w14:paraId="423C6E6A">
            <w:pPr>
              <w:autoSpaceDE w:val="0"/>
              <w:autoSpaceDN w:val="0"/>
              <w:jc w:val="center"/>
              <w:rPr>
                <w:rFonts w:hint="eastAsia" w:ascii="宋体" w:hAnsi="宋体" w:eastAsia="宋体" w:cs="宋体"/>
                <w:b/>
                <w:bCs/>
                <w:color w:val="auto"/>
                <w:sz w:val="22"/>
                <w:szCs w:val="22"/>
                <w:highlight w:val="none"/>
                <w:lang w:val="en-US" w:eastAsia="zh-CN"/>
              </w:rPr>
            </w:pPr>
          </w:p>
        </w:tc>
        <w:tc>
          <w:tcPr>
            <w:tcW w:w="1003" w:type="dxa"/>
            <w:tcBorders>
              <w:right w:val="single" w:color="auto" w:sz="4" w:space="0"/>
            </w:tcBorders>
            <w:vAlign w:val="center"/>
          </w:tcPr>
          <w:p w14:paraId="553397F7">
            <w:pPr>
              <w:autoSpaceDE w:val="0"/>
              <w:autoSpaceDN w:val="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对本工程的建议</w:t>
            </w:r>
          </w:p>
        </w:tc>
        <w:tc>
          <w:tcPr>
            <w:tcW w:w="757" w:type="dxa"/>
            <w:tcBorders>
              <w:left w:val="single" w:color="auto" w:sz="4" w:space="0"/>
              <w:right w:val="single" w:color="auto" w:sz="4" w:space="0"/>
            </w:tcBorders>
            <w:vAlign w:val="center"/>
          </w:tcPr>
          <w:p w14:paraId="44DDCBBC">
            <w:pPr>
              <w:autoSpaceDE w:val="0"/>
              <w:autoSpaceDN w:val="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5分</w:t>
            </w:r>
          </w:p>
        </w:tc>
        <w:tc>
          <w:tcPr>
            <w:tcW w:w="5151" w:type="dxa"/>
            <w:gridSpan w:val="2"/>
            <w:tcBorders>
              <w:left w:val="single" w:color="auto" w:sz="4" w:space="0"/>
            </w:tcBorders>
            <w:vAlign w:val="center"/>
          </w:tcPr>
          <w:p w14:paraId="42FBE747">
            <w:pPr>
              <w:autoSpaceDE w:val="0"/>
              <w:autoSpaceDN w:val="0"/>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基本满足，得</w:t>
            </w: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分；针对性及可行性强，分别针对项目管理模式、工程质量控制、品质工程、信息化管理提出有益建议</w:t>
            </w:r>
            <w:r>
              <w:rPr>
                <w:rFonts w:hint="eastAsia" w:ascii="宋体" w:hAnsi="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val="en-US" w:eastAsia="zh-CN"/>
              </w:rPr>
              <w:t>加0~</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 xml:space="preserve">分。 </w:t>
            </w:r>
          </w:p>
        </w:tc>
      </w:tr>
      <w:tr w14:paraId="0BE7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016" w:hRule="atLeast"/>
        </w:trPr>
        <w:tc>
          <w:tcPr>
            <w:tcW w:w="881" w:type="dxa"/>
            <w:vAlign w:val="center"/>
          </w:tcPr>
          <w:p w14:paraId="1DB4B07C">
            <w:pPr>
              <w:autoSpaceDE w:val="0"/>
              <w:autoSpaceDN w:val="0"/>
              <w:jc w:val="center"/>
              <w:rPr>
                <w:rFonts w:hint="eastAsia" w:ascii="宋体" w:hAnsi="宋体" w:eastAsia="宋体" w:cs="宋体"/>
                <w:b/>
                <w:bCs/>
                <w:color w:val="auto"/>
                <w:sz w:val="22"/>
                <w:szCs w:val="22"/>
                <w:highlight w:val="none"/>
                <w:lang w:val="en-US" w:eastAsia="zh-CN"/>
              </w:rPr>
            </w:pPr>
            <w:r>
              <w:rPr>
                <w:rFonts w:hint="eastAsia" w:ascii="宋体" w:hAnsi="宋体" w:cs="宋体"/>
                <w:b w:val="0"/>
                <w:bCs w:val="0"/>
                <w:color w:val="auto"/>
                <w:spacing w:val="1"/>
                <w:sz w:val="22"/>
                <w:szCs w:val="22"/>
                <w:highlight w:val="none"/>
                <w:lang w:val="en-US" w:eastAsia="zh-CN"/>
              </w:rPr>
              <w:t>2.2.4（2）</w:t>
            </w:r>
          </w:p>
        </w:tc>
        <w:tc>
          <w:tcPr>
            <w:tcW w:w="932" w:type="dxa"/>
            <w:tcBorders>
              <w:right w:val="single" w:color="auto" w:sz="4" w:space="0"/>
            </w:tcBorders>
            <w:vAlign w:val="center"/>
          </w:tcPr>
          <w:p w14:paraId="55D94C6B">
            <w:pPr>
              <w:autoSpaceDE w:val="0"/>
              <w:autoSpaceDN w:val="0"/>
              <w:spacing w:before="71" w:line="315" w:lineRule="auto"/>
              <w:ind w:right="119" w:rightChars="0"/>
              <w:jc w:val="center"/>
              <w:rPr>
                <w:rFonts w:hint="eastAsia" w:ascii="宋体" w:hAnsi="宋体" w:eastAsia="宋体" w:cs="宋体"/>
                <w:b/>
                <w:bCs/>
                <w:color w:val="auto"/>
                <w:sz w:val="22"/>
                <w:szCs w:val="22"/>
                <w:highlight w:val="none"/>
                <w:lang w:val="en-US" w:eastAsia="zh-CN"/>
              </w:rPr>
            </w:pPr>
            <w:r>
              <w:rPr>
                <w:rFonts w:hint="eastAsia" w:ascii="宋体" w:hAnsi="宋体" w:cs="宋体"/>
                <w:color w:val="auto"/>
                <w:spacing w:val="-8"/>
                <w:sz w:val="22"/>
                <w:szCs w:val="22"/>
                <w:highlight w:val="none"/>
                <w:lang w:val="en-US" w:eastAsia="zh-CN"/>
              </w:rPr>
              <w:t>主要人员</w:t>
            </w:r>
          </w:p>
        </w:tc>
        <w:tc>
          <w:tcPr>
            <w:tcW w:w="960" w:type="dxa"/>
            <w:gridSpan w:val="2"/>
            <w:tcBorders>
              <w:left w:val="single" w:color="auto" w:sz="4" w:space="0"/>
            </w:tcBorders>
            <w:vAlign w:val="center"/>
          </w:tcPr>
          <w:p w14:paraId="2CF87FAF">
            <w:pPr>
              <w:autoSpaceDE w:val="0"/>
              <w:autoSpaceDN w:val="0"/>
              <w:spacing w:before="72" w:line="181" w:lineRule="auto"/>
              <w:jc w:val="center"/>
              <w:rPr>
                <w:rFonts w:hint="eastAsia" w:ascii="宋体" w:hAnsi="宋体" w:eastAsia="宋体" w:cs="宋体"/>
                <w:b/>
                <w:bCs/>
                <w:color w:val="auto"/>
                <w:sz w:val="22"/>
                <w:szCs w:val="22"/>
                <w:highlight w:val="none"/>
                <w:lang w:val="en-US" w:eastAsia="zh-CN"/>
              </w:rPr>
            </w:pPr>
            <w:r>
              <w:rPr>
                <w:rFonts w:hint="eastAsia" w:ascii="宋体" w:hAnsi="宋体" w:cs="宋体"/>
                <w:color w:val="auto"/>
                <w:spacing w:val="-3"/>
                <w:sz w:val="22"/>
                <w:szCs w:val="22"/>
                <w:highlight w:val="none"/>
                <w:lang w:val="en-US" w:eastAsia="zh-CN"/>
              </w:rPr>
              <w:t>25</w:t>
            </w:r>
            <w:r>
              <w:rPr>
                <w:rFonts w:hint="eastAsia" w:ascii="宋体" w:hAnsi="宋体" w:eastAsia="宋体" w:cs="宋体"/>
                <w:color w:val="auto"/>
                <w:spacing w:val="-3"/>
                <w:sz w:val="22"/>
                <w:szCs w:val="22"/>
                <w:highlight w:val="none"/>
              </w:rPr>
              <w:t>分</w:t>
            </w:r>
          </w:p>
        </w:tc>
        <w:tc>
          <w:tcPr>
            <w:tcW w:w="1003" w:type="dxa"/>
            <w:tcBorders>
              <w:right w:val="single" w:color="auto" w:sz="4" w:space="0"/>
            </w:tcBorders>
            <w:vAlign w:val="center"/>
          </w:tcPr>
          <w:p w14:paraId="21B563ED">
            <w:pPr>
              <w:widowControl/>
              <w:autoSpaceDE w:val="0"/>
              <w:autoSpaceDN w:val="0"/>
              <w:spacing w:before="0" w:line="240" w:lineRule="auto"/>
              <w:ind w:right="0"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中心试验室主任任职资格与业绩</w:t>
            </w:r>
          </w:p>
        </w:tc>
        <w:tc>
          <w:tcPr>
            <w:tcW w:w="757" w:type="dxa"/>
            <w:tcBorders>
              <w:left w:val="single" w:color="auto" w:sz="4" w:space="0"/>
              <w:right w:val="single" w:color="auto" w:sz="4" w:space="0"/>
            </w:tcBorders>
            <w:vAlign w:val="center"/>
          </w:tcPr>
          <w:p w14:paraId="38FA7D7A">
            <w:pPr>
              <w:autoSpaceDE w:val="0"/>
              <w:autoSpaceDN w:val="0"/>
              <w:spacing w:before="71" w:line="312" w:lineRule="auto"/>
              <w:ind w:right="88" w:rightChars="0"/>
              <w:jc w:val="center"/>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spacing w:val="-4"/>
                <w:sz w:val="22"/>
                <w:szCs w:val="22"/>
                <w:highlight w:val="none"/>
                <w:lang w:val="en-US" w:eastAsia="zh-CN"/>
              </w:rPr>
              <w:t>25</w:t>
            </w:r>
            <w:r>
              <w:rPr>
                <w:rFonts w:hint="eastAsia" w:ascii="宋体" w:hAnsi="宋体" w:eastAsia="宋体" w:cs="宋体"/>
                <w:color w:val="auto"/>
                <w:spacing w:val="-16"/>
                <w:sz w:val="22"/>
                <w:szCs w:val="22"/>
                <w:highlight w:val="none"/>
              </w:rPr>
              <w:t>分</w:t>
            </w:r>
          </w:p>
        </w:tc>
        <w:tc>
          <w:tcPr>
            <w:tcW w:w="5151" w:type="dxa"/>
            <w:gridSpan w:val="2"/>
            <w:tcBorders>
              <w:left w:val="single" w:color="auto" w:sz="4" w:space="0"/>
            </w:tcBorders>
            <w:vAlign w:val="top"/>
          </w:tcPr>
          <w:p w14:paraId="3B5309B8">
            <w:pPr>
              <w:keepNext w:val="0"/>
              <w:keepLines w:val="0"/>
              <w:widowControl/>
              <w:numPr>
                <w:ilvl w:val="-1"/>
                <w:numId w:val="0"/>
              </w:numPr>
              <w:suppressLineNumbers w:val="0"/>
              <w:autoSpaceDE w:val="0"/>
              <w:autoSpaceDN w:val="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一、满足招标文件中心试验室主任配置最低要求，得 15 分。 </w:t>
            </w:r>
          </w:p>
          <w:p w14:paraId="33F6DF8E">
            <w:pPr>
              <w:keepNext w:val="0"/>
              <w:keepLines w:val="0"/>
              <w:widowControl/>
              <w:numPr>
                <w:ilvl w:val="-1"/>
                <w:numId w:val="0"/>
              </w:numPr>
              <w:suppressLineNumbers w:val="0"/>
              <w:autoSpaceDE w:val="0"/>
              <w:autoSpaceDN w:val="0"/>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二、每增加 1 个高速公路新建或改扩建项目中心试验室主任经历的加5分，最多加10分。</w:t>
            </w:r>
          </w:p>
          <w:p w14:paraId="14D38FBD">
            <w:pPr>
              <w:keepNext w:val="0"/>
              <w:keepLines w:val="0"/>
              <w:widowControl/>
              <w:numPr>
                <w:ilvl w:val="-1"/>
                <w:numId w:val="0"/>
              </w:numPr>
              <w:suppressLineNumbers w:val="0"/>
              <w:autoSpaceDE w:val="0"/>
              <w:autoSpaceDN w:val="0"/>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注：（1）路面或路基均予以认可，如同时包括路面和路基，仅按一次计取。养护和大中修检测业绩不予认可。（业绩证明材料要求见投人要求前附表3.5.5要求提供材料）。</w:t>
            </w:r>
          </w:p>
          <w:p w14:paraId="0CCA8F80">
            <w:pPr>
              <w:keepNext w:val="0"/>
              <w:keepLines w:val="0"/>
              <w:widowControl/>
              <w:numPr>
                <w:ilvl w:val="-1"/>
                <w:numId w:val="0"/>
              </w:numPr>
              <w:suppressLineNumbers w:val="0"/>
              <w:autoSpaceDE w:val="0"/>
              <w:autoSpaceDN w:val="0"/>
              <w:jc w:val="left"/>
              <w:rPr>
                <w:rFonts w:hint="default"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w:t>
            </w:r>
            <w:r>
              <w:rPr>
                <w:rFonts w:hint="default" w:ascii="宋体" w:hAnsi="宋体" w:cs="宋体"/>
                <w:b w:val="0"/>
                <w:bCs w:val="0"/>
                <w:color w:val="auto"/>
                <w:sz w:val="22"/>
                <w:szCs w:val="22"/>
                <w:highlight w:val="none"/>
                <w:lang w:val="en-US" w:eastAsia="zh-CN"/>
              </w:rPr>
              <w:t>业绩中担任中心试验室主任或项目负责人岗位</w:t>
            </w:r>
            <w:r>
              <w:rPr>
                <w:rFonts w:hint="eastAsia" w:ascii="宋体" w:hAnsi="宋体" w:cs="宋体"/>
                <w:b w:val="0"/>
                <w:bCs w:val="0"/>
                <w:color w:val="auto"/>
                <w:sz w:val="22"/>
                <w:szCs w:val="22"/>
                <w:highlight w:val="none"/>
                <w:lang w:val="en-US" w:eastAsia="zh-CN"/>
              </w:rPr>
              <w:t>，其余身份不予认可。</w:t>
            </w:r>
          </w:p>
        </w:tc>
      </w:tr>
      <w:tr w14:paraId="50FB9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016" w:hRule="atLeast"/>
        </w:trPr>
        <w:tc>
          <w:tcPr>
            <w:tcW w:w="881" w:type="dxa"/>
            <w:vAlign w:val="center"/>
          </w:tcPr>
          <w:p w14:paraId="089BAF29">
            <w:pPr>
              <w:autoSpaceDE w:val="0"/>
              <w:autoSpaceDN w:val="0"/>
              <w:jc w:val="center"/>
              <w:rPr>
                <w:rFonts w:hint="default" w:ascii="宋体" w:hAnsi="宋体" w:cs="宋体"/>
                <w:b w:val="0"/>
                <w:bCs w:val="0"/>
                <w:color w:val="auto"/>
                <w:spacing w:val="1"/>
                <w:sz w:val="22"/>
                <w:szCs w:val="22"/>
                <w:highlight w:val="none"/>
                <w:lang w:val="en-US" w:eastAsia="zh-CN"/>
              </w:rPr>
            </w:pPr>
            <w:r>
              <w:rPr>
                <w:rFonts w:hint="eastAsia" w:ascii="宋体" w:hAnsi="宋体" w:cs="宋体"/>
                <w:b w:val="0"/>
                <w:bCs w:val="0"/>
                <w:color w:val="auto"/>
                <w:spacing w:val="1"/>
                <w:sz w:val="22"/>
                <w:szCs w:val="22"/>
                <w:highlight w:val="none"/>
                <w:lang w:val="en-US" w:eastAsia="zh-CN"/>
              </w:rPr>
              <w:t>2.2.4（3）</w:t>
            </w:r>
          </w:p>
        </w:tc>
        <w:tc>
          <w:tcPr>
            <w:tcW w:w="932" w:type="dxa"/>
            <w:tcBorders>
              <w:right w:val="single" w:color="auto" w:sz="4" w:space="0"/>
            </w:tcBorders>
            <w:vAlign w:val="center"/>
          </w:tcPr>
          <w:p w14:paraId="452CF0F3">
            <w:pPr>
              <w:autoSpaceDE w:val="0"/>
              <w:autoSpaceDN w:val="0"/>
              <w:spacing w:before="71" w:line="315" w:lineRule="auto"/>
              <w:ind w:right="119" w:rightChars="0"/>
              <w:jc w:val="center"/>
              <w:rPr>
                <w:rFonts w:hint="default" w:ascii="Times New Roman" w:hAnsi="Times New Roman" w:eastAsia="宋体" w:cs="Times New Roman"/>
                <w:color w:val="auto"/>
                <w:spacing w:val="-8"/>
                <w:sz w:val="22"/>
                <w:szCs w:val="22"/>
                <w:highlight w:val="none"/>
                <w:lang w:val="en-US" w:eastAsia="zh-CN"/>
              </w:rPr>
            </w:pPr>
            <w:r>
              <w:rPr>
                <w:rFonts w:hint="eastAsia" w:cs="Times New Roman"/>
                <w:color w:val="auto"/>
                <w:spacing w:val="-8"/>
                <w:sz w:val="22"/>
                <w:szCs w:val="22"/>
                <w:highlight w:val="none"/>
                <w:lang w:val="en-US" w:eastAsia="zh-CN"/>
              </w:rPr>
              <w:t>评标价</w:t>
            </w:r>
          </w:p>
        </w:tc>
        <w:tc>
          <w:tcPr>
            <w:tcW w:w="960" w:type="dxa"/>
            <w:gridSpan w:val="2"/>
            <w:tcBorders>
              <w:left w:val="single" w:color="auto" w:sz="4" w:space="0"/>
            </w:tcBorders>
            <w:vAlign w:val="center"/>
          </w:tcPr>
          <w:p w14:paraId="3C35BFD2">
            <w:pPr>
              <w:autoSpaceDE w:val="0"/>
              <w:autoSpaceDN w:val="0"/>
              <w:spacing w:before="72" w:line="181" w:lineRule="auto"/>
              <w:jc w:val="center"/>
              <w:rPr>
                <w:rFonts w:hint="default" w:cs="Times New Roman"/>
                <w:color w:val="auto"/>
                <w:spacing w:val="-3"/>
                <w:sz w:val="22"/>
                <w:szCs w:val="22"/>
                <w:highlight w:val="none"/>
                <w:lang w:val="en-US" w:eastAsia="zh-CN"/>
              </w:rPr>
            </w:pPr>
            <w:r>
              <w:rPr>
                <w:rFonts w:hint="eastAsia" w:cs="Times New Roman"/>
                <w:color w:val="auto"/>
                <w:spacing w:val="-3"/>
                <w:sz w:val="22"/>
                <w:szCs w:val="22"/>
                <w:highlight w:val="none"/>
                <w:lang w:val="en-US" w:eastAsia="zh-CN"/>
              </w:rPr>
              <w:t>25分</w:t>
            </w:r>
          </w:p>
        </w:tc>
        <w:tc>
          <w:tcPr>
            <w:tcW w:w="6911" w:type="dxa"/>
            <w:gridSpan w:val="4"/>
            <w:vAlign w:val="center"/>
          </w:tcPr>
          <w:p w14:paraId="6FA06057">
            <w:pPr>
              <w:keepNext w:val="0"/>
              <w:keepLines w:val="0"/>
              <w:widowControl/>
              <w:numPr>
                <w:ilvl w:val="-1"/>
                <w:numId w:val="0"/>
              </w:numPr>
              <w:suppressLineNumbers w:val="0"/>
              <w:autoSpaceDE w:val="0"/>
              <w:autoSpaceDN w:val="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评标价得分计算： </w:t>
            </w:r>
          </w:p>
          <w:p w14:paraId="637A002B">
            <w:pPr>
              <w:keepNext w:val="0"/>
              <w:keepLines w:val="0"/>
              <w:widowControl/>
              <w:numPr>
                <w:ilvl w:val="-1"/>
                <w:numId w:val="0"/>
              </w:numPr>
              <w:suppressLineNumbers w:val="0"/>
              <w:autoSpaceDE w:val="0"/>
              <w:autoSpaceDN w:val="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（1）如果投标人的评标价＞评标基准价，则评标价得分＝F－|偏差率|×100×E1； </w:t>
            </w:r>
          </w:p>
          <w:p w14:paraId="5F3A24FC">
            <w:pPr>
              <w:keepNext w:val="0"/>
              <w:keepLines w:val="0"/>
              <w:widowControl/>
              <w:numPr>
                <w:ilvl w:val="-1"/>
                <w:numId w:val="0"/>
              </w:numPr>
              <w:suppressLineNumbers w:val="0"/>
              <w:autoSpaceDE w:val="0"/>
              <w:autoSpaceDN w:val="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（2）如果投标人的评标价≤评标基准价，则评标价得分＝F－|偏差率|×100×E2。 </w:t>
            </w:r>
          </w:p>
          <w:p w14:paraId="42A572C3">
            <w:pPr>
              <w:keepNext w:val="0"/>
              <w:keepLines w:val="0"/>
              <w:widowControl/>
              <w:numPr>
                <w:ilvl w:val="-1"/>
                <w:numId w:val="0"/>
              </w:numPr>
              <w:suppressLineNumbers w:val="0"/>
              <w:autoSpaceDE w:val="0"/>
              <w:autoSpaceDN w:val="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其中：F 是评标价所占权重分值 25，E1= 0.2 ，E2 =0.1。 </w:t>
            </w:r>
          </w:p>
          <w:p w14:paraId="5825F333">
            <w:pPr>
              <w:keepNext w:val="0"/>
              <w:keepLines w:val="0"/>
              <w:widowControl/>
              <w:numPr>
                <w:ilvl w:val="-1"/>
                <w:numId w:val="0"/>
              </w:numPr>
              <w:suppressLineNumbers w:val="0"/>
              <w:autoSpaceDE w:val="0"/>
              <w:autoSpaceDN w:val="0"/>
              <w:jc w:val="left"/>
              <w:rPr>
                <w:rFonts w:hint="eastAsia" w:ascii="宋体" w:hAnsi="宋体"/>
                <w:b/>
                <w:bCs/>
                <w:color w:val="auto"/>
                <w:szCs w:val="21"/>
                <w:highlight w:val="none"/>
              </w:rPr>
            </w:pPr>
            <w:r>
              <w:rPr>
                <w:rFonts w:hint="eastAsia" w:ascii="宋体" w:hAnsi="宋体"/>
                <w:b/>
                <w:bCs/>
                <w:color w:val="auto"/>
                <w:szCs w:val="21"/>
                <w:highlight w:val="none"/>
                <w:lang w:val="en-US" w:eastAsia="zh-CN"/>
              </w:rPr>
              <w:t xml:space="preserve">评标价得分按四舍五入规则保留小数点后2位小数，评标价得分最高为25。 </w:t>
            </w:r>
          </w:p>
        </w:tc>
      </w:tr>
      <w:tr w14:paraId="5A7E9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016" w:hRule="atLeast"/>
        </w:trPr>
        <w:tc>
          <w:tcPr>
            <w:tcW w:w="881" w:type="dxa"/>
            <w:vMerge w:val="restart"/>
            <w:vAlign w:val="center"/>
          </w:tcPr>
          <w:p w14:paraId="0BBA5E5E">
            <w:pPr>
              <w:autoSpaceDE w:val="0"/>
              <w:autoSpaceDN w:val="0"/>
              <w:spacing w:before="72" w:line="336" w:lineRule="auto"/>
              <w:ind w:right="115" w:rightChars="0"/>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pacing w:val="1"/>
                <w:sz w:val="22"/>
                <w:szCs w:val="22"/>
                <w:highlight w:val="none"/>
              </w:rPr>
              <w:t>2.2.</w:t>
            </w:r>
            <w:r>
              <w:rPr>
                <w:rFonts w:hint="eastAsia" w:ascii="宋体" w:hAnsi="宋体" w:cs="宋体"/>
                <w:color w:val="auto"/>
                <w:spacing w:val="1"/>
                <w:sz w:val="22"/>
                <w:szCs w:val="22"/>
                <w:highlight w:val="none"/>
                <w:lang w:val="en-US" w:eastAsia="zh-CN"/>
              </w:rPr>
              <w:t>4（4）</w:t>
            </w:r>
          </w:p>
        </w:tc>
        <w:tc>
          <w:tcPr>
            <w:tcW w:w="932" w:type="dxa"/>
            <w:vMerge w:val="restart"/>
            <w:tcBorders>
              <w:right w:val="single" w:color="auto" w:sz="4" w:space="0"/>
            </w:tcBorders>
            <w:vAlign w:val="center"/>
          </w:tcPr>
          <w:p w14:paraId="41A3887B">
            <w:pPr>
              <w:autoSpaceDE w:val="0"/>
              <w:autoSpaceDN w:val="0"/>
              <w:spacing w:before="71" w:line="315" w:lineRule="auto"/>
              <w:ind w:right="119" w:rightChars="0"/>
              <w:jc w:val="center"/>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其他因素</w:t>
            </w:r>
          </w:p>
        </w:tc>
        <w:tc>
          <w:tcPr>
            <w:tcW w:w="960" w:type="dxa"/>
            <w:gridSpan w:val="2"/>
            <w:vMerge w:val="restart"/>
            <w:tcBorders>
              <w:left w:val="single" w:color="auto" w:sz="4" w:space="0"/>
            </w:tcBorders>
            <w:vAlign w:val="center"/>
          </w:tcPr>
          <w:p w14:paraId="1984909E">
            <w:pPr>
              <w:autoSpaceDE w:val="0"/>
              <w:autoSpaceDN w:val="0"/>
              <w:spacing w:before="72" w:line="600" w:lineRule="auto"/>
              <w:jc w:val="center"/>
              <w:rPr>
                <w:rFonts w:hint="eastAsia" w:ascii="宋体" w:hAnsi="宋体" w:eastAsia="宋体" w:cs="宋体"/>
                <w:color w:val="auto"/>
                <w:sz w:val="22"/>
                <w:szCs w:val="22"/>
                <w:highlight w:val="none"/>
                <w:lang w:val="en-US" w:eastAsia="zh-CN"/>
              </w:rPr>
            </w:pPr>
            <w:r>
              <w:rPr>
                <w:rFonts w:hint="eastAsia" w:ascii="宋体" w:hAnsi="宋体" w:cs="宋体"/>
                <w:color w:val="auto"/>
                <w:spacing w:val="-3"/>
                <w:sz w:val="22"/>
                <w:szCs w:val="22"/>
                <w:highlight w:val="none"/>
                <w:lang w:val="en-US" w:eastAsia="zh-CN"/>
              </w:rPr>
              <w:t>业绩</w:t>
            </w:r>
          </w:p>
        </w:tc>
        <w:tc>
          <w:tcPr>
            <w:tcW w:w="1003" w:type="dxa"/>
            <w:vMerge w:val="restart"/>
            <w:tcBorders>
              <w:right w:val="single" w:color="auto" w:sz="4" w:space="0"/>
            </w:tcBorders>
            <w:vAlign w:val="center"/>
          </w:tcPr>
          <w:p w14:paraId="238FCBAC">
            <w:pPr>
              <w:autoSpaceDE w:val="0"/>
              <w:autoSpaceDN w:val="0"/>
              <w:spacing w:before="29" w:line="304" w:lineRule="auto"/>
              <w:jc w:val="center"/>
              <w:rPr>
                <w:rFonts w:hint="eastAsia" w:ascii="宋体" w:hAnsi="宋体" w:eastAsia="宋体" w:cs="宋体"/>
                <w:color w:val="auto"/>
                <w:spacing w:val="-4"/>
                <w:sz w:val="22"/>
                <w:szCs w:val="22"/>
                <w:highlight w:val="none"/>
                <w:lang w:val="en-US" w:eastAsia="zh-CN"/>
              </w:rPr>
            </w:pPr>
            <w:r>
              <w:rPr>
                <w:rFonts w:hint="eastAsia" w:ascii="宋体" w:hAnsi="宋体" w:cs="宋体"/>
                <w:b w:val="0"/>
                <w:bCs w:val="0"/>
                <w:color w:val="auto"/>
                <w:sz w:val="22"/>
                <w:szCs w:val="22"/>
                <w:highlight w:val="none"/>
                <w:lang w:val="en-US" w:eastAsia="zh-CN"/>
              </w:rPr>
              <w:t>25分</w:t>
            </w:r>
          </w:p>
        </w:tc>
        <w:tc>
          <w:tcPr>
            <w:tcW w:w="757" w:type="dxa"/>
            <w:tcBorders>
              <w:left w:val="single" w:color="auto" w:sz="4" w:space="0"/>
              <w:right w:val="single" w:color="auto" w:sz="4" w:space="0"/>
            </w:tcBorders>
            <w:vAlign w:val="center"/>
          </w:tcPr>
          <w:p w14:paraId="48032DC8">
            <w:pPr>
              <w:keepNext w:val="0"/>
              <w:keepLines w:val="0"/>
              <w:widowControl/>
              <w:numPr>
                <w:ilvl w:val="-1"/>
                <w:numId w:val="0"/>
              </w:numPr>
              <w:suppressLineNumbers w:val="0"/>
              <w:autoSpaceDE w:val="0"/>
              <w:autoSpaceDN w:val="0"/>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投标人业绩</w:t>
            </w:r>
          </w:p>
        </w:tc>
        <w:tc>
          <w:tcPr>
            <w:tcW w:w="652" w:type="dxa"/>
            <w:tcBorders>
              <w:left w:val="single" w:color="auto" w:sz="4" w:space="0"/>
              <w:right w:val="single" w:color="auto" w:sz="4" w:space="0"/>
            </w:tcBorders>
            <w:vAlign w:val="center"/>
          </w:tcPr>
          <w:p w14:paraId="7C5DD671">
            <w:pPr>
              <w:keepNext w:val="0"/>
              <w:keepLines w:val="0"/>
              <w:widowControl/>
              <w:numPr>
                <w:ilvl w:val="-1"/>
                <w:numId w:val="0"/>
              </w:numPr>
              <w:suppressLineNumbers w:val="0"/>
              <w:autoSpaceDE w:val="0"/>
              <w:autoSpaceDN w:val="0"/>
              <w:jc w:val="center"/>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25分</w:t>
            </w:r>
          </w:p>
        </w:tc>
        <w:tc>
          <w:tcPr>
            <w:tcW w:w="4499" w:type="dxa"/>
            <w:vMerge w:val="restart"/>
            <w:tcBorders>
              <w:left w:val="single" w:color="auto" w:sz="4" w:space="0"/>
            </w:tcBorders>
            <w:vAlign w:val="center"/>
          </w:tcPr>
          <w:p w14:paraId="5497F9BB">
            <w:pPr>
              <w:keepNext w:val="0"/>
              <w:keepLines w:val="0"/>
              <w:widowControl/>
              <w:numPr>
                <w:ilvl w:val="-1"/>
                <w:numId w:val="0"/>
              </w:numPr>
              <w:suppressLineNumbers w:val="0"/>
              <w:autoSpaceDE w:val="0"/>
              <w:autoSpaceDN w:val="0"/>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 xml:space="preserve">一、满足基本要求，得15分。 </w:t>
            </w:r>
          </w:p>
          <w:p w14:paraId="0335DEB2">
            <w:pPr>
              <w:keepNext w:val="0"/>
              <w:keepLines w:val="0"/>
              <w:widowControl/>
              <w:numPr>
                <w:ilvl w:val="-1"/>
                <w:numId w:val="0"/>
              </w:numPr>
              <w:suppressLineNumbers w:val="0"/>
              <w:autoSpaceDE w:val="0"/>
              <w:autoSpaceDN w:val="0"/>
              <w:jc w:val="left"/>
              <w:rPr>
                <w:rFonts w:hint="eastAsia" w:ascii="宋体" w:hAnsi="宋体" w:cs="宋体"/>
                <w:b/>
                <w:bCs/>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二、满足基本要求外，2020年1月1日至今（以合同签订时间为准），</w:t>
            </w:r>
            <w:r>
              <w:rPr>
                <w:rFonts w:hint="eastAsia" w:ascii="宋体" w:hAnsi="宋体" w:cs="宋体"/>
                <w:b/>
                <w:bCs/>
                <w:color w:val="auto"/>
                <w:sz w:val="22"/>
                <w:szCs w:val="22"/>
                <w:highlight w:val="none"/>
                <w:lang w:val="en-US" w:eastAsia="zh-CN"/>
              </w:rPr>
              <w:t>每增加1个高</w:t>
            </w:r>
            <w:r>
              <w:rPr>
                <w:rFonts w:hint="eastAsia" w:ascii="宋体" w:hAnsi="宋体" w:cs="宋体"/>
                <w:b w:val="0"/>
                <w:bCs w:val="0"/>
                <w:color w:val="auto"/>
                <w:sz w:val="22"/>
                <w:szCs w:val="22"/>
                <w:highlight w:val="none"/>
                <w:lang w:val="en-US" w:eastAsia="zh-CN"/>
              </w:rPr>
              <w:t>速公路新建或改扩建项目中心试验室业绩的加5分，最多加10分</w:t>
            </w:r>
            <w:r>
              <w:rPr>
                <w:rFonts w:hint="eastAsia" w:ascii="宋体" w:hAnsi="宋体" w:cs="宋体"/>
                <w:b/>
                <w:bCs/>
                <w:color w:val="auto"/>
                <w:sz w:val="22"/>
                <w:szCs w:val="22"/>
                <w:highlight w:val="none"/>
                <w:lang w:val="en-US" w:eastAsia="zh-CN"/>
              </w:rPr>
              <w:t>；</w:t>
            </w:r>
          </w:p>
          <w:p w14:paraId="05A00F87">
            <w:pPr>
              <w:keepNext w:val="0"/>
              <w:keepLines w:val="0"/>
              <w:widowControl/>
              <w:numPr>
                <w:ilvl w:val="-1"/>
                <w:numId w:val="0"/>
              </w:numPr>
              <w:suppressLineNumbers w:val="0"/>
              <w:autoSpaceDE w:val="0"/>
              <w:autoSpaceDN w:val="0"/>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注：（1）养护和大中修检测业绩不予认可。（业绩证明材料要求见投人要求前附表3.5.2要求提供材料）。</w:t>
            </w:r>
          </w:p>
          <w:p w14:paraId="2F5BDCE1">
            <w:pPr>
              <w:keepNext w:val="0"/>
              <w:keepLines w:val="0"/>
              <w:widowControl/>
              <w:numPr>
                <w:ilvl w:val="-1"/>
                <w:numId w:val="0"/>
              </w:numPr>
              <w:suppressLineNumbers w:val="0"/>
              <w:autoSpaceDE w:val="0"/>
              <w:autoSpaceDN w:val="0"/>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（2）投标人业绩和中心试验室主任业绩可为同一业绩。</w:t>
            </w:r>
          </w:p>
        </w:tc>
      </w:tr>
      <w:tr w14:paraId="50628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740" w:hRule="atLeast"/>
        </w:trPr>
        <w:tc>
          <w:tcPr>
            <w:tcW w:w="881" w:type="dxa"/>
            <w:vMerge w:val="continue"/>
            <w:vAlign w:val="center"/>
          </w:tcPr>
          <w:p w14:paraId="4EF1D16F">
            <w:pPr>
              <w:autoSpaceDE w:val="0"/>
              <w:autoSpaceDN w:val="0"/>
              <w:jc w:val="center"/>
              <w:rPr>
                <w:rFonts w:hint="eastAsia" w:ascii="宋体" w:hAnsi="宋体" w:cs="宋体"/>
                <w:b w:val="0"/>
                <w:bCs w:val="0"/>
                <w:color w:val="auto"/>
                <w:spacing w:val="1"/>
                <w:sz w:val="22"/>
                <w:szCs w:val="22"/>
                <w:highlight w:val="none"/>
                <w:lang w:val="en-US" w:eastAsia="zh-CN"/>
              </w:rPr>
            </w:pPr>
          </w:p>
        </w:tc>
        <w:tc>
          <w:tcPr>
            <w:tcW w:w="932" w:type="dxa"/>
            <w:vMerge w:val="continue"/>
            <w:tcBorders>
              <w:right w:val="single" w:color="auto" w:sz="4" w:space="0"/>
            </w:tcBorders>
            <w:vAlign w:val="center"/>
          </w:tcPr>
          <w:p w14:paraId="10E9A46A">
            <w:pPr>
              <w:autoSpaceDE w:val="0"/>
              <w:autoSpaceDN w:val="0"/>
              <w:spacing w:before="71" w:line="315" w:lineRule="auto"/>
              <w:ind w:right="119" w:rightChars="0"/>
              <w:jc w:val="center"/>
              <w:rPr>
                <w:rFonts w:hint="eastAsia" w:ascii="宋体" w:hAnsi="宋体" w:cs="宋体"/>
                <w:color w:val="auto"/>
                <w:spacing w:val="-8"/>
                <w:sz w:val="22"/>
                <w:szCs w:val="22"/>
                <w:highlight w:val="none"/>
                <w:lang w:val="en-US" w:eastAsia="zh-CN"/>
              </w:rPr>
            </w:pPr>
          </w:p>
        </w:tc>
        <w:tc>
          <w:tcPr>
            <w:tcW w:w="960" w:type="dxa"/>
            <w:gridSpan w:val="2"/>
            <w:vMerge w:val="continue"/>
            <w:tcBorders>
              <w:left w:val="single" w:color="auto" w:sz="4" w:space="0"/>
            </w:tcBorders>
            <w:vAlign w:val="center"/>
          </w:tcPr>
          <w:p w14:paraId="4D4EDBE1">
            <w:pPr>
              <w:autoSpaceDE w:val="0"/>
              <w:autoSpaceDN w:val="0"/>
              <w:spacing w:before="72" w:line="181" w:lineRule="auto"/>
              <w:jc w:val="center"/>
              <w:rPr>
                <w:rFonts w:hint="eastAsia" w:ascii="宋体" w:hAnsi="宋体" w:cs="宋体"/>
                <w:color w:val="auto"/>
                <w:spacing w:val="-3"/>
                <w:sz w:val="22"/>
                <w:szCs w:val="22"/>
                <w:highlight w:val="none"/>
                <w:lang w:val="en-US" w:eastAsia="zh-CN"/>
              </w:rPr>
            </w:pPr>
          </w:p>
        </w:tc>
        <w:tc>
          <w:tcPr>
            <w:tcW w:w="1003" w:type="dxa"/>
            <w:vMerge w:val="continue"/>
            <w:tcBorders>
              <w:right w:val="single" w:color="auto" w:sz="4" w:space="0"/>
            </w:tcBorders>
            <w:vAlign w:val="center"/>
          </w:tcPr>
          <w:p w14:paraId="445B833E">
            <w:pPr>
              <w:keepNext w:val="0"/>
              <w:keepLines w:val="0"/>
              <w:widowControl/>
              <w:numPr>
                <w:ilvl w:val="-1"/>
                <w:numId w:val="0"/>
              </w:numPr>
              <w:suppressLineNumbers w:val="0"/>
              <w:autoSpaceDE w:val="0"/>
              <w:autoSpaceDN w:val="0"/>
              <w:jc w:val="center"/>
              <w:rPr>
                <w:rFonts w:hint="eastAsia" w:ascii="宋体" w:hAnsi="宋体" w:cs="宋体"/>
                <w:b/>
                <w:bCs/>
                <w:color w:val="auto"/>
                <w:sz w:val="22"/>
                <w:szCs w:val="22"/>
                <w:highlight w:val="none"/>
                <w:lang w:val="en-US" w:eastAsia="zh-CN"/>
              </w:rPr>
            </w:pPr>
          </w:p>
        </w:tc>
        <w:tc>
          <w:tcPr>
            <w:tcW w:w="757" w:type="dxa"/>
            <w:tcBorders>
              <w:left w:val="single" w:color="auto" w:sz="4" w:space="0"/>
              <w:right w:val="single" w:color="auto" w:sz="4" w:space="0"/>
            </w:tcBorders>
            <w:vAlign w:val="center"/>
          </w:tcPr>
          <w:p w14:paraId="6E6A1E38">
            <w:pPr>
              <w:autoSpaceDE w:val="0"/>
              <w:autoSpaceDN w:val="0"/>
              <w:spacing w:before="29" w:line="304" w:lineRule="auto"/>
              <w:jc w:val="center"/>
              <w:rPr>
                <w:rFonts w:hint="eastAsia" w:ascii="宋体" w:hAnsi="宋体" w:eastAsia="宋体" w:cs="宋体"/>
                <w:color w:val="auto"/>
                <w:spacing w:val="-4"/>
                <w:sz w:val="22"/>
                <w:szCs w:val="22"/>
                <w:highlight w:val="none"/>
                <w:lang w:val="en-US" w:eastAsia="zh-CN"/>
              </w:rPr>
            </w:pPr>
          </w:p>
        </w:tc>
        <w:tc>
          <w:tcPr>
            <w:tcW w:w="652" w:type="dxa"/>
            <w:tcBorders>
              <w:left w:val="single" w:color="auto" w:sz="4" w:space="0"/>
              <w:right w:val="single" w:color="auto" w:sz="4" w:space="0"/>
            </w:tcBorders>
            <w:vAlign w:val="center"/>
          </w:tcPr>
          <w:p w14:paraId="37BCDF80">
            <w:pPr>
              <w:autoSpaceDE w:val="0"/>
              <w:autoSpaceDN w:val="0"/>
              <w:spacing w:before="29" w:line="304" w:lineRule="auto"/>
              <w:jc w:val="center"/>
              <w:rPr>
                <w:rFonts w:hint="eastAsia" w:ascii="宋体" w:hAnsi="宋体" w:eastAsia="宋体" w:cs="宋体"/>
                <w:color w:val="auto"/>
                <w:spacing w:val="-4"/>
                <w:sz w:val="22"/>
                <w:szCs w:val="22"/>
                <w:highlight w:val="none"/>
                <w:lang w:val="en-US" w:eastAsia="zh-CN"/>
              </w:rPr>
            </w:pPr>
          </w:p>
        </w:tc>
        <w:tc>
          <w:tcPr>
            <w:tcW w:w="4499" w:type="dxa"/>
            <w:vMerge w:val="continue"/>
            <w:tcBorders>
              <w:left w:val="single" w:color="auto" w:sz="4" w:space="0"/>
            </w:tcBorders>
            <w:vAlign w:val="center"/>
          </w:tcPr>
          <w:p w14:paraId="0B51197D">
            <w:pPr>
              <w:keepNext w:val="0"/>
              <w:keepLines w:val="0"/>
              <w:widowControl/>
              <w:numPr>
                <w:ilvl w:val="-1"/>
                <w:numId w:val="0"/>
              </w:numPr>
              <w:suppressLineNumbers w:val="0"/>
              <w:autoSpaceDE/>
              <w:autoSpaceDN/>
              <w:jc w:val="left"/>
              <w:rPr>
                <w:rFonts w:hint="eastAsia" w:ascii="宋体" w:hAnsi="宋体" w:cs="宋体"/>
                <w:b w:val="0"/>
                <w:bCs w:val="0"/>
                <w:color w:val="auto"/>
                <w:sz w:val="22"/>
                <w:szCs w:val="22"/>
                <w:highlight w:val="none"/>
                <w:lang w:val="en-US" w:eastAsia="zh-CN"/>
              </w:rPr>
            </w:pPr>
          </w:p>
        </w:tc>
      </w:tr>
      <w:tr w14:paraId="35552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23" w:hRule="atLeast"/>
        </w:trPr>
        <w:tc>
          <w:tcPr>
            <w:tcW w:w="881" w:type="dxa"/>
            <w:vAlign w:val="center"/>
          </w:tcPr>
          <w:p w14:paraId="45B20C52">
            <w:pPr>
              <w:autoSpaceDE w:val="0"/>
              <w:autoSpaceDN w:val="0"/>
              <w:spacing w:before="29" w:line="304" w:lineRule="auto"/>
              <w:jc w:val="center"/>
              <w:rPr>
                <w:rFonts w:hint="eastAsia"/>
                <w:b/>
                <w:bCs/>
                <w:color w:val="auto"/>
                <w:highlight w:val="none"/>
                <w:lang w:val="en-US" w:eastAsia="zh-CN"/>
              </w:rPr>
            </w:pPr>
            <w:r>
              <w:rPr>
                <w:rFonts w:hint="eastAsia"/>
                <w:b/>
                <w:bCs/>
                <w:color w:val="auto"/>
                <w:highlight w:val="none"/>
                <w:lang w:val="en-US" w:eastAsia="zh-CN"/>
              </w:rPr>
              <w:t>条款号</w:t>
            </w:r>
          </w:p>
        </w:tc>
        <w:tc>
          <w:tcPr>
            <w:tcW w:w="1892" w:type="dxa"/>
            <w:gridSpan w:val="3"/>
            <w:vAlign w:val="center"/>
          </w:tcPr>
          <w:p w14:paraId="45E97940">
            <w:pPr>
              <w:autoSpaceDE w:val="0"/>
              <w:autoSpaceDN w:val="0"/>
              <w:spacing w:before="29" w:line="304" w:lineRule="auto"/>
              <w:jc w:val="center"/>
              <w:rPr>
                <w:rFonts w:hint="default" w:ascii="Times New Roman" w:hAnsi="Times New Roman" w:eastAsia="宋体" w:cs="Times New Roman"/>
                <w:b/>
                <w:bCs/>
                <w:color w:val="auto"/>
                <w:spacing w:val="-4"/>
                <w:sz w:val="22"/>
                <w:szCs w:val="22"/>
                <w:highlight w:val="none"/>
                <w:lang w:val="en-US" w:eastAsia="zh-CN"/>
              </w:rPr>
            </w:pPr>
            <w:r>
              <w:rPr>
                <w:rFonts w:hint="eastAsia" w:cs="Times New Roman"/>
                <w:b/>
                <w:bCs/>
                <w:color w:val="auto"/>
                <w:spacing w:val="-4"/>
                <w:sz w:val="22"/>
                <w:szCs w:val="22"/>
                <w:highlight w:val="none"/>
                <w:lang w:val="en-US" w:eastAsia="zh-CN"/>
              </w:rPr>
              <w:t>条款内容</w:t>
            </w:r>
          </w:p>
        </w:tc>
        <w:tc>
          <w:tcPr>
            <w:tcW w:w="6911" w:type="dxa"/>
            <w:gridSpan w:val="4"/>
            <w:vAlign w:val="center"/>
          </w:tcPr>
          <w:p w14:paraId="66B418F1">
            <w:pPr>
              <w:autoSpaceDE w:val="0"/>
              <w:autoSpaceDN w:val="0"/>
              <w:spacing w:before="29" w:line="240" w:lineRule="auto"/>
              <w:jc w:val="center"/>
              <w:rPr>
                <w:rFonts w:hint="default" w:ascii="Times New Roman" w:hAnsi="Times New Roman" w:eastAsia="宋体" w:cs="Times New Roman"/>
                <w:b/>
                <w:bCs/>
                <w:color w:val="auto"/>
                <w:spacing w:val="-4"/>
                <w:sz w:val="22"/>
                <w:szCs w:val="22"/>
                <w:highlight w:val="none"/>
                <w:lang w:val="en-US" w:eastAsia="zh-CN"/>
              </w:rPr>
            </w:pPr>
            <w:r>
              <w:rPr>
                <w:rFonts w:hint="eastAsia" w:cs="Times New Roman"/>
                <w:b/>
                <w:bCs/>
                <w:color w:val="auto"/>
                <w:spacing w:val="-4"/>
                <w:sz w:val="22"/>
                <w:szCs w:val="22"/>
                <w:highlight w:val="none"/>
                <w:lang w:val="en-US" w:eastAsia="zh-CN"/>
              </w:rPr>
              <w:t>编列内容</w:t>
            </w:r>
          </w:p>
        </w:tc>
      </w:tr>
      <w:tr w14:paraId="0043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423" w:hRule="atLeast"/>
        </w:trPr>
        <w:tc>
          <w:tcPr>
            <w:tcW w:w="881" w:type="dxa"/>
            <w:vAlign w:val="center"/>
          </w:tcPr>
          <w:p w14:paraId="635B606C">
            <w:pPr>
              <w:autoSpaceDE w:val="0"/>
              <w:autoSpaceDN w:val="0"/>
              <w:spacing w:before="29" w:line="304" w:lineRule="auto"/>
              <w:jc w:val="center"/>
              <w:rPr>
                <w:rFonts w:hint="default"/>
                <w:color w:val="auto"/>
                <w:highlight w:val="none"/>
                <w:lang w:val="en-US" w:eastAsia="zh-CN"/>
              </w:rPr>
            </w:pPr>
            <w:r>
              <w:rPr>
                <w:rFonts w:hint="eastAsia"/>
                <w:color w:val="auto"/>
                <w:highlight w:val="none"/>
                <w:lang w:val="en-US" w:eastAsia="zh-CN"/>
              </w:rPr>
              <w:t>3.1</w:t>
            </w:r>
          </w:p>
        </w:tc>
        <w:tc>
          <w:tcPr>
            <w:tcW w:w="1892" w:type="dxa"/>
            <w:gridSpan w:val="3"/>
            <w:vAlign w:val="center"/>
          </w:tcPr>
          <w:p w14:paraId="4590CDBF">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第一个信封初步评审</w:t>
            </w:r>
          </w:p>
        </w:tc>
        <w:tc>
          <w:tcPr>
            <w:tcW w:w="6911" w:type="dxa"/>
            <w:gridSpan w:val="4"/>
            <w:vAlign w:val="center"/>
          </w:tcPr>
          <w:p w14:paraId="30E55961">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评标委员会依据本章第 2.1 款规定的标准对投标文件第一个信封文件（即商务、技术文件）进行初步评审。有一项不符合评审标准的，评标委员会应否决其投标。</w:t>
            </w:r>
          </w:p>
        </w:tc>
      </w:tr>
      <w:tr w14:paraId="11D4A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743" w:hRule="atLeast"/>
        </w:trPr>
        <w:tc>
          <w:tcPr>
            <w:tcW w:w="881" w:type="dxa"/>
            <w:vAlign w:val="center"/>
          </w:tcPr>
          <w:p w14:paraId="2726816C">
            <w:pPr>
              <w:autoSpaceDE w:val="0"/>
              <w:autoSpaceDN w:val="0"/>
              <w:jc w:val="center"/>
              <w:rPr>
                <w:rFonts w:hint="default"/>
                <w:color w:val="auto"/>
                <w:highlight w:val="none"/>
                <w:lang w:val="en-US" w:eastAsia="zh-CN"/>
              </w:rPr>
            </w:pPr>
            <w:r>
              <w:rPr>
                <w:rFonts w:hint="eastAsia"/>
                <w:color w:val="auto"/>
                <w:highlight w:val="none"/>
                <w:lang w:val="en-US" w:eastAsia="zh-CN"/>
              </w:rPr>
              <w:t>3.2</w:t>
            </w:r>
          </w:p>
        </w:tc>
        <w:tc>
          <w:tcPr>
            <w:tcW w:w="1892" w:type="dxa"/>
            <w:gridSpan w:val="3"/>
            <w:vAlign w:val="center"/>
          </w:tcPr>
          <w:p w14:paraId="2A18C446">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第一个信封详细评审</w:t>
            </w:r>
          </w:p>
        </w:tc>
        <w:tc>
          <w:tcPr>
            <w:tcW w:w="6911" w:type="dxa"/>
            <w:gridSpan w:val="4"/>
            <w:vAlign w:val="center"/>
          </w:tcPr>
          <w:p w14:paraId="541ABC5F">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 xml:space="preserve">评标委员会按本章第 2.2 款规定的量化因素和分值进行打分，并计算出各投标人的商务和技术得分。 </w:t>
            </w:r>
          </w:p>
        </w:tc>
      </w:tr>
      <w:tr w14:paraId="43D75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473" w:hRule="atLeast"/>
        </w:trPr>
        <w:tc>
          <w:tcPr>
            <w:tcW w:w="881" w:type="dxa"/>
            <w:vAlign w:val="center"/>
          </w:tcPr>
          <w:p w14:paraId="26D68F57">
            <w:pPr>
              <w:pStyle w:val="74"/>
              <w:autoSpaceDE w:val="0"/>
              <w:autoSpaceDN w:val="0"/>
              <w:rPr>
                <w:rFonts w:hint="default"/>
                <w:color w:val="auto"/>
                <w:highlight w:val="none"/>
                <w:lang w:val="en-US" w:eastAsia="zh-CN"/>
              </w:rPr>
            </w:pPr>
          </w:p>
        </w:tc>
        <w:tc>
          <w:tcPr>
            <w:tcW w:w="1892" w:type="dxa"/>
            <w:gridSpan w:val="3"/>
            <w:vAlign w:val="center"/>
          </w:tcPr>
          <w:p w14:paraId="41E53063">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有效投标不足3个的情况</w:t>
            </w:r>
          </w:p>
        </w:tc>
        <w:tc>
          <w:tcPr>
            <w:tcW w:w="6911" w:type="dxa"/>
            <w:gridSpan w:val="4"/>
            <w:vAlign w:val="center"/>
          </w:tcPr>
          <w:p w14:paraId="6B07196B">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如通过第一个信封评审的有效投标不足 3 个，评标委员会应当对有效投标是否仍具有竞争性进行评审。评标委员会一致认为有效投标仍具有竞争性的，应当继续按照规定的程序进行第二个信封报价文件评审，并在评标报告中予以说明。评标委员会对有效投标是否仍具有竞争性无法达成一致意见的，应当否决全部投标。</w:t>
            </w:r>
          </w:p>
        </w:tc>
      </w:tr>
      <w:tr w14:paraId="07485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78" w:hRule="atLeast"/>
        </w:trPr>
        <w:tc>
          <w:tcPr>
            <w:tcW w:w="881" w:type="dxa"/>
            <w:vAlign w:val="center"/>
          </w:tcPr>
          <w:p w14:paraId="4D0CE791">
            <w:pPr>
              <w:autoSpaceDE w:val="0"/>
              <w:autoSpaceDN w:val="0"/>
              <w:jc w:val="center"/>
              <w:rPr>
                <w:rFonts w:hint="default"/>
                <w:color w:val="auto"/>
                <w:highlight w:val="none"/>
                <w:lang w:val="en-US" w:eastAsia="zh-CN"/>
              </w:rPr>
            </w:pPr>
            <w:r>
              <w:rPr>
                <w:rFonts w:hint="eastAsia"/>
                <w:color w:val="auto"/>
                <w:highlight w:val="none"/>
                <w:lang w:val="en-US" w:eastAsia="zh-CN"/>
              </w:rPr>
              <w:t>3.3</w:t>
            </w:r>
          </w:p>
        </w:tc>
        <w:tc>
          <w:tcPr>
            <w:tcW w:w="1892" w:type="dxa"/>
            <w:gridSpan w:val="3"/>
            <w:vAlign w:val="center"/>
          </w:tcPr>
          <w:p w14:paraId="7EC0F4F5">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第二个信封开标</w:t>
            </w:r>
          </w:p>
          <w:p w14:paraId="5167E5A7">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p>
        </w:tc>
        <w:tc>
          <w:tcPr>
            <w:tcW w:w="6911" w:type="dxa"/>
            <w:gridSpan w:val="4"/>
            <w:vAlign w:val="center"/>
          </w:tcPr>
          <w:p w14:paraId="576CF36B">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第一个信封（商务及技术文件）评审结束后，招标人将按照第二章“投标人须知”第 5.1 款规定的时间和地点对通过投标文件第一个信封（商务及技术文件）评审的投标文件第二个信封（报价文件）进行开标。</w:t>
            </w:r>
          </w:p>
        </w:tc>
      </w:tr>
      <w:tr w14:paraId="5BEB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844" w:hRule="atLeast"/>
        </w:trPr>
        <w:tc>
          <w:tcPr>
            <w:tcW w:w="881" w:type="dxa"/>
            <w:vAlign w:val="center"/>
          </w:tcPr>
          <w:p w14:paraId="7C112CF7">
            <w:pPr>
              <w:pStyle w:val="74"/>
              <w:autoSpaceDE w:val="0"/>
              <w:autoSpaceDN w:val="0"/>
              <w:ind w:left="0" w:leftChars="0" w:firstLine="0" w:firstLineChars="0"/>
              <w:jc w:val="center"/>
              <w:rPr>
                <w:rFonts w:hint="default"/>
                <w:color w:val="auto"/>
                <w:highlight w:val="none"/>
                <w:lang w:val="en-US" w:eastAsia="zh-CN"/>
              </w:rPr>
            </w:pPr>
            <w:r>
              <w:rPr>
                <w:rFonts w:hint="eastAsia"/>
                <w:color w:val="auto"/>
                <w:highlight w:val="none"/>
                <w:lang w:val="en-US" w:eastAsia="zh-CN"/>
              </w:rPr>
              <w:t>3.4</w:t>
            </w:r>
          </w:p>
        </w:tc>
        <w:tc>
          <w:tcPr>
            <w:tcW w:w="1892" w:type="dxa"/>
            <w:gridSpan w:val="3"/>
            <w:vAlign w:val="center"/>
          </w:tcPr>
          <w:p w14:paraId="160B9231">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第二个信封</w:t>
            </w:r>
            <w:r>
              <w:rPr>
                <w:rFonts w:hint="eastAsia" w:cs="Times New Roman"/>
                <w:color w:val="auto"/>
                <w:spacing w:val="-4"/>
                <w:sz w:val="22"/>
                <w:szCs w:val="22"/>
                <w:highlight w:val="none"/>
                <w:lang w:val="en-US" w:eastAsia="zh-CN"/>
              </w:rPr>
              <w:t>初步评审</w:t>
            </w:r>
          </w:p>
        </w:tc>
        <w:tc>
          <w:tcPr>
            <w:tcW w:w="6911" w:type="dxa"/>
            <w:gridSpan w:val="4"/>
            <w:vAlign w:val="center"/>
          </w:tcPr>
          <w:p w14:paraId="28B9768A">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评标委员会依据本章第 2.1.1 项、第 2.1.3 项规定的评审标准对投标文件第二个信封（报价文件）进行初步评审。有一项不符合评审标准的，评标委员会应否决其投标</w:t>
            </w:r>
            <w:r>
              <w:rPr>
                <w:rFonts w:hint="eastAsia" w:cs="Times New Roman"/>
                <w:color w:val="auto"/>
                <w:spacing w:val="-4"/>
                <w:sz w:val="22"/>
                <w:szCs w:val="22"/>
                <w:highlight w:val="none"/>
                <w:lang w:val="en-US" w:eastAsia="zh-CN"/>
              </w:rPr>
              <w:t>。</w:t>
            </w:r>
          </w:p>
        </w:tc>
      </w:tr>
      <w:tr w14:paraId="61FEF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55" w:hRule="atLeast"/>
        </w:trPr>
        <w:tc>
          <w:tcPr>
            <w:tcW w:w="881" w:type="dxa"/>
            <w:vAlign w:val="center"/>
          </w:tcPr>
          <w:p w14:paraId="3745341F">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3.5</w:t>
            </w:r>
          </w:p>
        </w:tc>
        <w:tc>
          <w:tcPr>
            <w:tcW w:w="1892" w:type="dxa"/>
            <w:gridSpan w:val="3"/>
            <w:vAlign w:val="center"/>
          </w:tcPr>
          <w:p w14:paraId="21D674CB">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第二个信封详细评审</w:t>
            </w:r>
          </w:p>
        </w:tc>
        <w:tc>
          <w:tcPr>
            <w:tcW w:w="6911" w:type="dxa"/>
            <w:gridSpan w:val="4"/>
            <w:vAlign w:val="center"/>
          </w:tcPr>
          <w:p w14:paraId="2201A396">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评标委员会按本章第 2.2 款规定的对第二个信封进行详细评审。</w:t>
            </w:r>
          </w:p>
        </w:tc>
      </w:tr>
      <w:tr w14:paraId="1773F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1173" w:hRule="atLeast"/>
        </w:trPr>
        <w:tc>
          <w:tcPr>
            <w:tcW w:w="881" w:type="dxa"/>
            <w:vAlign w:val="center"/>
          </w:tcPr>
          <w:p w14:paraId="1933F3AB">
            <w:pPr>
              <w:autoSpaceDE w:val="0"/>
              <w:autoSpaceDN w:val="0"/>
              <w:spacing w:before="29" w:line="304" w:lineRule="auto"/>
              <w:jc w:val="center"/>
              <w:rPr>
                <w:rFonts w:hint="eastAsia" w:ascii="宋体" w:hAnsi="宋体" w:cs="宋体"/>
                <w:color w:val="auto"/>
                <w:spacing w:val="-4"/>
                <w:sz w:val="22"/>
                <w:szCs w:val="22"/>
                <w:highlight w:val="none"/>
                <w:lang w:val="en-US" w:eastAsia="zh-CN"/>
              </w:rPr>
            </w:pPr>
          </w:p>
        </w:tc>
        <w:tc>
          <w:tcPr>
            <w:tcW w:w="1892" w:type="dxa"/>
            <w:gridSpan w:val="3"/>
            <w:vAlign w:val="center"/>
          </w:tcPr>
          <w:p w14:paraId="7E0319EA">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有效投标不足3个的情况</w:t>
            </w:r>
          </w:p>
        </w:tc>
        <w:tc>
          <w:tcPr>
            <w:tcW w:w="6911" w:type="dxa"/>
            <w:gridSpan w:val="4"/>
            <w:vAlign w:val="center"/>
          </w:tcPr>
          <w:p w14:paraId="0717C334">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对于通过第一个信封评审的有效投标不足 3 个且评标委员会未否决全部投标的第二个信封报价文件，评标委员会在进行评审时应当对有效投标是否仍具有竞争性进行评审，并有权否决全部投标；评标委员会未在报价文件评审时否决全部投标的，应当在评标报告中阐明理由。</w:t>
            </w:r>
          </w:p>
        </w:tc>
      </w:tr>
      <w:tr w14:paraId="03FB2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90" w:hRule="atLeast"/>
        </w:trPr>
        <w:tc>
          <w:tcPr>
            <w:tcW w:w="881" w:type="dxa"/>
            <w:vAlign w:val="center"/>
          </w:tcPr>
          <w:p w14:paraId="0F84937C">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3.6</w:t>
            </w:r>
          </w:p>
        </w:tc>
        <w:tc>
          <w:tcPr>
            <w:tcW w:w="1892" w:type="dxa"/>
            <w:gridSpan w:val="3"/>
            <w:vAlign w:val="center"/>
          </w:tcPr>
          <w:p w14:paraId="5BA03ED4">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投标文件相关信息的核查</w:t>
            </w:r>
          </w:p>
        </w:tc>
        <w:tc>
          <w:tcPr>
            <w:tcW w:w="6911" w:type="dxa"/>
            <w:gridSpan w:val="4"/>
            <w:vAlign w:val="center"/>
          </w:tcPr>
          <w:p w14:paraId="397137D3">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评标委员会按招标文件规定对投标文件相关信息进行核实。</w:t>
            </w:r>
          </w:p>
        </w:tc>
      </w:tr>
      <w:tr w14:paraId="71D93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591" w:hRule="atLeast"/>
        </w:trPr>
        <w:tc>
          <w:tcPr>
            <w:tcW w:w="881" w:type="dxa"/>
            <w:vAlign w:val="center"/>
          </w:tcPr>
          <w:p w14:paraId="48AC1822">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3.7</w:t>
            </w:r>
          </w:p>
        </w:tc>
        <w:tc>
          <w:tcPr>
            <w:tcW w:w="1892" w:type="dxa"/>
            <w:gridSpan w:val="3"/>
            <w:vAlign w:val="center"/>
          </w:tcPr>
          <w:p w14:paraId="093C549A">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投标文件的澄清和说明</w:t>
            </w:r>
          </w:p>
        </w:tc>
        <w:tc>
          <w:tcPr>
            <w:tcW w:w="6911" w:type="dxa"/>
            <w:gridSpan w:val="4"/>
            <w:vAlign w:val="center"/>
          </w:tcPr>
          <w:p w14:paraId="48DE83C5">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评标委员会按招标文件规定要求投标人对投标文件进行澄清和说明。</w:t>
            </w:r>
          </w:p>
          <w:p w14:paraId="07EF3E39">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p>
        </w:tc>
      </w:tr>
      <w:tr w14:paraId="291D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23" w:hRule="atLeast"/>
        </w:trPr>
        <w:tc>
          <w:tcPr>
            <w:tcW w:w="881" w:type="dxa"/>
            <w:vAlign w:val="center"/>
          </w:tcPr>
          <w:p w14:paraId="2ADE8612">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3.8</w:t>
            </w:r>
          </w:p>
        </w:tc>
        <w:tc>
          <w:tcPr>
            <w:tcW w:w="1892" w:type="dxa"/>
            <w:gridSpan w:val="3"/>
            <w:vAlign w:val="center"/>
          </w:tcPr>
          <w:p w14:paraId="069FA7B8">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不得否决投标的情形</w:t>
            </w:r>
          </w:p>
        </w:tc>
        <w:tc>
          <w:tcPr>
            <w:tcW w:w="6911" w:type="dxa"/>
            <w:gridSpan w:val="4"/>
            <w:vAlign w:val="center"/>
          </w:tcPr>
          <w:p w14:paraId="550264BC">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投标文件存在第二章“投标人须知”第 1.12.3 项所列情形，均视为细微偏差，评标委员会不得否决投标人的投标，应按照第二章“投标人须知”第 1.12.4 项规定的原则处理。</w:t>
            </w:r>
          </w:p>
        </w:tc>
      </w:tr>
      <w:tr w14:paraId="0FD8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623" w:hRule="atLeast"/>
        </w:trPr>
        <w:tc>
          <w:tcPr>
            <w:tcW w:w="881" w:type="dxa"/>
            <w:vAlign w:val="center"/>
          </w:tcPr>
          <w:p w14:paraId="25D16334">
            <w:pPr>
              <w:autoSpaceDE w:val="0"/>
              <w:autoSpaceDN w:val="0"/>
              <w:spacing w:before="29" w:line="304" w:lineRule="auto"/>
              <w:jc w:val="center"/>
              <w:rPr>
                <w:rFonts w:hint="default" w:ascii="宋体" w:hAnsi="宋体" w:cs="宋体"/>
                <w:color w:val="auto"/>
                <w:spacing w:val="-4"/>
                <w:sz w:val="22"/>
                <w:szCs w:val="22"/>
                <w:highlight w:val="none"/>
                <w:lang w:val="en-US" w:eastAsia="zh-CN"/>
              </w:rPr>
            </w:pPr>
            <w:r>
              <w:rPr>
                <w:rFonts w:hint="eastAsia" w:ascii="宋体" w:hAnsi="宋体" w:cs="宋体"/>
                <w:color w:val="auto"/>
                <w:spacing w:val="-4"/>
                <w:sz w:val="22"/>
                <w:szCs w:val="22"/>
                <w:highlight w:val="none"/>
                <w:lang w:val="en-US" w:eastAsia="zh-CN"/>
              </w:rPr>
              <w:t>3.9</w:t>
            </w:r>
          </w:p>
        </w:tc>
        <w:tc>
          <w:tcPr>
            <w:tcW w:w="1892" w:type="dxa"/>
            <w:gridSpan w:val="3"/>
            <w:vAlign w:val="center"/>
          </w:tcPr>
          <w:p w14:paraId="4DCD8314">
            <w:pPr>
              <w:autoSpaceDE w:val="0"/>
              <w:autoSpaceDN w:val="0"/>
              <w:spacing w:before="29" w:line="304" w:lineRule="auto"/>
              <w:jc w:val="center"/>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评标结果</w:t>
            </w:r>
          </w:p>
        </w:tc>
        <w:tc>
          <w:tcPr>
            <w:tcW w:w="6911" w:type="dxa"/>
            <w:gridSpan w:val="4"/>
            <w:vAlign w:val="center"/>
          </w:tcPr>
          <w:p w14:paraId="5AA0D9AD">
            <w:pPr>
              <w:autoSpaceDE w:val="0"/>
              <w:autoSpaceDN w:val="0"/>
              <w:spacing w:before="29" w:line="240" w:lineRule="auto"/>
              <w:jc w:val="both"/>
              <w:rPr>
                <w:rFonts w:hint="default" w:ascii="Times New Roman" w:hAnsi="Times New Roman" w:eastAsia="宋体" w:cs="Times New Roman"/>
                <w:color w:val="auto"/>
                <w:spacing w:val="-4"/>
                <w:sz w:val="22"/>
                <w:szCs w:val="22"/>
                <w:highlight w:val="none"/>
                <w:lang w:val="en-US" w:eastAsia="zh-CN"/>
              </w:rPr>
            </w:pPr>
            <w:r>
              <w:rPr>
                <w:rFonts w:hint="default" w:ascii="Times New Roman" w:hAnsi="Times New Roman" w:eastAsia="宋体" w:cs="Times New Roman"/>
                <w:color w:val="auto"/>
                <w:spacing w:val="-4"/>
                <w:sz w:val="22"/>
                <w:szCs w:val="22"/>
                <w:highlight w:val="none"/>
                <w:lang w:val="en-US" w:eastAsia="zh-CN"/>
              </w:rPr>
              <w:t>评标委员会按照评标办法前附表第 1 条规定的优先次序推荐中标候选人，并提交评标报告。</w:t>
            </w:r>
          </w:p>
        </w:tc>
      </w:tr>
      <w:tr w14:paraId="0747C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 w:type="dxa"/>
          <w:trHeight w:val="222" w:hRule="atLeast"/>
        </w:trPr>
        <w:tc>
          <w:tcPr>
            <w:tcW w:w="9684" w:type="dxa"/>
            <w:gridSpan w:val="8"/>
            <w:vAlign w:val="center"/>
          </w:tcPr>
          <w:p w14:paraId="777EA676">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color w:val="auto"/>
                <w:sz w:val="22"/>
                <w:szCs w:val="22"/>
                <w:highlight w:val="none"/>
                <w:lang w:val="en-US" w:eastAsia="zh-CN"/>
              </w:rPr>
            </w:pPr>
            <w:r>
              <w:rPr>
                <w:rFonts w:hint="default"/>
                <w:color w:val="auto"/>
                <w:sz w:val="22"/>
                <w:szCs w:val="22"/>
                <w:highlight w:val="none"/>
                <w:lang w:val="en-US" w:eastAsia="zh-CN"/>
              </w:rPr>
              <w:t xml:space="preserve">1、需要补充的其他内容： </w:t>
            </w:r>
          </w:p>
          <w:p w14:paraId="0C89C1DC">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color w:val="auto"/>
                <w:sz w:val="22"/>
                <w:szCs w:val="22"/>
                <w:highlight w:val="none"/>
                <w:lang w:val="en-US" w:eastAsia="zh-CN"/>
              </w:rPr>
            </w:pPr>
            <w:r>
              <w:rPr>
                <w:rFonts w:hint="default"/>
                <w:color w:val="auto"/>
                <w:sz w:val="22"/>
                <w:szCs w:val="22"/>
                <w:highlight w:val="none"/>
                <w:lang w:val="en-US" w:eastAsia="zh-CN"/>
              </w:rPr>
              <w:t xml:space="preserve">（1）本办法没有列明的因素和标准不得作为评标的依据。 </w:t>
            </w:r>
          </w:p>
          <w:p w14:paraId="63FD2124">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hint="default"/>
                <w:color w:val="auto"/>
                <w:highlight w:val="none"/>
                <w:lang w:val="en-US" w:eastAsia="zh-CN"/>
              </w:rPr>
            </w:pPr>
            <w:r>
              <w:rPr>
                <w:rFonts w:hint="default"/>
                <w:color w:val="auto"/>
                <w:sz w:val="22"/>
                <w:szCs w:val="22"/>
                <w:highlight w:val="none"/>
                <w:lang w:val="en-US" w:eastAsia="zh-CN"/>
              </w:rPr>
              <w:t xml:space="preserve">（2）各评分因素（履约信誉、业绩评分项除外）得分一般不低于其权重分值的60%，且各评分因素得分应以评标委员会各成员的打分平均值确定，评标委员会成员总数为七人及以上时，该平均值以去掉一个最高分和一个最低分后计算。评标委员会成员对某一项评分因素的评分低于权重分值60%的，应在评标报告中作出说明。 </w:t>
            </w:r>
          </w:p>
        </w:tc>
      </w:tr>
    </w:tbl>
    <w:p w14:paraId="4BC2A869">
      <w:pPr>
        <w:ind w:firstLine="321" w:firstLineChars="0"/>
        <w:rPr>
          <w:rFonts w:hint="eastAsia"/>
          <w:color w:val="auto"/>
          <w:highlight w:val="none"/>
        </w:rPr>
      </w:pPr>
      <w:bookmarkStart w:id="118" w:name="_Toc31726"/>
    </w:p>
    <w:p w14:paraId="5E12F53C">
      <w:pPr>
        <w:ind w:firstLine="321" w:firstLineChars="0"/>
        <w:rPr>
          <w:rFonts w:hint="eastAsia"/>
          <w:color w:val="auto"/>
          <w:highlight w:val="none"/>
        </w:rPr>
      </w:pPr>
    </w:p>
    <w:p w14:paraId="6EF1CA69">
      <w:pPr>
        <w:ind w:firstLine="321" w:firstLineChars="0"/>
        <w:rPr>
          <w:rFonts w:hint="eastAsia"/>
          <w:color w:val="auto"/>
          <w:highlight w:val="none"/>
        </w:rPr>
      </w:pPr>
    </w:p>
    <w:p w14:paraId="1BD20500">
      <w:pPr>
        <w:ind w:firstLine="321" w:firstLineChars="0"/>
        <w:rPr>
          <w:rFonts w:hint="eastAsia"/>
          <w:color w:val="auto"/>
          <w:highlight w:val="none"/>
        </w:rPr>
      </w:pPr>
    </w:p>
    <w:p w14:paraId="79592ABF">
      <w:pPr>
        <w:ind w:firstLine="321" w:firstLineChars="0"/>
        <w:rPr>
          <w:rFonts w:hint="eastAsia"/>
          <w:color w:val="auto"/>
          <w:highlight w:val="none"/>
        </w:rPr>
      </w:pPr>
    </w:p>
    <w:p w14:paraId="3585B6D0">
      <w:pPr>
        <w:ind w:firstLine="321" w:firstLineChars="0"/>
        <w:rPr>
          <w:rFonts w:hint="eastAsia"/>
          <w:color w:val="auto"/>
          <w:highlight w:val="none"/>
        </w:rPr>
      </w:pPr>
    </w:p>
    <w:p w14:paraId="04836A49">
      <w:pPr>
        <w:ind w:firstLine="321" w:firstLineChars="0"/>
        <w:rPr>
          <w:rFonts w:hint="eastAsia"/>
          <w:color w:val="auto"/>
          <w:highlight w:val="none"/>
        </w:rPr>
      </w:pPr>
    </w:p>
    <w:p w14:paraId="60F68653">
      <w:pPr>
        <w:ind w:firstLine="321" w:firstLineChars="0"/>
        <w:rPr>
          <w:rFonts w:hint="eastAsia"/>
          <w:color w:val="auto"/>
          <w:highlight w:val="none"/>
        </w:rPr>
      </w:pPr>
    </w:p>
    <w:p w14:paraId="44D44570">
      <w:pPr>
        <w:ind w:firstLine="321" w:firstLineChars="0"/>
        <w:rPr>
          <w:rFonts w:hint="eastAsia"/>
          <w:color w:val="auto"/>
          <w:highlight w:val="none"/>
        </w:rPr>
      </w:pPr>
    </w:p>
    <w:p w14:paraId="10606EC2">
      <w:pPr>
        <w:ind w:firstLine="321" w:firstLineChars="0"/>
        <w:rPr>
          <w:rFonts w:hint="eastAsia"/>
          <w:color w:val="auto"/>
          <w:highlight w:val="none"/>
        </w:rPr>
      </w:pPr>
    </w:p>
    <w:p w14:paraId="25A885C8">
      <w:pPr>
        <w:ind w:firstLine="321" w:firstLineChars="0"/>
        <w:rPr>
          <w:rFonts w:hint="eastAsia"/>
          <w:color w:val="auto"/>
          <w:highlight w:val="none"/>
        </w:rPr>
      </w:pPr>
    </w:p>
    <w:p w14:paraId="7B795CA0">
      <w:pPr>
        <w:ind w:firstLine="321" w:firstLineChars="0"/>
        <w:rPr>
          <w:rFonts w:hint="eastAsia"/>
          <w:color w:val="auto"/>
          <w:highlight w:val="none"/>
        </w:rPr>
      </w:pPr>
    </w:p>
    <w:p w14:paraId="46A4E919">
      <w:pPr>
        <w:ind w:firstLine="321" w:firstLineChars="0"/>
        <w:rPr>
          <w:rFonts w:hint="eastAsia"/>
          <w:color w:val="auto"/>
          <w:highlight w:val="none"/>
        </w:rPr>
      </w:pPr>
    </w:p>
    <w:p w14:paraId="70C310DE">
      <w:pPr>
        <w:ind w:firstLine="321" w:firstLineChars="0"/>
        <w:rPr>
          <w:rFonts w:hint="eastAsia"/>
          <w:color w:val="auto"/>
          <w:highlight w:val="none"/>
        </w:rPr>
      </w:pPr>
    </w:p>
    <w:p w14:paraId="34CB5EDC">
      <w:pPr>
        <w:ind w:firstLine="321" w:firstLineChars="0"/>
        <w:rPr>
          <w:rFonts w:hint="eastAsia"/>
          <w:color w:val="auto"/>
          <w:highlight w:val="none"/>
        </w:rPr>
      </w:pPr>
    </w:p>
    <w:p w14:paraId="139E1F6D">
      <w:pPr>
        <w:ind w:firstLine="321" w:firstLineChars="0"/>
        <w:rPr>
          <w:rFonts w:hint="eastAsia"/>
          <w:color w:val="auto"/>
          <w:highlight w:val="none"/>
        </w:rPr>
      </w:pPr>
    </w:p>
    <w:p w14:paraId="5AF528F3">
      <w:pPr>
        <w:ind w:firstLine="321" w:firstLineChars="0"/>
        <w:rPr>
          <w:rFonts w:hint="eastAsia"/>
          <w:color w:val="auto"/>
          <w:highlight w:val="none"/>
        </w:rPr>
      </w:pPr>
    </w:p>
    <w:p w14:paraId="6E0C2228">
      <w:pPr>
        <w:ind w:firstLine="321" w:firstLineChars="0"/>
        <w:rPr>
          <w:rFonts w:hint="eastAsia"/>
          <w:color w:val="auto"/>
          <w:highlight w:val="none"/>
        </w:rPr>
      </w:pPr>
    </w:p>
    <w:p w14:paraId="39E8AB8C">
      <w:pPr>
        <w:ind w:firstLine="321" w:firstLineChars="0"/>
        <w:rPr>
          <w:rFonts w:hint="eastAsia"/>
          <w:color w:val="auto"/>
          <w:highlight w:val="none"/>
        </w:rPr>
      </w:pPr>
    </w:p>
    <w:p w14:paraId="3B6973D1">
      <w:pPr>
        <w:ind w:firstLine="321" w:firstLineChars="0"/>
        <w:rPr>
          <w:rFonts w:hint="eastAsia"/>
          <w:color w:val="auto"/>
          <w:highlight w:val="none"/>
        </w:rPr>
      </w:pPr>
    </w:p>
    <w:p w14:paraId="2ADEDD19">
      <w:pPr>
        <w:ind w:firstLine="321" w:firstLineChars="0"/>
        <w:rPr>
          <w:rFonts w:hint="eastAsia"/>
          <w:color w:val="auto"/>
          <w:highlight w:val="none"/>
        </w:rPr>
      </w:pPr>
    </w:p>
    <w:p w14:paraId="283968F7">
      <w:pPr>
        <w:rPr>
          <w:rFonts w:hint="eastAsia"/>
          <w:color w:val="auto"/>
          <w:highlight w:val="none"/>
        </w:rPr>
      </w:pPr>
    </w:p>
    <w:p w14:paraId="19B52F50">
      <w:pPr>
        <w:rPr>
          <w:rFonts w:hint="eastAsia"/>
          <w:color w:val="auto"/>
          <w:highlight w:val="none"/>
        </w:rPr>
      </w:pPr>
    </w:p>
    <w:p w14:paraId="2F2D28EE">
      <w:pPr>
        <w:rPr>
          <w:rFonts w:hint="eastAsia"/>
          <w:color w:val="auto"/>
          <w:highlight w:val="none"/>
        </w:rPr>
      </w:pPr>
    </w:p>
    <w:p w14:paraId="0EE66BA8">
      <w:pPr>
        <w:rPr>
          <w:rFonts w:hint="eastAsia"/>
          <w:color w:val="auto"/>
          <w:highlight w:val="none"/>
        </w:rPr>
      </w:pPr>
    </w:p>
    <w:p w14:paraId="25295127">
      <w:pPr>
        <w:rPr>
          <w:rFonts w:hint="eastAsia"/>
          <w:color w:val="auto"/>
          <w:highlight w:val="none"/>
        </w:rPr>
      </w:pPr>
    </w:p>
    <w:p w14:paraId="00FA1F1F">
      <w:pPr>
        <w:rPr>
          <w:rFonts w:hint="eastAsia"/>
          <w:color w:val="auto"/>
          <w:highlight w:val="none"/>
        </w:rPr>
      </w:pPr>
    </w:p>
    <w:p w14:paraId="24B629FC">
      <w:pPr>
        <w:rPr>
          <w:rFonts w:hint="eastAsia"/>
          <w:color w:val="auto"/>
          <w:highlight w:val="none"/>
        </w:rPr>
      </w:pPr>
    </w:p>
    <w:p w14:paraId="4EE59270">
      <w:pPr>
        <w:rPr>
          <w:rFonts w:hint="eastAsia"/>
          <w:color w:val="auto"/>
          <w:highlight w:val="none"/>
        </w:rPr>
      </w:pPr>
    </w:p>
    <w:p w14:paraId="0AD0B017">
      <w:pPr>
        <w:rPr>
          <w:rFonts w:hint="eastAsia"/>
          <w:color w:val="auto"/>
          <w:highlight w:val="none"/>
        </w:rPr>
      </w:pPr>
    </w:p>
    <w:p w14:paraId="1C58881B">
      <w:pPr>
        <w:rPr>
          <w:rFonts w:hint="eastAsia"/>
          <w:color w:val="auto"/>
          <w:highlight w:val="none"/>
        </w:rPr>
      </w:pPr>
    </w:p>
    <w:p w14:paraId="5AA9E41C">
      <w:pPr>
        <w:rPr>
          <w:rFonts w:hint="eastAsia"/>
          <w:color w:val="auto"/>
          <w:highlight w:val="none"/>
        </w:rPr>
      </w:pPr>
    </w:p>
    <w:p w14:paraId="6159FCF7">
      <w:pPr>
        <w:pStyle w:val="4"/>
        <w:spacing w:before="0" w:after="0" w:afterAutospacing="0" w:line="360" w:lineRule="auto"/>
        <w:ind w:firstLine="442" w:firstLineChars="200"/>
        <w:rPr>
          <w:rFonts w:hint="eastAsia" w:ascii="宋体" w:hAnsi="宋体" w:eastAsia="宋体" w:cs="宋体"/>
          <w:color w:val="auto"/>
          <w:sz w:val="22"/>
          <w:szCs w:val="22"/>
          <w:highlight w:val="none"/>
        </w:rPr>
        <w:sectPr>
          <w:headerReference r:id="rId6" w:type="default"/>
          <w:footerReference r:id="rId7" w:type="default"/>
          <w:footnotePr>
            <w:numFmt w:val="decimalEnclosedCircleChinese"/>
            <w:numRestart w:val="eachPage"/>
          </w:footnotePr>
          <w:pgSz w:w="11906" w:h="16838"/>
          <w:pgMar w:top="1134" w:right="1134" w:bottom="1134" w:left="1134" w:header="851" w:footer="737" w:gutter="0"/>
          <w:pgNumType w:fmt="decimal" w:start="1"/>
          <w:cols w:space="720" w:num="1"/>
          <w:docGrid w:linePitch="312" w:charSpace="0"/>
        </w:sectPr>
      </w:pPr>
    </w:p>
    <w:p w14:paraId="04329402">
      <w:pPr>
        <w:pStyle w:val="4"/>
        <w:spacing w:before="0" w:after="0" w:afterAutospacing="0" w:line="360" w:lineRule="auto"/>
        <w:ind w:firstLine="442"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评标方法</w:t>
      </w:r>
      <w:bookmarkEnd w:id="118"/>
    </w:p>
    <w:p w14:paraId="18BB1027">
      <w:pPr>
        <w:widowControl/>
        <w:kinsoku w:val="0"/>
        <w:autoSpaceDE w:val="0"/>
        <w:autoSpaceDN w:val="0"/>
        <w:adjustRightInd w:val="0"/>
        <w:snapToGrid w:val="0"/>
        <w:spacing w:before="162" w:line="352" w:lineRule="auto"/>
        <w:ind w:left="8" w:firstLine="441"/>
        <w:jc w:val="both"/>
        <w:textAlignment w:val="baseline"/>
        <w:rPr>
          <w:rFonts w:hint="eastAsia" w:ascii="宋体" w:hAnsi="宋体" w:eastAsia="宋体" w:cs="宋体"/>
          <w:snapToGrid w:val="0"/>
          <w:color w:val="auto"/>
          <w:spacing w:val="-1"/>
          <w:kern w:val="0"/>
          <w:sz w:val="22"/>
          <w:szCs w:val="22"/>
          <w:highlight w:val="none"/>
          <w:lang w:val="en-US" w:eastAsia="zh-CN"/>
        </w:rPr>
      </w:pPr>
      <w:bookmarkStart w:id="119" w:name="_bookmark96"/>
      <w:bookmarkEnd w:id="119"/>
      <w:r>
        <w:rPr>
          <w:rFonts w:hint="eastAsia" w:ascii="宋体" w:hAnsi="宋体" w:eastAsia="宋体" w:cs="宋体"/>
          <w:snapToGrid w:val="0"/>
          <w:color w:val="auto"/>
          <w:spacing w:val="-1"/>
          <w:kern w:val="0"/>
          <w:sz w:val="22"/>
          <w:szCs w:val="22"/>
          <w:highlight w:val="none"/>
          <w:lang w:val="en-US" w:eastAsia="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31CEDC75">
      <w:pPr>
        <w:pStyle w:val="4"/>
        <w:spacing w:before="0" w:after="0" w:afterAutospacing="0" w:line="360" w:lineRule="auto"/>
        <w:ind w:firstLine="442" w:firstLineChars="200"/>
        <w:rPr>
          <w:rFonts w:hint="eastAsia" w:ascii="宋体" w:hAnsi="宋体" w:eastAsia="宋体" w:cs="宋体"/>
          <w:color w:val="auto"/>
          <w:sz w:val="22"/>
          <w:szCs w:val="22"/>
          <w:highlight w:val="none"/>
        </w:rPr>
      </w:pPr>
      <w:bookmarkStart w:id="120" w:name="_Toc23959"/>
      <w:r>
        <w:rPr>
          <w:rFonts w:hint="eastAsia" w:ascii="宋体" w:hAnsi="宋体" w:eastAsia="宋体" w:cs="宋体"/>
          <w:color w:val="auto"/>
          <w:sz w:val="22"/>
          <w:szCs w:val="22"/>
          <w:highlight w:val="none"/>
        </w:rPr>
        <w:t>2 评审标准</w:t>
      </w:r>
      <w:bookmarkEnd w:id="120"/>
    </w:p>
    <w:p w14:paraId="5E4E6B53">
      <w:pPr>
        <w:pStyle w:val="563"/>
        <w:tabs>
          <w:tab w:val="left" w:pos="905"/>
        </w:tabs>
        <w:autoSpaceDE w:val="0"/>
        <w:autoSpaceDN w:val="0"/>
        <w:spacing w:line="360" w:lineRule="auto"/>
        <w:ind w:firstLine="442"/>
        <w:jc w:val="left"/>
        <w:rPr>
          <w:rFonts w:hint="default" w:ascii="Times New Roman" w:hAnsi="Times New Roman" w:eastAsia="宋体" w:cs="Times New Roman"/>
          <w:b/>
          <w:bCs/>
          <w:color w:val="auto"/>
          <w:sz w:val="22"/>
          <w:szCs w:val="22"/>
          <w:highlight w:val="none"/>
        </w:rPr>
      </w:pPr>
      <w:bookmarkStart w:id="121" w:name="_bookmark97"/>
      <w:bookmarkEnd w:id="121"/>
      <w:r>
        <w:rPr>
          <w:rFonts w:hint="default" w:ascii="Times New Roman" w:hAnsi="Times New Roman" w:eastAsia="宋体" w:cs="Times New Roman"/>
          <w:b/>
          <w:bCs/>
          <w:color w:val="auto"/>
          <w:sz w:val="22"/>
          <w:szCs w:val="22"/>
          <w:highlight w:val="none"/>
        </w:rPr>
        <w:t>2.1 初步评审标准</w:t>
      </w:r>
    </w:p>
    <w:p w14:paraId="037A4690">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2.1.1形式评审标准：见评标办法前附表。</w:t>
      </w:r>
    </w:p>
    <w:p w14:paraId="4CA5ACE5">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2.1.2 资格评审标准：见评标办法前附表。</w:t>
      </w:r>
    </w:p>
    <w:p w14:paraId="075B7A7D">
      <w:pPr>
        <w:pStyle w:val="28"/>
        <w:spacing w:after="0" w:line="360" w:lineRule="auto"/>
        <w:ind w:firstLine="440" w:firstLineChars="200"/>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SA"/>
        </w:rPr>
        <w:t>2.1.3 响应性评审标准：见评标办法前附表。</w:t>
      </w:r>
    </w:p>
    <w:p w14:paraId="77D18E68">
      <w:pPr>
        <w:pStyle w:val="563"/>
        <w:tabs>
          <w:tab w:val="left" w:pos="905"/>
        </w:tabs>
        <w:autoSpaceDE w:val="0"/>
        <w:autoSpaceDN w:val="0"/>
        <w:spacing w:line="360" w:lineRule="auto"/>
        <w:ind w:firstLine="442"/>
        <w:jc w:val="left"/>
        <w:rPr>
          <w:rFonts w:hint="default" w:ascii="Times New Roman" w:hAnsi="Times New Roman" w:eastAsia="宋体" w:cs="Times New Roman"/>
          <w:b/>
          <w:bCs/>
          <w:color w:val="auto"/>
          <w:sz w:val="22"/>
          <w:szCs w:val="22"/>
          <w:highlight w:val="none"/>
        </w:rPr>
      </w:pPr>
      <w:r>
        <w:rPr>
          <w:rFonts w:hint="default" w:ascii="Times New Roman" w:hAnsi="Times New Roman" w:eastAsia="宋体" w:cs="Times New Roman"/>
          <w:b/>
          <w:bCs/>
          <w:color w:val="auto"/>
          <w:sz w:val="22"/>
          <w:szCs w:val="22"/>
          <w:highlight w:val="none"/>
        </w:rPr>
        <w:t>2.2 分值构成与评分标准</w:t>
      </w:r>
    </w:p>
    <w:p w14:paraId="1A23A071">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2.2.1 分值构成 </w:t>
      </w:r>
    </w:p>
    <w:p w14:paraId="4859B521">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（1）技术建议书：见评标办法前附表； </w:t>
      </w:r>
    </w:p>
    <w:p w14:paraId="6D85B0DA">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（2）主要人员：见评标办法前附表； </w:t>
      </w:r>
    </w:p>
    <w:p w14:paraId="286F19D0">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（3）评标价：见评标办法前附表； </w:t>
      </w:r>
    </w:p>
    <w:p w14:paraId="40C8DC28">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（4）其他评分因素：见评标办法前附表。 </w:t>
      </w:r>
    </w:p>
    <w:p w14:paraId="73C41AC6">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2.2.2 评标基准价计算 </w:t>
      </w:r>
    </w:p>
    <w:p w14:paraId="40E07EB5">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评标基准价计算方法：见评标办法前附表。</w:t>
      </w:r>
    </w:p>
    <w:p w14:paraId="70095762">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2.2.3 评标价的偏差率计算 </w:t>
      </w:r>
    </w:p>
    <w:p w14:paraId="749B7B5E">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评标价的偏差率计算公式：见评标办法前附表。 </w:t>
      </w:r>
    </w:p>
    <w:p w14:paraId="2E8AAAFB">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2.2.4 评分标准 </w:t>
      </w:r>
    </w:p>
    <w:p w14:paraId="63C980C1">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（1）技术建议书评分标准：见评标办法前附表； </w:t>
      </w:r>
    </w:p>
    <w:p w14:paraId="0CCBF244">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（2）主要人员评分标准：见评标办法前附表； </w:t>
      </w:r>
    </w:p>
    <w:p w14:paraId="64C7A0B5">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（3）评标价评分标准：见评标办法前附表； </w:t>
      </w:r>
    </w:p>
    <w:p w14:paraId="4058B8F8">
      <w:pPr>
        <w:tabs>
          <w:tab w:val="left" w:pos="845"/>
        </w:tabs>
        <w:autoSpaceDE w:val="0"/>
        <w:autoSpaceDN w:val="0"/>
        <w:spacing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（4）其他因素评分标准：见评标办法前附表。</w:t>
      </w:r>
    </w:p>
    <w:p w14:paraId="661BD3CE">
      <w:pPr>
        <w:tabs>
          <w:tab w:val="left" w:pos="845"/>
        </w:tabs>
        <w:autoSpaceDE w:val="0"/>
        <w:autoSpaceDN w:val="0"/>
        <w:spacing w:line="360" w:lineRule="auto"/>
        <w:ind w:firstLine="442" w:firstLineChars="200"/>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 评标程序</w:t>
      </w:r>
    </w:p>
    <w:p w14:paraId="2D9116AD">
      <w:pPr>
        <w:pStyle w:val="563"/>
        <w:tabs>
          <w:tab w:val="left" w:pos="905"/>
        </w:tabs>
        <w:autoSpaceDE w:val="0"/>
        <w:autoSpaceDN w:val="0"/>
        <w:spacing w:line="360" w:lineRule="auto"/>
        <w:ind w:firstLine="442"/>
        <w:jc w:val="left"/>
        <w:rPr>
          <w:rFonts w:hint="eastAsia" w:ascii="宋体" w:hAnsi="宋体" w:eastAsia="宋体" w:cs="宋体"/>
          <w:b/>
          <w:bCs/>
          <w:color w:val="auto"/>
          <w:sz w:val="22"/>
          <w:szCs w:val="22"/>
          <w:highlight w:val="none"/>
        </w:rPr>
      </w:pPr>
      <w:bookmarkStart w:id="122" w:name="_bookmark100"/>
      <w:bookmarkEnd w:id="122"/>
      <w:r>
        <w:rPr>
          <w:rFonts w:hint="eastAsia" w:ascii="宋体" w:hAnsi="宋体" w:eastAsia="宋体" w:cs="宋体"/>
          <w:b/>
          <w:bCs/>
          <w:color w:val="auto"/>
          <w:sz w:val="22"/>
          <w:szCs w:val="22"/>
          <w:highlight w:val="none"/>
        </w:rPr>
        <w:t xml:space="preserve">3.1 </w:t>
      </w:r>
      <w:r>
        <w:rPr>
          <w:rFonts w:hint="eastAsia" w:ascii="宋体" w:hAnsi="宋体" w:cs="宋体"/>
          <w:b/>
          <w:bCs/>
          <w:color w:val="auto"/>
          <w:sz w:val="22"/>
          <w:szCs w:val="22"/>
          <w:highlight w:val="none"/>
          <w:lang w:val="en-US" w:eastAsia="zh-CN"/>
        </w:rPr>
        <w:t>第一个信封</w:t>
      </w:r>
      <w:r>
        <w:rPr>
          <w:rFonts w:hint="eastAsia" w:ascii="宋体" w:hAnsi="宋体" w:eastAsia="宋体" w:cs="宋体"/>
          <w:b/>
          <w:bCs/>
          <w:color w:val="auto"/>
          <w:sz w:val="22"/>
          <w:szCs w:val="22"/>
          <w:highlight w:val="none"/>
        </w:rPr>
        <w:t>商务文件、技术文件初步评审</w:t>
      </w:r>
    </w:p>
    <w:p w14:paraId="076A3ADA">
      <w:pPr>
        <w:widowControl/>
        <w:kinsoku w:val="0"/>
        <w:autoSpaceDE w:val="0"/>
        <w:autoSpaceDN w:val="0"/>
        <w:adjustRightInd w:val="0"/>
        <w:snapToGrid w:val="0"/>
        <w:spacing w:before="166" w:line="350" w:lineRule="auto"/>
        <w:ind w:left="6" w:firstLine="446"/>
        <w:jc w:val="both"/>
        <w:textAlignment w:val="baseline"/>
        <w:rPr>
          <w:rFonts w:hint="eastAsia" w:ascii="宋体" w:hAnsi="宋体" w:eastAsia="宋体" w:cs="宋体"/>
          <w:snapToGrid w:val="0"/>
          <w:color w:val="auto"/>
          <w:spacing w:val="-1"/>
          <w:kern w:val="0"/>
          <w:sz w:val="22"/>
          <w:szCs w:val="22"/>
          <w:highlight w:val="none"/>
          <w:lang w:val="en-US" w:eastAsia="zh-CN"/>
        </w:rPr>
      </w:pPr>
      <w:r>
        <w:rPr>
          <w:rFonts w:hint="eastAsia" w:ascii="宋体" w:hAnsi="宋体" w:eastAsia="宋体" w:cs="宋体"/>
          <w:snapToGrid w:val="0"/>
          <w:color w:val="auto"/>
          <w:spacing w:val="-1"/>
          <w:kern w:val="0"/>
          <w:sz w:val="22"/>
          <w:szCs w:val="22"/>
          <w:highlight w:val="none"/>
          <w:lang w:val="en-US" w:eastAsia="zh-CN"/>
        </w:rPr>
        <w:t>3.1.1 评标委员会可以要求投标人提交第二章“投标人须知”第 3.5.1 项至第 3.5.6 项规定的有关证明和证件的原件，以便核验。评标委员会依据本章第 2.1 款规定的标准对投标文件第一个信封（商务及技术文件）进行初步评审。有一项不符合评审标准的，评标委员会应否决其投标。</w:t>
      </w:r>
    </w:p>
    <w:p w14:paraId="3F39E0A5">
      <w:pPr>
        <w:pStyle w:val="563"/>
        <w:tabs>
          <w:tab w:val="left" w:pos="905"/>
        </w:tabs>
        <w:autoSpaceDE w:val="0"/>
        <w:autoSpaceDN w:val="0"/>
        <w:spacing w:line="360" w:lineRule="auto"/>
        <w:ind w:firstLine="442"/>
        <w:jc w:val="left"/>
        <w:rPr>
          <w:rFonts w:hint="default" w:ascii="宋体" w:hAnsi="宋体" w:eastAsia="宋体" w:cs="宋体"/>
          <w:b/>
          <w:bCs/>
          <w:color w:val="auto"/>
          <w:sz w:val="22"/>
          <w:szCs w:val="22"/>
          <w:highlight w:val="none"/>
          <w:lang w:val="en-US"/>
        </w:rPr>
      </w:pPr>
      <w:r>
        <w:rPr>
          <w:rFonts w:hint="eastAsia" w:ascii="宋体" w:hAnsi="宋体" w:eastAsia="宋体" w:cs="宋体"/>
          <w:b/>
          <w:bCs/>
          <w:color w:val="auto"/>
          <w:sz w:val="22"/>
          <w:szCs w:val="22"/>
          <w:highlight w:val="none"/>
        </w:rPr>
        <w:t xml:space="preserve">3.2 </w:t>
      </w:r>
      <w:r>
        <w:rPr>
          <w:rFonts w:hint="eastAsia" w:ascii="宋体" w:hAnsi="宋体" w:cs="宋体"/>
          <w:b/>
          <w:bCs/>
          <w:color w:val="auto"/>
          <w:sz w:val="22"/>
          <w:szCs w:val="22"/>
          <w:highlight w:val="none"/>
          <w:lang w:val="en-US" w:eastAsia="zh-CN"/>
        </w:rPr>
        <w:t>第一个信封</w:t>
      </w:r>
      <w:r>
        <w:rPr>
          <w:rFonts w:hint="eastAsia" w:ascii="宋体" w:hAnsi="宋体" w:eastAsia="宋体" w:cs="宋体"/>
          <w:b/>
          <w:bCs/>
          <w:color w:val="auto"/>
          <w:sz w:val="22"/>
          <w:szCs w:val="22"/>
          <w:highlight w:val="none"/>
        </w:rPr>
        <w:t>商务文件、技术文件详细评审</w:t>
      </w:r>
    </w:p>
    <w:p w14:paraId="1D4903A3">
      <w:pPr>
        <w:pStyle w:val="28"/>
        <w:spacing w:after="0" w:line="360" w:lineRule="auto"/>
        <w:ind w:firstLine="440" w:firstLineChars="200"/>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3.2.1 评标委员会按本章第2.2款规定的量化因素和分值进行打分，并计算出各投标人的商务及技术得分。</w:t>
      </w:r>
    </w:p>
    <w:p w14:paraId="7CF40334">
      <w:pPr>
        <w:keepNext w:val="0"/>
        <w:keepLines w:val="0"/>
        <w:widowControl/>
        <w:suppressLineNumbers w:val="0"/>
        <w:tabs>
          <w:tab w:val="left" w:pos="845"/>
        </w:tabs>
        <w:autoSpaceDE w:val="0"/>
        <w:autoSpaceDN w:val="0"/>
        <w:spacing w:line="360" w:lineRule="auto"/>
        <w:ind w:firstLine="440" w:firstLineChars="200"/>
        <w:jc w:val="left"/>
        <w:rPr>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SA"/>
        </w:rPr>
        <w:t>（1）按本章第 2.2.4 项（1）目规定的评审因素和分值对技术建议书部分计算出得分 A；</w:t>
      </w:r>
    </w:p>
    <w:p w14:paraId="027ACEE6">
      <w:pPr>
        <w:keepNext w:val="0"/>
        <w:keepLines w:val="0"/>
        <w:widowControl/>
        <w:suppressLineNumbers w:val="0"/>
        <w:tabs>
          <w:tab w:val="left" w:pos="845"/>
        </w:tabs>
        <w:autoSpaceDE w:val="0"/>
        <w:autoSpaceDN w:val="0"/>
        <w:spacing w:line="360" w:lineRule="auto"/>
        <w:ind w:firstLine="440" w:firstLineChars="200"/>
        <w:jc w:val="left"/>
        <w:rPr>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SA"/>
        </w:rPr>
        <w:t>（2）按本章第 2.2.4 项（2）目规定的评审因素和分值对主要人员部分计算出得分 B；</w:t>
      </w:r>
    </w:p>
    <w:p w14:paraId="6D408C6D">
      <w:pPr>
        <w:keepNext w:val="0"/>
        <w:keepLines w:val="0"/>
        <w:widowControl/>
        <w:suppressLineNumbers w:val="0"/>
        <w:tabs>
          <w:tab w:val="left" w:pos="845"/>
        </w:tabs>
        <w:autoSpaceDE w:val="0"/>
        <w:autoSpaceDN w:val="0"/>
        <w:spacing w:line="360" w:lineRule="auto"/>
        <w:ind w:firstLine="440" w:firstLineChars="200"/>
        <w:jc w:val="left"/>
        <w:rPr>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SA"/>
        </w:rPr>
        <w:t xml:space="preserve">（3）按本章第 2.2.4 项（4）目规定的评审因素和分值对其他部分计算出得分 D。 </w:t>
      </w:r>
    </w:p>
    <w:p w14:paraId="4C81D851">
      <w:pPr>
        <w:keepNext w:val="0"/>
        <w:keepLines w:val="0"/>
        <w:widowControl/>
        <w:suppressLineNumbers w:val="0"/>
        <w:tabs>
          <w:tab w:val="left" w:pos="845"/>
        </w:tabs>
        <w:autoSpaceDE w:val="0"/>
        <w:autoSpaceDN w:val="0"/>
        <w:spacing w:line="360" w:lineRule="auto"/>
        <w:ind w:firstLine="440" w:firstLineChars="200"/>
        <w:jc w:val="left"/>
        <w:rPr>
          <w:color w:val="auto"/>
          <w:sz w:val="22"/>
          <w:szCs w:val="22"/>
          <w:highlight w:val="none"/>
        </w:rPr>
      </w:pPr>
      <w:r>
        <w:rPr>
          <w:rFonts w:hint="default" w:ascii="Times New Roman" w:hAnsi="Times New Roman" w:eastAsia="宋体" w:cs="Times New Roman"/>
          <w:color w:val="auto"/>
          <w:kern w:val="2"/>
          <w:sz w:val="22"/>
          <w:szCs w:val="22"/>
          <w:highlight w:val="none"/>
          <w:lang w:val="en-US" w:eastAsia="zh-CN" w:bidi="ar-SA"/>
        </w:rPr>
        <w:t xml:space="preserve">3.2.2 投标人的商务和技术得分分值计算保留小数点后两位，小数点后第三位“四舍五入”。 </w:t>
      </w:r>
    </w:p>
    <w:p w14:paraId="1DBB2B0F">
      <w:pPr>
        <w:widowControl/>
        <w:tabs>
          <w:tab w:val="left" w:pos="845"/>
        </w:tabs>
        <w:autoSpaceDE w:val="0"/>
        <w:autoSpaceDN w:val="0"/>
        <w:spacing w:after="0" w:line="360" w:lineRule="auto"/>
        <w:ind w:firstLine="440" w:firstLineChars="200"/>
        <w:jc w:val="left"/>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kern w:val="2"/>
          <w:sz w:val="22"/>
          <w:szCs w:val="22"/>
          <w:highlight w:val="none"/>
          <w:lang w:val="en-US" w:eastAsia="zh-CN" w:bidi="ar-SA"/>
        </w:rPr>
        <w:t xml:space="preserve">3.2.3 投标人的商务和技术得分=A+B+D。 </w:t>
      </w:r>
    </w:p>
    <w:p w14:paraId="457B8190">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ascii="宋体" w:hAnsi="宋体" w:eastAsia="宋体" w:cs="宋体"/>
          <w:snapToGrid w:val="0"/>
          <w:color w:val="auto"/>
          <w:spacing w:val="-3"/>
          <w:kern w:val="0"/>
          <w:sz w:val="22"/>
          <w:szCs w:val="22"/>
          <w:highlight w:val="none"/>
          <w:lang w:eastAsia="en-US"/>
        </w:rPr>
        <w:t>3.</w:t>
      </w:r>
      <w:r>
        <w:rPr>
          <w:rFonts w:hint="eastAsia" w:ascii="宋体" w:hAnsi="宋体" w:eastAsia="宋体" w:cs="宋体"/>
          <w:snapToGrid w:val="0"/>
          <w:color w:val="auto"/>
          <w:spacing w:val="-3"/>
          <w:kern w:val="0"/>
          <w:sz w:val="22"/>
          <w:szCs w:val="22"/>
          <w:highlight w:val="none"/>
          <w:lang w:val="en-US" w:eastAsia="zh-CN"/>
        </w:rPr>
        <w:t>3</w:t>
      </w:r>
      <w:r>
        <w:rPr>
          <w:rFonts w:ascii="宋体" w:hAnsi="宋体" w:eastAsia="宋体" w:cs="宋体"/>
          <w:snapToGrid w:val="0"/>
          <w:color w:val="auto"/>
          <w:spacing w:val="-3"/>
          <w:kern w:val="0"/>
          <w:sz w:val="22"/>
          <w:szCs w:val="22"/>
          <w:highlight w:val="none"/>
          <w:lang w:eastAsia="en-US"/>
        </w:rPr>
        <w:t xml:space="preserve"> </w:t>
      </w:r>
      <w:r>
        <w:rPr>
          <w:rFonts w:hint="eastAsia" w:ascii="宋体" w:hAnsi="宋体" w:eastAsia="宋体" w:cs="宋体"/>
          <w:snapToGrid w:val="0"/>
          <w:color w:val="auto"/>
          <w:spacing w:val="-3"/>
          <w:kern w:val="0"/>
          <w:sz w:val="22"/>
          <w:szCs w:val="22"/>
          <w:highlight w:val="none"/>
          <w:lang w:val="en-US" w:eastAsia="zh-CN"/>
        </w:rPr>
        <w:t>第二个信封报价文件开标</w:t>
      </w:r>
    </w:p>
    <w:p w14:paraId="132E6CA7">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第一个信封（商务及技术文件）评审结束后，招标人将按照第二章“投标人须知”第 5.1款规定的时间和地点对通过投标文件第一个信封（商务及技术文件）评审的投标文件第二个信封（报价文件）进行开标</w:t>
      </w:r>
      <w:r>
        <w:rPr>
          <w:rFonts w:hint="eastAsia" w:ascii="宋体" w:hAnsi="宋体" w:eastAsia="宋体" w:cs="宋体"/>
          <w:snapToGrid w:val="0"/>
          <w:color w:val="auto"/>
          <w:spacing w:val="-3"/>
          <w:kern w:val="0"/>
          <w:sz w:val="22"/>
          <w:szCs w:val="22"/>
          <w:highlight w:val="none"/>
          <w:lang w:val="en-US" w:eastAsia="zh-CN"/>
        </w:rPr>
        <w:t>。</w:t>
      </w:r>
    </w:p>
    <w:p w14:paraId="4D822D8B">
      <w:pPr>
        <w:widowControl/>
        <w:kinsoku w:val="0"/>
        <w:autoSpaceDE w:val="0"/>
        <w:autoSpaceDN w:val="0"/>
        <w:adjustRightInd w:val="0"/>
        <w:snapToGrid w:val="0"/>
        <w:spacing w:before="168" w:line="350" w:lineRule="auto"/>
        <w:ind w:left="5" w:firstLine="443"/>
        <w:jc w:val="both"/>
        <w:textAlignment w:val="baseline"/>
        <w:rPr>
          <w:rFonts w:ascii="宋体" w:hAnsi="宋体" w:eastAsia="宋体" w:cs="宋体"/>
          <w:snapToGrid w:val="0"/>
          <w:color w:val="auto"/>
          <w:spacing w:val="-3"/>
          <w:kern w:val="0"/>
          <w:sz w:val="22"/>
          <w:szCs w:val="22"/>
          <w:highlight w:val="none"/>
          <w:lang w:eastAsia="en-US"/>
        </w:rPr>
      </w:pPr>
      <w:r>
        <w:rPr>
          <w:rFonts w:ascii="宋体" w:hAnsi="宋体" w:eastAsia="宋体" w:cs="宋体"/>
          <w:snapToGrid w:val="0"/>
          <w:color w:val="auto"/>
          <w:spacing w:val="-3"/>
          <w:kern w:val="0"/>
          <w:sz w:val="22"/>
          <w:szCs w:val="22"/>
          <w:highlight w:val="none"/>
          <w:lang w:eastAsia="en-US"/>
        </w:rPr>
        <w:t>3.4 报价文件</w:t>
      </w:r>
      <w:r>
        <w:rPr>
          <w:rFonts w:hint="default" w:ascii="宋体" w:hAnsi="宋体" w:eastAsia="宋体" w:cs="宋体"/>
          <w:snapToGrid w:val="0"/>
          <w:color w:val="auto"/>
          <w:spacing w:val="-3"/>
          <w:kern w:val="0"/>
          <w:sz w:val="22"/>
          <w:szCs w:val="22"/>
          <w:highlight w:val="none"/>
          <w:lang w:val="en-US" w:eastAsia="zh-CN"/>
        </w:rPr>
        <w:t>初步</w:t>
      </w:r>
      <w:r>
        <w:rPr>
          <w:rFonts w:ascii="宋体" w:hAnsi="宋体" w:eastAsia="宋体" w:cs="宋体"/>
          <w:snapToGrid w:val="0"/>
          <w:color w:val="auto"/>
          <w:spacing w:val="-3"/>
          <w:kern w:val="0"/>
          <w:sz w:val="22"/>
          <w:szCs w:val="22"/>
          <w:highlight w:val="none"/>
          <w:lang w:eastAsia="en-US"/>
        </w:rPr>
        <w:t>评审</w:t>
      </w:r>
    </w:p>
    <w:p w14:paraId="7A1DD602">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bookmarkStart w:id="123" w:name="_bookmark103"/>
      <w:bookmarkEnd w:id="123"/>
      <w:r>
        <w:rPr>
          <w:rFonts w:hint="default" w:ascii="宋体" w:hAnsi="宋体" w:eastAsia="宋体" w:cs="宋体"/>
          <w:snapToGrid w:val="0"/>
          <w:color w:val="auto"/>
          <w:spacing w:val="-3"/>
          <w:kern w:val="0"/>
          <w:sz w:val="22"/>
          <w:szCs w:val="22"/>
          <w:highlight w:val="none"/>
          <w:lang w:val="en-US" w:eastAsia="zh-CN"/>
        </w:rPr>
        <w:t xml:space="preserve">3.4.1 评标委员会依据本章第 2.1.1 项、第 2.1.3 项规定的评审标准对投标文件第二个信封（报价文件）进行初步评审。有一项不符合评审标准的，评标委员会应否决其投标。 </w:t>
      </w:r>
    </w:p>
    <w:p w14:paraId="44EC6748">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3.4.2</w:t>
      </w:r>
      <w:r>
        <w:rPr>
          <w:rFonts w:hint="default" w:ascii="宋体" w:hAnsi="宋体" w:eastAsia="宋体" w:cs="宋体"/>
          <w:snapToGrid w:val="0"/>
          <w:color w:val="auto"/>
          <w:spacing w:val="-3"/>
          <w:kern w:val="0"/>
          <w:sz w:val="22"/>
          <w:szCs w:val="22"/>
          <w:highlight w:val="none"/>
          <w:lang w:val="en-US" w:eastAsia="zh-CN"/>
        </w:rPr>
        <w:footnoteReference w:id="2"/>
      </w:r>
      <w:r>
        <w:rPr>
          <w:rFonts w:hint="default" w:ascii="宋体" w:hAnsi="宋体" w:eastAsia="宋体" w:cs="宋体"/>
          <w:snapToGrid w:val="0"/>
          <w:color w:val="auto"/>
          <w:spacing w:val="-3"/>
          <w:kern w:val="0"/>
          <w:sz w:val="22"/>
          <w:szCs w:val="22"/>
          <w:highlight w:val="none"/>
          <w:lang w:val="en-US" w:eastAsia="zh-CN"/>
        </w:rPr>
        <w:t xml:space="preserve">投标报价有算术错误的，评标委员会按以下原则对投标报价进行修正，修正的价格经投标人书面确认后具有约束力。投标人不接受修正价格的，评标委员会应否决其投标。 </w:t>
      </w:r>
    </w:p>
    <w:p w14:paraId="6AE10599">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 xml:space="preserve">（1）投标文件中的大写金额与小写金额不一致的，以大写金额为准； </w:t>
      </w:r>
    </w:p>
    <w:p w14:paraId="1C32D60A">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 xml:space="preserve">（2）总价金额与依据单价计算出的结果不一致的，以单价金额为准修正总价，但单价金额小数点有明显错误的除外； </w:t>
      </w:r>
    </w:p>
    <w:p w14:paraId="46F1113F">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 xml:space="preserve">（3）当单价与数量相乘不等于合价时，以单价计算为准，如果单价有明显的小数点位置差错，应以标出的合价为准，同时对单价予以修正； </w:t>
      </w:r>
    </w:p>
    <w:p w14:paraId="62242DBB">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 xml:space="preserve">（4）当各子目的合价累计不等于总价时，应以各子目合价累计数为准，修正总价。 </w:t>
      </w:r>
    </w:p>
    <w:p w14:paraId="167B6697">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 xml:space="preserve">3.4.3 修正后的最终投标报价若超过最高投标限价（如有），评标委员会应否决其投标。 </w:t>
      </w:r>
    </w:p>
    <w:p w14:paraId="217DDC49">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3.4.4 修正后的最终投标报价仅作为签订合同的一个依据，不参与评标价得分的计算</w:t>
      </w:r>
      <w:r>
        <w:rPr>
          <w:rFonts w:hint="eastAsia" w:ascii="宋体" w:hAnsi="宋体" w:eastAsia="宋体" w:cs="宋体"/>
          <w:snapToGrid w:val="0"/>
          <w:color w:val="auto"/>
          <w:spacing w:val="-3"/>
          <w:kern w:val="0"/>
          <w:sz w:val="22"/>
          <w:szCs w:val="22"/>
          <w:highlight w:val="none"/>
          <w:lang w:val="en-US" w:eastAsia="zh-CN"/>
        </w:rPr>
        <w:t>。</w:t>
      </w:r>
      <w:r>
        <w:rPr>
          <w:rFonts w:hint="default" w:ascii="宋体" w:hAnsi="宋体" w:eastAsia="宋体" w:cs="宋体"/>
          <w:snapToGrid w:val="0"/>
          <w:color w:val="auto"/>
          <w:spacing w:val="-3"/>
          <w:kern w:val="0"/>
          <w:sz w:val="22"/>
          <w:szCs w:val="22"/>
          <w:highlight w:val="none"/>
          <w:lang w:val="en-US" w:eastAsia="zh-CN"/>
        </w:rPr>
        <w:t xml:space="preserve"> </w:t>
      </w:r>
    </w:p>
    <w:p w14:paraId="5F1CD81F">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3.5 第二个信封详细评审</w:t>
      </w:r>
    </w:p>
    <w:p w14:paraId="421CB951">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3.5.1 评标委员会按本章第 2.2.4（2）目规定的评审因素和分值对评标价计算出得分 C。评标价得分分值计算保留小数点后两位，小数点后第三位“四舍五入”。</w:t>
      </w:r>
    </w:p>
    <w:p w14:paraId="1A05A946">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3.5.2 投标人综合得分=投标人的商务和技术得分+C。</w:t>
      </w:r>
    </w:p>
    <w:p w14:paraId="7D00FCEA">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DFF9EDF">
      <w:pPr>
        <w:widowControl/>
        <w:kinsoku w:val="0"/>
        <w:autoSpaceDE w:val="0"/>
        <w:autoSpaceDN w:val="0"/>
        <w:adjustRightInd w:val="0"/>
        <w:snapToGrid w:val="0"/>
        <w:spacing w:before="168" w:line="350" w:lineRule="auto"/>
        <w:ind w:left="5" w:firstLine="443"/>
        <w:jc w:val="both"/>
        <w:textAlignment w:val="baseline"/>
        <w:rPr>
          <w:rFonts w:ascii="宋体" w:hAnsi="宋体" w:eastAsia="宋体" w:cs="宋体"/>
          <w:snapToGrid w:val="0"/>
          <w:color w:val="auto"/>
          <w:spacing w:val="-3"/>
          <w:kern w:val="0"/>
          <w:sz w:val="22"/>
          <w:szCs w:val="22"/>
          <w:highlight w:val="none"/>
          <w:lang w:eastAsia="en-US"/>
        </w:rPr>
      </w:pPr>
      <w:r>
        <w:rPr>
          <w:rFonts w:ascii="宋体" w:hAnsi="宋体" w:eastAsia="宋体" w:cs="宋体"/>
          <w:snapToGrid w:val="0"/>
          <w:color w:val="auto"/>
          <w:spacing w:val="-3"/>
          <w:kern w:val="0"/>
          <w:sz w:val="22"/>
          <w:szCs w:val="22"/>
          <w:highlight w:val="none"/>
          <w:lang w:eastAsia="en-US"/>
        </w:rPr>
        <w:t>3.</w:t>
      </w:r>
      <w:r>
        <w:rPr>
          <w:rFonts w:hint="eastAsia" w:ascii="宋体" w:hAnsi="宋体" w:eastAsia="宋体" w:cs="宋体"/>
          <w:snapToGrid w:val="0"/>
          <w:color w:val="auto"/>
          <w:spacing w:val="-3"/>
          <w:kern w:val="0"/>
          <w:sz w:val="22"/>
          <w:szCs w:val="22"/>
          <w:highlight w:val="none"/>
          <w:lang w:val="en-US" w:eastAsia="zh-CN"/>
        </w:rPr>
        <w:t>6</w:t>
      </w:r>
      <w:r>
        <w:rPr>
          <w:rFonts w:ascii="宋体" w:hAnsi="宋体" w:eastAsia="宋体" w:cs="宋体"/>
          <w:snapToGrid w:val="0"/>
          <w:color w:val="auto"/>
          <w:spacing w:val="-3"/>
          <w:kern w:val="0"/>
          <w:sz w:val="22"/>
          <w:szCs w:val="22"/>
          <w:highlight w:val="none"/>
          <w:lang w:eastAsia="en-US"/>
        </w:rPr>
        <w:t xml:space="preserve"> </w:t>
      </w:r>
      <w:r>
        <w:rPr>
          <w:rFonts w:hint="eastAsia" w:ascii="宋体" w:hAnsi="宋体" w:eastAsia="宋体" w:cs="宋体"/>
          <w:snapToGrid w:val="0"/>
          <w:color w:val="auto"/>
          <w:spacing w:val="-3"/>
          <w:kern w:val="0"/>
          <w:sz w:val="22"/>
          <w:szCs w:val="22"/>
          <w:highlight w:val="none"/>
          <w:lang w:val="en-US" w:eastAsia="zh-CN"/>
        </w:rPr>
        <w:t>投标文件相关信息的核查</w:t>
      </w:r>
    </w:p>
    <w:p w14:paraId="06943CB2">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3.</w:t>
      </w:r>
      <w:r>
        <w:rPr>
          <w:rFonts w:hint="eastAsia" w:ascii="宋体" w:hAnsi="宋体" w:eastAsia="宋体" w:cs="宋体"/>
          <w:snapToGrid w:val="0"/>
          <w:color w:val="auto"/>
          <w:spacing w:val="-3"/>
          <w:kern w:val="0"/>
          <w:sz w:val="22"/>
          <w:szCs w:val="22"/>
          <w:highlight w:val="none"/>
          <w:lang w:val="en-US" w:eastAsia="zh-CN"/>
        </w:rPr>
        <w:t>6</w:t>
      </w:r>
      <w:r>
        <w:rPr>
          <w:rFonts w:hint="default" w:ascii="宋体" w:hAnsi="宋体" w:eastAsia="宋体" w:cs="宋体"/>
          <w:snapToGrid w:val="0"/>
          <w:color w:val="auto"/>
          <w:spacing w:val="-3"/>
          <w:kern w:val="0"/>
          <w:sz w:val="22"/>
          <w:szCs w:val="22"/>
          <w:highlight w:val="none"/>
          <w:lang w:val="en-US" w:eastAsia="zh-CN"/>
        </w:rPr>
        <w:t>.1</w:t>
      </w:r>
      <w:r>
        <w:rPr>
          <w:rFonts w:hint="default" w:ascii="宋体" w:hAnsi="宋体" w:eastAsia="宋体" w:cs="宋体"/>
          <w:color w:val="auto"/>
          <w:sz w:val="22"/>
          <w:szCs w:val="22"/>
          <w:highlight w:val="none"/>
          <w:lang w:val="en-US" w:eastAsia="zh-CN"/>
        </w:rPr>
        <w:t>在评标过程中，评标委员会应查询交通运输主管部门“</w:t>
      </w:r>
      <w:r>
        <w:rPr>
          <w:rFonts w:hint="eastAsia" w:ascii="宋体" w:hAnsi="宋体" w:eastAsia="宋体" w:cs="宋体"/>
          <w:color w:val="auto"/>
          <w:sz w:val="24"/>
          <w:szCs w:val="24"/>
          <w:highlight w:val="none"/>
          <w:lang w:val="en-US" w:eastAsia="zh-CN"/>
        </w:rPr>
        <w:t>公路水运工程质量检测管理信息系统（https://www.ttiis.cn）</w:t>
      </w:r>
      <w:r>
        <w:rPr>
          <w:rFonts w:hint="default" w:ascii="宋体" w:hAnsi="宋体" w:eastAsia="宋体" w:cs="宋体"/>
          <w:color w:val="auto"/>
          <w:sz w:val="22"/>
          <w:szCs w:val="22"/>
          <w:highlight w:val="none"/>
          <w:lang w:val="en-US" w:eastAsia="zh-CN"/>
        </w:rPr>
        <w:t>”，对投标人的资质、业绩、主要人员资历和目前在岗情况、信用等级等信息进行核实。若投标文件载明的信息与交通运输主管部门“</w:t>
      </w:r>
      <w:r>
        <w:rPr>
          <w:rFonts w:hint="eastAsia" w:ascii="宋体" w:hAnsi="宋体" w:eastAsia="宋体" w:cs="宋体"/>
          <w:color w:val="auto"/>
          <w:sz w:val="24"/>
          <w:szCs w:val="24"/>
          <w:highlight w:val="none"/>
          <w:lang w:val="en-US" w:eastAsia="zh-CN"/>
        </w:rPr>
        <w:t>公路水运工程质量检测管理信息系统（https://www.ttiis.cn）</w:t>
      </w:r>
      <w:r>
        <w:rPr>
          <w:rFonts w:hint="default" w:ascii="宋体" w:hAnsi="宋体" w:eastAsia="宋体" w:cs="宋体"/>
          <w:color w:val="auto"/>
          <w:sz w:val="22"/>
          <w:szCs w:val="22"/>
          <w:highlight w:val="none"/>
          <w:lang w:val="en-US" w:eastAsia="zh-CN"/>
        </w:rPr>
        <w:t>”发布的信息不符，使得投标人的资格条件不符合招标文件规定的，评标委员会应否决其投标</w:t>
      </w:r>
      <w:r>
        <w:rPr>
          <w:rFonts w:hint="default" w:ascii="宋体" w:hAnsi="宋体" w:eastAsia="宋体" w:cs="宋体"/>
          <w:snapToGrid w:val="0"/>
          <w:color w:val="auto"/>
          <w:spacing w:val="-3"/>
          <w:kern w:val="0"/>
          <w:sz w:val="22"/>
          <w:szCs w:val="22"/>
          <w:highlight w:val="none"/>
          <w:lang w:val="en-US" w:eastAsia="zh-CN"/>
        </w:rPr>
        <w:t>。</w:t>
      </w:r>
    </w:p>
    <w:p w14:paraId="680BDEF3">
      <w:pPr>
        <w:widowControl/>
        <w:kinsoku w:val="0"/>
        <w:autoSpaceDE w:val="0"/>
        <w:autoSpaceDN w:val="0"/>
        <w:adjustRightInd w:val="0"/>
        <w:snapToGrid w:val="0"/>
        <w:spacing w:before="168" w:line="35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3.</w:t>
      </w:r>
      <w:r>
        <w:rPr>
          <w:rFonts w:hint="eastAsia" w:ascii="宋体" w:hAnsi="宋体" w:eastAsia="宋体" w:cs="宋体"/>
          <w:snapToGrid w:val="0"/>
          <w:color w:val="auto"/>
          <w:spacing w:val="-3"/>
          <w:kern w:val="0"/>
          <w:sz w:val="22"/>
          <w:szCs w:val="22"/>
          <w:highlight w:val="none"/>
          <w:lang w:val="en-US" w:eastAsia="zh-CN"/>
        </w:rPr>
        <w:t>6</w:t>
      </w:r>
      <w:r>
        <w:rPr>
          <w:rFonts w:hint="default" w:ascii="宋体" w:hAnsi="宋体" w:eastAsia="宋体" w:cs="宋体"/>
          <w:snapToGrid w:val="0"/>
          <w:color w:val="auto"/>
          <w:spacing w:val="-3"/>
          <w:kern w:val="0"/>
          <w:sz w:val="22"/>
          <w:szCs w:val="22"/>
          <w:highlight w:val="none"/>
          <w:lang w:val="en-US" w:eastAsia="zh-CN"/>
        </w:rPr>
        <w:t>.2 评标委员会应对在评标过程中发现的投标人与投标人之间、投标人与招标人之间存在的串通投标的情形进行评审和认定。投标人存在串通投标、弄虚作假、行贿等违法行为的，评标委员会应否决其投标。</w:t>
      </w:r>
    </w:p>
    <w:p w14:paraId="4A4AA620">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（1）有下列情形之一的，属于投标人相互串通投标：</w:t>
      </w:r>
    </w:p>
    <w:p w14:paraId="77EA5DE5">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a.投标人之间协商投标报价等投标文件的实质性内容；</w:t>
      </w:r>
    </w:p>
    <w:p w14:paraId="07E410AF">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b.投标人之间约定中标人；</w:t>
      </w:r>
    </w:p>
    <w:p w14:paraId="3E2443E1">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c.投标人之间约定部分投标人放弃投标或中标；</w:t>
      </w:r>
    </w:p>
    <w:p w14:paraId="4DEF8D23">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 xml:space="preserve">d.属于同一集团、协会、商会等组织成员的投标人按照该组织要求协同投标； </w:t>
      </w:r>
    </w:p>
    <w:p w14:paraId="5F978FA5">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e.投标人之间为谋取中标或排斥特定投标人而采取的其他联合行动。</w:t>
      </w:r>
    </w:p>
    <w:p w14:paraId="01B35E2B">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（2）有下列情形之一的，视为投标人相互串通投标：</w:t>
      </w:r>
    </w:p>
    <w:p w14:paraId="5BC3E098">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a.不同投标人的投标文件由同一单位或个人编制；</w:t>
      </w:r>
    </w:p>
    <w:p w14:paraId="410F98B9">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b.不同投标人委托同一单位或个人办理投标事宜；</w:t>
      </w:r>
    </w:p>
    <w:p w14:paraId="42801E0C">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c.不同投标人的投标文件载明的项目管理成员为同一人；</w:t>
      </w:r>
    </w:p>
    <w:p w14:paraId="62B52498">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d.不同投标人的投标文件异常一致或投标报价呈规律性差异；</w:t>
      </w:r>
    </w:p>
    <w:p w14:paraId="412EE3CC">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e.不同投标人的投标文件相互混装；</w:t>
      </w:r>
    </w:p>
    <w:p w14:paraId="7C86D5F7">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f.不同投标人的投标保证金从同一单位或个人的账户转出。</w:t>
      </w:r>
    </w:p>
    <w:p w14:paraId="21FA05FE">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（3）有下列情形之一的，属于招标人与投标人串通投标：</w:t>
      </w:r>
    </w:p>
    <w:p w14:paraId="39470144">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a.招标人在开标前开启投标文件并将有关信息泄露给其他投标人；</w:t>
      </w:r>
    </w:p>
    <w:p w14:paraId="7E713BB7">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b.招标人直接或间接向投标人泄露标底、评标委员会成员等信息；</w:t>
      </w:r>
    </w:p>
    <w:p w14:paraId="73A4DD1F">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c.招标人明示或暗示投标人压低或抬高投标报价；</w:t>
      </w:r>
    </w:p>
    <w:p w14:paraId="1FA37713">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d.招标人授意投标人撤换、修改投标文件；</w:t>
      </w:r>
    </w:p>
    <w:p w14:paraId="7FFAC80D">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e.招标人明示或暗示投标人为特定投标人中标提供方便；</w:t>
      </w:r>
    </w:p>
    <w:p w14:paraId="5E7DB0A1">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f.招标人与投标人为谋求特定投标人中标而采取的其他串通行为。</w:t>
      </w:r>
    </w:p>
    <w:p w14:paraId="43EEB043">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（4）投标人有下列情形之一的</w:t>
      </w:r>
      <w:r>
        <w:rPr>
          <w:rFonts w:hint="eastAsia" w:ascii="宋体" w:hAnsi="宋体" w:eastAsia="宋体" w:cs="宋体"/>
          <w:snapToGrid w:val="0"/>
          <w:color w:val="auto"/>
          <w:spacing w:val="-3"/>
          <w:kern w:val="0"/>
          <w:sz w:val="22"/>
          <w:szCs w:val="22"/>
          <w:highlight w:val="none"/>
          <w:lang w:val="en-US" w:eastAsia="zh-CN"/>
        </w:rPr>
        <w:t>，</w:t>
      </w:r>
      <w:r>
        <w:rPr>
          <w:rFonts w:hint="default" w:ascii="宋体" w:hAnsi="宋体" w:eastAsia="宋体" w:cs="宋体"/>
          <w:snapToGrid w:val="0"/>
          <w:color w:val="auto"/>
          <w:spacing w:val="-3"/>
          <w:kern w:val="0"/>
          <w:sz w:val="22"/>
          <w:szCs w:val="22"/>
          <w:highlight w:val="none"/>
          <w:lang w:val="en-US" w:eastAsia="zh-CN"/>
        </w:rPr>
        <w:t>属于弄虚作假的行为：</w:t>
      </w:r>
    </w:p>
    <w:p w14:paraId="0D29E168">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a.使用通过受让或租借等方式获取的资格、资质证书投标；</w:t>
      </w:r>
    </w:p>
    <w:p w14:paraId="26007493">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b.使用伪造、变造的许可证件；</w:t>
      </w:r>
    </w:p>
    <w:p w14:paraId="66F558DC">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c.提供虚假的财务状况或业绩；</w:t>
      </w:r>
    </w:p>
    <w:p w14:paraId="00B41C3C">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d.提供虚假的项目负责人或主要技术人员简历、劳动关系证明；</w:t>
      </w:r>
    </w:p>
    <w:p w14:paraId="3B430B37">
      <w:pPr>
        <w:widowControl/>
        <w:kinsoku w:val="0"/>
        <w:autoSpaceDE w:val="0"/>
        <w:autoSpaceDN w:val="0"/>
        <w:adjustRightInd w:val="0"/>
        <w:snapToGrid w:val="0"/>
        <w:spacing w:before="168" w:line="240" w:lineRule="auto"/>
        <w:ind w:left="5" w:firstLine="443"/>
        <w:jc w:val="both"/>
        <w:textAlignment w:val="baseline"/>
        <w:rPr>
          <w:rFonts w:hint="default" w:ascii="宋体" w:hAnsi="宋体" w:eastAsia="宋体" w:cs="宋体"/>
          <w:snapToGrid w:val="0"/>
          <w:color w:val="auto"/>
          <w:spacing w:val="-3"/>
          <w:kern w:val="0"/>
          <w:sz w:val="22"/>
          <w:szCs w:val="22"/>
          <w:highlight w:val="none"/>
          <w:lang w:val="en-US" w:eastAsia="zh-CN"/>
        </w:rPr>
      </w:pPr>
      <w:r>
        <w:rPr>
          <w:rFonts w:hint="default" w:ascii="宋体" w:hAnsi="宋体" w:eastAsia="宋体" w:cs="宋体"/>
          <w:snapToGrid w:val="0"/>
          <w:color w:val="auto"/>
          <w:spacing w:val="-3"/>
          <w:kern w:val="0"/>
          <w:sz w:val="22"/>
          <w:szCs w:val="22"/>
          <w:highlight w:val="none"/>
          <w:lang w:val="en-US" w:eastAsia="zh-CN"/>
        </w:rPr>
        <w:t>e.提供虚假的信用状况；</w:t>
      </w:r>
    </w:p>
    <w:p w14:paraId="30D309BC">
      <w:pPr>
        <w:widowControl/>
        <w:kinsoku w:val="0"/>
        <w:autoSpaceDE w:val="0"/>
        <w:autoSpaceDN w:val="0"/>
        <w:adjustRightInd w:val="0"/>
        <w:snapToGrid w:val="0"/>
        <w:spacing w:before="168" w:line="240" w:lineRule="auto"/>
        <w:ind w:left="5" w:firstLine="443"/>
        <w:jc w:val="both"/>
        <w:textAlignment w:val="baseline"/>
        <w:rPr>
          <w:rFonts w:ascii="宋体" w:hAnsi="宋体" w:eastAsia="宋体" w:cs="宋体"/>
          <w:snapToGrid w:val="0"/>
          <w:color w:val="auto"/>
          <w:spacing w:val="-3"/>
          <w:kern w:val="0"/>
          <w:sz w:val="22"/>
          <w:szCs w:val="22"/>
          <w:highlight w:val="none"/>
          <w:lang w:eastAsia="en-US"/>
        </w:rPr>
      </w:pPr>
      <w:r>
        <w:rPr>
          <w:rFonts w:hint="default" w:ascii="宋体" w:hAnsi="宋体" w:eastAsia="宋体" w:cs="宋体"/>
          <w:snapToGrid w:val="0"/>
          <w:color w:val="auto"/>
          <w:spacing w:val="-3"/>
          <w:kern w:val="0"/>
          <w:sz w:val="22"/>
          <w:szCs w:val="22"/>
          <w:highlight w:val="none"/>
          <w:lang w:val="en-US" w:eastAsia="zh-CN"/>
        </w:rPr>
        <w:t>f.其他弄虚作假的行为。</w:t>
      </w:r>
    </w:p>
    <w:p w14:paraId="42D5604D">
      <w:pPr>
        <w:widowControl/>
        <w:kinsoku w:val="0"/>
        <w:autoSpaceDE w:val="0"/>
        <w:autoSpaceDN w:val="0"/>
        <w:adjustRightInd w:val="0"/>
        <w:snapToGrid w:val="0"/>
        <w:spacing w:before="168" w:line="350" w:lineRule="auto"/>
        <w:ind w:left="5" w:firstLine="443"/>
        <w:jc w:val="both"/>
        <w:textAlignment w:val="baseline"/>
        <w:rPr>
          <w:rFonts w:ascii="宋体" w:hAnsi="宋体" w:eastAsia="宋体" w:cs="宋体"/>
          <w:snapToGrid w:val="0"/>
          <w:color w:val="auto"/>
          <w:spacing w:val="-3"/>
          <w:kern w:val="0"/>
          <w:sz w:val="22"/>
          <w:szCs w:val="22"/>
          <w:highlight w:val="none"/>
          <w:lang w:eastAsia="en-US"/>
        </w:rPr>
      </w:pPr>
      <w:bookmarkStart w:id="124" w:name="_bookmark104"/>
      <w:bookmarkEnd w:id="124"/>
      <w:r>
        <w:rPr>
          <w:rFonts w:ascii="宋体" w:hAnsi="宋体" w:eastAsia="宋体" w:cs="宋体"/>
          <w:snapToGrid w:val="0"/>
          <w:color w:val="auto"/>
          <w:spacing w:val="-3"/>
          <w:kern w:val="0"/>
          <w:sz w:val="22"/>
          <w:szCs w:val="22"/>
          <w:highlight w:val="none"/>
          <w:lang w:eastAsia="en-US"/>
        </w:rPr>
        <w:t>3.</w:t>
      </w:r>
      <w:r>
        <w:rPr>
          <w:rFonts w:hint="eastAsia" w:ascii="宋体" w:hAnsi="宋体" w:eastAsia="宋体" w:cs="宋体"/>
          <w:snapToGrid w:val="0"/>
          <w:color w:val="auto"/>
          <w:spacing w:val="-3"/>
          <w:kern w:val="0"/>
          <w:sz w:val="22"/>
          <w:szCs w:val="22"/>
          <w:highlight w:val="none"/>
          <w:lang w:val="en-US" w:eastAsia="zh-CN"/>
        </w:rPr>
        <w:t>7</w:t>
      </w:r>
      <w:r>
        <w:rPr>
          <w:rFonts w:ascii="宋体" w:hAnsi="宋体" w:eastAsia="宋体" w:cs="宋体"/>
          <w:snapToGrid w:val="0"/>
          <w:color w:val="auto"/>
          <w:spacing w:val="-3"/>
          <w:kern w:val="0"/>
          <w:sz w:val="22"/>
          <w:szCs w:val="22"/>
          <w:highlight w:val="none"/>
          <w:lang w:eastAsia="en-US"/>
        </w:rPr>
        <w:t xml:space="preserve"> 投标文件的澄清和说明</w:t>
      </w:r>
    </w:p>
    <w:p w14:paraId="06C96249">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bookmarkStart w:id="125" w:name="_bookmark105"/>
      <w:bookmarkEnd w:id="125"/>
      <w:r>
        <w:rPr>
          <w:rFonts w:hint="eastAsia" w:ascii="宋体" w:hAnsi="宋体" w:eastAsia="宋体" w:cs="宋体"/>
          <w:snapToGrid w:val="0"/>
          <w:color w:val="auto"/>
          <w:spacing w:val="-3"/>
          <w:kern w:val="0"/>
          <w:sz w:val="22"/>
          <w:szCs w:val="22"/>
          <w:highlight w:val="none"/>
          <w:lang w:val="en-US" w:eastAsia="zh-CN"/>
        </w:rPr>
        <w:t xml:space="preserve">3.7.1 在评标过程中，评标委员会可以书面形式要求投标人对所提交投标文件中含义不明确的内容、明显文字或者计算错误进行书面澄清或说明。评标委员会不接受投标人主动提出的澄清、说明。投标人不按评标委员会要求澄清或说明的，评标委员会应否决其投标。 </w:t>
      </w:r>
    </w:p>
    <w:p w14:paraId="43C4FBB7">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 xml:space="preserve">3.7.2 澄清和说明不得超出投标文件的范围或者改变投标文件的实质性内容(算术性错误修正的除外)。投标人的书面澄清、说明属于投标文件的组成部分。 </w:t>
      </w:r>
    </w:p>
    <w:p w14:paraId="122A5ED8">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 xml:space="preserve">3.7.3 评标委员会不得暗示或者诱导投标人作出澄清、说明，对投标人提交的澄清、说明有疑问的，可以要求投标人进一步澄清或说明，直至满足评标委员会的要求。 </w:t>
      </w:r>
    </w:p>
    <w:p w14:paraId="4A385C08">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3.7.4 凡超出招标文件规定的或给招标人带来未曾要求的利益的变化、偏差或其他因素在评标时不予考虑。</w:t>
      </w:r>
    </w:p>
    <w:p w14:paraId="52F727E6">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eastAsia="en-US"/>
        </w:rPr>
      </w:pPr>
      <w:r>
        <w:rPr>
          <w:rFonts w:hint="eastAsia" w:ascii="宋体" w:hAnsi="宋体" w:eastAsia="宋体" w:cs="宋体"/>
          <w:snapToGrid w:val="0"/>
          <w:color w:val="auto"/>
          <w:spacing w:val="-3"/>
          <w:kern w:val="0"/>
          <w:sz w:val="22"/>
          <w:szCs w:val="22"/>
          <w:highlight w:val="none"/>
          <w:lang w:eastAsia="en-US"/>
        </w:rPr>
        <w:t>3.</w:t>
      </w:r>
      <w:r>
        <w:rPr>
          <w:rFonts w:hint="eastAsia" w:ascii="宋体" w:hAnsi="宋体" w:eastAsia="宋体" w:cs="宋体"/>
          <w:snapToGrid w:val="0"/>
          <w:color w:val="auto"/>
          <w:spacing w:val="-3"/>
          <w:kern w:val="0"/>
          <w:sz w:val="22"/>
          <w:szCs w:val="22"/>
          <w:highlight w:val="none"/>
          <w:lang w:val="en-US" w:eastAsia="zh-CN"/>
        </w:rPr>
        <w:t>8</w:t>
      </w:r>
      <w:r>
        <w:rPr>
          <w:rFonts w:hint="eastAsia" w:ascii="宋体" w:hAnsi="宋体" w:eastAsia="宋体" w:cs="宋体"/>
          <w:snapToGrid w:val="0"/>
          <w:color w:val="auto"/>
          <w:spacing w:val="-3"/>
          <w:kern w:val="0"/>
          <w:sz w:val="22"/>
          <w:szCs w:val="22"/>
          <w:highlight w:val="none"/>
          <w:lang w:eastAsia="en-US"/>
        </w:rPr>
        <w:t xml:space="preserve"> 不得否决投标的情形</w:t>
      </w:r>
    </w:p>
    <w:p w14:paraId="1D74F329">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eastAsia="en-US"/>
        </w:rPr>
      </w:pPr>
      <w:r>
        <w:rPr>
          <w:rFonts w:hint="eastAsia" w:ascii="宋体" w:hAnsi="宋体" w:eastAsia="宋体" w:cs="宋体"/>
          <w:snapToGrid w:val="0"/>
          <w:color w:val="auto"/>
          <w:spacing w:val="-3"/>
          <w:kern w:val="0"/>
          <w:sz w:val="22"/>
          <w:szCs w:val="22"/>
          <w:highlight w:val="none"/>
          <w:lang w:eastAsia="en-US"/>
        </w:rPr>
        <w:t>投标文件存在第二章“投标人须知”第 1.12.3 项所列情形的，均视为细微偏差，评标委员会不得否决投标人的投标，应按照第二章“投标人须知”第 1.12.4 项规定的原则处理。</w:t>
      </w:r>
    </w:p>
    <w:p w14:paraId="03338CEE">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eastAsia="en-US"/>
        </w:rPr>
      </w:pPr>
      <w:bookmarkStart w:id="126" w:name="_bookmark107"/>
      <w:bookmarkEnd w:id="126"/>
      <w:r>
        <w:rPr>
          <w:rFonts w:hint="eastAsia" w:ascii="宋体" w:hAnsi="宋体" w:eastAsia="宋体" w:cs="宋体"/>
          <w:snapToGrid w:val="0"/>
          <w:color w:val="auto"/>
          <w:spacing w:val="-3"/>
          <w:kern w:val="0"/>
          <w:sz w:val="22"/>
          <w:szCs w:val="22"/>
          <w:highlight w:val="none"/>
          <w:lang w:eastAsia="en-US"/>
        </w:rPr>
        <w:t>3.</w:t>
      </w:r>
      <w:r>
        <w:rPr>
          <w:rFonts w:hint="eastAsia" w:ascii="宋体" w:hAnsi="宋体" w:eastAsia="宋体" w:cs="宋体"/>
          <w:snapToGrid w:val="0"/>
          <w:color w:val="auto"/>
          <w:spacing w:val="-3"/>
          <w:kern w:val="0"/>
          <w:sz w:val="22"/>
          <w:szCs w:val="22"/>
          <w:highlight w:val="none"/>
          <w:lang w:val="en-US" w:eastAsia="zh-CN"/>
        </w:rPr>
        <w:t>9</w:t>
      </w:r>
      <w:r>
        <w:rPr>
          <w:rFonts w:hint="eastAsia" w:ascii="宋体" w:hAnsi="宋体" w:eastAsia="宋体" w:cs="宋体"/>
          <w:snapToGrid w:val="0"/>
          <w:color w:val="auto"/>
          <w:spacing w:val="-3"/>
          <w:kern w:val="0"/>
          <w:sz w:val="22"/>
          <w:szCs w:val="22"/>
          <w:highlight w:val="none"/>
          <w:lang w:eastAsia="en-US"/>
        </w:rPr>
        <w:t xml:space="preserve"> 评标结果</w:t>
      </w:r>
    </w:p>
    <w:p w14:paraId="38E68FC6">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3.9.1  除第二章“投标人须知”前附表授权直接确定中标人外，评标委员会按照最终得分由高到低的顺序推荐中标候选人,并标明排序。</w:t>
      </w:r>
    </w:p>
    <w:p w14:paraId="51C80CA9">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val="en-US" w:eastAsia="zh-CN"/>
        </w:rPr>
      </w:pPr>
      <w:r>
        <w:rPr>
          <w:rFonts w:hint="eastAsia" w:ascii="宋体" w:hAnsi="宋体" w:eastAsia="宋体" w:cs="宋体"/>
          <w:snapToGrid w:val="0"/>
          <w:color w:val="auto"/>
          <w:spacing w:val="-3"/>
          <w:kern w:val="0"/>
          <w:sz w:val="22"/>
          <w:szCs w:val="22"/>
          <w:highlight w:val="none"/>
          <w:lang w:val="en-US" w:eastAsia="zh-CN"/>
        </w:rPr>
        <w:t xml:space="preserve">3.9.2  </w:t>
      </w:r>
      <w:r>
        <w:rPr>
          <w:rFonts w:hint="default" w:ascii="宋体" w:hAnsi="宋体" w:eastAsia="宋体" w:cs="宋体"/>
          <w:snapToGrid w:val="0"/>
          <w:color w:val="auto"/>
          <w:spacing w:val="-3"/>
          <w:kern w:val="0"/>
          <w:sz w:val="22"/>
          <w:szCs w:val="22"/>
          <w:highlight w:val="none"/>
          <w:lang w:val="en-US" w:eastAsia="zh-CN"/>
        </w:rPr>
        <w:t>评标委员会完成评标后，应当向招标人提交评标报告。</w:t>
      </w:r>
    </w:p>
    <w:p w14:paraId="6E9797BE">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eastAsia="en-US"/>
        </w:rPr>
      </w:pPr>
    </w:p>
    <w:p w14:paraId="03974392">
      <w:pPr>
        <w:widowControl/>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0CF3DB3">
      <w:pPr>
        <w:topLinePunct/>
        <w:spacing w:line="300" w:lineRule="auto"/>
        <w:ind w:right="31" w:rightChars="15"/>
        <w:jc w:val="center"/>
        <w:outlineLvl w:val="0"/>
        <w:rPr>
          <w:rFonts w:eastAsia="黑体"/>
          <w:b/>
          <w:bCs/>
          <w:color w:val="auto"/>
          <w:sz w:val="36"/>
          <w:szCs w:val="36"/>
          <w:highlight w:val="none"/>
        </w:rPr>
      </w:pPr>
      <w:bookmarkStart w:id="127" w:name="_Toc464508724"/>
      <w:bookmarkStart w:id="128" w:name="_Toc496369619"/>
      <w:bookmarkStart w:id="129" w:name="_Toc496537748"/>
      <w:bookmarkStart w:id="130" w:name="_Toc13332"/>
      <w:bookmarkStart w:id="131" w:name="_Toc494703656"/>
      <w:bookmarkStart w:id="132" w:name="_Toc464508725"/>
      <w:bookmarkStart w:id="133" w:name="_Toc152045610"/>
      <w:bookmarkStart w:id="134" w:name="_Toc144974578"/>
      <w:bookmarkStart w:id="135" w:name="_Toc494703657"/>
      <w:bookmarkStart w:id="136" w:name="_Toc152042388"/>
      <w:bookmarkStart w:id="137" w:name="_Toc179632628"/>
    </w:p>
    <w:p w14:paraId="343C988F">
      <w:pPr>
        <w:topLinePunct/>
        <w:spacing w:line="300" w:lineRule="auto"/>
        <w:ind w:right="31" w:rightChars="15"/>
        <w:jc w:val="center"/>
        <w:outlineLvl w:val="0"/>
        <w:rPr>
          <w:rFonts w:eastAsia="黑体"/>
          <w:b/>
          <w:bCs/>
          <w:color w:val="auto"/>
          <w:sz w:val="36"/>
          <w:szCs w:val="36"/>
          <w:highlight w:val="none"/>
        </w:rPr>
      </w:pPr>
      <w:bookmarkStart w:id="138" w:name="_Toc12590"/>
      <w:r>
        <w:rPr>
          <w:rFonts w:eastAsia="黑体"/>
          <w:b/>
          <w:bCs/>
          <w:color w:val="auto"/>
          <w:sz w:val="36"/>
          <w:szCs w:val="36"/>
          <w:highlight w:val="none"/>
        </w:rPr>
        <w:t>第四章  合同条款及格式</w:t>
      </w:r>
      <w:bookmarkEnd w:id="127"/>
      <w:bookmarkEnd w:id="128"/>
      <w:bookmarkEnd w:id="129"/>
      <w:bookmarkEnd w:id="130"/>
      <w:bookmarkEnd w:id="131"/>
      <w:bookmarkEnd w:id="138"/>
    </w:p>
    <w:bookmarkEnd w:id="132"/>
    <w:bookmarkEnd w:id="133"/>
    <w:bookmarkEnd w:id="134"/>
    <w:bookmarkEnd w:id="135"/>
    <w:bookmarkEnd w:id="136"/>
    <w:bookmarkEnd w:id="137"/>
    <w:p w14:paraId="54DE4F96">
      <w:pPr>
        <w:pStyle w:val="4"/>
        <w:spacing w:line="360" w:lineRule="auto"/>
        <w:jc w:val="center"/>
        <w:rPr>
          <w:color w:val="auto"/>
          <w:highlight w:val="none"/>
        </w:rPr>
      </w:pPr>
      <w:bookmarkStart w:id="139" w:name="_Toc496369620"/>
      <w:bookmarkStart w:id="140" w:name="_Toc496537749"/>
      <w:bookmarkStart w:id="141" w:name="_Toc21542"/>
      <w:bookmarkStart w:id="142" w:name="_Toc179632805"/>
      <w:bookmarkStart w:id="143" w:name="_Toc152045786"/>
      <w:bookmarkStart w:id="144" w:name="_Toc144974855"/>
      <w:bookmarkStart w:id="145" w:name="_Toc152042575"/>
    </w:p>
    <w:p w14:paraId="000553AB">
      <w:pPr>
        <w:pStyle w:val="4"/>
        <w:spacing w:line="360" w:lineRule="auto"/>
        <w:jc w:val="center"/>
        <w:rPr>
          <w:rFonts w:eastAsia="黑体"/>
          <w:color w:val="auto"/>
          <w:sz w:val="28"/>
          <w:szCs w:val="28"/>
          <w:highlight w:val="none"/>
        </w:rPr>
      </w:pPr>
      <w:bookmarkStart w:id="146" w:name="_Toc31393"/>
      <w:r>
        <w:rPr>
          <w:rFonts w:eastAsia="黑体"/>
          <w:color w:val="auto"/>
          <w:sz w:val="28"/>
          <w:szCs w:val="28"/>
          <w:highlight w:val="none"/>
        </w:rPr>
        <w:t>第一节 通用合同条款</w:t>
      </w:r>
      <w:bookmarkEnd w:id="139"/>
      <w:bookmarkEnd w:id="140"/>
      <w:bookmarkEnd w:id="141"/>
      <w:bookmarkEnd w:id="146"/>
    </w:p>
    <w:p w14:paraId="7EF36A68">
      <w:pPr>
        <w:spacing w:line="360" w:lineRule="auto"/>
        <w:jc w:val="center"/>
        <w:rPr>
          <w:rFonts w:eastAsia="黑体"/>
          <w:b/>
          <w:bCs/>
          <w:color w:val="auto"/>
          <w:szCs w:val="21"/>
          <w:highlight w:val="none"/>
        </w:rPr>
      </w:pPr>
      <w:r>
        <w:rPr>
          <w:rFonts w:eastAsia="黑体"/>
          <w:b/>
          <w:bCs/>
          <w:color w:val="auto"/>
          <w:szCs w:val="21"/>
          <w:highlight w:val="none"/>
          <w:lang w:val="en-US" w:eastAsia="zh-CN"/>
        </w:rPr>
        <w:t>“通用合同条款”</w:t>
      </w:r>
      <w:r>
        <w:rPr>
          <w:rFonts w:hint="eastAsia" w:eastAsia="黑体"/>
          <w:b/>
          <w:bCs/>
          <w:color w:val="auto"/>
          <w:szCs w:val="21"/>
          <w:highlight w:val="none"/>
          <w:lang w:val="en-US" w:eastAsia="zh-CN"/>
        </w:rPr>
        <w:t>采用</w:t>
      </w:r>
      <w:r>
        <w:rPr>
          <w:rFonts w:eastAsia="黑体"/>
          <w:b/>
          <w:bCs/>
          <w:color w:val="auto"/>
          <w:szCs w:val="21"/>
          <w:highlight w:val="none"/>
          <w:lang w:val="en-US" w:eastAsia="zh-CN"/>
        </w:rPr>
        <w:t>《公路工程标准施工监理招标文件》（</w:t>
      </w:r>
      <w:r>
        <w:rPr>
          <w:rFonts w:hint="default" w:eastAsia="黑体"/>
          <w:b/>
          <w:bCs/>
          <w:color w:val="auto"/>
          <w:szCs w:val="21"/>
          <w:highlight w:val="none"/>
          <w:lang w:val="en-US" w:eastAsia="zh-CN"/>
        </w:rPr>
        <w:t xml:space="preserve">2018 </w:t>
      </w:r>
      <w:r>
        <w:rPr>
          <w:rFonts w:hint="eastAsia" w:eastAsia="黑体"/>
          <w:b/>
          <w:bCs/>
          <w:color w:val="auto"/>
          <w:szCs w:val="21"/>
          <w:highlight w:val="none"/>
          <w:lang w:val="en-US" w:eastAsia="zh-CN"/>
        </w:rPr>
        <w:t>年版）的“通用合同条款”</w:t>
      </w:r>
      <w:r>
        <w:rPr>
          <w:rStyle w:val="92"/>
          <w:rFonts w:hint="eastAsia" w:eastAsia="黑体"/>
          <w:b/>
          <w:bCs/>
          <w:color w:val="auto"/>
          <w:szCs w:val="21"/>
          <w:highlight w:val="none"/>
          <w:lang w:val="en-US" w:eastAsia="zh-CN"/>
        </w:rPr>
        <w:footnoteReference w:id="3"/>
      </w:r>
      <w:r>
        <w:rPr>
          <w:rFonts w:hint="eastAsia" w:eastAsia="黑体"/>
          <w:b/>
          <w:bCs/>
          <w:color w:val="auto"/>
          <w:szCs w:val="21"/>
          <w:highlight w:val="none"/>
          <w:lang w:val="en-US" w:eastAsia="zh-CN"/>
        </w:rPr>
        <w:t xml:space="preserve"> </w:t>
      </w:r>
    </w:p>
    <w:p w14:paraId="5AD9E256">
      <w:pPr>
        <w:spacing w:line="360" w:lineRule="auto"/>
        <w:jc w:val="center"/>
        <w:rPr>
          <w:rFonts w:eastAsia="黑体"/>
          <w:b/>
          <w:bCs/>
          <w:color w:val="auto"/>
          <w:szCs w:val="21"/>
          <w:highlight w:val="none"/>
        </w:rPr>
      </w:pPr>
    </w:p>
    <w:p w14:paraId="53D2FB8E">
      <w:pPr>
        <w:pStyle w:val="4"/>
        <w:spacing w:line="360" w:lineRule="auto"/>
        <w:jc w:val="center"/>
        <w:rPr>
          <w:rFonts w:eastAsia="黑体"/>
          <w:color w:val="auto"/>
          <w:sz w:val="28"/>
          <w:szCs w:val="28"/>
          <w:highlight w:val="none"/>
        </w:rPr>
      </w:pPr>
      <w:bookmarkStart w:id="147" w:name="_Toc494703658"/>
      <w:bookmarkStart w:id="148" w:name="_Toc2003"/>
      <w:bookmarkStart w:id="149" w:name="_Toc464508726"/>
      <w:bookmarkStart w:id="150" w:name="_Toc496537750"/>
      <w:bookmarkStart w:id="151" w:name="_Toc496369621"/>
      <w:bookmarkStart w:id="152" w:name="_Toc1378"/>
      <w:r>
        <w:rPr>
          <w:rFonts w:eastAsia="黑体"/>
          <w:color w:val="auto"/>
          <w:sz w:val="28"/>
          <w:szCs w:val="28"/>
          <w:highlight w:val="none"/>
        </w:rPr>
        <w:t>第二节 专用合同条款</w:t>
      </w:r>
      <w:bookmarkEnd w:id="147"/>
      <w:bookmarkEnd w:id="148"/>
      <w:bookmarkEnd w:id="149"/>
      <w:bookmarkEnd w:id="150"/>
      <w:bookmarkEnd w:id="151"/>
      <w:bookmarkEnd w:id="152"/>
    </w:p>
    <w:p w14:paraId="51CE86C0">
      <w:pPr>
        <w:widowControl/>
        <w:kinsoku w:val="0"/>
        <w:autoSpaceDE w:val="0"/>
        <w:autoSpaceDN w:val="0"/>
        <w:adjustRightInd w:val="0"/>
        <w:snapToGrid w:val="0"/>
        <w:spacing w:before="168" w:line="350" w:lineRule="auto"/>
        <w:ind w:left="5" w:firstLine="443"/>
        <w:jc w:val="center"/>
        <w:textAlignment w:val="baseline"/>
        <w:rPr>
          <w:rFonts w:hint="eastAsia" w:ascii="宋体" w:hAnsi="宋体" w:eastAsia="宋体" w:cs="宋体"/>
          <w:snapToGrid w:val="0"/>
          <w:color w:val="auto"/>
          <w:spacing w:val="-3"/>
          <w:kern w:val="0"/>
          <w:sz w:val="22"/>
          <w:szCs w:val="22"/>
          <w:highlight w:val="none"/>
          <w:lang w:eastAsia="en-US"/>
        </w:rPr>
      </w:pPr>
      <w:r>
        <w:rPr>
          <w:rFonts w:hint="eastAsia" w:ascii="宋体" w:hAnsi="宋体" w:eastAsia="宋体" w:cs="宋体"/>
          <w:snapToGrid w:val="0"/>
          <w:color w:val="auto"/>
          <w:spacing w:val="-3"/>
          <w:kern w:val="0"/>
          <w:sz w:val="22"/>
          <w:szCs w:val="22"/>
          <w:highlight w:val="none"/>
          <w:lang w:eastAsia="en-US"/>
        </w:rPr>
        <w:t>A. 公路工程专用合同条款</w:t>
      </w:r>
    </w:p>
    <w:p w14:paraId="350D5569">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eastAsia="en-US"/>
        </w:rPr>
      </w:pPr>
      <w:r>
        <w:rPr>
          <w:rFonts w:hint="eastAsia" w:ascii="宋体" w:hAnsi="宋体" w:eastAsia="宋体" w:cs="宋体"/>
          <w:snapToGrid w:val="0"/>
          <w:color w:val="auto"/>
          <w:spacing w:val="-3"/>
          <w:kern w:val="0"/>
          <w:sz w:val="22"/>
          <w:szCs w:val="22"/>
          <w:highlight w:val="none"/>
          <w:lang w:val="en-US" w:eastAsia="zh-CN"/>
        </w:rPr>
        <w:t>“公路工程专用合同条款”</w:t>
      </w:r>
      <w:r>
        <w:rPr>
          <w:rFonts w:hint="eastAsia" w:ascii="宋体" w:hAnsi="宋体" w:cs="宋体"/>
          <w:snapToGrid w:val="0"/>
          <w:color w:val="auto"/>
          <w:spacing w:val="-3"/>
          <w:kern w:val="0"/>
          <w:sz w:val="22"/>
          <w:szCs w:val="22"/>
          <w:highlight w:val="none"/>
          <w:lang w:val="en-US" w:eastAsia="zh-CN"/>
        </w:rPr>
        <w:t>采用</w:t>
      </w:r>
      <w:r>
        <w:rPr>
          <w:rFonts w:hint="eastAsia" w:ascii="宋体" w:hAnsi="宋体" w:eastAsia="宋体" w:cs="宋体"/>
          <w:snapToGrid w:val="0"/>
          <w:color w:val="auto"/>
          <w:spacing w:val="-3"/>
          <w:kern w:val="0"/>
          <w:sz w:val="22"/>
          <w:szCs w:val="22"/>
          <w:highlight w:val="none"/>
          <w:lang w:val="en-US" w:eastAsia="zh-CN"/>
        </w:rPr>
        <w:t xml:space="preserve">《公路工程标准施工监理招标文件》（2018 年版）的“公路工程专用合同条款”。 </w:t>
      </w:r>
    </w:p>
    <w:p w14:paraId="5EAC9201">
      <w:pPr>
        <w:widowControl/>
        <w:kinsoku w:val="0"/>
        <w:autoSpaceDE w:val="0"/>
        <w:autoSpaceDN w:val="0"/>
        <w:adjustRightInd w:val="0"/>
        <w:snapToGrid w:val="0"/>
        <w:spacing w:before="168" w:line="350" w:lineRule="auto"/>
        <w:ind w:left="5" w:firstLine="443"/>
        <w:jc w:val="both"/>
        <w:textAlignment w:val="baseline"/>
        <w:rPr>
          <w:rFonts w:hint="eastAsia" w:ascii="宋体" w:hAnsi="宋体" w:eastAsia="宋体" w:cs="宋体"/>
          <w:snapToGrid w:val="0"/>
          <w:color w:val="auto"/>
          <w:spacing w:val="-3"/>
          <w:kern w:val="0"/>
          <w:sz w:val="22"/>
          <w:szCs w:val="22"/>
          <w:highlight w:val="none"/>
          <w:lang w:eastAsia="en-US"/>
        </w:rPr>
        <w:sectPr>
          <w:footnotePr>
            <w:numFmt w:val="decimalEnclosedCircleChinese"/>
            <w:numRestart w:val="eachPage"/>
          </w:footnotePr>
          <w:pgSz w:w="11906" w:h="16838"/>
          <w:pgMar w:top="1134" w:right="1134" w:bottom="1134" w:left="1134" w:header="851" w:footer="737" w:gutter="0"/>
          <w:pgNumType w:fmt="decimal"/>
          <w:cols w:space="720" w:num="1"/>
          <w:docGrid w:linePitch="312" w:charSpace="0"/>
        </w:sectPr>
      </w:pPr>
    </w:p>
    <w:p w14:paraId="11C197B6">
      <w:pPr>
        <w:widowControl/>
        <w:kinsoku w:val="0"/>
        <w:autoSpaceDE w:val="0"/>
        <w:autoSpaceDN w:val="0"/>
        <w:adjustRightInd w:val="0"/>
        <w:snapToGrid w:val="0"/>
        <w:spacing w:before="59" w:line="220" w:lineRule="auto"/>
        <w:ind w:left="3998"/>
        <w:jc w:val="left"/>
        <w:textAlignment w:val="baseline"/>
        <w:rPr>
          <w:rFonts w:hint="eastAsia" w:ascii="宋体" w:hAnsi="宋体" w:eastAsia="宋体" w:cs="宋体"/>
          <w:snapToGrid w:val="0"/>
          <w:color w:val="auto"/>
          <w:spacing w:val="-1"/>
          <w:kern w:val="0"/>
          <w:sz w:val="22"/>
          <w:szCs w:val="22"/>
          <w:highlight w:val="none"/>
          <w:lang w:eastAsia="en-US"/>
        </w:rPr>
      </w:pPr>
      <w:bookmarkStart w:id="153" w:name="_Toc144974826"/>
      <w:bookmarkStart w:id="154" w:name="_Toc152042546"/>
      <w:bookmarkStart w:id="155" w:name="_Toc179632785"/>
      <w:bookmarkStart w:id="156" w:name="_Toc152045767"/>
      <w:r>
        <w:rPr>
          <w:rFonts w:hint="eastAsia" w:ascii="宋体" w:hAnsi="宋体" w:eastAsia="宋体" w:cs="宋体"/>
          <w:snapToGrid w:val="0"/>
          <w:color w:val="auto"/>
          <w:spacing w:val="-1"/>
          <w:kern w:val="0"/>
          <w:sz w:val="22"/>
          <w:szCs w:val="22"/>
          <w:highlight w:val="none"/>
          <w:lang w:eastAsia="en-US"/>
        </w:rPr>
        <w:t>B. 项目专用合同条款</w:t>
      </w:r>
    </w:p>
    <w:p w14:paraId="31FC1B62">
      <w:pPr>
        <w:spacing w:line="360" w:lineRule="auto"/>
        <w:jc w:val="left"/>
        <w:rPr>
          <w:b/>
          <w:bCs/>
          <w:color w:val="auto"/>
          <w:highlight w:val="none"/>
        </w:rPr>
      </w:pPr>
      <w:r>
        <w:rPr>
          <w:rFonts w:hint="eastAsia"/>
          <w:b/>
          <w:bCs/>
          <w:color w:val="auto"/>
          <w:highlight w:val="none"/>
          <w:lang w:val="en-US" w:eastAsia="zh-CN"/>
        </w:rPr>
        <w:t xml:space="preserve">说明： </w:t>
      </w:r>
    </w:p>
    <w:p w14:paraId="4420D321">
      <w:pPr>
        <w:spacing w:line="360" w:lineRule="auto"/>
        <w:jc w:val="left"/>
        <w:rPr>
          <w:rFonts w:hint="eastAsia"/>
          <w:b/>
          <w:bCs/>
          <w:color w:val="auto"/>
          <w:highlight w:val="none"/>
          <w:lang w:val="en-US" w:eastAsia="zh-CN"/>
        </w:rPr>
      </w:pPr>
      <w:r>
        <w:rPr>
          <w:rFonts w:hint="eastAsia"/>
          <w:b/>
          <w:bCs/>
          <w:color w:val="auto"/>
          <w:highlight w:val="none"/>
          <w:lang w:val="en-US" w:eastAsia="zh-CN"/>
        </w:rPr>
        <w:t xml:space="preserve">项目专用合同条款是根据《公路工程标准施工监理招标文件》结合招标项目的具体特点和实际需要，对“通用合同条款”及“公路工程专用合同条款”进行补充和细化。 </w:t>
      </w:r>
    </w:p>
    <w:p w14:paraId="377D9077">
      <w:pPr>
        <w:spacing w:line="360" w:lineRule="auto"/>
        <w:jc w:val="left"/>
        <w:rPr>
          <w:b/>
          <w:bCs/>
          <w:color w:val="auto"/>
          <w:highlight w:val="none"/>
        </w:rPr>
      </w:pPr>
      <w:r>
        <w:rPr>
          <w:rFonts w:hint="eastAsia"/>
          <w:b/>
          <w:bCs/>
          <w:color w:val="auto"/>
          <w:highlight w:val="none"/>
          <w:lang w:val="en-US" w:eastAsia="zh-CN"/>
        </w:rPr>
        <w:t>2、项目专用合同条款的编号与通用合同条款和公路工程专用合同条款一致。</w:t>
      </w:r>
    </w:p>
    <w:bookmarkEnd w:id="153"/>
    <w:bookmarkEnd w:id="154"/>
    <w:bookmarkEnd w:id="155"/>
    <w:bookmarkEnd w:id="156"/>
    <w:p w14:paraId="026BAA79">
      <w:pPr>
        <w:pStyle w:val="29"/>
        <w:snapToGrid w:val="0"/>
        <w:spacing w:after="0" w:line="360" w:lineRule="auto"/>
        <w:ind w:left="0" w:leftChars="0"/>
        <w:jc w:val="center"/>
        <w:rPr>
          <w:rFonts w:eastAsia="黑体"/>
          <w:b/>
          <w:bCs/>
          <w:color w:val="auto"/>
          <w:szCs w:val="21"/>
          <w:highlight w:val="none"/>
        </w:rPr>
      </w:pPr>
      <w:bookmarkStart w:id="157" w:name="_Toc19760"/>
      <w:bookmarkStart w:id="158" w:name="_Toc496369622"/>
      <w:bookmarkStart w:id="159" w:name="_Toc496537751"/>
      <w:bookmarkStart w:id="160" w:name="_Toc496202771"/>
      <w:bookmarkStart w:id="161" w:name="_Toc494703659"/>
      <w:r>
        <w:rPr>
          <w:rFonts w:eastAsia="黑体"/>
          <w:b/>
          <w:bCs/>
          <w:color w:val="auto"/>
          <w:sz w:val="28"/>
          <w:szCs w:val="28"/>
          <w:highlight w:val="none"/>
        </w:rPr>
        <w:t>项目专用合同条款</w:t>
      </w:r>
    </w:p>
    <w:p w14:paraId="07FA51BF">
      <w:pPr>
        <w:keepNext w:val="0"/>
        <w:keepLines w:val="0"/>
        <w:widowControl/>
        <w:suppressLineNumbers w:val="0"/>
        <w:spacing w:line="360" w:lineRule="auto"/>
        <w:ind w:firstLine="0" w:firstLineChars="0"/>
        <w:jc w:val="left"/>
        <w:rPr>
          <w:rFonts w:hint="eastAsia" w:ascii="宋体" w:hAnsi="宋体" w:cs="宋体"/>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bidi="ar"/>
        </w:rPr>
        <w:t xml:space="preserve">1．一般约定 </w:t>
      </w:r>
    </w:p>
    <w:p w14:paraId="73FB7A25">
      <w:pPr>
        <w:keepNext w:val="0"/>
        <w:keepLines w:val="0"/>
        <w:widowControl/>
        <w:suppressLineNumbers w:val="0"/>
        <w:spacing w:line="360" w:lineRule="auto"/>
        <w:ind w:firstLine="482" w:firstLineChars="20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1.1 词语定义 </w:t>
      </w:r>
    </w:p>
    <w:p w14:paraId="5F09EB74">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增加 1.1.1.10 项 </w:t>
      </w:r>
    </w:p>
    <w:p w14:paraId="70F9BA74">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1.1.1.10 </w:t>
      </w:r>
      <w:r>
        <w:rPr>
          <w:rFonts w:hint="eastAsia" w:ascii="宋体" w:hAnsi="宋体" w:cs="宋体"/>
          <w:b/>
          <w:bCs/>
          <w:color w:val="auto"/>
          <w:kern w:val="0"/>
          <w:sz w:val="24"/>
          <w:szCs w:val="24"/>
          <w:highlight w:val="none"/>
          <w:lang w:val="en-US" w:eastAsia="zh-CN" w:bidi="ar"/>
        </w:rPr>
        <w:t>盱眙至明光高速公路安徽段项目</w:t>
      </w:r>
      <w:r>
        <w:rPr>
          <w:rFonts w:hint="eastAsia" w:ascii="宋体" w:hAnsi="宋体" w:eastAsia="宋体" w:cs="宋体"/>
          <w:color w:val="auto"/>
          <w:kern w:val="0"/>
          <w:sz w:val="24"/>
          <w:szCs w:val="24"/>
          <w:highlight w:val="none"/>
          <w:lang w:val="en-US" w:eastAsia="zh-CN" w:bidi="ar"/>
        </w:rPr>
        <w:t xml:space="preserve">建设管理办法：指委托人根据合同条款及国家政策为本合同工程实施专门制定的项目管理制度及办法，包含安全、质量、进度、环保、水保、文明、投资控制，标准化、精细化、人本化、信息化，宣传等方面内容，视为合同文件的组成部分。 </w:t>
      </w:r>
    </w:p>
    <w:p w14:paraId="2AB9E9E8">
      <w:pPr>
        <w:keepNext w:val="0"/>
        <w:keepLines w:val="0"/>
        <w:widowControl/>
        <w:suppressLineNumbers w:val="0"/>
        <w:spacing w:line="360" w:lineRule="auto"/>
        <w:ind w:firstLine="482" w:firstLineChars="20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1.1.2 合同当事人和人员 </w:t>
      </w:r>
    </w:p>
    <w:p w14:paraId="4FEDF109">
      <w:pPr>
        <w:keepNext w:val="0"/>
        <w:keepLines w:val="0"/>
        <w:widowControl/>
        <w:suppressLineNumbers w:val="0"/>
        <w:spacing w:line="360" w:lineRule="auto"/>
        <w:ind w:firstLine="480"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1.1.2.2 委托人：安徽滁扬高速公路有限公司 </w:t>
      </w:r>
    </w:p>
    <w:p w14:paraId="172C393E">
      <w:pPr>
        <w:keepNext w:val="0"/>
        <w:keepLines w:val="0"/>
        <w:widowControl/>
        <w:suppressLineNumbers w:val="0"/>
        <w:spacing w:line="360" w:lineRule="auto"/>
        <w:ind w:firstLine="482" w:firstLineChars="200"/>
        <w:jc w:val="left"/>
        <w:rPr>
          <w:color w:val="auto"/>
          <w:highlight w:val="none"/>
        </w:rPr>
      </w:pPr>
      <w:r>
        <w:rPr>
          <w:rFonts w:hint="eastAsia" w:ascii="宋体" w:hAnsi="宋体" w:eastAsia="宋体" w:cs="宋体"/>
          <w:b/>
          <w:bCs/>
          <w:color w:val="auto"/>
          <w:kern w:val="0"/>
          <w:sz w:val="24"/>
          <w:szCs w:val="24"/>
          <w:highlight w:val="none"/>
          <w:lang w:val="en-US" w:eastAsia="zh-CN" w:bidi="ar"/>
        </w:rPr>
        <w:t>1.1.3 工程和</w:t>
      </w:r>
      <w:r>
        <w:rPr>
          <w:rFonts w:hint="eastAsia" w:ascii="宋体" w:hAnsi="宋体" w:cs="宋体"/>
          <w:b/>
          <w:bCs/>
          <w:color w:val="auto"/>
          <w:kern w:val="0"/>
          <w:sz w:val="24"/>
          <w:szCs w:val="24"/>
          <w:highlight w:val="none"/>
          <w:lang w:val="en-US" w:eastAsia="zh-CN" w:bidi="ar"/>
        </w:rPr>
        <w:t>检测</w:t>
      </w:r>
      <w:r>
        <w:rPr>
          <w:rFonts w:hint="eastAsia" w:ascii="宋体" w:hAnsi="宋体" w:eastAsia="宋体" w:cs="宋体"/>
          <w:b/>
          <w:bCs/>
          <w:color w:val="auto"/>
          <w:kern w:val="0"/>
          <w:sz w:val="24"/>
          <w:szCs w:val="24"/>
          <w:highlight w:val="none"/>
          <w:lang w:val="en-US" w:eastAsia="zh-CN" w:bidi="ar"/>
        </w:rPr>
        <w:t xml:space="preserve"> </w:t>
      </w:r>
    </w:p>
    <w:p w14:paraId="3B347FB6">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1.1.3.1 本次进行施工检测招标的项目为</w:t>
      </w:r>
      <w:r>
        <w:rPr>
          <w:rFonts w:hint="eastAsia" w:ascii="宋体" w:hAnsi="宋体" w:cs="宋体"/>
          <w:b/>
          <w:bCs/>
          <w:color w:val="auto"/>
          <w:kern w:val="0"/>
          <w:sz w:val="24"/>
          <w:szCs w:val="24"/>
          <w:highlight w:val="none"/>
          <w:lang w:val="en-US" w:eastAsia="zh-CN" w:bidi="ar"/>
        </w:rPr>
        <w:t>盱眙至明光高速公路安徽段项目</w:t>
      </w:r>
      <w:r>
        <w:rPr>
          <w:rFonts w:hint="eastAsia" w:ascii="宋体" w:hAnsi="宋体" w:eastAsia="宋体" w:cs="宋体"/>
          <w:color w:val="auto"/>
          <w:kern w:val="0"/>
          <w:sz w:val="24"/>
          <w:szCs w:val="24"/>
          <w:highlight w:val="none"/>
          <w:lang w:val="en-US" w:eastAsia="zh-CN" w:bidi="ar"/>
        </w:rPr>
        <w:t xml:space="preserve">。 </w:t>
      </w:r>
    </w:p>
    <w:p w14:paraId="332AB448">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工程地点：                  </w:t>
      </w:r>
    </w:p>
    <w:p w14:paraId="2F0191F0">
      <w:pPr>
        <w:keepNext w:val="0"/>
        <w:keepLines w:val="0"/>
        <w:widowControl/>
        <w:suppressLineNumbers w:val="0"/>
        <w:spacing w:line="360" w:lineRule="auto"/>
        <w:ind w:firstLine="480" w:firstLineChars="200"/>
        <w:jc w:val="left"/>
        <w:rPr>
          <w:color w:val="auto"/>
          <w:highlight w:val="none"/>
        </w:rPr>
      </w:pPr>
      <w:r>
        <w:rPr>
          <w:rFonts w:hint="eastAsia" w:ascii="宋体" w:hAnsi="宋体" w:eastAsia="宋体" w:cs="宋体"/>
          <w:color w:val="auto"/>
          <w:kern w:val="0"/>
          <w:sz w:val="24"/>
          <w:szCs w:val="24"/>
          <w:highlight w:val="none"/>
          <w:lang w:val="en-US" w:eastAsia="zh-CN" w:bidi="ar"/>
        </w:rPr>
        <w:t xml:space="preserve">起讫桩号：                  </w:t>
      </w:r>
      <w:r>
        <w:rPr>
          <w:rFonts w:hint="default" w:ascii="Calibri" w:hAnsi="Calibri" w:eastAsia="宋体" w:cs="Calibri"/>
          <w:color w:val="auto"/>
          <w:kern w:val="0"/>
          <w:sz w:val="24"/>
          <w:szCs w:val="24"/>
          <w:highlight w:val="none"/>
          <w:lang w:val="en-US" w:eastAsia="zh-CN" w:bidi="ar"/>
        </w:rPr>
        <w:t xml:space="preserve"> </w:t>
      </w:r>
    </w:p>
    <w:p w14:paraId="6F31D205">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合同标划分：见投标人须知附件； </w:t>
      </w:r>
    </w:p>
    <w:p w14:paraId="15E29A77">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工程概况：见投标人须知附件。 </w:t>
      </w:r>
    </w:p>
    <w:p w14:paraId="7F4ED5D0">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1.1.3.2 检测服务：检测人根据合同所承担的工作，包括正常的服务、附加的服务和额外的服务，亦称试验检测服务。 </w:t>
      </w:r>
    </w:p>
    <w:p w14:paraId="19C66B0C">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a．正常试验检测服务</w:t>
      </w:r>
      <w:r>
        <w:rPr>
          <w:rFonts w:hint="eastAsia" w:ascii="宋体" w:hAnsi="宋体" w:eastAsia="宋体" w:cs="宋体"/>
          <w:color w:val="auto"/>
          <w:kern w:val="0"/>
          <w:sz w:val="24"/>
          <w:szCs w:val="24"/>
          <w:highlight w:val="none"/>
          <w:lang w:val="en-US" w:eastAsia="zh-CN" w:bidi="ar"/>
        </w:rPr>
        <w:t xml:space="preserve"> 是指在合同约定的工程范围和工作范围内，检测人为达到合同约定的试验检测服务目标而应履行的工作。 </w:t>
      </w:r>
    </w:p>
    <w:p w14:paraId="75D772E5">
      <w:pPr>
        <w:widowControl/>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b．附加试验检测服务</w:t>
      </w:r>
      <w:r>
        <w:rPr>
          <w:rFonts w:hint="eastAsia" w:ascii="宋体" w:hAnsi="宋体" w:eastAsia="宋体" w:cs="宋体"/>
          <w:color w:val="auto"/>
          <w:kern w:val="0"/>
          <w:sz w:val="24"/>
          <w:szCs w:val="24"/>
          <w:highlight w:val="none"/>
          <w:lang w:val="en-US" w:eastAsia="zh-CN" w:bidi="ar"/>
        </w:rPr>
        <w:t xml:space="preserve"> 是指以下原因而增加的服务：①委托正常服务范围以外，通过双方书面协议另外增加的工作内容；②因非检测人原因使试验检测工作受阻或延误，从而引起工作量或持续工作时间变化而增加的工作。</w:t>
      </w:r>
    </w:p>
    <w:p w14:paraId="4A159A98">
      <w:pPr>
        <w:widowControl/>
        <w:spacing w:line="360" w:lineRule="auto"/>
        <w:jc w:val="left"/>
        <w:rPr>
          <w:color w:val="auto"/>
          <w:highlight w:val="none"/>
        </w:rPr>
      </w:pPr>
      <w:r>
        <w:rPr>
          <w:rFonts w:hint="eastAsia" w:ascii="宋体" w:hAnsi="宋体" w:eastAsia="宋体" w:cs="宋体"/>
          <w:b/>
          <w:bCs/>
          <w:color w:val="auto"/>
          <w:kern w:val="0"/>
          <w:sz w:val="24"/>
          <w:szCs w:val="24"/>
          <w:highlight w:val="none"/>
          <w:lang w:val="en-US" w:eastAsia="zh-CN" w:bidi="ar"/>
        </w:rPr>
        <w:t>c．额外试验检测服务</w:t>
      </w:r>
      <w:r>
        <w:rPr>
          <w:rFonts w:hint="eastAsia" w:ascii="宋体" w:hAnsi="宋体" w:eastAsia="宋体" w:cs="宋体"/>
          <w:color w:val="auto"/>
          <w:kern w:val="0"/>
          <w:sz w:val="24"/>
          <w:szCs w:val="24"/>
          <w:highlight w:val="none"/>
          <w:lang w:val="en-US" w:eastAsia="zh-CN" w:bidi="ar"/>
        </w:rPr>
        <w:t xml:space="preserve"> 是指正常的试验检测服务和附加的试验检测服务以外，或非检测人自己的原因而暂停试验检测服务或终止试验检测服务后，恢复试验检测服务的工作或善后工作。</w:t>
      </w:r>
    </w:p>
    <w:p w14:paraId="4D5F1675">
      <w:pPr>
        <w:keepNext w:val="0"/>
        <w:keepLines w:val="0"/>
        <w:widowControl/>
        <w:suppressLineNumbers w:val="0"/>
        <w:spacing w:line="360" w:lineRule="auto"/>
        <w:ind w:firstLine="482" w:firstLineChars="200"/>
        <w:jc w:val="left"/>
        <w:rPr>
          <w:color w:val="auto"/>
          <w:highlight w:val="none"/>
        </w:rPr>
      </w:pPr>
      <w:r>
        <w:rPr>
          <w:rFonts w:hint="eastAsia" w:ascii="宋体" w:hAnsi="宋体" w:eastAsia="宋体" w:cs="宋体"/>
          <w:b/>
          <w:bCs/>
          <w:color w:val="auto"/>
          <w:kern w:val="0"/>
          <w:sz w:val="24"/>
          <w:szCs w:val="24"/>
          <w:highlight w:val="none"/>
          <w:lang w:val="en-US" w:eastAsia="zh-CN" w:bidi="ar"/>
        </w:rPr>
        <w:t xml:space="preserve">增加 </w:t>
      </w:r>
      <w:r>
        <w:rPr>
          <w:rFonts w:hint="eastAsia" w:ascii="宋体" w:hAnsi="宋体" w:cs="宋体"/>
          <w:b/>
          <w:bCs/>
          <w:color w:val="auto"/>
          <w:kern w:val="0"/>
          <w:sz w:val="24"/>
          <w:szCs w:val="24"/>
          <w:highlight w:val="none"/>
          <w:lang w:val="en-US" w:eastAsia="zh-CN" w:bidi="ar"/>
        </w:rPr>
        <w:t>1.1.6.2</w:t>
      </w:r>
      <w:r>
        <w:rPr>
          <w:rFonts w:hint="eastAsia" w:ascii="宋体" w:hAnsi="宋体" w:eastAsia="宋体" w:cs="宋体"/>
          <w:b/>
          <w:bCs/>
          <w:color w:val="auto"/>
          <w:kern w:val="0"/>
          <w:sz w:val="24"/>
          <w:szCs w:val="24"/>
          <w:highlight w:val="none"/>
          <w:lang w:val="en-US" w:eastAsia="zh-CN" w:bidi="ar"/>
        </w:rPr>
        <w:t xml:space="preserve">品质工程 </w:t>
      </w:r>
    </w:p>
    <w:p w14:paraId="1BA1F93D">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品质工程是指在工程建设活动中，建设理念体现以人为本、本质安全、全寿命周期管理、价值工程等理念；管理举措体现精益建造导向，突出责任落实和诚信塑造，深化人本化、专业化、标准化、信息化和精细化；技术进步展现科技创新与突破，先进技术理论和方法得以推广运用，包括先进适用的新技术、新工艺、新材料、新装备和新标准的探索与完善；质量管理以保障工程耐久性为基础，体现建设与运营维护相协调、工程与自然人文相和谐，工程实体质量、功能质量、外观质量和服务质量均衡发展；安全管理以追求工程本质安全和风险可控为目标，促进工程结构安全、施工安全和使用安全协调发展；工程建设坚持可持续发展，体现在生态环保、资源节约和节能减排等方面取得明显成效。</w:t>
      </w:r>
    </w:p>
    <w:p w14:paraId="1C406F71">
      <w:pPr>
        <w:keepNext w:val="0"/>
        <w:keepLines w:val="0"/>
        <w:widowControl/>
        <w:suppressLineNumbers w:val="0"/>
        <w:spacing w:line="360" w:lineRule="auto"/>
        <w:ind w:firstLine="0" w:firstLineChars="0"/>
        <w:jc w:val="both"/>
        <w:rPr>
          <w:rFonts w:hint="eastAsia" w:ascii="宋体" w:hAnsi="宋体" w:cs="宋体"/>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bidi="ar"/>
        </w:rPr>
        <w:t xml:space="preserve">3．委托人管理 </w:t>
      </w:r>
    </w:p>
    <w:p w14:paraId="55E95F08">
      <w:pPr>
        <w:keepNext w:val="0"/>
        <w:keepLines w:val="0"/>
        <w:widowControl/>
        <w:suppressLineNumbers w:val="0"/>
        <w:spacing w:line="360" w:lineRule="auto"/>
        <w:ind w:firstLine="482" w:firstLineChars="200"/>
        <w:jc w:val="both"/>
        <w:rPr>
          <w:rFonts w:hint="eastAsia" w:ascii="宋体" w:hAnsi="宋体" w:cs="宋体"/>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bidi="ar"/>
        </w:rPr>
        <w:t xml:space="preserve">3.1 委托人代表 </w:t>
      </w:r>
    </w:p>
    <w:p w14:paraId="641FD5FB">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新增 3.1.4 项： </w:t>
      </w:r>
    </w:p>
    <w:p w14:paraId="30ABCC03">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3.1.4  委托人将依据交通运输部《公路水运工程试验检测信用评价办法》（交安监发[2018]78 号）对检测人的工作和信用进行评价并上报行业主管部门。 </w:t>
      </w:r>
    </w:p>
    <w:p w14:paraId="003CE73E">
      <w:pPr>
        <w:keepNext w:val="0"/>
        <w:keepLines w:val="0"/>
        <w:widowControl/>
        <w:suppressLineNumbers w:val="0"/>
        <w:spacing w:line="360" w:lineRule="auto"/>
        <w:ind w:firstLine="0" w:firstLineChars="0"/>
        <w:jc w:val="both"/>
        <w:rPr>
          <w:rFonts w:hint="eastAsia" w:ascii="宋体" w:hAnsi="宋体" w:cs="宋体"/>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bidi="ar"/>
        </w:rPr>
        <w:t xml:space="preserve">4.检测人义务 </w:t>
      </w:r>
    </w:p>
    <w:p w14:paraId="61AD93A0">
      <w:pPr>
        <w:keepNext w:val="0"/>
        <w:keepLines w:val="0"/>
        <w:widowControl/>
        <w:suppressLineNumbers w:val="0"/>
        <w:spacing w:line="360" w:lineRule="auto"/>
        <w:ind w:firstLine="482" w:firstLineChars="200"/>
        <w:jc w:val="left"/>
        <w:rPr>
          <w:rFonts w:hint="eastAsia" w:ascii="宋体" w:hAnsi="宋体" w:cs="宋体"/>
          <w:b/>
          <w:bCs/>
          <w:color w:val="auto"/>
          <w:kern w:val="0"/>
          <w:sz w:val="24"/>
          <w:highlight w:val="none"/>
          <w:lang w:bidi="ar"/>
        </w:rPr>
      </w:pPr>
      <w:r>
        <w:rPr>
          <w:rFonts w:hint="eastAsia" w:ascii="宋体" w:hAnsi="宋体" w:eastAsia="宋体" w:cs="宋体"/>
          <w:b/>
          <w:bCs/>
          <w:color w:val="auto"/>
          <w:kern w:val="0"/>
          <w:sz w:val="24"/>
          <w:szCs w:val="24"/>
          <w:highlight w:val="none"/>
          <w:lang w:val="en-US" w:eastAsia="zh-CN" w:bidi="ar"/>
        </w:rPr>
        <w:t xml:space="preserve">4.5 检测人员 </w:t>
      </w:r>
    </w:p>
    <w:p w14:paraId="03D3D7FE">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新增 4.5.5、4.5.6 项： </w:t>
      </w:r>
    </w:p>
    <w:p w14:paraId="5796D81E">
      <w:pPr>
        <w:keepNext w:val="0"/>
        <w:keepLines w:val="0"/>
        <w:widowControl/>
        <w:suppressLineNumbers w:val="0"/>
        <w:spacing w:line="360" w:lineRule="auto"/>
        <w:ind w:firstLine="480" w:firstLineChars="200"/>
        <w:jc w:val="left"/>
        <w:rPr>
          <w:rFonts w:hint="eastAsia" w:ascii="宋体" w:hAnsi="宋体" w:eastAsia="宋体" w:cs="宋体"/>
          <w:b w:val="0"/>
          <w:bCs w:val="0"/>
          <w:color w:val="auto"/>
          <w:kern w:val="0"/>
          <w:sz w:val="24"/>
          <w:szCs w:val="24"/>
          <w:highlight w:val="none"/>
          <w:lang w:val="en-US" w:eastAsia="zh-CN" w:bidi="ar"/>
        </w:rPr>
      </w:pPr>
      <w:r>
        <w:rPr>
          <w:rFonts w:hint="eastAsia" w:ascii="宋体" w:hAnsi="宋体" w:eastAsia="宋体" w:cs="宋体"/>
          <w:b w:val="0"/>
          <w:bCs w:val="0"/>
          <w:color w:val="auto"/>
          <w:kern w:val="0"/>
          <w:sz w:val="24"/>
          <w:szCs w:val="24"/>
          <w:highlight w:val="none"/>
          <w:lang w:val="en-US" w:eastAsia="zh-CN" w:bidi="ar"/>
        </w:rPr>
        <w:t xml:space="preserve">4.5.5 检测人在施工工作期内，在合同约定的检测人员基础上，应根据委托人的要求派驻满足需要数量的检测人员，进行检测相关工作。 </w:t>
      </w:r>
    </w:p>
    <w:p w14:paraId="7759ABE3">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b w:val="0"/>
          <w:bCs w:val="0"/>
          <w:color w:val="auto"/>
          <w:kern w:val="0"/>
          <w:sz w:val="24"/>
          <w:szCs w:val="24"/>
          <w:highlight w:val="none"/>
          <w:lang w:val="en-US" w:eastAsia="zh-CN" w:bidi="ar"/>
        </w:rPr>
        <w:t>4.5.6 检测人在缺陷责任期内应根据委托人工程需要和要求留有相关人员。这些人员应及时处理相关事宜，在中心试验室主任的组织下完成缺陷责任期内检测服务应完成的工作。缺陷责任期内如委托人需要任何检测人员前来配合相关工作时，检测人应及时派出相关人员前来履行义务，否则视为违约，按合同条款 11.1 款的规定处理</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 xml:space="preserve"> </w:t>
      </w:r>
    </w:p>
    <w:p w14:paraId="2A4D7A86">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新增 4.10 款： </w:t>
      </w:r>
    </w:p>
    <w:p w14:paraId="0A8CA3D5">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4.10 设施和物品 </w:t>
      </w:r>
    </w:p>
    <w:p w14:paraId="5269FE4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4.10.1 检测人应自备履行检测服务所需的一切设施、设备及物品，并承担相应的使用费和维修费。此项工作应视为已包括在检测人正常的服务范围之内，检测人应将其相关费用计入检测服务费用报价之中，委托人将不另行支付。 </w:t>
      </w:r>
    </w:p>
    <w:p w14:paraId="4FD6EE4C">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4.10.2 检测人应为本工程配备可与委托人现有的信息管理系统兼容的电脑设备、移动终端等设备，对施工现场的重要部位、关键工序、巡查发现的问题等进行录像、拍照，采集的信息及时上传并与委托人共享，以配合委托人对本工程的管理实现电子信息化的需要，相关费用计入检测服务费用报价之中，委托人将不另行支付。 </w:t>
      </w:r>
    </w:p>
    <w:p w14:paraId="6E1E74DF">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4.10.3 检测人须配备人脸识别考勤机，接受委托人、安徽省交通工程质量</w:t>
      </w:r>
      <w:r>
        <w:rPr>
          <w:rFonts w:hint="eastAsia" w:ascii="宋体" w:hAnsi="宋体" w:cs="宋体"/>
          <w:color w:val="auto"/>
          <w:kern w:val="0"/>
          <w:sz w:val="24"/>
          <w:szCs w:val="24"/>
          <w:highlight w:val="none"/>
          <w:lang w:val="en-US" w:eastAsia="zh-CN" w:bidi="ar"/>
        </w:rPr>
        <w:t>安全管理服务中心</w:t>
      </w:r>
      <w:r>
        <w:rPr>
          <w:rFonts w:hint="eastAsia" w:ascii="宋体" w:hAnsi="宋体" w:eastAsia="宋体" w:cs="宋体"/>
          <w:color w:val="auto"/>
          <w:kern w:val="0"/>
          <w:sz w:val="24"/>
          <w:szCs w:val="24"/>
          <w:highlight w:val="none"/>
          <w:lang w:val="en-US" w:eastAsia="zh-CN" w:bidi="ar"/>
        </w:rPr>
        <w:t>网络考勤管理，设备费用应含在投标报价中，委托人不再另行支付。</w:t>
      </w:r>
    </w:p>
    <w:p w14:paraId="497FD2C6">
      <w:pPr>
        <w:keepNext w:val="0"/>
        <w:keepLines w:val="0"/>
        <w:widowControl/>
        <w:suppressLineNumbers w:val="0"/>
        <w:spacing w:line="360" w:lineRule="auto"/>
        <w:ind w:firstLine="0" w:firstLineChars="0"/>
        <w:jc w:val="both"/>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val="en-US" w:eastAsia="zh-CN" w:bidi="ar"/>
        </w:rPr>
        <w:t>检测工作</w:t>
      </w:r>
      <w:r>
        <w:rPr>
          <w:rFonts w:hint="eastAsia" w:ascii="宋体" w:hAnsi="宋体" w:eastAsia="宋体" w:cs="宋体"/>
          <w:b/>
          <w:bCs/>
          <w:color w:val="auto"/>
          <w:kern w:val="0"/>
          <w:sz w:val="24"/>
          <w:szCs w:val="24"/>
          <w:highlight w:val="none"/>
          <w:lang w:val="en-US" w:eastAsia="zh-CN" w:bidi="ar"/>
        </w:rPr>
        <w:t xml:space="preserve">要求 </w:t>
      </w:r>
    </w:p>
    <w:p w14:paraId="311861D4">
      <w:pPr>
        <w:keepNext w:val="0"/>
        <w:keepLines w:val="0"/>
        <w:widowControl/>
        <w:suppressLineNumbers w:val="0"/>
        <w:spacing w:line="360" w:lineRule="auto"/>
        <w:ind w:firstLine="482"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 xml:space="preserve">5.1 </w:t>
      </w:r>
      <w:r>
        <w:rPr>
          <w:rFonts w:hint="eastAsia" w:ascii="宋体" w:hAnsi="宋体" w:cs="宋体"/>
          <w:b/>
          <w:bCs/>
          <w:color w:val="auto"/>
          <w:kern w:val="0"/>
          <w:sz w:val="24"/>
          <w:szCs w:val="24"/>
          <w:highlight w:val="none"/>
          <w:lang w:val="en-US" w:eastAsia="zh-CN" w:bidi="ar"/>
        </w:rPr>
        <w:t>检测</w:t>
      </w:r>
      <w:r>
        <w:rPr>
          <w:rFonts w:hint="eastAsia" w:ascii="宋体" w:hAnsi="宋体" w:eastAsia="宋体" w:cs="宋体"/>
          <w:b/>
          <w:bCs/>
          <w:color w:val="auto"/>
          <w:kern w:val="0"/>
          <w:sz w:val="24"/>
          <w:szCs w:val="24"/>
          <w:highlight w:val="none"/>
          <w:lang w:val="en-US" w:eastAsia="zh-CN" w:bidi="ar"/>
        </w:rPr>
        <w:t>范围</w:t>
      </w:r>
      <w:r>
        <w:rPr>
          <w:rFonts w:hint="eastAsia" w:ascii="宋体" w:hAnsi="宋体" w:eastAsia="宋体" w:cs="宋体"/>
          <w:color w:val="auto"/>
          <w:kern w:val="0"/>
          <w:sz w:val="24"/>
          <w:szCs w:val="24"/>
          <w:highlight w:val="none"/>
          <w:lang w:val="en-US" w:eastAsia="zh-CN" w:bidi="ar"/>
        </w:rPr>
        <w:t xml:space="preserve"> </w:t>
      </w:r>
    </w:p>
    <w:p w14:paraId="2CF409D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5.1.2 检测服务的工程范围细化为： </w:t>
      </w:r>
    </w:p>
    <w:p w14:paraId="3509AF9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5.1.2.1 试验检测服务的工程范围：标段范围内路基、路面、</w:t>
      </w:r>
      <w:r>
        <w:rPr>
          <w:rFonts w:hint="eastAsia" w:ascii="宋体" w:hAnsi="宋体" w:cs="宋体"/>
          <w:color w:val="auto"/>
          <w:kern w:val="0"/>
          <w:sz w:val="24"/>
          <w:szCs w:val="24"/>
          <w:highlight w:val="none"/>
          <w:lang w:val="en-US" w:eastAsia="zh-CN" w:bidi="ar"/>
        </w:rPr>
        <w:t>隧道、</w:t>
      </w:r>
      <w:r>
        <w:rPr>
          <w:rFonts w:hint="eastAsia" w:ascii="宋体" w:hAnsi="宋体" w:eastAsia="宋体" w:cs="宋体"/>
          <w:color w:val="auto"/>
          <w:kern w:val="0"/>
          <w:sz w:val="24"/>
          <w:szCs w:val="24"/>
          <w:highlight w:val="none"/>
          <w:lang w:val="en-US" w:eastAsia="zh-CN" w:bidi="ar"/>
        </w:rPr>
        <w:t>桥涵（含支座外观及安装质量逐个检查）、预制构件、房建、交通安全设施、机电及通信管道、材料</w:t>
      </w:r>
      <w:r>
        <w:rPr>
          <w:rFonts w:hint="eastAsia" w:ascii="宋体" w:hAnsi="宋体" w:cs="宋体"/>
          <w:color w:val="auto"/>
          <w:kern w:val="0"/>
          <w:sz w:val="24"/>
          <w:szCs w:val="24"/>
          <w:highlight w:val="none"/>
          <w:lang w:val="en-US" w:eastAsia="zh-CN" w:bidi="ar"/>
        </w:rPr>
        <w:t>、代建工程相关质量检测或评定</w:t>
      </w:r>
      <w:r>
        <w:rPr>
          <w:rFonts w:hint="eastAsia" w:ascii="宋体" w:hAnsi="宋体" w:eastAsia="宋体" w:cs="宋体"/>
          <w:color w:val="auto"/>
          <w:kern w:val="0"/>
          <w:sz w:val="24"/>
          <w:szCs w:val="24"/>
          <w:highlight w:val="none"/>
          <w:lang w:val="en-US" w:eastAsia="zh-CN" w:bidi="ar"/>
        </w:rPr>
        <w:t>等工程试验检测，软基处理、台背回填、桥梁桩基</w:t>
      </w:r>
      <w:r>
        <w:rPr>
          <w:rFonts w:hint="eastAsia" w:ascii="宋体" w:hAnsi="宋体" w:cs="宋体"/>
          <w:color w:val="auto"/>
          <w:kern w:val="0"/>
          <w:sz w:val="24"/>
          <w:szCs w:val="24"/>
          <w:highlight w:val="none"/>
          <w:lang w:val="en-US" w:eastAsia="zh-CN" w:bidi="ar"/>
        </w:rPr>
        <w:t>（含桩基完整性、强度检测）</w:t>
      </w:r>
      <w:r>
        <w:rPr>
          <w:rFonts w:hint="eastAsia" w:ascii="宋体" w:hAnsi="宋体" w:eastAsia="宋体" w:cs="宋体"/>
          <w:color w:val="auto"/>
          <w:kern w:val="0"/>
          <w:sz w:val="24"/>
          <w:szCs w:val="24"/>
          <w:highlight w:val="none"/>
          <w:lang w:val="en-US" w:eastAsia="zh-CN" w:bidi="ar"/>
        </w:rPr>
        <w:t xml:space="preserve">、桥梁结构锚下有效预应力等专项检测，及配合交（竣）工验收检测等有关工作。 </w:t>
      </w:r>
    </w:p>
    <w:p w14:paraId="0E5D404C">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5.1.3 检测服务的阶段范围细化为：工程建设程序中的施工准备阶段、施工阶段、缺陷责任期阶段。 </w:t>
      </w:r>
    </w:p>
    <w:p w14:paraId="736202F6">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5.1.4 检测服务的阶段工作范围细化为：试验检测工作中质量控制、进度控制、投资控制、合同管理、信息管理、组织协调、创建品质工程等工作。 </w:t>
      </w:r>
    </w:p>
    <w:p w14:paraId="43B68DE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5.3 检测服务的内容 </w:t>
      </w:r>
    </w:p>
    <w:p w14:paraId="1A11B4D4">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增加 5.3.4 项 </w:t>
      </w:r>
    </w:p>
    <w:p w14:paraId="037B0E86">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5.3.4 本项目设置</w:t>
      </w:r>
      <w:r>
        <w:rPr>
          <w:rFonts w:hint="eastAsia" w:ascii="宋体" w:hAnsi="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 xml:space="preserve">个中心试验室开展试验检测工作。检测服务的内容： </w:t>
      </w:r>
    </w:p>
    <w:p w14:paraId="79FC6224">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（1）一般试验检测工作 </w:t>
      </w:r>
    </w:p>
    <w:p w14:paraId="54C61E94">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a.编制试验检测规划、试验检测实施细则； </w:t>
      </w:r>
    </w:p>
    <w:p w14:paraId="0ABBE49F">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b.参加定期召开的常规工地会议（例会）； </w:t>
      </w:r>
    </w:p>
    <w:p w14:paraId="5394C47D">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c.熟悉合同文件，了解施工现场； </w:t>
      </w:r>
    </w:p>
    <w:p w14:paraId="72EBD3D8">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d.建立试验、检测工作体系；按照规范对施工阶段检测中质量检测规定的频率及委托人要求开展试验检测的试验、检测工作； </w:t>
      </w:r>
    </w:p>
    <w:p w14:paraId="7A80EF02">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e.编制试验检测工作月报、季报和年报； </w:t>
      </w:r>
    </w:p>
    <w:p w14:paraId="357D65B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f.全面配合交、竣工文件的编制工作。 </w:t>
      </w:r>
    </w:p>
    <w:p w14:paraId="10A6F86B">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（2）工程质量试验检测管理 </w:t>
      </w:r>
    </w:p>
    <w:p w14:paraId="18F245F3">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a.在开工前和施工过程中，检查用于工程的材料、设备，对于不符合合同要求的设计，提出拒绝使用资料，</w:t>
      </w:r>
      <w:r>
        <w:rPr>
          <w:rFonts w:hint="eastAsia" w:ascii="宋体" w:hAnsi="宋体" w:cs="宋体"/>
          <w:color w:val="auto"/>
          <w:kern w:val="0"/>
          <w:sz w:val="24"/>
          <w:szCs w:val="24"/>
          <w:highlight w:val="none"/>
          <w:lang w:val="en-US" w:eastAsia="zh-CN" w:bidi="ar"/>
        </w:rPr>
        <w:t>检测</w:t>
      </w:r>
      <w:r>
        <w:rPr>
          <w:rFonts w:hint="eastAsia" w:ascii="宋体" w:hAnsi="宋体" w:eastAsia="宋体" w:cs="宋体"/>
          <w:color w:val="auto"/>
          <w:kern w:val="0"/>
          <w:sz w:val="24"/>
          <w:szCs w:val="24"/>
          <w:highlight w:val="none"/>
          <w:lang w:val="en-US" w:eastAsia="zh-CN" w:bidi="ar"/>
        </w:rPr>
        <w:t xml:space="preserve">外购成品件或半成品件的质量； </w:t>
      </w:r>
    </w:p>
    <w:p w14:paraId="677EEBC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b.对承包人的试验检测工作质量进行全面检验；利用自备试验、测试仪器设备，对工程质量进行跟踪检验，凭数据对工程质量提出明确评价结论； </w:t>
      </w:r>
    </w:p>
    <w:p w14:paraId="564E4F1A">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c.参与重要工序验收； </w:t>
      </w:r>
    </w:p>
    <w:p w14:paraId="4CCAAFEB">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d.检测报告应及时提交委托人、监理人； </w:t>
      </w:r>
    </w:p>
    <w:p w14:paraId="3BEE0BD5">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e.每月向委托人、监理人提供质量检测报表，配合监理人完成监理工程师月报。 </w:t>
      </w:r>
    </w:p>
    <w:p w14:paraId="2D8E8E7F">
      <w:pPr>
        <w:keepNext w:val="0"/>
        <w:keepLines w:val="0"/>
        <w:widowControl/>
        <w:suppressLineNumbers w:val="0"/>
        <w:spacing w:line="360" w:lineRule="auto"/>
        <w:ind w:firstLine="482" w:firstLineChars="200"/>
        <w:jc w:val="left"/>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增加 5.3.5 项中心试验室的职责</w:t>
      </w:r>
    </w:p>
    <w:p w14:paraId="69C87EE5">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（1）中心试验室承担标段内路基、路面等工程标准试验、混凝土配合比，水稳、沥青混合料配合比等验证试验，试验结果交总监办审核批复； </w:t>
      </w:r>
    </w:p>
    <w:p w14:paraId="4F84025C">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（2）中心试验室还应承担委托人认为有必要的专项试验检测，工程量为暂定量，以委托人实际委托为准； </w:t>
      </w:r>
    </w:p>
    <w:p w14:paraId="3B8C329D">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（3）承担委托人委托的与项目相关的其他试验检测工作； </w:t>
      </w:r>
    </w:p>
    <w:p w14:paraId="28A326C2">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每月向委托人和总监办提供真实、科学、有效的试验检测报告，中心试验室对委托人负责。试验检测资料按项目管理规定与本项目委托人、监理人共享。履行委托人组织的专项质量检查，配合总监办进行质量检查。国家及部委、省市有关部门、委托人</w:t>
      </w:r>
      <w:r>
        <w:rPr>
          <w:rFonts w:hint="eastAsia" w:ascii="宋体" w:hAnsi="宋体" w:cs="宋体"/>
          <w:color w:val="auto"/>
          <w:kern w:val="0"/>
          <w:sz w:val="24"/>
          <w:szCs w:val="24"/>
          <w:highlight w:val="none"/>
          <w:lang w:val="en-US" w:eastAsia="zh-CN" w:bidi="ar"/>
        </w:rPr>
        <w:t>及</w:t>
      </w:r>
      <w:r>
        <w:rPr>
          <w:rFonts w:hint="eastAsia" w:ascii="宋体" w:hAnsi="宋体" w:eastAsia="宋体" w:cs="宋体"/>
          <w:color w:val="auto"/>
          <w:kern w:val="0"/>
          <w:sz w:val="24"/>
          <w:szCs w:val="24"/>
          <w:highlight w:val="none"/>
          <w:lang w:val="en-US" w:eastAsia="zh-CN" w:bidi="ar"/>
        </w:rPr>
        <w:t>总监办如有另行下发的检测要求及新的检测验收办法</w:t>
      </w:r>
      <w:r>
        <w:rPr>
          <w:rFonts w:hint="eastAsia" w:ascii="宋体" w:hAnsi="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按新办法及要求执行。</w:t>
      </w:r>
    </w:p>
    <w:p w14:paraId="0B3BC798">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5.5 检测服务形式 </w:t>
      </w:r>
    </w:p>
    <w:p w14:paraId="5A79C6B1">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检测服务机构设置：设置 1 个中心试验室，若检测人设置工地实验室，需配置的工地试验室用房、试验仪器以及生活设备配置等相关费用包含在报价中。 </w:t>
      </w:r>
    </w:p>
    <w:p w14:paraId="0D4686D0">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5.6 检测服务目标 </w:t>
      </w:r>
    </w:p>
    <w:p w14:paraId="289DD9FC">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5.6.2 对承包人履约管理的服务目标：督促承包人试验室全面履行施工承包合同，确保人员、设备配置齐全、试验及时、操作规范。 </w:t>
      </w:r>
    </w:p>
    <w:p w14:paraId="7C382AF6">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增加 5.6.3 项 </w:t>
      </w:r>
    </w:p>
    <w:p w14:paraId="2D5B5322">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5.6.3 检测服务目标：客观、准确、及时按规定频率和委托人要求完成本工程各项试验检测工作。 </w:t>
      </w:r>
    </w:p>
    <w:p w14:paraId="65DFD33F">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5.7 委托人对检测人的授权 </w:t>
      </w:r>
    </w:p>
    <w:p w14:paraId="179211EE">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5.7.1 检测人根据检测合同进行检测服务时，在委托人授权权限范围内开展工作。 </w:t>
      </w:r>
    </w:p>
    <w:p w14:paraId="65F77B7E">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新增 5.8、5.9、5.10 款： </w:t>
      </w:r>
    </w:p>
    <w:p w14:paraId="282D5FF2">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5.8 检测人驻地建设 </w:t>
      </w:r>
    </w:p>
    <w:p w14:paraId="4B589338">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5.8.1 委托人要求检测人在本项目所在地建立中心试验室，其办公选址应考虑交通便利，方便现场取样和试验工作，方便与委托人、监理人工作联系，现场试验检测室人员、试验仪器设备、交通工具、办公设施等应满足合同规定及试验工作需要。 </w:t>
      </w:r>
    </w:p>
    <w:p w14:paraId="7C70DC5F">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b w:val="0"/>
          <w:bCs w:val="0"/>
          <w:color w:val="auto"/>
          <w:kern w:val="0"/>
          <w:sz w:val="24"/>
          <w:szCs w:val="24"/>
          <w:highlight w:val="none"/>
          <w:lang w:val="en-US" w:eastAsia="zh-CN" w:bidi="ar"/>
        </w:rPr>
        <w:t>中心试验室须在总监理工程师下达开工令前向</w:t>
      </w:r>
      <w:r>
        <w:rPr>
          <w:rFonts w:hint="eastAsia" w:ascii="宋体" w:hAnsi="宋体" w:eastAsia="宋体" w:cs="宋体"/>
          <w:color w:val="auto"/>
          <w:kern w:val="0"/>
          <w:sz w:val="24"/>
          <w:szCs w:val="24"/>
          <w:highlight w:val="none"/>
          <w:lang w:val="en-US" w:eastAsia="zh-CN" w:bidi="ar"/>
        </w:rPr>
        <w:t>安徽省交通工程质量</w:t>
      </w:r>
      <w:r>
        <w:rPr>
          <w:rFonts w:hint="eastAsia" w:ascii="宋体" w:hAnsi="宋体" w:cs="宋体"/>
          <w:color w:val="auto"/>
          <w:kern w:val="0"/>
          <w:sz w:val="24"/>
          <w:szCs w:val="24"/>
          <w:highlight w:val="none"/>
          <w:lang w:val="en-US" w:eastAsia="zh-CN" w:bidi="ar"/>
        </w:rPr>
        <w:t>安全管理服务中心</w:t>
      </w:r>
      <w:r>
        <w:rPr>
          <w:rFonts w:hint="eastAsia" w:ascii="宋体" w:hAnsi="宋体" w:eastAsia="宋体" w:cs="宋体"/>
          <w:b w:val="0"/>
          <w:bCs w:val="0"/>
          <w:color w:val="auto"/>
          <w:kern w:val="0"/>
          <w:sz w:val="24"/>
          <w:szCs w:val="24"/>
          <w:highlight w:val="none"/>
          <w:lang w:val="en-US" w:eastAsia="zh-CN" w:bidi="ar"/>
        </w:rPr>
        <w:t xml:space="preserve">备案，取得项目委托人颁发的《工地试验室使用合格证书》。 </w:t>
      </w:r>
    </w:p>
    <w:p w14:paraId="3A6110C0">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b w:val="0"/>
          <w:bCs w:val="0"/>
          <w:color w:val="auto"/>
          <w:kern w:val="0"/>
          <w:sz w:val="24"/>
          <w:szCs w:val="24"/>
          <w:highlight w:val="none"/>
          <w:lang w:val="en-US" w:eastAsia="zh-CN" w:bidi="ar"/>
        </w:rPr>
        <w:t>中心试验室驻地建设标准不低于 “安徽省交通建设工程质量监督局《关于印发安徽省公路水运工程工地试验室建设与管理暂行规定的通知》（皖交质监局[2012]6 号）”、《安徽省高速公路工地标准化建设指南》、交通运输部《公路工程工地试验室标准化指南》以及标准更新的必须按新标准执行</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 xml:space="preserve">当标准不一致时除合同规定外按高标准执行。 </w:t>
      </w:r>
    </w:p>
    <w:p w14:paraId="1DE6B83D">
      <w:pPr>
        <w:keepNext w:val="0"/>
        <w:keepLines w:val="0"/>
        <w:widowControl/>
        <w:suppressLineNumbers w:val="0"/>
        <w:spacing w:line="360" w:lineRule="auto"/>
        <w:ind w:firstLine="480" w:firstLineChars="200"/>
        <w:jc w:val="left"/>
        <w:rPr>
          <w:rFonts w:hint="eastAsia" w:ascii="宋体" w:hAnsi="宋体" w:cs="宋体"/>
          <w:color w:val="auto"/>
          <w:kern w:val="0"/>
          <w:sz w:val="24"/>
          <w:highlight w:val="none"/>
          <w:lang w:bidi="ar"/>
        </w:rPr>
      </w:pPr>
      <w:r>
        <w:rPr>
          <w:rFonts w:hint="eastAsia" w:ascii="宋体" w:hAnsi="宋体" w:eastAsia="宋体" w:cs="宋体"/>
          <w:color w:val="auto"/>
          <w:kern w:val="0"/>
          <w:sz w:val="24"/>
          <w:szCs w:val="24"/>
          <w:highlight w:val="none"/>
          <w:lang w:val="en-US" w:eastAsia="zh-CN" w:bidi="ar"/>
        </w:rPr>
        <w:t xml:space="preserve">本项目检测人驻地实行标准化建设。标准化建设包含主要内容为：检测人宣传栏建设标准、办公生活设施配置标准、办公及生活用房面积标准、办公设施配置标准等四个方面。 </w:t>
      </w:r>
    </w:p>
    <w:p w14:paraId="6A0D9EE3">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检测人进场前应将驻地建设方案报委托人审批后方可实施，驻地建设方案应包含如下内容：（1）所处具体地理位置、周围环境、进出道路、房屋结构类型、占地面积、建筑面积、房屋内部外部现状等；（2）办公、宿舍、食堂等平面布置图；（3）办公、宿舍、食堂装饰效果图；（4）委托人提出的驻地建设的其他要求。 </w:t>
      </w:r>
    </w:p>
    <w:p w14:paraId="359E1803">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检测人应在室外或室内合适位置设置宣传栏，宣传栏设置至少应包含以下内容：（1）所辖合同段工程简介；（2）组织结构图；（3）检测人员守则；（4）检测工作剪影；（5）检测工作经验交流；（6）质量检测数据动态图等。其中（1）（2）（3）每年更新一次；（4）每季度或涉及其他重要活动时更新；（5）（6）每周更新一次。 </w:t>
      </w:r>
    </w:p>
    <w:p w14:paraId="20DEC69E">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5.8.2 由检测人提供的设备 </w:t>
      </w:r>
    </w:p>
    <w:p w14:paraId="63BC71FB">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检测人应为现场试验检测人员正常开展试验检测工作而提供交通车辆、办公设备、试验检测设备、生活设备、通讯设备。产权归检测人所有，其折旧、使用、维修费用包含在试验检测服务费报价中。检测人的交通车辆、试验检测设备不得低于表 a-e 的设备数量、型号规格、新旧程度配置。如果达不到规定配备或拖延、任意更换，将按试验检测服务费报价清单中相应单价课以双倍违约金。 </w:t>
      </w:r>
    </w:p>
    <w:p w14:paraId="20162E24">
      <w:pPr>
        <w:keepNext w:val="0"/>
        <w:keepLines w:val="0"/>
        <w:widowControl/>
        <w:suppressLineNumbers w:val="0"/>
        <w:spacing w:line="360" w:lineRule="auto"/>
        <w:ind w:firstLine="480" w:firstLineChars="20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日常办公消耗品、生活消耗品、试验室消耗品及附属物品由检测人自备，为试验、检测而产生的食宿、交通等一切费用全部包含在试验检测服务费中。 </w:t>
      </w:r>
    </w:p>
    <w:p w14:paraId="00D66BAC">
      <w:pPr>
        <w:spacing w:before="182" w:line="220" w:lineRule="auto"/>
        <w:ind w:left="648"/>
        <w:outlineLvl w:val="0"/>
        <w:rPr>
          <w:rFonts w:ascii="宋体" w:hAnsi="宋体" w:eastAsia="宋体" w:cs="宋体"/>
          <w:color w:val="auto"/>
          <w:sz w:val="24"/>
          <w:szCs w:val="24"/>
          <w:highlight w:val="none"/>
        </w:rPr>
      </w:pPr>
      <w:bookmarkStart w:id="162" w:name="_Toc16659"/>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a.</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生活设施配置标准</w:t>
      </w:r>
      <w:bookmarkEnd w:id="162"/>
    </w:p>
    <w:p w14:paraId="3E4CA479">
      <w:pPr>
        <w:spacing w:before="181" w:line="220" w:lineRule="auto"/>
        <w:ind w:left="651"/>
        <w:rPr>
          <w:rFonts w:ascii="宋体" w:hAnsi="宋体" w:eastAsia="宋体" w:cs="宋体"/>
          <w:color w:val="auto"/>
          <w:sz w:val="24"/>
          <w:szCs w:val="24"/>
          <w:highlight w:val="none"/>
        </w:rPr>
      </w:pPr>
      <w:r>
        <w:rPr>
          <w:rFonts w:ascii="宋体" w:hAnsi="宋体" w:eastAsia="宋体" w:cs="宋体"/>
          <w:color w:val="auto"/>
          <w:spacing w:val="28"/>
          <w:sz w:val="24"/>
          <w:szCs w:val="24"/>
          <w:highlight w:val="none"/>
        </w:rPr>
        <w:t>(</w:t>
      </w:r>
      <w:r>
        <w:rPr>
          <w:rFonts w:ascii="宋体" w:hAnsi="宋体" w:eastAsia="宋体" w:cs="宋体"/>
          <w:color w:val="auto"/>
          <w:spacing w:val="23"/>
          <w:sz w:val="24"/>
          <w:szCs w:val="24"/>
          <w:highlight w:val="none"/>
        </w:rPr>
        <w:t>1)宿舍配置标准</w:t>
      </w:r>
    </w:p>
    <w:p w14:paraId="579F067E">
      <w:pPr>
        <w:spacing w:line="146" w:lineRule="exact"/>
        <w:rPr>
          <w:color w:val="auto"/>
          <w:highlight w:val="none"/>
        </w:rPr>
      </w:pPr>
    </w:p>
    <w:tbl>
      <w:tblPr>
        <w:tblStyle w:val="650"/>
        <w:tblW w:w="9468"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2"/>
        <w:gridCol w:w="3369"/>
        <w:gridCol w:w="2686"/>
        <w:gridCol w:w="721"/>
      </w:tblGrid>
      <w:tr w14:paraId="51DE5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692" w:type="dxa"/>
            <w:tcBorders>
              <w:left w:val="single" w:color="000000" w:sz="10" w:space="0"/>
              <w:right w:val="single" w:color="000000" w:sz="4" w:space="0"/>
            </w:tcBorders>
            <w:vAlign w:val="top"/>
          </w:tcPr>
          <w:p w14:paraId="55EDEED8">
            <w:pPr>
              <w:autoSpaceDE w:val="0"/>
              <w:autoSpaceDN w:val="0"/>
              <w:spacing w:before="187" w:line="221" w:lineRule="auto"/>
              <w:ind w:left="0"/>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人员</w:t>
            </w:r>
          </w:p>
        </w:tc>
        <w:tc>
          <w:tcPr>
            <w:tcW w:w="3369" w:type="dxa"/>
            <w:tcBorders>
              <w:left w:val="single" w:color="000000" w:sz="4" w:space="0"/>
              <w:right w:val="single" w:color="000000" w:sz="4" w:space="0"/>
            </w:tcBorders>
            <w:vAlign w:val="top"/>
          </w:tcPr>
          <w:p w14:paraId="61C5A805">
            <w:pPr>
              <w:autoSpaceDE w:val="0"/>
              <w:autoSpaceDN w:val="0"/>
              <w:spacing w:before="187" w:line="221" w:lineRule="auto"/>
              <w:ind w:left="101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设</w:t>
            </w:r>
            <w:r>
              <w:rPr>
                <w:rFonts w:ascii="宋体" w:hAnsi="宋体" w:eastAsia="宋体" w:cs="宋体"/>
                <w:color w:val="auto"/>
                <w:spacing w:val="-2"/>
                <w:sz w:val="24"/>
                <w:szCs w:val="24"/>
                <w:highlight w:val="none"/>
              </w:rPr>
              <w:t>施配置</w:t>
            </w:r>
          </w:p>
        </w:tc>
        <w:tc>
          <w:tcPr>
            <w:tcW w:w="2686" w:type="dxa"/>
            <w:tcBorders>
              <w:left w:val="single" w:color="000000" w:sz="4" w:space="0"/>
              <w:right w:val="single" w:color="000000" w:sz="4" w:space="0"/>
            </w:tcBorders>
            <w:vAlign w:val="top"/>
          </w:tcPr>
          <w:p w14:paraId="0C703496">
            <w:pPr>
              <w:autoSpaceDE w:val="0"/>
              <w:autoSpaceDN w:val="0"/>
              <w:spacing w:before="186" w:line="220" w:lineRule="auto"/>
              <w:ind w:left="87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装修标准</w:t>
            </w:r>
          </w:p>
        </w:tc>
        <w:tc>
          <w:tcPr>
            <w:tcW w:w="721" w:type="dxa"/>
            <w:tcBorders>
              <w:left w:val="single" w:color="000000" w:sz="4" w:space="0"/>
              <w:right w:val="single" w:color="000000" w:sz="10" w:space="0"/>
            </w:tcBorders>
            <w:vAlign w:val="top"/>
          </w:tcPr>
          <w:p w14:paraId="1BA923F3">
            <w:pPr>
              <w:autoSpaceDE w:val="0"/>
              <w:autoSpaceDN w:val="0"/>
              <w:spacing w:before="187" w:line="221" w:lineRule="auto"/>
              <w:ind w:left="13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w:t>
            </w:r>
            <w:r>
              <w:rPr>
                <w:rFonts w:ascii="宋体" w:hAnsi="宋体" w:eastAsia="宋体" w:cs="宋体"/>
                <w:color w:val="auto"/>
                <w:spacing w:val="-3"/>
                <w:sz w:val="24"/>
                <w:szCs w:val="24"/>
                <w:highlight w:val="none"/>
              </w:rPr>
              <w:t>注</w:t>
            </w:r>
          </w:p>
        </w:tc>
      </w:tr>
      <w:tr w14:paraId="1FE8D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2692" w:type="dxa"/>
            <w:tcBorders>
              <w:left w:val="single" w:color="000000" w:sz="10" w:space="0"/>
              <w:right w:val="single" w:color="000000" w:sz="4" w:space="0"/>
            </w:tcBorders>
            <w:vAlign w:val="center"/>
          </w:tcPr>
          <w:p w14:paraId="2D6C1AE8">
            <w:pPr>
              <w:autoSpaceDE w:val="0"/>
              <w:autoSpaceDN w:val="0"/>
              <w:spacing w:before="36" w:line="229" w:lineRule="auto"/>
              <w:ind w:left="0" w:right="478" w:firstLine="472" w:firstLineChars="200"/>
              <w:jc w:val="both"/>
              <w:rPr>
                <w:rFonts w:ascii="宋体" w:hAnsi="宋体" w:eastAsia="宋体" w:cs="宋体"/>
                <w:color w:val="auto"/>
                <w:sz w:val="24"/>
                <w:szCs w:val="24"/>
                <w:highlight w:val="none"/>
              </w:rPr>
            </w:pPr>
            <w:r>
              <w:rPr>
                <w:rFonts w:hint="default" w:ascii="宋体" w:hAnsi="宋体" w:eastAsia="宋体" w:cs="宋体"/>
                <w:color w:val="auto"/>
                <w:spacing w:val="-2"/>
                <w:sz w:val="24"/>
                <w:szCs w:val="24"/>
                <w:highlight w:val="none"/>
                <w:lang w:val="en-US" w:eastAsia="zh-CN"/>
              </w:rPr>
              <w:t>中心试验室主任</w:t>
            </w:r>
          </w:p>
        </w:tc>
        <w:tc>
          <w:tcPr>
            <w:tcW w:w="3369" w:type="dxa"/>
            <w:tcBorders>
              <w:left w:val="single" w:color="000000" w:sz="4" w:space="0"/>
              <w:right w:val="single" w:color="000000" w:sz="4" w:space="0"/>
            </w:tcBorders>
            <w:vAlign w:val="top"/>
          </w:tcPr>
          <w:p w14:paraId="72559203">
            <w:pPr>
              <w:autoSpaceDE w:val="0"/>
              <w:autoSpaceDN w:val="0"/>
              <w:spacing w:before="36" w:line="229" w:lineRule="auto"/>
              <w:ind w:left="109" w:right="16"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热</w:t>
            </w:r>
            <w:r>
              <w:rPr>
                <w:rFonts w:ascii="宋体" w:hAnsi="宋体" w:eastAsia="宋体" w:cs="宋体"/>
                <w:color w:val="auto"/>
                <w:spacing w:val="-4"/>
                <w:sz w:val="24"/>
                <w:szCs w:val="24"/>
                <w:highlight w:val="none"/>
              </w:rPr>
              <w:t>水器、空调、床、衣柜、</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挂</w:t>
            </w:r>
            <w:r>
              <w:rPr>
                <w:rFonts w:ascii="宋体" w:hAnsi="宋体" w:eastAsia="宋体" w:cs="宋体"/>
                <w:color w:val="auto"/>
                <w:spacing w:val="-2"/>
                <w:sz w:val="24"/>
                <w:szCs w:val="24"/>
                <w:highlight w:val="none"/>
              </w:rPr>
              <w:t>衣架</w:t>
            </w:r>
          </w:p>
        </w:tc>
        <w:tc>
          <w:tcPr>
            <w:tcW w:w="2686" w:type="dxa"/>
            <w:tcBorders>
              <w:left w:val="single" w:color="000000" w:sz="4" w:space="0"/>
              <w:right w:val="single" w:color="000000" w:sz="4" w:space="0"/>
            </w:tcBorders>
            <w:vAlign w:val="top"/>
          </w:tcPr>
          <w:p w14:paraId="6AE8687B">
            <w:pPr>
              <w:autoSpaceDE w:val="0"/>
              <w:autoSpaceDN w:val="0"/>
              <w:spacing w:before="36" w:line="229" w:lineRule="auto"/>
              <w:ind w:left="117" w:right="94" w:hanging="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地</w:t>
            </w:r>
            <w:r>
              <w:rPr>
                <w:rFonts w:ascii="宋体" w:hAnsi="宋体" w:eastAsia="宋体" w:cs="宋体"/>
                <w:color w:val="auto"/>
                <w:spacing w:val="6"/>
                <w:sz w:val="24"/>
                <w:szCs w:val="24"/>
                <w:highlight w:val="none"/>
              </w:rPr>
              <w:t>砖、</w:t>
            </w:r>
            <w:r>
              <w:rPr>
                <w:rFonts w:hint="eastAsia" w:ascii="宋体" w:hAnsi="宋体" w:cs="宋体"/>
                <w:color w:val="auto"/>
                <w:spacing w:val="6"/>
                <w:sz w:val="24"/>
                <w:szCs w:val="24"/>
                <w:highlight w:val="none"/>
                <w:lang w:val="en-US" w:eastAsia="zh-CN"/>
              </w:rPr>
              <w:t>吊顶、</w:t>
            </w:r>
            <w:r>
              <w:rPr>
                <w:rFonts w:ascii="宋体" w:hAnsi="宋体" w:eastAsia="宋体" w:cs="宋体"/>
                <w:color w:val="auto"/>
                <w:spacing w:val="6"/>
                <w:sz w:val="24"/>
                <w:szCs w:val="24"/>
                <w:highlight w:val="none"/>
              </w:rPr>
              <w:t>墙面刷白，配卫</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生间</w:t>
            </w:r>
          </w:p>
        </w:tc>
        <w:tc>
          <w:tcPr>
            <w:tcW w:w="721" w:type="dxa"/>
            <w:vMerge w:val="restart"/>
            <w:tcBorders>
              <w:left w:val="single" w:color="000000" w:sz="4" w:space="0"/>
              <w:bottom w:val="nil"/>
              <w:right w:val="single" w:color="000000" w:sz="10" w:space="0"/>
            </w:tcBorders>
            <w:vAlign w:val="top"/>
          </w:tcPr>
          <w:p w14:paraId="0CAC9560">
            <w:pPr>
              <w:autoSpaceDE w:val="0"/>
              <w:autoSpaceDN w:val="0"/>
              <w:rPr>
                <w:rFonts w:ascii="Arial"/>
                <w:color w:val="auto"/>
                <w:sz w:val="21"/>
                <w:highlight w:val="none"/>
              </w:rPr>
            </w:pPr>
          </w:p>
        </w:tc>
      </w:tr>
      <w:tr w14:paraId="3EB9B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692" w:type="dxa"/>
            <w:tcBorders>
              <w:left w:val="single" w:color="000000" w:sz="10" w:space="0"/>
              <w:right w:val="single" w:color="000000" w:sz="4" w:space="0"/>
            </w:tcBorders>
            <w:vAlign w:val="top"/>
          </w:tcPr>
          <w:p w14:paraId="4825FC38">
            <w:pPr>
              <w:autoSpaceDE w:val="0"/>
              <w:autoSpaceDN w:val="0"/>
              <w:spacing w:before="166" w:line="220" w:lineRule="auto"/>
              <w:ind w:left="0"/>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其他</w:t>
            </w:r>
            <w:r>
              <w:rPr>
                <w:rFonts w:hint="eastAsia" w:ascii="宋体" w:hAnsi="宋体" w:cs="宋体"/>
                <w:color w:val="auto"/>
                <w:spacing w:val="-2"/>
                <w:sz w:val="24"/>
                <w:szCs w:val="24"/>
                <w:highlight w:val="none"/>
                <w:lang w:val="en-US" w:eastAsia="zh-CN"/>
              </w:rPr>
              <w:t>检测</w:t>
            </w:r>
            <w:r>
              <w:rPr>
                <w:rFonts w:ascii="宋体" w:hAnsi="宋体" w:eastAsia="宋体" w:cs="宋体"/>
                <w:color w:val="auto"/>
                <w:spacing w:val="-1"/>
                <w:sz w:val="24"/>
                <w:szCs w:val="24"/>
                <w:highlight w:val="none"/>
              </w:rPr>
              <w:t>人员</w:t>
            </w:r>
          </w:p>
        </w:tc>
        <w:tc>
          <w:tcPr>
            <w:tcW w:w="3369" w:type="dxa"/>
            <w:tcBorders>
              <w:left w:val="single" w:color="000000" w:sz="4" w:space="0"/>
              <w:right w:val="single" w:color="000000" w:sz="4" w:space="0"/>
            </w:tcBorders>
            <w:vAlign w:val="top"/>
          </w:tcPr>
          <w:p w14:paraId="0B7AD354">
            <w:pPr>
              <w:autoSpaceDE w:val="0"/>
              <w:autoSpaceDN w:val="0"/>
              <w:spacing w:before="166" w:line="219" w:lineRule="auto"/>
              <w:ind w:left="1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空调、床、简</w:t>
            </w:r>
            <w:r>
              <w:rPr>
                <w:rFonts w:ascii="宋体" w:hAnsi="宋体" w:eastAsia="宋体" w:cs="宋体"/>
                <w:color w:val="auto"/>
                <w:spacing w:val="-1"/>
                <w:sz w:val="24"/>
                <w:szCs w:val="24"/>
                <w:highlight w:val="none"/>
              </w:rPr>
              <w:t>易衣柜</w:t>
            </w:r>
          </w:p>
        </w:tc>
        <w:tc>
          <w:tcPr>
            <w:tcW w:w="2686" w:type="dxa"/>
            <w:tcBorders>
              <w:left w:val="single" w:color="000000" w:sz="4" w:space="0"/>
              <w:right w:val="single" w:color="000000" w:sz="4" w:space="0"/>
            </w:tcBorders>
            <w:vAlign w:val="top"/>
          </w:tcPr>
          <w:p w14:paraId="3C9AF939">
            <w:pPr>
              <w:autoSpaceDE w:val="0"/>
              <w:autoSpaceDN w:val="0"/>
              <w:spacing w:before="166" w:line="220" w:lineRule="auto"/>
              <w:ind w:left="11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地砖</w:t>
            </w:r>
            <w:r>
              <w:rPr>
                <w:rFonts w:ascii="宋体" w:hAnsi="宋体" w:eastAsia="宋体" w:cs="宋体"/>
                <w:color w:val="auto"/>
                <w:spacing w:val="-1"/>
                <w:sz w:val="24"/>
                <w:szCs w:val="24"/>
                <w:highlight w:val="none"/>
              </w:rPr>
              <w:t>、</w:t>
            </w:r>
            <w:r>
              <w:rPr>
                <w:rFonts w:hint="eastAsia" w:ascii="宋体" w:hAnsi="宋体" w:cs="宋体"/>
                <w:color w:val="auto"/>
                <w:spacing w:val="-1"/>
                <w:sz w:val="24"/>
                <w:szCs w:val="24"/>
                <w:highlight w:val="none"/>
                <w:lang w:val="en-US" w:eastAsia="zh-CN"/>
              </w:rPr>
              <w:t>吊顶、</w:t>
            </w:r>
            <w:r>
              <w:rPr>
                <w:rFonts w:ascii="宋体" w:hAnsi="宋体" w:eastAsia="宋体" w:cs="宋体"/>
                <w:color w:val="auto"/>
                <w:spacing w:val="-1"/>
                <w:sz w:val="24"/>
                <w:szCs w:val="24"/>
                <w:highlight w:val="none"/>
              </w:rPr>
              <w:t>墙面刷白</w:t>
            </w:r>
          </w:p>
        </w:tc>
        <w:tc>
          <w:tcPr>
            <w:tcW w:w="721" w:type="dxa"/>
            <w:vMerge w:val="continue"/>
            <w:tcBorders>
              <w:top w:val="nil"/>
              <w:left w:val="single" w:color="000000" w:sz="4" w:space="0"/>
              <w:right w:val="single" w:color="000000" w:sz="10" w:space="0"/>
            </w:tcBorders>
            <w:vAlign w:val="top"/>
          </w:tcPr>
          <w:p w14:paraId="015C3B69">
            <w:pPr>
              <w:autoSpaceDE w:val="0"/>
              <w:autoSpaceDN w:val="0"/>
              <w:rPr>
                <w:rFonts w:ascii="Arial"/>
                <w:color w:val="auto"/>
                <w:sz w:val="21"/>
                <w:highlight w:val="none"/>
              </w:rPr>
            </w:pPr>
          </w:p>
        </w:tc>
      </w:tr>
    </w:tbl>
    <w:p w14:paraId="0022DF68">
      <w:pPr>
        <w:spacing w:line="418" w:lineRule="auto"/>
        <w:rPr>
          <w:rFonts w:ascii="Arial"/>
          <w:color w:val="auto"/>
          <w:sz w:val="21"/>
          <w:highlight w:val="none"/>
        </w:rPr>
      </w:pPr>
    </w:p>
    <w:p w14:paraId="7D84D94B">
      <w:pPr>
        <w:spacing w:before="78" w:line="220" w:lineRule="auto"/>
        <w:ind w:left="64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b</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
          <w:sz w:val="24"/>
          <w:szCs w:val="24"/>
          <w:highlight w:val="none"/>
        </w:rPr>
        <w:t xml:space="preserve"> </w:t>
      </w:r>
      <w:r>
        <w:rPr>
          <w:rFonts w:hint="eastAsia" w:ascii="宋体" w:hAnsi="宋体" w:cs="宋体"/>
          <w:color w:val="auto"/>
          <w:spacing w:val="1"/>
          <w:sz w:val="24"/>
          <w:szCs w:val="24"/>
          <w:highlight w:val="none"/>
          <w:lang w:val="en-US" w:eastAsia="zh-CN"/>
          <w14:textOutline w14:w="4354" w14:cap="flat" w14:cmpd="sng">
            <w14:solidFill>
              <w14:srgbClr w14:val="000000"/>
            </w14:solidFill>
            <w14:prstDash w14:val="solid"/>
            <w14:miter w14:val="0"/>
          </w14:textOutline>
        </w:rPr>
        <w:t>检测人员</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办公设施配置标准</w:t>
      </w:r>
    </w:p>
    <w:p w14:paraId="0937514B">
      <w:pPr>
        <w:spacing w:before="181" w:line="220" w:lineRule="auto"/>
        <w:ind w:left="651"/>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(1)</w:t>
      </w:r>
      <w:r>
        <w:rPr>
          <w:rFonts w:hint="eastAsia" w:ascii="宋体" w:hAnsi="宋体" w:cs="宋体"/>
          <w:color w:val="auto"/>
          <w:spacing w:val="15"/>
          <w:sz w:val="24"/>
          <w:szCs w:val="24"/>
          <w:highlight w:val="none"/>
          <w:lang w:val="en-US" w:eastAsia="zh-CN"/>
        </w:rPr>
        <w:t>检测</w:t>
      </w:r>
      <w:r>
        <w:rPr>
          <w:rFonts w:ascii="宋体" w:hAnsi="宋体" w:eastAsia="宋体" w:cs="宋体"/>
          <w:color w:val="auto"/>
          <w:spacing w:val="15"/>
          <w:sz w:val="24"/>
          <w:szCs w:val="24"/>
          <w:highlight w:val="none"/>
        </w:rPr>
        <w:t>人员办公设施配置标</w:t>
      </w:r>
      <w:r>
        <w:rPr>
          <w:rFonts w:ascii="宋体" w:hAnsi="宋体" w:eastAsia="宋体" w:cs="宋体"/>
          <w:color w:val="auto"/>
          <w:spacing w:val="14"/>
          <w:sz w:val="24"/>
          <w:szCs w:val="24"/>
          <w:highlight w:val="none"/>
        </w:rPr>
        <w:t>准</w:t>
      </w:r>
    </w:p>
    <w:p w14:paraId="4DD6E69E">
      <w:pPr>
        <w:spacing w:line="147" w:lineRule="exact"/>
        <w:rPr>
          <w:color w:val="auto"/>
          <w:highlight w:val="none"/>
        </w:rPr>
      </w:pPr>
    </w:p>
    <w:tbl>
      <w:tblPr>
        <w:tblStyle w:val="650"/>
        <w:tblW w:w="948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3130"/>
        <w:gridCol w:w="1661"/>
        <w:gridCol w:w="2658"/>
      </w:tblGrid>
      <w:tr w14:paraId="0675B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39" w:type="dxa"/>
            <w:tcBorders>
              <w:left w:val="single" w:color="000000" w:sz="10" w:space="0"/>
              <w:right w:val="single" w:color="000000" w:sz="4" w:space="0"/>
            </w:tcBorders>
            <w:vAlign w:val="top"/>
          </w:tcPr>
          <w:p w14:paraId="742F8BCB">
            <w:pPr>
              <w:autoSpaceDE w:val="0"/>
              <w:autoSpaceDN w:val="0"/>
              <w:jc w:val="center"/>
              <w:rPr>
                <w:color w:val="auto"/>
                <w:sz w:val="22"/>
                <w:szCs w:val="22"/>
                <w:highlight w:val="none"/>
              </w:rPr>
            </w:pPr>
          </w:p>
          <w:p w14:paraId="4C761FB2">
            <w:pPr>
              <w:autoSpaceDE w:val="0"/>
              <w:autoSpaceDN w:val="0"/>
              <w:jc w:val="center"/>
              <w:rPr>
                <w:color w:val="auto"/>
                <w:sz w:val="22"/>
                <w:szCs w:val="22"/>
                <w:highlight w:val="none"/>
              </w:rPr>
            </w:pPr>
            <w:r>
              <w:rPr>
                <w:color w:val="auto"/>
                <w:sz w:val="22"/>
                <w:szCs w:val="22"/>
                <w:highlight w:val="none"/>
              </w:rPr>
              <w:t>人员</w:t>
            </w:r>
          </w:p>
        </w:tc>
        <w:tc>
          <w:tcPr>
            <w:tcW w:w="3130" w:type="dxa"/>
            <w:tcBorders>
              <w:left w:val="single" w:color="000000" w:sz="4" w:space="0"/>
              <w:right w:val="single" w:color="000000" w:sz="4" w:space="0"/>
            </w:tcBorders>
            <w:vAlign w:val="top"/>
          </w:tcPr>
          <w:p w14:paraId="5A4C33A7">
            <w:pPr>
              <w:autoSpaceDE w:val="0"/>
              <w:autoSpaceDN w:val="0"/>
              <w:jc w:val="center"/>
              <w:rPr>
                <w:color w:val="auto"/>
                <w:sz w:val="22"/>
                <w:szCs w:val="22"/>
                <w:highlight w:val="none"/>
              </w:rPr>
            </w:pPr>
          </w:p>
          <w:p w14:paraId="18E9DF56">
            <w:pPr>
              <w:autoSpaceDE w:val="0"/>
              <w:autoSpaceDN w:val="0"/>
              <w:jc w:val="center"/>
              <w:rPr>
                <w:color w:val="auto"/>
                <w:sz w:val="22"/>
                <w:szCs w:val="22"/>
                <w:highlight w:val="none"/>
              </w:rPr>
            </w:pPr>
            <w:r>
              <w:rPr>
                <w:color w:val="auto"/>
                <w:sz w:val="22"/>
                <w:szCs w:val="22"/>
                <w:highlight w:val="none"/>
              </w:rPr>
              <w:t>配置标准</w:t>
            </w:r>
          </w:p>
        </w:tc>
        <w:tc>
          <w:tcPr>
            <w:tcW w:w="1661" w:type="dxa"/>
            <w:tcBorders>
              <w:left w:val="single" w:color="000000" w:sz="4" w:space="0"/>
              <w:right w:val="single" w:color="000000" w:sz="4" w:space="0"/>
            </w:tcBorders>
            <w:vAlign w:val="top"/>
          </w:tcPr>
          <w:p w14:paraId="7EED2FF4">
            <w:pPr>
              <w:autoSpaceDE w:val="0"/>
              <w:autoSpaceDN w:val="0"/>
              <w:jc w:val="center"/>
              <w:rPr>
                <w:color w:val="auto"/>
                <w:sz w:val="22"/>
                <w:szCs w:val="22"/>
                <w:highlight w:val="none"/>
              </w:rPr>
            </w:pPr>
          </w:p>
          <w:p w14:paraId="427E2FEC">
            <w:pPr>
              <w:autoSpaceDE w:val="0"/>
              <w:autoSpaceDN w:val="0"/>
              <w:jc w:val="center"/>
              <w:rPr>
                <w:color w:val="auto"/>
                <w:sz w:val="22"/>
                <w:szCs w:val="22"/>
                <w:highlight w:val="none"/>
              </w:rPr>
            </w:pPr>
            <w:r>
              <w:rPr>
                <w:color w:val="auto"/>
                <w:sz w:val="22"/>
                <w:szCs w:val="22"/>
                <w:highlight w:val="none"/>
              </w:rPr>
              <w:t>装修标准</w:t>
            </w:r>
          </w:p>
        </w:tc>
        <w:tc>
          <w:tcPr>
            <w:tcW w:w="2658" w:type="dxa"/>
            <w:tcBorders>
              <w:left w:val="single" w:color="000000" w:sz="4" w:space="0"/>
              <w:right w:val="single" w:color="000000" w:sz="10" w:space="0"/>
            </w:tcBorders>
            <w:vAlign w:val="top"/>
          </w:tcPr>
          <w:p w14:paraId="3C80160C">
            <w:pPr>
              <w:autoSpaceDE w:val="0"/>
              <w:autoSpaceDN w:val="0"/>
              <w:jc w:val="center"/>
              <w:rPr>
                <w:color w:val="auto"/>
                <w:sz w:val="22"/>
                <w:szCs w:val="22"/>
                <w:highlight w:val="none"/>
              </w:rPr>
            </w:pPr>
          </w:p>
          <w:p w14:paraId="113B94F5">
            <w:pPr>
              <w:autoSpaceDE w:val="0"/>
              <w:autoSpaceDN w:val="0"/>
              <w:jc w:val="center"/>
              <w:rPr>
                <w:color w:val="auto"/>
                <w:sz w:val="22"/>
                <w:szCs w:val="22"/>
                <w:highlight w:val="none"/>
              </w:rPr>
            </w:pPr>
            <w:r>
              <w:rPr>
                <w:color w:val="auto"/>
                <w:sz w:val="22"/>
                <w:szCs w:val="22"/>
                <w:highlight w:val="none"/>
              </w:rPr>
              <w:t>图表上墙标准</w:t>
            </w:r>
          </w:p>
        </w:tc>
      </w:tr>
      <w:tr w14:paraId="75942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039" w:type="dxa"/>
            <w:tcBorders>
              <w:left w:val="single" w:color="000000" w:sz="10" w:space="0"/>
              <w:right w:val="single" w:color="000000" w:sz="4" w:space="0"/>
            </w:tcBorders>
            <w:vAlign w:val="center"/>
          </w:tcPr>
          <w:p w14:paraId="7B7A0353">
            <w:pPr>
              <w:autoSpaceDE w:val="0"/>
              <w:autoSpaceDN w:val="0"/>
              <w:jc w:val="center"/>
              <w:rPr>
                <w:rFonts w:hint="default"/>
                <w:color w:val="auto"/>
                <w:sz w:val="22"/>
                <w:szCs w:val="22"/>
                <w:highlight w:val="none"/>
                <w:lang w:val="en-US" w:eastAsia="zh-CN"/>
              </w:rPr>
            </w:pPr>
            <w:r>
              <w:rPr>
                <w:rFonts w:hint="eastAsia"/>
                <w:color w:val="auto"/>
                <w:sz w:val="22"/>
                <w:szCs w:val="22"/>
                <w:highlight w:val="none"/>
                <w:lang w:val="en-US" w:eastAsia="zh-CN"/>
              </w:rPr>
              <w:t>中心试验室主任</w:t>
            </w:r>
          </w:p>
        </w:tc>
        <w:tc>
          <w:tcPr>
            <w:tcW w:w="3130" w:type="dxa"/>
            <w:tcBorders>
              <w:left w:val="single" w:color="000000" w:sz="4" w:space="0"/>
              <w:right w:val="single" w:color="000000" w:sz="4" w:space="0"/>
            </w:tcBorders>
            <w:vAlign w:val="center"/>
          </w:tcPr>
          <w:p w14:paraId="33846295">
            <w:pPr>
              <w:autoSpaceDE w:val="0"/>
              <w:autoSpaceDN w:val="0"/>
              <w:jc w:val="center"/>
              <w:rPr>
                <w:color w:val="auto"/>
                <w:sz w:val="22"/>
                <w:szCs w:val="22"/>
                <w:highlight w:val="none"/>
              </w:rPr>
            </w:pPr>
            <w:r>
              <w:rPr>
                <w:color w:val="auto"/>
                <w:sz w:val="22"/>
                <w:szCs w:val="22"/>
                <w:highlight w:val="none"/>
              </w:rPr>
              <w:t>电脑、电话、网络、办公桌、 沙发、茶几、文件柜</w:t>
            </w:r>
          </w:p>
        </w:tc>
        <w:tc>
          <w:tcPr>
            <w:tcW w:w="1661" w:type="dxa"/>
            <w:vMerge w:val="restart"/>
            <w:tcBorders>
              <w:left w:val="single" w:color="000000" w:sz="4" w:space="0"/>
              <w:bottom w:val="nil"/>
              <w:right w:val="single" w:color="000000" w:sz="4" w:space="0"/>
            </w:tcBorders>
            <w:vAlign w:val="center"/>
          </w:tcPr>
          <w:p w14:paraId="40A7E9EC">
            <w:pPr>
              <w:autoSpaceDE w:val="0"/>
              <w:autoSpaceDN w:val="0"/>
              <w:jc w:val="center"/>
              <w:rPr>
                <w:color w:val="auto"/>
                <w:sz w:val="22"/>
                <w:szCs w:val="22"/>
                <w:highlight w:val="none"/>
              </w:rPr>
            </w:pPr>
            <w:r>
              <w:rPr>
                <w:color w:val="auto"/>
                <w:sz w:val="22"/>
                <w:szCs w:val="22"/>
                <w:highlight w:val="none"/>
              </w:rPr>
              <w:t>地砖、吊顶、 墙面刷白</w:t>
            </w:r>
          </w:p>
        </w:tc>
        <w:tc>
          <w:tcPr>
            <w:tcW w:w="2658" w:type="dxa"/>
            <w:tcBorders>
              <w:left w:val="single" w:color="000000" w:sz="4" w:space="0"/>
              <w:right w:val="single" w:color="000000" w:sz="10" w:space="0"/>
            </w:tcBorders>
            <w:vAlign w:val="center"/>
          </w:tcPr>
          <w:p w14:paraId="39499CA5">
            <w:pPr>
              <w:autoSpaceDE w:val="0"/>
              <w:autoSpaceDN w:val="0"/>
              <w:jc w:val="center"/>
              <w:rPr>
                <w:color w:val="auto"/>
                <w:sz w:val="22"/>
                <w:szCs w:val="22"/>
                <w:highlight w:val="none"/>
              </w:rPr>
            </w:pPr>
            <w:r>
              <w:rPr>
                <w:rFonts w:hint="eastAsia"/>
                <w:color w:val="auto"/>
                <w:sz w:val="22"/>
                <w:szCs w:val="22"/>
                <w:highlight w:val="none"/>
                <w:lang w:val="en-US" w:eastAsia="zh-CN"/>
              </w:rPr>
              <w:t>主任</w:t>
            </w:r>
            <w:r>
              <w:rPr>
                <w:color w:val="auto"/>
                <w:sz w:val="22"/>
                <w:szCs w:val="22"/>
                <w:highlight w:val="none"/>
              </w:rPr>
              <w:t>职责、项目总平面布置图</w:t>
            </w:r>
          </w:p>
        </w:tc>
      </w:tr>
      <w:tr w14:paraId="0931B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2039" w:type="dxa"/>
            <w:tcBorders>
              <w:left w:val="single" w:color="000000" w:sz="10" w:space="0"/>
              <w:right w:val="single" w:color="000000" w:sz="4" w:space="0"/>
            </w:tcBorders>
            <w:vAlign w:val="center"/>
          </w:tcPr>
          <w:p w14:paraId="4CDBE5D4">
            <w:pPr>
              <w:autoSpaceDE w:val="0"/>
              <w:autoSpaceDN w:val="0"/>
              <w:jc w:val="center"/>
              <w:rPr>
                <w:rFonts w:hint="eastAsia"/>
                <w:color w:val="auto"/>
                <w:sz w:val="22"/>
                <w:szCs w:val="22"/>
                <w:highlight w:val="none"/>
                <w:lang w:eastAsia="zh-CN"/>
              </w:rPr>
            </w:pPr>
            <w:r>
              <w:rPr>
                <w:rFonts w:hint="eastAsia"/>
                <w:color w:val="auto"/>
                <w:sz w:val="22"/>
                <w:szCs w:val="22"/>
                <w:highlight w:val="none"/>
                <w:lang w:val="en-US" w:eastAsia="zh-CN"/>
              </w:rPr>
              <w:t>试验检工程师测</w:t>
            </w:r>
          </w:p>
        </w:tc>
        <w:tc>
          <w:tcPr>
            <w:tcW w:w="3130" w:type="dxa"/>
            <w:tcBorders>
              <w:left w:val="single" w:color="000000" w:sz="4" w:space="0"/>
              <w:right w:val="single" w:color="000000" w:sz="4" w:space="0"/>
            </w:tcBorders>
            <w:vAlign w:val="center"/>
          </w:tcPr>
          <w:p w14:paraId="64D92CE8">
            <w:pPr>
              <w:autoSpaceDE w:val="0"/>
              <w:autoSpaceDN w:val="0"/>
              <w:jc w:val="center"/>
              <w:rPr>
                <w:color w:val="auto"/>
                <w:sz w:val="22"/>
                <w:szCs w:val="22"/>
                <w:highlight w:val="none"/>
              </w:rPr>
            </w:pPr>
            <w:r>
              <w:rPr>
                <w:color w:val="auto"/>
                <w:sz w:val="22"/>
                <w:szCs w:val="22"/>
                <w:highlight w:val="none"/>
              </w:rPr>
              <w:t>电脑 1 台/人、办公桌椅 1 套/ 人、文件柜、网络</w:t>
            </w:r>
          </w:p>
        </w:tc>
        <w:tc>
          <w:tcPr>
            <w:tcW w:w="1661" w:type="dxa"/>
            <w:vMerge w:val="continue"/>
            <w:tcBorders>
              <w:top w:val="nil"/>
              <w:left w:val="single" w:color="000000" w:sz="4" w:space="0"/>
              <w:bottom w:val="nil"/>
              <w:right w:val="single" w:color="000000" w:sz="4" w:space="0"/>
            </w:tcBorders>
            <w:vAlign w:val="center"/>
          </w:tcPr>
          <w:p w14:paraId="3876E68D">
            <w:pPr>
              <w:autoSpaceDE w:val="0"/>
              <w:autoSpaceDN w:val="0"/>
              <w:jc w:val="center"/>
              <w:rPr>
                <w:color w:val="auto"/>
                <w:sz w:val="22"/>
                <w:szCs w:val="22"/>
                <w:highlight w:val="none"/>
              </w:rPr>
            </w:pPr>
          </w:p>
        </w:tc>
        <w:tc>
          <w:tcPr>
            <w:tcW w:w="2658" w:type="dxa"/>
            <w:tcBorders>
              <w:left w:val="single" w:color="000000" w:sz="4" w:space="0"/>
              <w:right w:val="single" w:color="000000" w:sz="10" w:space="0"/>
            </w:tcBorders>
            <w:vAlign w:val="center"/>
          </w:tcPr>
          <w:p w14:paraId="7B6092B5">
            <w:pPr>
              <w:autoSpaceDE w:val="0"/>
              <w:autoSpaceDN w:val="0"/>
              <w:jc w:val="center"/>
              <w:rPr>
                <w:color w:val="auto"/>
                <w:sz w:val="22"/>
                <w:szCs w:val="22"/>
                <w:highlight w:val="none"/>
              </w:rPr>
            </w:pPr>
            <w:r>
              <w:rPr>
                <w:rFonts w:hint="eastAsia"/>
                <w:color w:val="auto"/>
                <w:sz w:val="22"/>
                <w:szCs w:val="22"/>
                <w:highlight w:val="none"/>
                <w:lang w:val="en-US" w:eastAsia="zh-CN"/>
              </w:rPr>
              <w:t>试验检测工程师职责、路线纵断面图</w:t>
            </w:r>
          </w:p>
        </w:tc>
      </w:tr>
      <w:tr w14:paraId="504DA0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2039" w:type="dxa"/>
            <w:tcBorders>
              <w:left w:val="single" w:color="000000" w:sz="10" w:space="0"/>
              <w:right w:val="single" w:color="000000" w:sz="4" w:space="0"/>
            </w:tcBorders>
            <w:vAlign w:val="center"/>
          </w:tcPr>
          <w:p w14:paraId="006DD78D">
            <w:pPr>
              <w:autoSpaceDE w:val="0"/>
              <w:autoSpaceDN w:val="0"/>
              <w:jc w:val="center"/>
              <w:rPr>
                <w:rFonts w:hint="eastAsia"/>
                <w:color w:val="auto"/>
                <w:sz w:val="22"/>
                <w:szCs w:val="22"/>
                <w:highlight w:val="none"/>
                <w:lang w:val="en-US" w:eastAsia="zh-CN"/>
              </w:rPr>
            </w:pPr>
            <w:r>
              <w:rPr>
                <w:rFonts w:hint="eastAsia"/>
                <w:color w:val="auto"/>
                <w:sz w:val="22"/>
                <w:szCs w:val="22"/>
                <w:highlight w:val="none"/>
                <w:lang w:val="en-US" w:eastAsia="zh-CN"/>
              </w:rPr>
              <w:t>试验员（试验工）</w:t>
            </w:r>
          </w:p>
        </w:tc>
        <w:tc>
          <w:tcPr>
            <w:tcW w:w="3130" w:type="dxa"/>
            <w:tcBorders>
              <w:left w:val="single" w:color="000000" w:sz="4" w:space="0"/>
              <w:right w:val="single" w:color="000000" w:sz="4" w:space="0"/>
            </w:tcBorders>
            <w:vAlign w:val="center"/>
          </w:tcPr>
          <w:p w14:paraId="16FAC79D">
            <w:pPr>
              <w:autoSpaceDE w:val="0"/>
              <w:autoSpaceDN w:val="0"/>
              <w:jc w:val="center"/>
              <w:rPr>
                <w:color w:val="auto"/>
                <w:sz w:val="22"/>
                <w:szCs w:val="22"/>
                <w:highlight w:val="none"/>
              </w:rPr>
            </w:pPr>
            <w:r>
              <w:rPr>
                <w:color w:val="auto"/>
                <w:sz w:val="22"/>
                <w:szCs w:val="22"/>
                <w:highlight w:val="none"/>
              </w:rPr>
              <w:t>电脑 1 台/间、办公桌椅 1 套/ 人、文件柜、网络</w:t>
            </w:r>
          </w:p>
        </w:tc>
        <w:tc>
          <w:tcPr>
            <w:tcW w:w="1661" w:type="dxa"/>
            <w:vMerge w:val="continue"/>
            <w:tcBorders>
              <w:top w:val="nil"/>
              <w:left w:val="single" w:color="000000" w:sz="4" w:space="0"/>
              <w:right w:val="single" w:color="000000" w:sz="4" w:space="0"/>
            </w:tcBorders>
            <w:vAlign w:val="center"/>
          </w:tcPr>
          <w:p w14:paraId="7644FAE1">
            <w:pPr>
              <w:autoSpaceDE w:val="0"/>
              <w:autoSpaceDN w:val="0"/>
              <w:jc w:val="center"/>
              <w:rPr>
                <w:color w:val="auto"/>
                <w:sz w:val="22"/>
                <w:szCs w:val="22"/>
                <w:highlight w:val="none"/>
              </w:rPr>
            </w:pPr>
          </w:p>
        </w:tc>
        <w:tc>
          <w:tcPr>
            <w:tcW w:w="2658" w:type="dxa"/>
            <w:tcBorders>
              <w:left w:val="single" w:color="000000" w:sz="4" w:space="0"/>
              <w:right w:val="single" w:color="000000" w:sz="10" w:space="0"/>
            </w:tcBorders>
            <w:vAlign w:val="center"/>
          </w:tcPr>
          <w:p w14:paraId="4AFC87D1">
            <w:pPr>
              <w:autoSpaceDE w:val="0"/>
              <w:autoSpaceDN w:val="0"/>
              <w:jc w:val="center"/>
              <w:rPr>
                <w:color w:val="auto"/>
                <w:sz w:val="22"/>
                <w:szCs w:val="22"/>
                <w:highlight w:val="none"/>
              </w:rPr>
            </w:pPr>
            <w:r>
              <w:rPr>
                <w:rFonts w:hint="eastAsia"/>
                <w:color w:val="auto"/>
                <w:sz w:val="22"/>
                <w:szCs w:val="22"/>
                <w:highlight w:val="none"/>
                <w:lang w:val="en-US" w:eastAsia="zh-CN"/>
              </w:rPr>
              <w:t>试验员职责、形象进度图</w:t>
            </w:r>
          </w:p>
        </w:tc>
      </w:tr>
    </w:tbl>
    <w:p w14:paraId="6EF5F051">
      <w:pPr>
        <w:spacing w:before="33" w:line="220" w:lineRule="auto"/>
        <w:ind w:left="651"/>
        <w:rPr>
          <w:rFonts w:ascii="宋体" w:hAnsi="宋体" w:eastAsia="宋体" w:cs="宋体"/>
          <w:color w:val="auto"/>
          <w:spacing w:val="20"/>
          <w:sz w:val="24"/>
          <w:szCs w:val="24"/>
          <w:highlight w:val="none"/>
        </w:rPr>
      </w:pPr>
    </w:p>
    <w:p w14:paraId="44E49B46">
      <w:pPr>
        <w:spacing w:before="33" w:line="220" w:lineRule="auto"/>
        <w:ind w:left="651"/>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w:t>
      </w:r>
      <w:r>
        <w:rPr>
          <w:rFonts w:ascii="宋体" w:hAnsi="宋体" w:eastAsia="宋体" w:cs="宋体"/>
          <w:color w:val="auto"/>
          <w:spacing w:val="16"/>
          <w:sz w:val="24"/>
          <w:szCs w:val="24"/>
          <w:highlight w:val="none"/>
        </w:rPr>
        <w:t>2)其他办公设施配置标准</w:t>
      </w:r>
    </w:p>
    <w:p w14:paraId="1D8707BA">
      <w:pPr>
        <w:spacing w:line="146" w:lineRule="exact"/>
        <w:rPr>
          <w:color w:val="auto"/>
          <w:highlight w:val="none"/>
        </w:rPr>
      </w:pPr>
    </w:p>
    <w:tbl>
      <w:tblPr>
        <w:tblStyle w:val="650"/>
        <w:tblW w:w="944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7"/>
        <w:gridCol w:w="3668"/>
        <w:gridCol w:w="1606"/>
        <w:gridCol w:w="2646"/>
      </w:tblGrid>
      <w:tr w14:paraId="12472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527" w:type="dxa"/>
            <w:tcBorders>
              <w:left w:val="single" w:color="000000" w:sz="10" w:space="0"/>
              <w:right w:val="single" w:color="000000" w:sz="4" w:space="0"/>
            </w:tcBorders>
            <w:vAlign w:val="top"/>
          </w:tcPr>
          <w:p w14:paraId="43AB4B97">
            <w:pPr>
              <w:autoSpaceDE w:val="0"/>
              <w:autoSpaceDN w:val="0"/>
              <w:spacing w:before="182" w:line="220" w:lineRule="auto"/>
              <w:ind w:left="51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w:t>
            </w:r>
            <w:r>
              <w:rPr>
                <w:rFonts w:ascii="宋体" w:hAnsi="宋体" w:eastAsia="宋体" w:cs="宋体"/>
                <w:color w:val="auto"/>
                <w:spacing w:val="-3"/>
                <w:sz w:val="24"/>
                <w:szCs w:val="24"/>
                <w:highlight w:val="none"/>
              </w:rPr>
              <w:t>目</w:t>
            </w:r>
          </w:p>
        </w:tc>
        <w:tc>
          <w:tcPr>
            <w:tcW w:w="3668" w:type="dxa"/>
            <w:tcBorders>
              <w:left w:val="single" w:color="000000" w:sz="4" w:space="0"/>
              <w:right w:val="single" w:color="000000" w:sz="4" w:space="0"/>
            </w:tcBorders>
            <w:vAlign w:val="top"/>
          </w:tcPr>
          <w:p w14:paraId="6BB3983C">
            <w:pPr>
              <w:autoSpaceDE w:val="0"/>
              <w:autoSpaceDN w:val="0"/>
              <w:spacing w:before="182" w:line="221" w:lineRule="auto"/>
              <w:ind w:left="135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设</w:t>
            </w:r>
            <w:r>
              <w:rPr>
                <w:rFonts w:ascii="宋体" w:hAnsi="宋体" w:eastAsia="宋体" w:cs="宋体"/>
                <w:color w:val="auto"/>
                <w:spacing w:val="-2"/>
                <w:sz w:val="24"/>
                <w:szCs w:val="24"/>
                <w:highlight w:val="none"/>
              </w:rPr>
              <w:t>施配置</w:t>
            </w:r>
          </w:p>
        </w:tc>
        <w:tc>
          <w:tcPr>
            <w:tcW w:w="1606" w:type="dxa"/>
            <w:tcBorders>
              <w:left w:val="single" w:color="000000" w:sz="4" w:space="0"/>
              <w:right w:val="single" w:color="000000" w:sz="4" w:space="0"/>
            </w:tcBorders>
            <w:vAlign w:val="top"/>
          </w:tcPr>
          <w:p w14:paraId="628810F3">
            <w:pPr>
              <w:autoSpaceDE w:val="0"/>
              <w:autoSpaceDN w:val="0"/>
              <w:spacing w:before="181" w:line="220" w:lineRule="auto"/>
              <w:ind w:left="32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装修标准</w:t>
            </w:r>
          </w:p>
        </w:tc>
        <w:tc>
          <w:tcPr>
            <w:tcW w:w="2646" w:type="dxa"/>
            <w:tcBorders>
              <w:left w:val="single" w:color="000000" w:sz="4" w:space="0"/>
              <w:right w:val="single" w:color="000000" w:sz="10" w:space="0"/>
            </w:tcBorders>
            <w:vAlign w:val="top"/>
          </w:tcPr>
          <w:p w14:paraId="38D74F13">
            <w:pPr>
              <w:autoSpaceDE w:val="0"/>
              <w:autoSpaceDN w:val="0"/>
              <w:spacing w:before="182" w:line="220" w:lineRule="auto"/>
              <w:ind w:left="63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图</w:t>
            </w:r>
            <w:r>
              <w:rPr>
                <w:rFonts w:ascii="宋体" w:hAnsi="宋体" w:eastAsia="宋体" w:cs="宋体"/>
                <w:color w:val="auto"/>
                <w:spacing w:val="-4"/>
                <w:sz w:val="24"/>
                <w:szCs w:val="24"/>
                <w:highlight w:val="none"/>
              </w:rPr>
              <w:t>表上墙标准</w:t>
            </w:r>
          </w:p>
        </w:tc>
      </w:tr>
      <w:tr w14:paraId="4A25C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527" w:type="dxa"/>
            <w:tcBorders>
              <w:left w:val="single" w:color="000000" w:sz="10" w:space="0"/>
              <w:right w:val="single" w:color="000000" w:sz="4" w:space="0"/>
            </w:tcBorders>
            <w:vAlign w:val="center"/>
          </w:tcPr>
          <w:p w14:paraId="5CA1EB71">
            <w:pPr>
              <w:autoSpaceDE w:val="0"/>
              <w:autoSpaceDN w:val="0"/>
              <w:jc w:val="center"/>
              <w:rPr>
                <w:color w:val="auto"/>
                <w:sz w:val="22"/>
                <w:szCs w:val="22"/>
                <w:highlight w:val="none"/>
              </w:rPr>
            </w:pPr>
            <w:r>
              <w:rPr>
                <w:color w:val="auto"/>
                <w:sz w:val="22"/>
                <w:szCs w:val="22"/>
                <w:highlight w:val="none"/>
              </w:rPr>
              <w:t>会议室</w:t>
            </w:r>
          </w:p>
        </w:tc>
        <w:tc>
          <w:tcPr>
            <w:tcW w:w="3668" w:type="dxa"/>
            <w:tcBorders>
              <w:left w:val="single" w:color="000000" w:sz="4" w:space="0"/>
              <w:right w:val="single" w:color="000000" w:sz="4" w:space="0"/>
            </w:tcBorders>
            <w:vAlign w:val="center"/>
          </w:tcPr>
          <w:p w14:paraId="29545401">
            <w:pPr>
              <w:autoSpaceDE w:val="0"/>
              <w:autoSpaceDN w:val="0"/>
              <w:jc w:val="center"/>
              <w:rPr>
                <w:color w:val="auto"/>
                <w:sz w:val="22"/>
                <w:szCs w:val="22"/>
                <w:highlight w:val="none"/>
              </w:rPr>
            </w:pPr>
            <w:r>
              <w:rPr>
                <w:color w:val="auto"/>
                <w:sz w:val="22"/>
                <w:szCs w:val="22"/>
                <w:highlight w:val="none"/>
              </w:rPr>
              <w:t>投影仪、空调、会议桌及配套椅 子，备用椅子、网络</w:t>
            </w:r>
          </w:p>
        </w:tc>
        <w:tc>
          <w:tcPr>
            <w:tcW w:w="1606" w:type="dxa"/>
            <w:vMerge w:val="restart"/>
            <w:tcBorders>
              <w:left w:val="single" w:color="000000" w:sz="4" w:space="0"/>
              <w:bottom w:val="nil"/>
              <w:right w:val="single" w:color="000000" w:sz="4" w:space="0"/>
            </w:tcBorders>
            <w:vAlign w:val="center"/>
          </w:tcPr>
          <w:p w14:paraId="3DF7D99E">
            <w:pPr>
              <w:autoSpaceDE w:val="0"/>
              <w:autoSpaceDN w:val="0"/>
              <w:jc w:val="center"/>
              <w:rPr>
                <w:color w:val="auto"/>
                <w:sz w:val="22"/>
                <w:szCs w:val="22"/>
                <w:highlight w:val="none"/>
              </w:rPr>
            </w:pPr>
            <w:r>
              <w:rPr>
                <w:color w:val="auto"/>
                <w:sz w:val="22"/>
                <w:szCs w:val="22"/>
                <w:highlight w:val="none"/>
              </w:rPr>
              <w:t>地砖、吊顶、 墙面刷白</w:t>
            </w:r>
          </w:p>
        </w:tc>
        <w:tc>
          <w:tcPr>
            <w:tcW w:w="2646" w:type="dxa"/>
            <w:tcBorders>
              <w:left w:val="single" w:color="000000" w:sz="4" w:space="0"/>
              <w:right w:val="single" w:color="000000" w:sz="10" w:space="0"/>
            </w:tcBorders>
            <w:vAlign w:val="center"/>
          </w:tcPr>
          <w:p w14:paraId="0A861464">
            <w:pPr>
              <w:autoSpaceDE w:val="0"/>
              <w:autoSpaceDN w:val="0"/>
              <w:jc w:val="center"/>
              <w:rPr>
                <w:color w:val="auto"/>
                <w:sz w:val="22"/>
                <w:szCs w:val="22"/>
                <w:highlight w:val="none"/>
              </w:rPr>
            </w:pPr>
            <w:r>
              <w:rPr>
                <w:color w:val="auto"/>
                <w:sz w:val="22"/>
                <w:szCs w:val="22"/>
                <w:highlight w:val="none"/>
              </w:rPr>
              <w:t>项目总平面布置图、</w:t>
            </w:r>
            <w:r>
              <w:rPr>
                <w:rFonts w:hint="default"/>
                <w:color w:val="auto"/>
                <w:sz w:val="22"/>
                <w:szCs w:val="22"/>
                <w:highlight w:val="none"/>
                <w:lang w:val="en-US" w:eastAsia="zh-CN"/>
              </w:rPr>
              <w:t>服务</w:t>
            </w:r>
            <w:r>
              <w:rPr>
                <w:color w:val="auto"/>
                <w:sz w:val="22"/>
                <w:szCs w:val="22"/>
                <w:highlight w:val="none"/>
              </w:rPr>
              <w:t>方针、组织机构图</w:t>
            </w:r>
          </w:p>
        </w:tc>
      </w:tr>
      <w:tr w14:paraId="5350B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527" w:type="dxa"/>
            <w:tcBorders>
              <w:left w:val="single" w:color="000000" w:sz="10" w:space="0"/>
              <w:right w:val="single" w:color="000000" w:sz="4" w:space="0"/>
            </w:tcBorders>
            <w:vAlign w:val="center"/>
          </w:tcPr>
          <w:p w14:paraId="49615C80">
            <w:pPr>
              <w:autoSpaceDE w:val="0"/>
              <w:autoSpaceDN w:val="0"/>
              <w:jc w:val="center"/>
              <w:rPr>
                <w:color w:val="auto"/>
                <w:sz w:val="22"/>
                <w:szCs w:val="22"/>
                <w:highlight w:val="none"/>
              </w:rPr>
            </w:pPr>
            <w:r>
              <w:rPr>
                <w:color w:val="auto"/>
                <w:sz w:val="22"/>
                <w:szCs w:val="22"/>
                <w:highlight w:val="none"/>
              </w:rPr>
              <w:t>综合办公室</w:t>
            </w:r>
          </w:p>
        </w:tc>
        <w:tc>
          <w:tcPr>
            <w:tcW w:w="3668" w:type="dxa"/>
            <w:tcBorders>
              <w:left w:val="single" w:color="000000" w:sz="4" w:space="0"/>
              <w:right w:val="single" w:color="000000" w:sz="4" w:space="0"/>
            </w:tcBorders>
            <w:vAlign w:val="center"/>
          </w:tcPr>
          <w:p w14:paraId="081354AB">
            <w:pPr>
              <w:autoSpaceDE w:val="0"/>
              <w:autoSpaceDN w:val="0"/>
              <w:jc w:val="center"/>
              <w:rPr>
                <w:color w:val="auto"/>
                <w:sz w:val="22"/>
                <w:szCs w:val="22"/>
                <w:highlight w:val="none"/>
              </w:rPr>
            </w:pPr>
            <w:r>
              <w:rPr>
                <w:color w:val="auto"/>
                <w:sz w:val="22"/>
                <w:szCs w:val="22"/>
                <w:highlight w:val="none"/>
              </w:rPr>
              <w:t>电脑、空调、打印复印一体机、 电话、办公桌、文件柜、网络</w:t>
            </w:r>
          </w:p>
        </w:tc>
        <w:tc>
          <w:tcPr>
            <w:tcW w:w="1606" w:type="dxa"/>
            <w:vMerge w:val="continue"/>
            <w:tcBorders>
              <w:top w:val="nil"/>
              <w:left w:val="single" w:color="000000" w:sz="4" w:space="0"/>
              <w:bottom w:val="nil"/>
              <w:right w:val="single" w:color="000000" w:sz="4" w:space="0"/>
            </w:tcBorders>
            <w:vAlign w:val="center"/>
          </w:tcPr>
          <w:p w14:paraId="6B2DEDE0">
            <w:pPr>
              <w:autoSpaceDE w:val="0"/>
              <w:autoSpaceDN w:val="0"/>
              <w:jc w:val="center"/>
              <w:rPr>
                <w:color w:val="auto"/>
                <w:sz w:val="22"/>
                <w:szCs w:val="22"/>
                <w:highlight w:val="none"/>
              </w:rPr>
            </w:pPr>
          </w:p>
        </w:tc>
        <w:tc>
          <w:tcPr>
            <w:tcW w:w="2646" w:type="dxa"/>
            <w:tcBorders>
              <w:left w:val="single" w:color="000000" w:sz="4" w:space="0"/>
              <w:right w:val="single" w:color="000000" w:sz="10" w:space="0"/>
            </w:tcBorders>
            <w:vAlign w:val="center"/>
          </w:tcPr>
          <w:p w14:paraId="25027E07">
            <w:pPr>
              <w:autoSpaceDE w:val="0"/>
              <w:autoSpaceDN w:val="0"/>
              <w:jc w:val="center"/>
              <w:rPr>
                <w:color w:val="auto"/>
                <w:sz w:val="22"/>
                <w:szCs w:val="22"/>
                <w:highlight w:val="none"/>
              </w:rPr>
            </w:pPr>
            <w:r>
              <w:rPr>
                <w:color w:val="auto"/>
                <w:sz w:val="22"/>
                <w:szCs w:val="22"/>
                <w:highlight w:val="none"/>
              </w:rPr>
              <w:t>综合室职责、收发文管 理制度</w:t>
            </w:r>
          </w:p>
        </w:tc>
      </w:tr>
      <w:tr w14:paraId="7E2E1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527" w:type="dxa"/>
            <w:tcBorders>
              <w:left w:val="single" w:color="000000" w:sz="10" w:space="0"/>
              <w:right w:val="single" w:color="000000" w:sz="4" w:space="0"/>
            </w:tcBorders>
            <w:vAlign w:val="center"/>
          </w:tcPr>
          <w:p w14:paraId="0AE4035A">
            <w:pPr>
              <w:autoSpaceDE w:val="0"/>
              <w:autoSpaceDN w:val="0"/>
              <w:jc w:val="center"/>
              <w:rPr>
                <w:color w:val="auto"/>
                <w:sz w:val="22"/>
                <w:szCs w:val="22"/>
                <w:highlight w:val="none"/>
              </w:rPr>
            </w:pPr>
            <w:r>
              <w:rPr>
                <w:color w:val="auto"/>
                <w:sz w:val="22"/>
                <w:szCs w:val="22"/>
                <w:highlight w:val="none"/>
              </w:rPr>
              <w:t>档案室</w:t>
            </w:r>
          </w:p>
        </w:tc>
        <w:tc>
          <w:tcPr>
            <w:tcW w:w="3668" w:type="dxa"/>
            <w:tcBorders>
              <w:left w:val="single" w:color="000000" w:sz="4" w:space="0"/>
              <w:right w:val="single" w:color="000000" w:sz="4" w:space="0"/>
            </w:tcBorders>
            <w:vAlign w:val="center"/>
          </w:tcPr>
          <w:p w14:paraId="6B7269B5">
            <w:pPr>
              <w:autoSpaceDE w:val="0"/>
              <w:autoSpaceDN w:val="0"/>
              <w:jc w:val="center"/>
              <w:rPr>
                <w:color w:val="auto"/>
                <w:sz w:val="22"/>
                <w:szCs w:val="22"/>
                <w:highlight w:val="none"/>
              </w:rPr>
            </w:pPr>
            <w:r>
              <w:rPr>
                <w:color w:val="auto"/>
                <w:sz w:val="22"/>
                <w:szCs w:val="22"/>
                <w:highlight w:val="none"/>
              </w:rPr>
              <w:t>档案架 4 组， 档案柜 10 组(每组 4 节)，配空调</w:t>
            </w:r>
          </w:p>
        </w:tc>
        <w:tc>
          <w:tcPr>
            <w:tcW w:w="1606" w:type="dxa"/>
            <w:vMerge w:val="continue"/>
            <w:tcBorders>
              <w:top w:val="nil"/>
              <w:left w:val="single" w:color="000000" w:sz="4" w:space="0"/>
              <w:bottom w:val="single" w:color="auto" w:sz="4" w:space="0"/>
              <w:right w:val="single" w:color="000000" w:sz="4" w:space="0"/>
            </w:tcBorders>
            <w:vAlign w:val="center"/>
          </w:tcPr>
          <w:p w14:paraId="5215CABF">
            <w:pPr>
              <w:autoSpaceDE w:val="0"/>
              <w:autoSpaceDN w:val="0"/>
              <w:jc w:val="center"/>
              <w:rPr>
                <w:color w:val="auto"/>
                <w:sz w:val="22"/>
                <w:szCs w:val="22"/>
                <w:highlight w:val="none"/>
              </w:rPr>
            </w:pPr>
          </w:p>
        </w:tc>
        <w:tc>
          <w:tcPr>
            <w:tcW w:w="2646" w:type="dxa"/>
            <w:tcBorders>
              <w:left w:val="single" w:color="000000" w:sz="4" w:space="0"/>
              <w:right w:val="single" w:color="000000" w:sz="10" w:space="0"/>
            </w:tcBorders>
            <w:vAlign w:val="center"/>
          </w:tcPr>
          <w:p w14:paraId="0D3BF082">
            <w:pPr>
              <w:autoSpaceDE w:val="0"/>
              <w:autoSpaceDN w:val="0"/>
              <w:jc w:val="center"/>
              <w:rPr>
                <w:color w:val="auto"/>
                <w:sz w:val="22"/>
                <w:szCs w:val="22"/>
                <w:highlight w:val="none"/>
              </w:rPr>
            </w:pPr>
            <w:r>
              <w:rPr>
                <w:color w:val="auto"/>
                <w:sz w:val="22"/>
                <w:szCs w:val="22"/>
                <w:highlight w:val="none"/>
              </w:rPr>
              <w:t>档案员职责、档案管理 制度</w:t>
            </w:r>
          </w:p>
        </w:tc>
      </w:tr>
      <w:tr w14:paraId="52533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1527" w:type="dxa"/>
            <w:tcBorders>
              <w:left w:val="single" w:color="000000" w:sz="10" w:space="0"/>
              <w:right w:val="single" w:color="000000" w:sz="4" w:space="0"/>
            </w:tcBorders>
            <w:vAlign w:val="center"/>
          </w:tcPr>
          <w:p w14:paraId="031F4435">
            <w:pPr>
              <w:autoSpaceDE w:val="0"/>
              <w:autoSpaceDN w:val="0"/>
              <w:jc w:val="center"/>
              <w:rPr>
                <w:rFonts w:hint="eastAsia"/>
                <w:color w:val="auto"/>
                <w:sz w:val="22"/>
                <w:szCs w:val="22"/>
                <w:highlight w:val="none"/>
                <w:lang w:val="en-US" w:eastAsia="zh-CN"/>
              </w:rPr>
            </w:pPr>
            <w:r>
              <w:rPr>
                <w:rFonts w:hint="eastAsia"/>
                <w:color w:val="auto"/>
                <w:sz w:val="22"/>
                <w:szCs w:val="22"/>
                <w:highlight w:val="none"/>
                <w:lang w:val="en-US" w:eastAsia="zh-CN"/>
              </w:rPr>
              <w:t>试验室</w:t>
            </w:r>
          </w:p>
        </w:tc>
        <w:tc>
          <w:tcPr>
            <w:tcW w:w="3668" w:type="dxa"/>
            <w:tcBorders>
              <w:left w:val="single" w:color="000000" w:sz="4" w:space="0"/>
              <w:right w:val="single" w:color="000000" w:sz="4" w:space="0"/>
            </w:tcBorders>
            <w:vAlign w:val="center"/>
          </w:tcPr>
          <w:p w14:paraId="0E41B56F">
            <w:pPr>
              <w:autoSpaceDE w:val="0"/>
              <w:autoSpaceDN w:val="0"/>
              <w:jc w:val="center"/>
              <w:rPr>
                <w:rFonts w:hint="default"/>
                <w:color w:val="auto"/>
                <w:sz w:val="22"/>
                <w:szCs w:val="22"/>
                <w:highlight w:val="none"/>
                <w:lang w:val="en-US" w:eastAsia="zh-CN"/>
              </w:rPr>
            </w:pPr>
            <w:r>
              <w:rPr>
                <w:rFonts w:hint="eastAsia"/>
                <w:color w:val="auto"/>
                <w:sz w:val="22"/>
                <w:szCs w:val="22"/>
                <w:highlight w:val="none"/>
                <w:lang w:val="en-US" w:eastAsia="zh-CN"/>
              </w:rPr>
              <w:t>电脑、打印机、网络、办公桌椅、资料架、文件柜、各功能空调</w:t>
            </w:r>
          </w:p>
        </w:tc>
        <w:tc>
          <w:tcPr>
            <w:tcW w:w="1606" w:type="dxa"/>
            <w:tcBorders>
              <w:top w:val="single" w:color="auto" w:sz="4" w:space="0"/>
              <w:left w:val="single" w:color="000000" w:sz="4" w:space="0"/>
              <w:right w:val="single" w:color="000000" w:sz="4" w:space="0"/>
            </w:tcBorders>
            <w:vAlign w:val="center"/>
          </w:tcPr>
          <w:p w14:paraId="4C7FD6D1">
            <w:pPr>
              <w:autoSpaceDE w:val="0"/>
              <w:autoSpaceDN w:val="0"/>
              <w:jc w:val="center"/>
              <w:rPr>
                <w:color w:val="auto"/>
                <w:sz w:val="22"/>
                <w:szCs w:val="22"/>
                <w:highlight w:val="none"/>
              </w:rPr>
            </w:pPr>
            <w:r>
              <w:rPr>
                <w:rFonts w:hint="default"/>
                <w:color w:val="auto"/>
                <w:sz w:val="22"/>
                <w:szCs w:val="22"/>
                <w:highlight w:val="none"/>
                <w:lang w:val="en-US" w:eastAsia="zh-CN"/>
              </w:rPr>
              <w:t>地砖、工作台、墙面刷白、水泥室吊顶</w:t>
            </w:r>
          </w:p>
        </w:tc>
        <w:tc>
          <w:tcPr>
            <w:tcW w:w="2646" w:type="dxa"/>
            <w:tcBorders>
              <w:left w:val="single" w:color="000000" w:sz="4" w:space="0"/>
              <w:right w:val="single" w:color="000000" w:sz="10" w:space="0"/>
            </w:tcBorders>
            <w:vAlign w:val="center"/>
          </w:tcPr>
          <w:p w14:paraId="6C7C287D">
            <w:pPr>
              <w:autoSpaceDE w:val="0"/>
              <w:autoSpaceDN w:val="0"/>
              <w:jc w:val="center"/>
              <w:rPr>
                <w:color w:val="auto"/>
                <w:sz w:val="22"/>
                <w:szCs w:val="22"/>
                <w:highlight w:val="none"/>
              </w:rPr>
            </w:pPr>
            <w:r>
              <w:rPr>
                <w:rFonts w:hint="eastAsia"/>
                <w:color w:val="auto"/>
                <w:sz w:val="22"/>
                <w:szCs w:val="22"/>
                <w:highlight w:val="none"/>
                <w:lang w:val="en-US" w:eastAsia="zh-CN"/>
              </w:rPr>
              <w:t>试验人员职责、试验室系列管理制度</w:t>
            </w:r>
          </w:p>
        </w:tc>
      </w:tr>
    </w:tbl>
    <w:p w14:paraId="6BAF5E59">
      <w:pPr>
        <w:spacing w:line="421" w:lineRule="auto"/>
        <w:rPr>
          <w:rFonts w:ascii="Arial"/>
          <w:color w:val="auto"/>
          <w:sz w:val="21"/>
          <w:highlight w:val="none"/>
        </w:rPr>
      </w:pPr>
    </w:p>
    <w:p w14:paraId="0C4A1D45">
      <w:pPr>
        <w:spacing w:before="79" w:line="220" w:lineRule="auto"/>
        <w:ind w:left="652"/>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c</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驻点</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建设标准</w:t>
      </w:r>
    </w:p>
    <w:p w14:paraId="091D9114">
      <w:pPr>
        <w:spacing w:line="146" w:lineRule="exact"/>
        <w:rPr>
          <w:color w:val="auto"/>
          <w:highlight w:val="none"/>
        </w:rPr>
      </w:pPr>
    </w:p>
    <w:tbl>
      <w:tblPr>
        <w:tblStyle w:val="650"/>
        <w:tblW w:w="9582"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3713"/>
        <w:gridCol w:w="2483"/>
        <w:gridCol w:w="1874"/>
      </w:tblGrid>
      <w:tr w14:paraId="3D73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12" w:type="dxa"/>
            <w:tcBorders>
              <w:left w:val="single" w:color="000000" w:sz="10" w:space="0"/>
              <w:right w:val="single" w:color="000000" w:sz="4" w:space="0"/>
            </w:tcBorders>
            <w:vAlign w:val="top"/>
          </w:tcPr>
          <w:p w14:paraId="35B4DF9E">
            <w:pPr>
              <w:autoSpaceDE w:val="0"/>
              <w:autoSpaceDN w:val="0"/>
              <w:spacing w:before="186" w:line="220" w:lineRule="auto"/>
              <w:ind w:left="593" w:leftChars="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编号</w:t>
            </w:r>
          </w:p>
        </w:tc>
        <w:tc>
          <w:tcPr>
            <w:tcW w:w="3713" w:type="dxa"/>
            <w:tcBorders>
              <w:left w:val="single" w:color="000000" w:sz="4" w:space="0"/>
              <w:right w:val="single" w:color="000000" w:sz="4" w:space="0"/>
            </w:tcBorders>
            <w:vAlign w:val="top"/>
          </w:tcPr>
          <w:p w14:paraId="5529F9CB">
            <w:pPr>
              <w:autoSpaceDE w:val="0"/>
              <w:autoSpaceDN w:val="0"/>
              <w:spacing w:before="186" w:line="222" w:lineRule="auto"/>
              <w:ind w:left="1190" w:leftChars="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w:t>
            </w:r>
            <w:r>
              <w:rPr>
                <w:rFonts w:ascii="宋体" w:hAnsi="宋体" w:eastAsia="宋体" w:cs="宋体"/>
                <w:color w:val="auto"/>
                <w:spacing w:val="-3"/>
                <w:sz w:val="24"/>
                <w:szCs w:val="24"/>
                <w:highlight w:val="none"/>
              </w:rPr>
              <w:t>称</w:t>
            </w:r>
          </w:p>
        </w:tc>
        <w:tc>
          <w:tcPr>
            <w:tcW w:w="2483" w:type="dxa"/>
            <w:tcBorders>
              <w:left w:val="single" w:color="000000" w:sz="4" w:space="0"/>
              <w:right w:val="single" w:color="000000" w:sz="4" w:space="0"/>
            </w:tcBorders>
            <w:vAlign w:val="top"/>
          </w:tcPr>
          <w:p w14:paraId="64834A6C">
            <w:pPr>
              <w:autoSpaceDE w:val="0"/>
              <w:autoSpaceDN w:val="0"/>
              <w:spacing w:before="187" w:line="220" w:lineRule="auto"/>
              <w:ind w:left="323" w:leftChars="0"/>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配备标准(</w:t>
            </w:r>
            <w:r>
              <w:rPr>
                <w:rFonts w:ascii="宋体" w:hAnsi="宋体" w:eastAsia="宋体" w:cs="宋体"/>
                <w:color w:val="auto"/>
                <w:sz w:val="24"/>
                <w:szCs w:val="24"/>
                <w:highlight w:val="none"/>
              </w:rPr>
              <w:t>m</w:t>
            </w:r>
            <w:r>
              <w:rPr>
                <w:rFonts w:ascii="宋体" w:hAnsi="宋体" w:eastAsia="宋体" w:cs="宋体"/>
                <w:color w:val="auto"/>
                <w:spacing w:val="11"/>
                <w:position w:val="11"/>
                <w:sz w:val="12"/>
                <w:szCs w:val="12"/>
                <w:highlight w:val="none"/>
                <w14:textOutline w14:w="2177" w14:cap="flat" w14:cmpd="sng">
                  <w14:solidFill>
                    <w14:srgbClr w14:val="000000"/>
                  </w14:solidFill>
                  <w14:prstDash w14:val="solid"/>
                  <w14:miter w14:val="0"/>
                </w14:textOutline>
              </w:rPr>
              <w:t>2</w:t>
            </w:r>
            <w:r>
              <w:rPr>
                <w:rFonts w:ascii="宋体" w:hAnsi="宋体" w:eastAsia="宋体" w:cs="宋体"/>
                <w:color w:val="auto"/>
                <w:spacing w:val="11"/>
                <w:position w:val="11"/>
                <w:sz w:val="12"/>
                <w:szCs w:val="12"/>
                <w:highlight w:val="none"/>
              </w:rPr>
              <w:t xml:space="preserve"> </w:t>
            </w:r>
            <w:r>
              <w:rPr>
                <w:rFonts w:ascii="宋体" w:hAnsi="宋体" w:eastAsia="宋体" w:cs="宋体"/>
                <w:color w:val="auto"/>
                <w:spacing w:val="10"/>
                <w:sz w:val="24"/>
                <w:szCs w:val="24"/>
                <w:highlight w:val="none"/>
              </w:rPr>
              <w:t>)</w:t>
            </w:r>
          </w:p>
        </w:tc>
        <w:tc>
          <w:tcPr>
            <w:tcW w:w="1874" w:type="dxa"/>
            <w:tcBorders>
              <w:left w:val="single" w:color="000000" w:sz="4" w:space="0"/>
              <w:right w:val="single" w:color="000000" w:sz="10" w:space="0"/>
            </w:tcBorders>
            <w:vAlign w:val="top"/>
          </w:tcPr>
          <w:p w14:paraId="6BA7ED81">
            <w:pPr>
              <w:autoSpaceDE w:val="0"/>
              <w:autoSpaceDN w:val="0"/>
              <w:spacing w:before="187" w:line="221" w:lineRule="auto"/>
              <w:ind w:left="906" w:leftChars="0"/>
              <w:rPr>
                <w:rFonts w:ascii="Arial"/>
                <w:color w:val="auto"/>
                <w:sz w:val="21"/>
                <w:highlight w:val="none"/>
              </w:rPr>
            </w:pPr>
            <w:r>
              <w:rPr>
                <w:rFonts w:ascii="宋体" w:hAnsi="宋体" w:eastAsia="宋体" w:cs="宋体"/>
                <w:color w:val="auto"/>
                <w:spacing w:val="-4"/>
                <w:sz w:val="24"/>
                <w:szCs w:val="24"/>
                <w:highlight w:val="none"/>
              </w:rPr>
              <w:t>备</w:t>
            </w:r>
            <w:r>
              <w:rPr>
                <w:rFonts w:ascii="宋体" w:hAnsi="宋体" w:eastAsia="宋体" w:cs="宋体"/>
                <w:color w:val="auto"/>
                <w:spacing w:val="-3"/>
                <w:sz w:val="24"/>
                <w:szCs w:val="24"/>
                <w:highlight w:val="none"/>
              </w:rPr>
              <w:t>注</w:t>
            </w:r>
          </w:p>
        </w:tc>
      </w:tr>
      <w:tr w14:paraId="4C714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512" w:type="dxa"/>
            <w:tcBorders>
              <w:left w:val="single" w:color="000000" w:sz="10" w:space="0"/>
              <w:right w:val="single" w:color="000000" w:sz="4" w:space="0"/>
            </w:tcBorders>
            <w:vAlign w:val="top"/>
          </w:tcPr>
          <w:p w14:paraId="3F8051DB">
            <w:pPr>
              <w:autoSpaceDE w:val="0"/>
              <w:autoSpaceDN w:val="0"/>
              <w:spacing w:before="226" w:line="185" w:lineRule="auto"/>
              <w:ind w:left="0" w:leftChars="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3713" w:type="dxa"/>
            <w:tcBorders>
              <w:left w:val="single" w:color="000000" w:sz="4" w:space="0"/>
              <w:right w:val="single" w:color="000000" w:sz="4" w:space="0"/>
            </w:tcBorders>
            <w:vAlign w:val="center"/>
          </w:tcPr>
          <w:p w14:paraId="158C9459">
            <w:pPr>
              <w:autoSpaceDE w:val="0"/>
              <w:autoSpaceDN w:val="0"/>
              <w:spacing w:before="187" w:line="220" w:lineRule="auto"/>
              <w:jc w:val="center"/>
              <w:rPr>
                <w:rFonts w:ascii="宋体" w:hAnsi="宋体" w:eastAsia="宋体" w:cs="宋体"/>
                <w:color w:val="auto"/>
                <w:spacing w:val="-4"/>
                <w:sz w:val="24"/>
                <w:szCs w:val="24"/>
                <w:highlight w:val="none"/>
              </w:rPr>
            </w:pPr>
            <w:r>
              <w:rPr>
                <w:rFonts w:ascii="宋体" w:hAnsi="宋体" w:eastAsia="宋体" w:cs="宋体"/>
                <w:color w:val="auto"/>
                <w:spacing w:val="-4"/>
                <w:sz w:val="24"/>
                <w:szCs w:val="24"/>
                <w:highlight w:val="none"/>
              </w:rPr>
              <w:t>办</w:t>
            </w:r>
            <w:r>
              <w:rPr>
                <w:rFonts w:ascii="宋体" w:hAnsi="宋体" w:eastAsia="宋体" w:cs="宋体"/>
                <w:color w:val="auto"/>
                <w:spacing w:val="-3"/>
                <w:sz w:val="24"/>
                <w:szCs w:val="24"/>
                <w:highlight w:val="none"/>
              </w:rPr>
              <w:t>公</w:t>
            </w:r>
            <w:r>
              <w:rPr>
                <w:rFonts w:ascii="宋体" w:hAnsi="宋体" w:eastAsia="宋体" w:cs="宋体"/>
                <w:color w:val="auto"/>
                <w:spacing w:val="-2"/>
                <w:sz w:val="24"/>
                <w:szCs w:val="24"/>
                <w:highlight w:val="none"/>
              </w:rPr>
              <w:t>用房</w:t>
            </w:r>
          </w:p>
        </w:tc>
        <w:tc>
          <w:tcPr>
            <w:tcW w:w="2483" w:type="dxa"/>
            <w:tcBorders>
              <w:left w:val="single" w:color="000000" w:sz="4" w:space="0"/>
              <w:right w:val="single" w:color="000000" w:sz="4" w:space="0"/>
            </w:tcBorders>
            <w:vAlign w:val="top"/>
          </w:tcPr>
          <w:p w14:paraId="48F7ACEA">
            <w:pPr>
              <w:autoSpaceDE w:val="0"/>
              <w:autoSpaceDN w:val="0"/>
              <w:spacing w:before="187" w:line="220" w:lineRule="auto"/>
              <w:ind w:left="498" w:leftChars="0"/>
              <w:rPr>
                <w:rFonts w:ascii="宋体" w:hAnsi="宋体" w:eastAsia="宋体" w:cs="宋体"/>
                <w:color w:val="auto"/>
                <w:spacing w:val="-8"/>
                <w:sz w:val="24"/>
                <w:szCs w:val="24"/>
                <w:highlight w:val="none"/>
              </w:rPr>
            </w:pPr>
            <w:r>
              <w:rPr>
                <w:rFonts w:ascii="宋体" w:hAnsi="宋体" w:eastAsia="宋体" w:cs="宋体"/>
                <w:color w:val="auto"/>
                <w:spacing w:val="-8"/>
                <w:sz w:val="24"/>
                <w:szCs w:val="24"/>
                <w:highlight w:val="none"/>
              </w:rPr>
              <w:t>≥</w:t>
            </w:r>
            <w:r>
              <w:rPr>
                <w:rFonts w:ascii="宋体" w:hAnsi="宋体" w:eastAsia="宋体" w:cs="宋体"/>
                <w:color w:val="auto"/>
                <w:spacing w:val="-6"/>
                <w:sz w:val="24"/>
                <w:szCs w:val="24"/>
                <w:highlight w:val="none"/>
              </w:rPr>
              <w:t>8 (人均)</w:t>
            </w:r>
          </w:p>
        </w:tc>
        <w:tc>
          <w:tcPr>
            <w:tcW w:w="1874" w:type="dxa"/>
            <w:tcBorders>
              <w:left w:val="single" w:color="000000" w:sz="4" w:space="0"/>
              <w:right w:val="single" w:color="000000" w:sz="10" w:space="0"/>
            </w:tcBorders>
            <w:vAlign w:val="top"/>
          </w:tcPr>
          <w:p w14:paraId="1D203FB6">
            <w:pPr>
              <w:autoSpaceDE w:val="0"/>
              <w:autoSpaceDN w:val="0"/>
              <w:rPr>
                <w:rFonts w:ascii="Arial"/>
                <w:color w:val="auto"/>
                <w:sz w:val="21"/>
                <w:highlight w:val="none"/>
              </w:rPr>
            </w:pPr>
          </w:p>
        </w:tc>
      </w:tr>
      <w:tr w14:paraId="23B0D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512" w:type="dxa"/>
            <w:tcBorders>
              <w:left w:val="single" w:color="000000" w:sz="10" w:space="0"/>
              <w:right w:val="single" w:color="000000" w:sz="4" w:space="0"/>
            </w:tcBorders>
            <w:vAlign w:val="top"/>
          </w:tcPr>
          <w:p w14:paraId="4C0ABA0D">
            <w:pPr>
              <w:autoSpaceDE w:val="0"/>
              <w:autoSpaceDN w:val="0"/>
              <w:spacing w:before="204" w:line="184" w:lineRule="auto"/>
              <w:ind w:left="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2</w:t>
            </w:r>
          </w:p>
        </w:tc>
        <w:tc>
          <w:tcPr>
            <w:tcW w:w="3713" w:type="dxa"/>
            <w:tcBorders>
              <w:left w:val="single" w:color="000000" w:sz="4" w:space="0"/>
              <w:right w:val="single" w:color="000000" w:sz="4" w:space="0"/>
            </w:tcBorders>
            <w:vAlign w:val="center"/>
          </w:tcPr>
          <w:p w14:paraId="17B90EEA">
            <w:pPr>
              <w:autoSpaceDE w:val="0"/>
              <w:autoSpaceDN w:val="0"/>
              <w:spacing w:before="164" w:line="219" w:lineRule="auto"/>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会议室</w:t>
            </w:r>
          </w:p>
        </w:tc>
        <w:tc>
          <w:tcPr>
            <w:tcW w:w="2483" w:type="dxa"/>
            <w:tcBorders>
              <w:left w:val="single" w:color="000000" w:sz="4" w:space="0"/>
              <w:right w:val="single" w:color="000000" w:sz="4" w:space="0"/>
            </w:tcBorders>
            <w:vAlign w:val="top"/>
          </w:tcPr>
          <w:p w14:paraId="450CB028">
            <w:pPr>
              <w:autoSpaceDE w:val="0"/>
              <w:autoSpaceDN w:val="0"/>
              <w:spacing w:before="204" w:line="183" w:lineRule="auto"/>
              <w:ind w:left="1016"/>
              <w:rPr>
                <w:rFonts w:ascii="宋体" w:hAnsi="宋体" w:eastAsia="宋体" w:cs="宋体"/>
                <w:color w:val="auto"/>
                <w:sz w:val="24"/>
                <w:szCs w:val="24"/>
                <w:highlight w:val="none"/>
              </w:rPr>
            </w:pPr>
            <w:r>
              <w:rPr>
                <w:rFonts w:hint="eastAsia" w:ascii="宋体" w:hAnsi="宋体" w:cs="宋体"/>
                <w:color w:val="auto"/>
                <w:spacing w:val="-3"/>
                <w:sz w:val="24"/>
                <w:szCs w:val="24"/>
                <w:highlight w:val="none"/>
                <w:lang w:val="en-US" w:eastAsia="zh-CN"/>
              </w:rPr>
              <w:t>4</w:t>
            </w:r>
            <w:r>
              <w:rPr>
                <w:rFonts w:ascii="宋体" w:hAnsi="宋体" w:eastAsia="宋体" w:cs="宋体"/>
                <w:color w:val="auto"/>
                <w:spacing w:val="-3"/>
                <w:sz w:val="24"/>
                <w:szCs w:val="24"/>
                <w:highlight w:val="none"/>
              </w:rPr>
              <w:t>0</w:t>
            </w:r>
          </w:p>
        </w:tc>
        <w:tc>
          <w:tcPr>
            <w:tcW w:w="1874" w:type="dxa"/>
            <w:tcBorders>
              <w:left w:val="single" w:color="000000" w:sz="4" w:space="0"/>
              <w:right w:val="single" w:color="000000" w:sz="10" w:space="0"/>
            </w:tcBorders>
            <w:vAlign w:val="top"/>
          </w:tcPr>
          <w:p w14:paraId="19EB60C2">
            <w:pPr>
              <w:autoSpaceDE w:val="0"/>
              <w:autoSpaceDN w:val="0"/>
              <w:spacing w:before="163" w:line="220" w:lineRule="auto"/>
              <w:ind w:left="513"/>
              <w:rPr>
                <w:rFonts w:ascii="宋体" w:hAnsi="宋体" w:eastAsia="宋体" w:cs="宋体"/>
                <w:color w:val="auto"/>
                <w:sz w:val="24"/>
                <w:szCs w:val="24"/>
                <w:highlight w:val="none"/>
              </w:rPr>
            </w:pPr>
          </w:p>
        </w:tc>
      </w:tr>
      <w:tr w14:paraId="47DBC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512" w:type="dxa"/>
            <w:tcBorders>
              <w:left w:val="single" w:color="000000" w:sz="10" w:space="0"/>
              <w:right w:val="single" w:color="000000" w:sz="4" w:space="0"/>
            </w:tcBorders>
            <w:vAlign w:val="center"/>
          </w:tcPr>
          <w:p w14:paraId="59F77ED7">
            <w:pPr>
              <w:autoSpaceDE w:val="0"/>
              <w:autoSpaceDN w:val="0"/>
              <w:spacing w:before="207" w:line="183" w:lineRule="auto"/>
              <w:ind w:left="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3</w:t>
            </w:r>
          </w:p>
        </w:tc>
        <w:tc>
          <w:tcPr>
            <w:tcW w:w="3713" w:type="dxa"/>
            <w:tcBorders>
              <w:left w:val="single" w:color="000000" w:sz="4" w:space="0"/>
              <w:right w:val="single" w:color="000000" w:sz="4" w:space="0"/>
            </w:tcBorders>
            <w:vAlign w:val="center"/>
          </w:tcPr>
          <w:p w14:paraId="278D070C">
            <w:pPr>
              <w:autoSpaceDE w:val="0"/>
              <w:autoSpaceDN w:val="0"/>
              <w:spacing w:before="167" w:line="220" w:lineRule="auto"/>
              <w:ind w:left="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各试验检测功能室</w:t>
            </w:r>
          </w:p>
        </w:tc>
        <w:tc>
          <w:tcPr>
            <w:tcW w:w="2483" w:type="dxa"/>
            <w:tcBorders>
              <w:left w:val="single" w:color="000000" w:sz="4" w:space="0"/>
              <w:right w:val="single" w:color="000000" w:sz="4" w:space="0"/>
            </w:tcBorders>
            <w:vAlign w:val="top"/>
          </w:tcPr>
          <w:p w14:paraId="4C1417C4">
            <w:pPr>
              <w:autoSpaceDE w:val="0"/>
              <w:autoSpaceDN w:val="0"/>
              <w:spacing w:before="207" w:line="183" w:lineRule="auto"/>
              <w:ind w:left="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不低于（皖交质监局</w:t>
            </w:r>
            <w:r>
              <w:rPr>
                <w:rFonts w:hint="default" w:ascii="宋体" w:hAnsi="宋体" w:eastAsia="宋体" w:cs="宋体"/>
                <w:color w:val="auto"/>
                <w:sz w:val="24"/>
                <w:szCs w:val="24"/>
                <w:highlight w:val="none"/>
                <w:lang w:val="en-US" w:eastAsia="zh-CN"/>
              </w:rPr>
              <w:t xml:space="preserve">[2012]6 </w:t>
            </w:r>
            <w:r>
              <w:rPr>
                <w:rFonts w:hint="eastAsia" w:ascii="宋体" w:hAnsi="宋体" w:eastAsia="宋体" w:cs="宋体"/>
                <w:color w:val="auto"/>
                <w:sz w:val="24"/>
                <w:szCs w:val="24"/>
                <w:highlight w:val="none"/>
                <w:lang w:val="en-US" w:eastAsia="zh-CN"/>
              </w:rPr>
              <w:t>号）要求</w:t>
            </w:r>
          </w:p>
        </w:tc>
        <w:tc>
          <w:tcPr>
            <w:tcW w:w="1874" w:type="dxa"/>
            <w:tcBorders>
              <w:left w:val="single" w:color="000000" w:sz="4" w:space="0"/>
              <w:right w:val="single" w:color="000000" w:sz="10" w:space="0"/>
            </w:tcBorders>
            <w:vAlign w:val="top"/>
          </w:tcPr>
          <w:p w14:paraId="2E08CC7D">
            <w:pPr>
              <w:autoSpaceDE w:val="0"/>
              <w:autoSpaceDN w:val="0"/>
              <w:spacing w:before="167" w:line="220" w:lineRule="auto"/>
              <w:ind w:left="424"/>
              <w:rPr>
                <w:rFonts w:ascii="宋体" w:hAnsi="宋体" w:eastAsia="宋体" w:cs="宋体"/>
                <w:color w:val="auto"/>
                <w:sz w:val="24"/>
                <w:szCs w:val="24"/>
                <w:highlight w:val="none"/>
              </w:rPr>
            </w:pPr>
          </w:p>
        </w:tc>
      </w:tr>
      <w:tr w14:paraId="22AFC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512" w:type="dxa"/>
            <w:tcBorders>
              <w:left w:val="single" w:color="000000" w:sz="10" w:space="0"/>
              <w:right w:val="single" w:color="000000" w:sz="4" w:space="0"/>
            </w:tcBorders>
            <w:vAlign w:val="top"/>
          </w:tcPr>
          <w:p w14:paraId="0CA2D2E5">
            <w:pPr>
              <w:autoSpaceDE w:val="0"/>
              <w:autoSpaceDN w:val="0"/>
              <w:spacing w:before="206" w:line="184" w:lineRule="auto"/>
              <w:ind w:left="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4</w:t>
            </w:r>
          </w:p>
        </w:tc>
        <w:tc>
          <w:tcPr>
            <w:tcW w:w="3713" w:type="dxa"/>
            <w:tcBorders>
              <w:left w:val="single" w:color="000000" w:sz="4" w:space="0"/>
              <w:right w:val="single" w:color="000000" w:sz="4" w:space="0"/>
            </w:tcBorders>
            <w:vAlign w:val="center"/>
          </w:tcPr>
          <w:p w14:paraId="3D92F79B">
            <w:pPr>
              <w:autoSpaceDE w:val="0"/>
              <w:autoSpaceDN w:val="0"/>
              <w:spacing w:before="166" w:line="220" w:lineRule="auto"/>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资</w:t>
            </w:r>
            <w:r>
              <w:rPr>
                <w:rFonts w:ascii="宋体" w:hAnsi="宋体" w:eastAsia="宋体" w:cs="宋体"/>
                <w:color w:val="auto"/>
                <w:spacing w:val="-4"/>
                <w:sz w:val="24"/>
                <w:szCs w:val="24"/>
                <w:highlight w:val="none"/>
              </w:rPr>
              <w:t>料室</w:t>
            </w:r>
          </w:p>
        </w:tc>
        <w:tc>
          <w:tcPr>
            <w:tcW w:w="2483" w:type="dxa"/>
            <w:tcBorders>
              <w:left w:val="single" w:color="000000" w:sz="4" w:space="0"/>
              <w:right w:val="single" w:color="000000" w:sz="4" w:space="0"/>
            </w:tcBorders>
            <w:vAlign w:val="top"/>
          </w:tcPr>
          <w:p w14:paraId="27A62FF0">
            <w:pPr>
              <w:autoSpaceDE w:val="0"/>
              <w:autoSpaceDN w:val="0"/>
              <w:spacing w:before="206" w:line="183" w:lineRule="auto"/>
              <w:ind w:left="101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w:t>
            </w:r>
            <w:r>
              <w:rPr>
                <w:rFonts w:ascii="宋体" w:hAnsi="宋体" w:eastAsia="宋体" w:cs="宋体"/>
                <w:color w:val="auto"/>
                <w:spacing w:val="-2"/>
                <w:sz w:val="24"/>
                <w:szCs w:val="24"/>
                <w:highlight w:val="none"/>
              </w:rPr>
              <w:t>0</w:t>
            </w:r>
          </w:p>
        </w:tc>
        <w:tc>
          <w:tcPr>
            <w:tcW w:w="1874" w:type="dxa"/>
            <w:tcBorders>
              <w:left w:val="single" w:color="000000" w:sz="4" w:space="0"/>
              <w:right w:val="single" w:color="000000" w:sz="10" w:space="0"/>
            </w:tcBorders>
            <w:vAlign w:val="top"/>
          </w:tcPr>
          <w:p w14:paraId="08F1E0D0">
            <w:pPr>
              <w:autoSpaceDE w:val="0"/>
              <w:autoSpaceDN w:val="0"/>
              <w:rPr>
                <w:rFonts w:ascii="Arial"/>
                <w:color w:val="auto"/>
                <w:sz w:val="21"/>
                <w:highlight w:val="none"/>
              </w:rPr>
            </w:pPr>
          </w:p>
        </w:tc>
      </w:tr>
      <w:tr w14:paraId="5512A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12" w:type="dxa"/>
            <w:tcBorders>
              <w:left w:val="single" w:color="000000" w:sz="10" w:space="0"/>
              <w:right w:val="single" w:color="000000" w:sz="4" w:space="0"/>
            </w:tcBorders>
            <w:vAlign w:val="top"/>
          </w:tcPr>
          <w:p w14:paraId="112FD258">
            <w:pPr>
              <w:autoSpaceDE w:val="0"/>
              <w:autoSpaceDN w:val="0"/>
              <w:spacing w:before="238" w:line="181" w:lineRule="auto"/>
              <w:ind w:left="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5</w:t>
            </w:r>
          </w:p>
        </w:tc>
        <w:tc>
          <w:tcPr>
            <w:tcW w:w="3713" w:type="dxa"/>
            <w:tcBorders>
              <w:left w:val="single" w:color="000000" w:sz="4" w:space="0"/>
              <w:right w:val="single" w:color="000000" w:sz="4" w:space="0"/>
            </w:tcBorders>
            <w:vAlign w:val="center"/>
          </w:tcPr>
          <w:p w14:paraId="6FA1B688">
            <w:pPr>
              <w:autoSpaceDE w:val="0"/>
              <w:autoSpaceDN w:val="0"/>
              <w:spacing w:before="40" w:line="220" w:lineRule="auto"/>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生</w:t>
            </w:r>
            <w:r>
              <w:rPr>
                <w:rFonts w:ascii="宋体" w:hAnsi="宋体" w:eastAsia="宋体" w:cs="宋体"/>
                <w:color w:val="auto"/>
                <w:spacing w:val="-2"/>
                <w:sz w:val="24"/>
                <w:szCs w:val="24"/>
                <w:highlight w:val="none"/>
              </w:rPr>
              <w:t>活用房</w:t>
            </w:r>
            <w:r>
              <w:rPr>
                <w:rFonts w:ascii="宋体" w:hAnsi="宋体" w:eastAsia="宋体" w:cs="宋体"/>
                <w:color w:val="auto"/>
                <w:spacing w:val="9"/>
                <w:sz w:val="24"/>
                <w:szCs w:val="24"/>
                <w:highlight w:val="none"/>
              </w:rPr>
              <w:t>(宿舍、浴室、厕所</w:t>
            </w:r>
            <w:r>
              <w:rPr>
                <w:rFonts w:ascii="宋体" w:hAnsi="宋体" w:eastAsia="宋体" w:cs="宋体"/>
                <w:color w:val="auto"/>
                <w:spacing w:val="7"/>
                <w:sz w:val="24"/>
                <w:szCs w:val="24"/>
                <w:highlight w:val="none"/>
              </w:rPr>
              <w:t>)</w:t>
            </w:r>
          </w:p>
        </w:tc>
        <w:tc>
          <w:tcPr>
            <w:tcW w:w="2483" w:type="dxa"/>
            <w:tcBorders>
              <w:left w:val="single" w:color="000000" w:sz="4" w:space="0"/>
              <w:right w:val="single" w:color="000000" w:sz="4" w:space="0"/>
            </w:tcBorders>
            <w:vAlign w:val="top"/>
          </w:tcPr>
          <w:p w14:paraId="25F6C811">
            <w:pPr>
              <w:autoSpaceDE w:val="0"/>
              <w:autoSpaceDN w:val="0"/>
              <w:spacing w:before="196" w:line="220" w:lineRule="auto"/>
              <w:ind w:left="49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rFonts w:ascii="宋体" w:hAnsi="宋体" w:eastAsia="宋体" w:cs="宋体"/>
                <w:color w:val="auto"/>
                <w:spacing w:val="-6"/>
                <w:sz w:val="24"/>
                <w:szCs w:val="24"/>
                <w:highlight w:val="none"/>
              </w:rPr>
              <w:t>8 (人均)</w:t>
            </w:r>
          </w:p>
        </w:tc>
        <w:tc>
          <w:tcPr>
            <w:tcW w:w="1874" w:type="dxa"/>
            <w:tcBorders>
              <w:left w:val="single" w:color="000000" w:sz="4" w:space="0"/>
              <w:right w:val="single" w:color="000000" w:sz="10" w:space="0"/>
            </w:tcBorders>
            <w:vAlign w:val="top"/>
          </w:tcPr>
          <w:p w14:paraId="1486B5A5">
            <w:pPr>
              <w:autoSpaceDE w:val="0"/>
              <w:autoSpaceDN w:val="0"/>
              <w:rPr>
                <w:rFonts w:ascii="Arial"/>
                <w:color w:val="auto"/>
                <w:sz w:val="21"/>
                <w:highlight w:val="none"/>
              </w:rPr>
            </w:pPr>
          </w:p>
        </w:tc>
      </w:tr>
      <w:tr w14:paraId="59ADD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12" w:type="dxa"/>
            <w:tcBorders>
              <w:left w:val="single" w:color="000000" w:sz="10" w:space="0"/>
              <w:right w:val="single" w:color="000000" w:sz="4" w:space="0"/>
            </w:tcBorders>
            <w:vAlign w:val="top"/>
          </w:tcPr>
          <w:p w14:paraId="1898C737">
            <w:pPr>
              <w:autoSpaceDE w:val="0"/>
              <w:autoSpaceDN w:val="0"/>
              <w:spacing w:before="208" w:line="183" w:lineRule="auto"/>
              <w:ind w:left="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6</w:t>
            </w:r>
          </w:p>
        </w:tc>
        <w:tc>
          <w:tcPr>
            <w:tcW w:w="3713" w:type="dxa"/>
            <w:tcBorders>
              <w:left w:val="single" w:color="000000" w:sz="4" w:space="0"/>
              <w:right w:val="single" w:color="000000" w:sz="4" w:space="0"/>
            </w:tcBorders>
            <w:vAlign w:val="center"/>
          </w:tcPr>
          <w:p w14:paraId="4CC4BD93">
            <w:pPr>
              <w:autoSpaceDE w:val="0"/>
              <w:autoSpaceDN w:val="0"/>
              <w:spacing w:before="167" w:line="220" w:lineRule="auto"/>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餐厅</w:t>
            </w:r>
          </w:p>
        </w:tc>
        <w:tc>
          <w:tcPr>
            <w:tcW w:w="2483" w:type="dxa"/>
            <w:tcBorders>
              <w:left w:val="single" w:color="000000" w:sz="4" w:space="0"/>
              <w:right w:val="single" w:color="000000" w:sz="4" w:space="0"/>
            </w:tcBorders>
            <w:vAlign w:val="top"/>
          </w:tcPr>
          <w:p w14:paraId="5DEE1C08">
            <w:pPr>
              <w:autoSpaceDE w:val="0"/>
              <w:autoSpaceDN w:val="0"/>
              <w:spacing w:before="208" w:line="183" w:lineRule="auto"/>
              <w:ind w:left="101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4</w:t>
            </w:r>
            <w:r>
              <w:rPr>
                <w:rFonts w:ascii="宋体" w:hAnsi="宋体" w:eastAsia="宋体" w:cs="宋体"/>
                <w:color w:val="auto"/>
                <w:spacing w:val="-2"/>
                <w:sz w:val="24"/>
                <w:szCs w:val="24"/>
                <w:highlight w:val="none"/>
              </w:rPr>
              <w:t>0</w:t>
            </w:r>
          </w:p>
        </w:tc>
        <w:tc>
          <w:tcPr>
            <w:tcW w:w="1874" w:type="dxa"/>
            <w:tcBorders>
              <w:left w:val="single" w:color="000000" w:sz="4" w:space="0"/>
              <w:right w:val="single" w:color="000000" w:sz="10" w:space="0"/>
            </w:tcBorders>
            <w:vAlign w:val="top"/>
          </w:tcPr>
          <w:p w14:paraId="66954997">
            <w:pPr>
              <w:autoSpaceDE w:val="0"/>
              <w:autoSpaceDN w:val="0"/>
              <w:rPr>
                <w:rFonts w:ascii="Arial"/>
                <w:color w:val="auto"/>
                <w:sz w:val="21"/>
                <w:highlight w:val="none"/>
              </w:rPr>
            </w:pPr>
          </w:p>
        </w:tc>
      </w:tr>
      <w:tr w14:paraId="726F59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512" w:type="dxa"/>
            <w:tcBorders>
              <w:left w:val="single" w:color="000000" w:sz="10" w:space="0"/>
              <w:right w:val="single" w:color="000000" w:sz="4" w:space="0"/>
            </w:tcBorders>
            <w:vAlign w:val="top"/>
          </w:tcPr>
          <w:p w14:paraId="17495BEF">
            <w:pPr>
              <w:autoSpaceDE w:val="0"/>
              <w:autoSpaceDN w:val="0"/>
              <w:spacing w:before="212" w:line="181" w:lineRule="auto"/>
              <w:ind w:left="0"/>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3713" w:type="dxa"/>
            <w:tcBorders>
              <w:left w:val="single" w:color="000000" w:sz="4" w:space="0"/>
              <w:right w:val="single" w:color="000000" w:sz="4" w:space="0"/>
            </w:tcBorders>
            <w:vAlign w:val="center"/>
          </w:tcPr>
          <w:p w14:paraId="21F4B1DA">
            <w:pPr>
              <w:autoSpaceDE w:val="0"/>
              <w:autoSpaceDN w:val="0"/>
              <w:spacing w:before="170" w:line="220" w:lineRule="auto"/>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厨</w:t>
            </w:r>
            <w:r>
              <w:rPr>
                <w:rFonts w:ascii="宋体" w:hAnsi="宋体" w:eastAsia="宋体" w:cs="宋体"/>
                <w:color w:val="auto"/>
                <w:spacing w:val="-3"/>
                <w:sz w:val="24"/>
                <w:szCs w:val="24"/>
                <w:highlight w:val="none"/>
              </w:rPr>
              <w:t>房</w:t>
            </w:r>
          </w:p>
        </w:tc>
        <w:tc>
          <w:tcPr>
            <w:tcW w:w="2483" w:type="dxa"/>
            <w:tcBorders>
              <w:left w:val="single" w:color="000000" w:sz="4" w:space="0"/>
              <w:right w:val="single" w:color="000000" w:sz="4" w:space="0"/>
            </w:tcBorders>
            <w:vAlign w:val="top"/>
          </w:tcPr>
          <w:p w14:paraId="29BA351B">
            <w:pPr>
              <w:autoSpaceDE w:val="0"/>
              <w:autoSpaceDN w:val="0"/>
              <w:spacing w:before="210" w:line="183" w:lineRule="auto"/>
              <w:ind w:left="1019"/>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3</w:t>
            </w:r>
            <w:r>
              <w:rPr>
                <w:rFonts w:ascii="宋体" w:hAnsi="宋体" w:eastAsia="宋体" w:cs="宋体"/>
                <w:color w:val="auto"/>
                <w:spacing w:val="-3"/>
                <w:sz w:val="24"/>
                <w:szCs w:val="24"/>
                <w:highlight w:val="none"/>
              </w:rPr>
              <w:t>0</w:t>
            </w:r>
          </w:p>
        </w:tc>
        <w:tc>
          <w:tcPr>
            <w:tcW w:w="1874" w:type="dxa"/>
            <w:tcBorders>
              <w:left w:val="single" w:color="000000" w:sz="4" w:space="0"/>
              <w:right w:val="single" w:color="000000" w:sz="10" w:space="0"/>
            </w:tcBorders>
            <w:vAlign w:val="top"/>
          </w:tcPr>
          <w:p w14:paraId="37C0C558">
            <w:pPr>
              <w:autoSpaceDE w:val="0"/>
              <w:autoSpaceDN w:val="0"/>
              <w:rPr>
                <w:rFonts w:ascii="Arial"/>
                <w:color w:val="auto"/>
                <w:sz w:val="21"/>
                <w:highlight w:val="none"/>
              </w:rPr>
            </w:pPr>
          </w:p>
        </w:tc>
      </w:tr>
    </w:tbl>
    <w:p w14:paraId="02844479">
      <w:pPr>
        <w:spacing w:before="78" w:line="220" w:lineRule="auto"/>
        <w:ind w:left="117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d</w:t>
      </w:r>
      <w:r>
        <w:rPr>
          <w:rFonts w:ascii="宋体" w:hAnsi="宋体" w:eastAsia="宋体" w:cs="宋体"/>
          <w:color w:val="auto"/>
          <w:spacing w:val="-1"/>
          <w:sz w:val="24"/>
          <w:szCs w:val="24"/>
          <w:highlight w:val="none"/>
          <w14:textOutline w14:w="4354" w14:cap="flat" w14:cmpd="sng">
            <w14:solidFill>
              <w14:srgbClr w14:val="000000"/>
            </w14:solidFill>
            <w14:prstDash w14:val="solid"/>
            <w14:miter w14:val="0"/>
          </w14:textOutline>
        </w:rPr>
        <w:t>.</w:t>
      </w:r>
      <w:r>
        <w:rPr>
          <w:rFonts w:ascii="宋体" w:hAnsi="宋体" w:eastAsia="宋体" w:cs="宋体"/>
          <w:color w:val="auto"/>
          <w:spacing w:val="-1"/>
          <w:sz w:val="24"/>
          <w:szCs w:val="24"/>
          <w:highlight w:val="none"/>
        </w:rPr>
        <w:t xml:space="preserve"> </w:t>
      </w:r>
      <w:r>
        <w:rPr>
          <w:rFonts w:hint="eastAsia" w:ascii="宋体" w:hAnsi="宋体" w:cs="宋体"/>
          <w:color w:val="auto"/>
          <w:spacing w:val="-1"/>
          <w:sz w:val="24"/>
          <w:szCs w:val="24"/>
          <w:highlight w:val="none"/>
          <w:lang w:val="en-US" w:eastAsia="zh-CN"/>
          <w14:textOutline w14:w="4354" w14:cap="flat" w14:cmpd="sng">
            <w14:solidFill>
              <w14:srgbClr w14:val="000000"/>
            </w14:solidFill>
            <w14:prstDash w14:val="solid"/>
            <w14:miter w14:val="0"/>
          </w14:textOutline>
        </w:rPr>
        <w:t>检测交通</w:t>
      </w:r>
      <w:r>
        <w:rPr>
          <w:rFonts w:ascii="宋体" w:hAnsi="宋体" w:eastAsia="宋体" w:cs="宋体"/>
          <w:color w:val="auto"/>
          <w:sz w:val="24"/>
          <w:szCs w:val="24"/>
          <w:highlight w:val="none"/>
          <w14:textOutline w14:w="4354" w14:cap="flat" w14:cmpd="sng">
            <w14:solidFill>
              <w14:srgbClr w14:val="000000"/>
            </w14:solidFill>
            <w14:prstDash w14:val="solid"/>
            <w14:miter w14:val="0"/>
          </w14:textOutline>
        </w:rPr>
        <w:t>用车最低配备</w:t>
      </w:r>
    </w:p>
    <w:p w14:paraId="767F5C86">
      <w:pPr>
        <w:spacing w:line="146" w:lineRule="exact"/>
        <w:rPr>
          <w:color w:val="auto"/>
          <w:highlight w:val="none"/>
        </w:rPr>
      </w:pPr>
    </w:p>
    <w:tbl>
      <w:tblPr>
        <w:tblStyle w:val="650"/>
        <w:tblW w:w="964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39"/>
        <w:gridCol w:w="1123"/>
        <w:gridCol w:w="6186"/>
      </w:tblGrid>
      <w:tr w14:paraId="1371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39" w:type="dxa"/>
            <w:tcBorders>
              <w:left w:val="single" w:color="000000" w:sz="10" w:space="0"/>
              <w:bottom w:val="nil"/>
            </w:tcBorders>
            <w:vAlign w:val="center"/>
          </w:tcPr>
          <w:p w14:paraId="01E99C82">
            <w:pPr>
              <w:autoSpaceDE w:val="0"/>
              <w:autoSpaceDN w:val="0"/>
              <w:spacing w:before="268" w:line="220" w:lineRule="auto"/>
              <w:ind w:left="0"/>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车型</w:t>
            </w:r>
          </w:p>
        </w:tc>
        <w:tc>
          <w:tcPr>
            <w:tcW w:w="1123" w:type="dxa"/>
            <w:tcBorders>
              <w:bottom w:val="nil"/>
            </w:tcBorders>
            <w:vAlign w:val="center"/>
          </w:tcPr>
          <w:p w14:paraId="36F480B8">
            <w:pPr>
              <w:autoSpaceDE w:val="0"/>
              <w:autoSpaceDN w:val="0"/>
              <w:spacing w:before="269" w:line="220" w:lineRule="auto"/>
              <w:ind w:left="0"/>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单位</w:t>
            </w:r>
          </w:p>
        </w:tc>
        <w:tc>
          <w:tcPr>
            <w:tcW w:w="6186" w:type="dxa"/>
            <w:tcBorders>
              <w:right w:val="single" w:color="000000" w:sz="10" w:space="0"/>
            </w:tcBorders>
            <w:vAlign w:val="center"/>
          </w:tcPr>
          <w:p w14:paraId="2EA77E5E">
            <w:pPr>
              <w:autoSpaceDE w:val="0"/>
              <w:autoSpaceDN w:val="0"/>
              <w:spacing w:before="37" w:line="216" w:lineRule="auto"/>
              <w:ind w:left="0"/>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数量</w:t>
            </w:r>
          </w:p>
        </w:tc>
      </w:tr>
      <w:tr w14:paraId="64CE5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39" w:type="dxa"/>
            <w:tcBorders>
              <w:left w:val="single" w:color="000000" w:sz="10" w:space="0"/>
            </w:tcBorders>
            <w:vAlign w:val="center"/>
          </w:tcPr>
          <w:p w14:paraId="0AE7C36B">
            <w:pPr>
              <w:autoSpaceDE w:val="0"/>
              <w:autoSpaceDN w:val="0"/>
              <w:spacing w:before="78" w:line="220" w:lineRule="auto"/>
              <w:ind w:left="259"/>
              <w:jc w:val="center"/>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越野车(皮卡车</w:t>
            </w:r>
            <w:r>
              <w:rPr>
                <w:rFonts w:ascii="宋体" w:hAnsi="宋体" w:eastAsia="宋体" w:cs="宋体"/>
                <w:color w:val="auto"/>
                <w:spacing w:val="11"/>
                <w:sz w:val="24"/>
                <w:szCs w:val="24"/>
                <w:highlight w:val="none"/>
              </w:rPr>
              <w:t>)</w:t>
            </w:r>
          </w:p>
        </w:tc>
        <w:tc>
          <w:tcPr>
            <w:tcW w:w="1123" w:type="dxa"/>
            <w:vAlign w:val="center"/>
          </w:tcPr>
          <w:p w14:paraId="6D84BE45">
            <w:pPr>
              <w:autoSpaceDE w:val="0"/>
              <w:autoSpaceDN w:val="0"/>
              <w:spacing w:before="78" w:line="222" w:lineRule="auto"/>
              <w:ind w:left="461"/>
              <w:rPr>
                <w:rFonts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6186" w:type="dxa"/>
            <w:tcBorders>
              <w:right w:val="single" w:color="000000" w:sz="10" w:space="0"/>
            </w:tcBorders>
            <w:vAlign w:val="center"/>
          </w:tcPr>
          <w:p w14:paraId="60E5AA24">
            <w:pPr>
              <w:autoSpaceDE w:val="0"/>
              <w:autoSpaceDN w:val="0"/>
              <w:spacing w:before="31" w:line="220" w:lineRule="auto"/>
              <w:ind w:left="0" w:right="0" w:firstLine="0"/>
              <w:jc w:val="center"/>
              <w:rPr>
                <w:rFonts w:ascii="宋体" w:hAnsi="宋体" w:eastAsia="宋体" w:cs="宋体"/>
                <w:color w:val="auto"/>
                <w:sz w:val="24"/>
                <w:szCs w:val="24"/>
                <w:highlight w:val="none"/>
              </w:rPr>
            </w:pPr>
            <w:r>
              <w:rPr>
                <w:rFonts w:hint="eastAsia" w:ascii="宋体" w:hAnsi="宋体" w:cs="宋体"/>
                <w:color w:val="auto"/>
                <w:spacing w:val="33"/>
                <w:sz w:val="24"/>
                <w:szCs w:val="24"/>
                <w:highlight w:val="none"/>
                <w:lang w:val="en-US" w:eastAsia="zh-CN"/>
              </w:rPr>
              <w:t>2</w:t>
            </w:r>
          </w:p>
        </w:tc>
      </w:tr>
      <w:tr w14:paraId="1B58D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2339" w:type="dxa"/>
            <w:tcBorders>
              <w:left w:val="single" w:color="000000" w:sz="10" w:space="0"/>
            </w:tcBorders>
            <w:vAlign w:val="center"/>
          </w:tcPr>
          <w:p w14:paraId="4055CB2B">
            <w:pPr>
              <w:autoSpaceDE w:val="0"/>
              <w:autoSpaceDN w:val="0"/>
              <w:spacing w:before="78" w:line="220" w:lineRule="auto"/>
              <w:ind w:left="259"/>
              <w:jc w:val="center"/>
              <w:rPr>
                <w:rFonts w:hint="default" w:ascii="宋体" w:hAnsi="宋体" w:eastAsia="宋体" w:cs="宋体"/>
                <w:color w:val="auto"/>
                <w:spacing w:val="12"/>
                <w:sz w:val="24"/>
                <w:szCs w:val="24"/>
                <w:highlight w:val="none"/>
                <w:lang w:val="en-US" w:eastAsia="zh-CN"/>
              </w:rPr>
            </w:pPr>
            <w:r>
              <w:rPr>
                <w:rFonts w:hint="eastAsia" w:ascii="宋体" w:hAnsi="宋体" w:cs="宋体"/>
                <w:color w:val="auto"/>
                <w:spacing w:val="12"/>
                <w:sz w:val="24"/>
                <w:szCs w:val="24"/>
                <w:highlight w:val="none"/>
                <w:lang w:val="en-US" w:eastAsia="zh-CN"/>
              </w:rPr>
              <w:t>载货皮卡</w:t>
            </w:r>
          </w:p>
        </w:tc>
        <w:tc>
          <w:tcPr>
            <w:tcW w:w="1123" w:type="dxa"/>
            <w:vAlign w:val="center"/>
          </w:tcPr>
          <w:p w14:paraId="42F72720">
            <w:pPr>
              <w:autoSpaceDE w:val="0"/>
              <w:autoSpaceDN w:val="0"/>
              <w:spacing w:before="78" w:line="222" w:lineRule="auto"/>
              <w:ind w:left="461"/>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台</w:t>
            </w:r>
          </w:p>
        </w:tc>
        <w:tc>
          <w:tcPr>
            <w:tcW w:w="6186" w:type="dxa"/>
            <w:tcBorders>
              <w:right w:val="single" w:color="000000" w:sz="10" w:space="0"/>
            </w:tcBorders>
            <w:vAlign w:val="center"/>
          </w:tcPr>
          <w:p w14:paraId="3D3F6362">
            <w:pPr>
              <w:autoSpaceDE w:val="0"/>
              <w:autoSpaceDN w:val="0"/>
              <w:spacing w:before="30" w:line="241" w:lineRule="auto"/>
              <w:ind w:left="0" w:right="214" w:firstLine="0"/>
              <w:jc w:val="center"/>
              <w:rPr>
                <w:rFonts w:hint="eastAsia" w:ascii="宋体" w:hAnsi="宋体" w:eastAsia="宋体" w:cs="宋体"/>
                <w:color w:val="auto"/>
                <w:spacing w:val="33"/>
                <w:sz w:val="24"/>
                <w:szCs w:val="24"/>
                <w:highlight w:val="none"/>
                <w:lang w:val="en-US" w:eastAsia="zh-CN"/>
              </w:rPr>
            </w:pPr>
            <w:r>
              <w:rPr>
                <w:rFonts w:hint="eastAsia" w:ascii="宋体" w:hAnsi="宋体" w:cs="宋体"/>
                <w:color w:val="auto"/>
                <w:spacing w:val="33"/>
                <w:sz w:val="24"/>
                <w:szCs w:val="24"/>
                <w:highlight w:val="none"/>
                <w:lang w:val="en-US" w:eastAsia="zh-CN"/>
              </w:rPr>
              <w:t>2</w:t>
            </w:r>
          </w:p>
        </w:tc>
      </w:tr>
    </w:tbl>
    <w:p w14:paraId="6BE3704E">
      <w:pPr>
        <w:widowControl/>
        <w:spacing w:before="0" w:line="360" w:lineRule="auto"/>
        <w:ind w:left="0" w:righ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e. 测量记录设备 </w:t>
      </w:r>
    </w:p>
    <w:p w14:paraId="02E54878">
      <w:pPr>
        <w:widowControl/>
        <w:spacing w:before="0" w:line="360" w:lineRule="auto"/>
        <w:ind w:left="0" w:righ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检测人应按《安徽省高速公路工地标准化建设指南》规定标准提供符合精度要求的测量记录设备以及必要的附件，并负责标定、维修和保养直到工程接收证书颁发为止。 </w:t>
      </w:r>
    </w:p>
    <w:p w14:paraId="3860DC25">
      <w:pPr>
        <w:widowControl/>
        <w:spacing w:before="0" w:line="360" w:lineRule="auto"/>
        <w:ind w:left="0" w:right="0"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5.8.3 中心试验室应满足信息化建设的相关要求，建立信息化管理系统，试验室须使用试验室数据自动采集系统，自动采集系统应与委托人的项目管理系统兼容，保证相关数据的正常传输，如压力机、拉力机等数据应进行实时采集与传输；其他无法数据自动采集、传输等要求的，要求安装视频监控系统</w:t>
      </w:r>
      <w:r>
        <w:rPr>
          <w:rFonts w:hint="eastAsia" w:ascii="宋体" w:hAnsi="宋体" w:cs="宋体"/>
          <w:color w:val="auto"/>
          <w:spacing w:val="0"/>
          <w:kern w:val="0"/>
          <w:sz w:val="24"/>
          <w:szCs w:val="24"/>
          <w:highlight w:val="none"/>
          <w:lang w:val="en-US" w:eastAsia="zh-CN" w:bidi="ar"/>
        </w:rPr>
        <w:t>。</w:t>
      </w:r>
    </w:p>
    <w:p w14:paraId="70886251">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 试验检测 </w:t>
      </w:r>
    </w:p>
    <w:p w14:paraId="384A6C0B">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 监理人与中心试验室检测服务工作界面 </w:t>
      </w:r>
    </w:p>
    <w:p w14:paraId="7F13D1D8">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5.9.2.1 委托人授权监理人开展试验检测管理工作，监理人以委托单的形式要求中心试验室完成试验测试工作并提交检测成果。中心试验室应服从监理人的管理，并在监理人要求的时间内完成试验检测工作和报告提交。 </w:t>
      </w:r>
    </w:p>
    <w:p w14:paraId="36BB3A8A">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5.9.2.2 材料试验：按规定应通过试验检测验收的原材料、半成品，在中心试验室授权许可范围内的试验检测项目，由监理人按规定频率取样送样至中心试验室，中心试验室负责具体试验检测工作并向监理人出具试验检测报告。 </w:t>
      </w:r>
    </w:p>
    <w:p w14:paraId="02193B56">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5.9.2.3 标准试验：由监理人将所需材料取样送至中心试验室，同时提供待验证的配合比数据，如中心试验室认为有必要，可自行取样，由中心试验室负责具体试验工作并向监理人出具试验报告。 </w:t>
      </w:r>
    </w:p>
    <w:p w14:paraId="12C8EB87">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5.9.2.4 现场测试：中心试验室受监理委托，进行现场取样、试验并向监理人出具试验报告。 </w:t>
      </w:r>
    </w:p>
    <w:p w14:paraId="7B205377">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5.9.2.5 工艺性试验：监理人根据施工要求确定工艺性试验内容和指标，在中心试验室授权许可范围内的试验项目，由监理人委托中心试验室开展相关试验，中心试验室向监理人出具试验报告。 </w:t>
      </w:r>
    </w:p>
    <w:p w14:paraId="121A0683">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5.9.2.6 外委试验：中心试验室无资格承担的试验检测项目，中心试验室可委托具备相应资质并经委托人认可的试验检测单位进行试验检测，由委托的试验检测机构直接出具试验报告。中心试验室、施工、监理要建立外委试验管理台帐，详细记录外委试验情况，外委试验的报告应归入相关的工程或材料档案。 </w:t>
      </w:r>
    </w:p>
    <w:p w14:paraId="323BADE1">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5.9.2.7 中心试验室协助委托人对施工承包人工地试验室试验检测人员和试验检测仪器设备的履约检查、变更审核以及工地试验室临时资质备案、工地试验室信用评价等工作，指导工地试验室日常管理工作。 </w:t>
      </w:r>
    </w:p>
    <w:p w14:paraId="2091A5D6">
      <w:pPr>
        <w:widowControl/>
        <w:spacing w:before="0" w:line="360" w:lineRule="auto"/>
        <w:ind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5.9.2.8 委托人将在项目实施过程中制定相关办法，监理人和检测人应遵照执行。 </w:t>
      </w:r>
    </w:p>
    <w:p w14:paraId="4FD2EECB">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6. 开始检测服务和完成检测服务 </w:t>
      </w:r>
    </w:p>
    <w:p w14:paraId="1B37F7C2">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新增 6.5 款： </w:t>
      </w:r>
    </w:p>
    <w:p w14:paraId="5A0830D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6.5 检测服务的时间和期限 </w:t>
      </w:r>
    </w:p>
    <w:p w14:paraId="6B967778">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6.5.1 检测人必须按照检测合同约定的时间和有关期限履行和完成检测服务。检测服务期为“从签订《施工检测合同协议书》之日起到签发《工程缺陷责任终止证书》之日止。” 根据工程管理过程划分为三个阶段，具体为检测合同签订之日至工程开工令确定的开工之日为施工准备阶段；工程开工之日至工程交工验收申请受理之日为施工阶段；工程交工验收申请受理之日至缺陷责任终止证书签发之日为验收与缺陷责任期阶段。 </w:t>
      </w:r>
    </w:p>
    <w:p w14:paraId="5DA099D6">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6.5.2 因检测人服务的工程出现重大或较大设计变更，导致管理服务工作量或工作时间的增减，应相应调整检测服务范围和时间。 </w:t>
      </w:r>
    </w:p>
    <w:p w14:paraId="09582BF1">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6.5.3 在签订本检测合同后，委托人不考虑因物价变动等因素而引起的检测服务费的调整。即检测服务费在服务期内不予调整。 </w:t>
      </w:r>
    </w:p>
    <w:p w14:paraId="4374A515">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 合同价格 </w:t>
      </w:r>
    </w:p>
    <w:p w14:paraId="46DD0CD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9.1 合同价格 </w:t>
      </w:r>
    </w:p>
    <w:p w14:paraId="18FB5B1D">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9.1.4 正常检测服务费用为施工准备阶段、施工阶段、验收与缺陷责任期阶段的检测服务全部费用。本合同检测服务费按照检测人的试验检测服务费报价表计算。其中，配合进行交工验收的检测服务费不另报价，均包含在相关单价中。 </w:t>
      </w:r>
    </w:p>
    <w:p w14:paraId="1E75D60D">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9.2 预付款 </w:t>
      </w:r>
    </w:p>
    <w:p w14:paraId="5BDE3C3D">
      <w:pPr>
        <w:widowControl/>
        <w:spacing w:line="360" w:lineRule="auto"/>
        <w:ind w:left="0" w:firstLine="480" w:firstLineChars="200"/>
        <w:jc w:val="left"/>
        <w:rPr>
          <w:rFonts w:hint="eastAsia" w:ascii="宋体" w:hAnsi="宋体" w:eastAsia="宋体" w:cs="宋体"/>
          <w:color w:val="auto"/>
          <w:spacing w:val="0"/>
          <w:kern w:val="0"/>
          <w:sz w:val="24"/>
          <w:szCs w:val="24"/>
          <w:highlight w:val="none"/>
          <w:u w:val="none"/>
          <w:lang w:val="en-US" w:eastAsia="zh-CN" w:bidi="ar"/>
        </w:rPr>
      </w:pPr>
      <w:r>
        <w:rPr>
          <w:rFonts w:hint="eastAsia" w:ascii="宋体" w:hAnsi="宋体" w:eastAsia="宋体" w:cs="宋体"/>
          <w:color w:val="auto"/>
          <w:spacing w:val="0"/>
          <w:kern w:val="0"/>
          <w:sz w:val="24"/>
          <w:szCs w:val="24"/>
          <w:highlight w:val="none"/>
          <w:u w:val="none"/>
          <w:lang w:val="en-US" w:eastAsia="zh-CN" w:bidi="ar"/>
        </w:rPr>
        <w:t xml:space="preserve">开工预付款金额：10%签约合同价（不含暂列金额）。 </w:t>
      </w:r>
    </w:p>
    <w:p w14:paraId="004EAD25">
      <w:pPr>
        <w:spacing w:line="360" w:lineRule="auto"/>
        <w:ind w:firstLine="442" w:firstLineChars="200"/>
        <w:rPr>
          <w:b/>
          <w:bCs/>
          <w:color w:val="auto"/>
          <w:sz w:val="22"/>
          <w:szCs w:val="22"/>
          <w:highlight w:val="none"/>
          <w:u w:val="none"/>
        </w:rPr>
      </w:pPr>
      <w:r>
        <w:rPr>
          <w:rFonts w:hint="eastAsia"/>
          <w:b/>
          <w:bCs/>
          <w:color w:val="auto"/>
          <w:sz w:val="22"/>
          <w:szCs w:val="22"/>
          <w:highlight w:val="none"/>
          <w:u w:val="none"/>
          <w:lang w:val="en-US" w:eastAsia="zh-CN"/>
        </w:rPr>
        <w:t>9</w:t>
      </w:r>
      <w:r>
        <w:rPr>
          <w:b/>
          <w:bCs/>
          <w:color w:val="auto"/>
          <w:sz w:val="22"/>
          <w:szCs w:val="22"/>
          <w:highlight w:val="none"/>
          <w:u w:val="none"/>
        </w:rPr>
        <w:t>.2.1 预付款</w:t>
      </w:r>
    </w:p>
    <w:p w14:paraId="17A13235">
      <w:pPr>
        <w:spacing w:line="360" w:lineRule="auto"/>
        <w:ind w:firstLine="442" w:firstLineChars="200"/>
        <w:rPr>
          <w:rFonts w:ascii="Times New Roman" w:hAnsi="Times New Roman" w:eastAsia="宋体" w:cs="Times New Roman"/>
          <w:b/>
          <w:bCs/>
          <w:color w:val="auto"/>
          <w:sz w:val="22"/>
          <w:szCs w:val="22"/>
          <w:highlight w:val="none"/>
          <w:u w:val="none"/>
        </w:rPr>
      </w:pPr>
      <w:r>
        <w:rPr>
          <w:rFonts w:hint="eastAsia" w:eastAsia="宋体" w:cs="Times New Roman"/>
          <w:b/>
          <w:bCs/>
          <w:color w:val="auto"/>
          <w:sz w:val="22"/>
          <w:szCs w:val="22"/>
          <w:highlight w:val="none"/>
          <w:u w:val="none"/>
          <w:lang w:val="en-US" w:eastAsia="zh-CN"/>
        </w:rPr>
        <w:t>9</w:t>
      </w:r>
      <w:r>
        <w:rPr>
          <w:rFonts w:ascii="Times New Roman" w:hAnsi="Times New Roman" w:eastAsia="宋体" w:cs="Times New Roman"/>
          <w:b/>
          <w:bCs/>
          <w:color w:val="auto"/>
          <w:sz w:val="22"/>
          <w:szCs w:val="22"/>
          <w:highlight w:val="none"/>
          <w:u w:val="none"/>
        </w:rPr>
        <w:t>.2.1（1）文末补充：</w:t>
      </w:r>
    </w:p>
    <w:p w14:paraId="0049D0F1">
      <w:pPr>
        <w:spacing w:line="360" w:lineRule="auto"/>
        <w:ind w:firstLine="442" w:firstLineChars="200"/>
        <w:rPr>
          <w:rFonts w:ascii="Times New Roman" w:hAnsi="Times New Roman" w:eastAsia="宋体" w:cs="Times New Roman"/>
          <w:b/>
          <w:bCs/>
          <w:color w:val="auto"/>
          <w:sz w:val="22"/>
          <w:szCs w:val="22"/>
          <w:highlight w:val="none"/>
          <w:u w:val="none"/>
        </w:rPr>
      </w:pPr>
      <w:r>
        <w:rPr>
          <w:rFonts w:ascii="Times New Roman" w:hAnsi="Times New Roman" w:eastAsia="宋体" w:cs="Times New Roman"/>
          <w:b/>
          <w:bCs/>
          <w:color w:val="auto"/>
          <w:sz w:val="22"/>
          <w:szCs w:val="22"/>
          <w:highlight w:val="none"/>
          <w:u w:val="none"/>
        </w:rPr>
        <w:t>（1）开工预付款的支付：承包人须向发包人提交预付款保函。预付款保函将在招标文件中给予明确。</w:t>
      </w:r>
    </w:p>
    <w:p w14:paraId="09470EF0">
      <w:pPr>
        <w:spacing w:line="360" w:lineRule="auto"/>
        <w:ind w:firstLine="442" w:firstLineChars="200"/>
        <w:rPr>
          <w:rFonts w:ascii="Times New Roman" w:hAnsi="Times New Roman" w:eastAsia="宋体" w:cs="Times New Roman"/>
          <w:b/>
          <w:bCs/>
          <w:color w:val="auto"/>
          <w:sz w:val="22"/>
          <w:szCs w:val="22"/>
          <w:highlight w:val="none"/>
          <w:u w:val="none"/>
        </w:rPr>
      </w:pPr>
      <w:r>
        <w:rPr>
          <w:rFonts w:ascii="Times New Roman" w:hAnsi="Times New Roman" w:eastAsia="宋体" w:cs="Times New Roman"/>
          <w:b/>
          <w:bCs/>
          <w:color w:val="auto"/>
          <w:sz w:val="22"/>
          <w:szCs w:val="22"/>
          <w:highlight w:val="none"/>
          <w:u w:val="none"/>
        </w:rPr>
        <w:t>承包人在提交了预付款保函和签定了合同协议书并在主要人员、设备达到合同文件规定及驻地建设完成后，支付预付款。</w:t>
      </w:r>
    </w:p>
    <w:p w14:paraId="75735180">
      <w:pPr>
        <w:spacing w:line="360" w:lineRule="auto"/>
        <w:ind w:firstLine="442" w:firstLineChars="200"/>
        <w:rPr>
          <w:rFonts w:ascii="Times New Roman" w:hAnsi="Times New Roman" w:eastAsia="宋体" w:cs="Times New Roman"/>
          <w:b/>
          <w:bCs/>
          <w:color w:val="auto"/>
          <w:sz w:val="22"/>
          <w:szCs w:val="22"/>
          <w:highlight w:val="none"/>
          <w:u w:val="none"/>
        </w:rPr>
      </w:pPr>
      <w:r>
        <w:rPr>
          <w:rFonts w:ascii="Times New Roman" w:hAnsi="Times New Roman" w:eastAsia="宋体" w:cs="Times New Roman"/>
          <w:b/>
          <w:bCs/>
          <w:color w:val="auto"/>
          <w:sz w:val="22"/>
          <w:szCs w:val="22"/>
          <w:highlight w:val="none"/>
          <w:u w:val="none"/>
        </w:rPr>
        <w:t>承包人不得将该预付款用于与本工程无关的支出，发包人或监理人有权监督承包人对该项费用的使用，如经查实承包人滥用开工预付款，发包人有权立即通过预付款保函的约定向银行发出书面通知收回该款。</w:t>
      </w:r>
    </w:p>
    <w:p w14:paraId="1FC08244">
      <w:pPr>
        <w:spacing w:line="360" w:lineRule="auto"/>
        <w:ind w:firstLine="442" w:firstLineChars="200"/>
        <w:rPr>
          <w:rFonts w:ascii="Times New Roman" w:hAnsi="Times New Roman" w:eastAsia="宋体" w:cs="Times New Roman"/>
          <w:b/>
          <w:bCs/>
          <w:color w:val="auto"/>
          <w:sz w:val="22"/>
          <w:szCs w:val="22"/>
          <w:highlight w:val="none"/>
          <w:u w:val="none"/>
        </w:rPr>
      </w:pPr>
      <w:r>
        <w:rPr>
          <w:rFonts w:ascii="Times New Roman" w:hAnsi="Times New Roman" w:eastAsia="宋体" w:cs="Times New Roman"/>
          <w:b/>
          <w:bCs/>
          <w:color w:val="auto"/>
          <w:sz w:val="22"/>
          <w:szCs w:val="22"/>
          <w:highlight w:val="none"/>
          <w:u w:val="none"/>
        </w:rPr>
        <w:t>开工预付款的扣回：工程建设中分三次扣回，扣回比例分别为 30%、30%、40%，扣回时间根据工程进展具体情况确定。</w:t>
      </w:r>
    </w:p>
    <w:tbl>
      <w:tblPr>
        <w:tblStyle w:val="650"/>
        <w:tblW w:w="9611"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7730"/>
      </w:tblGrid>
      <w:tr w14:paraId="1E232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trPr>
        <w:tc>
          <w:tcPr>
            <w:tcW w:w="1881" w:type="dxa"/>
            <w:vAlign w:val="center"/>
          </w:tcPr>
          <w:p w14:paraId="24E64612">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开工预付款担保</w:t>
            </w:r>
          </w:p>
        </w:tc>
        <w:tc>
          <w:tcPr>
            <w:tcW w:w="7730" w:type="dxa"/>
          </w:tcPr>
          <w:p w14:paraId="3F60EE7A">
            <w:pPr>
              <w:autoSpaceDE w:val="0"/>
              <w:autoSpaceDN w:val="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1、担保形式：银行保函</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担保机构担保</w:t>
            </w:r>
          </w:p>
          <w:p w14:paraId="11178B29">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2、担保数额：开工预付款全额（不含暂列金额）</w:t>
            </w:r>
          </w:p>
          <w:p w14:paraId="65320EAF">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3、担保提交时限：开工预付款支付前若中标人未提交该担保，招标人将不支付开工预付款。</w:t>
            </w:r>
          </w:p>
          <w:p w14:paraId="119F6C7B">
            <w:pPr>
              <w:autoSpaceDE w:val="0"/>
              <w:autoSpaceDN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4、退还：开工预付款全部扣回后。</w:t>
            </w:r>
          </w:p>
        </w:tc>
      </w:tr>
    </w:tbl>
    <w:p w14:paraId="57EC8BA7">
      <w:pPr>
        <w:pStyle w:val="74"/>
        <w:rPr>
          <w:rFonts w:hint="eastAsia"/>
          <w:color w:val="auto"/>
          <w:highlight w:val="none"/>
        </w:rPr>
      </w:pPr>
    </w:p>
    <w:p w14:paraId="09478405">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9.3 中期支付 </w:t>
      </w:r>
    </w:p>
    <w:p w14:paraId="6E2CACF8">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新增 9.3.6 项： </w:t>
      </w:r>
    </w:p>
    <w:p w14:paraId="5FC550D6">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9.3.6 本合同检测服务费按照检测人的试验检测服务费报价表计算。合同费用分为施工阶段费用（包含施工准备阶段费用）和缺陷责任阶段费用两部分。其中，施工准备阶段检测服务费不另报价，包含在相关费用中。 </w:t>
      </w:r>
    </w:p>
    <w:p w14:paraId="030470AA">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9.3.6.1 施工阶段费用划分为五部分：检测人员服务费、检测办公设施费、检测交通设施费、试验设施费、生活设施费。 </w:t>
      </w:r>
    </w:p>
    <w:p w14:paraId="7162A49F">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a. 检测人员服务费、检测交通设施费每季度按工程进度结算一期，每期结算费用=（检测人员服务费+检测交通设施费）×〔所辖施工标段当季度计量费用总和/（所辖施工标段的合同金额总和-暂定金）〕，交工验收结束后支付检测人员服务费、检测交通设施费的剩余部分费用。 </w:t>
      </w:r>
    </w:p>
    <w:p w14:paraId="1FC7CDB4">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b. 检测办公设施费、试验设施费、生活设施费分三次结算，检测人进场完成驻地建设并经委托人检查验收合格后（附书面资料）结算 60%、路面工程开始规模化施工后结算 30%、交工验收结束后结算 10%。 </w:t>
      </w:r>
    </w:p>
    <w:p w14:paraId="45777173">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9.3.6.2 专项检测费，经委托人同意后，根据现场实体检测数量×对应的合同单价，在递交专项检测报告后进行结算。 </w:t>
      </w:r>
    </w:p>
    <w:p w14:paraId="26523E74">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9.3.6.3 缺陷责任期费用一次性结算，在竣工验收后 28 天内结清。 </w:t>
      </w:r>
    </w:p>
    <w:p w14:paraId="54E2F60B">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9.4 费用结算 </w:t>
      </w:r>
    </w:p>
    <w:p w14:paraId="3E6365BE">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新增 9.4.5 </w:t>
      </w:r>
    </w:p>
    <w:p w14:paraId="114164FE">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9.4.5 质量保证 </w:t>
      </w:r>
    </w:p>
    <w:p w14:paraId="4E35A00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检测人按照合同应对所检测的工程质量负责，合同执行过程中如发生重大质量事故一次扣除合同价款的 3%，一般质量事故首次扣除合同价款 1.5%，一般质量事故两次扣除合同价款 3%，质量问题按每次扣除 1 万元。 </w:t>
      </w:r>
    </w:p>
    <w:p w14:paraId="3C88E9F8">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9.5 暂列金额 </w:t>
      </w:r>
    </w:p>
    <w:p w14:paraId="467F702B">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检测服务费合同中标明的暂列金额未经委托人批准不予动用。 </w:t>
      </w:r>
    </w:p>
    <w:p w14:paraId="5C7D69F4">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新增 9.7 款 </w:t>
      </w:r>
    </w:p>
    <w:p w14:paraId="3A19ECC8">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9.7 工程延期检测费用 </w:t>
      </w:r>
    </w:p>
    <w:p w14:paraId="4FEC2E81">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无论任何原因导致检测服务期延期，其发生的任何费用包含在合同总价中，不单独计量。 </w:t>
      </w:r>
    </w:p>
    <w:p w14:paraId="0CC2C29B">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11．违约 </w:t>
      </w:r>
    </w:p>
    <w:p w14:paraId="25497504">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 检测人违约 </w:t>
      </w:r>
    </w:p>
    <w:p w14:paraId="20E6AA13">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新增 11.1.5 项： </w:t>
      </w:r>
    </w:p>
    <w:p w14:paraId="4DEEE58D">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 检测人的违约及赔偿责任 </w:t>
      </w:r>
    </w:p>
    <w:p w14:paraId="33FE51E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11.1.5.1 检测人派驻到项目所在地履行检测服务的检测人员，必须是本合同约定的人员，不得擅自更换，否则视为违约，委托人则可终止合同，且不承担检测人为本项目所付出的一切费用。 </w:t>
      </w:r>
    </w:p>
    <w:p w14:paraId="59D6BB1B">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11.1.5.2 检测人员应在进场时报委托人审查及批复。检测工作实施过程中，相关人员确实因特殊原因需要更换时，应报委托人审查，审查同意后方可批复；所有更换人员应在委托人批复后方准予进场。另外，项目实施过程中，中心试验室主任若无法到位需替换应事先征得委托人同意，检测人应用不低于被更换人资格和经历的人员更换，并收取 50 万元违约金，因中心试验室主任、试验检测工程师不称职，委托人要求更换时，检测人应用不低于被更换人资格和经历的人员更换，并收取审查费 10 万元，同时上报安徽省交通建设工程质量监督局进行信用评价备案。 </w:t>
      </w:r>
    </w:p>
    <w:p w14:paraId="1B893262">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如进场检测人员不按时报委托人审查，委托人将按中心试验室主任每人每月 5 万元、试验检测工程师每人每月1万元、试验员每人每月 5000 元收取违约金。上述费用直接从检测服务费用支付中扣除。 </w:t>
      </w:r>
    </w:p>
    <w:p w14:paraId="2738FB03">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11.1.5.3 检测人的抽检、试验检测资料必须确保时效性、真实性、准确性，对工作效率低、抽检或检测报告数据不准确或未按规定履行检测频率等行为，委托人有权收取违约金。 </w:t>
      </w:r>
    </w:p>
    <w:p w14:paraId="537CD876">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11.1.5.4 施工过程中，如发现检测人员脱岗每人每次收取 2000 元违约金，因检测原因造成经 济损失的收取 50 万元以下违约金，报表不及时或不规范每次收取 1000 元违约金，违约金从当期支付中直接扣除。 </w:t>
      </w:r>
    </w:p>
    <w:p w14:paraId="31B418DA">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11.1.5.5 项目实施过程中，检测人应根据委托人要求及时组织好各阶段所需的合同检测人员进场服务，不得延迟或擅自更换；否则视为违约，收取违约金从当期支付中直接扣除，甚至终止合同，且委托人不承担检测人为本项目所付出的一切费用。 </w:t>
      </w:r>
    </w:p>
    <w:p w14:paraId="6A3DBDC2">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 xml:space="preserve">11.1.5.6 属下列情况之一者，将视为检测人违约，委托人有权视情节部分或全部扣除检测人的履约保证金或单方面终止合同，由此造成的损失由检测人自负。 </w:t>
      </w:r>
    </w:p>
    <w:p w14:paraId="23063377">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val="en-US" w:eastAsia="zh-CN" w:bidi="ar"/>
        </w:rPr>
      </w:pPr>
      <w:r>
        <w:rPr>
          <w:rFonts w:hint="eastAsia" w:ascii="宋体" w:hAnsi="宋体" w:eastAsia="宋体" w:cs="宋体"/>
          <w:color w:val="auto"/>
          <w:spacing w:val="0"/>
          <w:kern w:val="0"/>
          <w:sz w:val="24"/>
          <w:szCs w:val="24"/>
          <w:highlight w:val="none"/>
          <w:lang w:val="en-US" w:eastAsia="zh-CN" w:bidi="ar"/>
        </w:rPr>
        <w:t>（a）检测人违反试验检测合同的规定，将试验检测服务的任何部分予以分包。</w:t>
      </w:r>
    </w:p>
    <w:p w14:paraId="7C5F13EA">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（b）合同执行期间，试验检测人员不能胜任本职工作，而检测人又不能按委托人要求及时更换；或检测人在接到委托人的通知后未按规定增派或雇用试验检测人员。 </w:t>
      </w:r>
    </w:p>
    <w:p w14:paraId="2C9AD009">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（c）试验检测人员严重失职造成工程事故或向承包人索贿或谋取私利，在工作期间徇私舞弊，给委托人造成损失。 </w:t>
      </w:r>
    </w:p>
    <w:p w14:paraId="4D80781A">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d）合同执行期间，由于检测人未能在合理的时间内及时检测或未及时向委托人提供有效检测数据，或提供了虚假（包括不真实）数据造成承包人进度延误或中断施工，致使委托人增加费用支出或工期延误；或由于试验检测的原因造成监理人对承包人所下达的指令不能按期落实，导致进度缓慢，工期延误，工程质量低劣。 </w:t>
      </w:r>
    </w:p>
    <w:p w14:paraId="6A55AEDD">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（e）未经委托人同意，主要试验检测人员擅离岗位；或检测人参加本工程试验检测工作人员的出勤率较低，造成试验检测工作不力。 </w:t>
      </w:r>
    </w:p>
    <w:p w14:paraId="33894F06">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（f）试验检测人员违背合同、违反程序，未经委托人批示同意直接向施工单位提供试验检测数据（资料）或私下透露试验、检测相关消息。 </w:t>
      </w:r>
    </w:p>
    <w:p w14:paraId="6BF7DEBF">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（g）检测人承诺的用于本工程的试验、检测仪器及交通设施未能按时到达现场，接到委托人通知后仍未改正。 </w:t>
      </w:r>
    </w:p>
    <w:p w14:paraId="4075BD1D">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11.1.5.7 若检测人无正当理由，未根据试验检测合同的规定履行全部或部分试验检测服务，委托人可书面要求检测人予以解释。若检测人在 28 日内未能根据本试验检测合同给予合理的答复，委托人可在进一步发出书面通知 14 日后，单方面终止本试验检测合同。委托人按照本款规定终止试验检测合同后，检测人应负责赔偿因其未履行试验检测合同义务或履行合同义务不力而造成的委托人损失，该损失赔偿费或从履约担保中扣除，或从委托人应支付给检测人的试验检测服务费用中扣除。 </w:t>
      </w:r>
    </w:p>
    <w:p w14:paraId="186E179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11.1.5.8 检测交通用车未按合同配置，数量不足的每台每月收取 1 万元违约金；车况不满足正常使用的每台每月收取 5000 元违约金。 </w:t>
      </w:r>
    </w:p>
    <w:p w14:paraId="7F02AFF7">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12．争议的解决 </w:t>
      </w:r>
    </w:p>
    <w:p w14:paraId="388FF2A2">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对合同执行过程中的争端最终由滁州仲裁委员会解决。 </w:t>
      </w:r>
    </w:p>
    <w:p w14:paraId="026134F8">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新增 13-14 条： </w:t>
      </w:r>
    </w:p>
    <w:p w14:paraId="0D74C559">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13．其他 </w:t>
      </w:r>
    </w:p>
    <w:p w14:paraId="070AA195">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13.2 内业资料 </w:t>
      </w:r>
    </w:p>
    <w:p w14:paraId="3CAAF79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根据国家档案局关于《建设项目档案监督指导工作指南》的有关要求，检测人对检测范围内文件材料和档案的完整性、准确性、及时性负有责任。 </w:t>
      </w:r>
    </w:p>
    <w:p w14:paraId="49A4EC22">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13.3 奖惩 </w:t>
      </w:r>
    </w:p>
    <w:p w14:paraId="7911AA14">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13.3.1 委托人将在工程实施过程中按照阶段性目标完成情况对检测人的工作进行综合考评，并依据考评结果予以奖惩，具体综合考评办法将在工程实施中下发。 </w:t>
      </w:r>
    </w:p>
    <w:p w14:paraId="0221A5D0">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13.3.2 奖励总额度不超过合同价的 10%。 </w:t>
      </w:r>
    </w:p>
    <w:p w14:paraId="29B3A9D5">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14 品质工程 </w:t>
      </w:r>
    </w:p>
    <w:p w14:paraId="684E1C68">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14.1 品质工程创建要求 </w:t>
      </w:r>
    </w:p>
    <w:p w14:paraId="54C520F6">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检测人应按照《交通运输部关于公路水运品质工程的指导意见》（交安监发[2016]216 号）、《交通运输部办公厅关于开展品质工程示范创建工作的通知》（交办安监[2016]193 号）、《交通运输部办公厅关于印发公路水运品质工程评价标准（试行）的通知》（交办安监[2017]199 号）、《安徽省打造公路水运品质工程实施方案》（皖交建管[2017]60 号）及主管部门的要求执行。成立创建品质工程工作的组织机构，建立符合创建工作要求的相关体系，编制相对应的管理办法、制度和创建方案。 </w:t>
      </w:r>
    </w:p>
    <w:p w14:paraId="15508B92">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项目公司为本项目品质工程考核评价的主管部门，是检测人品质工程考核评价工作责任单位。 </w:t>
      </w:r>
    </w:p>
    <w:p w14:paraId="2C44861F">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 xml:space="preserve">14.2 品质工程的检查和考核 </w:t>
      </w:r>
    </w:p>
    <w:p w14:paraId="1758354F">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品质工程的检查和考核贯穿检测人日常建设管理工作中。检查考核分为日常检查考核和年度检查考核两项，检查考核由项目公司组织进行。检测人应根据检查考核要求填写、报送相关要求资料。</w:t>
      </w:r>
    </w:p>
    <w:p w14:paraId="0CF523FC">
      <w:pPr>
        <w:widowControl/>
        <w:spacing w:line="360" w:lineRule="auto"/>
        <w:ind w:left="0" w:firstLine="480" w:firstLineChars="200"/>
        <w:jc w:val="left"/>
        <w:rPr>
          <w:rFonts w:hint="eastAsia" w:ascii="宋体" w:hAnsi="宋体" w:eastAsia="宋体" w:cs="宋体"/>
          <w:color w:val="auto"/>
          <w:spacing w:val="0"/>
          <w:kern w:val="0"/>
          <w:sz w:val="24"/>
          <w:szCs w:val="24"/>
          <w:highlight w:val="none"/>
          <w:lang w:bidi="ar"/>
        </w:rPr>
      </w:pPr>
    </w:p>
    <w:p w14:paraId="5CB9BA04">
      <w:pPr>
        <w:widowControl/>
        <w:spacing w:line="360" w:lineRule="auto"/>
        <w:ind w:firstLine="480" w:firstLineChars="200"/>
        <w:jc w:val="left"/>
        <w:rPr>
          <w:rFonts w:hint="eastAsia" w:ascii="宋体" w:hAnsi="宋体" w:cs="宋体"/>
          <w:color w:val="auto"/>
          <w:kern w:val="0"/>
          <w:sz w:val="24"/>
          <w:szCs w:val="24"/>
          <w:highlight w:val="none"/>
          <w:lang w:val="en-US" w:eastAsia="zh-CN" w:bidi="ar"/>
        </w:rPr>
      </w:pPr>
    </w:p>
    <w:p w14:paraId="76C2250F">
      <w:pPr>
        <w:spacing w:line="360" w:lineRule="auto"/>
        <w:ind w:firstLine="440" w:firstLineChars="200"/>
        <w:rPr>
          <w:rFonts w:hint="eastAsia" w:ascii="Times New Roman" w:hAnsi="Times New Roman" w:cs="Times New Roman"/>
          <w:color w:val="auto"/>
          <w:sz w:val="22"/>
          <w:szCs w:val="22"/>
          <w:highlight w:val="none"/>
          <w:lang w:val="en-US" w:eastAsia="zh-CN"/>
        </w:rPr>
      </w:pPr>
    </w:p>
    <w:p w14:paraId="6B3893BB">
      <w:pPr>
        <w:widowControl/>
        <w:jc w:val="left"/>
        <w:rPr>
          <w:rFonts w:eastAsia="黑体"/>
          <w:b/>
          <w:bCs/>
          <w:color w:val="auto"/>
          <w:sz w:val="28"/>
          <w:szCs w:val="28"/>
          <w:highlight w:val="none"/>
        </w:rPr>
      </w:pPr>
      <w:r>
        <w:rPr>
          <w:rFonts w:eastAsia="黑体"/>
          <w:b/>
          <w:bCs/>
          <w:color w:val="auto"/>
          <w:sz w:val="28"/>
          <w:szCs w:val="28"/>
          <w:highlight w:val="none"/>
        </w:rPr>
        <w:br w:type="page"/>
      </w:r>
    </w:p>
    <w:p w14:paraId="2C974756">
      <w:pPr>
        <w:topLinePunct/>
        <w:spacing w:line="300" w:lineRule="auto"/>
        <w:ind w:right="31" w:rightChars="15"/>
        <w:jc w:val="center"/>
        <w:outlineLvl w:val="0"/>
        <w:rPr>
          <w:rFonts w:eastAsia="黑体"/>
          <w:b/>
          <w:bCs/>
          <w:color w:val="auto"/>
          <w:sz w:val="36"/>
          <w:szCs w:val="36"/>
          <w:highlight w:val="none"/>
        </w:rPr>
      </w:pPr>
      <w:bookmarkStart w:id="163" w:name="_Toc23168"/>
      <w:r>
        <w:rPr>
          <w:rFonts w:eastAsia="黑体"/>
          <w:b/>
          <w:bCs/>
          <w:color w:val="auto"/>
          <w:sz w:val="36"/>
          <w:szCs w:val="36"/>
          <w:highlight w:val="none"/>
        </w:rPr>
        <w:t>第三节 合同附件格式</w:t>
      </w:r>
      <w:bookmarkEnd w:id="157"/>
      <w:bookmarkEnd w:id="158"/>
      <w:bookmarkEnd w:id="159"/>
      <w:bookmarkEnd w:id="160"/>
      <w:bookmarkEnd w:id="161"/>
      <w:bookmarkEnd w:id="163"/>
    </w:p>
    <w:p w14:paraId="01F208BC">
      <w:pPr>
        <w:pStyle w:val="5"/>
        <w:rPr>
          <w:rFonts w:ascii="Times New Roman" w:hAnsi="Times New Roman"/>
          <w:color w:val="auto"/>
          <w:highlight w:val="none"/>
        </w:rPr>
      </w:pPr>
      <w:r>
        <w:rPr>
          <w:rFonts w:ascii="Times New Roman" w:hAnsi="Times New Roman"/>
          <w:color w:val="auto"/>
          <w:highlight w:val="none"/>
        </w:rPr>
        <w:t>附件一  合同协议书</w:t>
      </w:r>
    </w:p>
    <w:p w14:paraId="47178222">
      <w:pPr>
        <w:spacing w:line="440" w:lineRule="exact"/>
        <w:jc w:val="center"/>
        <w:rPr>
          <w:rFonts w:eastAsia="黑体"/>
          <w:b/>
          <w:bCs/>
          <w:color w:val="auto"/>
          <w:sz w:val="28"/>
          <w:szCs w:val="28"/>
          <w:highlight w:val="none"/>
        </w:rPr>
      </w:pPr>
      <w:r>
        <w:rPr>
          <w:rFonts w:eastAsia="黑体"/>
          <w:b/>
          <w:bCs/>
          <w:color w:val="auto"/>
          <w:sz w:val="28"/>
          <w:szCs w:val="28"/>
          <w:highlight w:val="none"/>
        </w:rPr>
        <w:t>合同协议书</w:t>
      </w:r>
    </w:p>
    <w:p w14:paraId="69CD17D2">
      <w:pPr>
        <w:spacing w:line="440" w:lineRule="exact"/>
        <w:jc w:val="center"/>
        <w:rPr>
          <w:rFonts w:eastAsia="黑体"/>
          <w:b/>
          <w:bCs/>
          <w:color w:val="auto"/>
          <w:sz w:val="28"/>
          <w:szCs w:val="28"/>
          <w:highlight w:val="none"/>
        </w:rPr>
      </w:pPr>
    </w:p>
    <w:p w14:paraId="7C2A67C6">
      <w:pPr>
        <w:spacing w:line="360" w:lineRule="auto"/>
        <w:ind w:firstLine="0" w:firstLineChars="0"/>
        <w:rPr>
          <w:color w:val="auto"/>
          <w:sz w:val="22"/>
          <w:szCs w:val="22"/>
          <w:highlight w:val="none"/>
        </w:rPr>
      </w:pPr>
      <w:r>
        <w:rPr>
          <w:color w:val="auto"/>
          <w:sz w:val="22"/>
          <w:szCs w:val="22"/>
          <w:highlight w:val="none"/>
          <w:u w:val="single"/>
        </w:rPr>
        <w:t xml:space="preserve">       </w:t>
      </w:r>
      <w:r>
        <w:rPr>
          <w:color w:val="auto"/>
          <w:sz w:val="22"/>
          <w:szCs w:val="22"/>
          <w:highlight w:val="none"/>
        </w:rPr>
        <w:t>（</w:t>
      </w:r>
      <w:r>
        <w:rPr>
          <w:rFonts w:hint="eastAsia"/>
          <w:color w:val="auto"/>
          <w:sz w:val="22"/>
          <w:szCs w:val="22"/>
          <w:highlight w:val="none"/>
          <w:lang w:val="en-US" w:eastAsia="zh-CN"/>
        </w:rPr>
        <w:t>（委托人名称，以下简称“委托人”</w:t>
      </w:r>
      <w:r>
        <w:rPr>
          <w:color w:val="auto"/>
          <w:sz w:val="22"/>
          <w:szCs w:val="22"/>
          <w:highlight w:val="none"/>
        </w:rPr>
        <w:t>）为实施</w:t>
      </w:r>
      <w:r>
        <w:rPr>
          <w:color w:val="auto"/>
          <w:sz w:val="22"/>
          <w:szCs w:val="22"/>
          <w:highlight w:val="none"/>
          <w:u w:val="single"/>
        </w:rPr>
        <w:t xml:space="preserve">                        </w:t>
      </w:r>
      <w:r>
        <w:rPr>
          <w:color w:val="auto"/>
          <w:sz w:val="22"/>
          <w:szCs w:val="22"/>
          <w:highlight w:val="none"/>
        </w:rPr>
        <w:t>（项目名称），</w:t>
      </w:r>
      <w:r>
        <w:rPr>
          <w:rFonts w:hint="eastAsia"/>
          <w:color w:val="auto"/>
          <w:sz w:val="22"/>
          <w:szCs w:val="22"/>
          <w:highlight w:val="none"/>
          <w:lang w:val="en-US" w:eastAsia="zh-CN"/>
        </w:rPr>
        <w:t>已接受</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（检测人名称，以下简称“检测人”）对该项目施工检测的投标。委托人和检测人共同达成如下协议</w:t>
      </w:r>
      <w:r>
        <w:rPr>
          <w:color w:val="auto"/>
          <w:sz w:val="22"/>
          <w:szCs w:val="22"/>
          <w:highlight w:val="none"/>
        </w:rPr>
        <w:t>。</w:t>
      </w:r>
    </w:p>
    <w:p w14:paraId="40E6F638">
      <w:pPr>
        <w:numPr>
          <w:ilvl w:val="0"/>
          <w:numId w:val="2"/>
        </w:numPr>
        <w:spacing w:line="360" w:lineRule="auto"/>
        <w:ind w:left="701" w:leftChars="200" w:hanging="281" w:hangingChars="128"/>
        <w:rPr>
          <w:color w:val="auto"/>
          <w:sz w:val="22"/>
          <w:szCs w:val="22"/>
          <w:highlight w:val="none"/>
        </w:rPr>
      </w:pPr>
      <w:r>
        <w:rPr>
          <w:color w:val="auto"/>
          <w:sz w:val="22"/>
          <w:szCs w:val="22"/>
          <w:highlight w:val="none"/>
        </w:rPr>
        <w:t>由K</w:t>
      </w:r>
      <w:r>
        <w:rPr>
          <w:color w:val="auto"/>
          <w:sz w:val="22"/>
          <w:szCs w:val="22"/>
          <w:highlight w:val="none"/>
          <w:u w:val="single"/>
        </w:rPr>
        <w:t xml:space="preserve">    </w:t>
      </w:r>
      <w:r>
        <w:rPr>
          <w:color w:val="auto"/>
          <w:sz w:val="22"/>
          <w:szCs w:val="22"/>
          <w:highlight w:val="none"/>
        </w:rPr>
        <w:t>+</w:t>
      </w:r>
      <w:r>
        <w:rPr>
          <w:color w:val="auto"/>
          <w:sz w:val="22"/>
          <w:szCs w:val="22"/>
          <w:highlight w:val="none"/>
          <w:u w:val="single"/>
        </w:rPr>
        <w:t xml:space="preserve">    </w:t>
      </w:r>
      <w:r>
        <w:rPr>
          <w:color w:val="auto"/>
          <w:sz w:val="22"/>
          <w:szCs w:val="22"/>
          <w:highlight w:val="none"/>
        </w:rPr>
        <w:t>至K</w:t>
      </w:r>
      <w:r>
        <w:rPr>
          <w:color w:val="auto"/>
          <w:sz w:val="22"/>
          <w:szCs w:val="22"/>
          <w:highlight w:val="none"/>
          <w:u w:val="single"/>
        </w:rPr>
        <w:t xml:space="preserve">    </w:t>
      </w:r>
      <w:r>
        <w:rPr>
          <w:color w:val="auto"/>
          <w:sz w:val="22"/>
          <w:szCs w:val="22"/>
          <w:highlight w:val="none"/>
        </w:rPr>
        <w:t>+</w:t>
      </w:r>
      <w:r>
        <w:rPr>
          <w:color w:val="auto"/>
          <w:sz w:val="22"/>
          <w:szCs w:val="22"/>
          <w:highlight w:val="none"/>
          <w:u w:val="single"/>
        </w:rPr>
        <w:t xml:space="preserve">     </w:t>
      </w:r>
      <w:r>
        <w:rPr>
          <w:color w:val="auto"/>
          <w:sz w:val="22"/>
          <w:szCs w:val="22"/>
          <w:highlight w:val="none"/>
        </w:rPr>
        <w:t>，长约</w:t>
      </w:r>
      <w:r>
        <w:rPr>
          <w:color w:val="auto"/>
          <w:sz w:val="22"/>
          <w:szCs w:val="22"/>
          <w:highlight w:val="none"/>
          <w:u w:val="single"/>
        </w:rPr>
        <w:t xml:space="preserve">    </w:t>
      </w:r>
      <w:r>
        <w:rPr>
          <w:color w:val="auto"/>
          <w:sz w:val="22"/>
          <w:szCs w:val="22"/>
          <w:highlight w:val="none"/>
        </w:rPr>
        <w:t>km，主要工作内容包括：</w:t>
      </w:r>
    </w:p>
    <w:p w14:paraId="5DB4CDFA">
      <w:pPr>
        <w:numPr>
          <w:ilvl w:val="0"/>
          <w:numId w:val="0"/>
        </w:numPr>
        <w:spacing w:line="360" w:lineRule="auto"/>
        <w:rPr>
          <w:color w:val="auto"/>
          <w:sz w:val="22"/>
          <w:szCs w:val="22"/>
          <w:highlight w:val="none"/>
          <w:u w:val="single"/>
        </w:rPr>
      </w:pPr>
      <w:r>
        <w:rPr>
          <w:color w:val="auto"/>
          <w:sz w:val="22"/>
          <w:szCs w:val="22"/>
          <w:highlight w:val="none"/>
          <w:u w:val="single"/>
        </w:rPr>
        <w:t xml:space="preserve">                                                                    等。</w:t>
      </w:r>
    </w:p>
    <w:p w14:paraId="2FE48CDA">
      <w:pPr>
        <w:spacing w:line="360" w:lineRule="auto"/>
        <w:ind w:firstLine="376" w:firstLineChars="171"/>
        <w:rPr>
          <w:color w:val="auto"/>
          <w:sz w:val="22"/>
          <w:szCs w:val="22"/>
          <w:highlight w:val="none"/>
        </w:rPr>
      </w:pPr>
      <w:r>
        <w:rPr>
          <w:color w:val="auto"/>
          <w:sz w:val="22"/>
          <w:szCs w:val="22"/>
          <w:highlight w:val="none"/>
        </w:rPr>
        <w:t>2．下列文件应视为构成合同文件的组成部分：</w:t>
      </w:r>
    </w:p>
    <w:p w14:paraId="2ACB250E">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1</w:t>
      </w:r>
      <w:r>
        <w:rPr>
          <w:rFonts w:hint="eastAsia"/>
          <w:color w:val="auto"/>
          <w:sz w:val="22"/>
          <w:szCs w:val="22"/>
          <w:highlight w:val="none"/>
          <w:lang w:val="en-US" w:eastAsia="zh-CN"/>
        </w:rPr>
        <w:t xml:space="preserve">）本合同协议书及各种合同附件； </w:t>
      </w:r>
    </w:p>
    <w:p w14:paraId="2FD240DF">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2</w:t>
      </w:r>
      <w:r>
        <w:rPr>
          <w:rFonts w:hint="eastAsia"/>
          <w:color w:val="auto"/>
          <w:sz w:val="22"/>
          <w:szCs w:val="22"/>
          <w:highlight w:val="none"/>
          <w:lang w:val="en-US" w:eastAsia="zh-CN"/>
        </w:rPr>
        <w:t xml:space="preserve">）中标通知书； </w:t>
      </w:r>
    </w:p>
    <w:p w14:paraId="02933F2E">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3</w:t>
      </w:r>
      <w:r>
        <w:rPr>
          <w:rFonts w:hint="eastAsia"/>
          <w:color w:val="auto"/>
          <w:sz w:val="22"/>
          <w:szCs w:val="22"/>
          <w:highlight w:val="none"/>
          <w:lang w:val="en-US" w:eastAsia="zh-CN"/>
        </w:rPr>
        <w:t xml:space="preserve">）投标函； </w:t>
      </w:r>
    </w:p>
    <w:p w14:paraId="72772975">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4</w:t>
      </w:r>
      <w:r>
        <w:rPr>
          <w:rFonts w:hint="eastAsia"/>
          <w:color w:val="auto"/>
          <w:sz w:val="22"/>
          <w:szCs w:val="22"/>
          <w:highlight w:val="none"/>
          <w:lang w:val="en-US" w:eastAsia="zh-CN"/>
        </w:rPr>
        <w:t xml:space="preserve">）项目专用合同条款； </w:t>
      </w:r>
    </w:p>
    <w:p w14:paraId="3FC22E60">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5</w:t>
      </w:r>
      <w:r>
        <w:rPr>
          <w:rFonts w:hint="eastAsia"/>
          <w:color w:val="auto"/>
          <w:sz w:val="22"/>
          <w:szCs w:val="22"/>
          <w:highlight w:val="none"/>
          <w:lang w:val="en-US" w:eastAsia="zh-CN"/>
        </w:rPr>
        <w:t xml:space="preserve">）公路工程专用合同条款； </w:t>
      </w:r>
    </w:p>
    <w:p w14:paraId="59FE8769">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6</w:t>
      </w:r>
      <w:r>
        <w:rPr>
          <w:rFonts w:hint="eastAsia"/>
          <w:color w:val="auto"/>
          <w:sz w:val="22"/>
          <w:szCs w:val="22"/>
          <w:highlight w:val="none"/>
          <w:lang w:val="en-US" w:eastAsia="zh-CN"/>
        </w:rPr>
        <w:t xml:space="preserve">）通用合同条款； </w:t>
      </w:r>
    </w:p>
    <w:p w14:paraId="3CFB82F3">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7</w:t>
      </w:r>
      <w:r>
        <w:rPr>
          <w:rFonts w:hint="eastAsia"/>
          <w:color w:val="auto"/>
          <w:sz w:val="22"/>
          <w:szCs w:val="22"/>
          <w:highlight w:val="none"/>
          <w:lang w:val="en-US" w:eastAsia="zh-CN"/>
        </w:rPr>
        <w:t xml:space="preserve">）委托人要求； </w:t>
      </w:r>
    </w:p>
    <w:p w14:paraId="604AE957">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8</w:t>
      </w:r>
      <w:r>
        <w:rPr>
          <w:rFonts w:hint="eastAsia"/>
          <w:color w:val="auto"/>
          <w:sz w:val="22"/>
          <w:szCs w:val="22"/>
          <w:highlight w:val="none"/>
          <w:lang w:val="en-US" w:eastAsia="zh-CN"/>
        </w:rPr>
        <w:t xml:space="preserve">）检测服务费用清单； </w:t>
      </w:r>
    </w:p>
    <w:p w14:paraId="2A8DFC13">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9</w:t>
      </w:r>
      <w:r>
        <w:rPr>
          <w:rFonts w:hint="eastAsia"/>
          <w:color w:val="auto"/>
          <w:sz w:val="22"/>
          <w:szCs w:val="22"/>
          <w:highlight w:val="none"/>
          <w:lang w:val="en-US" w:eastAsia="zh-CN"/>
        </w:rPr>
        <w:t xml:space="preserve">）检测人有关人员、试验检测设备投入的承诺； </w:t>
      </w:r>
    </w:p>
    <w:p w14:paraId="491A52FC">
      <w:pPr>
        <w:spacing w:line="360" w:lineRule="auto"/>
        <w:ind w:firstLine="376" w:firstLineChars="171"/>
        <w:rPr>
          <w:color w:val="auto"/>
          <w:sz w:val="22"/>
          <w:szCs w:val="22"/>
          <w:highlight w:val="none"/>
        </w:rPr>
      </w:pPr>
      <w:r>
        <w:rPr>
          <w:rFonts w:hint="eastAsia"/>
          <w:color w:val="auto"/>
          <w:sz w:val="22"/>
          <w:szCs w:val="22"/>
          <w:highlight w:val="none"/>
          <w:lang w:val="en-US" w:eastAsia="zh-CN"/>
        </w:rPr>
        <w:t>（</w:t>
      </w:r>
      <w:r>
        <w:rPr>
          <w:rFonts w:hint="default"/>
          <w:color w:val="auto"/>
          <w:sz w:val="22"/>
          <w:szCs w:val="22"/>
          <w:highlight w:val="none"/>
          <w:lang w:val="en-US" w:eastAsia="zh-CN"/>
        </w:rPr>
        <w:t>10</w:t>
      </w:r>
      <w:r>
        <w:rPr>
          <w:rFonts w:hint="eastAsia"/>
          <w:color w:val="auto"/>
          <w:sz w:val="22"/>
          <w:szCs w:val="22"/>
          <w:highlight w:val="none"/>
          <w:lang w:val="en-US" w:eastAsia="zh-CN"/>
        </w:rPr>
        <w:t xml:space="preserve">）其他合同文件。 </w:t>
      </w:r>
    </w:p>
    <w:p w14:paraId="4658B886">
      <w:pPr>
        <w:spacing w:line="360" w:lineRule="auto"/>
        <w:ind w:firstLine="376" w:firstLineChars="171"/>
        <w:rPr>
          <w:color w:val="auto"/>
          <w:sz w:val="22"/>
          <w:szCs w:val="22"/>
          <w:highlight w:val="none"/>
        </w:rPr>
      </w:pPr>
      <w:r>
        <w:rPr>
          <w:color w:val="auto"/>
          <w:sz w:val="22"/>
          <w:szCs w:val="22"/>
          <w:highlight w:val="none"/>
        </w:rPr>
        <w:t>上述文件互相补充和解释。如果合同文件之间存在矛盾或不一致之处，以上述文件的排列顺序在先者为准。</w:t>
      </w:r>
    </w:p>
    <w:p w14:paraId="5FA50683">
      <w:pPr>
        <w:spacing w:line="360" w:lineRule="auto"/>
        <w:ind w:firstLine="376" w:firstLineChars="171"/>
        <w:rPr>
          <w:color w:val="auto"/>
          <w:sz w:val="22"/>
          <w:szCs w:val="22"/>
          <w:highlight w:val="none"/>
        </w:rPr>
      </w:pPr>
      <w:r>
        <w:rPr>
          <w:color w:val="auto"/>
          <w:sz w:val="22"/>
          <w:szCs w:val="22"/>
          <w:highlight w:val="none"/>
          <w:lang w:val="en-US" w:eastAsia="zh-CN"/>
        </w:rPr>
        <w:t>3</w:t>
      </w:r>
      <w:r>
        <w:rPr>
          <w:rFonts w:hint="eastAsia"/>
          <w:color w:val="auto"/>
          <w:sz w:val="22"/>
          <w:szCs w:val="22"/>
          <w:highlight w:val="none"/>
          <w:lang w:val="en-US" w:eastAsia="zh-CN"/>
        </w:rPr>
        <w:t>、签约合同价：人民币（大写）</w:t>
      </w:r>
      <w:r>
        <w:rPr>
          <w:rFonts w:hint="eastAsia"/>
          <w:color w:val="auto"/>
          <w:sz w:val="22"/>
          <w:szCs w:val="22"/>
          <w:highlight w:val="none"/>
          <w:u w:val="single"/>
          <w:lang w:val="en-US" w:eastAsia="zh-CN"/>
        </w:rPr>
        <w:t xml:space="preserve">                             </w:t>
      </w:r>
      <w:r>
        <w:rPr>
          <w:rFonts w:hint="default"/>
          <w:color w:val="auto"/>
          <w:sz w:val="22"/>
          <w:szCs w:val="22"/>
          <w:highlight w:val="none"/>
          <w:u w:val="single"/>
          <w:lang w:val="en-US" w:eastAsia="zh-CN"/>
        </w:rPr>
        <w:t xml:space="preserve"> </w:t>
      </w:r>
      <w:r>
        <w:rPr>
          <w:rFonts w:hint="eastAsia"/>
          <w:color w:val="auto"/>
          <w:sz w:val="22"/>
          <w:szCs w:val="22"/>
          <w:highlight w:val="none"/>
          <w:lang w:val="en-US" w:eastAsia="zh-CN"/>
        </w:rPr>
        <w:t>元（￥</w:t>
      </w:r>
      <w:r>
        <w:rPr>
          <w:rFonts w:hint="default"/>
          <w:color w:val="auto"/>
          <w:sz w:val="22"/>
          <w:szCs w:val="22"/>
          <w:highlight w:val="none"/>
          <w:u w:val="single"/>
          <w:lang w:val="en-US" w:eastAsia="zh-CN"/>
        </w:rPr>
        <w:t xml:space="preserve"> </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 xml:space="preserve">）。 </w:t>
      </w:r>
    </w:p>
    <w:p w14:paraId="47099F78">
      <w:pPr>
        <w:spacing w:line="360" w:lineRule="auto"/>
        <w:ind w:firstLine="376" w:firstLineChars="171"/>
        <w:rPr>
          <w:color w:val="auto"/>
          <w:sz w:val="22"/>
          <w:szCs w:val="22"/>
          <w:highlight w:val="none"/>
        </w:rPr>
      </w:pPr>
      <w:r>
        <w:rPr>
          <w:rFonts w:hint="eastAsia"/>
          <w:color w:val="auto"/>
          <w:sz w:val="22"/>
          <w:szCs w:val="22"/>
          <w:highlight w:val="none"/>
          <w:lang w:val="en-US" w:eastAsia="zh-CN"/>
        </w:rPr>
        <w:t>其中：施工阶段（包含施工准备阶段）</w:t>
      </w:r>
      <w:r>
        <w:rPr>
          <w:rFonts w:hint="default"/>
          <w:color w:val="auto"/>
          <w:sz w:val="22"/>
          <w:szCs w:val="22"/>
          <w:highlight w:val="none"/>
          <w:u w:val="single"/>
          <w:lang w:val="en-US" w:eastAsia="zh-CN"/>
        </w:rPr>
        <w:t xml:space="preserve"> </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 xml:space="preserve">元； </w:t>
      </w:r>
    </w:p>
    <w:p w14:paraId="29FE8E1A">
      <w:pPr>
        <w:spacing w:line="360" w:lineRule="auto"/>
        <w:ind w:firstLine="1036" w:firstLineChars="471"/>
        <w:rPr>
          <w:color w:val="auto"/>
          <w:sz w:val="22"/>
          <w:szCs w:val="22"/>
          <w:highlight w:val="none"/>
        </w:rPr>
      </w:pPr>
      <w:r>
        <w:rPr>
          <w:rFonts w:hint="eastAsia"/>
          <w:color w:val="auto"/>
          <w:sz w:val="22"/>
          <w:szCs w:val="22"/>
          <w:highlight w:val="none"/>
          <w:lang w:val="en-US" w:eastAsia="zh-CN"/>
        </w:rPr>
        <w:t>缺陷责任期阶段</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元。</w:t>
      </w:r>
    </w:p>
    <w:p w14:paraId="0E43668F">
      <w:pPr>
        <w:spacing w:line="360" w:lineRule="auto"/>
        <w:ind w:firstLine="376" w:firstLineChars="171"/>
        <w:rPr>
          <w:color w:val="auto"/>
          <w:sz w:val="22"/>
          <w:szCs w:val="22"/>
          <w:highlight w:val="none"/>
          <w:u w:val="single"/>
        </w:rPr>
      </w:pPr>
      <w:r>
        <w:rPr>
          <w:color w:val="auto"/>
          <w:sz w:val="22"/>
          <w:szCs w:val="22"/>
          <w:highlight w:val="none"/>
        </w:rPr>
        <w:t>4．</w:t>
      </w:r>
      <w:r>
        <w:rPr>
          <w:rFonts w:hint="eastAsia"/>
          <w:color w:val="auto"/>
          <w:sz w:val="22"/>
          <w:szCs w:val="22"/>
          <w:highlight w:val="none"/>
          <w:lang w:val="en-US" w:eastAsia="zh-CN"/>
        </w:rPr>
        <w:t>中心试验室主任</w:t>
      </w:r>
      <w:r>
        <w:rPr>
          <w:color w:val="auto"/>
          <w:sz w:val="22"/>
          <w:szCs w:val="22"/>
          <w:highlight w:val="none"/>
        </w:rPr>
        <w:t>：</w:t>
      </w:r>
      <w:r>
        <w:rPr>
          <w:color w:val="auto"/>
          <w:sz w:val="22"/>
          <w:szCs w:val="22"/>
          <w:highlight w:val="none"/>
          <w:u w:val="single"/>
        </w:rPr>
        <w:t xml:space="preserve">                </w:t>
      </w:r>
      <w:r>
        <w:rPr>
          <w:color w:val="auto"/>
          <w:sz w:val="22"/>
          <w:szCs w:val="22"/>
          <w:highlight w:val="none"/>
        </w:rPr>
        <w:t>。</w:t>
      </w:r>
    </w:p>
    <w:p w14:paraId="079EB58D">
      <w:pPr>
        <w:spacing w:line="360" w:lineRule="auto"/>
        <w:ind w:firstLine="376" w:firstLineChars="171"/>
        <w:rPr>
          <w:color w:val="auto"/>
          <w:sz w:val="22"/>
          <w:szCs w:val="22"/>
          <w:highlight w:val="none"/>
        </w:rPr>
      </w:pPr>
      <w:r>
        <w:rPr>
          <w:color w:val="auto"/>
          <w:sz w:val="22"/>
          <w:szCs w:val="22"/>
          <w:highlight w:val="none"/>
        </w:rPr>
        <w:t>5．</w:t>
      </w:r>
      <w:r>
        <w:rPr>
          <w:rFonts w:hint="eastAsia"/>
          <w:color w:val="auto"/>
          <w:sz w:val="22"/>
          <w:szCs w:val="22"/>
          <w:highlight w:val="none"/>
          <w:lang w:val="en-US" w:eastAsia="zh-CN"/>
        </w:rPr>
        <w:t>检测工作工作质量符合的标准和要求</w:t>
      </w:r>
      <w:r>
        <w:rPr>
          <w:color w:val="auto"/>
          <w:sz w:val="22"/>
          <w:szCs w:val="22"/>
          <w:highlight w:val="none"/>
        </w:rPr>
        <w:t>：</w:t>
      </w:r>
      <w:r>
        <w:rPr>
          <w:rFonts w:hint="eastAsia"/>
          <w:color w:val="auto"/>
          <w:sz w:val="22"/>
          <w:szCs w:val="22"/>
          <w:highlight w:val="none"/>
          <w:u w:val="single"/>
          <w:lang w:val="en-US" w:eastAsia="zh-CN"/>
        </w:rPr>
        <w:t xml:space="preserve">                             </w:t>
      </w:r>
      <w:r>
        <w:rPr>
          <w:color w:val="auto"/>
          <w:sz w:val="22"/>
          <w:szCs w:val="22"/>
          <w:highlight w:val="none"/>
        </w:rPr>
        <w:t>。</w:t>
      </w:r>
    </w:p>
    <w:p w14:paraId="5AD77F88">
      <w:pPr>
        <w:spacing w:line="360" w:lineRule="auto"/>
        <w:ind w:firstLine="596" w:firstLineChars="271"/>
        <w:rPr>
          <w:color w:val="auto"/>
          <w:sz w:val="22"/>
          <w:szCs w:val="22"/>
          <w:highlight w:val="none"/>
        </w:rPr>
      </w:pPr>
      <w:r>
        <w:rPr>
          <w:color w:val="auto"/>
          <w:sz w:val="22"/>
          <w:szCs w:val="22"/>
          <w:highlight w:val="none"/>
        </w:rPr>
        <w:t xml:space="preserve"> 安全目标：</w:t>
      </w:r>
      <w:r>
        <w:rPr>
          <w:rFonts w:hint="eastAsia"/>
          <w:color w:val="auto"/>
          <w:sz w:val="22"/>
          <w:szCs w:val="22"/>
          <w:highlight w:val="none"/>
          <w:u w:val="single"/>
          <w:lang w:eastAsia="zh-CN"/>
        </w:rPr>
        <w:t xml:space="preserve"> </w:t>
      </w:r>
      <w:r>
        <w:rPr>
          <w:rFonts w:hint="eastAsia"/>
          <w:color w:val="auto"/>
          <w:sz w:val="22"/>
          <w:szCs w:val="22"/>
          <w:highlight w:val="none"/>
          <w:u w:val="single"/>
          <w:lang w:val="en-US" w:eastAsia="zh-CN"/>
        </w:rPr>
        <w:t xml:space="preserve">                      </w:t>
      </w:r>
      <w:r>
        <w:rPr>
          <w:color w:val="auto"/>
          <w:sz w:val="22"/>
          <w:szCs w:val="22"/>
          <w:highlight w:val="none"/>
        </w:rPr>
        <w:t>。</w:t>
      </w:r>
    </w:p>
    <w:p w14:paraId="2458355A">
      <w:pPr>
        <w:spacing w:line="360" w:lineRule="auto"/>
        <w:ind w:firstLine="376" w:firstLineChars="171"/>
        <w:rPr>
          <w:color w:val="auto"/>
          <w:sz w:val="22"/>
          <w:szCs w:val="22"/>
          <w:highlight w:val="none"/>
        </w:rPr>
      </w:pPr>
      <w:r>
        <w:rPr>
          <w:rFonts w:hint="eastAsia"/>
          <w:color w:val="auto"/>
          <w:sz w:val="22"/>
          <w:szCs w:val="22"/>
          <w:highlight w:val="none"/>
          <w:lang w:val="en-US" w:eastAsia="zh-CN"/>
        </w:rPr>
        <w:t>6</w:t>
      </w:r>
      <w:r>
        <w:rPr>
          <w:color w:val="auto"/>
          <w:sz w:val="22"/>
          <w:szCs w:val="22"/>
          <w:highlight w:val="none"/>
        </w:rPr>
        <w:t>．</w:t>
      </w:r>
      <w:r>
        <w:rPr>
          <w:rFonts w:hint="eastAsia"/>
          <w:color w:val="auto"/>
          <w:sz w:val="22"/>
          <w:szCs w:val="22"/>
          <w:highlight w:val="none"/>
          <w:lang w:val="en-US" w:eastAsia="zh-CN"/>
        </w:rPr>
        <w:t xml:space="preserve">检测人承诺按合同约定承担工程的施工检测。 </w:t>
      </w:r>
    </w:p>
    <w:p w14:paraId="557AF22A">
      <w:pPr>
        <w:spacing w:line="360" w:lineRule="auto"/>
        <w:ind w:firstLine="376" w:firstLineChars="171"/>
        <w:rPr>
          <w:color w:val="auto"/>
          <w:sz w:val="22"/>
          <w:szCs w:val="22"/>
          <w:highlight w:val="none"/>
        </w:rPr>
      </w:pPr>
      <w:r>
        <w:rPr>
          <w:rFonts w:hint="eastAsia"/>
          <w:color w:val="auto"/>
          <w:sz w:val="22"/>
          <w:szCs w:val="22"/>
          <w:highlight w:val="none"/>
          <w:lang w:val="en-US" w:eastAsia="zh-CN"/>
        </w:rPr>
        <w:t>7</w:t>
      </w:r>
      <w:r>
        <w:rPr>
          <w:color w:val="auto"/>
          <w:sz w:val="22"/>
          <w:szCs w:val="22"/>
          <w:highlight w:val="none"/>
        </w:rPr>
        <w:t>．</w:t>
      </w:r>
      <w:r>
        <w:rPr>
          <w:rFonts w:hint="eastAsia"/>
          <w:color w:val="auto"/>
          <w:sz w:val="22"/>
          <w:szCs w:val="22"/>
          <w:highlight w:val="none"/>
          <w:lang w:val="en-US" w:eastAsia="zh-CN"/>
        </w:rPr>
        <w:t>委托人承诺按合同约定的条件、时间和方式向检测人支付合同价款。</w:t>
      </w:r>
    </w:p>
    <w:p w14:paraId="65D21C9F">
      <w:pPr>
        <w:spacing w:line="360" w:lineRule="auto"/>
        <w:ind w:firstLine="376" w:firstLineChars="171"/>
        <w:rPr>
          <w:color w:val="auto"/>
          <w:sz w:val="22"/>
          <w:szCs w:val="22"/>
          <w:highlight w:val="none"/>
        </w:rPr>
      </w:pPr>
      <w:r>
        <w:rPr>
          <w:color w:val="auto"/>
          <w:sz w:val="22"/>
          <w:szCs w:val="22"/>
          <w:highlight w:val="none"/>
          <w:lang w:val="en-US" w:eastAsia="zh-CN"/>
        </w:rPr>
        <w:t>8</w:t>
      </w:r>
      <w:r>
        <w:rPr>
          <w:rFonts w:hint="eastAsia"/>
          <w:color w:val="auto"/>
          <w:sz w:val="22"/>
          <w:szCs w:val="22"/>
          <w:highlight w:val="none"/>
          <w:lang w:val="en-US" w:eastAsia="zh-CN"/>
        </w:rPr>
        <w:t>、检测人计划开始检测日期：</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，实际日期按照合同条款中约定的开始检测日期为准。检测服务期：</w:t>
      </w:r>
      <w:r>
        <w:rPr>
          <w:rFonts w:hint="eastAsia"/>
          <w:color w:val="auto"/>
          <w:sz w:val="22"/>
          <w:szCs w:val="22"/>
          <w:highlight w:val="none"/>
          <w:u w:val="single"/>
          <w:lang w:val="en-US" w:eastAsia="zh-CN"/>
        </w:rPr>
        <w:t xml:space="preserve">        </w:t>
      </w:r>
      <w:r>
        <w:rPr>
          <w:rFonts w:hint="default"/>
          <w:color w:val="auto"/>
          <w:sz w:val="22"/>
          <w:szCs w:val="22"/>
          <w:highlight w:val="none"/>
          <w:u w:val="single"/>
          <w:lang w:val="en-US" w:eastAsia="zh-CN"/>
        </w:rPr>
        <w:t xml:space="preserve"> </w:t>
      </w:r>
      <w:r>
        <w:rPr>
          <w:rFonts w:hint="eastAsia"/>
          <w:color w:val="auto"/>
          <w:sz w:val="22"/>
          <w:szCs w:val="22"/>
          <w:highlight w:val="none"/>
          <w:lang w:val="en-US" w:eastAsia="zh-CN"/>
        </w:rPr>
        <w:t>个月，其中施工阶段（含施工准备阶段）检测</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个月，缺陷责任期阶段检测</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 xml:space="preserve">月。 </w:t>
      </w:r>
    </w:p>
    <w:p w14:paraId="6F6078FE">
      <w:pPr>
        <w:spacing w:line="360" w:lineRule="auto"/>
        <w:ind w:firstLine="376" w:firstLineChars="171"/>
        <w:rPr>
          <w:color w:val="auto"/>
          <w:sz w:val="22"/>
          <w:szCs w:val="22"/>
          <w:highlight w:val="none"/>
        </w:rPr>
      </w:pPr>
      <w:r>
        <w:rPr>
          <w:rFonts w:hint="default"/>
          <w:color w:val="auto"/>
          <w:sz w:val="22"/>
          <w:szCs w:val="22"/>
          <w:highlight w:val="none"/>
          <w:lang w:val="en-US" w:eastAsia="zh-CN"/>
        </w:rPr>
        <w:t>9</w:t>
      </w:r>
      <w:r>
        <w:rPr>
          <w:rFonts w:hint="eastAsia"/>
          <w:color w:val="auto"/>
          <w:sz w:val="22"/>
          <w:szCs w:val="22"/>
          <w:highlight w:val="none"/>
          <w:lang w:val="en-US" w:eastAsia="zh-CN"/>
        </w:rPr>
        <w:t xml:space="preserve">、本协议书在检测人提供履约保证金后，由双方法定代表人或其委托代理人签署并加盖单位章后生效。全部工程完工后经交工验收合格、缺陷责任期满签发缺陷责任终止证书后失效。 </w:t>
      </w:r>
    </w:p>
    <w:p w14:paraId="2AD8DDA2">
      <w:pPr>
        <w:spacing w:line="360" w:lineRule="auto"/>
        <w:ind w:firstLine="376" w:firstLineChars="171"/>
        <w:rPr>
          <w:color w:val="auto"/>
          <w:sz w:val="22"/>
          <w:szCs w:val="22"/>
          <w:highlight w:val="none"/>
        </w:rPr>
      </w:pPr>
      <w:r>
        <w:rPr>
          <w:rFonts w:hint="default"/>
          <w:color w:val="auto"/>
          <w:sz w:val="22"/>
          <w:szCs w:val="22"/>
          <w:highlight w:val="none"/>
          <w:lang w:val="en-US" w:eastAsia="zh-CN"/>
        </w:rPr>
        <w:t>10</w:t>
      </w:r>
      <w:r>
        <w:rPr>
          <w:rFonts w:hint="eastAsia"/>
          <w:color w:val="auto"/>
          <w:sz w:val="22"/>
          <w:szCs w:val="22"/>
          <w:highlight w:val="none"/>
          <w:lang w:val="en-US" w:eastAsia="zh-CN"/>
        </w:rPr>
        <w:t>、本协议书正本二份、副本</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份，合同双方各执正本一份，副本</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 xml:space="preserve">份，当正本与副本的内容不一致时，以正本为准。 </w:t>
      </w:r>
    </w:p>
    <w:p w14:paraId="087870FE">
      <w:pPr>
        <w:spacing w:line="360" w:lineRule="auto"/>
        <w:ind w:firstLine="376" w:firstLineChars="171"/>
        <w:rPr>
          <w:color w:val="auto"/>
          <w:sz w:val="22"/>
          <w:szCs w:val="22"/>
          <w:highlight w:val="none"/>
        </w:rPr>
      </w:pPr>
      <w:r>
        <w:rPr>
          <w:rFonts w:hint="default"/>
          <w:color w:val="auto"/>
          <w:sz w:val="22"/>
          <w:szCs w:val="22"/>
          <w:highlight w:val="none"/>
          <w:lang w:val="en-US" w:eastAsia="zh-CN"/>
        </w:rPr>
        <w:t>11</w:t>
      </w:r>
      <w:r>
        <w:rPr>
          <w:rFonts w:hint="eastAsia"/>
          <w:color w:val="auto"/>
          <w:sz w:val="22"/>
          <w:szCs w:val="22"/>
          <w:highlight w:val="none"/>
          <w:lang w:val="en-US" w:eastAsia="zh-CN"/>
        </w:rPr>
        <w:t xml:space="preserve">、合同未尽事宜，双方另行签订补充协议。补充协议是合同的组成部分。 </w:t>
      </w:r>
    </w:p>
    <w:p w14:paraId="056C845E">
      <w:pPr>
        <w:spacing w:line="360" w:lineRule="auto"/>
        <w:ind w:firstLine="376" w:firstLineChars="171"/>
        <w:rPr>
          <w:color w:val="auto"/>
          <w:sz w:val="22"/>
          <w:szCs w:val="22"/>
          <w:highlight w:val="none"/>
        </w:rPr>
      </w:pPr>
    </w:p>
    <w:p w14:paraId="28E50FBC">
      <w:pPr>
        <w:pStyle w:val="74"/>
        <w:ind w:firstLine="400"/>
        <w:rPr>
          <w:color w:val="auto"/>
          <w:highlight w:val="none"/>
        </w:rPr>
      </w:pPr>
    </w:p>
    <w:p w14:paraId="15BED4EE">
      <w:pPr>
        <w:pStyle w:val="74"/>
        <w:ind w:firstLine="400"/>
        <w:rPr>
          <w:color w:val="auto"/>
          <w:highlight w:val="none"/>
        </w:rPr>
      </w:pPr>
    </w:p>
    <w:p w14:paraId="3CBADBB3">
      <w:pPr>
        <w:pStyle w:val="74"/>
        <w:ind w:firstLine="400"/>
        <w:rPr>
          <w:color w:val="auto"/>
          <w:highlight w:val="none"/>
        </w:rPr>
      </w:pPr>
    </w:p>
    <w:p w14:paraId="6946AA73">
      <w:pPr>
        <w:pStyle w:val="74"/>
        <w:ind w:firstLine="400"/>
        <w:rPr>
          <w:color w:val="auto"/>
          <w:highlight w:val="none"/>
        </w:rPr>
      </w:pPr>
    </w:p>
    <w:p w14:paraId="160DB11E">
      <w:pPr>
        <w:spacing w:line="360" w:lineRule="auto"/>
        <w:rPr>
          <w:color w:val="auto"/>
          <w:sz w:val="22"/>
          <w:szCs w:val="22"/>
          <w:highlight w:val="none"/>
        </w:rPr>
      </w:pPr>
      <w:r>
        <w:rPr>
          <w:rFonts w:hint="eastAsia"/>
          <w:color w:val="auto"/>
          <w:sz w:val="22"/>
          <w:szCs w:val="22"/>
          <w:highlight w:val="none"/>
          <w:lang w:val="en-US" w:eastAsia="zh-CN"/>
        </w:rPr>
        <w:t>委托</w:t>
      </w:r>
      <w:r>
        <w:rPr>
          <w:color w:val="auto"/>
          <w:sz w:val="22"/>
          <w:szCs w:val="22"/>
          <w:highlight w:val="none"/>
        </w:rPr>
        <w:t>人：</w:t>
      </w:r>
      <w:r>
        <w:rPr>
          <w:color w:val="auto"/>
          <w:sz w:val="22"/>
          <w:szCs w:val="22"/>
          <w:highlight w:val="none"/>
          <w:u w:val="single"/>
        </w:rPr>
        <w:t xml:space="preserve">                  </w:t>
      </w:r>
      <w:r>
        <w:rPr>
          <w:color w:val="auto"/>
          <w:sz w:val="22"/>
          <w:szCs w:val="22"/>
          <w:highlight w:val="none"/>
        </w:rPr>
        <w:t xml:space="preserve">（盖单位章）    </w:t>
      </w:r>
      <w:r>
        <w:rPr>
          <w:rFonts w:hint="eastAsia"/>
          <w:color w:val="auto"/>
          <w:sz w:val="22"/>
          <w:szCs w:val="22"/>
          <w:highlight w:val="none"/>
          <w:lang w:val="en-US" w:eastAsia="zh-CN"/>
        </w:rPr>
        <w:t>检测人</w:t>
      </w:r>
      <w:r>
        <w:rPr>
          <w:color w:val="auto"/>
          <w:sz w:val="22"/>
          <w:szCs w:val="22"/>
          <w:highlight w:val="none"/>
        </w:rPr>
        <w:t>：</w:t>
      </w:r>
      <w:r>
        <w:rPr>
          <w:color w:val="auto"/>
          <w:sz w:val="22"/>
          <w:szCs w:val="22"/>
          <w:highlight w:val="none"/>
          <w:u w:val="single"/>
        </w:rPr>
        <w:t xml:space="preserve">                    </w:t>
      </w:r>
      <w:r>
        <w:rPr>
          <w:color w:val="auto"/>
          <w:sz w:val="22"/>
          <w:szCs w:val="22"/>
          <w:highlight w:val="none"/>
        </w:rPr>
        <w:t>（盖单位章）</w:t>
      </w:r>
    </w:p>
    <w:p w14:paraId="4E90EE49">
      <w:pPr>
        <w:spacing w:line="360" w:lineRule="auto"/>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    法定代表人或其委托代理人：</w:t>
      </w:r>
      <w:r>
        <w:rPr>
          <w:color w:val="auto"/>
          <w:sz w:val="22"/>
          <w:szCs w:val="22"/>
          <w:highlight w:val="none"/>
          <w:u w:val="single"/>
        </w:rPr>
        <w:t xml:space="preserve">      </w:t>
      </w:r>
      <w:r>
        <w:rPr>
          <w:color w:val="auto"/>
          <w:sz w:val="22"/>
          <w:szCs w:val="22"/>
          <w:highlight w:val="none"/>
        </w:rPr>
        <w:t>（签字）</w:t>
      </w:r>
    </w:p>
    <w:p w14:paraId="0A4C6CB1">
      <w:pPr>
        <w:spacing w:line="360" w:lineRule="auto"/>
        <w:ind w:firstLine="660" w:firstLineChars="300"/>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 xml:space="preserve"> 日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 xml:space="preserve">月 </w:t>
      </w:r>
      <w:r>
        <w:rPr>
          <w:color w:val="auto"/>
          <w:sz w:val="22"/>
          <w:szCs w:val="22"/>
          <w:highlight w:val="none"/>
          <w:u w:val="single"/>
        </w:rPr>
        <w:t xml:space="preserve">         </w:t>
      </w:r>
      <w:r>
        <w:rPr>
          <w:color w:val="auto"/>
          <w:sz w:val="22"/>
          <w:szCs w:val="22"/>
          <w:highlight w:val="none"/>
        </w:rPr>
        <w:t>日</w:t>
      </w:r>
    </w:p>
    <w:p w14:paraId="2D27A660">
      <w:pPr>
        <w:pStyle w:val="5"/>
        <w:tabs>
          <w:tab w:val="left" w:pos="7950"/>
        </w:tabs>
        <w:rPr>
          <w:rFonts w:ascii="Times New Roman" w:hAnsi="Times New Roman"/>
          <w:color w:val="auto"/>
          <w:szCs w:val="21"/>
          <w:highlight w:val="none"/>
        </w:rPr>
      </w:pPr>
      <w:r>
        <w:rPr>
          <w:rFonts w:ascii="Times New Roman" w:hAnsi="Times New Roman"/>
          <w:color w:val="auto"/>
          <w:szCs w:val="21"/>
          <w:highlight w:val="none"/>
        </w:rPr>
        <w:br w:type="page"/>
      </w:r>
    </w:p>
    <w:p w14:paraId="0072ECCA">
      <w:pPr>
        <w:spacing w:before="91" w:line="221" w:lineRule="auto"/>
        <w:ind w:left="18"/>
        <w:rPr>
          <w:rFonts w:ascii="黑体" w:hAnsi="黑体" w:eastAsia="黑体" w:cs="黑体"/>
          <w:color w:val="auto"/>
          <w:sz w:val="28"/>
          <w:szCs w:val="28"/>
          <w:highlight w:val="none"/>
        </w:rPr>
      </w:pPr>
      <w:r>
        <w:rPr>
          <w:rFonts w:ascii="黑体" w:hAnsi="黑体" w:eastAsia="黑体" w:cs="黑体"/>
          <w:color w:val="auto"/>
          <w:spacing w:val="-20"/>
          <w:sz w:val="28"/>
          <w:szCs w:val="28"/>
          <w:highlight w:val="none"/>
        </w:rPr>
        <w:t>附</w:t>
      </w:r>
      <w:r>
        <w:rPr>
          <w:rFonts w:ascii="黑体" w:hAnsi="黑体" w:eastAsia="黑体" w:cs="黑体"/>
          <w:color w:val="auto"/>
          <w:spacing w:val="-18"/>
          <w:sz w:val="28"/>
          <w:szCs w:val="28"/>
          <w:highlight w:val="none"/>
        </w:rPr>
        <w:t>件二： 廉政合同</w:t>
      </w:r>
    </w:p>
    <w:p w14:paraId="133BA4C7">
      <w:pPr>
        <w:spacing w:before="209" w:line="221" w:lineRule="auto"/>
        <w:ind w:left="3806"/>
        <w:rPr>
          <w:rFonts w:ascii="黑体" w:hAnsi="黑体" w:eastAsia="黑体" w:cs="黑体"/>
          <w:color w:val="auto"/>
          <w:sz w:val="28"/>
          <w:szCs w:val="28"/>
          <w:highlight w:val="none"/>
        </w:rPr>
      </w:pPr>
      <w:r>
        <w:rPr>
          <w:rFonts w:ascii="黑体" w:hAnsi="黑体" w:eastAsia="黑体" w:cs="黑体"/>
          <w:color w:val="auto"/>
          <w:spacing w:val="-2"/>
          <w:sz w:val="28"/>
          <w:szCs w:val="28"/>
          <w:highlight w:val="none"/>
        </w:rPr>
        <w:t>廉</w:t>
      </w:r>
      <w:r>
        <w:rPr>
          <w:rFonts w:ascii="黑体" w:hAnsi="黑体" w:eastAsia="黑体" w:cs="黑体"/>
          <w:color w:val="auto"/>
          <w:spacing w:val="-1"/>
          <w:sz w:val="28"/>
          <w:szCs w:val="28"/>
          <w:highlight w:val="none"/>
        </w:rPr>
        <w:t>政合同</w:t>
      </w:r>
    </w:p>
    <w:p w14:paraId="573467A0">
      <w:pPr>
        <w:spacing w:line="320" w:lineRule="auto"/>
        <w:rPr>
          <w:rFonts w:ascii="Arial"/>
          <w:color w:val="auto"/>
          <w:sz w:val="21"/>
          <w:highlight w:val="none"/>
        </w:rPr>
      </w:pPr>
    </w:p>
    <w:p w14:paraId="493A5B58">
      <w:pPr>
        <w:spacing w:line="321" w:lineRule="auto"/>
        <w:rPr>
          <w:rFonts w:ascii="Arial"/>
          <w:color w:val="auto"/>
          <w:sz w:val="21"/>
          <w:highlight w:val="none"/>
        </w:rPr>
      </w:pPr>
    </w:p>
    <w:p w14:paraId="1B9FBFCA">
      <w:pPr>
        <w:spacing w:before="0" w:line="360" w:lineRule="auto"/>
        <w:ind w:right="0" w:firstLine="376" w:firstLineChars="171"/>
        <w:rPr>
          <w:rFonts w:ascii="Times New Roman" w:hAnsi="Times New Roman" w:eastAsia="宋体" w:cs="Times New Roman"/>
          <w:color w:val="auto"/>
          <w:sz w:val="22"/>
          <w:szCs w:val="22"/>
          <w:highlight w:val="none"/>
        </w:rPr>
      </w:pPr>
      <w:r>
        <w:rPr>
          <w:rFonts w:ascii="Times New Roman" w:hAnsi="Times New Roman" w:eastAsia="宋体" w:cs="Times New Roman"/>
          <w:color w:val="auto"/>
          <w:spacing w:val="0"/>
          <w:sz w:val="22"/>
          <w:szCs w:val="22"/>
          <w:highlight w:val="none"/>
        </w:rPr>
        <w:t>根</w:t>
      </w:r>
      <w:r>
        <w:rPr>
          <w:rFonts w:ascii="Times New Roman" w:hAnsi="Times New Roman" w:eastAsia="宋体" w:cs="Times New Roman"/>
          <w:color w:val="auto"/>
          <w:sz w:val="22"/>
          <w:szCs w:val="22"/>
          <w:highlight w:val="none"/>
        </w:rPr>
        <w:t>据《关于在交通基础设施建设中加强廉政建设的若干意见》以及有关工程建设、廉政建</w:t>
      </w:r>
      <w:r>
        <w:rPr>
          <w:rFonts w:ascii="Times New Roman" w:hAnsi="Times New Roman" w:eastAsia="宋体" w:cs="Times New Roman"/>
          <w:color w:val="auto"/>
          <w:spacing w:val="0"/>
          <w:sz w:val="22"/>
          <w:szCs w:val="22"/>
          <w:highlight w:val="none"/>
        </w:rPr>
        <w:t>设的规定，为做好工程建设中的党风廉政建设，保证工程建设高效优质，保证建设资金的安全和有效使用以及投资效益，</w:t>
      </w:r>
      <w:r>
        <w:rPr>
          <w:rFonts w:ascii="Times New Roman" w:hAnsi="Times New Roman" w:eastAsia="宋体" w:cs="Times New Roman"/>
          <w:color w:val="auto"/>
          <w:spacing w:val="0"/>
          <w:sz w:val="22"/>
          <w:szCs w:val="22"/>
          <w:highlight w:val="none"/>
          <w:u w:val="single" w:color="auto"/>
        </w:rPr>
        <w:t xml:space="preserve">              </w:t>
      </w:r>
      <w:r>
        <w:rPr>
          <w:rFonts w:ascii="Times New Roman" w:hAnsi="Times New Roman" w:eastAsia="宋体" w:cs="Times New Roman"/>
          <w:color w:val="auto"/>
          <w:spacing w:val="0"/>
          <w:sz w:val="22"/>
          <w:szCs w:val="22"/>
          <w:highlight w:val="none"/>
        </w:rPr>
        <w:t>(项目名称) 的项目法人</w:t>
      </w:r>
      <w:r>
        <w:rPr>
          <w:rFonts w:ascii="Times New Roman" w:hAnsi="Times New Roman" w:eastAsia="宋体" w:cs="Times New Roman"/>
          <w:color w:val="auto"/>
          <w:spacing w:val="0"/>
          <w:sz w:val="22"/>
          <w:szCs w:val="22"/>
          <w:highlight w:val="none"/>
          <w:u w:val="single" w:color="auto"/>
        </w:rPr>
        <w:t xml:space="preserve">   </w:t>
      </w:r>
      <w:r>
        <w:rPr>
          <w:rFonts w:hint="eastAsia" w:cs="Times New Roman"/>
          <w:color w:val="auto"/>
          <w:spacing w:val="0"/>
          <w:sz w:val="22"/>
          <w:szCs w:val="22"/>
          <w:highlight w:val="none"/>
          <w:u w:val="single"/>
          <w:lang w:val="en-US" w:eastAsia="zh-CN"/>
        </w:rPr>
        <w:t xml:space="preserve">     </w:t>
      </w:r>
      <w:r>
        <w:rPr>
          <w:rFonts w:ascii="Times New Roman" w:hAnsi="Times New Roman" w:eastAsia="宋体" w:cs="Times New Roman"/>
          <w:color w:val="auto"/>
          <w:spacing w:val="0"/>
          <w:sz w:val="22"/>
          <w:szCs w:val="22"/>
          <w:highlight w:val="none"/>
          <w:u w:val="single" w:color="auto"/>
        </w:rPr>
        <w:t xml:space="preserve">    </w:t>
      </w:r>
      <w:r>
        <w:rPr>
          <w:rFonts w:ascii="Times New Roman" w:hAnsi="Times New Roman" w:eastAsia="宋体" w:cs="Times New Roman"/>
          <w:color w:val="auto"/>
          <w:spacing w:val="0"/>
          <w:sz w:val="22"/>
          <w:szCs w:val="22"/>
          <w:highlight w:val="none"/>
          <w:u w:val="none" w:color="auto"/>
        </w:rPr>
        <w:t xml:space="preserve"> </w:t>
      </w:r>
      <w:r>
        <w:rPr>
          <w:rFonts w:ascii="Times New Roman" w:hAnsi="Times New Roman" w:eastAsia="宋体" w:cs="Times New Roman"/>
          <w:color w:val="auto"/>
          <w:spacing w:val="0"/>
          <w:sz w:val="22"/>
          <w:szCs w:val="22"/>
          <w:highlight w:val="none"/>
        </w:rPr>
        <w:t>(项目法人名称，以</w:t>
      </w:r>
      <w:r>
        <w:rPr>
          <w:rFonts w:ascii="Times New Roman" w:hAnsi="Times New Roman" w:eastAsia="宋体" w:cs="Times New Roman"/>
          <w:color w:val="auto"/>
          <w:sz w:val="22"/>
          <w:szCs w:val="22"/>
          <w:highlight w:val="none"/>
        </w:rPr>
        <w:t>下</w:t>
      </w:r>
      <w:r>
        <w:rPr>
          <w:rFonts w:ascii="Times New Roman" w:hAnsi="Times New Roman" w:eastAsia="宋体" w:cs="Times New Roman"/>
          <w:color w:val="auto"/>
          <w:spacing w:val="0"/>
          <w:sz w:val="22"/>
          <w:szCs w:val="22"/>
          <w:highlight w:val="none"/>
        </w:rPr>
        <w:t>简称“委托</w:t>
      </w:r>
      <w:r>
        <w:rPr>
          <w:rFonts w:ascii="Times New Roman" w:hAnsi="Times New Roman" w:eastAsia="宋体" w:cs="Times New Roman"/>
          <w:color w:val="auto"/>
          <w:sz w:val="22"/>
          <w:szCs w:val="22"/>
          <w:highlight w:val="none"/>
        </w:rPr>
        <w:t>人”)与该项目</w:t>
      </w:r>
      <w:r>
        <w:rPr>
          <w:rFonts w:hint="eastAsia" w:cs="Times New Roman"/>
          <w:color w:val="auto"/>
          <w:sz w:val="22"/>
          <w:szCs w:val="22"/>
          <w:highlight w:val="none"/>
          <w:u w:val="single"/>
          <w:lang w:eastAsia="zh-CN"/>
        </w:rPr>
        <w:t xml:space="preserve"> </w:t>
      </w:r>
      <w:r>
        <w:rPr>
          <w:rFonts w:hint="eastAsia"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rPr>
        <w:t>的施工</w:t>
      </w:r>
      <w:r>
        <w:rPr>
          <w:rFonts w:hint="eastAsia" w:cs="Times New Roman"/>
          <w:color w:val="auto"/>
          <w:sz w:val="22"/>
          <w:szCs w:val="22"/>
          <w:highlight w:val="none"/>
          <w:lang w:val="en-US" w:eastAsia="zh-CN"/>
        </w:rPr>
        <w:t>检测</w:t>
      </w:r>
      <w:r>
        <w:rPr>
          <w:rFonts w:ascii="Times New Roman" w:hAnsi="Times New Roman" w:eastAsia="宋体" w:cs="Times New Roman"/>
          <w:color w:val="auto"/>
          <w:sz w:val="22"/>
          <w:szCs w:val="22"/>
          <w:highlight w:val="none"/>
        </w:rPr>
        <w:t>单位</w:t>
      </w:r>
      <w:r>
        <w:rPr>
          <w:rFonts w:hint="eastAsia" w:cs="Times New Roman"/>
          <w:color w:val="auto"/>
          <w:sz w:val="22"/>
          <w:szCs w:val="22"/>
          <w:highlight w:val="none"/>
          <w:u w:val="single"/>
          <w:lang w:eastAsia="zh-CN"/>
        </w:rPr>
        <w:t xml:space="preserve"> </w:t>
      </w:r>
      <w:r>
        <w:rPr>
          <w:rFonts w:hint="eastAsia"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rPr>
        <w:t>(</w:t>
      </w:r>
      <w:r>
        <w:rPr>
          <w:rFonts w:hint="eastAsia" w:cs="Times New Roman"/>
          <w:color w:val="auto"/>
          <w:sz w:val="22"/>
          <w:szCs w:val="22"/>
          <w:highlight w:val="none"/>
          <w:lang w:val="en-US" w:eastAsia="zh-CN"/>
        </w:rPr>
        <w:t>检测</w:t>
      </w:r>
      <w:r>
        <w:rPr>
          <w:rFonts w:ascii="Times New Roman" w:hAnsi="Times New Roman" w:eastAsia="宋体" w:cs="Times New Roman"/>
          <w:color w:val="auto"/>
          <w:sz w:val="22"/>
          <w:szCs w:val="22"/>
          <w:highlight w:val="none"/>
        </w:rPr>
        <w:t>单位名称，以下简称“</w:t>
      </w:r>
      <w:r>
        <w:rPr>
          <w:rFonts w:hint="eastAsia" w:cs="Times New Roman"/>
          <w:color w:val="auto"/>
          <w:sz w:val="22"/>
          <w:szCs w:val="22"/>
          <w:highlight w:val="none"/>
          <w:lang w:val="en-US" w:eastAsia="zh-CN"/>
        </w:rPr>
        <w:t xml:space="preserve">检测     </w:t>
      </w:r>
      <w:r>
        <w:rPr>
          <w:rFonts w:ascii="Times New Roman" w:hAnsi="Times New Roman" w:eastAsia="宋体" w:cs="Times New Roman"/>
          <w:color w:val="auto"/>
          <w:spacing w:val="0"/>
          <w:sz w:val="22"/>
          <w:szCs w:val="22"/>
          <w:highlight w:val="none"/>
        </w:rPr>
        <w:t>人”)，特订</w:t>
      </w:r>
      <w:r>
        <w:rPr>
          <w:rFonts w:ascii="Times New Roman" w:hAnsi="Times New Roman" w:eastAsia="宋体" w:cs="Times New Roman"/>
          <w:color w:val="auto"/>
          <w:sz w:val="22"/>
          <w:szCs w:val="22"/>
          <w:highlight w:val="none"/>
        </w:rPr>
        <w:t>立如下合同。</w:t>
      </w:r>
    </w:p>
    <w:p w14:paraId="73D7803D">
      <w:pPr>
        <w:spacing w:line="219" w:lineRule="auto"/>
        <w:ind w:left="550"/>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1.委托人和</w:t>
      </w:r>
      <w:r>
        <w:rPr>
          <w:rFonts w:hint="eastAsia" w:ascii="宋体" w:hAnsi="宋体" w:cs="宋体"/>
          <w:color w:val="auto"/>
          <w:spacing w:val="-1"/>
          <w:sz w:val="22"/>
          <w:szCs w:val="22"/>
          <w:highlight w:val="none"/>
          <w:lang w:val="en-US" w:eastAsia="zh-CN"/>
        </w:rPr>
        <w:t>检测</w:t>
      </w:r>
      <w:r>
        <w:rPr>
          <w:rFonts w:hint="eastAsia" w:ascii="宋体" w:hAnsi="宋体" w:eastAsia="宋体" w:cs="宋体"/>
          <w:color w:val="auto"/>
          <w:spacing w:val="-1"/>
          <w:sz w:val="22"/>
          <w:szCs w:val="22"/>
          <w:highlight w:val="none"/>
        </w:rPr>
        <w:t>人双方的权利</w:t>
      </w:r>
      <w:r>
        <w:rPr>
          <w:rFonts w:hint="eastAsia" w:ascii="宋体" w:hAnsi="宋体" w:eastAsia="宋体" w:cs="宋体"/>
          <w:color w:val="auto"/>
          <w:sz w:val="22"/>
          <w:szCs w:val="22"/>
          <w:highlight w:val="none"/>
        </w:rPr>
        <w:t>和义务</w:t>
      </w:r>
    </w:p>
    <w:p w14:paraId="67CB5045">
      <w:pPr>
        <w:spacing w:before="150" w:line="228" w:lineRule="auto"/>
        <w:ind w:left="545"/>
        <w:rPr>
          <w:rFonts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w:t>
      </w:r>
      <w:r>
        <w:rPr>
          <w:rFonts w:hint="eastAsia" w:ascii="宋体" w:hAnsi="宋体" w:eastAsia="宋体" w:cs="宋体"/>
          <w:color w:val="auto"/>
          <w:sz w:val="22"/>
          <w:szCs w:val="22"/>
          <w:highlight w:val="none"/>
        </w:rPr>
        <w:t>1)</w:t>
      </w:r>
      <w:r>
        <w:rPr>
          <w:rFonts w:ascii="宋体" w:hAnsi="宋体" w:eastAsia="宋体" w:cs="宋体"/>
          <w:color w:val="auto"/>
          <w:sz w:val="22"/>
          <w:szCs w:val="22"/>
          <w:highlight w:val="none"/>
        </w:rPr>
        <w:t>严格遵守党的政策规定和国家有关法律法规及交通运输部的有关规定。</w:t>
      </w:r>
    </w:p>
    <w:p w14:paraId="464C05E3">
      <w:pPr>
        <w:spacing w:before="141" w:line="228" w:lineRule="auto"/>
        <w:ind w:left="545"/>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w:t>
      </w:r>
      <w:r>
        <w:rPr>
          <w:rFonts w:ascii="宋体" w:hAnsi="宋体" w:eastAsia="宋体" w:cs="宋体"/>
          <w:color w:val="auto"/>
          <w:spacing w:val="2"/>
          <w:sz w:val="22"/>
          <w:szCs w:val="22"/>
          <w:highlight w:val="none"/>
        </w:rPr>
        <w:t>严格执行</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2"/>
          <w:sz w:val="22"/>
          <w:szCs w:val="22"/>
          <w:highlight w:val="none"/>
        </w:rPr>
        <w:t xml:space="preserve"> (项目名称)</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2"/>
          <w:sz w:val="22"/>
          <w:szCs w:val="22"/>
          <w:highlight w:val="none"/>
        </w:rPr>
        <w:t>施工</w:t>
      </w:r>
      <w:r>
        <w:rPr>
          <w:rFonts w:hint="eastAsia" w:ascii="宋体" w:hAnsi="宋体" w:cs="宋体"/>
          <w:color w:val="auto"/>
          <w:spacing w:val="2"/>
          <w:sz w:val="22"/>
          <w:szCs w:val="22"/>
          <w:highlight w:val="none"/>
          <w:lang w:val="en-US" w:eastAsia="zh-CN"/>
        </w:rPr>
        <w:t>检测</w:t>
      </w:r>
      <w:r>
        <w:rPr>
          <w:rFonts w:ascii="宋体" w:hAnsi="宋体" w:eastAsia="宋体" w:cs="宋体"/>
          <w:color w:val="auto"/>
          <w:spacing w:val="2"/>
          <w:sz w:val="22"/>
          <w:szCs w:val="22"/>
          <w:highlight w:val="none"/>
        </w:rPr>
        <w:t>合同文件，自觉按合</w:t>
      </w:r>
      <w:r>
        <w:rPr>
          <w:rFonts w:ascii="宋体" w:hAnsi="宋体" w:eastAsia="宋体" w:cs="宋体"/>
          <w:color w:val="auto"/>
          <w:sz w:val="22"/>
          <w:szCs w:val="22"/>
          <w:highlight w:val="none"/>
        </w:rPr>
        <w:t>同办事。</w:t>
      </w:r>
    </w:p>
    <w:p w14:paraId="65711AB6">
      <w:pPr>
        <w:spacing w:before="142" w:line="351" w:lineRule="auto"/>
        <w:ind w:left="5" w:right="75" w:firstLine="540"/>
        <w:rPr>
          <w:rFonts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(3)</w:t>
      </w:r>
      <w:r>
        <w:rPr>
          <w:rFonts w:ascii="宋体" w:hAnsi="宋体" w:eastAsia="宋体" w:cs="宋体"/>
          <w:color w:val="auto"/>
          <w:spacing w:val="1"/>
          <w:sz w:val="22"/>
          <w:szCs w:val="22"/>
          <w:highlight w:val="none"/>
        </w:rPr>
        <w:t>双方的业务活动坚持公开、公</w:t>
      </w:r>
      <w:r>
        <w:rPr>
          <w:rFonts w:ascii="宋体" w:hAnsi="宋体" w:eastAsia="宋体" w:cs="宋体"/>
          <w:color w:val="auto"/>
          <w:sz w:val="22"/>
          <w:szCs w:val="22"/>
          <w:highlight w:val="none"/>
        </w:rPr>
        <w:t>正、诚信、透明的原则</w:t>
      </w:r>
      <w:r>
        <w:rPr>
          <w:rFonts w:hint="eastAsia" w:ascii="宋体" w:hAnsi="宋体" w:eastAsia="宋体" w:cs="宋体"/>
          <w:color w:val="auto"/>
          <w:sz w:val="22"/>
          <w:szCs w:val="22"/>
          <w:highlight w:val="none"/>
        </w:rPr>
        <w:t>(</w:t>
      </w:r>
      <w:r>
        <w:rPr>
          <w:rFonts w:ascii="宋体" w:hAnsi="宋体" w:eastAsia="宋体" w:cs="宋体"/>
          <w:color w:val="auto"/>
          <w:sz w:val="22"/>
          <w:szCs w:val="22"/>
          <w:highlight w:val="none"/>
        </w:rPr>
        <w:t>法律认定的商业秘密和合同文件</w:t>
      </w:r>
      <w:r>
        <w:rPr>
          <w:rFonts w:ascii="宋体" w:hAnsi="宋体" w:eastAsia="宋体" w:cs="宋体"/>
          <w:color w:val="auto"/>
          <w:spacing w:val="-1"/>
          <w:sz w:val="22"/>
          <w:szCs w:val="22"/>
          <w:highlight w:val="none"/>
        </w:rPr>
        <w:t>另有规定除外</w:t>
      </w:r>
      <w:r>
        <w:rPr>
          <w:rFonts w:hint="eastAsia" w:ascii="宋体" w:hAnsi="宋体" w:eastAsia="宋体" w:cs="宋体"/>
          <w:color w:val="auto"/>
          <w:spacing w:val="-1"/>
          <w:sz w:val="22"/>
          <w:szCs w:val="22"/>
          <w:highlight w:val="none"/>
        </w:rPr>
        <w:t>)</w:t>
      </w:r>
      <w:r>
        <w:rPr>
          <w:rFonts w:ascii="宋体" w:hAnsi="宋体" w:eastAsia="宋体" w:cs="宋体"/>
          <w:color w:val="auto"/>
          <w:spacing w:val="-1"/>
          <w:sz w:val="22"/>
          <w:szCs w:val="22"/>
          <w:highlight w:val="none"/>
        </w:rPr>
        <w:t>，</w:t>
      </w:r>
      <w:r>
        <w:rPr>
          <w:rFonts w:ascii="宋体" w:hAnsi="宋体" w:eastAsia="宋体" w:cs="宋体"/>
          <w:color w:val="auto"/>
          <w:sz w:val="22"/>
          <w:szCs w:val="22"/>
          <w:highlight w:val="none"/>
        </w:rPr>
        <w:t>不得损害国家和集体利益，不得违反工程建设管理规章制度。</w:t>
      </w:r>
    </w:p>
    <w:p w14:paraId="1AA7EC9F">
      <w:pPr>
        <w:spacing w:line="351" w:lineRule="auto"/>
        <w:ind w:left="4" w:right="78" w:firstLine="541"/>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(4)</w:t>
      </w:r>
      <w:r>
        <w:rPr>
          <w:rFonts w:ascii="宋体" w:hAnsi="宋体" w:eastAsia="宋体" w:cs="宋体"/>
          <w:color w:val="auto"/>
          <w:spacing w:val="2"/>
          <w:sz w:val="22"/>
          <w:szCs w:val="22"/>
          <w:highlight w:val="none"/>
        </w:rPr>
        <w:t>建立健全廉政制度，开展廉政教育，设立廉政告示牌，公布举报电话，监督并</w:t>
      </w:r>
      <w:r>
        <w:rPr>
          <w:rFonts w:ascii="宋体" w:hAnsi="宋体" w:eastAsia="宋体" w:cs="宋体"/>
          <w:color w:val="auto"/>
          <w:sz w:val="22"/>
          <w:szCs w:val="22"/>
          <w:highlight w:val="none"/>
        </w:rPr>
        <w:t>认真查</w:t>
      </w:r>
      <w:r>
        <w:rPr>
          <w:rFonts w:ascii="宋体" w:hAnsi="宋体" w:eastAsia="宋体" w:cs="宋体"/>
          <w:color w:val="auto"/>
          <w:spacing w:val="-2"/>
          <w:sz w:val="22"/>
          <w:szCs w:val="22"/>
          <w:highlight w:val="none"/>
        </w:rPr>
        <w:t>处</w:t>
      </w:r>
      <w:r>
        <w:rPr>
          <w:rFonts w:ascii="宋体" w:hAnsi="宋体" w:eastAsia="宋体" w:cs="宋体"/>
          <w:color w:val="auto"/>
          <w:spacing w:val="-1"/>
          <w:sz w:val="22"/>
          <w:szCs w:val="22"/>
          <w:highlight w:val="none"/>
        </w:rPr>
        <w:t>违法违纪行为。</w:t>
      </w:r>
    </w:p>
    <w:p w14:paraId="2D60D0D7">
      <w:pPr>
        <w:spacing w:before="1" w:line="228" w:lineRule="auto"/>
        <w:ind w:left="545"/>
        <w:rPr>
          <w:rFonts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(5)</w:t>
      </w:r>
      <w:r>
        <w:rPr>
          <w:rFonts w:ascii="宋体" w:hAnsi="宋体" w:eastAsia="宋体" w:cs="宋体"/>
          <w:color w:val="auto"/>
          <w:spacing w:val="-4"/>
          <w:sz w:val="22"/>
          <w:szCs w:val="22"/>
          <w:highlight w:val="none"/>
        </w:rPr>
        <w:t>发现对方在业务活动中</w:t>
      </w:r>
      <w:r>
        <w:rPr>
          <w:rFonts w:ascii="宋体" w:hAnsi="宋体" w:eastAsia="宋体" w:cs="宋体"/>
          <w:color w:val="auto"/>
          <w:spacing w:val="-3"/>
          <w:sz w:val="22"/>
          <w:szCs w:val="22"/>
          <w:highlight w:val="none"/>
        </w:rPr>
        <w:t>有</w:t>
      </w:r>
      <w:r>
        <w:rPr>
          <w:rFonts w:ascii="宋体" w:hAnsi="宋体" w:eastAsia="宋体" w:cs="宋体"/>
          <w:color w:val="auto"/>
          <w:spacing w:val="-2"/>
          <w:sz w:val="22"/>
          <w:szCs w:val="22"/>
          <w:highlight w:val="none"/>
        </w:rPr>
        <w:t>违反廉政规定的行为，有及时提醒对方纠正的权利和义务。</w:t>
      </w:r>
    </w:p>
    <w:p w14:paraId="41F6D178">
      <w:pPr>
        <w:spacing w:before="142" w:line="351" w:lineRule="auto"/>
        <w:ind w:left="5" w:right="78" w:firstLine="540"/>
        <w:rPr>
          <w:rFonts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(6)</w:t>
      </w:r>
      <w:r>
        <w:rPr>
          <w:rFonts w:ascii="宋体" w:hAnsi="宋体" w:eastAsia="宋体" w:cs="宋体"/>
          <w:color w:val="auto"/>
          <w:spacing w:val="-1"/>
          <w:sz w:val="22"/>
          <w:szCs w:val="22"/>
          <w:highlight w:val="none"/>
        </w:rPr>
        <w:t>发现对方严重违反本合同义务条款的行为，有向</w:t>
      </w:r>
      <w:r>
        <w:rPr>
          <w:rFonts w:ascii="宋体" w:hAnsi="宋体" w:eastAsia="宋体" w:cs="宋体"/>
          <w:color w:val="auto"/>
          <w:sz w:val="22"/>
          <w:szCs w:val="22"/>
          <w:highlight w:val="none"/>
        </w:rPr>
        <w:t>其上级有关部门举报、建议给予处理</w:t>
      </w:r>
      <w:r>
        <w:rPr>
          <w:rFonts w:ascii="宋体" w:hAnsi="宋体" w:eastAsia="宋体" w:cs="宋体"/>
          <w:color w:val="auto"/>
          <w:spacing w:val="-2"/>
          <w:sz w:val="22"/>
          <w:szCs w:val="22"/>
          <w:highlight w:val="none"/>
        </w:rPr>
        <w:t>并要求告知处理结果的权利</w:t>
      </w:r>
      <w:r>
        <w:rPr>
          <w:rFonts w:ascii="宋体" w:hAnsi="宋体" w:eastAsia="宋体" w:cs="宋体"/>
          <w:color w:val="auto"/>
          <w:spacing w:val="-1"/>
          <w:sz w:val="22"/>
          <w:szCs w:val="22"/>
          <w:highlight w:val="none"/>
        </w:rPr>
        <w:t>。</w:t>
      </w:r>
    </w:p>
    <w:p w14:paraId="35EF72F1">
      <w:pPr>
        <w:spacing w:line="219" w:lineRule="auto"/>
        <w:ind w:left="543"/>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2</w:t>
      </w:r>
      <w:r>
        <w:rPr>
          <w:rFonts w:hint="eastAsia" w:ascii="宋体" w:hAnsi="宋体" w:eastAsia="宋体" w:cs="宋体"/>
          <w:color w:val="auto"/>
          <w:sz w:val="22"/>
          <w:szCs w:val="22"/>
          <w:highlight w:val="none"/>
        </w:rPr>
        <w:t>.委托人的义务</w:t>
      </w:r>
    </w:p>
    <w:p w14:paraId="7D0305D3">
      <w:pPr>
        <w:spacing w:before="1" w:line="352" w:lineRule="auto"/>
        <w:ind w:left="17" w:right="78" w:firstLine="528"/>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 xml:space="preserve">（1）委托人及其工作人员不得索要或接受检测人的礼金、有价证券和贵重物品，不得让检测人报销任何应由委托人或委托人工作人员个人支付的费用等。 </w:t>
      </w:r>
    </w:p>
    <w:p w14:paraId="227C668A">
      <w:pPr>
        <w:spacing w:before="1" w:line="352" w:lineRule="auto"/>
        <w:ind w:left="17" w:right="78" w:firstLine="528"/>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 xml:space="preserve">（2）委托人工作人员不得参加检测人安排的超标准宴请和娱乐活动；不得接受检测人提供的通讯工具、交通工具和高档办公用品等。 </w:t>
      </w:r>
    </w:p>
    <w:p w14:paraId="275FBF22">
      <w:pPr>
        <w:spacing w:before="1" w:line="352" w:lineRule="auto"/>
        <w:ind w:left="17" w:right="78" w:firstLine="528"/>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 xml:space="preserve">（3）委托人及其工作人员不得要求或者接受检测人为其住房装修、婚丧嫁娶活动、配偶子女的工作安排以及出国出境、旅游等提供方便等。 </w:t>
      </w:r>
    </w:p>
    <w:p w14:paraId="43A050A6">
      <w:pPr>
        <w:spacing w:before="1" w:line="352" w:lineRule="auto"/>
        <w:ind w:left="17" w:right="78" w:firstLine="528"/>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 xml:space="preserve">（4）委托人工作人员及其配偶、子女不得从事与委托人工程有关的材料设备供应、工程分包、劳务等经济活动等。 </w:t>
      </w:r>
    </w:p>
    <w:p w14:paraId="3ECBEDBE">
      <w:pPr>
        <w:spacing w:before="1" w:line="352" w:lineRule="auto"/>
        <w:ind w:left="17" w:right="78" w:firstLine="528"/>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 xml:space="preserve">（5）委托人及其工作人员不得以任何理由向检测人推荐分包单位或推销材料，不得要求检测人购买合同规定外的材料和设备。 </w:t>
      </w:r>
    </w:p>
    <w:p w14:paraId="2620EA1D">
      <w:pPr>
        <w:spacing w:before="1" w:line="352" w:lineRule="auto"/>
        <w:ind w:left="17" w:right="78" w:firstLine="528"/>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（6）委托人工作人员要秉公办事，不准营私舞弊，不准利用职权从事各种个人有偿中介活动和安排个人施工检测队伍</w:t>
      </w:r>
      <w:r>
        <w:rPr>
          <w:rFonts w:hint="eastAsia" w:ascii="宋体" w:hAnsi="宋体" w:eastAsia="宋体" w:cs="宋体"/>
          <w:color w:val="auto"/>
          <w:spacing w:val="-1"/>
          <w:sz w:val="22"/>
          <w:szCs w:val="22"/>
          <w:highlight w:val="none"/>
        </w:rPr>
        <w:t>。</w:t>
      </w:r>
    </w:p>
    <w:p w14:paraId="27BD0D6B">
      <w:pPr>
        <w:spacing w:before="1" w:line="352" w:lineRule="auto"/>
        <w:ind w:left="2" w:right="78" w:firstLine="542"/>
        <w:rPr>
          <w:rFonts w:ascii="宋体" w:hAnsi="宋体" w:eastAsia="宋体" w:cs="宋体"/>
          <w:color w:val="auto"/>
          <w:spacing w:val="-1"/>
          <w:sz w:val="22"/>
          <w:szCs w:val="22"/>
          <w:highlight w:val="none"/>
        </w:rPr>
      </w:pPr>
      <w:r>
        <w:rPr>
          <w:rFonts w:hint="default" w:ascii="宋体" w:hAnsi="宋体" w:eastAsia="宋体" w:cs="宋体"/>
          <w:color w:val="auto"/>
          <w:spacing w:val="-1"/>
          <w:sz w:val="22"/>
          <w:szCs w:val="22"/>
          <w:highlight w:val="none"/>
          <w:lang w:val="en-US" w:eastAsia="zh-CN"/>
        </w:rPr>
        <w:t xml:space="preserve">3. </w:t>
      </w:r>
      <w:r>
        <w:rPr>
          <w:rFonts w:ascii="宋体" w:hAnsi="宋体" w:eastAsia="宋体" w:cs="宋体"/>
          <w:color w:val="auto"/>
          <w:spacing w:val="-1"/>
          <w:sz w:val="22"/>
          <w:szCs w:val="22"/>
          <w:highlight w:val="none"/>
          <w:lang w:val="en-US" w:eastAsia="zh-CN"/>
        </w:rPr>
        <w:t xml:space="preserve">检测人的义务 </w:t>
      </w:r>
    </w:p>
    <w:p w14:paraId="25E578D5">
      <w:pPr>
        <w:spacing w:before="1" w:line="352" w:lineRule="auto"/>
        <w:ind w:left="2" w:right="78" w:firstLine="542"/>
        <w:rPr>
          <w:rFonts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val="en-US" w:eastAsia="zh-CN"/>
        </w:rPr>
        <w:t xml:space="preserve">）检测人不得以任何理由向委托人及其工作人员行贿或馈赠礼金、有价证券、贵重礼品。 </w:t>
      </w:r>
    </w:p>
    <w:p w14:paraId="0C4CB0E0">
      <w:pPr>
        <w:spacing w:before="1" w:line="352" w:lineRule="auto"/>
        <w:ind w:left="2" w:right="78" w:firstLine="542"/>
        <w:rPr>
          <w:rFonts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val="en-US" w:eastAsia="zh-CN"/>
        </w:rPr>
        <w:t xml:space="preserve">）检测人不得以任何名义为委托人及其工作人员报销应由委托人单位或个人支付的任何费用。 </w:t>
      </w:r>
    </w:p>
    <w:p w14:paraId="504A54E4">
      <w:pPr>
        <w:spacing w:before="1" w:line="352" w:lineRule="auto"/>
        <w:ind w:left="2" w:right="78" w:firstLine="542"/>
        <w:rPr>
          <w:rFonts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3</w:t>
      </w:r>
      <w:r>
        <w:rPr>
          <w:rFonts w:hint="eastAsia" w:ascii="宋体" w:hAnsi="宋体" w:eastAsia="宋体" w:cs="宋体"/>
          <w:color w:val="auto"/>
          <w:spacing w:val="-1"/>
          <w:sz w:val="22"/>
          <w:szCs w:val="22"/>
          <w:highlight w:val="none"/>
          <w:lang w:val="en-US" w:eastAsia="zh-CN"/>
        </w:rPr>
        <w:t xml:space="preserve">）检测人不得以任何理由安排委托人工作人员参加超标准宴请及娱乐活动。 </w:t>
      </w:r>
    </w:p>
    <w:p w14:paraId="1F9B269F">
      <w:pPr>
        <w:spacing w:before="1" w:line="352" w:lineRule="auto"/>
        <w:ind w:left="2" w:right="78" w:firstLine="542"/>
        <w:rPr>
          <w:rFonts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4</w:t>
      </w:r>
      <w:r>
        <w:rPr>
          <w:rFonts w:hint="eastAsia" w:ascii="宋体" w:hAnsi="宋体" w:eastAsia="宋体" w:cs="宋体"/>
          <w:color w:val="auto"/>
          <w:spacing w:val="-1"/>
          <w:sz w:val="22"/>
          <w:szCs w:val="22"/>
          <w:highlight w:val="none"/>
          <w:lang w:val="en-US" w:eastAsia="zh-CN"/>
        </w:rPr>
        <w:t xml:space="preserve">）检测人不得为委托人单位和个人购置或提供通信工具、交通工具和高档办公用品等。 </w:t>
      </w:r>
    </w:p>
    <w:p w14:paraId="7476E57B">
      <w:pPr>
        <w:spacing w:before="1" w:line="352" w:lineRule="auto"/>
        <w:ind w:left="2" w:right="78" w:firstLine="542"/>
        <w:rPr>
          <w:rFonts w:ascii="宋体" w:hAnsi="宋体" w:eastAsia="宋体" w:cs="宋体"/>
          <w:color w:val="auto"/>
          <w:spacing w:val="-1"/>
          <w:sz w:val="22"/>
          <w:szCs w:val="22"/>
          <w:highlight w:val="none"/>
        </w:rPr>
      </w:pPr>
      <w:r>
        <w:rPr>
          <w:rFonts w:hint="default" w:ascii="宋体" w:hAnsi="宋体" w:eastAsia="宋体" w:cs="宋体"/>
          <w:color w:val="auto"/>
          <w:spacing w:val="-1"/>
          <w:sz w:val="22"/>
          <w:szCs w:val="22"/>
          <w:highlight w:val="none"/>
          <w:lang w:val="en-US" w:eastAsia="zh-CN"/>
        </w:rPr>
        <w:t xml:space="preserve">4. </w:t>
      </w:r>
      <w:r>
        <w:rPr>
          <w:rFonts w:hint="eastAsia" w:ascii="宋体" w:hAnsi="宋体" w:eastAsia="宋体" w:cs="宋体"/>
          <w:color w:val="auto"/>
          <w:spacing w:val="-1"/>
          <w:sz w:val="22"/>
          <w:szCs w:val="22"/>
          <w:highlight w:val="none"/>
          <w:lang w:val="en-US" w:eastAsia="zh-CN"/>
        </w:rPr>
        <w:t xml:space="preserve">违约责任 </w:t>
      </w:r>
    </w:p>
    <w:p w14:paraId="250CB410">
      <w:pPr>
        <w:spacing w:before="1" w:line="352" w:lineRule="auto"/>
        <w:ind w:left="2" w:right="78" w:firstLine="542"/>
        <w:rPr>
          <w:rFonts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val="en-US" w:eastAsia="zh-CN"/>
        </w:rPr>
        <w:t xml:space="preserve">）委托人及其工作人员违反本合同第 </w:t>
      </w:r>
      <w:r>
        <w:rPr>
          <w:rFonts w:hint="default"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 xml:space="preserve">2 </w:t>
      </w:r>
      <w:r>
        <w:rPr>
          <w:rFonts w:hint="eastAsia" w:ascii="宋体" w:hAnsi="宋体" w:eastAsia="宋体" w:cs="宋体"/>
          <w:color w:val="auto"/>
          <w:spacing w:val="-1"/>
          <w:sz w:val="22"/>
          <w:szCs w:val="22"/>
          <w:highlight w:val="none"/>
          <w:lang w:val="en-US" w:eastAsia="zh-CN"/>
        </w:rPr>
        <w:t xml:space="preserve">条，按管理权限，依据有关规定给予党纪、政纪或组织处理；涉嫌犯罪的，移交司法机关追究刑事责任；给检测人单位造成经济损失的，应予以赔偿。 </w:t>
      </w:r>
    </w:p>
    <w:p w14:paraId="43AC13C3">
      <w:pPr>
        <w:spacing w:before="1" w:line="352" w:lineRule="auto"/>
        <w:ind w:left="2" w:right="78" w:firstLine="542"/>
        <w:rPr>
          <w:rFonts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2</w:t>
      </w:r>
      <w:r>
        <w:rPr>
          <w:rFonts w:hint="eastAsia" w:ascii="宋体" w:hAnsi="宋体" w:eastAsia="宋体" w:cs="宋体"/>
          <w:color w:val="auto"/>
          <w:spacing w:val="-1"/>
          <w:sz w:val="22"/>
          <w:szCs w:val="22"/>
          <w:highlight w:val="none"/>
          <w:lang w:val="en-US" w:eastAsia="zh-CN"/>
        </w:rPr>
        <w:t xml:space="preserve">）检测人及其工作人员违反本合同第 </w:t>
      </w:r>
      <w:r>
        <w:rPr>
          <w:rFonts w:hint="default" w:ascii="宋体" w:hAnsi="宋体" w:eastAsia="宋体" w:cs="宋体"/>
          <w:color w:val="auto"/>
          <w:spacing w:val="-1"/>
          <w:sz w:val="22"/>
          <w:szCs w:val="22"/>
          <w:highlight w:val="none"/>
          <w:lang w:val="en-US" w:eastAsia="zh-CN"/>
        </w:rPr>
        <w:t>1</w:t>
      </w:r>
      <w:r>
        <w:rPr>
          <w:rFonts w:hint="eastAsia" w:ascii="宋体" w:hAnsi="宋体" w:eastAsia="宋体" w:cs="宋体"/>
          <w:color w:val="auto"/>
          <w:spacing w:val="-1"/>
          <w:sz w:val="22"/>
          <w:szCs w:val="22"/>
          <w:highlight w:val="none"/>
          <w:lang w:val="en-US" w:eastAsia="zh-CN"/>
        </w:rPr>
        <w:t>、</w:t>
      </w:r>
      <w:r>
        <w:rPr>
          <w:rFonts w:hint="default" w:ascii="宋体" w:hAnsi="宋体" w:eastAsia="宋体" w:cs="宋体"/>
          <w:color w:val="auto"/>
          <w:spacing w:val="-1"/>
          <w:sz w:val="22"/>
          <w:szCs w:val="22"/>
          <w:highlight w:val="none"/>
          <w:lang w:val="en-US" w:eastAsia="zh-CN"/>
        </w:rPr>
        <w:t xml:space="preserve">3 </w:t>
      </w:r>
      <w:r>
        <w:rPr>
          <w:rFonts w:hint="eastAsia" w:ascii="宋体" w:hAnsi="宋体" w:eastAsia="宋体" w:cs="宋体"/>
          <w:color w:val="auto"/>
          <w:spacing w:val="-1"/>
          <w:sz w:val="22"/>
          <w:szCs w:val="22"/>
          <w:highlight w:val="none"/>
          <w:lang w:val="en-US" w:eastAsia="zh-CN"/>
        </w:rPr>
        <w:t xml:space="preserve">条，按管理权限，依据有关规定给予党纪、政纪或组织处理；给委托人单位造成经济损失的，应予以赔偿；情节严重的，委托人建议交通运输主管部门给予检测人一至三年内不得进入其主管的公路建设市场的处罚。 </w:t>
      </w:r>
    </w:p>
    <w:p w14:paraId="7FAE8935">
      <w:pPr>
        <w:spacing w:before="1" w:line="352" w:lineRule="auto"/>
        <w:ind w:left="2" w:right="78" w:firstLine="542"/>
        <w:rPr>
          <w:rFonts w:ascii="宋体" w:hAnsi="宋体" w:eastAsia="宋体" w:cs="宋体"/>
          <w:color w:val="auto"/>
          <w:spacing w:val="-1"/>
          <w:sz w:val="22"/>
          <w:szCs w:val="22"/>
          <w:highlight w:val="none"/>
        </w:rPr>
      </w:pPr>
      <w:r>
        <w:rPr>
          <w:rFonts w:hint="default" w:ascii="宋体" w:hAnsi="宋体" w:eastAsia="宋体" w:cs="宋体"/>
          <w:color w:val="auto"/>
          <w:spacing w:val="-1"/>
          <w:sz w:val="22"/>
          <w:szCs w:val="22"/>
          <w:highlight w:val="none"/>
          <w:lang w:val="en-US" w:eastAsia="zh-CN"/>
        </w:rPr>
        <w:t xml:space="preserve">5. </w:t>
      </w:r>
      <w:r>
        <w:rPr>
          <w:rFonts w:hint="eastAsia" w:ascii="宋体" w:hAnsi="宋体" w:eastAsia="宋体" w:cs="宋体"/>
          <w:color w:val="auto"/>
          <w:spacing w:val="-1"/>
          <w:sz w:val="22"/>
          <w:szCs w:val="22"/>
          <w:highlight w:val="none"/>
          <w:lang w:val="en-US" w:eastAsia="zh-CN"/>
        </w:rPr>
        <w:t xml:space="preserve">双方约定：本合同由双方或双方上级单位的纪检监察部门负责监督执行。由委托人或委托人上级单位的纪检监察部门约请检测人或检测人上级单位纪检监察部门对本合同执行情况进行检查，提出在本合同规定范围内的裁定意见。 </w:t>
      </w:r>
    </w:p>
    <w:p w14:paraId="343C9AE5">
      <w:pPr>
        <w:spacing w:before="1" w:line="352" w:lineRule="auto"/>
        <w:ind w:left="2" w:right="78" w:firstLine="542"/>
        <w:rPr>
          <w:rFonts w:ascii="宋体" w:hAnsi="宋体" w:eastAsia="宋体" w:cs="宋体"/>
          <w:color w:val="auto"/>
          <w:spacing w:val="-1"/>
          <w:sz w:val="22"/>
          <w:szCs w:val="22"/>
          <w:highlight w:val="none"/>
        </w:rPr>
      </w:pPr>
      <w:r>
        <w:rPr>
          <w:rFonts w:hint="default" w:ascii="宋体" w:hAnsi="宋体" w:eastAsia="宋体" w:cs="宋体"/>
          <w:color w:val="auto"/>
          <w:spacing w:val="-1"/>
          <w:sz w:val="22"/>
          <w:szCs w:val="22"/>
          <w:highlight w:val="none"/>
          <w:lang w:val="en-US" w:eastAsia="zh-CN"/>
        </w:rPr>
        <w:t xml:space="preserve">6. </w:t>
      </w:r>
      <w:r>
        <w:rPr>
          <w:rFonts w:hint="eastAsia" w:ascii="宋体" w:hAnsi="宋体" w:eastAsia="宋体" w:cs="宋体"/>
          <w:color w:val="auto"/>
          <w:spacing w:val="-1"/>
          <w:sz w:val="22"/>
          <w:szCs w:val="22"/>
          <w:highlight w:val="none"/>
          <w:lang w:val="en-US" w:eastAsia="zh-CN"/>
        </w:rPr>
        <w:t xml:space="preserve">本合同有效期为委托人和检测人签署之日起至该工程项目竣工验收后止。 </w:t>
      </w:r>
    </w:p>
    <w:p w14:paraId="5AA7F250">
      <w:pPr>
        <w:spacing w:before="1" w:line="352" w:lineRule="auto"/>
        <w:ind w:left="2" w:right="78" w:firstLine="542"/>
        <w:rPr>
          <w:rFonts w:hint="eastAsia" w:ascii="宋体" w:hAnsi="宋体" w:cs="宋体"/>
          <w:color w:val="auto"/>
          <w:spacing w:val="-1"/>
          <w:sz w:val="22"/>
          <w:szCs w:val="22"/>
          <w:highlight w:val="none"/>
          <w:lang w:val="en-US" w:eastAsia="zh-CN"/>
        </w:rPr>
      </w:pPr>
      <w:r>
        <w:rPr>
          <w:rFonts w:hint="default" w:ascii="宋体" w:hAnsi="宋体" w:eastAsia="宋体" w:cs="宋体"/>
          <w:color w:val="auto"/>
          <w:spacing w:val="-1"/>
          <w:sz w:val="22"/>
          <w:szCs w:val="22"/>
          <w:highlight w:val="none"/>
          <w:lang w:val="en-US" w:eastAsia="zh-CN"/>
        </w:rPr>
        <w:t xml:space="preserve">7. </w:t>
      </w:r>
      <w:r>
        <w:rPr>
          <w:rFonts w:hint="eastAsia" w:ascii="宋体" w:hAnsi="宋体" w:eastAsia="宋体" w:cs="宋体"/>
          <w:color w:val="auto"/>
          <w:spacing w:val="-1"/>
          <w:sz w:val="22"/>
          <w:szCs w:val="22"/>
          <w:highlight w:val="none"/>
          <w:lang w:val="en-US" w:eastAsia="zh-CN"/>
        </w:rPr>
        <w:t>本合同作为</w:t>
      </w:r>
      <w:r>
        <w:rPr>
          <w:rFonts w:hint="eastAsia" w:ascii="宋体" w:hAnsi="宋体" w:cs="宋体"/>
          <w:color w:val="auto"/>
          <w:spacing w:val="-1"/>
          <w:sz w:val="22"/>
          <w:szCs w:val="22"/>
          <w:highlight w:val="none"/>
          <w:lang w:val="en-US" w:eastAsia="zh-CN"/>
        </w:rPr>
        <w:t xml:space="preserve"> </w:t>
      </w:r>
      <w:r>
        <w:rPr>
          <w:rFonts w:hint="eastAsia" w:ascii="宋体" w:hAnsi="宋体" w:cs="宋体"/>
          <w:color w:val="auto"/>
          <w:spacing w:val="-1"/>
          <w:sz w:val="22"/>
          <w:szCs w:val="22"/>
          <w:highlight w:val="none"/>
          <w:u w:val="single"/>
          <w:lang w:val="en-US" w:eastAsia="zh-CN"/>
        </w:rPr>
        <w:t xml:space="preserve">                 </w:t>
      </w:r>
      <w:r>
        <w:rPr>
          <w:rFonts w:hint="eastAsia" w:ascii="宋体" w:hAnsi="宋体" w:eastAsia="宋体" w:cs="宋体"/>
          <w:color w:val="auto"/>
          <w:spacing w:val="-1"/>
          <w:sz w:val="22"/>
          <w:szCs w:val="22"/>
          <w:highlight w:val="none"/>
          <w:u w:val="single"/>
          <w:lang w:val="en-US" w:eastAsia="zh-CN"/>
        </w:rPr>
        <w:t>（项目名称）</w:t>
      </w:r>
      <w:r>
        <w:rPr>
          <w:rFonts w:hint="eastAsia" w:ascii="宋体" w:hAnsi="宋体" w:eastAsia="宋体" w:cs="宋体"/>
          <w:color w:val="auto"/>
          <w:spacing w:val="-1"/>
          <w:sz w:val="22"/>
          <w:szCs w:val="22"/>
          <w:highlight w:val="none"/>
          <w:lang w:val="en-US" w:eastAsia="zh-CN"/>
        </w:rPr>
        <w:t>施工检测合同的附件，与工程施工检测合同具有同等的法律效力，经合同双方签署后立即生效</w:t>
      </w:r>
      <w:r>
        <w:rPr>
          <w:rFonts w:hint="eastAsia" w:ascii="宋体" w:hAnsi="宋体" w:cs="宋体"/>
          <w:color w:val="auto"/>
          <w:spacing w:val="-1"/>
          <w:sz w:val="22"/>
          <w:szCs w:val="22"/>
          <w:highlight w:val="none"/>
          <w:lang w:val="en-US" w:eastAsia="zh-CN"/>
        </w:rPr>
        <w:t>。</w:t>
      </w:r>
    </w:p>
    <w:p w14:paraId="6970EFD5">
      <w:pPr>
        <w:spacing w:before="2" w:line="349" w:lineRule="auto"/>
        <w:ind w:left="5" w:right="78" w:firstLine="539"/>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8.本合同一式四份，由委托人和</w:t>
      </w:r>
      <w:r>
        <w:rPr>
          <w:rFonts w:hint="eastAsia" w:ascii="宋体" w:hAnsi="宋体" w:cs="宋体"/>
          <w:color w:val="auto"/>
          <w:spacing w:val="-1"/>
          <w:sz w:val="22"/>
          <w:szCs w:val="22"/>
          <w:highlight w:val="none"/>
          <w:lang w:val="en-US" w:eastAsia="zh-CN"/>
        </w:rPr>
        <w:t>检测</w:t>
      </w:r>
      <w:r>
        <w:rPr>
          <w:rFonts w:ascii="宋体" w:hAnsi="宋体" w:eastAsia="宋体" w:cs="宋体"/>
          <w:color w:val="auto"/>
          <w:spacing w:val="-1"/>
          <w:sz w:val="22"/>
          <w:szCs w:val="22"/>
          <w:highlight w:val="none"/>
        </w:rPr>
        <w:t>人各执一份，送交委托人和</w:t>
      </w:r>
      <w:r>
        <w:rPr>
          <w:rFonts w:hint="eastAsia" w:ascii="宋体" w:hAnsi="宋体" w:cs="宋体"/>
          <w:color w:val="auto"/>
          <w:spacing w:val="-1"/>
          <w:sz w:val="22"/>
          <w:szCs w:val="22"/>
          <w:highlight w:val="none"/>
          <w:lang w:val="en-US" w:eastAsia="zh-CN"/>
        </w:rPr>
        <w:t>检测</w:t>
      </w:r>
      <w:r>
        <w:rPr>
          <w:rFonts w:ascii="宋体" w:hAnsi="宋体" w:eastAsia="宋体" w:cs="宋体"/>
          <w:color w:val="auto"/>
          <w:spacing w:val="-1"/>
          <w:sz w:val="22"/>
          <w:szCs w:val="22"/>
          <w:highlight w:val="none"/>
        </w:rPr>
        <w:t>人的监督单位各一份。</w:t>
      </w:r>
    </w:p>
    <w:p w14:paraId="38637D1C">
      <w:pPr>
        <w:spacing w:before="2" w:line="349" w:lineRule="auto"/>
        <w:ind w:left="5" w:right="78" w:firstLine="539"/>
        <w:rPr>
          <w:rFonts w:ascii="宋体" w:hAnsi="宋体" w:cs="宋体"/>
          <w:color w:val="auto"/>
          <w:spacing w:val="-1"/>
          <w:sz w:val="22"/>
          <w:szCs w:val="22"/>
          <w:highlight w:val="none"/>
        </w:rPr>
      </w:pPr>
    </w:p>
    <w:p w14:paraId="42BC4076">
      <w:pPr>
        <w:spacing w:before="69" w:line="220" w:lineRule="auto"/>
        <w:rPr>
          <w:rFonts w:ascii="宋体" w:hAnsi="宋体" w:eastAsia="宋体" w:cs="宋体"/>
          <w:color w:val="auto"/>
          <w:sz w:val="22"/>
          <w:szCs w:val="22"/>
          <w:highlight w:val="none"/>
        </w:rPr>
      </w:pPr>
      <w:r>
        <w:rPr>
          <w:rFonts w:ascii="宋体" w:hAnsi="宋体" w:eastAsia="宋体" w:cs="宋体"/>
          <w:color w:val="auto"/>
          <w:spacing w:val="-8"/>
          <w:sz w:val="22"/>
          <w:szCs w:val="22"/>
          <w:highlight w:val="none"/>
        </w:rPr>
        <w:t>委托人：</w:t>
      </w:r>
      <w:r>
        <w:rPr>
          <w:rFonts w:ascii="宋体" w:hAnsi="宋体" w:eastAsia="宋体" w:cs="宋体"/>
          <w:color w:val="auto"/>
          <w:spacing w:val="-8"/>
          <w:sz w:val="22"/>
          <w:szCs w:val="22"/>
          <w:highlight w:val="none"/>
          <w:u w:val="single" w:color="auto"/>
        </w:rPr>
        <w:t xml:space="preserve">     </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4"/>
          <w:sz w:val="22"/>
          <w:szCs w:val="22"/>
          <w:highlight w:val="none"/>
        </w:rPr>
        <w:t xml:space="preserve">(盖单位章)            </w:t>
      </w:r>
      <w:r>
        <w:rPr>
          <w:rFonts w:hint="eastAsia" w:ascii="宋体" w:hAnsi="宋体" w:cs="宋体"/>
          <w:color w:val="auto"/>
          <w:spacing w:val="-4"/>
          <w:sz w:val="22"/>
          <w:szCs w:val="22"/>
          <w:highlight w:val="none"/>
          <w:lang w:val="en-US" w:eastAsia="zh-CN"/>
        </w:rPr>
        <w:t>检测</w:t>
      </w:r>
      <w:r>
        <w:rPr>
          <w:rFonts w:ascii="宋体" w:hAnsi="宋体" w:eastAsia="宋体" w:cs="宋体"/>
          <w:color w:val="auto"/>
          <w:spacing w:val="-4"/>
          <w:sz w:val="22"/>
          <w:szCs w:val="22"/>
          <w:highlight w:val="none"/>
        </w:rPr>
        <w:t>人：</w:t>
      </w:r>
      <w:r>
        <w:rPr>
          <w:rFonts w:ascii="宋体" w:hAnsi="宋体" w:eastAsia="宋体" w:cs="宋体"/>
          <w:color w:val="auto"/>
          <w:spacing w:val="-4"/>
          <w:sz w:val="22"/>
          <w:szCs w:val="22"/>
          <w:highlight w:val="none"/>
          <w:u w:val="single" w:color="auto"/>
        </w:rPr>
        <w:t xml:space="preserve">                  </w:t>
      </w:r>
      <w:r>
        <w:rPr>
          <w:rFonts w:ascii="宋体" w:hAnsi="宋体" w:eastAsia="宋体" w:cs="宋体"/>
          <w:color w:val="auto"/>
          <w:spacing w:val="-4"/>
          <w:sz w:val="22"/>
          <w:szCs w:val="22"/>
          <w:highlight w:val="none"/>
        </w:rPr>
        <w:t>(盖单位章)</w:t>
      </w:r>
    </w:p>
    <w:p w14:paraId="4EC41166">
      <w:pPr>
        <w:spacing w:before="158" w:line="221" w:lineRule="auto"/>
        <w:ind w:left="1"/>
        <w:rPr>
          <w:rFonts w:ascii="宋体" w:hAnsi="宋体" w:eastAsia="宋体" w:cs="宋体"/>
          <w:color w:val="auto"/>
          <w:sz w:val="22"/>
          <w:szCs w:val="22"/>
          <w:highlight w:val="none"/>
        </w:rPr>
      </w:pPr>
      <w:r>
        <w:rPr>
          <w:rFonts w:ascii="宋体" w:hAnsi="宋体" w:eastAsia="宋体" w:cs="宋体"/>
          <w:color w:val="auto"/>
          <w:spacing w:val="-10"/>
          <w:sz w:val="22"/>
          <w:szCs w:val="22"/>
          <w:highlight w:val="none"/>
        </w:rPr>
        <w:t>法定代表人或其</w:t>
      </w:r>
      <w:r>
        <w:rPr>
          <w:rFonts w:ascii="宋体" w:hAnsi="宋体" w:eastAsia="宋体" w:cs="宋体"/>
          <w:color w:val="auto"/>
          <w:spacing w:val="-8"/>
          <w:sz w:val="22"/>
          <w:szCs w:val="22"/>
          <w:highlight w:val="none"/>
        </w:rPr>
        <w:t>委</w:t>
      </w:r>
      <w:r>
        <w:rPr>
          <w:rFonts w:ascii="宋体" w:hAnsi="宋体" w:eastAsia="宋体" w:cs="宋体"/>
          <w:color w:val="auto"/>
          <w:spacing w:val="-5"/>
          <w:sz w:val="22"/>
          <w:szCs w:val="22"/>
          <w:highlight w:val="none"/>
        </w:rPr>
        <w:t>托代理人：</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5"/>
          <w:sz w:val="22"/>
          <w:szCs w:val="22"/>
          <w:highlight w:val="none"/>
        </w:rPr>
        <w:t>(签字)    法定代表人或其委托代理人：</w:t>
      </w:r>
      <w:r>
        <w:rPr>
          <w:rFonts w:ascii="宋体" w:hAnsi="宋体" w:eastAsia="宋体" w:cs="宋体"/>
          <w:color w:val="auto"/>
          <w:spacing w:val="-5"/>
          <w:sz w:val="22"/>
          <w:szCs w:val="22"/>
          <w:highlight w:val="none"/>
          <w:u w:val="single" w:color="auto"/>
        </w:rPr>
        <w:t xml:space="preserve">         </w:t>
      </w:r>
      <w:r>
        <w:rPr>
          <w:rFonts w:ascii="宋体" w:hAnsi="宋体" w:eastAsia="宋体" w:cs="宋体"/>
          <w:color w:val="auto"/>
          <w:spacing w:val="-5"/>
          <w:sz w:val="22"/>
          <w:szCs w:val="22"/>
          <w:highlight w:val="none"/>
        </w:rPr>
        <w:t>(签字)</w:t>
      </w:r>
    </w:p>
    <w:p w14:paraId="7C03513E">
      <w:pPr>
        <w:tabs>
          <w:tab w:val="left" w:pos="1786"/>
        </w:tabs>
        <w:spacing w:before="159" w:line="221" w:lineRule="auto"/>
        <w:ind w:left="834"/>
        <w:rPr>
          <w:rFonts w:ascii="宋体" w:hAnsi="宋体" w:eastAsia="宋体" w:cs="宋体"/>
          <w:color w:val="auto"/>
          <w:sz w:val="22"/>
          <w:szCs w:val="22"/>
          <w:highlight w:val="none"/>
        </w:rPr>
      </w:pPr>
      <w:r>
        <w:rPr>
          <w:rFonts w:ascii="宋体" w:hAnsi="宋体" w:eastAsia="宋体" w:cs="宋体"/>
          <w:color w:val="auto"/>
          <w:sz w:val="22"/>
          <w:szCs w:val="22"/>
          <w:highlight w:val="none"/>
          <w:u w:val="single" w:color="auto"/>
        </w:rPr>
        <w:tab/>
      </w:r>
      <w:r>
        <w:rPr>
          <w:rFonts w:ascii="宋体" w:hAnsi="宋体" w:eastAsia="宋体" w:cs="宋体"/>
          <w:color w:val="auto"/>
          <w:spacing w:val="1"/>
          <w:sz w:val="22"/>
          <w:szCs w:val="22"/>
          <w:highlight w:val="none"/>
        </w:rPr>
        <w:t>年</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1"/>
          <w:sz w:val="22"/>
          <w:szCs w:val="22"/>
          <w:highlight w:val="none"/>
        </w:rPr>
        <w:t>月</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1"/>
          <w:sz w:val="22"/>
          <w:szCs w:val="22"/>
          <w:highlight w:val="none"/>
        </w:rPr>
        <w:t xml:space="preserve">日                     </w:t>
      </w:r>
      <w:r>
        <w:rPr>
          <w:rFonts w:ascii="宋体" w:hAnsi="宋体" w:eastAsia="宋体" w:cs="宋体"/>
          <w:color w:val="auto"/>
          <w:sz w:val="22"/>
          <w:szCs w:val="22"/>
          <w:highlight w:val="none"/>
        </w:rPr>
        <w:t xml:space="preserve">   年</w:t>
      </w:r>
      <w:r>
        <w:rPr>
          <w:rFonts w:ascii="宋体" w:hAnsi="宋体" w:eastAsia="宋体" w:cs="宋体"/>
          <w:color w:val="auto"/>
          <w:sz w:val="22"/>
          <w:szCs w:val="22"/>
          <w:highlight w:val="none"/>
          <w:u w:val="single" w:color="auto"/>
        </w:rPr>
        <w:t xml:space="preserve">      </w:t>
      </w:r>
      <w:r>
        <w:rPr>
          <w:rFonts w:ascii="宋体" w:hAnsi="宋体" w:eastAsia="宋体" w:cs="宋体"/>
          <w:color w:val="auto"/>
          <w:sz w:val="22"/>
          <w:szCs w:val="22"/>
          <w:highlight w:val="none"/>
        </w:rPr>
        <w:t>月</w:t>
      </w:r>
      <w:r>
        <w:rPr>
          <w:rFonts w:ascii="宋体" w:hAnsi="宋体" w:eastAsia="宋体" w:cs="宋体"/>
          <w:color w:val="auto"/>
          <w:sz w:val="22"/>
          <w:szCs w:val="22"/>
          <w:highlight w:val="none"/>
          <w:u w:val="single" w:color="auto"/>
        </w:rPr>
        <w:t xml:space="preserve">       </w:t>
      </w:r>
      <w:r>
        <w:rPr>
          <w:rFonts w:ascii="宋体" w:hAnsi="宋体" w:eastAsia="宋体" w:cs="宋体"/>
          <w:color w:val="auto"/>
          <w:sz w:val="22"/>
          <w:szCs w:val="22"/>
          <w:highlight w:val="none"/>
        </w:rPr>
        <w:t>日</w:t>
      </w:r>
    </w:p>
    <w:p w14:paraId="369DB6A6">
      <w:pPr>
        <w:spacing w:line="306" w:lineRule="auto"/>
        <w:rPr>
          <w:rFonts w:ascii="Arial"/>
          <w:color w:val="auto"/>
          <w:sz w:val="22"/>
          <w:szCs w:val="22"/>
          <w:highlight w:val="none"/>
        </w:rPr>
      </w:pPr>
    </w:p>
    <w:p w14:paraId="0CC5702B">
      <w:pPr>
        <w:spacing w:line="306" w:lineRule="auto"/>
        <w:rPr>
          <w:rFonts w:ascii="Arial"/>
          <w:color w:val="auto"/>
          <w:sz w:val="22"/>
          <w:szCs w:val="22"/>
          <w:highlight w:val="none"/>
        </w:rPr>
      </w:pPr>
    </w:p>
    <w:p w14:paraId="4D5C927C">
      <w:pPr>
        <w:spacing w:before="69" w:line="220" w:lineRule="auto"/>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委托人监督单位：</w:t>
      </w:r>
      <w:r>
        <w:rPr>
          <w:rFonts w:ascii="宋体" w:hAnsi="宋体" w:eastAsia="宋体" w:cs="宋体"/>
          <w:color w:val="auto"/>
          <w:spacing w:val="6"/>
          <w:sz w:val="22"/>
          <w:szCs w:val="22"/>
          <w:highlight w:val="none"/>
          <w:u w:val="single" w:color="auto"/>
        </w:rPr>
        <w:t xml:space="preserve">    (全称)(盖单位章 </w:t>
      </w:r>
      <w:r>
        <w:rPr>
          <w:rFonts w:ascii="宋体" w:hAnsi="宋体" w:eastAsia="宋体" w:cs="宋体"/>
          <w:color w:val="auto"/>
          <w:spacing w:val="6"/>
          <w:sz w:val="22"/>
          <w:szCs w:val="22"/>
          <w:highlight w:val="none"/>
        </w:rPr>
        <w:t xml:space="preserve">      </w:t>
      </w:r>
      <w:r>
        <w:rPr>
          <w:rFonts w:hint="eastAsia" w:ascii="宋体" w:hAnsi="宋体" w:cs="宋体"/>
          <w:color w:val="auto"/>
          <w:spacing w:val="6"/>
          <w:sz w:val="22"/>
          <w:szCs w:val="22"/>
          <w:highlight w:val="none"/>
          <w:lang w:val="en-US" w:eastAsia="zh-CN"/>
        </w:rPr>
        <w:t>检测</w:t>
      </w:r>
      <w:r>
        <w:rPr>
          <w:rFonts w:ascii="宋体" w:hAnsi="宋体" w:eastAsia="宋体" w:cs="宋体"/>
          <w:color w:val="auto"/>
          <w:spacing w:val="6"/>
          <w:sz w:val="22"/>
          <w:szCs w:val="22"/>
          <w:highlight w:val="none"/>
        </w:rPr>
        <w:t xml:space="preserve">人监督单位： </w:t>
      </w:r>
      <w:r>
        <w:rPr>
          <w:rFonts w:ascii="宋体" w:hAnsi="宋体" w:eastAsia="宋体" w:cs="宋体"/>
          <w:color w:val="auto"/>
          <w:spacing w:val="6"/>
          <w:sz w:val="22"/>
          <w:szCs w:val="22"/>
          <w:highlight w:val="none"/>
          <w:u w:val="single" w:color="auto"/>
        </w:rPr>
        <w:t xml:space="preserve">    (全称)(盖单位</w:t>
      </w:r>
      <w:r>
        <w:rPr>
          <w:rFonts w:ascii="宋体" w:hAnsi="宋体" w:eastAsia="宋体" w:cs="宋体"/>
          <w:color w:val="auto"/>
          <w:spacing w:val="2"/>
          <w:sz w:val="22"/>
          <w:szCs w:val="22"/>
          <w:highlight w:val="none"/>
          <w:u w:val="single" w:color="auto"/>
        </w:rPr>
        <w:t>章</w:t>
      </w:r>
      <w:r>
        <w:rPr>
          <w:rFonts w:ascii="宋体" w:hAnsi="宋体" w:eastAsia="宋体" w:cs="宋体"/>
          <w:color w:val="auto"/>
          <w:sz w:val="22"/>
          <w:szCs w:val="22"/>
          <w:highlight w:val="none"/>
          <w:u w:val="single" w:color="auto"/>
        </w:rPr>
        <w:t xml:space="preserve">) </w:t>
      </w:r>
    </w:p>
    <w:p w14:paraId="5E574073">
      <w:pPr>
        <w:spacing w:before="60" w:line="218" w:lineRule="auto"/>
        <w:ind w:left="556"/>
        <w:rPr>
          <w:rFonts w:ascii="黑体" w:hAnsi="黑体" w:eastAsia="黑体" w:cs="黑体"/>
          <w:color w:val="auto"/>
          <w:spacing w:val="-2"/>
          <w:sz w:val="30"/>
          <w:szCs w:val="30"/>
          <w:highlight w:val="none"/>
        </w:rPr>
      </w:pPr>
    </w:p>
    <w:p w14:paraId="6A2CE4CA">
      <w:pPr>
        <w:spacing w:before="60" w:line="218" w:lineRule="auto"/>
        <w:ind w:left="556"/>
        <w:rPr>
          <w:rFonts w:ascii="黑体" w:hAnsi="黑体" w:eastAsia="黑体" w:cs="黑体"/>
          <w:color w:val="auto"/>
          <w:spacing w:val="-2"/>
          <w:sz w:val="30"/>
          <w:szCs w:val="30"/>
          <w:highlight w:val="none"/>
        </w:rPr>
      </w:pPr>
    </w:p>
    <w:p w14:paraId="74E0913D">
      <w:pPr>
        <w:spacing w:before="60" w:line="218" w:lineRule="auto"/>
        <w:ind w:left="556"/>
        <w:rPr>
          <w:rFonts w:ascii="黑体" w:hAnsi="黑体" w:eastAsia="黑体" w:cs="黑体"/>
          <w:color w:val="auto"/>
          <w:spacing w:val="-2"/>
          <w:sz w:val="30"/>
          <w:szCs w:val="30"/>
          <w:highlight w:val="none"/>
        </w:rPr>
      </w:pPr>
    </w:p>
    <w:p w14:paraId="7E914790">
      <w:pPr>
        <w:spacing w:before="60" w:line="218" w:lineRule="auto"/>
        <w:ind w:left="556"/>
        <w:rPr>
          <w:rFonts w:ascii="黑体" w:hAnsi="黑体" w:eastAsia="黑体" w:cs="黑体"/>
          <w:color w:val="auto"/>
          <w:spacing w:val="-2"/>
          <w:sz w:val="30"/>
          <w:szCs w:val="30"/>
          <w:highlight w:val="none"/>
        </w:rPr>
      </w:pPr>
    </w:p>
    <w:p w14:paraId="37B02490">
      <w:pPr>
        <w:spacing w:before="60" w:line="218" w:lineRule="auto"/>
        <w:ind w:left="556"/>
        <w:rPr>
          <w:rFonts w:ascii="黑体" w:hAnsi="黑体" w:eastAsia="黑体" w:cs="黑体"/>
          <w:color w:val="auto"/>
          <w:spacing w:val="-2"/>
          <w:sz w:val="30"/>
          <w:szCs w:val="30"/>
          <w:highlight w:val="none"/>
        </w:rPr>
      </w:pPr>
    </w:p>
    <w:p w14:paraId="1BFA9DA2">
      <w:pPr>
        <w:spacing w:before="60" w:line="218" w:lineRule="auto"/>
        <w:ind w:left="556"/>
        <w:rPr>
          <w:rFonts w:ascii="黑体" w:hAnsi="黑体" w:eastAsia="黑体" w:cs="黑体"/>
          <w:color w:val="auto"/>
          <w:spacing w:val="-2"/>
          <w:sz w:val="30"/>
          <w:szCs w:val="30"/>
          <w:highlight w:val="none"/>
        </w:rPr>
      </w:pPr>
    </w:p>
    <w:p w14:paraId="37502731">
      <w:pPr>
        <w:spacing w:before="60" w:line="218" w:lineRule="auto"/>
        <w:ind w:left="556"/>
        <w:rPr>
          <w:rFonts w:ascii="黑体" w:hAnsi="黑体" w:eastAsia="黑体" w:cs="黑体"/>
          <w:color w:val="auto"/>
          <w:spacing w:val="-2"/>
          <w:sz w:val="30"/>
          <w:szCs w:val="30"/>
          <w:highlight w:val="none"/>
        </w:rPr>
      </w:pPr>
    </w:p>
    <w:p w14:paraId="2F2D90D8">
      <w:pPr>
        <w:spacing w:before="60" w:line="218" w:lineRule="auto"/>
        <w:ind w:left="556"/>
        <w:rPr>
          <w:rFonts w:ascii="黑体" w:hAnsi="黑体" w:eastAsia="黑体" w:cs="黑体"/>
          <w:color w:val="auto"/>
          <w:spacing w:val="-2"/>
          <w:sz w:val="30"/>
          <w:szCs w:val="30"/>
          <w:highlight w:val="none"/>
        </w:rPr>
      </w:pPr>
    </w:p>
    <w:p w14:paraId="0B7058C2">
      <w:pPr>
        <w:spacing w:before="60" w:line="218" w:lineRule="auto"/>
        <w:ind w:left="556"/>
        <w:rPr>
          <w:rFonts w:ascii="黑体" w:hAnsi="黑体" w:eastAsia="黑体" w:cs="黑体"/>
          <w:color w:val="auto"/>
          <w:spacing w:val="-2"/>
          <w:sz w:val="30"/>
          <w:szCs w:val="30"/>
          <w:highlight w:val="none"/>
        </w:rPr>
      </w:pPr>
    </w:p>
    <w:p w14:paraId="133FDEBE">
      <w:pPr>
        <w:spacing w:before="60" w:line="218" w:lineRule="auto"/>
        <w:ind w:left="556"/>
        <w:rPr>
          <w:rFonts w:ascii="黑体" w:hAnsi="黑体" w:eastAsia="黑体" w:cs="黑体"/>
          <w:color w:val="auto"/>
          <w:spacing w:val="-2"/>
          <w:sz w:val="30"/>
          <w:szCs w:val="30"/>
          <w:highlight w:val="none"/>
        </w:rPr>
      </w:pPr>
    </w:p>
    <w:p w14:paraId="5B80B69E">
      <w:pPr>
        <w:spacing w:before="60" w:line="218" w:lineRule="auto"/>
        <w:ind w:left="556"/>
        <w:rPr>
          <w:rFonts w:ascii="黑体" w:hAnsi="黑体" w:eastAsia="黑体" w:cs="黑体"/>
          <w:color w:val="auto"/>
          <w:spacing w:val="-2"/>
          <w:sz w:val="30"/>
          <w:szCs w:val="30"/>
          <w:highlight w:val="none"/>
        </w:rPr>
      </w:pPr>
    </w:p>
    <w:p w14:paraId="0606DB74">
      <w:pPr>
        <w:spacing w:before="60" w:line="218" w:lineRule="auto"/>
        <w:ind w:left="556"/>
        <w:rPr>
          <w:rFonts w:ascii="黑体" w:hAnsi="黑体" w:eastAsia="黑体" w:cs="黑体"/>
          <w:color w:val="auto"/>
          <w:spacing w:val="-2"/>
          <w:sz w:val="30"/>
          <w:szCs w:val="30"/>
          <w:highlight w:val="none"/>
        </w:rPr>
      </w:pPr>
    </w:p>
    <w:p w14:paraId="55C72CEE">
      <w:pPr>
        <w:spacing w:before="60" w:line="218" w:lineRule="auto"/>
        <w:ind w:left="556"/>
        <w:rPr>
          <w:rFonts w:ascii="黑体" w:hAnsi="黑体" w:eastAsia="黑体" w:cs="黑体"/>
          <w:color w:val="auto"/>
          <w:spacing w:val="-2"/>
          <w:sz w:val="30"/>
          <w:szCs w:val="30"/>
          <w:highlight w:val="none"/>
        </w:rPr>
      </w:pPr>
    </w:p>
    <w:p w14:paraId="74950C72">
      <w:pPr>
        <w:spacing w:before="60" w:line="218" w:lineRule="auto"/>
        <w:ind w:left="556"/>
        <w:rPr>
          <w:rFonts w:ascii="黑体" w:hAnsi="黑体" w:eastAsia="黑体" w:cs="黑体"/>
          <w:color w:val="auto"/>
          <w:spacing w:val="-1"/>
          <w:sz w:val="30"/>
          <w:szCs w:val="30"/>
          <w:highlight w:val="none"/>
        </w:rPr>
      </w:pPr>
      <w:r>
        <w:rPr>
          <w:rFonts w:ascii="黑体" w:hAnsi="黑体" w:eastAsia="黑体" w:cs="黑体"/>
          <w:color w:val="auto"/>
          <w:spacing w:val="-2"/>
          <w:sz w:val="30"/>
          <w:szCs w:val="30"/>
          <w:highlight w:val="none"/>
        </w:rPr>
        <w:t>附件三：其他人员配置要</w:t>
      </w:r>
      <w:r>
        <w:rPr>
          <w:rFonts w:ascii="黑体" w:hAnsi="黑体" w:eastAsia="黑体" w:cs="黑体"/>
          <w:color w:val="auto"/>
          <w:spacing w:val="-1"/>
          <w:sz w:val="30"/>
          <w:szCs w:val="30"/>
          <w:highlight w:val="none"/>
        </w:rPr>
        <w:t>求</w:t>
      </w:r>
    </w:p>
    <w:tbl>
      <w:tblPr>
        <w:tblStyle w:val="650"/>
        <w:tblpPr w:leftFromText="180" w:rightFromText="180" w:vertAnchor="text" w:horzAnchor="page" w:tblpX="1151" w:tblpY="368"/>
        <w:tblOverlap w:val="never"/>
        <w:tblW w:w="97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1"/>
        <w:gridCol w:w="1546"/>
        <w:gridCol w:w="6417"/>
      </w:tblGrid>
      <w:tr w14:paraId="1B642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801" w:type="dxa"/>
            <w:tcBorders>
              <w:left w:val="single" w:color="000000" w:sz="10" w:space="0"/>
              <w:bottom w:val="nil"/>
              <w:right w:val="single" w:color="000000" w:sz="4" w:space="0"/>
            </w:tcBorders>
            <w:vAlign w:val="center"/>
          </w:tcPr>
          <w:p w14:paraId="6C6065C0">
            <w:pPr>
              <w:autoSpaceDE w:val="0"/>
              <w:autoSpaceDN w:val="0"/>
              <w:spacing w:before="78" w:line="360" w:lineRule="auto"/>
              <w:ind w:left="0"/>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人</w:t>
            </w:r>
            <w:r>
              <w:rPr>
                <w:rFonts w:ascii="宋体" w:hAnsi="宋体" w:eastAsia="宋体" w:cs="宋体"/>
                <w:color w:val="auto"/>
                <w:spacing w:val="1"/>
                <w:sz w:val="22"/>
                <w:szCs w:val="22"/>
                <w:highlight w:val="none"/>
              </w:rPr>
              <w:t>员</w:t>
            </w:r>
          </w:p>
        </w:tc>
        <w:tc>
          <w:tcPr>
            <w:tcW w:w="1546" w:type="dxa"/>
            <w:tcBorders>
              <w:left w:val="single" w:color="000000" w:sz="4" w:space="0"/>
              <w:right w:val="single" w:color="000000" w:sz="4" w:space="0"/>
            </w:tcBorders>
            <w:vAlign w:val="center"/>
          </w:tcPr>
          <w:p w14:paraId="18B42C3B">
            <w:pPr>
              <w:autoSpaceDE w:val="0"/>
              <w:autoSpaceDN w:val="0"/>
              <w:spacing w:before="60" w:line="360" w:lineRule="auto"/>
              <w:ind w:left="0"/>
              <w:jc w:val="center"/>
              <w:rPr>
                <w:rFonts w:ascii="宋体" w:hAnsi="宋体" w:eastAsia="宋体" w:cs="宋体"/>
                <w:color w:val="auto"/>
                <w:sz w:val="22"/>
                <w:szCs w:val="22"/>
                <w:highlight w:val="none"/>
              </w:rPr>
            </w:pPr>
            <w:r>
              <w:rPr>
                <w:rFonts w:hint="eastAsia" w:ascii="宋体" w:hAnsi="宋体" w:cs="宋体"/>
                <w:color w:val="auto"/>
                <w:spacing w:val="-3"/>
                <w:sz w:val="22"/>
                <w:szCs w:val="22"/>
                <w:highlight w:val="none"/>
                <w:lang w:val="en-US" w:eastAsia="zh-CN"/>
              </w:rPr>
              <w:t>数量</w:t>
            </w:r>
          </w:p>
        </w:tc>
        <w:tc>
          <w:tcPr>
            <w:tcW w:w="6417" w:type="dxa"/>
            <w:tcBorders>
              <w:left w:val="single" w:color="000000" w:sz="4" w:space="0"/>
              <w:bottom w:val="nil"/>
              <w:right w:val="single" w:color="000000" w:sz="10" w:space="0"/>
            </w:tcBorders>
            <w:vAlign w:val="center"/>
          </w:tcPr>
          <w:p w14:paraId="2ECBA878">
            <w:pPr>
              <w:autoSpaceDE w:val="0"/>
              <w:autoSpaceDN w:val="0"/>
              <w:spacing w:before="78" w:line="360" w:lineRule="auto"/>
              <w:ind w:left="0"/>
              <w:jc w:val="center"/>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 xml:space="preserve">资 </w:t>
            </w:r>
            <w:r>
              <w:rPr>
                <w:rFonts w:ascii="宋体" w:hAnsi="宋体" w:eastAsia="宋体" w:cs="宋体"/>
                <w:color w:val="auto"/>
                <w:spacing w:val="-1"/>
                <w:sz w:val="22"/>
                <w:szCs w:val="22"/>
                <w:highlight w:val="none"/>
              </w:rPr>
              <w:t>格 要 求</w:t>
            </w:r>
          </w:p>
        </w:tc>
      </w:tr>
      <w:tr w14:paraId="1F220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01" w:type="dxa"/>
            <w:tcBorders>
              <w:left w:val="single" w:color="000000" w:sz="10" w:space="0"/>
              <w:right w:val="single" w:color="000000" w:sz="4" w:space="0"/>
            </w:tcBorders>
            <w:vAlign w:val="center"/>
          </w:tcPr>
          <w:p w14:paraId="789CF199">
            <w:pPr>
              <w:autoSpaceDE w:val="0"/>
              <w:autoSpaceDN w:val="0"/>
              <w:jc w:val="center"/>
              <w:rPr>
                <w:rFonts w:hint="default"/>
                <w:color w:val="auto"/>
                <w:sz w:val="22"/>
                <w:szCs w:val="22"/>
                <w:highlight w:val="none"/>
                <w:lang w:val="en-US" w:eastAsia="zh-CN"/>
              </w:rPr>
            </w:pPr>
            <w:r>
              <w:rPr>
                <w:rFonts w:hint="eastAsia"/>
                <w:color w:val="auto"/>
                <w:sz w:val="22"/>
                <w:szCs w:val="22"/>
                <w:highlight w:val="none"/>
                <w:lang w:val="en-US" w:eastAsia="zh-CN"/>
              </w:rPr>
              <w:t>试验检测工程师</w:t>
            </w:r>
          </w:p>
        </w:tc>
        <w:tc>
          <w:tcPr>
            <w:tcW w:w="1546" w:type="dxa"/>
            <w:tcBorders>
              <w:left w:val="single" w:color="000000" w:sz="4" w:space="0"/>
              <w:right w:val="single" w:color="000000" w:sz="4" w:space="0"/>
            </w:tcBorders>
            <w:vAlign w:val="center"/>
          </w:tcPr>
          <w:p w14:paraId="07AECE05">
            <w:pPr>
              <w:autoSpaceDE w:val="0"/>
              <w:autoSpaceDN w:val="0"/>
              <w:jc w:val="center"/>
              <w:rPr>
                <w:color w:val="auto"/>
                <w:sz w:val="22"/>
                <w:szCs w:val="22"/>
                <w:highlight w:val="none"/>
              </w:rPr>
            </w:pPr>
            <w:r>
              <w:rPr>
                <w:rFonts w:hint="eastAsia"/>
                <w:color w:val="auto"/>
                <w:sz w:val="22"/>
                <w:szCs w:val="22"/>
                <w:highlight w:val="none"/>
                <w:lang w:val="en-US" w:eastAsia="zh-CN"/>
              </w:rPr>
              <w:t>4</w:t>
            </w:r>
          </w:p>
        </w:tc>
        <w:tc>
          <w:tcPr>
            <w:tcW w:w="6417" w:type="dxa"/>
            <w:tcBorders>
              <w:left w:val="single" w:color="000000" w:sz="4" w:space="0"/>
              <w:right w:val="single" w:color="000000" w:sz="10" w:space="0"/>
            </w:tcBorders>
            <w:vAlign w:val="top"/>
          </w:tcPr>
          <w:p w14:paraId="2E3EED32">
            <w:pPr>
              <w:autoSpaceDE w:val="0"/>
              <w:autoSpaceDN w:val="0"/>
              <w:jc w:val="center"/>
              <w:rPr>
                <w:color w:val="auto"/>
                <w:sz w:val="22"/>
                <w:szCs w:val="22"/>
                <w:highlight w:val="none"/>
              </w:rPr>
            </w:pPr>
            <w:r>
              <w:rPr>
                <w:rFonts w:hint="eastAsia"/>
                <w:color w:val="auto"/>
                <w:sz w:val="22"/>
                <w:szCs w:val="22"/>
                <w:highlight w:val="none"/>
                <w:lang w:val="en-US" w:eastAsia="zh-CN"/>
              </w:rPr>
              <w:t xml:space="preserve">具备交通、土建专业中级或以上职称，持有交通运输部颁发的检测工程师资格证（含道路、桥隧、材料、交通等专业）；具有高速公路工程试验检测经历 </w:t>
            </w:r>
            <w:r>
              <w:rPr>
                <w:rFonts w:hint="default"/>
                <w:color w:val="auto"/>
                <w:sz w:val="22"/>
                <w:szCs w:val="22"/>
                <w:highlight w:val="none"/>
                <w:lang w:val="en-US" w:eastAsia="zh-CN"/>
              </w:rPr>
              <w:t xml:space="preserve">5 </w:t>
            </w:r>
            <w:r>
              <w:rPr>
                <w:rFonts w:hint="eastAsia"/>
                <w:color w:val="auto"/>
                <w:sz w:val="22"/>
                <w:szCs w:val="22"/>
                <w:highlight w:val="none"/>
                <w:lang w:val="en-US" w:eastAsia="zh-CN"/>
              </w:rPr>
              <w:t>年及以上。</w:t>
            </w:r>
          </w:p>
        </w:tc>
      </w:tr>
      <w:tr w14:paraId="4889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01" w:type="dxa"/>
            <w:tcBorders>
              <w:left w:val="single" w:color="000000" w:sz="10" w:space="0"/>
              <w:right w:val="single" w:color="000000" w:sz="4" w:space="0"/>
            </w:tcBorders>
            <w:vAlign w:val="center"/>
          </w:tcPr>
          <w:p w14:paraId="280B58F7">
            <w:pPr>
              <w:autoSpaceDE w:val="0"/>
              <w:autoSpaceDN w:val="0"/>
              <w:jc w:val="center"/>
              <w:rPr>
                <w:rFonts w:hint="eastAsia"/>
                <w:color w:val="auto"/>
                <w:sz w:val="22"/>
                <w:szCs w:val="22"/>
                <w:highlight w:val="none"/>
              </w:rPr>
            </w:pPr>
            <w:r>
              <w:rPr>
                <w:rFonts w:hint="eastAsia"/>
                <w:color w:val="auto"/>
                <w:sz w:val="22"/>
                <w:szCs w:val="22"/>
                <w:highlight w:val="none"/>
                <w:lang w:val="en-US" w:eastAsia="zh-CN"/>
              </w:rPr>
              <w:t>试验检测员</w:t>
            </w:r>
          </w:p>
        </w:tc>
        <w:tc>
          <w:tcPr>
            <w:tcW w:w="1546" w:type="dxa"/>
            <w:tcBorders>
              <w:left w:val="single" w:color="000000" w:sz="4" w:space="0"/>
              <w:right w:val="single" w:color="000000" w:sz="4" w:space="0"/>
            </w:tcBorders>
            <w:vAlign w:val="center"/>
          </w:tcPr>
          <w:p w14:paraId="1DD09D2E">
            <w:pPr>
              <w:autoSpaceDE w:val="0"/>
              <w:autoSpaceDN w:val="0"/>
              <w:jc w:val="center"/>
              <w:rPr>
                <w:rFonts w:hint="eastAsia"/>
                <w:color w:val="auto"/>
                <w:sz w:val="22"/>
                <w:szCs w:val="22"/>
                <w:highlight w:val="none"/>
                <w:lang w:val="en-US"/>
              </w:rPr>
            </w:pPr>
            <w:r>
              <w:rPr>
                <w:rFonts w:hint="eastAsia"/>
                <w:color w:val="auto"/>
                <w:sz w:val="22"/>
                <w:szCs w:val="22"/>
                <w:highlight w:val="none"/>
                <w:lang w:val="en-US" w:eastAsia="zh-CN"/>
              </w:rPr>
              <w:t>3</w:t>
            </w:r>
          </w:p>
        </w:tc>
        <w:tc>
          <w:tcPr>
            <w:tcW w:w="6417" w:type="dxa"/>
            <w:tcBorders>
              <w:left w:val="single" w:color="000000" w:sz="4" w:space="0"/>
              <w:right w:val="single" w:color="000000" w:sz="10" w:space="0"/>
            </w:tcBorders>
            <w:vAlign w:val="top"/>
          </w:tcPr>
          <w:p w14:paraId="0B99D0EF">
            <w:pPr>
              <w:autoSpaceDE w:val="0"/>
              <w:autoSpaceDN w:val="0"/>
              <w:jc w:val="center"/>
              <w:rPr>
                <w:color w:val="auto"/>
                <w:sz w:val="22"/>
                <w:szCs w:val="22"/>
                <w:highlight w:val="none"/>
              </w:rPr>
            </w:pPr>
            <w:r>
              <w:rPr>
                <w:rFonts w:hint="eastAsia"/>
                <w:color w:val="auto"/>
                <w:sz w:val="22"/>
                <w:szCs w:val="22"/>
                <w:highlight w:val="none"/>
                <w:lang w:val="en-US" w:eastAsia="zh-CN"/>
              </w:rPr>
              <w:t>持有相关主管部门颁发的助理检测工程师或检测员以上资格证，专业覆盖范围为本工程所涉及所有专业，具有高速公路工程试验检测经历。</w:t>
            </w:r>
          </w:p>
        </w:tc>
      </w:tr>
      <w:tr w14:paraId="419F7C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801" w:type="dxa"/>
            <w:tcBorders>
              <w:left w:val="single" w:color="000000" w:sz="10" w:space="0"/>
              <w:right w:val="single" w:color="000000" w:sz="4" w:space="0"/>
            </w:tcBorders>
            <w:vAlign w:val="center"/>
          </w:tcPr>
          <w:p w14:paraId="50CC9802">
            <w:pPr>
              <w:autoSpaceDE w:val="0"/>
              <w:autoSpaceDN w:val="0"/>
              <w:jc w:val="center"/>
              <w:rPr>
                <w:rFonts w:hint="eastAsia"/>
                <w:color w:val="auto"/>
                <w:sz w:val="22"/>
                <w:szCs w:val="22"/>
                <w:highlight w:val="none"/>
                <w:lang w:val="en-US" w:eastAsia="zh-CN"/>
              </w:rPr>
            </w:pPr>
            <w:r>
              <w:rPr>
                <w:rFonts w:hint="eastAsia"/>
                <w:color w:val="auto"/>
                <w:sz w:val="22"/>
                <w:szCs w:val="22"/>
                <w:highlight w:val="none"/>
                <w:lang w:val="en-US" w:eastAsia="zh-CN"/>
              </w:rPr>
              <w:t>信息资料管理</w:t>
            </w:r>
          </w:p>
          <w:p w14:paraId="0803D9B6">
            <w:pPr>
              <w:autoSpaceDE w:val="0"/>
              <w:autoSpaceDN w:val="0"/>
              <w:jc w:val="center"/>
              <w:rPr>
                <w:rFonts w:hint="eastAsia"/>
                <w:color w:val="auto"/>
                <w:sz w:val="22"/>
                <w:szCs w:val="22"/>
                <w:highlight w:val="none"/>
                <w:lang w:val="en-US" w:eastAsia="zh-CN"/>
              </w:rPr>
            </w:pPr>
            <w:r>
              <w:rPr>
                <w:rFonts w:hint="eastAsia"/>
                <w:color w:val="auto"/>
                <w:sz w:val="22"/>
                <w:szCs w:val="22"/>
                <w:highlight w:val="none"/>
                <w:lang w:val="en-US" w:eastAsia="zh-CN"/>
              </w:rPr>
              <w:t>员</w:t>
            </w:r>
          </w:p>
        </w:tc>
        <w:tc>
          <w:tcPr>
            <w:tcW w:w="1546" w:type="dxa"/>
            <w:tcBorders>
              <w:left w:val="single" w:color="000000" w:sz="4" w:space="0"/>
              <w:right w:val="single" w:color="000000" w:sz="4" w:space="0"/>
            </w:tcBorders>
            <w:vAlign w:val="center"/>
          </w:tcPr>
          <w:p w14:paraId="3C5B3754">
            <w:pPr>
              <w:autoSpaceDE w:val="0"/>
              <w:autoSpaceDN w:val="0"/>
              <w:jc w:val="center"/>
              <w:rPr>
                <w:rFonts w:hint="default"/>
                <w:color w:val="auto"/>
                <w:sz w:val="22"/>
                <w:szCs w:val="22"/>
                <w:highlight w:val="none"/>
                <w:lang w:val="en-US" w:eastAsia="zh-CN"/>
              </w:rPr>
            </w:pPr>
            <w:r>
              <w:rPr>
                <w:rFonts w:hint="eastAsia"/>
                <w:color w:val="auto"/>
                <w:sz w:val="22"/>
                <w:szCs w:val="22"/>
                <w:highlight w:val="none"/>
                <w:lang w:val="en-US" w:eastAsia="zh-CN"/>
              </w:rPr>
              <w:t>1</w:t>
            </w:r>
          </w:p>
        </w:tc>
        <w:tc>
          <w:tcPr>
            <w:tcW w:w="6417" w:type="dxa"/>
            <w:tcBorders>
              <w:left w:val="single" w:color="000000" w:sz="4" w:space="0"/>
              <w:right w:val="single" w:color="000000" w:sz="10" w:space="0"/>
            </w:tcBorders>
            <w:vAlign w:val="center"/>
          </w:tcPr>
          <w:p w14:paraId="3DD2BBEA">
            <w:pPr>
              <w:autoSpaceDE w:val="0"/>
              <w:autoSpaceDN w:val="0"/>
              <w:jc w:val="center"/>
              <w:rPr>
                <w:rFonts w:hint="eastAsia"/>
                <w:color w:val="auto"/>
                <w:sz w:val="22"/>
                <w:szCs w:val="22"/>
                <w:highlight w:val="none"/>
                <w:lang w:val="en-US" w:eastAsia="zh-CN"/>
              </w:rPr>
            </w:pPr>
            <w:r>
              <w:rPr>
                <w:rFonts w:hint="eastAsia"/>
                <w:color w:val="auto"/>
                <w:sz w:val="22"/>
                <w:szCs w:val="22"/>
                <w:highlight w:val="none"/>
                <w:lang w:val="en-US" w:eastAsia="zh-CN"/>
              </w:rPr>
              <w:t>信息资料管理员大专及以上财会或计算机等类似专业学历，并持有相关计算机证书。</w:t>
            </w:r>
          </w:p>
        </w:tc>
      </w:tr>
      <w:tr w14:paraId="4D01C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01" w:type="dxa"/>
            <w:tcBorders>
              <w:left w:val="single" w:color="000000" w:sz="10" w:space="0"/>
              <w:right w:val="single" w:color="000000" w:sz="4" w:space="0"/>
            </w:tcBorders>
            <w:vAlign w:val="top"/>
          </w:tcPr>
          <w:p w14:paraId="19557111">
            <w:pPr>
              <w:autoSpaceDE w:val="0"/>
              <w:autoSpaceDN w:val="0"/>
              <w:jc w:val="center"/>
              <w:rPr>
                <w:color w:val="auto"/>
                <w:sz w:val="22"/>
                <w:szCs w:val="22"/>
                <w:highlight w:val="none"/>
              </w:rPr>
            </w:pPr>
            <w:r>
              <w:rPr>
                <w:color w:val="auto"/>
                <w:sz w:val="22"/>
                <w:szCs w:val="22"/>
                <w:highlight w:val="none"/>
              </w:rPr>
              <w:t>合计</w:t>
            </w:r>
          </w:p>
        </w:tc>
        <w:tc>
          <w:tcPr>
            <w:tcW w:w="1546" w:type="dxa"/>
            <w:tcBorders>
              <w:left w:val="single" w:color="000000" w:sz="4" w:space="0"/>
              <w:right w:val="single" w:color="000000" w:sz="4" w:space="0"/>
            </w:tcBorders>
            <w:vAlign w:val="center"/>
          </w:tcPr>
          <w:p w14:paraId="02D8912B">
            <w:pPr>
              <w:autoSpaceDE w:val="0"/>
              <w:autoSpaceDN w:val="0"/>
              <w:jc w:val="center"/>
              <w:rPr>
                <w:rFonts w:hint="default"/>
                <w:color w:val="auto"/>
                <w:sz w:val="22"/>
                <w:szCs w:val="22"/>
                <w:highlight w:val="none"/>
                <w:lang w:val="en-US"/>
              </w:rPr>
            </w:pPr>
            <w:r>
              <w:rPr>
                <w:rFonts w:hint="eastAsia"/>
                <w:color w:val="auto"/>
                <w:sz w:val="22"/>
                <w:szCs w:val="22"/>
                <w:highlight w:val="none"/>
                <w:lang w:val="en-US" w:eastAsia="zh-CN"/>
              </w:rPr>
              <w:t>8</w:t>
            </w:r>
          </w:p>
        </w:tc>
        <w:tc>
          <w:tcPr>
            <w:tcW w:w="6417" w:type="dxa"/>
            <w:tcBorders>
              <w:left w:val="single" w:color="000000" w:sz="4" w:space="0"/>
              <w:right w:val="single" w:color="000000" w:sz="10" w:space="0"/>
            </w:tcBorders>
            <w:vAlign w:val="top"/>
          </w:tcPr>
          <w:p w14:paraId="15FFC1C2">
            <w:pPr>
              <w:autoSpaceDE w:val="0"/>
              <w:autoSpaceDN w:val="0"/>
              <w:jc w:val="both"/>
              <w:rPr>
                <w:rFonts w:hint="eastAsia"/>
                <w:color w:val="auto"/>
                <w:sz w:val="22"/>
                <w:szCs w:val="22"/>
                <w:highlight w:val="none"/>
              </w:rPr>
            </w:pPr>
          </w:p>
        </w:tc>
      </w:tr>
      <w:tr w14:paraId="6950D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2" w:hRule="atLeast"/>
        </w:trPr>
        <w:tc>
          <w:tcPr>
            <w:tcW w:w="9764" w:type="dxa"/>
            <w:gridSpan w:val="3"/>
            <w:tcBorders>
              <w:left w:val="single" w:color="000000" w:sz="10" w:space="0"/>
              <w:right w:val="single" w:color="000000" w:sz="10" w:space="0"/>
            </w:tcBorders>
            <w:vAlign w:val="top"/>
          </w:tcPr>
          <w:p w14:paraId="6E331884">
            <w:pPr>
              <w:autoSpaceDE w:val="0"/>
              <w:autoSpaceDN w:val="0"/>
              <w:spacing w:before="0" w:beforeAutospacing="0" w:after="0" w:afterAutospacing="0"/>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说明：</w:t>
            </w:r>
          </w:p>
          <w:p w14:paraId="6C572519">
            <w:pPr>
              <w:widowControl/>
              <w:autoSpaceDE/>
              <w:autoSpaceDN/>
              <w:spacing w:before="0" w:beforeAutospacing="0" w:after="0" w:afterAutospacing="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 以上人员数量为施工期(含施工准备期)基本配置，未经同意不得降低资格标准</w:t>
            </w:r>
            <w:r>
              <w:rPr>
                <w:rFonts w:hint="eastAsia" w:ascii="宋体" w:hAnsi="宋体" w:cs="宋体"/>
                <w:color w:val="auto"/>
                <w:sz w:val="22"/>
                <w:szCs w:val="22"/>
                <w:highlight w:val="none"/>
                <w:lang w:eastAsia="zh-CN"/>
              </w:rPr>
              <w:t>。</w:t>
            </w:r>
            <w:r>
              <w:rPr>
                <w:rFonts w:hint="eastAsia" w:ascii="宋体" w:hAnsi="宋体" w:eastAsia="宋体" w:cs="宋体"/>
                <w:color w:val="auto"/>
                <w:kern w:val="2"/>
                <w:sz w:val="22"/>
                <w:szCs w:val="22"/>
                <w:highlight w:val="none"/>
                <w:lang w:val="en-US" w:eastAsia="zh-CN" w:bidi="ar"/>
              </w:rPr>
              <w:t>在履行合同过程中，检测单位应按照实际工作量以及行业主管部门或委托人要求增加的工作量完成合同任务，所需增加配备相关专业人员及试验设备等因此产生的费用应包含在投标报价中，不再单独支付</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现场不同阶段应根据工程进度情况编制进场人员计划，同意后按计划配置。</w:t>
            </w:r>
          </w:p>
          <w:p w14:paraId="7136779B">
            <w:pPr>
              <w:autoSpaceDE w:val="0"/>
              <w:autoSpaceDN w:val="0"/>
              <w:spacing w:before="0" w:beforeAutospacing="0" w:after="0" w:afterAutospacing="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2.上述具体人员应为投标单位自有人员，在签订合同前首批进场人员应报委托人审查同意，所有进场人员须提供劳动合同和社保证明。 </w:t>
            </w:r>
          </w:p>
          <w:p w14:paraId="2666A7A2">
            <w:pPr>
              <w:autoSpaceDE w:val="0"/>
              <w:autoSpaceDN w:val="0"/>
              <w:spacing w:before="0" w:beforeAutospacing="0" w:after="0" w:afterAutospacing="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3. 缺陷责任期人员应根据委托人要求进行配置。 </w:t>
            </w:r>
          </w:p>
          <w:p w14:paraId="11EE09B8">
            <w:pPr>
              <w:autoSpaceDE w:val="0"/>
              <w:autoSpaceDN w:val="0"/>
              <w:spacing w:before="0" w:beforeAutospacing="0" w:after="0" w:afterAutospacing="0"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 xml:space="preserve">4. 投标时需明确各专业试验检测工程师进、出场计划。 </w:t>
            </w:r>
          </w:p>
          <w:p w14:paraId="3AEF956A">
            <w:pPr>
              <w:autoSpaceDE w:val="0"/>
              <w:autoSpaceDN w:val="0"/>
              <w:spacing w:before="0" w:beforeAutospacing="0" w:after="0" w:afterAutospacing="0"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5. 提供的辅助人员，如资料管理员、试验辅助人员等由投标人自行配置，以满足现场需要为准，费用含在检测人员服务费中，不另支付。 </w:t>
            </w:r>
          </w:p>
          <w:p w14:paraId="2C2D6781">
            <w:pPr>
              <w:autoSpaceDE w:val="0"/>
              <w:autoSpaceDN w:val="0"/>
              <w:rPr>
                <w:rFonts w:hint="eastAsia"/>
                <w:color w:val="auto"/>
                <w:highlight w:val="none"/>
              </w:rPr>
            </w:pPr>
            <w:r>
              <w:rPr>
                <w:rFonts w:hint="eastAsia" w:ascii="宋体" w:hAnsi="宋体" w:eastAsia="宋体" w:cs="宋体"/>
                <w:b/>
                <w:bCs/>
                <w:color w:val="auto"/>
                <w:sz w:val="22"/>
                <w:szCs w:val="22"/>
                <w:highlight w:val="none"/>
                <w:lang w:val="en-US" w:eastAsia="zh-CN"/>
              </w:rPr>
              <w:t>6.</w:t>
            </w:r>
            <w:r>
              <w:rPr>
                <w:rFonts w:hint="eastAsia" w:ascii="宋体" w:hAnsi="宋体" w:cs="宋体"/>
                <w:b/>
                <w:bCs/>
                <w:color w:val="auto"/>
                <w:sz w:val="22"/>
                <w:szCs w:val="22"/>
                <w:highlight w:val="none"/>
                <w:lang w:val="en-US" w:eastAsia="zh-CN"/>
              </w:rPr>
              <w:t>上述人员投标文件中无需提供上述人员的相关材料，投标人在投标函中承诺。如投标人承诺与实际不符，将视为投标人弄虚作假。招标人有权核实，如中标人弄虚作假或在中标后拒绝提供上述材料的，招标人有权解除合同并报</w:t>
            </w:r>
            <w:r>
              <w:rPr>
                <w:rFonts w:hint="eastAsia" w:ascii="宋体" w:hAnsi="宋体" w:eastAsia="宋体" w:cs="宋体"/>
                <w:b/>
                <w:bCs/>
                <w:color w:val="auto"/>
                <w:sz w:val="22"/>
                <w:szCs w:val="22"/>
                <w:highlight w:val="none"/>
                <w:lang w:val="en-US" w:eastAsia="zh-CN"/>
              </w:rPr>
              <w:t>监督管理部门</w:t>
            </w:r>
            <w:r>
              <w:rPr>
                <w:rFonts w:hint="eastAsia" w:ascii="宋体" w:hAnsi="宋体" w:cs="宋体"/>
                <w:b/>
                <w:bCs/>
                <w:color w:val="auto"/>
                <w:sz w:val="22"/>
                <w:szCs w:val="22"/>
                <w:highlight w:val="none"/>
                <w:lang w:val="en-US" w:eastAsia="zh-CN"/>
              </w:rPr>
              <w:t>从严处理。</w:t>
            </w:r>
          </w:p>
        </w:tc>
      </w:tr>
    </w:tbl>
    <w:p w14:paraId="221D6085">
      <w:pPr>
        <w:pStyle w:val="74"/>
        <w:rPr>
          <w:rFonts w:ascii="黑体" w:hAnsi="黑体" w:eastAsia="黑体" w:cs="黑体"/>
          <w:color w:val="auto"/>
          <w:spacing w:val="-1"/>
          <w:sz w:val="30"/>
          <w:szCs w:val="30"/>
          <w:highlight w:val="none"/>
        </w:rPr>
      </w:pPr>
    </w:p>
    <w:p w14:paraId="338FA675">
      <w:pPr>
        <w:rPr>
          <w:color w:val="auto"/>
          <w:highlight w:val="none"/>
        </w:rPr>
      </w:pPr>
    </w:p>
    <w:p w14:paraId="65E42D37">
      <w:pPr>
        <w:rPr>
          <w:rFonts w:ascii="黑体" w:hAnsi="黑体" w:eastAsia="黑体" w:cs="黑体"/>
          <w:color w:val="auto"/>
          <w:spacing w:val="-1"/>
          <w:sz w:val="30"/>
          <w:szCs w:val="30"/>
          <w:highlight w:val="none"/>
        </w:rPr>
      </w:pPr>
    </w:p>
    <w:p w14:paraId="4740F2CD">
      <w:pPr>
        <w:pStyle w:val="74"/>
        <w:rPr>
          <w:rFonts w:ascii="黑体" w:hAnsi="黑体" w:eastAsia="黑体" w:cs="黑体"/>
          <w:color w:val="auto"/>
          <w:spacing w:val="-1"/>
          <w:sz w:val="30"/>
          <w:szCs w:val="30"/>
          <w:highlight w:val="none"/>
        </w:rPr>
      </w:pPr>
    </w:p>
    <w:p w14:paraId="6CF0DC1B">
      <w:pPr>
        <w:rPr>
          <w:rFonts w:ascii="黑体" w:hAnsi="黑体" w:eastAsia="黑体" w:cs="黑体"/>
          <w:color w:val="auto"/>
          <w:spacing w:val="-1"/>
          <w:sz w:val="30"/>
          <w:szCs w:val="30"/>
          <w:highlight w:val="none"/>
        </w:rPr>
      </w:pPr>
    </w:p>
    <w:p w14:paraId="2CA08F3E">
      <w:pPr>
        <w:rPr>
          <w:rFonts w:ascii="黑体" w:hAnsi="黑体" w:eastAsia="黑体" w:cs="黑体"/>
          <w:color w:val="auto"/>
          <w:spacing w:val="-1"/>
          <w:sz w:val="30"/>
          <w:szCs w:val="30"/>
          <w:highlight w:val="none"/>
        </w:rPr>
      </w:pPr>
    </w:p>
    <w:p w14:paraId="389A72BC">
      <w:pPr>
        <w:rPr>
          <w:rFonts w:ascii="黑体" w:hAnsi="黑体" w:eastAsia="黑体" w:cs="黑体"/>
          <w:color w:val="auto"/>
          <w:spacing w:val="-1"/>
          <w:sz w:val="30"/>
          <w:szCs w:val="30"/>
          <w:highlight w:val="none"/>
        </w:rPr>
      </w:pPr>
    </w:p>
    <w:p w14:paraId="113CFE9D">
      <w:pPr>
        <w:rPr>
          <w:rFonts w:ascii="黑体" w:hAnsi="黑体" w:eastAsia="黑体" w:cs="黑体"/>
          <w:color w:val="auto"/>
          <w:spacing w:val="-1"/>
          <w:sz w:val="30"/>
          <w:szCs w:val="30"/>
          <w:highlight w:val="none"/>
        </w:rPr>
      </w:pPr>
    </w:p>
    <w:p w14:paraId="2F4FDA96">
      <w:pPr>
        <w:rPr>
          <w:rFonts w:ascii="黑体" w:hAnsi="黑体" w:eastAsia="黑体" w:cs="黑体"/>
          <w:color w:val="auto"/>
          <w:spacing w:val="-1"/>
          <w:sz w:val="30"/>
          <w:szCs w:val="30"/>
          <w:highlight w:val="none"/>
        </w:rPr>
      </w:pPr>
    </w:p>
    <w:p w14:paraId="079FB836">
      <w:pPr>
        <w:pStyle w:val="74"/>
        <w:rPr>
          <w:rFonts w:ascii="黑体" w:hAnsi="黑体" w:eastAsia="黑体" w:cs="黑体"/>
          <w:color w:val="auto"/>
          <w:spacing w:val="-1"/>
          <w:sz w:val="30"/>
          <w:szCs w:val="30"/>
          <w:highlight w:val="none"/>
        </w:rPr>
      </w:pPr>
    </w:p>
    <w:p w14:paraId="04DB5CE3">
      <w:pPr>
        <w:spacing w:before="60" w:line="218" w:lineRule="auto"/>
        <w:ind w:left="556"/>
        <w:rPr>
          <w:rFonts w:ascii="黑体" w:hAnsi="黑体" w:eastAsia="黑体" w:cs="黑体"/>
          <w:color w:val="auto"/>
          <w:spacing w:val="-2"/>
          <w:sz w:val="30"/>
          <w:szCs w:val="30"/>
          <w:highlight w:val="none"/>
        </w:rPr>
      </w:pPr>
      <w:r>
        <w:rPr>
          <w:rFonts w:ascii="黑体" w:hAnsi="黑体" w:eastAsia="黑体" w:cs="黑体"/>
          <w:color w:val="auto"/>
          <w:spacing w:val="-2"/>
          <w:sz w:val="30"/>
          <w:szCs w:val="30"/>
          <w:highlight w:val="none"/>
        </w:rPr>
        <w:t>附件</w:t>
      </w:r>
      <w:r>
        <w:rPr>
          <w:rFonts w:hint="eastAsia" w:ascii="黑体" w:hAnsi="黑体" w:eastAsia="黑体" w:cs="黑体"/>
          <w:color w:val="auto"/>
          <w:spacing w:val="-2"/>
          <w:sz w:val="30"/>
          <w:szCs w:val="30"/>
          <w:highlight w:val="none"/>
          <w:lang w:val="en-US" w:eastAsia="zh-CN"/>
        </w:rPr>
        <w:t>四</w:t>
      </w:r>
      <w:r>
        <w:rPr>
          <w:rFonts w:ascii="黑体" w:hAnsi="黑体" w:eastAsia="黑体" w:cs="黑体"/>
          <w:color w:val="auto"/>
          <w:spacing w:val="-2"/>
          <w:sz w:val="30"/>
          <w:szCs w:val="30"/>
          <w:highlight w:val="none"/>
        </w:rPr>
        <w:t>：</w:t>
      </w:r>
      <w:r>
        <w:rPr>
          <w:rFonts w:ascii="黑体" w:hAnsi="黑体" w:eastAsia="黑体" w:cs="黑体"/>
          <w:color w:val="auto"/>
          <w:spacing w:val="-2"/>
          <w:sz w:val="30"/>
          <w:szCs w:val="30"/>
          <w:highlight w:val="none"/>
          <w:lang w:val="en-US" w:eastAsia="zh-CN"/>
        </w:rPr>
        <w:t>主要试验检测设备最低要求</w:t>
      </w:r>
    </w:p>
    <w:p w14:paraId="78DB1CCA">
      <w:pPr>
        <w:spacing w:before="267" w:line="220" w:lineRule="auto"/>
        <w:ind w:left="2303"/>
        <w:rPr>
          <w:rFonts w:hint="default" w:ascii="黑体" w:hAnsi="黑体" w:eastAsia="黑体" w:cs="黑体"/>
          <w:color w:val="auto"/>
          <w:spacing w:val="-1"/>
          <w:sz w:val="30"/>
          <w:szCs w:val="30"/>
          <w:highlight w:val="none"/>
          <w:lang w:val="en-US" w:eastAsia="zh-CN"/>
        </w:rPr>
      </w:pPr>
      <w:r>
        <w:rPr>
          <w:rFonts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t>中心试验室</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试验检测设备最低配置表</w:t>
      </w:r>
    </w:p>
    <w:tbl>
      <w:tblPr>
        <w:tblStyle w:val="650"/>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4110"/>
        <w:gridCol w:w="1982"/>
        <w:gridCol w:w="2130"/>
      </w:tblGrid>
      <w:tr w14:paraId="7350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219" w:type="dxa"/>
            <w:gridSpan w:val="4"/>
            <w:vAlign w:val="top"/>
          </w:tcPr>
          <w:p w14:paraId="4345B614">
            <w:pPr>
              <w:autoSpaceDE w:val="0"/>
              <w:autoSpaceDN w:val="0"/>
              <w:spacing w:before="96" w:line="221" w:lineRule="auto"/>
              <w:ind w:left="35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一</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、水泥、砼试验仪器</w:t>
            </w:r>
          </w:p>
        </w:tc>
      </w:tr>
      <w:tr w14:paraId="3949D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4081BD15">
            <w:pPr>
              <w:autoSpaceDE w:val="0"/>
              <w:autoSpaceDN w:val="0"/>
              <w:spacing w:before="91" w:line="222" w:lineRule="auto"/>
              <w:ind w:left="2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w:t>
            </w:r>
            <w:r>
              <w:rPr>
                <w:rFonts w:ascii="宋体" w:hAnsi="宋体" w:eastAsia="宋体" w:cs="宋体"/>
                <w:color w:val="auto"/>
                <w:spacing w:val="-1"/>
                <w:sz w:val="21"/>
                <w:szCs w:val="21"/>
                <w:highlight w:val="none"/>
              </w:rPr>
              <w:t>号</w:t>
            </w:r>
          </w:p>
        </w:tc>
        <w:tc>
          <w:tcPr>
            <w:tcW w:w="4110" w:type="dxa"/>
            <w:vAlign w:val="top"/>
          </w:tcPr>
          <w:p w14:paraId="31ED89EA">
            <w:pPr>
              <w:autoSpaceDE w:val="0"/>
              <w:autoSpaceDN w:val="0"/>
              <w:spacing w:before="91" w:line="221" w:lineRule="auto"/>
              <w:ind w:left="164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仪器</w:t>
            </w:r>
            <w:r>
              <w:rPr>
                <w:rFonts w:ascii="宋体" w:hAnsi="宋体" w:eastAsia="宋体" w:cs="宋体"/>
                <w:color w:val="auto"/>
                <w:spacing w:val="-1"/>
                <w:sz w:val="21"/>
                <w:szCs w:val="21"/>
                <w:highlight w:val="none"/>
              </w:rPr>
              <w:t>名称</w:t>
            </w:r>
          </w:p>
        </w:tc>
        <w:tc>
          <w:tcPr>
            <w:tcW w:w="1982" w:type="dxa"/>
            <w:vAlign w:val="top"/>
          </w:tcPr>
          <w:p w14:paraId="5ADF7BE4">
            <w:pPr>
              <w:autoSpaceDE w:val="0"/>
              <w:autoSpaceDN w:val="0"/>
              <w:spacing w:before="91" w:line="221" w:lineRule="auto"/>
              <w:ind w:left="7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数量</w:t>
            </w:r>
          </w:p>
        </w:tc>
        <w:tc>
          <w:tcPr>
            <w:tcW w:w="2130" w:type="dxa"/>
            <w:vAlign w:val="top"/>
          </w:tcPr>
          <w:p w14:paraId="502DE9E6">
            <w:pPr>
              <w:autoSpaceDE w:val="0"/>
              <w:autoSpaceDN w:val="0"/>
              <w:spacing w:before="91" w:line="222" w:lineRule="auto"/>
              <w:ind w:left="86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w:t>
            </w:r>
            <w:r>
              <w:rPr>
                <w:rFonts w:ascii="宋体" w:hAnsi="宋体" w:eastAsia="宋体" w:cs="宋体"/>
                <w:color w:val="auto"/>
                <w:spacing w:val="-2"/>
                <w:sz w:val="21"/>
                <w:szCs w:val="21"/>
                <w:highlight w:val="none"/>
              </w:rPr>
              <w:t>注</w:t>
            </w:r>
          </w:p>
        </w:tc>
      </w:tr>
      <w:tr w14:paraId="27E7A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97" w:type="dxa"/>
            <w:vAlign w:val="top"/>
          </w:tcPr>
          <w:p w14:paraId="1555A7E9">
            <w:pPr>
              <w:autoSpaceDE w:val="0"/>
              <w:autoSpaceDN w:val="0"/>
              <w:spacing w:before="200" w:line="187" w:lineRule="auto"/>
              <w:ind w:left="46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4110" w:type="dxa"/>
            <w:vAlign w:val="top"/>
          </w:tcPr>
          <w:p w14:paraId="0D0FD0F9">
            <w:pPr>
              <w:autoSpaceDE w:val="0"/>
              <w:autoSpaceDN w:val="0"/>
              <w:spacing w:before="166" w:line="221" w:lineRule="auto"/>
              <w:ind w:left="10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标准养护室温</w:t>
            </w:r>
            <w:r>
              <w:rPr>
                <w:rFonts w:ascii="宋体" w:hAnsi="宋体" w:eastAsia="宋体" w:cs="宋体"/>
                <w:color w:val="auto"/>
                <w:sz w:val="21"/>
                <w:szCs w:val="21"/>
                <w:highlight w:val="none"/>
              </w:rPr>
              <w:t>湿自控仪</w:t>
            </w:r>
          </w:p>
        </w:tc>
        <w:tc>
          <w:tcPr>
            <w:tcW w:w="1982" w:type="dxa"/>
            <w:vAlign w:val="top"/>
          </w:tcPr>
          <w:p w14:paraId="32BD864F">
            <w:pPr>
              <w:autoSpaceDE w:val="0"/>
              <w:autoSpaceDN w:val="0"/>
              <w:spacing w:before="18" w:line="233" w:lineRule="auto"/>
              <w:ind w:left="576" w:right="118" w:hanging="433"/>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 xml:space="preserve">1 </w:t>
            </w:r>
            <w:r>
              <w:rPr>
                <w:rFonts w:ascii="宋体" w:hAnsi="宋体" w:eastAsia="宋体" w:cs="宋体"/>
                <w:color w:val="auto"/>
                <w:spacing w:val="3"/>
                <w:sz w:val="21"/>
                <w:szCs w:val="21"/>
                <w:highlight w:val="none"/>
              </w:rPr>
              <w:t xml:space="preserve">套(满足 </w:t>
            </w:r>
            <w:r>
              <w:rPr>
                <w:rFonts w:ascii="Times New Roman" w:hAnsi="Times New Roman" w:eastAsia="Times New Roman" w:cs="Times New Roman"/>
                <w:color w:val="auto"/>
                <w:spacing w:val="3"/>
                <w:sz w:val="21"/>
                <w:szCs w:val="21"/>
                <w:highlight w:val="none"/>
              </w:rPr>
              <w:t>40</w:t>
            </w:r>
            <w:r>
              <w:rPr>
                <w:rFonts w:ascii="Times New Roman" w:hAnsi="Times New Roman" w:eastAsia="Times New Roman" w:cs="Times New Roman"/>
                <w:color w:val="auto"/>
                <w:sz w:val="21"/>
                <w:szCs w:val="21"/>
                <w:highlight w:val="none"/>
              </w:rPr>
              <w:t>m</w:t>
            </w:r>
            <w:r>
              <w:rPr>
                <w:rFonts w:ascii="Times New Roman" w:hAnsi="Times New Roman" w:eastAsia="Times New Roman" w:cs="Times New Roman"/>
                <w:color w:val="auto"/>
                <w:spacing w:val="3"/>
                <w:position w:val="9"/>
                <w:sz w:val="13"/>
                <w:szCs w:val="13"/>
                <w:highlight w:val="none"/>
              </w:rPr>
              <w:t xml:space="preserve">2 </w:t>
            </w:r>
            <w:r>
              <w:rPr>
                <w:rFonts w:ascii="宋体" w:hAnsi="宋体" w:eastAsia="宋体" w:cs="宋体"/>
                <w:color w:val="auto"/>
                <w:spacing w:val="3"/>
                <w:sz w:val="21"/>
                <w:szCs w:val="21"/>
                <w:highlight w:val="none"/>
              </w:rPr>
              <w:t>控</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制要</w:t>
            </w:r>
            <w:r>
              <w:rPr>
                <w:rFonts w:ascii="宋体" w:hAnsi="宋体" w:eastAsia="宋体" w:cs="宋体"/>
                <w:color w:val="auto"/>
                <w:spacing w:val="-1"/>
                <w:sz w:val="21"/>
                <w:szCs w:val="21"/>
                <w:highlight w:val="none"/>
              </w:rPr>
              <w:t>求)</w:t>
            </w:r>
          </w:p>
        </w:tc>
        <w:tc>
          <w:tcPr>
            <w:tcW w:w="2130" w:type="dxa"/>
            <w:vAlign w:val="top"/>
          </w:tcPr>
          <w:p w14:paraId="516CC1B2">
            <w:pPr>
              <w:autoSpaceDE w:val="0"/>
              <w:autoSpaceDN w:val="0"/>
              <w:spacing w:before="32" w:line="227" w:lineRule="auto"/>
              <w:ind w:left="437" w:right="114" w:hanging="27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自</w:t>
            </w:r>
            <w:r>
              <w:rPr>
                <w:rFonts w:ascii="宋体" w:hAnsi="宋体" w:eastAsia="宋体" w:cs="宋体"/>
                <w:color w:val="auto"/>
                <w:spacing w:val="-4"/>
                <w:sz w:val="21"/>
                <w:szCs w:val="21"/>
                <w:highlight w:val="none"/>
              </w:rPr>
              <w:t>动喷淋自动温湿度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控制雾化</w:t>
            </w:r>
            <w:r>
              <w:rPr>
                <w:rFonts w:ascii="宋体" w:hAnsi="宋体" w:eastAsia="宋体" w:cs="宋体"/>
                <w:color w:val="auto"/>
                <w:sz w:val="21"/>
                <w:szCs w:val="21"/>
                <w:highlight w:val="none"/>
              </w:rPr>
              <w:t>加湿</w:t>
            </w:r>
          </w:p>
        </w:tc>
      </w:tr>
      <w:tr w14:paraId="0697E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70D8BD20">
            <w:pPr>
              <w:autoSpaceDE w:val="0"/>
              <w:autoSpaceDN w:val="0"/>
              <w:spacing w:before="126" w:line="187" w:lineRule="auto"/>
              <w:ind w:left="44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4110" w:type="dxa"/>
            <w:vAlign w:val="top"/>
          </w:tcPr>
          <w:p w14:paraId="115B00C4">
            <w:pPr>
              <w:autoSpaceDE w:val="0"/>
              <w:autoSpaceDN w:val="0"/>
              <w:spacing w:before="94" w:line="221" w:lineRule="auto"/>
              <w:ind w:left="13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恒温</w:t>
            </w:r>
            <w:r>
              <w:rPr>
                <w:rFonts w:ascii="宋体" w:hAnsi="宋体" w:eastAsia="宋体" w:cs="宋体"/>
                <w:color w:val="auto"/>
                <w:sz w:val="21"/>
                <w:szCs w:val="21"/>
                <w:highlight w:val="none"/>
              </w:rPr>
              <w:t>恒湿养护箱</w:t>
            </w:r>
          </w:p>
        </w:tc>
        <w:tc>
          <w:tcPr>
            <w:tcW w:w="1982" w:type="dxa"/>
            <w:vAlign w:val="top"/>
          </w:tcPr>
          <w:p w14:paraId="0C83F5F7">
            <w:pPr>
              <w:autoSpaceDE w:val="0"/>
              <w:autoSpaceDN w:val="0"/>
              <w:spacing w:before="94"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4E1B6ABF">
            <w:pPr>
              <w:autoSpaceDE w:val="0"/>
              <w:autoSpaceDN w:val="0"/>
              <w:rPr>
                <w:rFonts w:ascii="Arial"/>
                <w:color w:val="auto"/>
                <w:sz w:val="21"/>
                <w:highlight w:val="none"/>
              </w:rPr>
            </w:pPr>
          </w:p>
        </w:tc>
      </w:tr>
      <w:tr w14:paraId="0E9B1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207DC7EE">
            <w:pPr>
              <w:autoSpaceDE w:val="0"/>
              <w:autoSpaceDN w:val="0"/>
              <w:spacing w:before="126" w:line="187" w:lineRule="auto"/>
              <w:ind w:left="45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4110" w:type="dxa"/>
            <w:vAlign w:val="top"/>
          </w:tcPr>
          <w:p w14:paraId="57DDC60A">
            <w:pPr>
              <w:autoSpaceDE w:val="0"/>
              <w:autoSpaceDN w:val="0"/>
              <w:spacing w:before="92" w:line="220" w:lineRule="auto"/>
              <w:ind w:left="69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水泥胶砂搅拌机</w:t>
            </w:r>
            <w:r>
              <w:rPr>
                <w:rFonts w:ascii="宋体" w:hAnsi="宋体" w:eastAsia="宋体" w:cs="宋体"/>
                <w:color w:val="auto"/>
                <w:sz w:val="21"/>
                <w:szCs w:val="21"/>
                <w:highlight w:val="none"/>
              </w:rPr>
              <w:t>、砂浆搅拌机</w:t>
            </w:r>
          </w:p>
        </w:tc>
        <w:tc>
          <w:tcPr>
            <w:tcW w:w="1982" w:type="dxa"/>
            <w:vAlign w:val="top"/>
          </w:tcPr>
          <w:p w14:paraId="5D7A67E6">
            <w:pPr>
              <w:autoSpaceDE w:val="0"/>
              <w:autoSpaceDN w:val="0"/>
              <w:spacing w:before="93" w:line="221" w:lineRule="auto"/>
              <w:ind w:left="72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2130" w:type="dxa"/>
            <w:vAlign w:val="top"/>
          </w:tcPr>
          <w:p w14:paraId="324B9FDD">
            <w:pPr>
              <w:autoSpaceDE w:val="0"/>
              <w:autoSpaceDN w:val="0"/>
              <w:rPr>
                <w:rFonts w:ascii="Arial"/>
                <w:color w:val="auto"/>
                <w:sz w:val="21"/>
                <w:highlight w:val="none"/>
              </w:rPr>
            </w:pPr>
          </w:p>
        </w:tc>
      </w:tr>
      <w:tr w14:paraId="7BF60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97" w:type="dxa"/>
            <w:vAlign w:val="top"/>
          </w:tcPr>
          <w:p w14:paraId="417EF077">
            <w:pPr>
              <w:autoSpaceDE w:val="0"/>
              <w:autoSpaceDN w:val="0"/>
              <w:spacing w:before="124" w:line="187" w:lineRule="auto"/>
              <w:ind w:left="4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4110" w:type="dxa"/>
            <w:vAlign w:val="top"/>
          </w:tcPr>
          <w:p w14:paraId="786BC001">
            <w:pPr>
              <w:autoSpaceDE w:val="0"/>
              <w:autoSpaceDN w:val="0"/>
              <w:spacing w:before="93" w:line="220" w:lineRule="auto"/>
              <w:ind w:left="13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水</w:t>
            </w:r>
            <w:r>
              <w:rPr>
                <w:rFonts w:ascii="宋体" w:hAnsi="宋体" w:eastAsia="宋体" w:cs="宋体"/>
                <w:color w:val="auto"/>
                <w:spacing w:val="-1"/>
                <w:sz w:val="21"/>
                <w:szCs w:val="21"/>
                <w:highlight w:val="none"/>
              </w:rPr>
              <w:t>泥净浆搅拌机</w:t>
            </w:r>
          </w:p>
        </w:tc>
        <w:tc>
          <w:tcPr>
            <w:tcW w:w="1982" w:type="dxa"/>
            <w:vAlign w:val="top"/>
          </w:tcPr>
          <w:p w14:paraId="44E75BA4">
            <w:pPr>
              <w:autoSpaceDE w:val="0"/>
              <w:autoSpaceDN w:val="0"/>
              <w:spacing w:before="93"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490746E8">
            <w:pPr>
              <w:autoSpaceDE w:val="0"/>
              <w:autoSpaceDN w:val="0"/>
              <w:rPr>
                <w:rFonts w:ascii="Arial"/>
                <w:color w:val="auto"/>
                <w:sz w:val="21"/>
                <w:highlight w:val="none"/>
              </w:rPr>
            </w:pPr>
          </w:p>
        </w:tc>
      </w:tr>
      <w:tr w14:paraId="5F376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537B8DFC">
            <w:pPr>
              <w:autoSpaceDE w:val="0"/>
              <w:autoSpaceDN w:val="0"/>
              <w:spacing w:before="129" w:line="184" w:lineRule="auto"/>
              <w:ind w:left="45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4110" w:type="dxa"/>
            <w:vAlign w:val="top"/>
          </w:tcPr>
          <w:p w14:paraId="3224859D">
            <w:pPr>
              <w:autoSpaceDE w:val="0"/>
              <w:autoSpaceDN w:val="0"/>
              <w:spacing w:before="92" w:line="221" w:lineRule="auto"/>
              <w:ind w:left="13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水</w:t>
            </w:r>
            <w:r>
              <w:rPr>
                <w:rFonts w:ascii="宋体" w:hAnsi="宋体" w:eastAsia="宋体" w:cs="宋体"/>
                <w:color w:val="auto"/>
                <w:spacing w:val="-1"/>
                <w:sz w:val="21"/>
                <w:szCs w:val="21"/>
                <w:highlight w:val="none"/>
              </w:rPr>
              <w:t>泥胶砂振实台</w:t>
            </w:r>
          </w:p>
        </w:tc>
        <w:tc>
          <w:tcPr>
            <w:tcW w:w="1982" w:type="dxa"/>
            <w:vAlign w:val="top"/>
          </w:tcPr>
          <w:p w14:paraId="5B7FD54D">
            <w:pPr>
              <w:autoSpaceDE w:val="0"/>
              <w:autoSpaceDN w:val="0"/>
              <w:spacing w:before="92"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56E65110">
            <w:pPr>
              <w:autoSpaceDE w:val="0"/>
              <w:autoSpaceDN w:val="0"/>
              <w:rPr>
                <w:rFonts w:ascii="Arial"/>
                <w:color w:val="auto"/>
                <w:sz w:val="21"/>
                <w:highlight w:val="none"/>
              </w:rPr>
            </w:pPr>
          </w:p>
        </w:tc>
      </w:tr>
      <w:tr w14:paraId="26029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28B638E8">
            <w:pPr>
              <w:autoSpaceDE w:val="0"/>
              <w:autoSpaceDN w:val="0"/>
              <w:spacing w:before="124" w:line="187" w:lineRule="auto"/>
              <w:ind w:left="45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4110" w:type="dxa"/>
            <w:vAlign w:val="top"/>
          </w:tcPr>
          <w:p w14:paraId="682771F3">
            <w:pPr>
              <w:autoSpaceDE w:val="0"/>
              <w:autoSpaceDN w:val="0"/>
              <w:spacing w:before="92" w:line="220" w:lineRule="auto"/>
              <w:ind w:left="12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砼振动台</w:t>
            </w:r>
            <w:r>
              <w:rPr>
                <w:rFonts w:ascii="宋体" w:hAnsi="宋体" w:eastAsia="宋体" w:cs="宋体"/>
                <w:color w:val="auto"/>
                <w:sz w:val="21"/>
                <w:szCs w:val="21"/>
                <w:highlight w:val="none"/>
              </w:rPr>
              <w:t>、回弹仪</w:t>
            </w:r>
          </w:p>
        </w:tc>
        <w:tc>
          <w:tcPr>
            <w:tcW w:w="1982" w:type="dxa"/>
            <w:vAlign w:val="top"/>
          </w:tcPr>
          <w:p w14:paraId="0B268BFF">
            <w:pPr>
              <w:autoSpaceDE w:val="0"/>
              <w:autoSpaceDN w:val="0"/>
              <w:spacing w:before="93" w:line="221" w:lineRule="auto"/>
              <w:ind w:left="72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2130" w:type="dxa"/>
            <w:vAlign w:val="top"/>
          </w:tcPr>
          <w:p w14:paraId="42D2DD28">
            <w:pPr>
              <w:autoSpaceDE w:val="0"/>
              <w:autoSpaceDN w:val="0"/>
              <w:rPr>
                <w:rFonts w:ascii="Arial"/>
                <w:color w:val="auto"/>
                <w:sz w:val="21"/>
                <w:highlight w:val="none"/>
              </w:rPr>
            </w:pPr>
          </w:p>
        </w:tc>
      </w:tr>
      <w:tr w14:paraId="7184A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50C6CC9D">
            <w:pPr>
              <w:autoSpaceDE w:val="0"/>
              <w:autoSpaceDN w:val="0"/>
              <w:spacing w:before="130" w:line="184" w:lineRule="auto"/>
              <w:ind w:left="4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7</w:t>
            </w:r>
          </w:p>
        </w:tc>
        <w:tc>
          <w:tcPr>
            <w:tcW w:w="4110" w:type="dxa"/>
            <w:vAlign w:val="top"/>
          </w:tcPr>
          <w:p w14:paraId="6CB6876E">
            <w:pPr>
              <w:autoSpaceDE w:val="0"/>
              <w:autoSpaceDN w:val="0"/>
              <w:spacing w:before="95" w:line="221" w:lineRule="auto"/>
              <w:ind w:left="15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水泥沸</w:t>
            </w:r>
            <w:r>
              <w:rPr>
                <w:rFonts w:ascii="宋体" w:hAnsi="宋体" w:eastAsia="宋体" w:cs="宋体"/>
                <w:color w:val="auto"/>
                <w:spacing w:val="-1"/>
                <w:sz w:val="21"/>
                <w:szCs w:val="21"/>
                <w:highlight w:val="none"/>
              </w:rPr>
              <w:t>煮箱</w:t>
            </w:r>
          </w:p>
        </w:tc>
        <w:tc>
          <w:tcPr>
            <w:tcW w:w="1982" w:type="dxa"/>
            <w:vAlign w:val="top"/>
          </w:tcPr>
          <w:p w14:paraId="610BBC25">
            <w:pPr>
              <w:autoSpaceDE w:val="0"/>
              <w:autoSpaceDN w:val="0"/>
              <w:spacing w:before="95"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2E659CE5">
            <w:pPr>
              <w:autoSpaceDE w:val="0"/>
              <w:autoSpaceDN w:val="0"/>
              <w:rPr>
                <w:rFonts w:ascii="Arial"/>
                <w:color w:val="auto"/>
                <w:sz w:val="21"/>
                <w:highlight w:val="none"/>
              </w:rPr>
            </w:pPr>
          </w:p>
        </w:tc>
      </w:tr>
      <w:tr w14:paraId="481B0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56A04CB7">
            <w:pPr>
              <w:autoSpaceDE w:val="0"/>
              <w:autoSpaceDN w:val="0"/>
              <w:spacing w:before="127" w:line="187" w:lineRule="auto"/>
              <w:ind w:left="456"/>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8</w:t>
            </w:r>
          </w:p>
        </w:tc>
        <w:tc>
          <w:tcPr>
            <w:tcW w:w="4110" w:type="dxa"/>
            <w:vAlign w:val="top"/>
          </w:tcPr>
          <w:p w14:paraId="0A5E3807">
            <w:pPr>
              <w:autoSpaceDE w:val="0"/>
              <w:autoSpaceDN w:val="0"/>
              <w:spacing w:before="93" w:line="220" w:lineRule="auto"/>
              <w:ind w:left="90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300</w:t>
            </w:r>
            <w:r>
              <w:rPr>
                <w:rFonts w:ascii="Times New Roman" w:hAnsi="Times New Roman" w:eastAsia="Times New Roman" w:cs="Times New Roman"/>
                <w:color w:val="auto"/>
                <w:sz w:val="21"/>
                <w:szCs w:val="21"/>
                <w:highlight w:val="none"/>
              </w:rPr>
              <w:t>kN</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恒</w:t>
            </w:r>
            <w:r>
              <w:rPr>
                <w:rFonts w:ascii="宋体" w:hAnsi="宋体" w:eastAsia="宋体" w:cs="宋体"/>
                <w:color w:val="auto"/>
                <w:sz w:val="21"/>
                <w:szCs w:val="21"/>
                <w:highlight w:val="none"/>
              </w:rPr>
              <w:t>应力抗压抗折机</w:t>
            </w:r>
          </w:p>
        </w:tc>
        <w:tc>
          <w:tcPr>
            <w:tcW w:w="1982" w:type="dxa"/>
            <w:vAlign w:val="top"/>
          </w:tcPr>
          <w:p w14:paraId="4EBFA93B">
            <w:pPr>
              <w:autoSpaceDE w:val="0"/>
              <w:autoSpaceDN w:val="0"/>
              <w:spacing w:before="93"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359EFC30">
            <w:pPr>
              <w:autoSpaceDE w:val="0"/>
              <w:autoSpaceDN w:val="0"/>
              <w:spacing w:before="124" w:line="230" w:lineRule="auto"/>
              <w:ind w:left="86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0"/>
                <w:sz w:val="21"/>
                <w:szCs w:val="21"/>
                <w:highlight w:val="none"/>
              </w:rPr>
              <w:t>±1%</w:t>
            </w:r>
          </w:p>
        </w:tc>
      </w:tr>
      <w:tr w14:paraId="2691F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121111F1">
            <w:pPr>
              <w:autoSpaceDE w:val="0"/>
              <w:autoSpaceDN w:val="0"/>
              <w:spacing w:before="124" w:line="187" w:lineRule="auto"/>
              <w:ind w:left="45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9</w:t>
            </w:r>
          </w:p>
        </w:tc>
        <w:tc>
          <w:tcPr>
            <w:tcW w:w="4110" w:type="dxa"/>
            <w:vAlign w:val="top"/>
          </w:tcPr>
          <w:p w14:paraId="68A41224">
            <w:pPr>
              <w:autoSpaceDE w:val="0"/>
              <w:autoSpaceDN w:val="0"/>
              <w:spacing w:before="93" w:line="221" w:lineRule="auto"/>
              <w:ind w:left="92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电动水泥</w:t>
            </w:r>
            <w:r>
              <w:rPr>
                <w:rFonts w:ascii="宋体" w:hAnsi="宋体" w:eastAsia="宋体" w:cs="宋体"/>
                <w:color w:val="auto"/>
                <w:spacing w:val="-2"/>
                <w:sz w:val="21"/>
                <w:szCs w:val="21"/>
                <w:highlight w:val="none"/>
              </w:rPr>
              <w:t>胶砂流动测定仪</w:t>
            </w:r>
          </w:p>
        </w:tc>
        <w:tc>
          <w:tcPr>
            <w:tcW w:w="1982" w:type="dxa"/>
            <w:vAlign w:val="top"/>
          </w:tcPr>
          <w:p w14:paraId="6FCD2AA8">
            <w:pPr>
              <w:autoSpaceDE w:val="0"/>
              <w:autoSpaceDN w:val="0"/>
              <w:spacing w:before="93"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3B96FFC2">
            <w:pPr>
              <w:autoSpaceDE w:val="0"/>
              <w:autoSpaceDN w:val="0"/>
              <w:rPr>
                <w:rFonts w:ascii="Arial"/>
                <w:color w:val="auto"/>
                <w:sz w:val="21"/>
                <w:highlight w:val="none"/>
              </w:rPr>
            </w:pPr>
          </w:p>
        </w:tc>
      </w:tr>
      <w:tr w14:paraId="69F9F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75B37D5E">
            <w:pPr>
              <w:autoSpaceDE w:val="0"/>
              <w:autoSpaceDN w:val="0"/>
              <w:spacing w:before="127"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10</w:t>
            </w:r>
          </w:p>
        </w:tc>
        <w:tc>
          <w:tcPr>
            <w:tcW w:w="4110" w:type="dxa"/>
            <w:vAlign w:val="top"/>
          </w:tcPr>
          <w:p w14:paraId="6C627875">
            <w:pPr>
              <w:autoSpaceDE w:val="0"/>
              <w:autoSpaceDN w:val="0"/>
              <w:spacing w:before="93" w:line="221" w:lineRule="auto"/>
              <w:ind w:left="111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雷式夹膨胀值测定仪</w:t>
            </w:r>
          </w:p>
        </w:tc>
        <w:tc>
          <w:tcPr>
            <w:tcW w:w="1982" w:type="dxa"/>
            <w:vAlign w:val="top"/>
          </w:tcPr>
          <w:p w14:paraId="1EDD440A">
            <w:pPr>
              <w:autoSpaceDE w:val="0"/>
              <w:autoSpaceDN w:val="0"/>
              <w:spacing w:before="93"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7522D7BD">
            <w:pPr>
              <w:autoSpaceDE w:val="0"/>
              <w:autoSpaceDN w:val="0"/>
              <w:rPr>
                <w:rFonts w:ascii="Arial"/>
                <w:color w:val="auto"/>
                <w:sz w:val="21"/>
                <w:highlight w:val="none"/>
              </w:rPr>
            </w:pPr>
          </w:p>
        </w:tc>
      </w:tr>
      <w:tr w14:paraId="02D9C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52F2C948">
            <w:pPr>
              <w:autoSpaceDE w:val="0"/>
              <w:autoSpaceDN w:val="0"/>
              <w:spacing w:before="125"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11</w:t>
            </w:r>
          </w:p>
        </w:tc>
        <w:tc>
          <w:tcPr>
            <w:tcW w:w="4110" w:type="dxa"/>
            <w:vAlign w:val="top"/>
          </w:tcPr>
          <w:p w14:paraId="655CF64B">
            <w:pPr>
              <w:autoSpaceDE w:val="0"/>
              <w:autoSpaceDN w:val="0"/>
              <w:spacing w:before="93" w:line="221" w:lineRule="auto"/>
              <w:ind w:left="1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水泥细度负压筛</w:t>
            </w:r>
            <w:r>
              <w:rPr>
                <w:rFonts w:ascii="宋体" w:hAnsi="宋体" w:eastAsia="宋体" w:cs="宋体"/>
                <w:color w:val="auto"/>
                <w:sz w:val="21"/>
                <w:szCs w:val="21"/>
                <w:highlight w:val="none"/>
              </w:rPr>
              <w:t>析仪</w:t>
            </w:r>
          </w:p>
        </w:tc>
        <w:tc>
          <w:tcPr>
            <w:tcW w:w="1982" w:type="dxa"/>
            <w:vAlign w:val="top"/>
          </w:tcPr>
          <w:p w14:paraId="5C282523">
            <w:pPr>
              <w:autoSpaceDE w:val="0"/>
              <w:autoSpaceDN w:val="0"/>
              <w:spacing w:before="93"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5F41055D">
            <w:pPr>
              <w:autoSpaceDE w:val="0"/>
              <w:autoSpaceDN w:val="0"/>
              <w:rPr>
                <w:rFonts w:ascii="Arial"/>
                <w:color w:val="auto"/>
                <w:sz w:val="21"/>
                <w:highlight w:val="none"/>
              </w:rPr>
            </w:pPr>
          </w:p>
        </w:tc>
      </w:tr>
      <w:tr w14:paraId="23667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3AE8E261">
            <w:pPr>
              <w:autoSpaceDE w:val="0"/>
              <w:autoSpaceDN w:val="0"/>
              <w:spacing w:before="129"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12</w:t>
            </w:r>
          </w:p>
        </w:tc>
        <w:tc>
          <w:tcPr>
            <w:tcW w:w="4110" w:type="dxa"/>
            <w:vAlign w:val="top"/>
          </w:tcPr>
          <w:p w14:paraId="62EA95E9">
            <w:pPr>
              <w:autoSpaceDE w:val="0"/>
              <w:autoSpaceDN w:val="0"/>
              <w:spacing w:before="94" w:line="221" w:lineRule="auto"/>
              <w:ind w:left="8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水泥稠度、凝结</w:t>
            </w:r>
            <w:r>
              <w:rPr>
                <w:rFonts w:ascii="宋体" w:hAnsi="宋体" w:eastAsia="宋体" w:cs="宋体"/>
                <w:color w:val="auto"/>
                <w:sz w:val="21"/>
                <w:szCs w:val="21"/>
                <w:highlight w:val="none"/>
              </w:rPr>
              <w:t>时间测定仪</w:t>
            </w:r>
          </w:p>
        </w:tc>
        <w:tc>
          <w:tcPr>
            <w:tcW w:w="1982" w:type="dxa"/>
            <w:vAlign w:val="top"/>
          </w:tcPr>
          <w:p w14:paraId="796A7151">
            <w:pPr>
              <w:autoSpaceDE w:val="0"/>
              <w:autoSpaceDN w:val="0"/>
              <w:spacing w:before="95" w:line="221"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2130" w:type="dxa"/>
            <w:vAlign w:val="top"/>
          </w:tcPr>
          <w:p w14:paraId="3404F026">
            <w:pPr>
              <w:autoSpaceDE w:val="0"/>
              <w:autoSpaceDN w:val="0"/>
              <w:rPr>
                <w:rFonts w:ascii="Arial"/>
                <w:color w:val="auto"/>
                <w:sz w:val="21"/>
                <w:highlight w:val="none"/>
              </w:rPr>
            </w:pPr>
          </w:p>
        </w:tc>
      </w:tr>
      <w:tr w14:paraId="2457C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240F8F18">
            <w:pPr>
              <w:autoSpaceDE w:val="0"/>
              <w:autoSpaceDN w:val="0"/>
              <w:spacing w:before="126"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13</w:t>
            </w:r>
          </w:p>
        </w:tc>
        <w:tc>
          <w:tcPr>
            <w:tcW w:w="4110" w:type="dxa"/>
            <w:vAlign w:val="top"/>
          </w:tcPr>
          <w:p w14:paraId="70A4B311">
            <w:pPr>
              <w:autoSpaceDE w:val="0"/>
              <w:autoSpaceDN w:val="0"/>
              <w:spacing w:before="94" w:line="221" w:lineRule="auto"/>
              <w:ind w:left="1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砼维勃稠</w:t>
            </w:r>
            <w:r>
              <w:rPr>
                <w:rFonts w:ascii="宋体" w:hAnsi="宋体" w:eastAsia="宋体" w:cs="宋体"/>
                <w:color w:val="auto"/>
                <w:sz w:val="21"/>
                <w:szCs w:val="21"/>
                <w:highlight w:val="none"/>
              </w:rPr>
              <w:t>度仪</w:t>
            </w:r>
          </w:p>
        </w:tc>
        <w:tc>
          <w:tcPr>
            <w:tcW w:w="1982" w:type="dxa"/>
            <w:vAlign w:val="top"/>
          </w:tcPr>
          <w:p w14:paraId="1C7572A8">
            <w:pPr>
              <w:autoSpaceDE w:val="0"/>
              <w:autoSpaceDN w:val="0"/>
              <w:spacing w:before="94"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58DC176A">
            <w:pPr>
              <w:autoSpaceDE w:val="0"/>
              <w:autoSpaceDN w:val="0"/>
              <w:rPr>
                <w:rFonts w:ascii="Arial"/>
                <w:color w:val="auto"/>
                <w:sz w:val="21"/>
                <w:highlight w:val="none"/>
              </w:rPr>
            </w:pPr>
          </w:p>
        </w:tc>
      </w:tr>
      <w:tr w14:paraId="4CD95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7AFBA774">
            <w:pPr>
              <w:autoSpaceDE w:val="0"/>
              <w:autoSpaceDN w:val="0"/>
              <w:spacing w:before="129"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14</w:t>
            </w:r>
          </w:p>
        </w:tc>
        <w:tc>
          <w:tcPr>
            <w:tcW w:w="4110" w:type="dxa"/>
            <w:vAlign w:val="top"/>
          </w:tcPr>
          <w:p w14:paraId="4AF8AD8C">
            <w:pPr>
              <w:autoSpaceDE w:val="0"/>
              <w:autoSpaceDN w:val="0"/>
              <w:spacing w:before="97" w:line="221" w:lineRule="auto"/>
              <w:ind w:left="15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砂浆稠度</w:t>
            </w:r>
            <w:r>
              <w:rPr>
                <w:rFonts w:ascii="宋体" w:hAnsi="宋体" w:eastAsia="宋体" w:cs="宋体"/>
                <w:color w:val="auto"/>
                <w:sz w:val="21"/>
                <w:szCs w:val="21"/>
                <w:highlight w:val="none"/>
              </w:rPr>
              <w:t>仪</w:t>
            </w:r>
          </w:p>
        </w:tc>
        <w:tc>
          <w:tcPr>
            <w:tcW w:w="1982" w:type="dxa"/>
            <w:vAlign w:val="top"/>
          </w:tcPr>
          <w:p w14:paraId="70517648">
            <w:pPr>
              <w:autoSpaceDE w:val="0"/>
              <w:autoSpaceDN w:val="0"/>
              <w:spacing w:before="97"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767DFBC8">
            <w:pPr>
              <w:autoSpaceDE w:val="0"/>
              <w:autoSpaceDN w:val="0"/>
              <w:spacing w:before="125" w:line="236" w:lineRule="auto"/>
              <w:ind w:left="87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0"/>
                <w:sz w:val="21"/>
                <w:szCs w:val="21"/>
                <w:highlight w:val="none"/>
              </w:rPr>
              <w:t>1</w:t>
            </w:r>
            <w:r>
              <w:rPr>
                <w:rFonts w:ascii="Times New Roman" w:hAnsi="Times New Roman" w:eastAsia="Times New Roman" w:cs="Times New Roman"/>
                <w:color w:val="auto"/>
                <w:spacing w:val="-7"/>
                <w:sz w:val="21"/>
                <w:szCs w:val="21"/>
                <w:highlight w:val="none"/>
              </w:rPr>
              <w:t>mm</w:t>
            </w:r>
          </w:p>
        </w:tc>
      </w:tr>
      <w:tr w14:paraId="56170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6384F42C">
            <w:pPr>
              <w:autoSpaceDE w:val="0"/>
              <w:autoSpaceDN w:val="0"/>
              <w:spacing w:before="129"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16</w:t>
            </w:r>
          </w:p>
        </w:tc>
        <w:tc>
          <w:tcPr>
            <w:tcW w:w="4110" w:type="dxa"/>
            <w:vAlign w:val="top"/>
          </w:tcPr>
          <w:p w14:paraId="1DDC1345">
            <w:pPr>
              <w:autoSpaceDE w:val="0"/>
              <w:autoSpaceDN w:val="0"/>
              <w:spacing w:before="95" w:line="220" w:lineRule="auto"/>
              <w:ind w:left="12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震击式标准振筛</w:t>
            </w:r>
            <w:r>
              <w:rPr>
                <w:rFonts w:ascii="宋体" w:hAnsi="宋体" w:eastAsia="宋体" w:cs="宋体"/>
                <w:color w:val="auto"/>
                <w:sz w:val="21"/>
                <w:szCs w:val="21"/>
                <w:highlight w:val="none"/>
              </w:rPr>
              <w:t>机</w:t>
            </w:r>
          </w:p>
        </w:tc>
        <w:tc>
          <w:tcPr>
            <w:tcW w:w="1982" w:type="dxa"/>
            <w:vAlign w:val="top"/>
          </w:tcPr>
          <w:p w14:paraId="56E698D5">
            <w:pPr>
              <w:autoSpaceDE w:val="0"/>
              <w:autoSpaceDN w:val="0"/>
              <w:spacing w:before="95"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0D43A481">
            <w:pPr>
              <w:autoSpaceDE w:val="0"/>
              <w:autoSpaceDN w:val="0"/>
              <w:spacing w:before="125" w:line="234" w:lineRule="auto"/>
              <w:ind w:left="77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Ф300mm</w:t>
            </w:r>
          </w:p>
        </w:tc>
      </w:tr>
      <w:tr w14:paraId="04A92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97" w:type="dxa"/>
            <w:vAlign w:val="top"/>
          </w:tcPr>
          <w:p w14:paraId="312A854B">
            <w:pPr>
              <w:autoSpaceDE w:val="0"/>
              <w:autoSpaceDN w:val="0"/>
              <w:spacing w:before="127"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17</w:t>
            </w:r>
          </w:p>
        </w:tc>
        <w:tc>
          <w:tcPr>
            <w:tcW w:w="4110" w:type="dxa"/>
            <w:vAlign w:val="top"/>
          </w:tcPr>
          <w:p w14:paraId="2C41B166">
            <w:pPr>
              <w:autoSpaceDE w:val="0"/>
              <w:autoSpaceDN w:val="0"/>
              <w:spacing w:before="95" w:line="220" w:lineRule="auto"/>
              <w:ind w:left="58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石料自动</w:t>
            </w:r>
            <w:r>
              <w:rPr>
                <w:rFonts w:ascii="宋体" w:hAnsi="宋体" w:eastAsia="宋体" w:cs="宋体"/>
                <w:color w:val="auto"/>
                <w:sz w:val="21"/>
                <w:szCs w:val="21"/>
                <w:highlight w:val="none"/>
              </w:rPr>
              <w:t>切割机、双端面磨平机</w:t>
            </w:r>
          </w:p>
        </w:tc>
        <w:tc>
          <w:tcPr>
            <w:tcW w:w="1982" w:type="dxa"/>
            <w:vAlign w:val="top"/>
          </w:tcPr>
          <w:p w14:paraId="6A2738F6">
            <w:pPr>
              <w:autoSpaceDE w:val="0"/>
              <w:autoSpaceDN w:val="0"/>
              <w:spacing w:before="96" w:line="221" w:lineRule="auto"/>
              <w:ind w:left="72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2130" w:type="dxa"/>
            <w:vAlign w:val="top"/>
          </w:tcPr>
          <w:p w14:paraId="30723F81">
            <w:pPr>
              <w:autoSpaceDE w:val="0"/>
              <w:autoSpaceDN w:val="0"/>
              <w:rPr>
                <w:rFonts w:ascii="Arial"/>
                <w:color w:val="auto"/>
                <w:sz w:val="21"/>
                <w:highlight w:val="none"/>
              </w:rPr>
            </w:pPr>
          </w:p>
        </w:tc>
      </w:tr>
      <w:tr w14:paraId="7FF67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2DED9E43">
            <w:pPr>
              <w:autoSpaceDE w:val="0"/>
              <w:autoSpaceDN w:val="0"/>
              <w:spacing w:before="129"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18</w:t>
            </w:r>
          </w:p>
        </w:tc>
        <w:tc>
          <w:tcPr>
            <w:tcW w:w="4110" w:type="dxa"/>
            <w:vAlign w:val="top"/>
          </w:tcPr>
          <w:p w14:paraId="2F25EA7F">
            <w:pPr>
              <w:autoSpaceDE w:val="0"/>
              <w:autoSpaceDN w:val="0"/>
              <w:spacing w:before="95" w:line="220" w:lineRule="auto"/>
              <w:ind w:left="13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砼强制式</w:t>
            </w:r>
            <w:r>
              <w:rPr>
                <w:rFonts w:ascii="宋体" w:hAnsi="宋体" w:eastAsia="宋体" w:cs="宋体"/>
                <w:color w:val="auto"/>
                <w:sz w:val="21"/>
                <w:szCs w:val="21"/>
                <w:highlight w:val="none"/>
              </w:rPr>
              <w:t>搅拌机</w:t>
            </w:r>
          </w:p>
        </w:tc>
        <w:tc>
          <w:tcPr>
            <w:tcW w:w="1982" w:type="dxa"/>
            <w:vAlign w:val="top"/>
          </w:tcPr>
          <w:p w14:paraId="141AEE6E">
            <w:pPr>
              <w:autoSpaceDE w:val="0"/>
              <w:autoSpaceDN w:val="0"/>
              <w:spacing w:before="95"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7E4B0D03">
            <w:pPr>
              <w:autoSpaceDE w:val="0"/>
              <w:autoSpaceDN w:val="0"/>
              <w:rPr>
                <w:rFonts w:ascii="Arial"/>
                <w:color w:val="auto"/>
                <w:sz w:val="21"/>
                <w:highlight w:val="none"/>
              </w:rPr>
            </w:pPr>
          </w:p>
        </w:tc>
      </w:tr>
      <w:tr w14:paraId="5C638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97" w:type="dxa"/>
            <w:vAlign w:val="top"/>
          </w:tcPr>
          <w:p w14:paraId="69F3890B">
            <w:pPr>
              <w:autoSpaceDE w:val="0"/>
              <w:autoSpaceDN w:val="0"/>
              <w:spacing w:before="126" w:line="187"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19</w:t>
            </w:r>
          </w:p>
        </w:tc>
        <w:tc>
          <w:tcPr>
            <w:tcW w:w="4110" w:type="dxa"/>
            <w:vAlign w:val="top"/>
          </w:tcPr>
          <w:p w14:paraId="603261AA">
            <w:pPr>
              <w:autoSpaceDE w:val="0"/>
              <w:autoSpaceDN w:val="0"/>
              <w:spacing w:before="94" w:line="221" w:lineRule="auto"/>
              <w:ind w:left="1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砼贯入阻</w:t>
            </w:r>
            <w:r>
              <w:rPr>
                <w:rFonts w:ascii="宋体" w:hAnsi="宋体" w:eastAsia="宋体" w:cs="宋体"/>
                <w:color w:val="auto"/>
                <w:sz w:val="21"/>
                <w:szCs w:val="21"/>
                <w:highlight w:val="none"/>
              </w:rPr>
              <w:t>力仪</w:t>
            </w:r>
          </w:p>
        </w:tc>
        <w:tc>
          <w:tcPr>
            <w:tcW w:w="1982" w:type="dxa"/>
            <w:vAlign w:val="top"/>
          </w:tcPr>
          <w:p w14:paraId="0BC1BD09">
            <w:pPr>
              <w:autoSpaceDE w:val="0"/>
              <w:autoSpaceDN w:val="0"/>
              <w:spacing w:before="95"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14ED4B22">
            <w:pPr>
              <w:autoSpaceDE w:val="0"/>
              <w:autoSpaceDN w:val="0"/>
              <w:rPr>
                <w:rFonts w:ascii="Arial"/>
                <w:color w:val="auto"/>
                <w:sz w:val="21"/>
                <w:highlight w:val="none"/>
              </w:rPr>
            </w:pPr>
          </w:p>
        </w:tc>
      </w:tr>
      <w:tr w14:paraId="79AC9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763F6637">
            <w:pPr>
              <w:autoSpaceDE w:val="0"/>
              <w:autoSpaceDN w:val="0"/>
              <w:spacing w:before="128"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20</w:t>
            </w:r>
          </w:p>
        </w:tc>
        <w:tc>
          <w:tcPr>
            <w:tcW w:w="4110" w:type="dxa"/>
            <w:vAlign w:val="top"/>
          </w:tcPr>
          <w:p w14:paraId="69FDFB92">
            <w:pPr>
              <w:autoSpaceDE w:val="0"/>
              <w:autoSpaceDN w:val="0"/>
              <w:spacing w:before="96" w:line="221" w:lineRule="auto"/>
              <w:ind w:left="13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砼含气量</w:t>
            </w:r>
            <w:r>
              <w:rPr>
                <w:rFonts w:ascii="宋体" w:hAnsi="宋体" w:eastAsia="宋体" w:cs="宋体"/>
                <w:color w:val="auto"/>
                <w:sz w:val="21"/>
                <w:szCs w:val="21"/>
                <w:highlight w:val="none"/>
              </w:rPr>
              <w:t>测定仪</w:t>
            </w:r>
          </w:p>
        </w:tc>
        <w:tc>
          <w:tcPr>
            <w:tcW w:w="1982" w:type="dxa"/>
            <w:vAlign w:val="top"/>
          </w:tcPr>
          <w:p w14:paraId="1D8FDF3C">
            <w:pPr>
              <w:autoSpaceDE w:val="0"/>
              <w:autoSpaceDN w:val="0"/>
              <w:spacing w:before="97"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vAlign w:val="top"/>
          </w:tcPr>
          <w:p w14:paraId="11374D79">
            <w:pPr>
              <w:autoSpaceDE w:val="0"/>
              <w:autoSpaceDN w:val="0"/>
              <w:rPr>
                <w:rFonts w:ascii="Arial"/>
                <w:color w:val="auto"/>
                <w:sz w:val="21"/>
                <w:highlight w:val="none"/>
              </w:rPr>
            </w:pPr>
          </w:p>
        </w:tc>
      </w:tr>
      <w:tr w14:paraId="05988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6A8DAF7C">
            <w:pPr>
              <w:autoSpaceDE w:val="0"/>
              <w:autoSpaceDN w:val="0"/>
              <w:spacing w:before="129"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21</w:t>
            </w:r>
          </w:p>
        </w:tc>
        <w:tc>
          <w:tcPr>
            <w:tcW w:w="4110" w:type="dxa"/>
            <w:vAlign w:val="top"/>
          </w:tcPr>
          <w:p w14:paraId="2A1ECB4C">
            <w:pPr>
              <w:autoSpaceDE w:val="0"/>
              <w:autoSpaceDN w:val="0"/>
              <w:spacing w:before="95" w:line="221" w:lineRule="auto"/>
              <w:ind w:left="13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砼保护层</w:t>
            </w:r>
            <w:r>
              <w:rPr>
                <w:rFonts w:ascii="宋体" w:hAnsi="宋体" w:eastAsia="宋体" w:cs="宋体"/>
                <w:color w:val="auto"/>
                <w:sz w:val="21"/>
                <w:szCs w:val="21"/>
                <w:highlight w:val="none"/>
              </w:rPr>
              <w:t>测定仪</w:t>
            </w:r>
          </w:p>
        </w:tc>
        <w:tc>
          <w:tcPr>
            <w:tcW w:w="1982" w:type="dxa"/>
            <w:vAlign w:val="top"/>
          </w:tcPr>
          <w:p w14:paraId="66B1B193">
            <w:pPr>
              <w:autoSpaceDE w:val="0"/>
              <w:autoSpaceDN w:val="0"/>
              <w:spacing w:before="95" w:line="223" w:lineRule="auto"/>
              <w:ind w:left="809"/>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 xml:space="preserve">2 </w:t>
            </w:r>
            <w:r>
              <w:rPr>
                <w:rFonts w:ascii="宋体" w:hAnsi="宋体" w:eastAsia="宋体" w:cs="宋体"/>
                <w:color w:val="auto"/>
                <w:spacing w:val="7"/>
                <w:sz w:val="21"/>
                <w:szCs w:val="21"/>
                <w:highlight w:val="none"/>
              </w:rPr>
              <w:t>台</w:t>
            </w:r>
          </w:p>
        </w:tc>
        <w:tc>
          <w:tcPr>
            <w:tcW w:w="2130" w:type="dxa"/>
            <w:vAlign w:val="top"/>
          </w:tcPr>
          <w:p w14:paraId="745BE03D">
            <w:pPr>
              <w:autoSpaceDE w:val="0"/>
              <w:autoSpaceDN w:val="0"/>
              <w:rPr>
                <w:rFonts w:ascii="Arial"/>
                <w:color w:val="auto"/>
                <w:sz w:val="21"/>
                <w:highlight w:val="none"/>
              </w:rPr>
            </w:pPr>
          </w:p>
        </w:tc>
      </w:tr>
      <w:tr w14:paraId="5F763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321F69D8">
            <w:pPr>
              <w:autoSpaceDE w:val="0"/>
              <w:autoSpaceDN w:val="0"/>
              <w:spacing w:before="127"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22</w:t>
            </w:r>
          </w:p>
        </w:tc>
        <w:tc>
          <w:tcPr>
            <w:tcW w:w="4110" w:type="dxa"/>
            <w:vAlign w:val="top"/>
          </w:tcPr>
          <w:p w14:paraId="6D814D6F">
            <w:pPr>
              <w:autoSpaceDE w:val="0"/>
              <w:autoSpaceDN w:val="0"/>
              <w:spacing w:before="95" w:line="221" w:lineRule="auto"/>
              <w:ind w:left="15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砼抗折试</w:t>
            </w:r>
            <w:r>
              <w:rPr>
                <w:rFonts w:ascii="宋体" w:hAnsi="宋体" w:eastAsia="宋体" w:cs="宋体"/>
                <w:color w:val="auto"/>
                <w:sz w:val="21"/>
                <w:szCs w:val="21"/>
                <w:highlight w:val="none"/>
              </w:rPr>
              <w:t>模</w:t>
            </w:r>
          </w:p>
        </w:tc>
        <w:tc>
          <w:tcPr>
            <w:tcW w:w="1982" w:type="dxa"/>
            <w:vAlign w:val="top"/>
          </w:tcPr>
          <w:p w14:paraId="52845C56">
            <w:pPr>
              <w:autoSpaceDE w:val="0"/>
              <w:autoSpaceDN w:val="0"/>
              <w:spacing w:before="95" w:line="221" w:lineRule="auto"/>
              <w:ind w:left="81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7</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个</w:t>
            </w:r>
          </w:p>
        </w:tc>
        <w:tc>
          <w:tcPr>
            <w:tcW w:w="2130" w:type="dxa"/>
            <w:vAlign w:val="top"/>
          </w:tcPr>
          <w:p w14:paraId="0112A86E">
            <w:pPr>
              <w:autoSpaceDE w:val="0"/>
              <w:autoSpaceDN w:val="0"/>
              <w:spacing w:before="122" w:line="234" w:lineRule="auto"/>
              <w:ind w:left="33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150×150×55</w:t>
            </w:r>
            <w:r>
              <w:rPr>
                <w:rFonts w:ascii="Times New Roman" w:hAnsi="Times New Roman" w:eastAsia="Times New Roman" w:cs="Times New Roman"/>
                <w:color w:val="auto"/>
                <w:spacing w:val="-1"/>
                <w:sz w:val="21"/>
                <w:szCs w:val="21"/>
                <w:highlight w:val="none"/>
              </w:rPr>
              <w:t>0mm</w:t>
            </w:r>
          </w:p>
        </w:tc>
      </w:tr>
      <w:tr w14:paraId="29811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3EDAE7DE">
            <w:pPr>
              <w:autoSpaceDE w:val="0"/>
              <w:autoSpaceDN w:val="0"/>
              <w:spacing w:before="129"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23</w:t>
            </w:r>
          </w:p>
        </w:tc>
        <w:tc>
          <w:tcPr>
            <w:tcW w:w="4110" w:type="dxa"/>
            <w:vAlign w:val="top"/>
          </w:tcPr>
          <w:p w14:paraId="32F297F4">
            <w:pPr>
              <w:autoSpaceDE w:val="0"/>
              <w:autoSpaceDN w:val="0"/>
              <w:spacing w:before="96" w:line="220" w:lineRule="auto"/>
              <w:ind w:left="1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砼轴心抗</w:t>
            </w:r>
            <w:r>
              <w:rPr>
                <w:rFonts w:ascii="宋体" w:hAnsi="宋体" w:eastAsia="宋体" w:cs="宋体"/>
                <w:color w:val="auto"/>
                <w:sz w:val="21"/>
                <w:szCs w:val="21"/>
                <w:highlight w:val="none"/>
              </w:rPr>
              <w:t>压强度试模</w:t>
            </w:r>
          </w:p>
        </w:tc>
        <w:tc>
          <w:tcPr>
            <w:tcW w:w="1982" w:type="dxa"/>
            <w:vAlign w:val="top"/>
          </w:tcPr>
          <w:p w14:paraId="321BD94C">
            <w:pPr>
              <w:autoSpaceDE w:val="0"/>
              <w:autoSpaceDN w:val="0"/>
              <w:spacing w:before="95" w:line="221" w:lineRule="auto"/>
              <w:ind w:left="81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7</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个</w:t>
            </w:r>
          </w:p>
        </w:tc>
        <w:tc>
          <w:tcPr>
            <w:tcW w:w="2130" w:type="dxa"/>
            <w:vAlign w:val="top"/>
          </w:tcPr>
          <w:p w14:paraId="2038F8CD">
            <w:pPr>
              <w:autoSpaceDE w:val="0"/>
              <w:autoSpaceDN w:val="0"/>
              <w:spacing w:before="125" w:line="234" w:lineRule="auto"/>
              <w:ind w:left="33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150×150×30</w:t>
            </w:r>
            <w:r>
              <w:rPr>
                <w:rFonts w:ascii="Times New Roman" w:hAnsi="Times New Roman" w:eastAsia="Times New Roman" w:cs="Times New Roman"/>
                <w:color w:val="auto"/>
                <w:spacing w:val="-1"/>
                <w:sz w:val="21"/>
                <w:szCs w:val="21"/>
                <w:highlight w:val="none"/>
              </w:rPr>
              <w:t>0mm</w:t>
            </w:r>
          </w:p>
        </w:tc>
      </w:tr>
      <w:tr w14:paraId="16869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7DB924BD">
            <w:pPr>
              <w:autoSpaceDE w:val="0"/>
              <w:autoSpaceDN w:val="0"/>
              <w:spacing w:before="127"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24</w:t>
            </w:r>
          </w:p>
        </w:tc>
        <w:tc>
          <w:tcPr>
            <w:tcW w:w="4110" w:type="dxa"/>
            <w:vAlign w:val="top"/>
          </w:tcPr>
          <w:p w14:paraId="604CF28D">
            <w:pPr>
              <w:autoSpaceDE w:val="0"/>
              <w:autoSpaceDN w:val="0"/>
              <w:spacing w:before="95" w:line="221" w:lineRule="auto"/>
              <w:ind w:left="15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砼抗压试</w:t>
            </w:r>
            <w:r>
              <w:rPr>
                <w:rFonts w:ascii="宋体" w:hAnsi="宋体" w:eastAsia="宋体" w:cs="宋体"/>
                <w:color w:val="auto"/>
                <w:sz w:val="21"/>
                <w:szCs w:val="21"/>
                <w:highlight w:val="none"/>
              </w:rPr>
              <w:t>模</w:t>
            </w:r>
          </w:p>
        </w:tc>
        <w:tc>
          <w:tcPr>
            <w:tcW w:w="1982" w:type="dxa"/>
            <w:vAlign w:val="top"/>
          </w:tcPr>
          <w:p w14:paraId="71B195B3">
            <w:pPr>
              <w:autoSpaceDE w:val="0"/>
              <w:autoSpaceDN w:val="0"/>
              <w:spacing w:before="95" w:line="221" w:lineRule="auto"/>
              <w:ind w:left="756"/>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 xml:space="preserve">1 </w:t>
            </w:r>
            <w:r>
              <w:rPr>
                <w:rFonts w:ascii="宋体" w:hAnsi="宋体" w:eastAsia="宋体" w:cs="宋体"/>
                <w:color w:val="auto"/>
                <w:spacing w:val="1"/>
                <w:sz w:val="21"/>
                <w:szCs w:val="21"/>
                <w:highlight w:val="none"/>
              </w:rPr>
              <w:t>个</w:t>
            </w:r>
          </w:p>
        </w:tc>
        <w:tc>
          <w:tcPr>
            <w:tcW w:w="2130" w:type="dxa"/>
            <w:vAlign w:val="top"/>
          </w:tcPr>
          <w:p w14:paraId="2229BAA4">
            <w:pPr>
              <w:autoSpaceDE w:val="0"/>
              <w:autoSpaceDN w:val="0"/>
              <w:spacing w:before="123" w:line="234" w:lineRule="auto"/>
              <w:ind w:left="33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150×150×15</w:t>
            </w:r>
            <w:r>
              <w:rPr>
                <w:rFonts w:ascii="Times New Roman" w:hAnsi="Times New Roman" w:eastAsia="Times New Roman" w:cs="Times New Roman"/>
                <w:color w:val="auto"/>
                <w:spacing w:val="-1"/>
                <w:sz w:val="21"/>
                <w:szCs w:val="21"/>
                <w:highlight w:val="none"/>
              </w:rPr>
              <w:t>0mm</w:t>
            </w:r>
          </w:p>
        </w:tc>
      </w:tr>
      <w:tr w14:paraId="07E18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728F608A">
            <w:pPr>
              <w:autoSpaceDE w:val="0"/>
              <w:autoSpaceDN w:val="0"/>
              <w:spacing w:before="130"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25</w:t>
            </w:r>
          </w:p>
        </w:tc>
        <w:tc>
          <w:tcPr>
            <w:tcW w:w="4110" w:type="dxa"/>
            <w:vAlign w:val="top"/>
          </w:tcPr>
          <w:p w14:paraId="0DAF5665">
            <w:pPr>
              <w:autoSpaceDE w:val="0"/>
              <w:autoSpaceDN w:val="0"/>
              <w:spacing w:before="96" w:line="221" w:lineRule="auto"/>
              <w:ind w:left="16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砂浆试模</w:t>
            </w:r>
          </w:p>
        </w:tc>
        <w:tc>
          <w:tcPr>
            <w:tcW w:w="1982" w:type="dxa"/>
            <w:vAlign w:val="top"/>
          </w:tcPr>
          <w:p w14:paraId="3DFC18F7">
            <w:pPr>
              <w:autoSpaceDE w:val="0"/>
              <w:autoSpaceDN w:val="0"/>
              <w:spacing w:before="96" w:line="221" w:lineRule="auto"/>
              <w:ind w:left="812"/>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7</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个</w:t>
            </w:r>
          </w:p>
        </w:tc>
        <w:tc>
          <w:tcPr>
            <w:tcW w:w="2130" w:type="dxa"/>
            <w:vAlign w:val="top"/>
          </w:tcPr>
          <w:p w14:paraId="484CF051">
            <w:pPr>
              <w:autoSpaceDE w:val="0"/>
              <w:autoSpaceDN w:val="0"/>
              <w:spacing w:before="127" w:line="233" w:lineRule="auto"/>
              <w:ind w:left="48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70.7</w:t>
            </w:r>
            <w:r>
              <w:rPr>
                <w:rFonts w:ascii="Times New Roman" w:hAnsi="Times New Roman" w:eastAsia="Times New Roman" w:cs="Times New Roman"/>
                <w:color w:val="auto"/>
                <w:sz w:val="21"/>
                <w:szCs w:val="21"/>
                <w:highlight w:val="none"/>
              </w:rPr>
              <w:t>×70.7mm</w:t>
            </w:r>
          </w:p>
        </w:tc>
      </w:tr>
      <w:tr w14:paraId="34048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97" w:type="dxa"/>
            <w:vAlign w:val="top"/>
          </w:tcPr>
          <w:p w14:paraId="75D5B88D">
            <w:pPr>
              <w:autoSpaceDE w:val="0"/>
              <w:autoSpaceDN w:val="0"/>
              <w:spacing w:before="128"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26</w:t>
            </w:r>
          </w:p>
        </w:tc>
        <w:tc>
          <w:tcPr>
            <w:tcW w:w="4110" w:type="dxa"/>
            <w:vAlign w:val="top"/>
          </w:tcPr>
          <w:p w14:paraId="57A0A80C">
            <w:pPr>
              <w:autoSpaceDE w:val="0"/>
              <w:autoSpaceDN w:val="0"/>
              <w:spacing w:before="96" w:line="221" w:lineRule="auto"/>
              <w:ind w:left="143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水泥</w:t>
            </w:r>
            <w:r>
              <w:rPr>
                <w:rFonts w:ascii="宋体" w:hAnsi="宋体" w:eastAsia="宋体" w:cs="宋体"/>
                <w:color w:val="auto"/>
                <w:spacing w:val="-1"/>
                <w:sz w:val="21"/>
                <w:szCs w:val="21"/>
                <w:highlight w:val="none"/>
              </w:rPr>
              <w:t>胶砂试模</w:t>
            </w:r>
          </w:p>
        </w:tc>
        <w:tc>
          <w:tcPr>
            <w:tcW w:w="1982" w:type="dxa"/>
            <w:vAlign w:val="top"/>
          </w:tcPr>
          <w:p w14:paraId="61A91BC8">
            <w:pPr>
              <w:autoSpaceDE w:val="0"/>
              <w:autoSpaceDN w:val="0"/>
              <w:spacing w:before="97" w:line="221" w:lineRule="auto"/>
              <w:ind w:left="81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3</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套</w:t>
            </w:r>
          </w:p>
        </w:tc>
        <w:tc>
          <w:tcPr>
            <w:tcW w:w="2130" w:type="dxa"/>
            <w:vAlign w:val="top"/>
          </w:tcPr>
          <w:p w14:paraId="1599E1FE">
            <w:pPr>
              <w:autoSpaceDE w:val="0"/>
              <w:autoSpaceDN w:val="0"/>
              <w:spacing w:before="124" w:line="234" w:lineRule="auto"/>
              <w:ind w:left="4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40×40×160mm</w:t>
            </w:r>
          </w:p>
        </w:tc>
      </w:tr>
      <w:tr w14:paraId="10F57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2DF224B6">
            <w:pPr>
              <w:autoSpaceDE w:val="0"/>
              <w:autoSpaceDN w:val="0"/>
              <w:spacing w:before="131"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27</w:t>
            </w:r>
          </w:p>
        </w:tc>
        <w:tc>
          <w:tcPr>
            <w:tcW w:w="4110" w:type="dxa"/>
            <w:vAlign w:val="top"/>
          </w:tcPr>
          <w:p w14:paraId="711DCA7A">
            <w:pPr>
              <w:autoSpaceDE w:val="0"/>
              <w:autoSpaceDN w:val="0"/>
              <w:spacing w:before="99" w:line="221" w:lineRule="auto"/>
              <w:ind w:left="16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坍落度筒</w:t>
            </w:r>
          </w:p>
        </w:tc>
        <w:tc>
          <w:tcPr>
            <w:tcW w:w="1982" w:type="dxa"/>
            <w:vAlign w:val="top"/>
          </w:tcPr>
          <w:p w14:paraId="546E2D10">
            <w:pPr>
              <w:autoSpaceDE w:val="0"/>
              <w:autoSpaceDN w:val="0"/>
              <w:spacing w:before="99" w:line="221" w:lineRule="auto"/>
              <w:ind w:left="80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个</w:t>
            </w:r>
          </w:p>
        </w:tc>
        <w:tc>
          <w:tcPr>
            <w:tcW w:w="2130" w:type="dxa"/>
            <w:vAlign w:val="top"/>
          </w:tcPr>
          <w:p w14:paraId="54DAF615">
            <w:pPr>
              <w:autoSpaceDE w:val="0"/>
              <w:autoSpaceDN w:val="0"/>
              <w:rPr>
                <w:rFonts w:ascii="Arial"/>
                <w:color w:val="auto"/>
                <w:sz w:val="21"/>
                <w:highlight w:val="none"/>
              </w:rPr>
            </w:pPr>
          </w:p>
        </w:tc>
      </w:tr>
      <w:tr w14:paraId="34439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7" w:type="dxa"/>
            <w:vAlign w:val="top"/>
          </w:tcPr>
          <w:p w14:paraId="7DABB519">
            <w:pPr>
              <w:autoSpaceDE w:val="0"/>
              <w:autoSpaceDN w:val="0"/>
              <w:spacing w:before="131"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28</w:t>
            </w:r>
          </w:p>
        </w:tc>
        <w:tc>
          <w:tcPr>
            <w:tcW w:w="4110" w:type="dxa"/>
            <w:vAlign w:val="top"/>
          </w:tcPr>
          <w:p w14:paraId="51388CCE">
            <w:pPr>
              <w:autoSpaceDE w:val="0"/>
              <w:autoSpaceDN w:val="0"/>
              <w:spacing w:before="96" w:line="221" w:lineRule="auto"/>
              <w:ind w:left="15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泥浆</w:t>
            </w:r>
            <w:r>
              <w:rPr>
                <w:rFonts w:ascii="宋体" w:hAnsi="宋体" w:eastAsia="宋体" w:cs="宋体"/>
                <w:color w:val="auto"/>
                <w:spacing w:val="-1"/>
                <w:sz w:val="21"/>
                <w:szCs w:val="21"/>
                <w:highlight w:val="none"/>
              </w:rPr>
              <w:t>比重计</w:t>
            </w:r>
          </w:p>
        </w:tc>
        <w:tc>
          <w:tcPr>
            <w:tcW w:w="1982" w:type="dxa"/>
            <w:vAlign w:val="top"/>
          </w:tcPr>
          <w:p w14:paraId="145C8522">
            <w:pPr>
              <w:autoSpaceDE w:val="0"/>
              <w:autoSpaceDN w:val="0"/>
              <w:spacing w:before="96" w:line="221" w:lineRule="auto"/>
              <w:ind w:left="813"/>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3 </w:t>
            </w:r>
            <w:r>
              <w:rPr>
                <w:rFonts w:ascii="宋体" w:hAnsi="宋体" w:eastAsia="宋体" w:cs="宋体"/>
                <w:color w:val="auto"/>
                <w:sz w:val="21"/>
                <w:szCs w:val="21"/>
                <w:highlight w:val="none"/>
              </w:rPr>
              <w:t>个</w:t>
            </w:r>
          </w:p>
        </w:tc>
        <w:tc>
          <w:tcPr>
            <w:tcW w:w="2130" w:type="dxa"/>
            <w:vAlign w:val="top"/>
          </w:tcPr>
          <w:p w14:paraId="5107D784">
            <w:pPr>
              <w:autoSpaceDE w:val="0"/>
              <w:autoSpaceDN w:val="0"/>
              <w:rPr>
                <w:rFonts w:ascii="Arial"/>
                <w:color w:val="auto"/>
                <w:sz w:val="21"/>
                <w:highlight w:val="none"/>
              </w:rPr>
            </w:pPr>
          </w:p>
        </w:tc>
      </w:tr>
      <w:tr w14:paraId="7E50E6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97" w:type="dxa"/>
            <w:vAlign w:val="top"/>
          </w:tcPr>
          <w:p w14:paraId="4D013EFD">
            <w:pPr>
              <w:autoSpaceDE w:val="0"/>
              <w:autoSpaceDN w:val="0"/>
              <w:spacing w:before="129" w:line="187" w:lineRule="auto"/>
              <w:ind w:left="39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29</w:t>
            </w:r>
          </w:p>
        </w:tc>
        <w:tc>
          <w:tcPr>
            <w:tcW w:w="4110" w:type="dxa"/>
            <w:vAlign w:val="top"/>
          </w:tcPr>
          <w:p w14:paraId="4FE5D5FE">
            <w:pPr>
              <w:autoSpaceDE w:val="0"/>
              <w:autoSpaceDN w:val="0"/>
              <w:spacing w:before="97" w:line="221" w:lineRule="auto"/>
              <w:ind w:left="15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泥浆</w:t>
            </w:r>
            <w:r>
              <w:rPr>
                <w:rFonts w:ascii="宋体" w:hAnsi="宋体" w:eastAsia="宋体" w:cs="宋体"/>
                <w:color w:val="auto"/>
                <w:spacing w:val="-1"/>
                <w:sz w:val="21"/>
                <w:szCs w:val="21"/>
                <w:highlight w:val="none"/>
              </w:rPr>
              <w:t>粘度计</w:t>
            </w:r>
          </w:p>
        </w:tc>
        <w:tc>
          <w:tcPr>
            <w:tcW w:w="1982" w:type="dxa"/>
            <w:vAlign w:val="top"/>
          </w:tcPr>
          <w:p w14:paraId="7071E9A2">
            <w:pPr>
              <w:autoSpaceDE w:val="0"/>
              <w:autoSpaceDN w:val="0"/>
              <w:spacing w:before="97" w:line="221" w:lineRule="auto"/>
              <w:ind w:left="813"/>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3 </w:t>
            </w:r>
            <w:r>
              <w:rPr>
                <w:rFonts w:ascii="宋体" w:hAnsi="宋体" w:eastAsia="宋体" w:cs="宋体"/>
                <w:color w:val="auto"/>
                <w:sz w:val="21"/>
                <w:szCs w:val="21"/>
                <w:highlight w:val="none"/>
              </w:rPr>
              <w:t>个</w:t>
            </w:r>
          </w:p>
        </w:tc>
        <w:tc>
          <w:tcPr>
            <w:tcW w:w="2130" w:type="dxa"/>
            <w:vAlign w:val="top"/>
          </w:tcPr>
          <w:p w14:paraId="5EE69559">
            <w:pPr>
              <w:autoSpaceDE w:val="0"/>
              <w:autoSpaceDN w:val="0"/>
              <w:rPr>
                <w:rFonts w:ascii="Arial"/>
                <w:color w:val="auto"/>
                <w:sz w:val="21"/>
                <w:highlight w:val="none"/>
              </w:rPr>
            </w:pPr>
          </w:p>
        </w:tc>
      </w:tr>
      <w:tr w14:paraId="10D20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997" w:type="dxa"/>
            <w:vAlign w:val="top"/>
          </w:tcPr>
          <w:p w14:paraId="62FE0C09">
            <w:pPr>
              <w:autoSpaceDE w:val="0"/>
              <w:autoSpaceDN w:val="0"/>
              <w:spacing w:before="131" w:line="187" w:lineRule="auto"/>
              <w:ind w:left="39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30</w:t>
            </w:r>
          </w:p>
        </w:tc>
        <w:tc>
          <w:tcPr>
            <w:tcW w:w="4110" w:type="dxa"/>
            <w:vAlign w:val="top"/>
          </w:tcPr>
          <w:p w14:paraId="04F0AE35">
            <w:pPr>
              <w:autoSpaceDE w:val="0"/>
              <w:autoSpaceDN w:val="0"/>
              <w:spacing w:before="96" w:line="221" w:lineRule="auto"/>
              <w:ind w:left="16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含</w:t>
            </w:r>
            <w:r>
              <w:rPr>
                <w:rFonts w:ascii="宋体" w:hAnsi="宋体" w:eastAsia="宋体" w:cs="宋体"/>
                <w:color w:val="auto"/>
                <w:spacing w:val="-1"/>
                <w:sz w:val="21"/>
                <w:szCs w:val="21"/>
                <w:highlight w:val="none"/>
              </w:rPr>
              <w:t>砂量计</w:t>
            </w:r>
          </w:p>
        </w:tc>
        <w:tc>
          <w:tcPr>
            <w:tcW w:w="1982" w:type="dxa"/>
            <w:vAlign w:val="top"/>
          </w:tcPr>
          <w:p w14:paraId="03E8AA8F">
            <w:pPr>
              <w:autoSpaceDE w:val="0"/>
              <w:autoSpaceDN w:val="0"/>
              <w:spacing w:before="96" w:line="221" w:lineRule="auto"/>
              <w:ind w:left="809"/>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个</w:t>
            </w:r>
          </w:p>
        </w:tc>
        <w:tc>
          <w:tcPr>
            <w:tcW w:w="2130" w:type="dxa"/>
            <w:vAlign w:val="top"/>
          </w:tcPr>
          <w:p w14:paraId="09EEBB63">
            <w:pPr>
              <w:autoSpaceDE w:val="0"/>
              <w:autoSpaceDN w:val="0"/>
              <w:rPr>
                <w:rFonts w:ascii="Arial"/>
                <w:color w:val="auto"/>
                <w:sz w:val="21"/>
                <w:highlight w:val="none"/>
              </w:rPr>
            </w:pPr>
          </w:p>
        </w:tc>
      </w:tr>
    </w:tbl>
    <w:p w14:paraId="71659D90">
      <w:pPr>
        <w:spacing w:line="186" w:lineRule="exact"/>
        <w:rPr>
          <w:color w:val="auto"/>
          <w:highlight w:val="none"/>
        </w:rPr>
      </w:pPr>
    </w:p>
    <w:p w14:paraId="5A9EF089">
      <w:pPr>
        <w:pStyle w:val="5"/>
        <w:tabs>
          <w:tab w:val="left" w:pos="7950"/>
        </w:tabs>
        <w:rPr>
          <w:rFonts w:ascii="Times New Roman" w:hAnsi="Times New Roman"/>
          <w:color w:val="auto"/>
          <w:szCs w:val="21"/>
          <w:highlight w:val="none"/>
        </w:rPr>
      </w:pPr>
    </w:p>
    <w:tbl>
      <w:tblPr>
        <w:tblStyle w:val="650"/>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688"/>
        <w:gridCol w:w="3421"/>
        <w:gridCol w:w="782"/>
        <w:gridCol w:w="1200"/>
        <w:gridCol w:w="290"/>
        <w:gridCol w:w="1840"/>
      </w:tblGrid>
      <w:tr w14:paraId="71DA9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98" w:type="dxa"/>
            <w:vAlign w:val="top"/>
          </w:tcPr>
          <w:p w14:paraId="5FF6B83E">
            <w:pPr>
              <w:autoSpaceDE w:val="0"/>
              <w:autoSpaceDN w:val="0"/>
              <w:spacing w:before="128" w:line="187" w:lineRule="auto"/>
              <w:ind w:left="39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31</w:t>
            </w:r>
          </w:p>
        </w:tc>
        <w:tc>
          <w:tcPr>
            <w:tcW w:w="4109" w:type="dxa"/>
            <w:gridSpan w:val="2"/>
            <w:vAlign w:val="top"/>
          </w:tcPr>
          <w:p w14:paraId="769C5AF8">
            <w:pPr>
              <w:autoSpaceDE w:val="0"/>
              <w:autoSpaceDN w:val="0"/>
              <w:spacing w:before="96" w:line="234" w:lineRule="auto"/>
              <w:ind w:left="41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游</w:t>
            </w:r>
            <w:r>
              <w:rPr>
                <w:rFonts w:ascii="宋体" w:hAnsi="宋体" w:eastAsia="宋体" w:cs="宋体"/>
                <w:color w:val="auto"/>
                <w:spacing w:val="7"/>
                <w:sz w:val="21"/>
                <w:szCs w:val="21"/>
                <w:highlight w:val="none"/>
              </w:rPr>
              <w:t>标</w:t>
            </w:r>
            <w:r>
              <w:rPr>
                <w:rFonts w:ascii="宋体" w:hAnsi="宋体" w:eastAsia="宋体" w:cs="宋体"/>
                <w:color w:val="auto"/>
                <w:spacing w:val="4"/>
                <w:sz w:val="21"/>
                <w:szCs w:val="21"/>
                <w:highlight w:val="none"/>
              </w:rPr>
              <w:t>卡尺(</w:t>
            </w:r>
            <w:r>
              <w:rPr>
                <w:rFonts w:ascii="Times New Roman" w:hAnsi="Times New Roman" w:eastAsia="Times New Roman" w:cs="Times New Roman"/>
                <w:color w:val="auto"/>
                <w:spacing w:val="4"/>
                <w:sz w:val="21"/>
                <w:szCs w:val="21"/>
                <w:highlight w:val="none"/>
              </w:rPr>
              <w:t>0~200</w:t>
            </w:r>
            <w:r>
              <w:rPr>
                <w:rFonts w:ascii="Times New Roman" w:hAnsi="Times New Roman" w:eastAsia="Times New Roman" w:cs="Times New Roman"/>
                <w:color w:val="auto"/>
                <w:sz w:val="21"/>
                <w:szCs w:val="21"/>
                <w:highlight w:val="none"/>
              </w:rPr>
              <w:t>mm</w:t>
            </w:r>
            <w:r>
              <w:rPr>
                <w:rFonts w:ascii="Times New Roman" w:hAnsi="Times New Roman" w:eastAsia="Times New Roman" w:cs="Times New Roman"/>
                <w:color w:val="auto"/>
                <w:spacing w:val="4"/>
                <w:sz w:val="21"/>
                <w:szCs w:val="21"/>
                <w:highlight w:val="none"/>
              </w:rPr>
              <w:t xml:space="preserve">      0~300</w:t>
            </w:r>
            <w:r>
              <w:rPr>
                <w:rFonts w:ascii="Times New Roman" w:hAnsi="Times New Roman" w:eastAsia="Times New Roman" w:cs="Times New Roman"/>
                <w:color w:val="auto"/>
                <w:sz w:val="21"/>
                <w:szCs w:val="21"/>
                <w:highlight w:val="none"/>
              </w:rPr>
              <w:t>mm</w:t>
            </w:r>
            <w:r>
              <w:rPr>
                <w:rFonts w:ascii="宋体" w:hAnsi="宋体" w:eastAsia="宋体" w:cs="宋体"/>
                <w:color w:val="auto"/>
                <w:spacing w:val="4"/>
                <w:sz w:val="21"/>
                <w:szCs w:val="21"/>
                <w:highlight w:val="none"/>
              </w:rPr>
              <w:t>)</w:t>
            </w:r>
          </w:p>
        </w:tc>
        <w:tc>
          <w:tcPr>
            <w:tcW w:w="1982" w:type="dxa"/>
            <w:gridSpan w:val="2"/>
            <w:vAlign w:val="top"/>
          </w:tcPr>
          <w:p w14:paraId="6D0EA7AD">
            <w:pPr>
              <w:autoSpaceDE w:val="0"/>
              <w:autoSpaceDN w:val="0"/>
              <w:spacing w:before="97" w:line="221" w:lineRule="auto"/>
              <w:ind w:left="683"/>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1 </w:t>
            </w:r>
            <w:r>
              <w:rPr>
                <w:rFonts w:ascii="宋体" w:hAnsi="宋体" w:eastAsia="宋体" w:cs="宋体"/>
                <w:color w:val="auto"/>
                <w:spacing w:val="-10"/>
                <w:sz w:val="21"/>
                <w:szCs w:val="21"/>
                <w:highlight w:val="none"/>
              </w:rPr>
              <w:t>把</w:t>
            </w:r>
          </w:p>
        </w:tc>
        <w:tc>
          <w:tcPr>
            <w:tcW w:w="2130" w:type="dxa"/>
            <w:gridSpan w:val="2"/>
            <w:vAlign w:val="top"/>
          </w:tcPr>
          <w:p w14:paraId="1D165ED8">
            <w:pPr>
              <w:autoSpaceDE w:val="0"/>
              <w:autoSpaceDN w:val="0"/>
              <w:rPr>
                <w:rFonts w:ascii="Arial"/>
                <w:color w:val="auto"/>
                <w:sz w:val="21"/>
                <w:highlight w:val="none"/>
              </w:rPr>
            </w:pPr>
          </w:p>
        </w:tc>
      </w:tr>
      <w:tr w14:paraId="44ADC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8" w:type="dxa"/>
            <w:vAlign w:val="top"/>
          </w:tcPr>
          <w:p w14:paraId="2D72CD80">
            <w:pPr>
              <w:autoSpaceDE w:val="0"/>
              <w:autoSpaceDN w:val="0"/>
              <w:spacing w:before="125" w:line="187" w:lineRule="auto"/>
              <w:ind w:left="39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32</w:t>
            </w:r>
          </w:p>
        </w:tc>
        <w:tc>
          <w:tcPr>
            <w:tcW w:w="4109" w:type="dxa"/>
            <w:gridSpan w:val="2"/>
            <w:vAlign w:val="top"/>
          </w:tcPr>
          <w:p w14:paraId="43BF75D0">
            <w:pPr>
              <w:autoSpaceDE w:val="0"/>
              <w:autoSpaceDN w:val="0"/>
              <w:spacing w:before="94" w:line="221" w:lineRule="auto"/>
              <w:ind w:left="13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百分表、千</w:t>
            </w:r>
            <w:r>
              <w:rPr>
                <w:rFonts w:ascii="宋体" w:hAnsi="宋体" w:eastAsia="宋体" w:cs="宋体"/>
                <w:color w:val="auto"/>
                <w:spacing w:val="-1"/>
                <w:sz w:val="21"/>
                <w:szCs w:val="21"/>
                <w:highlight w:val="none"/>
              </w:rPr>
              <w:t>分表</w:t>
            </w:r>
          </w:p>
        </w:tc>
        <w:tc>
          <w:tcPr>
            <w:tcW w:w="1982" w:type="dxa"/>
            <w:gridSpan w:val="2"/>
            <w:vAlign w:val="top"/>
          </w:tcPr>
          <w:p w14:paraId="3E53D194">
            <w:pPr>
              <w:autoSpaceDE w:val="0"/>
              <w:autoSpaceDN w:val="0"/>
              <w:spacing w:before="94" w:line="221" w:lineRule="auto"/>
              <w:ind w:left="68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各</w:t>
            </w:r>
            <w:r>
              <w:rPr>
                <w:rFonts w:ascii="宋体" w:hAnsi="宋体" w:eastAsia="宋体" w:cs="宋体"/>
                <w:color w:val="auto"/>
                <w:spacing w:val="-8"/>
                <w:sz w:val="21"/>
                <w:szCs w:val="21"/>
                <w:highlight w:val="none"/>
              </w:rPr>
              <w:t xml:space="preserve"> </w:t>
            </w:r>
            <w:r>
              <w:rPr>
                <w:rFonts w:ascii="Times New Roman" w:hAnsi="Times New Roman" w:eastAsia="Times New Roman" w:cs="Times New Roman"/>
                <w:color w:val="auto"/>
                <w:spacing w:val="-8"/>
                <w:sz w:val="21"/>
                <w:szCs w:val="21"/>
                <w:highlight w:val="none"/>
              </w:rPr>
              <w:t xml:space="preserve">4 </w:t>
            </w:r>
            <w:r>
              <w:rPr>
                <w:rFonts w:ascii="宋体" w:hAnsi="宋体" w:eastAsia="宋体" w:cs="宋体"/>
                <w:color w:val="auto"/>
                <w:spacing w:val="-8"/>
                <w:sz w:val="21"/>
                <w:szCs w:val="21"/>
                <w:highlight w:val="none"/>
              </w:rPr>
              <w:t>只</w:t>
            </w:r>
          </w:p>
        </w:tc>
        <w:tc>
          <w:tcPr>
            <w:tcW w:w="2130" w:type="dxa"/>
            <w:gridSpan w:val="2"/>
            <w:vAlign w:val="top"/>
          </w:tcPr>
          <w:p w14:paraId="374BFA14">
            <w:pPr>
              <w:autoSpaceDE w:val="0"/>
              <w:autoSpaceDN w:val="0"/>
              <w:spacing w:before="86" w:line="236" w:lineRule="auto"/>
              <w:ind w:left="1033"/>
              <w:rPr>
                <w:rFonts w:ascii="宋体" w:hAnsi="宋体" w:eastAsia="宋体" w:cs="宋体"/>
                <w:color w:val="auto"/>
                <w:sz w:val="21"/>
                <w:szCs w:val="21"/>
                <w:highlight w:val="none"/>
              </w:rPr>
            </w:pPr>
            <w:r>
              <w:rPr>
                <w:rFonts w:ascii="宋体" w:hAnsi="宋体" w:eastAsia="宋体" w:cs="宋体"/>
                <w:color w:val="auto"/>
                <w:sz w:val="21"/>
                <w:szCs w:val="21"/>
                <w:highlight w:val="none"/>
              </w:rPr>
              <w:t>Ⅰ</w:t>
            </w:r>
          </w:p>
        </w:tc>
      </w:tr>
      <w:tr w14:paraId="3A38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98" w:type="dxa"/>
            <w:vAlign w:val="top"/>
          </w:tcPr>
          <w:p w14:paraId="5B8B1290">
            <w:pPr>
              <w:autoSpaceDE w:val="0"/>
              <w:autoSpaceDN w:val="0"/>
              <w:spacing w:before="125" w:line="187" w:lineRule="auto"/>
              <w:ind w:left="39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33</w:t>
            </w:r>
          </w:p>
        </w:tc>
        <w:tc>
          <w:tcPr>
            <w:tcW w:w="4109" w:type="dxa"/>
            <w:gridSpan w:val="2"/>
            <w:vAlign w:val="top"/>
          </w:tcPr>
          <w:p w14:paraId="517B20D6">
            <w:pPr>
              <w:autoSpaceDE w:val="0"/>
              <w:autoSpaceDN w:val="0"/>
              <w:spacing w:before="91" w:line="221" w:lineRule="auto"/>
              <w:ind w:left="184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磅</w:t>
            </w:r>
            <w:r>
              <w:rPr>
                <w:rFonts w:ascii="宋体" w:hAnsi="宋体" w:eastAsia="宋体" w:cs="宋体"/>
                <w:color w:val="auto"/>
                <w:spacing w:val="-1"/>
                <w:sz w:val="21"/>
                <w:szCs w:val="21"/>
                <w:highlight w:val="none"/>
              </w:rPr>
              <w:t>秤</w:t>
            </w:r>
          </w:p>
        </w:tc>
        <w:tc>
          <w:tcPr>
            <w:tcW w:w="1982" w:type="dxa"/>
            <w:gridSpan w:val="2"/>
            <w:vAlign w:val="top"/>
          </w:tcPr>
          <w:p w14:paraId="432CFA5B">
            <w:pPr>
              <w:autoSpaceDE w:val="0"/>
              <w:autoSpaceDN w:val="0"/>
              <w:spacing w:before="91" w:line="223" w:lineRule="auto"/>
              <w:ind w:left="82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2130" w:type="dxa"/>
            <w:gridSpan w:val="2"/>
            <w:vAlign w:val="top"/>
          </w:tcPr>
          <w:p w14:paraId="77744AFC">
            <w:pPr>
              <w:autoSpaceDE w:val="0"/>
              <w:autoSpaceDN w:val="0"/>
              <w:spacing w:before="121" w:line="191" w:lineRule="auto"/>
              <w:ind w:left="82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3"/>
                <w:sz w:val="21"/>
                <w:szCs w:val="21"/>
                <w:highlight w:val="none"/>
              </w:rPr>
              <w:t>00kg</w:t>
            </w:r>
          </w:p>
        </w:tc>
      </w:tr>
      <w:tr w14:paraId="08D4C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19" w:type="dxa"/>
            <w:gridSpan w:val="7"/>
            <w:vAlign w:val="top"/>
          </w:tcPr>
          <w:p w14:paraId="45BD8CEB">
            <w:pPr>
              <w:autoSpaceDE w:val="0"/>
              <w:autoSpaceDN w:val="0"/>
              <w:spacing w:before="91" w:line="221" w:lineRule="auto"/>
              <w:ind w:left="324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二</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、土工及软基处理仪器设备</w:t>
            </w:r>
          </w:p>
        </w:tc>
      </w:tr>
      <w:tr w14:paraId="6290E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686" w:type="dxa"/>
            <w:gridSpan w:val="2"/>
            <w:vAlign w:val="top"/>
          </w:tcPr>
          <w:p w14:paraId="05E5BDFA">
            <w:pPr>
              <w:autoSpaceDE w:val="0"/>
              <w:autoSpaceDN w:val="0"/>
              <w:spacing w:before="169"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34</w:t>
            </w:r>
          </w:p>
        </w:tc>
        <w:tc>
          <w:tcPr>
            <w:tcW w:w="4203" w:type="dxa"/>
            <w:gridSpan w:val="2"/>
            <w:vAlign w:val="top"/>
          </w:tcPr>
          <w:p w14:paraId="6416D522">
            <w:pPr>
              <w:autoSpaceDE w:val="0"/>
              <w:autoSpaceDN w:val="0"/>
              <w:spacing w:before="135" w:line="221" w:lineRule="auto"/>
              <w:ind w:left="137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无侧限抗压试模</w:t>
            </w:r>
          </w:p>
        </w:tc>
        <w:tc>
          <w:tcPr>
            <w:tcW w:w="1490" w:type="dxa"/>
            <w:gridSpan w:val="2"/>
            <w:vAlign w:val="top"/>
          </w:tcPr>
          <w:p w14:paraId="47BDEA43">
            <w:pPr>
              <w:autoSpaceDE w:val="0"/>
              <w:autoSpaceDN w:val="0"/>
              <w:spacing w:before="169" w:line="187" w:lineRule="auto"/>
              <w:ind w:left="6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28</w:t>
            </w:r>
          </w:p>
        </w:tc>
        <w:tc>
          <w:tcPr>
            <w:tcW w:w="1840" w:type="dxa"/>
            <w:vAlign w:val="top"/>
          </w:tcPr>
          <w:p w14:paraId="4E7137CE">
            <w:pPr>
              <w:autoSpaceDE w:val="0"/>
              <w:autoSpaceDN w:val="0"/>
              <w:spacing w:before="44" w:line="221" w:lineRule="auto"/>
              <w:ind w:left="836" w:right="159" w:hanging="66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Ф150</w:t>
            </w:r>
            <w:r>
              <w:rPr>
                <w:rFonts w:ascii="Times New Roman" w:hAnsi="Times New Roman" w:eastAsia="Times New Roman" w:cs="Times New Roman"/>
                <w:color w:val="auto"/>
                <w:sz w:val="21"/>
                <w:szCs w:val="21"/>
                <w:highlight w:val="none"/>
              </w:rPr>
              <w:t>×150×150m m</w:t>
            </w:r>
          </w:p>
        </w:tc>
      </w:tr>
      <w:tr w14:paraId="17C77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686" w:type="dxa"/>
            <w:gridSpan w:val="2"/>
            <w:vAlign w:val="top"/>
          </w:tcPr>
          <w:p w14:paraId="5B82AB0A">
            <w:pPr>
              <w:autoSpaceDE w:val="0"/>
              <w:autoSpaceDN w:val="0"/>
              <w:spacing w:before="167"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35</w:t>
            </w:r>
          </w:p>
        </w:tc>
        <w:tc>
          <w:tcPr>
            <w:tcW w:w="4203" w:type="dxa"/>
            <w:gridSpan w:val="2"/>
            <w:vAlign w:val="top"/>
          </w:tcPr>
          <w:p w14:paraId="4E7CDD14">
            <w:pPr>
              <w:autoSpaceDE w:val="0"/>
              <w:autoSpaceDN w:val="0"/>
              <w:spacing w:before="135" w:line="221" w:lineRule="auto"/>
              <w:ind w:left="137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无侧限抗压试模</w:t>
            </w:r>
          </w:p>
        </w:tc>
        <w:tc>
          <w:tcPr>
            <w:tcW w:w="1490" w:type="dxa"/>
            <w:gridSpan w:val="2"/>
            <w:vAlign w:val="top"/>
          </w:tcPr>
          <w:p w14:paraId="78C2152C">
            <w:pPr>
              <w:autoSpaceDE w:val="0"/>
              <w:autoSpaceDN w:val="0"/>
              <w:spacing w:before="167" w:line="187" w:lineRule="auto"/>
              <w:ind w:left="66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18</w:t>
            </w:r>
          </w:p>
        </w:tc>
        <w:tc>
          <w:tcPr>
            <w:tcW w:w="1840" w:type="dxa"/>
            <w:vAlign w:val="top"/>
          </w:tcPr>
          <w:p w14:paraId="062F8525">
            <w:pPr>
              <w:autoSpaceDE w:val="0"/>
              <w:autoSpaceDN w:val="0"/>
              <w:spacing w:before="44" w:line="220" w:lineRule="auto"/>
              <w:ind w:left="836" w:right="159" w:hanging="66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Ф100</w:t>
            </w:r>
            <w:r>
              <w:rPr>
                <w:rFonts w:ascii="Times New Roman" w:hAnsi="Times New Roman" w:eastAsia="Times New Roman" w:cs="Times New Roman"/>
                <w:color w:val="auto"/>
                <w:sz w:val="21"/>
                <w:szCs w:val="21"/>
                <w:highlight w:val="none"/>
              </w:rPr>
              <w:t>×100×100m m</w:t>
            </w:r>
          </w:p>
        </w:tc>
      </w:tr>
      <w:tr w14:paraId="04355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67CE23BE">
            <w:pPr>
              <w:autoSpaceDE w:val="0"/>
              <w:autoSpaceDN w:val="0"/>
              <w:spacing w:before="126"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36</w:t>
            </w:r>
          </w:p>
        </w:tc>
        <w:tc>
          <w:tcPr>
            <w:tcW w:w="4203" w:type="dxa"/>
            <w:gridSpan w:val="2"/>
            <w:vAlign w:val="top"/>
          </w:tcPr>
          <w:p w14:paraId="031856F3">
            <w:pPr>
              <w:autoSpaceDE w:val="0"/>
              <w:autoSpaceDN w:val="0"/>
              <w:spacing w:before="92" w:line="221" w:lineRule="auto"/>
              <w:ind w:left="137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无侧限抗压试模</w:t>
            </w:r>
          </w:p>
        </w:tc>
        <w:tc>
          <w:tcPr>
            <w:tcW w:w="1490" w:type="dxa"/>
            <w:gridSpan w:val="2"/>
            <w:vAlign w:val="top"/>
          </w:tcPr>
          <w:p w14:paraId="4D9D3CEF">
            <w:pPr>
              <w:autoSpaceDE w:val="0"/>
              <w:autoSpaceDN w:val="0"/>
              <w:spacing w:before="126" w:line="187" w:lineRule="auto"/>
              <w:ind w:left="66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sz w:val="21"/>
                <w:szCs w:val="21"/>
                <w:highlight w:val="none"/>
              </w:rPr>
              <w:t>13</w:t>
            </w:r>
          </w:p>
        </w:tc>
        <w:tc>
          <w:tcPr>
            <w:tcW w:w="1840" w:type="dxa"/>
            <w:vAlign w:val="top"/>
          </w:tcPr>
          <w:p w14:paraId="48067357">
            <w:pPr>
              <w:autoSpaceDE w:val="0"/>
              <w:autoSpaceDN w:val="0"/>
              <w:spacing w:before="122" w:line="234" w:lineRule="auto"/>
              <w:ind w:left="24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Ф50×50</w:t>
            </w:r>
            <w:r>
              <w:rPr>
                <w:rFonts w:ascii="Times New Roman" w:hAnsi="Times New Roman" w:eastAsia="Times New Roman" w:cs="Times New Roman"/>
                <w:color w:val="auto"/>
                <w:sz w:val="21"/>
                <w:szCs w:val="21"/>
                <w:highlight w:val="none"/>
              </w:rPr>
              <w:t>×50mm</w:t>
            </w:r>
          </w:p>
        </w:tc>
      </w:tr>
      <w:tr w14:paraId="078B0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1C0CD4E7">
            <w:pPr>
              <w:autoSpaceDE w:val="0"/>
              <w:autoSpaceDN w:val="0"/>
              <w:spacing w:before="124"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37</w:t>
            </w:r>
          </w:p>
        </w:tc>
        <w:tc>
          <w:tcPr>
            <w:tcW w:w="4203" w:type="dxa"/>
            <w:gridSpan w:val="2"/>
            <w:vAlign w:val="top"/>
          </w:tcPr>
          <w:p w14:paraId="0357277E">
            <w:pPr>
              <w:autoSpaceDE w:val="0"/>
              <w:autoSpaceDN w:val="0"/>
              <w:spacing w:before="92" w:line="220" w:lineRule="auto"/>
              <w:ind w:left="127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多功能自动脱模</w:t>
            </w:r>
            <w:r>
              <w:rPr>
                <w:rFonts w:ascii="宋体" w:hAnsi="宋体" w:eastAsia="宋体" w:cs="宋体"/>
                <w:color w:val="auto"/>
                <w:spacing w:val="-1"/>
                <w:sz w:val="21"/>
                <w:szCs w:val="21"/>
                <w:highlight w:val="none"/>
              </w:rPr>
              <w:t>机</w:t>
            </w:r>
          </w:p>
        </w:tc>
        <w:tc>
          <w:tcPr>
            <w:tcW w:w="1490" w:type="dxa"/>
            <w:gridSpan w:val="2"/>
            <w:vAlign w:val="top"/>
          </w:tcPr>
          <w:p w14:paraId="2EAC44BD">
            <w:pPr>
              <w:autoSpaceDE w:val="0"/>
              <w:autoSpaceDN w:val="0"/>
              <w:spacing w:before="92"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12A559B5">
            <w:pPr>
              <w:autoSpaceDE w:val="0"/>
              <w:autoSpaceDN w:val="0"/>
              <w:rPr>
                <w:rFonts w:ascii="Arial"/>
                <w:color w:val="auto"/>
                <w:sz w:val="21"/>
                <w:highlight w:val="none"/>
              </w:rPr>
            </w:pPr>
          </w:p>
        </w:tc>
      </w:tr>
      <w:tr w14:paraId="2F001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6BB5AE7D">
            <w:pPr>
              <w:autoSpaceDE w:val="0"/>
              <w:autoSpaceDN w:val="0"/>
              <w:spacing w:before="127"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38</w:t>
            </w:r>
          </w:p>
        </w:tc>
        <w:tc>
          <w:tcPr>
            <w:tcW w:w="4203" w:type="dxa"/>
            <w:gridSpan w:val="2"/>
            <w:vAlign w:val="top"/>
          </w:tcPr>
          <w:p w14:paraId="51DF7F6A">
            <w:pPr>
              <w:autoSpaceDE w:val="0"/>
              <w:autoSpaceDN w:val="0"/>
              <w:spacing w:before="93" w:line="221" w:lineRule="auto"/>
              <w:ind w:left="17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微</w:t>
            </w:r>
            <w:r>
              <w:rPr>
                <w:rFonts w:ascii="宋体" w:hAnsi="宋体" w:eastAsia="宋体" w:cs="宋体"/>
                <w:color w:val="auto"/>
                <w:spacing w:val="-1"/>
                <w:sz w:val="21"/>
                <w:szCs w:val="21"/>
                <w:highlight w:val="none"/>
              </w:rPr>
              <w:t>波炉</w:t>
            </w:r>
          </w:p>
        </w:tc>
        <w:tc>
          <w:tcPr>
            <w:tcW w:w="1490" w:type="dxa"/>
            <w:gridSpan w:val="2"/>
            <w:vAlign w:val="top"/>
          </w:tcPr>
          <w:p w14:paraId="72BA0A1A">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817954C">
            <w:pPr>
              <w:autoSpaceDE w:val="0"/>
              <w:autoSpaceDN w:val="0"/>
              <w:rPr>
                <w:rFonts w:ascii="Arial"/>
                <w:color w:val="auto"/>
                <w:sz w:val="21"/>
                <w:highlight w:val="none"/>
              </w:rPr>
            </w:pPr>
          </w:p>
        </w:tc>
      </w:tr>
      <w:tr w14:paraId="3D4AB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0D17A2CB">
            <w:pPr>
              <w:autoSpaceDE w:val="0"/>
              <w:autoSpaceDN w:val="0"/>
              <w:spacing w:before="125"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39</w:t>
            </w:r>
          </w:p>
        </w:tc>
        <w:tc>
          <w:tcPr>
            <w:tcW w:w="4203" w:type="dxa"/>
            <w:gridSpan w:val="2"/>
            <w:vAlign w:val="top"/>
          </w:tcPr>
          <w:p w14:paraId="74775102">
            <w:pPr>
              <w:autoSpaceDE w:val="0"/>
              <w:autoSpaceDN w:val="0"/>
              <w:spacing w:before="93" w:line="221" w:lineRule="auto"/>
              <w:ind w:left="95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光电式液塑限联</w:t>
            </w:r>
            <w:r>
              <w:rPr>
                <w:rFonts w:ascii="宋体" w:hAnsi="宋体" w:eastAsia="宋体" w:cs="宋体"/>
                <w:color w:val="auto"/>
                <w:sz w:val="21"/>
                <w:szCs w:val="21"/>
                <w:highlight w:val="none"/>
              </w:rPr>
              <w:t>合测定仪</w:t>
            </w:r>
          </w:p>
        </w:tc>
        <w:tc>
          <w:tcPr>
            <w:tcW w:w="1490" w:type="dxa"/>
            <w:gridSpan w:val="2"/>
            <w:vAlign w:val="top"/>
          </w:tcPr>
          <w:p w14:paraId="399C9CAC">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5128C0B1">
            <w:pPr>
              <w:autoSpaceDE w:val="0"/>
              <w:autoSpaceDN w:val="0"/>
              <w:rPr>
                <w:rFonts w:ascii="Arial"/>
                <w:color w:val="auto"/>
                <w:sz w:val="21"/>
                <w:highlight w:val="none"/>
              </w:rPr>
            </w:pPr>
          </w:p>
        </w:tc>
      </w:tr>
      <w:tr w14:paraId="61838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2B4647C1">
            <w:pPr>
              <w:autoSpaceDE w:val="0"/>
              <w:autoSpaceDN w:val="0"/>
              <w:spacing w:before="128"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40</w:t>
            </w:r>
          </w:p>
        </w:tc>
        <w:tc>
          <w:tcPr>
            <w:tcW w:w="4203" w:type="dxa"/>
            <w:gridSpan w:val="2"/>
            <w:vAlign w:val="top"/>
          </w:tcPr>
          <w:p w14:paraId="24555FCC">
            <w:pPr>
              <w:autoSpaceDE w:val="0"/>
              <w:autoSpaceDN w:val="0"/>
              <w:spacing w:before="94" w:line="221" w:lineRule="auto"/>
              <w:ind w:left="160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电动击实仪</w:t>
            </w:r>
          </w:p>
        </w:tc>
        <w:tc>
          <w:tcPr>
            <w:tcW w:w="1490" w:type="dxa"/>
            <w:gridSpan w:val="2"/>
            <w:vAlign w:val="top"/>
          </w:tcPr>
          <w:p w14:paraId="0D5D4509">
            <w:pPr>
              <w:autoSpaceDE w:val="0"/>
              <w:autoSpaceDN w:val="0"/>
              <w:spacing w:before="94" w:line="223" w:lineRule="auto"/>
              <w:ind w:left="353"/>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2 </w:t>
            </w:r>
            <w:r>
              <w:rPr>
                <w:rFonts w:ascii="宋体" w:hAnsi="宋体" w:eastAsia="宋体" w:cs="宋体"/>
                <w:color w:val="auto"/>
                <w:sz w:val="21"/>
                <w:szCs w:val="21"/>
                <w:highlight w:val="none"/>
              </w:rPr>
              <w:t>台以上</w:t>
            </w:r>
          </w:p>
        </w:tc>
        <w:tc>
          <w:tcPr>
            <w:tcW w:w="1840" w:type="dxa"/>
            <w:vAlign w:val="top"/>
          </w:tcPr>
          <w:p w14:paraId="67FE3174">
            <w:pPr>
              <w:autoSpaceDE w:val="0"/>
              <w:autoSpaceDN w:val="0"/>
              <w:rPr>
                <w:rFonts w:ascii="Arial"/>
                <w:color w:val="auto"/>
                <w:sz w:val="21"/>
                <w:highlight w:val="none"/>
              </w:rPr>
            </w:pPr>
          </w:p>
        </w:tc>
      </w:tr>
      <w:tr w14:paraId="2BE6E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gridSpan w:val="2"/>
            <w:vAlign w:val="top"/>
          </w:tcPr>
          <w:p w14:paraId="46FF82B7">
            <w:pPr>
              <w:autoSpaceDE w:val="0"/>
              <w:autoSpaceDN w:val="0"/>
              <w:spacing w:before="126"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41</w:t>
            </w:r>
          </w:p>
        </w:tc>
        <w:tc>
          <w:tcPr>
            <w:tcW w:w="4203" w:type="dxa"/>
            <w:gridSpan w:val="2"/>
            <w:vAlign w:val="top"/>
          </w:tcPr>
          <w:p w14:paraId="008FAAD2">
            <w:pPr>
              <w:autoSpaceDE w:val="0"/>
              <w:autoSpaceDN w:val="0"/>
              <w:spacing w:before="95" w:line="234" w:lineRule="auto"/>
              <w:ind w:left="39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标准击实仪</w:t>
            </w:r>
            <w:r>
              <w:rPr>
                <w:rFonts w:ascii="宋体" w:hAnsi="宋体" w:eastAsia="宋体" w:cs="宋体"/>
                <w:color w:val="auto"/>
                <w:sz w:val="21"/>
                <w:szCs w:val="21"/>
                <w:highlight w:val="none"/>
              </w:rPr>
              <w:t>(</w:t>
            </w:r>
            <w:r>
              <w:rPr>
                <w:rFonts w:ascii="Times New Roman" w:hAnsi="Times New Roman" w:eastAsia="Times New Roman" w:cs="Times New Roman"/>
                <w:color w:val="auto"/>
                <w:sz w:val="21"/>
                <w:szCs w:val="21"/>
                <w:highlight w:val="none"/>
              </w:rPr>
              <w:t xml:space="preserve">Ф100 </w:t>
            </w:r>
            <w:r>
              <w:rPr>
                <w:rFonts w:ascii="宋体" w:hAnsi="宋体" w:eastAsia="宋体" w:cs="宋体"/>
                <w:color w:val="auto"/>
                <w:sz w:val="21"/>
                <w:szCs w:val="21"/>
                <w:highlight w:val="none"/>
              </w:rPr>
              <w:t>、</w:t>
            </w:r>
            <w:r>
              <w:rPr>
                <w:rFonts w:ascii="Times New Roman" w:hAnsi="Times New Roman" w:eastAsia="Times New Roman" w:cs="Times New Roman"/>
                <w:color w:val="auto"/>
                <w:sz w:val="21"/>
                <w:szCs w:val="21"/>
                <w:highlight w:val="none"/>
              </w:rPr>
              <w:t xml:space="preserve">Ф150 </w:t>
            </w:r>
            <w:r>
              <w:rPr>
                <w:rFonts w:ascii="宋体" w:hAnsi="宋体" w:eastAsia="宋体" w:cs="宋体"/>
                <w:color w:val="auto"/>
                <w:sz w:val="21"/>
                <w:szCs w:val="21"/>
                <w:highlight w:val="none"/>
              </w:rPr>
              <w:t xml:space="preserve">筒 </w:t>
            </w:r>
            <w:r>
              <w:rPr>
                <w:rFonts w:ascii="Times New Roman" w:hAnsi="Times New Roman" w:eastAsia="Times New Roman" w:cs="Times New Roman"/>
                <w:color w:val="auto"/>
                <w:sz w:val="21"/>
                <w:szCs w:val="21"/>
                <w:highlight w:val="none"/>
              </w:rPr>
              <w:t>4.5kg</w:t>
            </w:r>
            <w:r>
              <w:rPr>
                <w:rFonts w:ascii="宋体" w:hAnsi="宋体" w:eastAsia="宋体" w:cs="宋体"/>
                <w:color w:val="auto"/>
                <w:sz w:val="21"/>
                <w:szCs w:val="21"/>
                <w:highlight w:val="none"/>
              </w:rPr>
              <w:t>)</w:t>
            </w:r>
          </w:p>
        </w:tc>
        <w:tc>
          <w:tcPr>
            <w:tcW w:w="1490" w:type="dxa"/>
            <w:gridSpan w:val="2"/>
            <w:vAlign w:val="top"/>
          </w:tcPr>
          <w:p w14:paraId="44861932">
            <w:pPr>
              <w:autoSpaceDE w:val="0"/>
              <w:autoSpaceDN w:val="0"/>
              <w:spacing w:before="94" w:line="221" w:lineRule="auto"/>
              <w:ind w:left="43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1 </w:t>
            </w:r>
            <w:r>
              <w:rPr>
                <w:rFonts w:ascii="宋体" w:hAnsi="宋体" w:eastAsia="宋体" w:cs="宋体"/>
                <w:color w:val="auto"/>
                <w:spacing w:val="-10"/>
                <w:sz w:val="21"/>
                <w:szCs w:val="21"/>
                <w:highlight w:val="none"/>
              </w:rPr>
              <w:t>套</w:t>
            </w:r>
          </w:p>
        </w:tc>
        <w:tc>
          <w:tcPr>
            <w:tcW w:w="1840" w:type="dxa"/>
            <w:vAlign w:val="top"/>
          </w:tcPr>
          <w:p w14:paraId="1F9B60C5">
            <w:pPr>
              <w:autoSpaceDE w:val="0"/>
              <w:autoSpaceDN w:val="0"/>
              <w:rPr>
                <w:rFonts w:ascii="Arial"/>
                <w:color w:val="auto"/>
                <w:sz w:val="21"/>
                <w:highlight w:val="none"/>
              </w:rPr>
            </w:pPr>
          </w:p>
        </w:tc>
      </w:tr>
      <w:tr w14:paraId="61915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6E2AAD4C">
            <w:pPr>
              <w:autoSpaceDE w:val="0"/>
              <w:autoSpaceDN w:val="0"/>
              <w:spacing w:before="128"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42</w:t>
            </w:r>
          </w:p>
        </w:tc>
        <w:tc>
          <w:tcPr>
            <w:tcW w:w="4203" w:type="dxa"/>
            <w:gridSpan w:val="2"/>
            <w:vAlign w:val="top"/>
          </w:tcPr>
          <w:p w14:paraId="76555483">
            <w:pPr>
              <w:autoSpaceDE w:val="0"/>
              <w:autoSpaceDN w:val="0"/>
              <w:spacing w:before="96" w:line="221" w:lineRule="auto"/>
              <w:ind w:left="17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7"/>
                <w:sz w:val="21"/>
                <w:szCs w:val="21"/>
                <w:highlight w:val="none"/>
              </w:rPr>
              <w:t>子天平</w:t>
            </w:r>
          </w:p>
        </w:tc>
        <w:tc>
          <w:tcPr>
            <w:tcW w:w="1490" w:type="dxa"/>
            <w:gridSpan w:val="2"/>
            <w:vAlign w:val="top"/>
          </w:tcPr>
          <w:p w14:paraId="4EFA14DF">
            <w:pPr>
              <w:autoSpaceDE w:val="0"/>
              <w:autoSpaceDN w:val="0"/>
              <w:spacing w:before="96" w:line="223" w:lineRule="auto"/>
              <w:ind w:left="564"/>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 xml:space="preserve">2 </w:t>
            </w:r>
            <w:r>
              <w:rPr>
                <w:rFonts w:ascii="宋体" w:hAnsi="宋体" w:eastAsia="宋体" w:cs="宋体"/>
                <w:color w:val="auto"/>
                <w:spacing w:val="7"/>
                <w:sz w:val="21"/>
                <w:szCs w:val="21"/>
                <w:highlight w:val="none"/>
              </w:rPr>
              <w:t>台</w:t>
            </w:r>
          </w:p>
        </w:tc>
        <w:tc>
          <w:tcPr>
            <w:tcW w:w="1840" w:type="dxa"/>
            <w:vAlign w:val="top"/>
          </w:tcPr>
          <w:p w14:paraId="6F756050">
            <w:pPr>
              <w:autoSpaceDE w:val="0"/>
              <w:autoSpaceDN w:val="0"/>
              <w:spacing w:before="124" w:line="191" w:lineRule="auto"/>
              <w:ind w:left="5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2</w:t>
            </w:r>
            <w:r>
              <w:rPr>
                <w:rFonts w:ascii="Times New Roman" w:hAnsi="Times New Roman" w:eastAsia="Times New Roman" w:cs="Times New Roman"/>
                <w:color w:val="auto"/>
                <w:spacing w:val="-4"/>
                <w:sz w:val="21"/>
                <w:szCs w:val="21"/>
                <w:highlight w:val="none"/>
              </w:rPr>
              <w:t>000/0. 1g</w:t>
            </w:r>
          </w:p>
        </w:tc>
      </w:tr>
      <w:tr w14:paraId="7FACB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7E8A8F08">
            <w:pPr>
              <w:autoSpaceDE w:val="0"/>
              <w:autoSpaceDN w:val="0"/>
              <w:spacing w:before="127"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43</w:t>
            </w:r>
          </w:p>
        </w:tc>
        <w:tc>
          <w:tcPr>
            <w:tcW w:w="4203" w:type="dxa"/>
            <w:gridSpan w:val="2"/>
            <w:vAlign w:val="top"/>
          </w:tcPr>
          <w:p w14:paraId="61B1E981">
            <w:pPr>
              <w:autoSpaceDE w:val="0"/>
              <w:autoSpaceDN w:val="0"/>
              <w:spacing w:before="94" w:line="221" w:lineRule="auto"/>
              <w:ind w:left="17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7"/>
                <w:sz w:val="21"/>
                <w:szCs w:val="21"/>
                <w:highlight w:val="none"/>
              </w:rPr>
              <w:t>子天平</w:t>
            </w:r>
          </w:p>
        </w:tc>
        <w:tc>
          <w:tcPr>
            <w:tcW w:w="1490" w:type="dxa"/>
            <w:gridSpan w:val="2"/>
            <w:vAlign w:val="top"/>
          </w:tcPr>
          <w:p w14:paraId="337F4F9B">
            <w:pPr>
              <w:autoSpaceDE w:val="0"/>
              <w:autoSpaceDN w:val="0"/>
              <w:spacing w:before="93" w:line="223" w:lineRule="auto"/>
              <w:ind w:left="564"/>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 xml:space="preserve">2 </w:t>
            </w:r>
            <w:r>
              <w:rPr>
                <w:rFonts w:ascii="宋体" w:hAnsi="宋体" w:eastAsia="宋体" w:cs="宋体"/>
                <w:color w:val="auto"/>
                <w:spacing w:val="7"/>
                <w:sz w:val="21"/>
                <w:szCs w:val="21"/>
                <w:highlight w:val="none"/>
              </w:rPr>
              <w:t>台</w:t>
            </w:r>
          </w:p>
        </w:tc>
        <w:tc>
          <w:tcPr>
            <w:tcW w:w="1840" w:type="dxa"/>
            <w:vAlign w:val="top"/>
          </w:tcPr>
          <w:p w14:paraId="52E5B94E">
            <w:pPr>
              <w:autoSpaceDE w:val="0"/>
              <w:autoSpaceDN w:val="0"/>
              <w:spacing w:before="124" w:line="233" w:lineRule="auto"/>
              <w:ind w:left="57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1</w:t>
            </w:r>
            <w:r>
              <w:rPr>
                <w:rFonts w:ascii="Times New Roman" w:hAnsi="Times New Roman" w:eastAsia="Times New Roman" w:cs="Times New Roman"/>
                <w:color w:val="auto"/>
                <w:spacing w:val="-2"/>
                <w:sz w:val="21"/>
                <w:szCs w:val="21"/>
                <w:highlight w:val="none"/>
              </w:rPr>
              <w:t>200/0.01g</w:t>
            </w:r>
          </w:p>
        </w:tc>
      </w:tr>
      <w:tr w14:paraId="3F219C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1337B8C3">
            <w:pPr>
              <w:autoSpaceDE w:val="0"/>
              <w:autoSpaceDN w:val="0"/>
              <w:spacing w:before="125"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44</w:t>
            </w:r>
          </w:p>
        </w:tc>
        <w:tc>
          <w:tcPr>
            <w:tcW w:w="4203" w:type="dxa"/>
            <w:gridSpan w:val="2"/>
            <w:vAlign w:val="top"/>
          </w:tcPr>
          <w:p w14:paraId="032D64EF">
            <w:pPr>
              <w:autoSpaceDE w:val="0"/>
              <w:autoSpaceDN w:val="0"/>
              <w:spacing w:before="94" w:line="221" w:lineRule="auto"/>
              <w:ind w:left="17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电</w:t>
            </w:r>
            <w:r>
              <w:rPr>
                <w:rFonts w:ascii="宋体" w:hAnsi="宋体" w:eastAsia="宋体" w:cs="宋体"/>
                <w:color w:val="auto"/>
                <w:spacing w:val="-7"/>
                <w:sz w:val="21"/>
                <w:szCs w:val="21"/>
                <w:highlight w:val="none"/>
              </w:rPr>
              <w:t>子天平</w:t>
            </w:r>
          </w:p>
        </w:tc>
        <w:tc>
          <w:tcPr>
            <w:tcW w:w="1490" w:type="dxa"/>
            <w:gridSpan w:val="2"/>
            <w:vAlign w:val="top"/>
          </w:tcPr>
          <w:p w14:paraId="1961E161">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7660EA16">
            <w:pPr>
              <w:autoSpaceDE w:val="0"/>
              <w:autoSpaceDN w:val="0"/>
              <w:spacing w:before="121" w:line="191" w:lineRule="auto"/>
              <w:ind w:left="6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0kg/1g</w:t>
            </w:r>
          </w:p>
        </w:tc>
      </w:tr>
      <w:tr w14:paraId="33B3B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0861BE66">
            <w:pPr>
              <w:autoSpaceDE w:val="0"/>
              <w:autoSpaceDN w:val="0"/>
              <w:spacing w:before="128"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45</w:t>
            </w:r>
          </w:p>
        </w:tc>
        <w:tc>
          <w:tcPr>
            <w:tcW w:w="4203" w:type="dxa"/>
            <w:gridSpan w:val="2"/>
            <w:vAlign w:val="top"/>
          </w:tcPr>
          <w:p w14:paraId="5D85A939">
            <w:pPr>
              <w:autoSpaceDE w:val="0"/>
              <w:autoSpaceDN w:val="0"/>
              <w:spacing w:before="94" w:line="221" w:lineRule="auto"/>
              <w:ind w:left="179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灌砂</w:t>
            </w:r>
            <w:r>
              <w:rPr>
                <w:rFonts w:ascii="宋体" w:hAnsi="宋体" w:eastAsia="宋体" w:cs="宋体"/>
                <w:color w:val="auto"/>
                <w:spacing w:val="-1"/>
                <w:sz w:val="21"/>
                <w:szCs w:val="21"/>
                <w:highlight w:val="none"/>
              </w:rPr>
              <w:t>筒</w:t>
            </w:r>
          </w:p>
        </w:tc>
        <w:tc>
          <w:tcPr>
            <w:tcW w:w="1490" w:type="dxa"/>
            <w:gridSpan w:val="2"/>
            <w:vAlign w:val="top"/>
          </w:tcPr>
          <w:p w14:paraId="1A42B835">
            <w:pPr>
              <w:autoSpaceDE w:val="0"/>
              <w:autoSpaceDN w:val="0"/>
              <w:spacing w:before="95" w:line="221" w:lineRule="auto"/>
              <w:ind w:left="56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2 </w:t>
            </w:r>
            <w:r>
              <w:rPr>
                <w:rFonts w:ascii="宋体" w:hAnsi="宋体" w:eastAsia="宋体" w:cs="宋体"/>
                <w:color w:val="auto"/>
                <w:spacing w:val="1"/>
                <w:sz w:val="21"/>
                <w:szCs w:val="21"/>
                <w:highlight w:val="none"/>
              </w:rPr>
              <w:t>套</w:t>
            </w:r>
          </w:p>
        </w:tc>
        <w:tc>
          <w:tcPr>
            <w:tcW w:w="1840" w:type="dxa"/>
            <w:vAlign w:val="top"/>
          </w:tcPr>
          <w:p w14:paraId="66E6C456">
            <w:pPr>
              <w:autoSpaceDE w:val="0"/>
              <w:autoSpaceDN w:val="0"/>
              <w:spacing w:before="124" w:line="234" w:lineRule="auto"/>
              <w:ind w:left="52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Ф150mm</w:t>
            </w:r>
          </w:p>
        </w:tc>
      </w:tr>
      <w:tr w14:paraId="160C7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gridSpan w:val="2"/>
            <w:vAlign w:val="top"/>
          </w:tcPr>
          <w:p w14:paraId="08B3FF1C">
            <w:pPr>
              <w:autoSpaceDE w:val="0"/>
              <w:autoSpaceDN w:val="0"/>
              <w:spacing w:before="126"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46</w:t>
            </w:r>
          </w:p>
        </w:tc>
        <w:tc>
          <w:tcPr>
            <w:tcW w:w="4203" w:type="dxa"/>
            <w:gridSpan w:val="2"/>
            <w:vAlign w:val="top"/>
          </w:tcPr>
          <w:p w14:paraId="16DDEE6C">
            <w:pPr>
              <w:autoSpaceDE w:val="0"/>
              <w:autoSpaceDN w:val="0"/>
              <w:spacing w:before="94" w:line="221" w:lineRule="auto"/>
              <w:ind w:left="58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室</w:t>
            </w:r>
            <w:r>
              <w:rPr>
                <w:rFonts w:ascii="宋体" w:hAnsi="宋体" w:eastAsia="宋体" w:cs="宋体"/>
                <w:color w:val="auto"/>
                <w:spacing w:val="-8"/>
                <w:sz w:val="21"/>
                <w:szCs w:val="21"/>
                <w:highlight w:val="none"/>
              </w:rPr>
              <w:t>内</w:t>
            </w:r>
            <w:r>
              <w:rPr>
                <w:rFonts w:ascii="宋体" w:hAnsi="宋体" w:eastAsia="宋体" w:cs="宋体"/>
                <w:color w:val="auto"/>
                <w:spacing w:val="-5"/>
                <w:sz w:val="21"/>
                <w:szCs w:val="21"/>
                <w:highlight w:val="none"/>
              </w:rPr>
              <w:t xml:space="preserve"> </w:t>
            </w:r>
            <w:r>
              <w:rPr>
                <w:rFonts w:ascii="Times New Roman" w:hAnsi="Times New Roman" w:eastAsia="Times New Roman" w:cs="Times New Roman"/>
                <w:color w:val="auto"/>
                <w:spacing w:val="-5"/>
                <w:sz w:val="21"/>
                <w:szCs w:val="21"/>
                <w:highlight w:val="none"/>
              </w:rPr>
              <w:t xml:space="preserve">CBR </w:t>
            </w:r>
            <w:r>
              <w:rPr>
                <w:rFonts w:ascii="宋体" w:hAnsi="宋体" w:eastAsia="宋体" w:cs="宋体"/>
                <w:color w:val="auto"/>
                <w:spacing w:val="-5"/>
                <w:sz w:val="21"/>
                <w:szCs w:val="21"/>
                <w:highlight w:val="none"/>
              </w:rPr>
              <w:t>测试仪、膨胀仪配件，</w:t>
            </w:r>
          </w:p>
        </w:tc>
        <w:tc>
          <w:tcPr>
            <w:tcW w:w="1490" w:type="dxa"/>
            <w:gridSpan w:val="2"/>
            <w:vAlign w:val="top"/>
          </w:tcPr>
          <w:p w14:paraId="38BE6556">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4C439E55">
            <w:pPr>
              <w:autoSpaceDE w:val="0"/>
              <w:autoSpaceDN w:val="0"/>
              <w:rPr>
                <w:rFonts w:ascii="Arial"/>
                <w:color w:val="auto"/>
                <w:sz w:val="21"/>
                <w:highlight w:val="none"/>
              </w:rPr>
            </w:pPr>
          </w:p>
        </w:tc>
      </w:tr>
      <w:tr w14:paraId="4162D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5BAF0ED2">
            <w:pPr>
              <w:autoSpaceDE w:val="0"/>
              <w:autoSpaceDN w:val="0"/>
              <w:spacing w:before="128"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47</w:t>
            </w:r>
          </w:p>
        </w:tc>
        <w:tc>
          <w:tcPr>
            <w:tcW w:w="4203" w:type="dxa"/>
            <w:gridSpan w:val="2"/>
            <w:vAlign w:val="top"/>
          </w:tcPr>
          <w:p w14:paraId="4D85CC08">
            <w:pPr>
              <w:autoSpaceDE w:val="0"/>
              <w:autoSpaceDN w:val="0"/>
              <w:spacing w:before="96" w:line="221" w:lineRule="auto"/>
              <w:ind w:left="147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膨胀仪及试</w:t>
            </w:r>
            <w:r>
              <w:rPr>
                <w:rFonts w:ascii="宋体" w:hAnsi="宋体" w:eastAsia="宋体" w:cs="宋体"/>
                <w:color w:val="auto"/>
                <w:sz w:val="21"/>
                <w:szCs w:val="21"/>
                <w:highlight w:val="none"/>
              </w:rPr>
              <w:t>模</w:t>
            </w:r>
          </w:p>
        </w:tc>
        <w:tc>
          <w:tcPr>
            <w:tcW w:w="1490" w:type="dxa"/>
            <w:gridSpan w:val="2"/>
            <w:vAlign w:val="top"/>
          </w:tcPr>
          <w:p w14:paraId="5272D8F7">
            <w:pPr>
              <w:autoSpaceDE w:val="0"/>
              <w:autoSpaceDN w:val="0"/>
              <w:spacing w:before="97" w:line="221" w:lineRule="auto"/>
              <w:ind w:left="532"/>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1</w:t>
            </w:r>
            <w:r>
              <w:rPr>
                <w:rFonts w:ascii="Times New Roman" w:hAnsi="Times New Roman" w:eastAsia="Times New Roman" w:cs="Times New Roman"/>
                <w:color w:val="auto"/>
                <w:spacing w:val="-3"/>
                <w:sz w:val="21"/>
                <w:szCs w:val="21"/>
                <w:highlight w:val="none"/>
              </w:rPr>
              <w:t xml:space="preserve">8 </w:t>
            </w:r>
            <w:r>
              <w:rPr>
                <w:rFonts w:ascii="宋体" w:hAnsi="宋体" w:eastAsia="宋体" w:cs="宋体"/>
                <w:color w:val="auto"/>
                <w:spacing w:val="-3"/>
                <w:sz w:val="21"/>
                <w:szCs w:val="21"/>
                <w:highlight w:val="none"/>
              </w:rPr>
              <w:t>套</w:t>
            </w:r>
          </w:p>
        </w:tc>
        <w:tc>
          <w:tcPr>
            <w:tcW w:w="1840" w:type="dxa"/>
            <w:vAlign w:val="top"/>
          </w:tcPr>
          <w:p w14:paraId="585588D2">
            <w:pPr>
              <w:autoSpaceDE w:val="0"/>
              <w:autoSpaceDN w:val="0"/>
              <w:rPr>
                <w:rFonts w:ascii="Arial"/>
                <w:color w:val="auto"/>
                <w:sz w:val="21"/>
                <w:highlight w:val="none"/>
              </w:rPr>
            </w:pPr>
          </w:p>
        </w:tc>
      </w:tr>
      <w:tr w14:paraId="53633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30A9AD97">
            <w:pPr>
              <w:autoSpaceDE w:val="0"/>
              <w:autoSpaceDN w:val="0"/>
              <w:spacing w:before="128"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48</w:t>
            </w:r>
          </w:p>
        </w:tc>
        <w:tc>
          <w:tcPr>
            <w:tcW w:w="4203" w:type="dxa"/>
            <w:gridSpan w:val="2"/>
            <w:vAlign w:val="top"/>
          </w:tcPr>
          <w:p w14:paraId="3B99143D">
            <w:pPr>
              <w:autoSpaceDE w:val="0"/>
              <w:autoSpaceDN w:val="0"/>
              <w:spacing w:before="94" w:line="221" w:lineRule="auto"/>
              <w:ind w:left="179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水浴</w:t>
            </w:r>
            <w:r>
              <w:rPr>
                <w:rFonts w:ascii="宋体" w:hAnsi="宋体" w:eastAsia="宋体" w:cs="宋体"/>
                <w:color w:val="auto"/>
                <w:spacing w:val="-1"/>
                <w:sz w:val="21"/>
                <w:szCs w:val="21"/>
                <w:highlight w:val="none"/>
              </w:rPr>
              <w:t>锅</w:t>
            </w:r>
          </w:p>
        </w:tc>
        <w:tc>
          <w:tcPr>
            <w:tcW w:w="1490" w:type="dxa"/>
            <w:gridSpan w:val="2"/>
            <w:vAlign w:val="top"/>
          </w:tcPr>
          <w:p w14:paraId="4A83F7D3">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18727006">
            <w:pPr>
              <w:autoSpaceDE w:val="0"/>
              <w:autoSpaceDN w:val="0"/>
              <w:rPr>
                <w:rFonts w:ascii="Arial"/>
                <w:color w:val="auto"/>
                <w:sz w:val="21"/>
                <w:highlight w:val="none"/>
              </w:rPr>
            </w:pPr>
          </w:p>
        </w:tc>
      </w:tr>
      <w:tr w14:paraId="452EB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gridSpan w:val="2"/>
            <w:vAlign w:val="top"/>
          </w:tcPr>
          <w:p w14:paraId="5ED53F8A">
            <w:pPr>
              <w:autoSpaceDE w:val="0"/>
              <w:autoSpaceDN w:val="0"/>
              <w:spacing w:before="126" w:line="187" w:lineRule="auto"/>
              <w:ind w:left="73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49</w:t>
            </w:r>
          </w:p>
        </w:tc>
        <w:tc>
          <w:tcPr>
            <w:tcW w:w="4203" w:type="dxa"/>
            <w:gridSpan w:val="2"/>
            <w:vAlign w:val="top"/>
          </w:tcPr>
          <w:p w14:paraId="512DFE97">
            <w:pPr>
              <w:autoSpaceDE w:val="0"/>
              <w:autoSpaceDN w:val="0"/>
              <w:spacing w:before="94" w:line="223" w:lineRule="auto"/>
              <w:ind w:left="18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环</w:t>
            </w:r>
            <w:r>
              <w:rPr>
                <w:rFonts w:ascii="宋体" w:hAnsi="宋体" w:eastAsia="宋体" w:cs="宋体"/>
                <w:color w:val="auto"/>
                <w:spacing w:val="-1"/>
                <w:sz w:val="21"/>
                <w:szCs w:val="21"/>
                <w:highlight w:val="none"/>
              </w:rPr>
              <w:t>刀</w:t>
            </w:r>
          </w:p>
        </w:tc>
        <w:tc>
          <w:tcPr>
            <w:tcW w:w="1490" w:type="dxa"/>
            <w:gridSpan w:val="2"/>
            <w:vAlign w:val="top"/>
          </w:tcPr>
          <w:p w14:paraId="301327FB">
            <w:pPr>
              <w:autoSpaceDE w:val="0"/>
              <w:autoSpaceDN w:val="0"/>
              <w:spacing w:before="94" w:line="221" w:lineRule="auto"/>
              <w:ind w:left="51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5</w:t>
            </w:r>
            <w:r>
              <w:rPr>
                <w:rFonts w:ascii="Times New Roman" w:hAnsi="Times New Roman" w:eastAsia="Times New Roman" w:cs="Times New Roman"/>
                <w:color w:val="auto"/>
                <w:sz w:val="21"/>
                <w:szCs w:val="21"/>
                <w:highlight w:val="none"/>
              </w:rPr>
              <w:t xml:space="preserve">0 </w:t>
            </w:r>
            <w:r>
              <w:rPr>
                <w:rFonts w:ascii="宋体" w:hAnsi="宋体" w:eastAsia="宋体" w:cs="宋体"/>
                <w:color w:val="auto"/>
                <w:sz w:val="21"/>
                <w:szCs w:val="21"/>
                <w:highlight w:val="none"/>
              </w:rPr>
              <w:t>个</w:t>
            </w:r>
          </w:p>
        </w:tc>
        <w:tc>
          <w:tcPr>
            <w:tcW w:w="1840" w:type="dxa"/>
            <w:vAlign w:val="top"/>
          </w:tcPr>
          <w:p w14:paraId="53367BD7">
            <w:pPr>
              <w:autoSpaceDE w:val="0"/>
              <w:autoSpaceDN w:val="0"/>
              <w:spacing w:before="126" w:line="187" w:lineRule="auto"/>
              <w:ind w:left="76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20</w:t>
            </w:r>
            <w:r>
              <w:rPr>
                <w:rFonts w:ascii="Times New Roman" w:hAnsi="Times New Roman" w:eastAsia="Times New Roman" w:cs="Times New Roman"/>
                <w:color w:val="auto"/>
                <w:sz w:val="21"/>
                <w:szCs w:val="21"/>
                <w:highlight w:val="none"/>
              </w:rPr>
              <w:t>0</w:t>
            </w:r>
          </w:p>
        </w:tc>
      </w:tr>
      <w:tr w14:paraId="3908E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568AE407">
            <w:pPr>
              <w:autoSpaceDE w:val="0"/>
              <w:autoSpaceDN w:val="0"/>
              <w:spacing w:before="128"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0</w:t>
            </w:r>
          </w:p>
        </w:tc>
        <w:tc>
          <w:tcPr>
            <w:tcW w:w="4203" w:type="dxa"/>
            <w:gridSpan w:val="2"/>
            <w:vAlign w:val="top"/>
          </w:tcPr>
          <w:p w14:paraId="34D0A116">
            <w:pPr>
              <w:autoSpaceDE w:val="0"/>
              <w:autoSpaceDN w:val="0"/>
              <w:spacing w:before="93" w:line="221" w:lineRule="auto"/>
              <w:ind w:left="105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土样盒(中号、大号</w:t>
            </w:r>
            <w:r>
              <w:rPr>
                <w:rFonts w:ascii="宋体" w:hAnsi="宋体" w:eastAsia="宋体" w:cs="宋体"/>
                <w:color w:val="auto"/>
                <w:spacing w:val="9"/>
                <w:sz w:val="21"/>
                <w:szCs w:val="21"/>
                <w:highlight w:val="none"/>
              </w:rPr>
              <w:t>)</w:t>
            </w:r>
          </w:p>
        </w:tc>
        <w:tc>
          <w:tcPr>
            <w:tcW w:w="1490" w:type="dxa"/>
            <w:gridSpan w:val="2"/>
            <w:vAlign w:val="top"/>
          </w:tcPr>
          <w:p w14:paraId="72425479">
            <w:pPr>
              <w:autoSpaceDE w:val="0"/>
              <w:autoSpaceDN w:val="0"/>
              <w:spacing w:before="94" w:line="221" w:lineRule="auto"/>
              <w:ind w:left="38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 xml:space="preserve">各 </w:t>
            </w:r>
            <w:r>
              <w:rPr>
                <w:rFonts w:ascii="Times New Roman" w:hAnsi="Times New Roman" w:eastAsia="Times New Roman" w:cs="Times New Roman"/>
                <w:color w:val="auto"/>
                <w:spacing w:val="-7"/>
                <w:sz w:val="21"/>
                <w:szCs w:val="21"/>
                <w:highlight w:val="none"/>
              </w:rPr>
              <w:t xml:space="preserve">70 </w:t>
            </w:r>
            <w:r>
              <w:rPr>
                <w:rFonts w:ascii="宋体" w:hAnsi="宋体" w:eastAsia="宋体" w:cs="宋体"/>
                <w:color w:val="auto"/>
                <w:spacing w:val="-7"/>
                <w:sz w:val="21"/>
                <w:szCs w:val="21"/>
                <w:highlight w:val="none"/>
              </w:rPr>
              <w:t>只</w:t>
            </w:r>
          </w:p>
        </w:tc>
        <w:tc>
          <w:tcPr>
            <w:tcW w:w="1840" w:type="dxa"/>
            <w:vAlign w:val="top"/>
          </w:tcPr>
          <w:p w14:paraId="61D87D99">
            <w:pPr>
              <w:autoSpaceDE w:val="0"/>
              <w:autoSpaceDN w:val="0"/>
              <w:rPr>
                <w:rFonts w:ascii="Arial"/>
                <w:color w:val="auto"/>
                <w:sz w:val="21"/>
                <w:highlight w:val="none"/>
              </w:rPr>
            </w:pPr>
          </w:p>
        </w:tc>
      </w:tr>
      <w:tr w14:paraId="0CBDB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gridSpan w:val="2"/>
            <w:vAlign w:val="top"/>
          </w:tcPr>
          <w:p w14:paraId="60EEBB95">
            <w:pPr>
              <w:autoSpaceDE w:val="0"/>
              <w:autoSpaceDN w:val="0"/>
              <w:spacing w:before="125"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1</w:t>
            </w:r>
          </w:p>
        </w:tc>
        <w:tc>
          <w:tcPr>
            <w:tcW w:w="4203" w:type="dxa"/>
            <w:gridSpan w:val="2"/>
            <w:vAlign w:val="top"/>
          </w:tcPr>
          <w:p w14:paraId="07E8AC79">
            <w:pPr>
              <w:autoSpaceDE w:val="0"/>
              <w:autoSpaceDN w:val="0"/>
              <w:spacing w:before="94" w:line="222" w:lineRule="auto"/>
              <w:ind w:left="16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开土</w:t>
            </w:r>
            <w:r>
              <w:rPr>
                <w:rFonts w:ascii="宋体" w:hAnsi="宋体" w:eastAsia="宋体" w:cs="宋体"/>
                <w:color w:val="auto"/>
                <w:spacing w:val="-1"/>
                <w:sz w:val="21"/>
                <w:szCs w:val="21"/>
                <w:highlight w:val="none"/>
              </w:rPr>
              <w:t>工具</w:t>
            </w:r>
          </w:p>
        </w:tc>
        <w:tc>
          <w:tcPr>
            <w:tcW w:w="1490" w:type="dxa"/>
            <w:gridSpan w:val="2"/>
            <w:vAlign w:val="top"/>
          </w:tcPr>
          <w:p w14:paraId="159E1BBE">
            <w:pPr>
              <w:autoSpaceDE w:val="0"/>
              <w:autoSpaceDN w:val="0"/>
              <w:spacing w:before="94" w:line="221" w:lineRule="auto"/>
              <w:ind w:left="569"/>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3</w:t>
            </w:r>
            <w:r>
              <w:rPr>
                <w:rFonts w:ascii="Times New Roman" w:hAnsi="Times New Roman" w:eastAsia="Times New Roman" w:cs="Times New Roman"/>
                <w:color w:val="auto"/>
                <w:sz w:val="21"/>
                <w:szCs w:val="21"/>
                <w:highlight w:val="none"/>
              </w:rPr>
              <w:t xml:space="preserve"> </w:t>
            </w:r>
            <w:r>
              <w:rPr>
                <w:rFonts w:ascii="宋体" w:hAnsi="宋体" w:eastAsia="宋体" w:cs="宋体"/>
                <w:color w:val="auto"/>
                <w:sz w:val="21"/>
                <w:szCs w:val="21"/>
                <w:highlight w:val="none"/>
              </w:rPr>
              <w:t>套</w:t>
            </w:r>
          </w:p>
        </w:tc>
        <w:tc>
          <w:tcPr>
            <w:tcW w:w="1840" w:type="dxa"/>
            <w:vAlign w:val="top"/>
          </w:tcPr>
          <w:p w14:paraId="78B4FA7E">
            <w:pPr>
              <w:autoSpaceDE w:val="0"/>
              <w:autoSpaceDN w:val="0"/>
              <w:rPr>
                <w:rFonts w:ascii="Arial"/>
                <w:color w:val="auto"/>
                <w:sz w:val="21"/>
                <w:highlight w:val="none"/>
              </w:rPr>
            </w:pPr>
          </w:p>
        </w:tc>
      </w:tr>
      <w:tr w14:paraId="61D1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49C7CEA1">
            <w:pPr>
              <w:autoSpaceDE w:val="0"/>
              <w:autoSpaceDN w:val="0"/>
              <w:spacing w:before="127"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2</w:t>
            </w:r>
          </w:p>
        </w:tc>
        <w:tc>
          <w:tcPr>
            <w:tcW w:w="4203" w:type="dxa"/>
            <w:gridSpan w:val="2"/>
            <w:vAlign w:val="top"/>
          </w:tcPr>
          <w:p w14:paraId="0DC941D2">
            <w:pPr>
              <w:autoSpaceDE w:val="0"/>
              <w:autoSpaceDN w:val="0"/>
              <w:spacing w:before="94" w:line="213" w:lineRule="auto"/>
              <w:ind w:left="7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轻便触探仪(</w:t>
            </w:r>
            <w:r>
              <w:rPr>
                <w:rFonts w:ascii="Times New Roman" w:hAnsi="Times New Roman" w:eastAsia="Times New Roman" w:cs="Times New Roman"/>
                <w:color w:val="auto"/>
                <w:spacing w:val="6"/>
                <w:sz w:val="21"/>
                <w:szCs w:val="21"/>
                <w:highlight w:val="none"/>
              </w:rPr>
              <w:t>10</w:t>
            </w:r>
            <w:r>
              <w:rPr>
                <w:rFonts w:ascii="Times New Roman" w:hAnsi="Times New Roman" w:eastAsia="Times New Roman" w:cs="Times New Roman"/>
                <w:color w:val="auto"/>
                <w:sz w:val="21"/>
                <w:szCs w:val="21"/>
                <w:highlight w:val="none"/>
              </w:rPr>
              <w:t>kg</w:t>
            </w:r>
            <w:r>
              <w:rPr>
                <w:rFonts w:ascii="Times New Roman" w:hAnsi="Times New Roman" w:eastAsia="Times New Roman" w:cs="Times New Roman"/>
                <w:color w:val="auto"/>
                <w:spacing w:val="6"/>
                <w:sz w:val="21"/>
                <w:szCs w:val="21"/>
                <w:highlight w:val="none"/>
              </w:rPr>
              <w:t xml:space="preserve">  </w:t>
            </w:r>
            <w:r>
              <w:rPr>
                <w:rFonts w:ascii="宋体" w:hAnsi="宋体" w:eastAsia="宋体" w:cs="宋体"/>
                <w:color w:val="auto"/>
                <w:spacing w:val="6"/>
                <w:sz w:val="21"/>
                <w:szCs w:val="21"/>
                <w:highlight w:val="none"/>
              </w:rPr>
              <w:t>，</w:t>
            </w:r>
            <w:r>
              <w:rPr>
                <w:rFonts w:ascii="Times New Roman" w:hAnsi="Times New Roman" w:eastAsia="Times New Roman" w:cs="Times New Roman"/>
                <w:color w:val="auto"/>
                <w:spacing w:val="6"/>
                <w:sz w:val="21"/>
                <w:szCs w:val="21"/>
                <w:highlight w:val="none"/>
              </w:rPr>
              <w:t>63.5</w:t>
            </w:r>
            <w:r>
              <w:rPr>
                <w:rFonts w:ascii="Times New Roman" w:hAnsi="Times New Roman" w:eastAsia="Times New Roman" w:cs="Times New Roman"/>
                <w:color w:val="auto"/>
                <w:sz w:val="21"/>
                <w:szCs w:val="21"/>
                <w:highlight w:val="none"/>
              </w:rPr>
              <w:t>kg</w:t>
            </w:r>
            <w:r>
              <w:rPr>
                <w:rFonts w:ascii="宋体" w:hAnsi="宋体" w:eastAsia="宋体" w:cs="宋体"/>
                <w:color w:val="auto"/>
                <w:spacing w:val="6"/>
                <w:sz w:val="21"/>
                <w:szCs w:val="21"/>
                <w:highlight w:val="none"/>
              </w:rPr>
              <w:t>)</w:t>
            </w:r>
          </w:p>
        </w:tc>
        <w:tc>
          <w:tcPr>
            <w:tcW w:w="1490" w:type="dxa"/>
            <w:gridSpan w:val="2"/>
            <w:vAlign w:val="top"/>
          </w:tcPr>
          <w:p w14:paraId="198DE2DC">
            <w:pPr>
              <w:autoSpaceDE w:val="0"/>
              <w:autoSpaceDN w:val="0"/>
              <w:spacing w:before="94" w:line="221" w:lineRule="auto"/>
              <w:ind w:left="43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2 </w:t>
            </w:r>
            <w:r>
              <w:rPr>
                <w:rFonts w:ascii="宋体" w:hAnsi="宋体" w:eastAsia="宋体" w:cs="宋体"/>
                <w:color w:val="auto"/>
                <w:spacing w:val="-10"/>
                <w:sz w:val="21"/>
                <w:szCs w:val="21"/>
                <w:highlight w:val="none"/>
              </w:rPr>
              <w:t>套</w:t>
            </w:r>
          </w:p>
        </w:tc>
        <w:tc>
          <w:tcPr>
            <w:tcW w:w="1840" w:type="dxa"/>
            <w:vAlign w:val="top"/>
          </w:tcPr>
          <w:p w14:paraId="464ACDE0">
            <w:pPr>
              <w:autoSpaceDE w:val="0"/>
              <w:autoSpaceDN w:val="0"/>
              <w:rPr>
                <w:rFonts w:ascii="Arial"/>
                <w:color w:val="auto"/>
                <w:sz w:val="21"/>
                <w:highlight w:val="none"/>
              </w:rPr>
            </w:pPr>
          </w:p>
        </w:tc>
      </w:tr>
      <w:tr w14:paraId="5ACC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2E6E1DAA">
            <w:pPr>
              <w:autoSpaceDE w:val="0"/>
              <w:autoSpaceDN w:val="0"/>
              <w:spacing w:before="125"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3</w:t>
            </w:r>
          </w:p>
        </w:tc>
        <w:tc>
          <w:tcPr>
            <w:tcW w:w="4203" w:type="dxa"/>
            <w:gridSpan w:val="2"/>
            <w:vAlign w:val="top"/>
          </w:tcPr>
          <w:p w14:paraId="539C7633">
            <w:pPr>
              <w:autoSpaceDE w:val="0"/>
              <w:autoSpaceDN w:val="0"/>
              <w:spacing w:before="93" w:line="220" w:lineRule="auto"/>
              <w:ind w:left="137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路面材料强度仪</w:t>
            </w:r>
          </w:p>
        </w:tc>
        <w:tc>
          <w:tcPr>
            <w:tcW w:w="1490" w:type="dxa"/>
            <w:gridSpan w:val="2"/>
            <w:vAlign w:val="top"/>
          </w:tcPr>
          <w:p w14:paraId="095C0F1E">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CBCA428">
            <w:pPr>
              <w:autoSpaceDE w:val="0"/>
              <w:autoSpaceDN w:val="0"/>
              <w:rPr>
                <w:rFonts w:ascii="Arial"/>
                <w:color w:val="auto"/>
                <w:sz w:val="21"/>
                <w:highlight w:val="none"/>
              </w:rPr>
            </w:pPr>
          </w:p>
        </w:tc>
      </w:tr>
      <w:tr w14:paraId="69081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7FF23BCE">
            <w:pPr>
              <w:autoSpaceDE w:val="0"/>
              <w:autoSpaceDN w:val="0"/>
              <w:spacing w:before="128"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4</w:t>
            </w:r>
          </w:p>
        </w:tc>
        <w:tc>
          <w:tcPr>
            <w:tcW w:w="4203" w:type="dxa"/>
            <w:gridSpan w:val="2"/>
            <w:vAlign w:val="top"/>
          </w:tcPr>
          <w:p w14:paraId="372FFE17">
            <w:pPr>
              <w:autoSpaceDE w:val="0"/>
              <w:autoSpaceDN w:val="0"/>
              <w:spacing w:before="97" w:line="221" w:lineRule="auto"/>
              <w:ind w:left="872"/>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反</w:t>
            </w:r>
            <w:r>
              <w:rPr>
                <w:rFonts w:ascii="宋体" w:hAnsi="宋体" w:eastAsia="宋体" w:cs="宋体"/>
                <w:color w:val="auto"/>
                <w:spacing w:val="3"/>
                <w:sz w:val="21"/>
                <w:szCs w:val="21"/>
                <w:highlight w:val="none"/>
              </w:rPr>
              <w:t xml:space="preserve">力框架(含 </w:t>
            </w:r>
            <w:r>
              <w:rPr>
                <w:rFonts w:ascii="Times New Roman" w:hAnsi="Times New Roman" w:eastAsia="Times New Roman" w:cs="Times New Roman"/>
                <w:color w:val="auto"/>
                <w:spacing w:val="3"/>
                <w:sz w:val="21"/>
                <w:szCs w:val="21"/>
                <w:highlight w:val="none"/>
              </w:rPr>
              <w:t>50</w:t>
            </w:r>
            <w:r>
              <w:rPr>
                <w:rFonts w:ascii="Times New Roman" w:hAnsi="Times New Roman" w:eastAsia="Times New Roman" w:cs="Times New Roman"/>
                <w:color w:val="auto"/>
                <w:sz w:val="21"/>
                <w:szCs w:val="21"/>
                <w:highlight w:val="none"/>
              </w:rPr>
              <w:t>t</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3"/>
                <w:sz w:val="21"/>
                <w:szCs w:val="21"/>
                <w:highlight w:val="none"/>
              </w:rPr>
              <w:t>千斤顶)</w:t>
            </w:r>
          </w:p>
        </w:tc>
        <w:tc>
          <w:tcPr>
            <w:tcW w:w="1490" w:type="dxa"/>
            <w:gridSpan w:val="2"/>
            <w:vAlign w:val="top"/>
          </w:tcPr>
          <w:p w14:paraId="5FE9EA09">
            <w:pPr>
              <w:autoSpaceDE w:val="0"/>
              <w:autoSpaceDN w:val="0"/>
              <w:spacing w:before="97"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45B83123">
            <w:pPr>
              <w:autoSpaceDE w:val="0"/>
              <w:autoSpaceDN w:val="0"/>
              <w:spacing w:before="98" w:line="223" w:lineRule="auto"/>
              <w:ind w:left="375"/>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4</w:t>
            </w:r>
            <w:r>
              <w:rPr>
                <w:rFonts w:ascii="Times New Roman" w:hAnsi="Times New Roman" w:eastAsia="Times New Roman" w:cs="Times New Roman"/>
                <w:color w:val="auto"/>
                <w:spacing w:val="3"/>
                <w:sz w:val="21"/>
                <w:szCs w:val="21"/>
                <w:highlight w:val="none"/>
              </w:rPr>
              <w:t>0</w:t>
            </w:r>
            <w:r>
              <w:rPr>
                <w:rFonts w:ascii="Times New Roman" w:hAnsi="Times New Roman" w:eastAsia="Times New Roman" w:cs="Times New Roman"/>
                <w:color w:val="auto"/>
                <w:spacing w:val="2"/>
                <w:sz w:val="21"/>
                <w:szCs w:val="21"/>
                <w:highlight w:val="none"/>
              </w:rPr>
              <w:t>0</w:t>
            </w:r>
            <w:r>
              <w:rPr>
                <w:rFonts w:ascii="Times New Roman" w:hAnsi="Times New Roman" w:eastAsia="Times New Roman" w:cs="Times New Roman"/>
                <w:color w:val="auto"/>
                <w:sz w:val="21"/>
                <w:szCs w:val="21"/>
                <w:highlight w:val="none"/>
              </w:rPr>
              <w:t>KN</w:t>
            </w:r>
            <w:r>
              <w:rPr>
                <w:rFonts w:ascii="Times New Roman" w:hAnsi="Times New Roman" w:eastAsia="Times New Roman" w:cs="Times New Roman"/>
                <w:color w:val="auto"/>
                <w:spacing w:val="2"/>
                <w:sz w:val="21"/>
                <w:szCs w:val="21"/>
                <w:highlight w:val="none"/>
              </w:rPr>
              <w:t xml:space="preserve"> </w:t>
            </w:r>
            <w:r>
              <w:rPr>
                <w:rFonts w:ascii="宋体" w:hAnsi="宋体" w:eastAsia="宋体" w:cs="宋体"/>
                <w:color w:val="auto"/>
                <w:spacing w:val="2"/>
                <w:sz w:val="21"/>
                <w:szCs w:val="21"/>
                <w:highlight w:val="none"/>
              </w:rPr>
              <w:t>以上</w:t>
            </w:r>
          </w:p>
        </w:tc>
      </w:tr>
      <w:tr w14:paraId="53D62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363F4C0B">
            <w:pPr>
              <w:autoSpaceDE w:val="0"/>
              <w:autoSpaceDN w:val="0"/>
              <w:spacing w:before="131" w:line="184"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5</w:t>
            </w:r>
          </w:p>
        </w:tc>
        <w:tc>
          <w:tcPr>
            <w:tcW w:w="4203" w:type="dxa"/>
            <w:gridSpan w:val="2"/>
            <w:vAlign w:val="top"/>
          </w:tcPr>
          <w:p w14:paraId="731E636F">
            <w:pPr>
              <w:autoSpaceDE w:val="0"/>
              <w:autoSpaceDN w:val="0"/>
              <w:spacing w:before="95" w:line="221" w:lineRule="auto"/>
              <w:ind w:left="14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化学滴定设备</w:t>
            </w:r>
          </w:p>
        </w:tc>
        <w:tc>
          <w:tcPr>
            <w:tcW w:w="1490" w:type="dxa"/>
            <w:gridSpan w:val="2"/>
            <w:vAlign w:val="top"/>
          </w:tcPr>
          <w:p w14:paraId="20A01FA2">
            <w:pPr>
              <w:autoSpaceDE w:val="0"/>
              <w:autoSpaceDN w:val="0"/>
              <w:spacing w:before="95" w:line="221"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1840" w:type="dxa"/>
            <w:vAlign w:val="top"/>
          </w:tcPr>
          <w:p w14:paraId="4300ADC9">
            <w:pPr>
              <w:autoSpaceDE w:val="0"/>
              <w:autoSpaceDN w:val="0"/>
              <w:rPr>
                <w:rFonts w:ascii="Arial"/>
                <w:color w:val="auto"/>
                <w:sz w:val="21"/>
                <w:highlight w:val="none"/>
              </w:rPr>
            </w:pPr>
          </w:p>
        </w:tc>
      </w:tr>
      <w:tr w14:paraId="4F859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60FE27DD">
            <w:pPr>
              <w:autoSpaceDE w:val="0"/>
              <w:autoSpaceDN w:val="0"/>
              <w:spacing w:before="126"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6</w:t>
            </w:r>
          </w:p>
        </w:tc>
        <w:tc>
          <w:tcPr>
            <w:tcW w:w="4203" w:type="dxa"/>
            <w:gridSpan w:val="2"/>
            <w:vAlign w:val="top"/>
          </w:tcPr>
          <w:p w14:paraId="3760BFD2">
            <w:pPr>
              <w:autoSpaceDE w:val="0"/>
              <w:autoSpaceDN w:val="0"/>
              <w:spacing w:before="95" w:line="220" w:lineRule="auto"/>
              <w:ind w:left="158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土</w:t>
            </w:r>
            <w:r>
              <w:rPr>
                <w:rFonts w:ascii="宋体" w:hAnsi="宋体" w:eastAsia="宋体" w:cs="宋体"/>
                <w:color w:val="auto"/>
                <w:spacing w:val="-1"/>
                <w:sz w:val="21"/>
                <w:szCs w:val="21"/>
                <w:highlight w:val="none"/>
              </w:rPr>
              <w:t>样粉碎机</w:t>
            </w:r>
          </w:p>
        </w:tc>
        <w:tc>
          <w:tcPr>
            <w:tcW w:w="1490" w:type="dxa"/>
            <w:gridSpan w:val="2"/>
            <w:vAlign w:val="top"/>
          </w:tcPr>
          <w:p w14:paraId="21ADE2C2">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4134AA8">
            <w:pPr>
              <w:autoSpaceDE w:val="0"/>
              <w:autoSpaceDN w:val="0"/>
              <w:rPr>
                <w:rFonts w:ascii="Arial"/>
                <w:color w:val="auto"/>
                <w:sz w:val="21"/>
                <w:highlight w:val="none"/>
              </w:rPr>
            </w:pPr>
          </w:p>
        </w:tc>
      </w:tr>
      <w:tr w14:paraId="0813A6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2A4E7150">
            <w:pPr>
              <w:autoSpaceDE w:val="0"/>
              <w:autoSpaceDN w:val="0"/>
              <w:spacing w:before="132" w:line="184"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7</w:t>
            </w:r>
          </w:p>
        </w:tc>
        <w:tc>
          <w:tcPr>
            <w:tcW w:w="4203" w:type="dxa"/>
            <w:gridSpan w:val="2"/>
            <w:vAlign w:val="top"/>
          </w:tcPr>
          <w:p w14:paraId="5CA70035">
            <w:pPr>
              <w:autoSpaceDE w:val="0"/>
              <w:autoSpaceDN w:val="0"/>
              <w:spacing w:before="95" w:line="221" w:lineRule="auto"/>
              <w:ind w:left="16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新标</w:t>
            </w:r>
            <w:r>
              <w:rPr>
                <w:rFonts w:ascii="宋体" w:hAnsi="宋体" w:eastAsia="宋体" w:cs="宋体"/>
                <w:color w:val="auto"/>
                <w:spacing w:val="-1"/>
                <w:sz w:val="21"/>
                <w:szCs w:val="21"/>
                <w:highlight w:val="none"/>
              </w:rPr>
              <w:t>准筛</w:t>
            </w:r>
          </w:p>
        </w:tc>
        <w:tc>
          <w:tcPr>
            <w:tcW w:w="1490" w:type="dxa"/>
            <w:gridSpan w:val="2"/>
            <w:vAlign w:val="top"/>
          </w:tcPr>
          <w:p w14:paraId="438F7E98">
            <w:pPr>
              <w:autoSpaceDE w:val="0"/>
              <w:autoSpaceDN w:val="0"/>
              <w:spacing w:before="96" w:line="221" w:lineRule="auto"/>
              <w:ind w:left="43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2 </w:t>
            </w:r>
            <w:r>
              <w:rPr>
                <w:rFonts w:ascii="宋体" w:hAnsi="宋体" w:eastAsia="宋体" w:cs="宋体"/>
                <w:color w:val="auto"/>
                <w:spacing w:val="-10"/>
                <w:sz w:val="21"/>
                <w:szCs w:val="21"/>
                <w:highlight w:val="none"/>
              </w:rPr>
              <w:t>套</w:t>
            </w:r>
          </w:p>
        </w:tc>
        <w:tc>
          <w:tcPr>
            <w:tcW w:w="1840" w:type="dxa"/>
            <w:vAlign w:val="top"/>
          </w:tcPr>
          <w:p w14:paraId="2623B664">
            <w:pPr>
              <w:autoSpaceDE w:val="0"/>
              <w:autoSpaceDN w:val="0"/>
              <w:rPr>
                <w:rFonts w:ascii="Arial"/>
                <w:color w:val="auto"/>
                <w:sz w:val="21"/>
                <w:highlight w:val="none"/>
              </w:rPr>
            </w:pPr>
          </w:p>
        </w:tc>
      </w:tr>
      <w:tr w14:paraId="2C017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57683F0A">
            <w:pPr>
              <w:autoSpaceDE w:val="0"/>
              <w:autoSpaceDN w:val="0"/>
              <w:spacing w:before="127"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8</w:t>
            </w:r>
          </w:p>
        </w:tc>
        <w:tc>
          <w:tcPr>
            <w:tcW w:w="4203" w:type="dxa"/>
            <w:gridSpan w:val="2"/>
            <w:vAlign w:val="top"/>
          </w:tcPr>
          <w:p w14:paraId="62B61231">
            <w:pPr>
              <w:autoSpaceDE w:val="0"/>
              <w:autoSpaceDN w:val="0"/>
              <w:spacing w:before="95" w:line="221" w:lineRule="auto"/>
              <w:ind w:left="119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自</w:t>
            </w:r>
            <w:r>
              <w:rPr>
                <w:rFonts w:ascii="宋体" w:hAnsi="宋体" w:eastAsia="宋体" w:cs="宋体"/>
                <w:color w:val="auto"/>
                <w:spacing w:val="-4"/>
                <w:sz w:val="21"/>
                <w:szCs w:val="21"/>
                <w:highlight w:val="none"/>
              </w:rPr>
              <w:t>由膨胀率测定设备</w:t>
            </w:r>
          </w:p>
        </w:tc>
        <w:tc>
          <w:tcPr>
            <w:tcW w:w="1490" w:type="dxa"/>
            <w:gridSpan w:val="2"/>
            <w:vAlign w:val="top"/>
          </w:tcPr>
          <w:p w14:paraId="2CC8067B">
            <w:pPr>
              <w:autoSpaceDE w:val="0"/>
              <w:autoSpaceDN w:val="0"/>
              <w:spacing w:before="96" w:line="221" w:lineRule="auto"/>
              <w:ind w:left="568"/>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7 </w:t>
            </w:r>
            <w:r>
              <w:rPr>
                <w:rFonts w:ascii="宋体" w:hAnsi="宋体" w:eastAsia="宋体" w:cs="宋体"/>
                <w:color w:val="auto"/>
                <w:sz w:val="21"/>
                <w:szCs w:val="21"/>
                <w:highlight w:val="none"/>
              </w:rPr>
              <w:t>套</w:t>
            </w:r>
          </w:p>
        </w:tc>
        <w:tc>
          <w:tcPr>
            <w:tcW w:w="1840" w:type="dxa"/>
            <w:vAlign w:val="top"/>
          </w:tcPr>
          <w:p w14:paraId="308F786B">
            <w:pPr>
              <w:autoSpaceDE w:val="0"/>
              <w:autoSpaceDN w:val="0"/>
              <w:rPr>
                <w:rFonts w:ascii="Arial"/>
                <w:color w:val="auto"/>
                <w:sz w:val="21"/>
                <w:highlight w:val="none"/>
              </w:rPr>
            </w:pPr>
          </w:p>
        </w:tc>
      </w:tr>
      <w:tr w14:paraId="32A63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gridSpan w:val="2"/>
            <w:vAlign w:val="top"/>
          </w:tcPr>
          <w:p w14:paraId="65123823">
            <w:pPr>
              <w:autoSpaceDE w:val="0"/>
              <w:autoSpaceDN w:val="0"/>
              <w:spacing w:before="130" w:line="187" w:lineRule="auto"/>
              <w:ind w:left="7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5</w:t>
            </w:r>
            <w:r>
              <w:rPr>
                <w:rFonts w:ascii="Times New Roman" w:hAnsi="Times New Roman" w:eastAsia="Times New Roman" w:cs="Times New Roman"/>
                <w:color w:val="auto"/>
                <w:spacing w:val="-2"/>
                <w:sz w:val="21"/>
                <w:szCs w:val="21"/>
                <w:highlight w:val="none"/>
              </w:rPr>
              <w:t>9</w:t>
            </w:r>
          </w:p>
        </w:tc>
        <w:tc>
          <w:tcPr>
            <w:tcW w:w="4203" w:type="dxa"/>
            <w:gridSpan w:val="2"/>
            <w:vAlign w:val="top"/>
          </w:tcPr>
          <w:p w14:paraId="6E8D425A">
            <w:pPr>
              <w:autoSpaceDE w:val="0"/>
              <w:autoSpaceDN w:val="0"/>
              <w:spacing w:before="99" w:line="221" w:lineRule="auto"/>
              <w:ind w:left="18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烘</w:t>
            </w:r>
            <w:r>
              <w:rPr>
                <w:rFonts w:ascii="宋体" w:hAnsi="宋体" w:eastAsia="宋体" w:cs="宋体"/>
                <w:color w:val="auto"/>
                <w:spacing w:val="-1"/>
                <w:sz w:val="21"/>
                <w:szCs w:val="21"/>
                <w:highlight w:val="none"/>
              </w:rPr>
              <w:t>箱</w:t>
            </w:r>
          </w:p>
        </w:tc>
        <w:tc>
          <w:tcPr>
            <w:tcW w:w="1490" w:type="dxa"/>
            <w:gridSpan w:val="2"/>
            <w:vAlign w:val="top"/>
          </w:tcPr>
          <w:p w14:paraId="7C208158">
            <w:pPr>
              <w:autoSpaceDE w:val="0"/>
              <w:autoSpaceDN w:val="0"/>
              <w:spacing w:before="98"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963DFE0">
            <w:pPr>
              <w:autoSpaceDE w:val="0"/>
              <w:autoSpaceDN w:val="0"/>
              <w:rPr>
                <w:rFonts w:ascii="Arial"/>
                <w:color w:val="auto"/>
                <w:sz w:val="21"/>
                <w:highlight w:val="none"/>
              </w:rPr>
            </w:pPr>
          </w:p>
        </w:tc>
      </w:tr>
      <w:tr w14:paraId="096D2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219" w:type="dxa"/>
            <w:gridSpan w:val="7"/>
            <w:vAlign w:val="top"/>
          </w:tcPr>
          <w:p w14:paraId="232775E7">
            <w:pPr>
              <w:autoSpaceDE w:val="0"/>
              <w:autoSpaceDN w:val="0"/>
              <w:spacing w:before="95" w:line="221" w:lineRule="auto"/>
              <w:ind w:left="334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三、</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化学分析试验仪器设备</w:t>
            </w:r>
          </w:p>
        </w:tc>
      </w:tr>
      <w:tr w14:paraId="5E8FC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gridSpan w:val="2"/>
            <w:vAlign w:val="top"/>
          </w:tcPr>
          <w:p w14:paraId="12BF19CC">
            <w:pPr>
              <w:autoSpaceDE w:val="0"/>
              <w:autoSpaceDN w:val="0"/>
              <w:spacing w:before="127"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60</w:t>
            </w:r>
          </w:p>
        </w:tc>
        <w:tc>
          <w:tcPr>
            <w:tcW w:w="4203" w:type="dxa"/>
            <w:gridSpan w:val="2"/>
            <w:vAlign w:val="top"/>
          </w:tcPr>
          <w:p w14:paraId="04B07526">
            <w:pPr>
              <w:autoSpaceDE w:val="0"/>
              <w:autoSpaceDN w:val="0"/>
              <w:spacing w:before="96" w:line="235" w:lineRule="auto"/>
              <w:ind w:left="1269"/>
              <w:rPr>
                <w:rFonts w:ascii="Times New Roman" w:hAnsi="Times New Roman" w:eastAsia="Times New Roman" w:cs="Times New Roman"/>
                <w:color w:val="auto"/>
                <w:sz w:val="21"/>
                <w:szCs w:val="21"/>
                <w:highlight w:val="none"/>
              </w:rPr>
            </w:pPr>
            <w:r>
              <w:rPr>
                <w:rFonts w:ascii="宋体" w:hAnsi="宋体" w:eastAsia="宋体" w:cs="宋体"/>
                <w:color w:val="auto"/>
                <w:spacing w:val="-1"/>
                <w:sz w:val="21"/>
                <w:szCs w:val="21"/>
                <w:highlight w:val="none"/>
              </w:rPr>
              <w:t xml:space="preserve">天平   </w:t>
            </w:r>
            <w:r>
              <w:rPr>
                <w:rFonts w:ascii="Times New Roman" w:hAnsi="Times New Roman" w:eastAsia="Times New Roman" w:cs="Times New Roman"/>
                <w:color w:val="auto"/>
                <w:spacing w:val="-1"/>
                <w:sz w:val="21"/>
                <w:szCs w:val="21"/>
                <w:highlight w:val="none"/>
              </w:rPr>
              <w:t>200/0</w:t>
            </w:r>
            <w:r>
              <w:rPr>
                <w:rFonts w:ascii="Times New Roman" w:hAnsi="Times New Roman" w:eastAsia="Times New Roman" w:cs="Times New Roman"/>
                <w:color w:val="auto"/>
                <w:sz w:val="21"/>
                <w:szCs w:val="21"/>
                <w:highlight w:val="none"/>
              </w:rPr>
              <w:t>.001g</w:t>
            </w:r>
          </w:p>
        </w:tc>
        <w:tc>
          <w:tcPr>
            <w:tcW w:w="1490" w:type="dxa"/>
            <w:gridSpan w:val="2"/>
            <w:vAlign w:val="top"/>
          </w:tcPr>
          <w:p w14:paraId="6C2E279B">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02C257A">
            <w:pPr>
              <w:autoSpaceDE w:val="0"/>
              <w:autoSpaceDN w:val="0"/>
              <w:rPr>
                <w:rFonts w:ascii="Arial"/>
                <w:color w:val="auto"/>
                <w:sz w:val="21"/>
                <w:highlight w:val="none"/>
              </w:rPr>
            </w:pPr>
          </w:p>
        </w:tc>
      </w:tr>
      <w:tr w14:paraId="5A93D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86" w:type="dxa"/>
            <w:gridSpan w:val="2"/>
            <w:vAlign w:val="top"/>
          </w:tcPr>
          <w:p w14:paraId="75016BEF">
            <w:pPr>
              <w:autoSpaceDE w:val="0"/>
              <w:autoSpaceDN w:val="0"/>
              <w:spacing w:before="131"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61</w:t>
            </w:r>
          </w:p>
        </w:tc>
        <w:tc>
          <w:tcPr>
            <w:tcW w:w="4203" w:type="dxa"/>
            <w:gridSpan w:val="2"/>
            <w:vAlign w:val="top"/>
          </w:tcPr>
          <w:p w14:paraId="3D9290FF">
            <w:pPr>
              <w:autoSpaceDE w:val="0"/>
              <w:autoSpaceDN w:val="0"/>
              <w:spacing w:before="97" w:line="235" w:lineRule="auto"/>
              <w:ind w:left="1216"/>
              <w:rPr>
                <w:rFonts w:ascii="Times New Roman" w:hAnsi="Times New Roman" w:eastAsia="Times New Roman" w:cs="Times New Roman"/>
                <w:color w:val="auto"/>
                <w:sz w:val="21"/>
                <w:szCs w:val="21"/>
                <w:highlight w:val="none"/>
              </w:rPr>
            </w:pPr>
            <w:r>
              <w:rPr>
                <w:rFonts w:ascii="宋体" w:hAnsi="宋体" w:eastAsia="宋体" w:cs="宋体"/>
                <w:color w:val="auto"/>
                <w:spacing w:val="-1"/>
                <w:sz w:val="21"/>
                <w:szCs w:val="21"/>
                <w:highlight w:val="none"/>
              </w:rPr>
              <w:t xml:space="preserve">天平   </w:t>
            </w:r>
            <w:r>
              <w:rPr>
                <w:rFonts w:ascii="Times New Roman" w:hAnsi="Times New Roman" w:eastAsia="Times New Roman" w:cs="Times New Roman"/>
                <w:color w:val="auto"/>
                <w:spacing w:val="-1"/>
                <w:sz w:val="21"/>
                <w:szCs w:val="21"/>
                <w:highlight w:val="none"/>
              </w:rPr>
              <w:t>200/0</w:t>
            </w:r>
            <w:r>
              <w:rPr>
                <w:rFonts w:ascii="Times New Roman" w:hAnsi="Times New Roman" w:eastAsia="Times New Roman" w:cs="Times New Roman"/>
                <w:color w:val="auto"/>
                <w:sz w:val="21"/>
                <w:szCs w:val="21"/>
                <w:highlight w:val="none"/>
              </w:rPr>
              <w:t>.0001g</w:t>
            </w:r>
          </w:p>
        </w:tc>
        <w:tc>
          <w:tcPr>
            <w:tcW w:w="1490" w:type="dxa"/>
            <w:gridSpan w:val="2"/>
            <w:vAlign w:val="top"/>
          </w:tcPr>
          <w:p w14:paraId="36741ADD">
            <w:pPr>
              <w:autoSpaceDE w:val="0"/>
              <w:autoSpaceDN w:val="0"/>
              <w:spacing w:before="97"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967AEDC">
            <w:pPr>
              <w:autoSpaceDE w:val="0"/>
              <w:autoSpaceDN w:val="0"/>
              <w:rPr>
                <w:rFonts w:ascii="Arial"/>
                <w:color w:val="auto"/>
                <w:sz w:val="21"/>
                <w:highlight w:val="none"/>
              </w:rPr>
            </w:pPr>
          </w:p>
        </w:tc>
      </w:tr>
    </w:tbl>
    <w:p w14:paraId="4886E4B0">
      <w:pPr>
        <w:pStyle w:val="5"/>
        <w:tabs>
          <w:tab w:val="left" w:pos="7950"/>
        </w:tabs>
        <w:rPr>
          <w:rFonts w:ascii="Times New Roman" w:hAnsi="Times New Roman"/>
          <w:color w:val="auto"/>
          <w:szCs w:val="21"/>
          <w:highlight w:val="none"/>
        </w:rPr>
      </w:pPr>
    </w:p>
    <w:tbl>
      <w:tblPr>
        <w:tblStyle w:val="650"/>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6"/>
        <w:gridCol w:w="4203"/>
        <w:gridCol w:w="1490"/>
        <w:gridCol w:w="1840"/>
      </w:tblGrid>
      <w:tr w14:paraId="29B95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86" w:type="dxa"/>
            <w:vAlign w:val="top"/>
          </w:tcPr>
          <w:p w14:paraId="702FA483">
            <w:pPr>
              <w:autoSpaceDE w:val="0"/>
              <w:autoSpaceDN w:val="0"/>
              <w:spacing w:before="128"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62</w:t>
            </w:r>
          </w:p>
        </w:tc>
        <w:tc>
          <w:tcPr>
            <w:tcW w:w="4203" w:type="dxa"/>
            <w:vAlign w:val="top"/>
          </w:tcPr>
          <w:p w14:paraId="44958F2F">
            <w:pPr>
              <w:autoSpaceDE w:val="0"/>
              <w:autoSpaceDN w:val="0"/>
              <w:spacing w:before="97" w:line="222" w:lineRule="auto"/>
              <w:ind w:left="1838"/>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PH</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计</w:t>
            </w:r>
          </w:p>
        </w:tc>
        <w:tc>
          <w:tcPr>
            <w:tcW w:w="1490" w:type="dxa"/>
            <w:vAlign w:val="top"/>
          </w:tcPr>
          <w:p w14:paraId="74C90CA4">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7583A7F6">
            <w:pPr>
              <w:autoSpaceDE w:val="0"/>
              <w:autoSpaceDN w:val="0"/>
              <w:rPr>
                <w:rFonts w:ascii="Arial"/>
                <w:color w:val="auto"/>
                <w:sz w:val="21"/>
                <w:highlight w:val="none"/>
              </w:rPr>
            </w:pPr>
          </w:p>
        </w:tc>
      </w:tr>
      <w:tr w14:paraId="5D3A3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2F428D7A">
            <w:pPr>
              <w:autoSpaceDE w:val="0"/>
              <w:autoSpaceDN w:val="0"/>
              <w:spacing w:before="125"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63</w:t>
            </w:r>
          </w:p>
        </w:tc>
        <w:tc>
          <w:tcPr>
            <w:tcW w:w="4203" w:type="dxa"/>
            <w:vAlign w:val="top"/>
          </w:tcPr>
          <w:p w14:paraId="68029E1B">
            <w:pPr>
              <w:autoSpaceDE w:val="0"/>
              <w:autoSpaceDN w:val="0"/>
              <w:spacing w:before="93" w:line="221" w:lineRule="auto"/>
              <w:ind w:left="128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四联电炉(单个)</w:t>
            </w:r>
          </w:p>
        </w:tc>
        <w:tc>
          <w:tcPr>
            <w:tcW w:w="1490" w:type="dxa"/>
            <w:vAlign w:val="top"/>
          </w:tcPr>
          <w:p w14:paraId="101A5CC6">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46B45541">
            <w:pPr>
              <w:autoSpaceDE w:val="0"/>
              <w:autoSpaceDN w:val="0"/>
              <w:rPr>
                <w:rFonts w:ascii="Arial"/>
                <w:color w:val="auto"/>
                <w:sz w:val="21"/>
                <w:highlight w:val="none"/>
              </w:rPr>
            </w:pPr>
          </w:p>
        </w:tc>
      </w:tr>
      <w:tr w14:paraId="1DCC5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291B6304">
            <w:pPr>
              <w:autoSpaceDE w:val="0"/>
              <w:autoSpaceDN w:val="0"/>
              <w:spacing w:before="125"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64</w:t>
            </w:r>
          </w:p>
        </w:tc>
        <w:tc>
          <w:tcPr>
            <w:tcW w:w="4203" w:type="dxa"/>
            <w:vAlign w:val="top"/>
          </w:tcPr>
          <w:p w14:paraId="4A04FA31">
            <w:pPr>
              <w:autoSpaceDE w:val="0"/>
              <w:autoSpaceDN w:val="0"/>
              <w:spacing w:before="91" w:line="221" w:lineRule="auto"/>
              <w:ind w:left="179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w:t>
            </w:r>
            <w:r>
              <w:rPr>
                <w:rFonts w:ascii="宋体" w:hAnsi="宋体" w:eastAsia="宋体" w:cs="宋体"/>
                <w:color w:val="auto"/>
                <w:spacing w:val="-2"/>
                <w:sz w:val="21"/>
                <w:szCs w:val="21"/>
                <w:highlight w:val="none"/>
              </w:rPr>
              <w:t>温炉</w:t>
            </w:r>
          </w:p>
        </w:tc>
        <w:tc>
          <w:tcPr>
            <w:tcW w:w="1490" w:type="dxa"/>
            <w:vAlign w:val="top"/>
          </w:tcPr>
          <w:p w14:paraId="33EF5480">
            <w:pPr>
              <w:autoSpaceDE w:val="0"/>
              <w:autoSpaceDN w:val="0"/>
              <w:spacing w:before="91"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4E9807A5">
            <w:pPr>
              <w:autoSpaceDE w:val="0"/>
              <w:autoSpaceDN w:val="0"/>
              <w:rPr>
                <w:rFonts w:ascii="Arial"/>
                <w:color w:val="auto"/>
                <w:sz w:val="21"/>
                <w:highlight w:val="none"/>
              </w:rPr>
            </w:pPr>
          </w:p>
        </w:tc>
      </w:tr>
      <w:tr w14:paraId="09ACD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6C36C2A7">
            <w:pPr>
              <w:autoSpaceDE w:val="0"/>
              <w:autoSpaceDN w:val="0"/>
              <w:spacing w:before="123"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65</w:t>
            </w:r>
          </w:p>
        </w:tc>
        <w:tc>
          <w:tcPr>
            <w:tcW w:w="4203" w:type="dxa"/>
            <w:vAlign w:val="top"/>
          </w:tcPr>
          <w:p w14:paraId="00F0916B">
            <w:pPr>
              <w:autoSpaceDE w:val="0"/>
              <w:autoSpaceDN w:val="0"/>
              <w:spacing w:before="91" w:line="221" w:lineRule="auto"/>
              <w:ind w:left="116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不锈钢电热恒温水</w:t>
            </w:r>
            <w:r>
              <w:rPr>
                <w:rFonts w:ascii="宋体" w:hAnsi="宋体" w:eastAsia="宋体" w:cs="宋体"/>
                <w:color w:val="auto"/>
                <w:sz w:val="21"/>
                <w:szCs w:val="21"/>
                <w:highlight w:val="none"/>
              </w:rPr>
              <w:t>箱</w:t>
            </w:r>
          </w:p>
        </w:tc>
        <w:tc>
          <w:tcPr>
            <w:tcW w:w="1490" w:type="dxa"/>
            <w:vAlign w:val="top"/>
          </w:tcPr>
          <w:p w14:paraId="2D0FA3DC">
            <w:pPr>
              <w:autoSpaceDE w:val="0"/>
              <w:autoSpaceDN w:val="0"/>
              <w:spacing w:before="91"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09FA663F">
            <w:pPr>
              <w:autoSpaceDE w:val="0"/>
              <w:autoSpaceDN w:val="0"/>
              <w:rPr>
                <w:rFonts w:ascii="Arial"/>
                <w:color w:val="auto"/>
                <w:sz w:val="21"/>
                <w:highlight w:val="none"/>
              </w:rPr>
            </w:pPr>
          </w:p>
        </w:tc>
      </w:tr>
      <w:tr w14:paraId="27CE9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54A77402">
            <w:pPr>
              <w:autoSpaceDE w:val="0"/>
              <w:autoSpaceDN w:val="0"/>
              <w:spacing w:before="126"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66</w:t>
            </w:r>
          </w:p>
        </w:tc>
        <w:tc>
          <w:tcPr>
            <w:tcW w:w="4203" w:type="dxa"/>
            <w:vAlign w:val="top"/>
          </w:tcPr>
          <w:p w14:paraId="17E00BF5">
            <w:pPr>
              <w:autoSpaceDE w:val="0"/>
              <w:autoSpaceDN w:val="0"/>
              <w:spacing w:before="92" w:line="222" w:lineRule="auto"/>
              <w:ind w:left="14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不锈</w:t>
            </w:r>
            <w:r>
              <w:rPr>
                <w:rFonts w:ascii="宋体" w:hAnsi="宋体" w:eastAsia="宋体" w:cs="宋体"/>
                <w:color w:val="auto"/>
                <w:spacing w:val="-1"/>
                <w:sz w:val="21"/>
                <w:szCs w:val="21"/>
                <w:highlight w:val="none"/>
              </w:rPr>
              <w:t>钢蒸馏器</w:t>
            </w:r>
          </w:p>
        </w:tc>
        <w:tc>
          <w:tcPr>
            <w:tcW w:w="1490" w:type="dxa"/>
            <w:vAlign w:val="top"/>
          </w:tcPr>
          <w:p w14:paraId="33C1D1E7">
            <w:pPr>
              <w:autoSpaceDE w:val="0"/>
              <w:autoSpaceDN w:val="0"/>
              <w:spacing w:before="92" w:line="221"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1840" w:type="dxa"/>
            <w:vAlign w:val="top"/>
          </w:tcPr>
          <w:p w14:paraId="4341B08D">
            <w:pPr>
              <w:autoSpaceDE w:val="0"/>
              <w:autoSpaceDN w:val="0"/>
              <w:rPr>
                <w:rFonts w:ascii="Arial"/>
                <w:color w:val="auto"/>
                <w:sz w:val="21"/>
                <w:highlight w:val="none"/>
              </w:rPr>
            </w:pPr>
          </w:p>
        </w:tc>
      </w:tr>
      <w:tr w14:paraId="23009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1C23F4D0">
            <w:pPr>
              <w:autoSpaceDE w:val="0"/>
              <w:autoSpaceDN w:val="0"/>
              <w:spacing w:before="123"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67</w:t>
            </w:r>
          </w:p>
        </w:tc>
        <w:tc>
          <w:tcPr>
            <w:tcW w:w="4203" w:type="dxa"/>
            <w:vAlign w:val="top"/>
          </w:tcPr>
          <w:p w14:paraId="3B40069F">
            <w:pPr>
              <w:autoSpaceDE w:val="0"/>
              <w:autoSpaceDN w:val="0"/>
              <w:spacing w:before="92" w:line="222" w:lineRule="auto"/>
              <w:ind w:left="168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化学</w:t>
            </w:r>
            <w:r>
              <w:rPr>
                <w:rFonts w:ascii="宋体" w:hAnsi="宋体" w:eastAsia="宋体" w:cs="宋体"/>
                <w:color w:val="auto"/>
                <w:spacing w:val="-1"/>
                <w:sz w:val="21"/>
                <w:szCs w:val="21"/>
                <w:highlight w:val="none"/>
              </w:rPr>
              <w:t>器皿</w:t>
            </w:r>
          </w:p>
        </w:tc>
        <w:tc>
          <w:tcPr>
            <w:tcW w:w="1490" w:type="dxa"/>
            <w:vAlign w:val="top"/>
          </w:tcPr>
          <w:p w14:paraId="070F8644">
            <w:pPr>
              <w:autoSpaceDE w:val="0"/>
              <w:autoSpaceDN w:val="0"/>
              <w:spacing w:before="92" w:line="221"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1840" w:type="dxa"/>
            <w:vAlign w:val="top"/>
          </w:tcPr>
          <w:p w14:paraId="3143BC99">
            <w:pPr>
              <w:autoSpaceDE w:val="0"/>
              <w:autoSpaceDN w:val="0"/>
              <w:rPr>
                <w:rFonts w:ascii="Arial"/>
                <w:color w:val="auto"/>
                <w:sz w:val="21"/>
                <w:highlight w:val="none"/>
              </w:rPr>
            </w:pPr>
          </w:p>
        </w:tc>
      </w:tr>
      <w:tr w14:paraId="57A33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1031B74C">
            <w:pPr>
              <w:autoSpaceDE w:val="0"/>
              <w:autoSpaceDN w:val="0"/>
              <w:rPr>
                <w:rFonts w:ascii="Arial"/>
                <w:color w:val="auto"/>
                <w:sz w:val="21"/>
                <w:highlight w:val="none"/>
              </w:rPr>
            </w:pPr>
          </w:p>
        </w:tc>
        <w:tc>
          <w:tcPr>
            <w:tcW w:w="4203" w:type="dxa"/>
            <w:vAlign w:val="top"/>
          </w:tcPr>
          <w:p w14:paraId="12DB00A3">
            <w:pPr>
              <w:autoSpaceDE w:val="0"/>
              <w:autoSpaceDN w:val="0"/>
              <w:spacing w:before="93" w:line="221" w:lineRule="auto"/>
              <w:ind w:left="17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滴定</w:t>
            </w:r>
            <w:r>
              <w:rPr>
                <w:rFonts w:ascii="宋体" w:hAnsi="宋体" w:eastAsia="宋体" w:cs="宋体"/>
                <w:color w:val="auto"/>
                <w:spacing w:val="-1"/>
                <w:sz w:val="21"/>
                <w:szCs w:val="21"/>
                <w:highlight w:val="none"/>
              </w:rPr>
              <w:t>台</w:t>
            </w:r>
          </w:p>
        </w:tc>
        <w:tc>
          <w:tcPr>
            <w:tcW w:w="1490" w:type="dxa"/>
            <w:vAlign w:val="top"/>
          </w:tcPr>
          <w:p w14:paraId="757E0F75">
            <w:pPr>
              <w:autoSpaceDE w:val="0"/>
              <w:autoSpaceDN w:val="0"/>
              <w:spacing w:before="93" w:line="221"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1840" w:type="dxa"/>
            <w:vAlign w:val="top"/>
          </w:tcPr>
          <w:p w14:paraId="65F60EDE">
            <w:pPr>
              <w:autoSpaceDE w:val="0"/>
              <w:autoSpaceDN w:val="0"/>
              <w:rPr>
                <w:rFonts w:ascii="Arial"/>
                <w:color w:val="auto"/>
                <w:sz w:val="21"/>
                <w:highlight w:val="none"/>
              </w:rPr>
            </w:pPr>
          </w:p>
        </w:tc>
      </w:tr>
      <w:tr w14:paraId="6315E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219" w:type="dxa"/>
            <w:gridSpan w:val="4"/>
            <w:vAlign w:val="top"/>
          </w:tcPr>
          <w:p w14:paraId="229291F8">
            <w:pPr>
              <w:autoSpaceDE w:val="0"/>
              <w:autoSpaceDN w:val="0"/>
              <w:spacing w:before="92" w:line="221" w:lineRule="auto"/>
              <w:ind w:left="347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四、集料类试验</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仪器设备</w:t>
            </w:r>
          </w:p>
        </w:tc>
      </w:tr>
      <w:tr w14:paraId="305F59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vAlign w:val="top"/>
          </w:tcPr>
          <w:p w14:paraId="42415C52">
            <w:pPr>
              <w:autoSpaceDE w:val="0"/>
              <w:autoSpaceDN w:val="0"/>
              <w:spacing w:before="124"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68</w:t>
            </w:r>
          </w:p>
        </w:tc>
        <w:tc>
          <w:tcPr>
            <w:tcW w:w="4203" w:type="dxa"/>
            <w:vAlign w:val="top"/>
          </w:tcPr>
          <w:p w14:paraId="26FA9540">
            <w:pPr>
              <w:autoSpaceDE w:val="0"/>
              <w:autoSpaceDN w:val="0"/>
              <w:spacing w:before="93" w:line="221" w:lineRule="auto"/>
              <w:ind w:left="137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数显示电热烘箱</w:t>
            </w:r>
          </w:p>
        </w:tc>
        <w:tc>
          <w:tcPr>
            <w:tcW w:w="1490" w:type="dxa"/>
            <w:vAlign w:val="top"/>
          </w:tcPr>
          <w:p w14:paraId="67AC53A2">
            <w:pPr>
              <w:autoSpaceDE w:val="0"/>
              <w:autoSpaceDN w:val="0"/>
              <w:spacing w:before="93" w:line="223" w:lineRule="auto"/>
              <w:ind w:left="564"/>
              <w:rPr>
                <w:rFonts w:ascii="宋体" w:hAnsi="宋体" w:eastAsia="宋体" w:cs="宋体"/>
                <w:color w:val="auto"/>
                <w:sz w:val="21"/>
                <w:szCs w:val="21"/>
                <w:highlight w:val="none"/>
              </w:rPr>
            </w:pPr>
            <w:r>
              <w:rPr>
                <w:rFonts w:ascii="Times New Roman" w:hAnsi="Times New Roman" w:eastAsia="Times New Roman" w:cs="Times New Roman"/>
                <w:color w:val="auto"/>
                <w:spacing w:val="7"/>
                <w:sz w:val="21"/>
                <w:szCs w:val="21"/>
                <w:highlight w:val="none"/>
              </w:rPr>
              <w:t xml:space="preserve">2 </w:t>
            </w:r>
            <w:r>
              <w:rPr>
                <w:rFonts w:ascii="宋体" w:hAnsi="宋体" w:eastAsia="宋体" w:cs="宋体"/>
                <w:color w:val="auto"/>
                <w:spacing w:val="7"/>
                <w:sz w:val="21"/>
                <w:szCs w:val="21"/>
                <w:highlight w:val="none"/>
              </w:rPr>
              <w:t>台</w:t>
            </w:r>
          </w:p>
        </w:tc>
        <w:tc>
          <w:tcPr>
            <w:tcW w:w="1840" w:type="dxa"/>
            <w:vAlign w:val="top"/>
          </w:tcPr>
          <w:p w14:paraId="16908B56">
            <w:pPr>
              <w:autoSpaceDE w:val="0"/>
              <w:autoSpaceDN w:val="0"/>
              <w:spacing w:before="124" w:line="187" w:lineRule="auto"/>
              <w:ind w:left="48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4"/>
                <w:sz w:val="21"/>
                <w:szCs w:val="21"/>
                <w:highlight w:val="none"/>
              </w:rPr>
              <w:t>45</w:t>
            </w:r>
            <w:r>
              <w:rPr>
                <w:rFonts w:ascii="Times New Roman" w:hAnsi="Times New Roman" w:eastAsia="Times New Roman" w:cs="Times New Roman"/>
                <w:color w:val="auto"/>
                <w:spacing w:val="3"/>
                <w:sz w:val="21"/>
                <w:szCs w:val="21"/>
                <w:highlight w:val="none"/>
              </w:rPr>
              <w:t>×</w:t>
            </w:r>
            <w:r>
              <w:rPr>
                <w:rFonts w:ascii="Times New Roman" w:hAnsi="Times New Roman" w:eastAsia="Times New Roman" w:cs="Times New Roman"/>
                <w:color w:val="auto"/>
                <w:spacing w:val="2"/>
                <w:sz w:val="21"/>
                <w:szCs w:val="21"/>
                <w:highlight w:val="none"/>
              </w:rPr>
              <w:t>55×55</w:t>
            </w:r>
          </w:p>
        </w:tc>
      </w:tr>
      <w:tr w14:paraId="6948C7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73CD512F">
            <w:pPr>
              <w:autoSpaceDE w:val="0"/>
              <w:autoSpaceDN w:val="0"/>
              <w:spacing w:before="126" w:line="187" w:lineRule="auto"/>
              <w:ind w:left="74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69</w:t>
            </w:r>
          </w:p>
        </w:tc>
        <w:tc>
          <w:tcPr>
            <w:tcW w:w="4203" w:type="dxa"/>
            <w:vAlign w:val="top"/>
          </w:tcPr>
          <w:p w14:paraId="44007390">
            <w:pPr>
              <w:autoSpaceDE w:val="0"/>
              <w:autoSpaceDN w:val="0"/>
              <w:spacing w:before="92" w:line="221" w:lineRule="auto"/>
              <w:ind w:left="11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数显示电热鼓风</w:t>
            </w:r>
            <w:r>
              <w:rPr>
                <w:rFonts w:ascii="宋体" w:hAnsi="宋体" w:eastAsia="宋体" w:cs="宋体"/>
                <w:color w:val="auto"/>
                <w:sz w:val="21"/>
                <w:szCs w:val="21"/>
                <w:highlight w:val="none"/>
              </w:rPr>
              <w:t>烘箱</w:t>
            </w:r>
          </w:p>
        </w:tc>
        <w:tc>
          <w:tcPr>
            <w:tcW w:w="1490" w:type="dxa"/>
            <w:vAlign w:val="top"/>
          </w:tcPr>
          <w:p w14:paraId="083CA5B0">
            <w:pPr>
              <w:autoSpaceDE w:val="0"/>
              <w:autoSpaceDN w:val="0"/>
              <w:spacing w:before="92"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5661DC90">
            <w:pPr>
              <w:autoSpaceDE w:val="0"/>
              <w:autoSpaceDN w:val="0"/>
              <w:spacing w:before="126" w:line="187" w:lineRule="auto"/>
              <w:ind w:left="44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
                <w:sz w:val="21"/>
                <w:szCs w:val="21"/>
                <w:highlight w:val="none"/>
              </w:rPr>
              <w:t>80×8</w:t>
            </w:r>
            <w:r>
              <w:rPr>
                <w:rFonts w:ascii="Times New Roman" w:hAnsi="Times New Roman" w:eastAsia="Times New Roman" w:cs="Times New Roman"/>
                <w:color w:val="auto"/>
                <w:sz w:val="21"/>
                <w:szCs w:val="21"/>
                <w:highlight w:val="none"/>
              </w:rPr>
              <w:t>0×100</w:t>
            </w:r>
          </w:p>
        </w:tc>
      </w:tr>
      <w:tr w14:paraId="504C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5400F0BC">
            <w:pPr>
              <w:autoSpaceDE w:val="0"/>
              <w:autoSpaceDN w:val="0"/>
              <w:spacing w:before="124"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71</w:t>
            </w:r>
          </w:p>
        </w:tc>
        <w:tc>
          <w:tcPr>
            <w:tcW w:w="4203" w:type="dxa"/>
            <w:vAlign w:val="top"/>
          </w:tcPr>
          <w:p w14:paraId="10FC0750">
            <w:pPr>
              <w:autoSpaceDE w:val="0"/>
              <w:autoSpaceDN w:val="0"/>
              <w:spacing w:before="92" w:line="221" w:lineRule="auto"/>
              <w:ind w:left="147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压碎值测定仪</w:t>
            </w:r>
          </w:p>
        </w:tc>
        <w:tc>
          <w:tcPr>
            <w:tcW w:w="1490" w:type="dxa"/>
            <w:vAlign w:val="top"/>
          </w:tcPr>
          <w:p w14:paraId="6284A266">
            <w:pPr>
              <w:autoSpaceDE w:val="0"/>
              <w:autoSpaceDN w:val="0"/>
              <w:spacing w:before="92"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F1F90E9">
            <w:pPr>
              <w:autoSpaceDE w:val="0"/>
              <w:autoSpaceDN w:val="0"/>
              <w:rPr>
                <w:rFonts w:ascii="Arial"/>
                <w:color w:val="auto"/>
                <w:sz w:val="21"/>
                <w:highlight w:val="none"/>
              </w:rPr>
            </w:pPr>
          </w:p>
        </w:tc>
      </w:tr>
      <w:tr w14:paraId="2EF33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32929F60">
            <w:pPr>
              <w:autoSpaceDE w:val="0"/>
              <w:autoSpaceDN w:val="0"/>
              <w:spacing w:before="127"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72</w:t>
            </w:r>
          </w:p>
        </w:tc>
        <w:tc>
          <w:tcPr>
            <w:tcW w:w="4203" w:type="dxa"/>
            <w:vAlign w:val="top"/>
          </w:tcPr>
          <w:p w14:paraId="4A033C91">
            <w:pPr>
              <w:autoSpaceDE w:val="0"/>
              <w:autoSpaceDN w:val="0"/>
              <w:spacing w:before="93" w:line="221" w:lineRule="auto"/>
              <w:ind w:left="147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针片状规准</w:t>
            </w:r>
            <w:r>
              <w:rPr>
                <w:rFonts w:ascii="宋体" w:hAnsi="宋体" w:eastAsia="宋体" w:cs="宋体"/>
                <w:color w:val="auto"/>
                <w:sz w:val="21"/>
                <w:szCs w:val="21"/>
                <w:highlight w:val="none"/>
              </w:rPr>
              <w:t>仪</w:t>
            </w:r>
          </w:p>
        </w:tc>
        <w:tc>
          <w:tcPr>
            <w:tcW w:w="1490" w:type="dxa"/>
            <w:vAlign w:val="top"/>
          </w:tcPr>
          <w:p w14:paraId="3537D115">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6D25456D">
            <w:pPr>
              <w:autoSpaceDE w:val="0"/>
              <w:autoSpaceDN w:val="0"/>
              <w:rPr>
                <w:rFonts w:ascii="Arial"/>
                <w:color w:val="auto"/>
                <w:sz w:val="21"/>
                <w:highlight w:val="none"/>
              </w:rPr>
            </w:pPr>
          </w:p>
        </w:tc>
      </w:tr>
      <w:tr w14:paraId="50E1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09CCE74D">
            <w:pPr>
              <w:autoSpaceDE w:val="0"/>
              <w:autoSpaceDN w:val="0"/>
              <w:spacing w:before="125"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73</w:t>
            </w:r>
          </w:p>
        </w:tc>
        <w:tc>
          <w:tcPr>
            <w:tcW w:w="4203" w:type="dxa"/>
            <w:vAlign w:val="top"/>
          </w:tcPr>
          <w:p w14:paraId="76666D5C">
            <w:pPr>
              <w:autoSpaceDE w:val="0"/>
              <w:autoSpaceDN w:val="0"/>
              <w:spacing w:before="93" w:line="221" w:lineRule="auto"/>
              <w:ind w:left="147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浸水力学天</w:t>
            </w:r>
            <w:r>
              <w:rPr>
                <w:rFonts w:ascii="宋体" w:hAnsi="宋体" w:eastAsia="宋体" w:cs="宋体"/>
                <w:color w:val="auto"/>
                <w:sz w:val="21"/>
                <w:szCs w:val="21"/>
                <w:highlight w:val="none"/>
              </w:rPr>
              <w:t>平</w:t>
            </w:r>
          </w:p>
        </w:tc>
        <w:tc>
          <w:tcPr>
            <w:tcW w:w="1490" w:type="dxa"/>
            <w:vAlign w:val="top"/>
          </w:tcPr>
          <w:p w14:paraId="7E732A5B">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866ECEC">
            <w:pPr>
              <w:autoSpaceDE w:val="0"/>
              <w:autoSpaceDN w:val="0"/>
              <w:spacing w:before="121" w:line="191" w:lineRule="auto"/>
              <w:ind w:left="45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8"/>
                <w:sz w:val="21"/>
                <w:szCs w:val="21"/>
                <w:highlight w:val="none"/>
              </w:rPr>
              <w:t>5</w:t>
            </w:r>
            <w:r>
              <w:rPr>
                <w:rFonts w:ascii="Times New Roman" w:hAnsi="Times New Roman" w:eastAsia="Times New Roman" w:cs="Times New Roman"/>
                <w:color w:val="auto"/>
                <w:spacing w:val="-5"/>
                <w:sz w:val="21"/>
                <w:szCs w:val="21"/>
                <w:highlight w:val="none"/>
              </w:rPr>
              <w:t>0</w:t>
            </w:r>
            <w:r>
              <w:rPr>
                <w:rFonts w:ascii="Times New Roman" w:hAnsi="Times New Roman" w:eastAsia="Times New Roman" w:cs="Times New Roman"/>
                <w:color w:val="auto"/>
                <w:spacing w:val="-4"/>
                <w:sz w:val="21"/>
                <w:szCs w:val="21"/>
                <w:highlight w:val="none"/>
              </w:rPr>
              <w:t>00g/0. 1g</w:t>
            </w:r>
          </w:p>
        </w:tc>
      </w:tr>
      <w:tr w14:paraId="03D32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350E8663">
            <w:pPr>
              <w:autoSpaceDE w:val="0"/>
              <w:autoSpaceDN w:val="0"/>
              <w:spacing w:before="128"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74</w:t>
            </w:r>
          </w:p>
        </w:tc>
        <w:tc>
          <w:tcPr>
            <w:tcW w:w="4203" w:type="dxa"/>
            <w:vAlign w:val="top"/>
          </w:tcPr>
          <w:p w14:paraId="70EC645A">
            <w:pPr>
              <w:autoSpaceDE w:val="0"/>
              <w:autoSpaceDN w:val="0"/>
              <w:spacing w:before="96" w:line="220" w:lineRule="auto"/>
              <w:ind w:left="534"/>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路</w:t>
            </w:r>
            <w:r>
              <w:rPr>
                <w:rFonts w:ascii="宋体" w:hAnsi="宋体" w:eastAsia="宋体" w:cs="宋体"/>
                <w:color w:val="auto"/>
                <w:spacing w:val="10"/>
                <w:sz w:val="21"/>
                <w:szCs w:val="21"/>
                <w:highlight w:val="none"/>
              </w:rPr>
              <w:t>面</w:t>
            </w:r>
            <w:r>
              <w:rPr>
                <w:rFonts w:ascii="宋体" w:hAnsi="宋体" w:eastAsia="宋体" w:cs="宋体"/>
                <w:color w:val="auto"/>
                <w:spacing w:val="6"/>
                <w:sz w:val="21"/>
                <w:szCs w:val="21"/>
                <w:highlight w:val="none"/>
              </w:rPr>
              <w:t>材料强度试验仪(感应力环)</w:t>
            </w:r>
          </w:p>
        </w:tc>
        <w:tc>
          <w:tcPr>
            <w:tcW w:w="1490" w:type="dxa"/>
            <w:vAlign w:val="top"/>
          </w:tcPr>
          <w:p w14:paraId="1DEF90EE">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D25ACC0">
            <w:pPr>
              <w:autoSpaceDE w:val="0"/>
              <w:autoSpaceDN w:val="0"/>
              <w:rPr>
                <w:rFonts w:ascii="Arial"/>
                <w:color w:val="auto"/>
                <w:sz w:val="21"/>
                <w:highlight w:val="none"/>
              </w:rPr>
            </w:pPr>
          </w:p>
        </w:tc>
      </w:tr>
      <w:tr w14:paraId="00B91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45467A13">
            <w:pPr>
              <w:autoSpaceDE w:val="0"/>
              <w:autoSpaceDN w:val="0"/>
              <w:spacing w:before="131" w:line="184"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75</w:t>
            </w:r>
          </w:p>
        </w:tc>
        <w:tc>
          <w:tcPr>
            <w:tcW w:w="4203" w:type="dxa"/>
            <w:vAlign w:val="top"/>
          </w:tcPr>
          <w:p w14:paraId="56B5878A">
            <w:pPr>
              <w:autoSpaceDE w:val="0"/>
              <w:autoSpaceDN w:val="0"/>
              <w:spacing w:before="94" w:line="220" w:lineRule="auto"/>
              <w:ind w:left="158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磁力搅拌机</w:t>
            </w:r>
          </w:p>
        </w:tc>
        <w:tc>
          <w:tcPr>
            <w:tcW w:w="1490" w:type="dxa"/>
            <w:vAlign w:val="top"/>
          </w:tcPr>
          <w:p w14:paraId="0DBFFA68">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67D27F0B">
            <w:pPr>
              <w:autoSpaceDE w:val="0"/>
              <w:autoSpaceDN w:val="0"/>
              <w:rPr>
                <w:rFonts w:ascii="Arial"/>
                <w:color w:val="auto"/>
                <w:sz w:val="21"/>
                <w:highlight w:val="none"/>
              </w:rPr>
            </w:pPr>
          </w:p>
        </w:tc>
      </w:tr>
      <w:tr w14:paraId="1FA8B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vAlign w:val="top"/>
          </w:tcPr>
          <w:p w14:paraId="692C93E7">
            <w:pPr>
              <w:autoSpaceDE w:val="0"/>
              <w:autoSpaceDN w:val="0"/>
              <w:spacing w:before="125"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76</w:t>
            </w:r>
          </w:p>
        </w:tc>
        <w:tc>
          <w:tcPr>
            <w:tcW w:w="4203" w:type="dxa"/>
            <w:vAlign w:val="top"/>
          </w:tcPr>
          <w:p w14:paraId="752667E0">
            <w:pPr>
              <w:autoSpaceDE w:val="0"/>
              <w:autoSpaceDN w:val="0"/>
              <w:spacing w:before="93" w:line="221" w:lineRule="auto"/>
              <w:ind w:left="147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砂当量试</w:t>
            </w:r>
            <w:r>
              <w:rPr>
                <w:rFonts w:ascii="宋体" w:hAnsi="宋体" w:eastAsia="宋体" w:cs="宋体"/>
                <w:color w:val="auto"/>
                <w:sz w:val="21"/>
                <w:szCs w:val="21"/>
                <w:highlight w:val="none"/>
              </w:rPr>
              <w:t>验仪</w:t>
            </w:r>
          </w:p>
        </w:tc>
        <w:tc>
          <w:tcPr>
            <w:tcW w:w="1490" w:type="dxa"/>
            <w:vAlign w:val="top"/>
          </w:tcPr>
          <w:p w14:paraId="1AC39391">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1080B5FE">
            <w:pPr>
              <w:autoSpaceDE w:val="0"/>
              <w:autoSpaceDN w:val="0"/>
              <w:rPr>
                <w:rFonts w:ascii="Arial"/>
                <w:color w:val="auto"/>
                <w:sz w:val="21"/>
                <w:highlight w:val="none"/>
              </w:rPr>
            </w:pPr>
          </w:p>
        </w:tc>
      </w:tr>
      <w:tr w14:paraId="22293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219" w:type="dxa"/>
            <w:gridSpan w:val="4"/>
            <w:vAlign w:val="top"/>
          </w:tcPr>
          <w:p w14:paraId="6DC8D83B">
            <w:pPr>
              <w:autoSpaceDE w:val="0"/>
              <w:autoSpaceDN w:val="0"/>
              <w:spacing w:before="94" w:line="220" w:lineRule="auto"/>
              <w:ind w:left="30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五</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、钢筋及建材力学试验仪器设备</w:t>
            </w:r>
          </w:p>
        </w:tc>
      </w:tr>
      <w:tr w14:paraId="60869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427A50C3">
            <w:pPr>
              <w:autoSpaceDE w:val="0"/>
              <w:autoSpaceDN w:val="0"/>
              <w:spacing w:before="128" w:line="184"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77</w:t>
            </w:r>
          </w:p>
        </w:tc>
        <w:tc>
          <w:tcPr>
            <w:tcW w:w="4203" w:type="dxa"/>
            <w:vAlign w:val="top"/>
          </w:tcPr>
          <w:p w14:paraId="26CC5A4B">
            <w:pPr>
              <w:autoSpaceDE w:val="0"/>
              <w:autoSpaceDN w:val="0"/>
              <w:spacing w:before="94" w:line="220" w:lineRule="auto"/>
              <w:ind w:left="109"/>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恒</w:t>
            </w:r>
            <w:r>
              <w:rPr>
                <w:rFonts w:ascii="宋体" w:hAnsi="宋体" w:eastAsia="宋体" w:cs="宋体"/>
                <w:color w:val="auto"/>
                <w:spacing w:val="5"/>
                <w:sz w:val="21"/>
                <w:szCs w:val="21"/>
                <w:highlight w:val="none"/>
              </w:rPr>
              <w:t>应力水泥压力试验机(数显) 含抗折夹具</w:t>
            </w:r>
          </w:p>
        </w:tc>
        <w:tc>
          <w:tcPr>
            <w:tcW w:w="1490" w:type="dxa"/>
            <w:vAlign w:val="top"/>
          </w:tcPr>
          <w:p w14:paraId="54CBEC9B">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13A1F64F">
            <w:pPr>
              <w:autoSpaceDE w:val="0"/>
              <w:autoSpaceDN w:val="0"/>
              <w:spacing w:before="122" w:line="230" w:lineRule="auto"/>
              <w:ind w:left="72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0"/>
                <w:sz w:val="21"/>
                <w:szCs w:val="21"/>
                <w:highlight w:val="none"/>
              </w:rPr>
              <w:t>±1%</w:t>
            </w:r>
          </w:p>
        </w:tc>
      </w:tr>
      <w:tr w14:paraId="0A132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55285EB5">
            <w:pPr>
              <w:autoSpaceDE w:val="0"/>
              <w:autoSpaceDN w:val="0"/>
              <w:spacing w:before="128"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78</w:t>
            </w:r>
          </w:p>
        </w:tc>
        <w:tc>
          <w:tcPr>
            <w:tcW w:w="4203" w:type="dxa"/>
            <w:vAlign w:val="top"/>
          </w:tcPr>
          <w:p w14:paraId="5421D5D2">
            <w:pPr>
              <w:autoSpaceDE w:val="0"/>
              <w:autoSpaceDN w:val="0"/>
              <w:spacing w:before="94" w:line="220" w:lineRule="auto"/>
              <w:ind w:left="771"/>
              <w:rPr>
                <w:rFonts w:ascii="宋体" w:hAnsi="宋体" w:eastAsia="宋体" w:cs="宋体"/>
                <w:color w:val="auto"/>
                <w:sz w:val="21"/>
                <w:szCs w:val="21"/>
                <w:highlight w:val="none"/>
              </w:rPr>
            </w:pPr>
            <w:r>
              <w:rPr>
                <w:rFonts w:ascii="Times New Roman" w:hAnsi="Times New Roman" w:eastAsia="Times New Roman" w:cs="Times New Roman"/>
                <w:color w:val="auto"/>
                <w:spacing w:val="11"/>
                <w:sz w:val="21"/>
                <w:szCs w:val="21"/>
                <w:highlight w:val="none"/>
              </w:rPr>
              <w:t>2</w:t>
            </w:r>
            <w:r>
              <w:rPr>
                <w:rFonts w:ascii="Times New Roman" w:hAnsi="Times New Roman" w:eastAsia="Times New Roman" w:cs="Times New Roman"/>
                <w:color w:val="auto"/>
                <w:spacing w:val="7"/>
                <w:sz w:val="21"/>
                <w:szCs w:val="21"/>
                <w:highlight w:val="none"/>
              </w:rPr>
              <w:t>000</w:t>
            </w:r>
            <w:r>
              <w:rPr>
                <w:rFonts w:ascii="Times New Roman" w:hAnsi="Times New Roman" w:eastAsia="Times New Roman" w:cs="Times New Roman"/>
                <w:color w:val="auto"/>
                <w:sz w:val="21"/>
                <w:szCs w:val="21"/>
                <w:highlight w:val="none"/>
              </w:rPr>
              <w:t>KN</w:t>
            </w:r>
            <w:r>
              <w:rPr>
                <w:rFonts w:ascii="Times New Roman" w:hAnsi="Times New Roman" w:eastAsia="Times New Roman" w:cs="Times New Roman"/>
                <w:color w:val="auto"/>
                <w:spacing w:val="7"/>
                <w:sz w:val="21"/>
                <w:szCs w:val="21"/>
                <w:highlight w:val="none"/>
              </w:rPr>
              <w:t xml:space="preserve"> </w:t>
            </w:r>
            <w:r>
              <w:rPr>
                <w:rFonts w:ascii="宋体" w:hAnsi="宋体" w:eastAsia="宋体" w:cs="宋体"/>
                <w:color w:val="auto"/>
                <w:spacing w:val="7"/>
                <w:sz w:val="21"/>
                <w:szCs w:val="21"/>
                <w:highlight w:val="none"/>
              </w:rPr>
              <w:t>压力试验机(数显)</w:t>
            </w:r>
          </w:p>
        </w:tc>
        <w:tc>
          <w:tcPr>
            <w:tcW w:w="1490" w:type="dxa"/>
            <w:vAlign w:val="top"/>
          </w:tcPr>
          <w:p w14:paraId="7D032893">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624421B4">
            <w:pPr>
              <w:autoSpaceDE w:val="0"/>
              <w:autoSpaceDN w:val="0"/>
              <w:spacing w:before="89" w:line="236" w:lineRule="auto"/>
              <w:ind w:left="887"/>
              <w:rPr>
                <w:rFonts w:ascii="宋体" w:hAnsi="宋体" w:eastAsia="宋体" w:cs="宋体"/>
                <w:color w:val="auto"/>
                <w:sz w:val="21"/>
                <w:szCs w:val="21"/>
                <w:highlight w:val="none"/>
              </w:rPr>
            </w:pPr>
            <w:r>
              <w:rPr>
                <w:rFonts w:ascii="宋体" w:hAnsi="宋体" w:eastAsia="宋体" w:cs="宋体"/>
                <w:color w:val="auto"/>
                <w:sz w:val="21"/>
                <w:szCs w:val="21"/>
                <w:highlight w:val="none"/>
              </w:rPr>
              <w:t>Ⅰ</w:t>
            </w:r>
          </w:p>
        </w:tc>
      </w:tr>
      <w:tr w14:paraId="47EE0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7F0715E8">
            <w:pPr>
              <w:autoSpaceDE w:val="0"/>
              <w:autoSpaceDN w:val="0"/>
              <w:spacing w:before="126" w:line="187" w:lineRule="auto"/>
              <w:ind w:left="7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79</w:t>
            </w:r>
          </w:p>
        </w:tc>
        <w:tc>
          <w:tcPr>
            <w:tcW w:w="4203" w:type="dxa"/>
            <w:vAlign w:val="top"/>
          </w:tcPr>
          <w:p w14:paraId="41F70CA9">
            <w:pPr>
              <w:autoSpaceDE w:val="0"/>
              <w:autoSpaceDN w:val="0"/>
              <w:spacing w:before="94" w:line="220" w:lineRule="auto"/>
              <w:ind w:left="128"/>
              <w:rPr>
                <w:rFonts w:ascii="宋体" w:hAnsi="宋体" w:eastAsia="宋体" w:cs="宋体"/>
                <w:color w:val="auto"/>
                <w:sz w:val="21"/>
                <w:szCs w:val="21"/>
                <w:highlight w:val="none"/>
              </w:rPr>
            </w:pPr>
            <w:r>
              <w:rPr>
                <w:rFonts w:ascii="Times New Roman" w:hAnsi="Times New Roman" w:eastAsia="Times New Roman" w:cs="Times New Roman"/>
                <w:color w:val="auto"/>
                <w:spacing w:val="-6"/>
                <w:sz w:val="21"/>
                <w:szCs w:val="21"/>
                <w:highlight w:val="none"/>
              </w:rPr>
              <w:t>10</w:t>
            </w:r>
            <w:r>
              <w:rPr>
                <w:rFonts w:ascii="Times New Roman" w:hAnsi="Times New Roman" w:eastAsia="Times New Roman" w:cs="Times New Roman"/>
                <w:color w:val="auto"/>
                <w:spacing w:val="-4"/>
                <w:sz w:val="21"/>
                <w:szCs w:val="21"/>
                <w:highlight w:val="none"/>
              </w:rPr>
              <w:t>0</w:t>
            </w:r>
            <w:r>
              <w:rPr>
                <w:rFonts w:ascii="Times New Roman" w:hAnsi="Times New Roman" w:eastAsia="Times New Roman" w:cs="Times New Roman"/>
                <w:color w:val="auto"/>
                <w:spacing w:val="-3"/>
                <w:sz w:val="21"/>
                <w:szCs w:val="21"/>
                <w:highlight w:val="none"/>
              </w:rPr>
              <w:t xml:space="preserve">0KN </w:t>
            </w:r>
            <w:r>
              <w:rPr>
                <w:rFonts w:ascii="宋体" w:hAnsi="宋体" w:eastAsia="宋体" w:cs="宋体"/>
                <w:color w:val="auto"/>
                <w:spacing w:val="-3"/>
                <w:sz w:val="21"/>
                <w:szCs w:val="21"/>
                <w:highlight w:val="none"/>
              </w:rPr>
              <w:t xml:space="preserve">万能材料试验机(带 </w:t>
            </w:r>
            <w:r>
              <w:rPr>
                <w:rFonts w:ascii="Times New Roman" w:hAnsi="Times New Roman" w:eastAsia="Times New Roman" w:cs="Times New Roman"/>
                <w:color w:val="auto"/>
                <w:spacing w:val="-3"/>
                <w:sz w:val="21"/>
                <w:szCs w:val="21"/>
                <w:highlight w:val="none"/>
              </w:rPr>
              <w:t xml:space="preserve">5-25 </w:t>
            </w:r>
            <w:r>
              <w:rPr>
                <w:rFonts w:ascii="宋体" w:hAnsi="宋体" w:eastAsia="宋体" w:cs="宋体"/>
                <w:color w:val="auto"/>
                <w:spacing w:val="-3"/>
                <w:sz w:val="21"/>
                <w:szCs w:val="21"/>
                <w:highlight w:val="none"/>
              </w:rPr>
              <w:t>冷弯冲头)</w:t>
            </w:r>
          </w:p>
        </w:tc>
        <w:tc>
          <w:tcPr>
            <w:tcW w:w="1490" w:type="dxa"/>
            <w:vAlign w:val="top"/>
          </w:tcPr>
          <w:p w14:paraId="3A049820">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076E5824">
            <w:pPr>
              <w:autoSpaceDE w:val="0"/>
              <w:autoSpaceDN w:val="0"/>
              <w:spacing w:before="87" w:line="236" w:lineRule="auto"/>
              <w:ind w:left="887"/>
              <w:rPr>
                <w:rFonts w:ascii="宋体" w:hAnsi="宋体" w:eastAsia="宋体" w:cs="宋体"/>
                <w:color w:val="auto"/>
                <w:sz w:val="21"/>
                <w:szCs w:val="21"/>
                <w:highlight w:val="none"/>
              </w:rPr>
            </w:pPr>
            <w:r>
              <w:rPr>
                <w:rFonts w:ascii="宋体" w:hAnsi="宋体" w:eastAsia="宋体" w:cs="宋体"/>
                <w:color w:val="auto"/>
                <w:sz w:val="21"/>
                <w:szCs w:val="21"/>
                <w:highlight w:val="none"/>
              </w:rPr>
              <w:t>Ⅰ</w:t>
            </w:r>
          </w:p>
        </w:tc>
      </w:tr>
      <w:tr w14:paraId="56B96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28911196">
            <w:pPr>
              <w:autoSpaceDE w:val="0"/>
              <w:autoSpaceDN w:val="0"/>
              <w:spacing w:before="126"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80</w:t>
            </w:r>
          </w:p>
        </w:tc>
        <w:tc>
          <w:tcPr>
            <w:tcW w:w="4203" w:type="dxa"/>
            <w:vAlign w:val="top"/>
          </w:tcPr>
          <w:p w14:paraId="38C2E153">
            <w:pPr>
              <w:autoSpaceDE w:val="0"/>
              <w:autoSpaceDN w:val="0"/>
              <w:spacing w:before="94" w:line="220" w:lineRule="auto"/>
              <w:ind w:left="617"/>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300</w:t>
            </w:r>
            <w:r>
              <w:rPr>
                <w:rFonts w:ascii="Times New Roman" w:hAnsi="Times New Roman" w:eastAsia="Times New Roman" w:cs="Times New Roman"/>
                <w:color w:val="auto"/>
                <w:spacing w:val="-2"/>
                <w:sz w:val="21"/>
                <w:szCs w:val="21"/>
                <w:highlight w:val="none"/>
              </w:rPr>
              <w:t>kN</w:t>
            </w:r>
            <w:r>
              <w:rPr>
                <w:rFonts w:ascii="Times New Roman" w:hAnsi="Times New Roman" w:eastAsia="Times New Roman" w:cs="Times New Roman"/>
                <w:color w:val="auto"/>
                <w:spacing w:val="-4"/>
                <w:sz w:val="21"/>
                <w:szCs w:val="21"/>
                <w:highlight w:val="none"/>
              </w:rPr>
              <w:t xml:space="preserve"> </w:t>
            </w:r>
            <w:r>
              <w:rPr>
                <w:rFonts w:ascii="宋体" w:hAnsi="宋体" w:eastAsia="宋体" w:cs="宋体"/>
                <w:color w:val="auto"/>
                <w:spacing w:val="-4"/>
                <w:sz w:val="21"/>
                <w:szCs w:val="21"/>
                <w:highlight w:val="none"/>
              </w:rPr>
              <w:t xml:space="preserve">或 </w:t>
            </w:r>
            <w:r>
              <w:rPr>
                <w:rFonts w:ascii="Times New Roman" w:hAnsi="Times New Roman" w:eastAsia="Times New Roman" w:cs="Times New Roman"/>
                <w:color w:val="auto"/>
                <w:spacing w:val="-4"/>
                <w:sz w:val="21"/>
                <w:szCs w:val="21"/>
                <w:highlight w:val="none"/>
              </w:rPr>
              <w:t>6</w:t>
            </w:r>
            <w:r>
              <w:rPr>
                <w:rFonts w:ascii="Times New Roman" w:hAnsi="Times New Roman" w:eastAsia="Times New Roman" w:cs="Times New Roman"/>
                <w:color w:val="auto"/>
                <w:spacing w:val="-3"/>
                <w:sz w:val="21"/>
                <w:szCs w:val="21"/>
                <w:highlight w:val="none"/>
              </w:rPr>
              <w:t>0</w:t>
            </w:r>
            <w:r>
              <w:rPr>
                <w:rFonts w:ascii="Times New Roman" w:hAnsi="Times New Roman" w:eastAsia="Times New Roman" w:cs="Times New Roman"/>
                <w:color w:val="auto"/>
                <w:spacing w:val="-2"/>
                <w:sz w:val="21"/>
                <w:szCs w:val="21"/>
                <w:highlight w:val="none"/>
              </w:rPr>
              <w:t xml:space="preserve">0kN </w:t>
            </w:r>
            <w:r>
              <w:rPr>
                <w:rFonts w:ascii="宋体" w:hAnsi="宋体" w:eastAsia="宋体" w:cs="宋体"/>
                <w:color w:val="auto"/>
                <w:spacing w:val="-2"/>
                <w:sz w:val="21"/>
                <w:szCs w:val="21"/>
                <w:highlight w:val="none"/>
              </w:rPr>
              <w:t>万能材料试验机</w:t>
            </w:r>
          </w:p>
        </w:tc>
        <w:tc>
          <w:tcPr>
            <w:tcW w:w="1490" w:type="dxa"/>
            <w:vAlign w:val="top"/>
          </w:tcPr>
          <w:p w14:paraId="7378A693">
            <w:pPr>
              <w:autoSpaceDE w:val="0"/>
              <w:autoSpaceDN w:val="0"/>
              <w:spacing w:before="94"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8BB2F43">
            <w:pPr>
              <w:autoSpaceDE w:val="0"/>
              <w:autoSpaceDN w:val="0"/>
              <w:rPr>
                <w:rFonts w:ascii="Arial"/>
                <w:color w:val="auto"/>
                <w:sz w:val="21"/>
                <w:highlight w:val="none"/>
              </w:rPr>
            </w:pPr>
          </w:p>
        </w:tc>
      </w:tr>
      <w:tr w14:paraId="2525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09D7BA77">
            <w:pPr>
              <w:autoSpaceDE w:val="0"/>
              <w:autoSpaceDN w:val="0"/>
              <w:spacing w:before="129"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81</w:t>
            </w:r>
          </w:p>
        </w:tc>
        <w:tc>
          <w:tcPr>
            <w:tcW w:w="4203" w:type="dxa"/>
            <w:vAlign w:val="top"/>
          </w:tcPr>
          <w:p w14:paraId="4A4CD2F3">
            <w:pPr>
              <w:autoSpaceDE w:val="0"/>
              <w:autoSpaceDN w:val="0"/>
              <w:spacing w:before="95" w:line="220" w:lineRule="auto"/>
              <w:ind w:left="12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连续式钢筋标</w:t>
            </w:r>
            <w:r>
              <w:rPr>
                <w:rFonts w:ascii="宋体" w:hAnsi="宋体" w:eastAsia="宋体" w:cs="宋体"/>
                <w:color w:val="auto"/>
                <w:sz w:val="21"/>
                <w:szCs w:val="21"/>
                <w:highlight w:val="none"/>
              </w:rPr>
              <w:t>点机</w:t>
            </w:r>
          </w:p>
        </w:tc>
        <w:tc>
          <w:tcPr>
            <w:tcW w:w="1490" w:type="dxa"/>
            <w:vAlign w:val="top"/>
          </w:tcPr>
          <w:p w14:paraId="211F5A00">
            <w:pPr>
              <w:autoSpaceDE w:val="0"/>
              <w:autoSpaceDN w:val="0"/>
              <w:spacing w:before="95"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575E233B">
            <w:pPr>
              <w:autoSpaceDE w:val="0"/>
              <w:autoSpaceDN w:val="0"/>
              <w:rPr>
                <w:rFonts w:ascii="Arial"/>
                <w:color w:val="auto"/>
                <w:sz w:val="21"/>
                <w:highlight w:val="none"/>
              </w:rPr>
            </w:pPr>
          </w:p>
        </w:tc>
      </w:tr>
      <w:tr w14:paraId="4A966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6CEB13FA">
            <w:pPr>
              <w:autoSpaceDE w:val="0"/>
              <w:autoSpaceDN w:val="0"/>
              <w:spacing w:before="126"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82</w:t>
            </w:r>
          </w:p>
        </w:tc>
        <w:tc>
          <w:tcPr>
            <w:tcW w:w="4203" w:type="dxa"/>
            <w:vAlign w:val="top"/>
          </w:tcPr>
          <w:p w14:paraId="74AF0CAB">
            <w:pPr>
              <w:autoSpaceDE w:val="0"/>
              <w:autoSpaceDN w:val="0"/>
              <w:spacing w:before="95" w:line="221" w:lineRule="auto"/>
              <w:ind w:left="1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洛氏硬度测定</w:t>
            </w:r>
            <w:r>
              <w:rPr>
                <w:rFonts w:ascii="宋体" w:hAnsi="宋体" w:eastAsia="宋体" w:cs="宋体"/>
                <w:color w:val="auto"/>
                <w:sz w:val="21"/>
                <w:szCs w:val="21"/>
                <w:highlight w:val="none"/>
              </w:rPr>
              <w:t>仪</w:t>
            </w:r>
          </w:p>
        </w:tc>
        <w:tc>
          <w:tcPr>
            <w:tcW w:w="1490" w:type="dxa"/>
            <w:vAlign w:val="top"/>
          </w:tcPr>
          <w:p w14:paraId="08A4C4CF">
            <w:pPr>
              <w:autoSpaceDE w:val="0"/>
              <w:autoSpaceDN w:val="0"/>
              <w:spacing w:before="95"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4A4226CE">
            <w:pPr>
              <w:autoSpaceDE w:val="0"/>
              <w:autoSpaceDN w:val="0"/>
              <w:spacing w:before="95" w:line="220" w:lineRule="auto"/>
              <w:ind w:left="341"/>
              <w:rPr>
                <w:rFonts w:ascii="Times New Roman" w:hAnsi="Times New Roman" w:eastAsia="Times New Roman" w:cs="Times New Roman"/>
                <w:color w:val="auto"/>
                <w:sz w:val="21"/>
                <w:szCs w:val="21"/>
                <w:highlight w:val="none"/>
              </w:rPr>
            </w:pPr>
            <w:r>
              <w:rPr>
                <w:rFonts w:ascii="宋体" w:hAnsi="宋体" w:eastAsia="宋体" w:cs="宋体"/>
                <w:color w:val="auto"/>
                <w:spacing w:val="-13"/>
                <w:sz w:val="21"/>
                <w:szCs w:val="21"/>
                <w:highlight w:val="none"/>
              </w:rPr>
              <w:t>精</w:t>
            </w:r>
            <w:r>
              <w:rPr>
                <w:rFonts w:ascii="宋体" w:hAnsi="宋体" w:eastAsia="宋体" w:cs="宋体"/>
                <w:color w:val="auto"/>
                <w:spacing w:val="-11"/>
                <w:sz w:val="21"/>
                <w:szCs w:val="21"/>
                <w:highlight w:val="none"/>
              </w:rPr>
              <w:t xml:space="preserve">度 </w:t>
            </w:r>
            <w:r>
              <w:rPr>
                <w:rFonts w:ascii="Times New Roman" w:hAnsi="Times New Roman" w:eastAsia="Times New Roman" w:cs="Times New Roman"/>
                <w:color w:val="auto"/>
                <w:spacing w:val="-11"/>
                <w:sz w:val="21"/>
                <w:szCs w:val="21"/>
                <w:highlight w:val="none"/>
              </w:rPr>
              <w:t>0. 1RHC</w:t>
            </w:r>
          </w:p>
        </w:tc>
      </w:tr>
      <w:tr w14:paraId="5C396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219" w:type="dxa"/>
            <w:gridSpan w:val="4"/>
            <w:vAlign w:val="top"/>
          </w:tcPr>
          <w:p w14:paraId="7EE087D0">
            <w:pPr>
              <w:autoSpaceDE w:val="0"/>
              <w:autoSpaceDN w:val="0"/>
              <w:spacing w:before="95" w:line="221" w:lineRule="auto"/>
              <w:ind w:left="250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六、路基、路面、</w:t>
            </w:r>
            <w:r>
              <w:rPr>
                <w:rFonts w:hint="eastAsia" w:ascii="宋体" w:hAnsi="宋体" w:cs="宋体"/>
                <w:color w:val="auto"/>
                <w:spacing w:val="1"/>
                <w:sz w:val="21"/>
                <w:szCs w:val="21"/>
                <w:highlight w:val="none"/>
                <w:lang w:val="en-US" w:eastAsia="zh-CN"/>
                <w14:textOutline w14:w="3831" w14:cap="flat" w14:cmpd="sng">
                  <w14:solidFill>
                    <w14:srgbClr w14:val="000000"/>
                  </w14:solidFill>
                  <w14:prstDash w14:val="solid"/>
                  <w14:miter w14:val="0"/>
                </w14:textOutline>
              </w:rPr>
              <w:t>隧道、</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桥</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涵野外检测试验仪器设备</w:t>
            </w:r>
          </w:p>
        </w:tc>
      </w:tr>
      <w:tr w14:paraId="272C6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vAlign w:val="top"/>
          </w:tcPr>
          <w:p w14:paraId="25D1E649">
            <w:pPr>
              <w:autoSpaceDE w:val="0"/>
              <w:autoSpaceDN w:val="0"/>
              <w:spacing w:before="128"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83</w:t>
            </w:r>
          </w:p>
        </w:tc>
        <w:tc>
          <w:tcPr>
            <w:tcW w:w="4203" w:type="dxa"/>
            <w:vAlign w:val="top"/>
          </w:tcPr>
          <w:p w14:paraId="13EED8D1">
            <w:pPr>
              <w:autoSpaceDE w:val="0"/>
              <w:autoSpaceDN w:val="0"/>
              <w:spacing w:before="96" w:line="220" w:lineRule="auto"/>
              <w:ind w:left="1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复合地基承载</w:t>
            </w:r>
            <w:r>
              <w:rPr>
                <w:rFonts w:ascii="宋体" w:hAnsi="宋体" w:eastAsia="宋体" w:cs="宋体"/>
                <w:color w:val="auto"/>
                <w:spacing w:val="-1"/>
                <w:sz w:val="21"/>
                <w:szCs w:val="21"/>
                <w:highlight w:val="none"/>
              </w:rPr>
              <w:t>力试验设备(含静载荷测试仪)</w:t>
            </w:r>
          </w:p>
        </w:tc>
        <w:tc>
          <w:tcPr>
            <w:tcW w:w="1490" w:type="dxa"/>
            <w:vAlign w:val="top"/>
          </w:tcPr>
          <w:p w14:paraId="5B3EF03D">
            <w:pPr>
              <w:autoSpaceDE w:val="0"/>
              <w:autoSpaceDN w:val="0"/>
              <w:spacing w:before="97" w:line="221"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1840" w:type="dxa"/>
            <w:vAlign w:val="top"/>
          </w:tcPr>
          <w:p w14:paraId="50BCB876">
            <w:pPr>
              <w:autoSpaceDE w:val="0"/>
              <w:autoSpaceDN w:val="0"/>
              <w:rPr>
                <w:rFonts w:ascii="Arial"/>
                <w:color w:val="auto"/>
                <w:sz w:val="21"/>
                <w:highlight w:val="none"/>
              </w:rPr>
            </w:pPr>
          </w:p>
        </w:tc>
      </w:tr>
      <w:tr w14:paraId="6547F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76FE1D2F">
            <w:pPr>
              <w:autoSpaceDE w:val="0"/>
              <w:autoSpaceDN w:val="0"/>
              <w:spacing w:before="130"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84</w:t>
            </w:r>
          </w:p>
        </w:tc>
        <w:tc>
          <w:tcPr>
            <w:tcW w:w="4203" w:type="dxa"/>
            <w:vAlign w:val="top"/>
          </w:tcPr>
          <w:p w14:paraId="7FE3454B">
            <w:pPr>
              <w:autoSpaceDE w:val="0"/>
              <w:autoSpaceDN w:val="0"/>
              <w:spacing w:before="98" w:line="221" w:lineRule="auto"/>
              <w:ind w:left="42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钢筋保护层厚度测定仪(含扫描仪</w:t>
            </w:r>
            <w:r>
              <w:rPr>
                <w:rFonts w:ascii="宋体" w:hAnsi="宋体" w:eastAsia="宋体" w:cs="宋体"/>
                <w:color w:val="auto"/>
                <w:spacing w:val="3"/>
                <w:sz w:val="21"/>
                <w:szCs w:val="21"/>
                <w:highlight w:val="none"/>
              </w:rPr>
              <w:t>)</w:t>
            </w:r>
          </w:p>
        </w:tc>
        <w:tc>
          <w:tcPr>
            <w:tcW w:w="1490" w:type="dxa"/>
            <w:vAlign w:val="top"/>
          </w:tcPr>
          <w:p w14:paraId="171D181A">
            <w:pPr>
              <w:autoSpaceDE w:val="0"/>
              <w:autoSpaceDN w:val="0"/>
              <w:spacing w:before="98"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555E5CA4">
            <w:pPr>
              <w:autoSpaceDE w:val="0"/>
              <w:autoSpaceDN w:val="0"/>
              <w:rPr>
                <w:rFonts w:ascii="Arial"/>
                <w:color w:val="auto"/>
                <w:sz w:val="21"/>
                <w:highlight w:val="none"/>
              </w:rPr>
            </w:pPr>
          </w:p>
        </w:tc>
      </w:tr>
      <w:tr w14:paraId="5100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679B2598">
            <w:pPr>
              <w:autoSpaceDE w:val="0"/>
              <w:autoSpaceDN w:val="0"/>
              <w:spacing w:before="130"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85</w:t>
            </w:r>
          </w:p>
        </w:tc>
        <w:tc>
          <w:tcPr>
            <w:tcW w:w="4203" w:type="dxa"/>
            <w:vAlign w:val="top"/>
          </w:tcPr>
          <w:p w14:paraId="3C0D6C7F">
            <w:pPr>
              <w:autoSpaceDE w:val="0"/>
              <w:autoSpaceDN w:val="0"/>
              <w:spacing w:before="95" w:line="221" w:lineRule="auto"/>
              <w:ind w:left="1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裂缝宽度测</w:t>
            </w:r>
            <w:r>
              <w:rPr>
                <w:rFonts w:ascii="宋体" w:hAnsi="宋体" w:eastAsia="宋体" w:cs="宋体"/>
                <w:color w:val="auto"/>
                <w:sz w:val="21"/>
                <w:szCs w:val="21"/>
                <w:highlight w:val="none"/>
              </w:rPr>
              <w:t>定仪</w:t>
            </w:r>
          </w:p>
        </w:tc>
        <w:tc>
          <w:tcPr>
            <w:tcW w:w="1490" w:type="dxa"/>
            <w:vAlign w:val="top"/>
          </w:tcPr>
          <w:p w14:paraId="48E410E3">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48466FFD">
            <w:pPr>
              <w:autoSpaceDE w:val="0"/>
              <w:autoSpaceDN w:val="0"/>
              <w:rPr>
                <w:rFonts w:ascii="Arial"/>
                <w:color w:val="auto"/>
                <w:sz w:val="21"/>
                <w:highlight w:val="none"/>
              </w:rPr>
            </w:pPr>
          </w:p>
        </w:tc>
      </w:tr>
      <w:tr w14:paraId="02D04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79C43821">
            <w:pPr>
              <w:autoSpaceDE w:val="0"/>
              <w:autoSpaceDN w:val="0"/>
              <w:spacing w:before="127"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86</w:t>
            </w:r>
          </w:p>
        </w:tc>
        <w:tc>
          <w:tcPr>
            <w:tcW w:w="4203" w:type="dxa"/>
            <w:vAlign w:val="top"/>
          </w:tcPr>
          <w:p w14:paraId="3FFD0E36">
            <w:pPr>
              <w:autoSpaceDE w:val="0"/>
              <w:autoSpaceDN w:val="0"/>
              <w:spacing w:before="96" w:line="220" w:lineRule="auto"/>
              <w:ind w:left="10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非金属超声回弹检</w:t>
            </w:r>
            <w:r>
              <w:rPr>
                <w:rFonts w:ascii="宋体" w:hAnsi="宋体" w:eastAsia="宋体" w:cs="宋体"/>
                <w:color w:val="auto"/>
                <w:sz w:val="21"/>
                <w:szCs w:val="21"/>
                <w:highlight w:val="none"/>
              </w:rPr>
              <w:t>测仪</w:t>
            </w:r>
          </w:p>
        </w:tc>
        <w:tc>
          <w:tcPr>
            <w:tcW w:w="1490" w:type="dxa"/>
            <w:vAlign w:val="top"/>
          </w:tcPr>
          <w:p w14:paraId="6ED28893">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0952CAE7">
            <w:pPr>
              <w:autoSpaceDE w:val="0"/>
              <w:autoSpaceDN w:val="0"/>
              <w:rPr>
                <w:rFonts w:ascii="Arial"/>
                <w:color w:val="auto"/>
                <w:sz w:val="21"/>
                <w:highlight w:val="none"/>
              </w:rPr>
            </w:pPr>
          </w:p>
        </w:tc>
      </w:tr>
      <w:tr w14:paraId="56DA6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012E10F5">
            <w:pPr>
              <w:autoSpaceDE w:val="0"/>
              <w:autoSpaceDN w:val="0"/>
              <w:spacing w:before="130"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87</w:t>
            </w:r>
          </w:p>
        </w:tc>
        <w:tc>
          <w:tcPr>
            <w:tcW w:w="4203" w:type="dxa"/>
            <w:vAlign w:val="top"/>
          </w:tcPr>
          <w:p w14:paraId="50415302">
            <w:pPr>
              <w:autoSpaceDE w:val="0"/>
              <w:autoSpaceDN w:val="0"/>
              <w:spacing w:before="96" w:line="220" w:lineRule="auto"/>
              <w:ind w:left="12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混凝土钻孔取芯机</w:t>
            </w:r>
          </w:p>
        </w:tc>
        <w:tc>
          <w:tcPr>
            <w:tcW w:w="1490" w:type="dxa"/>
            <w:vAlign w:val="top"/>
          </w:tcPr>
          <w:p w14:paraId="052DB2DE">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7019827">
            <w:pPr>
              <w:autoSpaceDE w:val="0"/>
              <w:autoSpaceDN w:val="0"/>
              <w:rPr>
                <w:rFonts w:ascii="Arial"/>
                <w:color w:val="auto"/>
                <w:sz w:val="21"/>
                <w:highlight w:val="none"/>
              </w:rPr>
            </w:pPr>
          </w:p>
        </w:tc>
      </w:tr>
      <w:tr w14:paraId="4D52A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6" w:type="dxa"/>
            <w:vAlign w:val="top"/>
          </w:tcPr>
          <w:p w14:paraId="67D25A1D">
            <w:pPr>
              <w:autoSpaceDE w:val="0"/>
              <w:autoSpaceDN w:val="0"/>
              <w:spacing w:before="128"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88</w:t>
            </w:r>
          </w:p>
        </w:tc>
        <w:tc>
          <w:tcPr>
            <w:tcW w:w="4203" w:type="dxa"/>
            <w:vAlign w:val="top"/>
          </w:tcPr>
          <w:p w14:paraId="1BC2F41D">
            <w:pPr>
              <w:autoSpaceDE w:val="0"/>
              <w:autoSpaceDN w:val="0"/>
              <w:spacing w:before="96" w:line="221" w:lineRule="auto"/>
              <w:ind w:left="1272"/>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弯沉仪(百分表</w:t>
            </w:r>
            <w:r>
              <w:rPr>
                <w:rFonts w:ascii="宋体" w:hAnsi="宋体" w:eastAsia="宋体" w:cs="宋体"/>
                <w:color w:val="auto"/>
                <w:spacing w:val="11"/>
                <w:sz w:val="21"/>
                <w:szCs w:val="21"/>
                <w:highlight w:val="none"/>
              </w:rPr>
              <w:t>)</w:t>
            </w:r>
          </w:p>
        </w:tc>
        <w:tc>
          <w:tcPr>
            <w:tcW w:w="1490" w:type="dxa"/>
            <w:vAlign w:val="top"/>
          </w:tcPr>
          <w:p w14:paraId="79EF7DA2">
            <w:pPr>
              <w:autoSpaceDE w:val="0"/>
              <w:autoSpaceDN w:val="0"/>
              <w:spacing w:before="97" w:line="221"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pacing w:val="-5"/>
                <w:sz w:val="21"/>
                <w:szCs w:val="21"/>
                <w:highlight w:val="none"/>
              </w:rPr>
              <w:t xml:space="preserve">1 </w:t>
            </w:r>
            <w:r>
              <w:rPr>
                <w:rFonts w:ascii="宋体" w:hAnsi="宋体" w:eastAsia="宋体" w:cs="宋体"/>
                <w:color w:val="auto"/>
                <w:spacing w:val="-5"/>
                <w:sz w:val="21"/>
                <w:szCs w:val="21"/>
                <w:highlight w:val="none"/>
              </w:rPr>
              <w:t>套</w:t>
            </w:r>
          </w:p>
        </w:tc>
        <w:tc>
          <w:tcPr>
            <w:tcW w:w="1840" w:type="dxa"/>
            <w:vAlign w:val="top"/>
          </w:tcPr>
          <w:p w14:paraId="6A0D95E3">
            <w:pPr>
              <w:autoSpaceDE w:val="0"/>
              <w:autoSpaceDN w:val="0"/>
              <w:spacing w:before="128" w:line="187" w:lineRule="auto"/>
              <w:ind w:left="715"/>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5.4m</w:t>
            </w:r>
          </w:p>
        </w:tc>
      </w:tr>
      <w:tr w14:paraId="33F95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6832FB49">
            <w:pPr>
              <w:autoSpaceDE w:val="0"/>
              <w:autoSpaceDN w:val="0"/>
              <w:spacing w:before="131" w:line="187" w:lineRule="auto"/>
              <w:ind w:left="7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3"/>
                <w:sz w:val="21"/>
                <w:szCs w:val="21"/>
                <w:highlight w:val="none"/>
              </w:rPr>
              <w:t>89</w:t>
            </w:r>
          </w:p>
        </w:tc>
        <w:tc>
          <w:tcPr>
            <w:tcW w:w="4203" w:type="dxa"/>
            <w:vAlign w:val="top"/>
          </w:tcPr>
          <w:p w14:paraId="2706B203">
            <w:pPr>
              <w:autoSpaceDE w:val="0"/>
              <w:autoSpaceDN w:val="0"/>
              <w:spacing w:before="97" w:line="220" w:lineRule="auto"/>
              <w:ind w:left="1214"/>
              <w:rPr>
                <w:rFonts w:ascii="宋体" w:hAnsi="宋体" w:eastAsia="宋体" w:cs="宋体"/>
                <w:color w:val="auto"/>
                <w:sz w:val="21"/>
                <w:szCs w:val="21"/>
                <w:highlight w:val="none"/>
              </w:rPr>
            </w:pPr>
            <w:r>
              <w:rPr>
                <w:rFonts w:ascii="Times New Roman" w:hAnsi="Times New Roman" w:eastAsia="Times New Roman" w:cs="Times New Roman"/>
                <w:color w:val="auto"/>
                <w:spacing w:val="-12"/>
                <w:sz w:val="21"/>
                <w:szCs w:val="21"/>
                <w:highlight w:val="none"/>
              </w:rPr>
              <w:t>3</w:t>
            </w:r>
            <w:r>
              <w:rPr>
                <w:rFonts w:ascii="Times New Roman" w:hAnsi="Times New Roman" w:eastAsia="Times New Roman" w:cs="Times New Roman"/>
                <w:color w:val="auto"/>
                <w:spacing w:val="-9"/>
                <w:sz w:val="21"/>
                <w:szCs w:val="21"/>
                <w:highlight w:val="none"/>
              </w:rPr>
              <w:t xml:space="preserve"> </w:t>
            </w:r>
            <w:r>
              <w:rPr>
                <w:rFonts w:ascii="宋体" w:hAnsi="宋体" w:eastAsia="宋体" w:cs="宋体"/>
                <w:color w:val="auto"/>
                <w:spacing w:val="-9"/>
                <w:sz w:val="21"/>
                <w:szCs w:val="21"/>
                <w:highlight w:val="none"/>
              </w:rPr>
              <w:t xml:space="preserve">米直尺、 </w:t>
            </w:r>
            <w:r>
              <w:rPr>
                <w:rFonts w:ascii="Times New Roman" w:hAnsi="Times New Roman" w:eastAsia="Times New Roman" w:cs="Times New Roman"/>
                <w:color w:val="auto"/>
                <w:spacing w:val="-9"/>
                <w:sz w:val="21"/>
                <w:szCs w:val="21"/>
                <w:highlight w:val="none"/>
              </w:rPr>
              <w:t xml:space="preserve">2 </w:t>
            </w:r>
            <w:r>
              <w:rPr>
                <w:rFonts w:ascii="宋体" w:hAnsi="宋体" w:eastAsia="宋体" w:cs="宋体"/>
                <w:color w:val="auto"/>
                <w:spacing w:val="-9"/>
                <w:sz w:val="21"/>
                <w:szCs w:val="21"/>
                <w:highlight w:val="none"/>
              </w:rPr>
              <w:t>米直尺</w:t>
            </w:r>
          </w:p>
        </w:tc>
        <w:tc>
          <w:tcPr>
            <w:tcW w:w="1490" w:type="dxa"/>
            <w:vAlign w:val="top"/>
          </w:tcPr>
          <w:p w14:paraId="04FA0512">
            <w:pPr>
              <w:autoSpaceDE w:val="0"/>
              <w:autoSpaceDN w:val="0"/>
              <w:spacing w:before="97" w:line="221" w:lineRule="auto"/>
              <w:ind w:left="43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2 </w:t>
            </w:r>
            <w:r>
              <w:rPr>
                <w:rFonts w:ascii="宋体" w:hAnsi="宋体" w:eastAsia="宋体" w:cs="宋体"/>
                <w:color w:val="auto"/>
                <w:spacing w:val="-10"/>
                <w:sz w:val="21"/>
                <w:szCs w:val="21"/>
                <w:highlight w:val="none"/>
              </w:rPr>
              <w:t>个</w:t>
            </w:r>
          </w:p>
        </w:tc>
        <w:tc>
          <w:tcPr>
            <w:tcW w:w="1840" w:type="dxa"/>
            <w:vAlign w:val="top"/>
          </w:tcPr>
          <w:p w14:paraId="2FE40B44">
            <w:pPr>
              <w:autoSpaceDE w:val="0"/>
              <w:autoSpaceDN w:val="0"/>
              <w:rPr>
                <w:rFonts w:ascii="Arial"/>
                <w:color w:val="auto"/>
                <w:sz w:val="21"/>
                <w:highlight w:val="none"/>
              </w:rPr>
            </w:pPr>
          </w:p>
        </w:tc>
      </w:tr>
      <w:tr w14:paraId="3DFF4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6" w:type="dxa"/>
            <w:vAlign w:val="top"/>
          </w:tcPr>
          <w:p w14:paraId="38079AC7">
            <w:pPr>
              <w:autoSpaceDE w:val="0"/>
              <w:autoSpaceDN w:val="0"/>
              <w:spacing w:before="131"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90</w:t>
            </w:r>
          </w:p>
        </w:tc>
        <w:tc>
          <w:tcPr>
            <w:tcW w:w="4203" w:type="dxa"/>
            <w:vAlign w:val="top"/>
          </w:tcPr>
          <w:p w14:paraId="432D5A79">
            <w:pPr>
              <w:autoSpaceDE w:val="0"/>
              <w:autoSpaceDN w:val="0"/>
              <w:spacing w:before="97" w:line="220" w:lineRule="auto"/>
              <w:ind w:left="17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坡</w:t>
            </w:r>
            <w:r>
              <w:rPr>
                <w:rFonts w:ascii="宋体" w:hAnsi="宋体" w:eastAsia="宋体" w:cs="宋体"/>
                <w:color w:val="auto"/>
                <w:spacing w:val="-1"/>
                <w:sz w:val="21"/>
                <w:szCs w:val="21"/>
                <w:highlight w:val="none"/>
              </w:rPr>
              <w:t>度尺</w:t>
            </w:r>
          </w:p>
        </w:tc>
        <w:tc>
          <w:tcPr>
            <w:tcW w:w="1490" w:type="dxa"/>
            <w:vAlign w:val="top"/>
          </w:tcPr>
          <w:p w14:paraId="1091E076">
            <w:pPr>
              <w:autoSpaceDE w:val="0"/>
              <w:autoSpaceDN w:val="0"/>
              <w:spacing w:before="97" w:line="221" w:lineRule="auto"/>
              <w:ind w:left="56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2</w:t>
            </w:r>
            <w:r>
              <w:rPr>
                <w:rFonts w:ascii="Times New Roman" w:hAnsi="Times New Roman" w:eastAsia="Times New Roman" w:cs="Times New Roman"/>
                <w:color w:val="auto"/>
                <w:spacing w:val="1"/>
                <w:sz w:val="21"/>
                <w:szCs w:val="21"/>
                <w:highlight w:val="none"/>
              </w:rPr>
              <w:t xml:space="preserve"> </w:t>
            </w:r>
            <w:r>
              <w:rPr>
                <w:rFonts w:ascii="宋体" w:hAnsi="宋体" w:eastAsia="宋体" w:cs="宋体"/>
                <w:color w:val="auto"/>
                <w:spacing w:val="1"/>
                <w:sz w:val="21"/>
                <w:szCs w:val="21"/>
                <w:highlight w:val="none"/>
              </w:rPr>
              <w:t>个</w:t>
            </w:r>
          </w:p>
        </w:tc>
        <w:tc>
          <w:tcPr>
            <w:tcW w:w="1840" w:type="dxa"/>
            <w:vAlign w:val="top"/>
          </w:tcPr>
          <w:p w14:paraId="4B8F849F">
            <w:pPr>
              <w:autoSpaceDE w:val="0"/>
              <w:autoSpaceDN w:val="0"/>
              <w:spacing w:before="97" w:line="229" w:lineRule="auto"/>
              <w:ind w:left="636"/>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 xml:space="preserve">750 </w:t>
            </w:r>
            <w:r>
              <w:rPr>
                <w:rFonts w:ascii="宋体" w:hAnsi="宋体" w:eastAsia="宋体" w:cs="宋体"/>
                <w:color w:val="auto"/>
                <w:spacing w:val="1"/>
                <w:sz w:val="21"/>
                <w:szCs w:val="21"/>
                <w:highlight w:val="none"/>
              </w:rPr>
              <w:t>型</w:t>
            </w:r>
          </w:p>
        </w:tc>
      </w:tr>
      <w:tr w14:paraId="0B508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6" w:type="dxa"/>
            <w:vAlign w:val="top"/>
          </w:tcPr>
          <w:p w14:paraId="1737AEDE">
            <w:pPr>
              <w:autoSpaceDE w:val="0"/>
              <w:autoSpaceDN w:val="0"/>
              <w:spacing w:before="129"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91</w:t>
            </w:r>
          </w:p>
        </w:tc>
        <w:tc>
          <w:tcPr>
            <w:tcW w:w="4203" w:type="dxa"/>
            <w:vAlign w:val="top"/>
          </w:tcPr>
          <w:p w14:paraId="07279F91">
            <w:pPr>
              <w:autoSpaceDE w:val="0"/>
              <w:autoSpaceDN w:val="0"/>
              <w:spacing w:before="97" w:line="221" w:lineRule="auto"/>
              <w:ind w:left="137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构</w:t>
            </w:r>
            <w:r>
              <w:rPr>
                <w:rFonts w:ascii="宋体" w:hAnsi="宋体" w:eastAsia="宋体" w:cs="宋体"/>
                <w:color w:val="auto"/>
                <w:spacing w:val="-1"/>
                <w:sz w:val="21"/>
                <w:szCs w:val="21"/>
                <w:highlight w:val="none"/>
              </w:rPr>
              <w:t>造深度测定仪</w:t>
            </w:r>
          </w:p>
        </w:tc>
        <w:tc>
          <w:tcPr>
            <w:tcW w:w="1490" w:type="dxa"/>
            <w:vAlign w:val="top"/>
          </w:tcPr>
          <w:p w14:paraId="4D839DA5">
            <w:pPr>
              <w:autoSpaceDE w:val="0"/>
              <w:autoSpaceDN w:val="0"/>
              <w:spacing w:before="97"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06B17EFD">
            <w:pPr>
              <w:autoSpaceDE w:val="0"/>
              <w:autoSpaceDN w:val="0"/>
              <w:rPr>
                <w:rFonts w:ascii="Arial"/>
                <w:color w:val="auto"/>
                <w:sz w:val="21"/>
                <w:highlight w:val="none"/>
              </w:rPr>
            </w:pPr>
          </w:p>
        </w:tc>
      </w:tr>
      <w:tr w14:paraId="59DAD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86" w:type="dxa"/>
            <w:vAlign w:val="top"/>
          </w:tcPr>
          <w:p w14:paraId="2DF05875">
            <w:pPr>
              <w:autoSpaceDE w:val="0"/>
              <w:autoSpaceDN w:val="0"/>
              <w:spacing w:before="131"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92</w:t>
            </w:r>
          </w:p>
        </w:tc>
        <w:tc>
          <w:tcPr>
            <w:tcW w:w="4203" w:type="dxa"/>
            <w:vAlign w:val="top"/>
          </w:tcPr>
          <w:p w14:paraId="43B61E38">
            <w:pPr>
              <w:autoSpaceDE w:val="0"/>
              <w:autoSpaceDN w:val="0"/>
              <w:spacing w:before="97" w:line="221" w:lineRule="auto"/>
              <w:ind w:left="13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碳化深度测</w:t>
            </w:r>
            <w:r>
              <w:rPr>
                <w:rFonts w:ascii="宋体" w:hAnsi="宋体" w:eastAsia="宋体" w:cs="宋体"/>
                <w:color w:val="auto"/>
                <w:sz w:val="21"/>
                <w:szCs w:val="21"/>
                <w:highlight w:val="none"/>
              </w:rPr>
              <w:t>定仪</w:t>
            </w:r>
          </w:p>
        </w:tc>
        <w:tc>
          <w:tcPr>
            <w:tcW w:w="1490" w:type="dxa"/>
            <w:vAlign w:val="top"/>
          </w:tcPr>
          <w:p w14:paraId="0EBEA69E">
            <w:pPr>
              <w:autoSpaceDE w:val="0"/>
              <w:autoSpaceDN w:val="0"/>
              <w:spacing w:before="97" w:line="221" w:lineRule="auto"/>
              <w:ind w:left="569"/>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3 </w:t>
            </w:r>
            <w:r>
              <w:rPr>
                <w:rFonts w:ascii="宋体" w:hAnsi="宋体" w:eastAsia="宋体" w:cs="宋体"/>
                <w:color w:val="auto"/>
                <w:sz w:val="21"/>
                <w:szCs w:val="21"/>
                <w:highlight w:val="none"/>
              </w:rPr>
              <w:t>个</w:t>
            </w:r>
          </w:p>
        </w:tc>
        <w:tc>
          <w:tcPr>
            <w:tcW w:w="1840" w:type="dxa"/>
            <w:vAlign w:val="top"/>
          </w:tcPr>
          <w:p w14:paraId="567F9C9E">
            <w:pPr>
              <w:autoSpaceDE w:val="0"/>
              <w:autoSpaceDN w:val="0"/>
              <w:rPr>
                <w:rFonts w:ascii="Arial"/>
                <w:color w:val="auto"/>
                <w:sz w:val="21"/>
                <w:highlight w:val="none"/>
              </w:rPr>
            </w:pPr>
          </w:p>
        </w:tc>
      </w:tr>
    </w:tbl>
    <w:p w14:paraId="5516C94F">
      <w:pPr>
        <w:pStyle w:val="5"/>
        <w:tabs>
          <w:tab w:val="left" w:pos="7950"/>
        </w:tabs>
        <w:rPr>
          <w:rFonts w:ascii="Times New Roman" w:hAnsi="Times New Roman"/>
          <w:color w:val="auto"/>
          <w:szCs w:val="21"/>
          <w:highlight w:val="none"/>
        </w:rPr>
      </w:pPr>
    </w:p>
    <w:tbl>
      <w:tblPr>
        <w:tblStyle w:val="650"/>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5"/>
        <w:gridCol w:w="20"/>
        <w:gridCol w:w="4184"/>
        <w:gridCol w:w="1490"/>
        <w:gridCol w:w="1840"/>
      </w:tblGrid>
      <w:tr w14:paraId="56E82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685" w:type="dxa"/>
            <w:vAlign w:val="top"/>
          </w:tcPr>
          <w:p w14:paraId="0EA6DBA7">
            <w:pPr>
              <w:autoSpaceDE w:val="0"/>
              <w:autoSpaceDN w:val="0"/>
              <w:spacing w:before="128"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93</w:t>
            </w:r>
          </w:p>
        </w:tc>
        <w:tc>
          <w:tcPr>
            <w:tcW w:w="4204" w:type="dxa"/>
            <w:gridSpan w:val="2"/>
            <w:vAlign w:val="top"/>
          </w:tcPr>
          <w:p w14:paraId="13946FBF">
            <w:pPr>
              <w:autoSpaceDE w:val="0"/>
              <w:autoSpaceDN w:val="0"/>
              <w:spacing w:before="97" w:line="223" w:lineRule="auto"/>
              <w:ind w:left="189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钢</w:t>
            </w:r>
            <w:r>
              <w:rPr>
                <w:rFonts w:ascii="宋体" w:hAnsi="宋体" w:eastAsia="宋体" w:cs="宋体"/>
                <w:color w:val="auto"/>
                <w:spacing w:val="-1"/>
                <w:sz w:val="21"/>
                <w:szCs w:val="21"/>
                <w:highlight w:val="none"/>
              </w:rPr>
              <w:t>钻</w:t>
            </w:r>
          </w:p>
        </w:tc>
        <w:tc>
          <w:tcPr>
            <w:tcW w:w="1490" w:type="dxa"/>
            <w:vAlign w:val="top"/>
          </w:tcPr>
          <w:p w14:paraId="49560368">
            <w:pPr>
              <w:autoSpaceDE w:val="0"/>
              <w:autoSpaceDN w:val="0"/>
              <w:spacing w:before="96"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A576239">
            <w:pPr>
              <w:autoSpaceDE w:val="0"/>
              <w:autoSpaceDN w:val="0"/>
              <w:rPr>
                <w:rFonts w:ascii="Arial"/>
                <w:color w:val="auto"/>
                <w:sz w:val="21"/>
                <w:highlight w:val="none"/>
              </w:rPr>
            </w:pPr>
          </w:p>
        </w:tc>
      </w:tr>
      <w:tr w14:paraId="040E9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68BD6CB9">
            <w:pPr>
              <w:autoSpaceDE w:val="0"/>
              <w:autoSpaceDN w:val="0"/>
              <w:spacing w:before="125"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94</w:t>
            </w:r>
          </w:p>
        </w:tc>
        <w:tc>
          <w:tcPr>
            <w:tcW w:w="4204" w:type="dxa"/>
            <w:gridSpan w:val="2"/>
            <w:vAlign w:val="top"/>
          </w:tcPr>
          <w:p w14:paraId="3217FD05">
            <w:pPr>
              <w:autoSpaceDE w:val="0"/>
              <w:autoSpaceDN w:val="0"/>
              <w:spacing w:before="94" w:line="220" w:lineRule="auto"/>
              <w:ind w:left="12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双端面岩石</w:t>
            </w:r>
            <w:r>
              <w:rPr>
                <w:rFonts w:ascii="宋体" w:hAnsi="宋体" w:eastAsia="宋体" w:cs="宋体"/>
                <w:color w:val="auto"/>
                <w:sz w:val="21"/>
                <w:szCs w:val="21"/>
                <w:highlight w:val="none"/>
              </w:rPr>
              <w:t>切割机</w:t>
            </w:r>
          </w:p>
        </w:tc>
        <w:tc>
          <w:tcPr>
            <w:tcW w:w="1490" w:type="dxa"/>
            <w:vAlign w:val="top"/>
          </w:tcPr>
          <w:p w14:paraId="6730B4CE">
            <w:pPr>
              <w:autoSpaceDE w:val="0"/>
              <w:autoSpaceDN w:val="0"/>
              <w:spacing w:before="93"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18052531">
            <w:pPr>
              <w:autoSpaceDE w:val="0"/>
              <w:autoSpaceDN w:val="0"/>
              <w:rPr>
                <w:rFonts w:ascii="Arial"/>
                <w:color w:val="auto"/>
                <w:sz w:val="21"/>
                <w:highlight w:val="none"/>
              </w:rPr>
            </w:pPr>
          </w:p>
        </w:tc>
      </w:tr>
      <w:tr w14:paraId="7A26E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4B2A29FB">
            <w:pPr>
              <w:autoSpaceDE w:val="0"/>
              <w:autoSpaceDN w:val="0"/>
              <w:spacing w:before="125"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95</w:t>
            </w:r>
          </w:p>
        </w:tc>
        <w:tc>
          <w:tcPr>
            <w:tcW w:w="4204" w:type="dxa"/>
            <w:gridSpan w:val="2"/>
            <w:vAlign w:val="top"/>
          </w:tcPr>
          <w:p w14:paraId="50CC47D7">
            <w:pPr>
              <w:autoSpaceDE w:val="0"/>
              <w:autoSpaceDN w:val="0"/>
              <w:spacing w:before="91" w:line="220" w:lineRule="auto"/>
              <w:ind w:left="158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水稳取</w:t>
            </w:r>
            <w:r>
              <w:rPr>
                <w:rFonts w:ascii="宋体" w:hAnsi="宋体" w:eastAsia="宋体" w:cs="宋体"/>
                <w:color w:val="auto"/>
                <w:spacing w:val="-1"/>
                <w:sz w:val="21"/>
                <w:szCs w:val="21"/>
                <w:highlight w:val="none"/>
              </w:rPr>
              <w:t>芯机</w:t>
            </w:r>
          </w:p>
        </w:tc>
        <w:tc>
          <w:tcPr>
            <w:tcW w:w="1490" w:type="dxa"/>
            <w:vAlign w:val="top"/>
          </w:tcPr>
          <w:p w14:paraId="4DAE44E1">
            <w:pPr>
              <w:autoSpaceDE w:val="0"/>
              <w:autoSpaceDN w:val="0"/>
              <w:spacing w:before="91"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2DC4E62B">
            <w:pPr>
              <w:autoSpaceDE w:val="0"/>
              <w:autoSpaceDN w:val="0"/>
              <w:rPr>
                <w:rFonts w:ascii="Arial"/>
                <w:color w:val="auto"/>
                <w:sz w:val="21"/>
                <w:highlight w:val="none"/>
              </w:rPr>
            </w:pPr>
          </w:p>
        </w:tc>
      </w:tr>
      <w:tr w14:paraId="06D47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647CBCAD">
            <w:pPr>
              <w:autoSpaceDE w:val="0"/>
              <w:autoSpaceDN w:val="0"/>
              <w:spacing w:before="123"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96</w:t>
            </w:r>
          </w:p>
        </w:tc>
        <w:tc>
          <w:tcPr>
            <w:tcW w:w="4204" w:type="dxa"/>
            <w:gridSpan w:val="2"/>
            <w:vAlign w:val="top"/>
          </w:tcPr>
          <w:p w14:paraId="1A331047">
            <w:pPr>
              <w:autoSpaceDE w:val="0"/>
              <w:autoSpaceDN w:val="0"/>
              <w:spacing w:before="91" w:line="220" w:lineRule="auto"/>
              <w:ind w:left="1007"/>
              <w:rPr>
                <w:rFonts w:ascii="宋体" w:hAnsi="宋体" w:eastAsia="宋体" w:cs="宋体"/>
                <w:color w:val="auto"/>
                <w:sz w:val="21"/>
                <w:szCs w:val="21"/>
                <w:highlight w:val="none"/>
              </w:rPr>
            </w:pPr>
            <w:r>
              <w:rPr>
                <w:rFonts w:ascii="Times New Roman" w:hAnsi="Times New Roman" w:eastAsia="Times New Roman" w:cs="Times New Roman"/>
                <w:color w:val="auto"/>
                <w:spacing w:val="-1"/>
                <w:sz w:val="21"/>
                <w:szCs w:val="21"/>
                <w:highlight w:val="none"/>
              </w:rPr>
              <w:t xml:space="preserve">30 </w:t>
            </w:r>
            <w:r>
              <w:rPr>
                <w:rFonts w:ascii="宋体" w:hAnsi="宋体" w:eastAsia="宋体" w:cs="宋体"/>
                <w:color w:val="auto"/>
                <w:spacing w:val="-1"/>
                <w:sz w:val="21"/>
                <w:szCs w:val="21"/>
                <w:highlight w:val="none"/>
              </w:rPr>
              <w:t>米皮尺</w:t>
            </w:r>
            <w:r>
              <w:rPr>
                <w:rFonts w:ascii="宋体" w:hAnsi="宋体" w:eastAsia="宋体" w:cs="宋体"/>
                <w:color w:val="auto"/>
                <w:sz w:val="21"/>
                <w:szCs w:val="21"/>
                <w:highlight w:val="none"/>
              </w:rPr>
              <w:t>、</w:t>
            </w:r>
            <w:r>
              <w:rPr>
                <w:rFonts w:ascii="Times New Roman" w:hAnsi="Times New Roman" w:eastAsia="Times New Roman" w:cs="Times New Roman"/>
                <w:color w:val="auto"/>
                <w:sz w:val="21"/>
                <w:szCs w:val="21"/>
                <w:highlight w:val="none"/>
              </w:rPr>
              <w:t xml:space="preserve">50 </w:t>
            </w:r>
            <w:r>
              <w:rPr>
                <w:rFonts w:ascii="宋体" w:hAnsi="宋体" w:eastAsia="宋体" w:cs="宋体"/>
                <w:color w:val="auto"/>
                <w:sz w:val="21"/>
                <w:szCs w:val="21"/>
                <w:highlight w:val="none"/>
              </w:rPr>
              <w:t>米钢卷尺</w:t>
            </w:r>
          </w:p>
        </w:tc>
        <w:tc>
          <w:tcPr>
            <w:tcW w:w="1490" w:type="dxa"/>
            <w:vAlign w:val="top"/>
          </w:tcPr>
          <w:p w14:paraId="7F31301E">
            <w:pPr>
              <w:autoSpaceDE w:val="0"/>
              <w:autoSpaceDN w:val="0"/>
              <w:spacing w:before="92" w:line="221" w:lineRule="auto"/>
              <w:ind w:left="43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1 </w:t>
            </w:r>
            <w:r>
              <w:rPr>
                <w:rFonts w:ascii="宋体" w:hAnsi="宋体" w:eastAsia="宋体" w:cs="宋体"/>
                <w:color w:val="auto"/>
                <w:spacing w:val="-10"/>
                <w:sz w:val="21"/>
                <w:szCs w:val="21"/>
                <w:highlight w:val="none"/>
              </w:rPr>
              <w:t>把</w:t>
            </w:r>
          </w:p>
        </w:tc>
        <w:tc>
          <w:tcPr>
            <w:tcW w:w="1840" w:type="dxa"/>
            <w:vAlign w:val="top"/>
          </w:tcPr>
          <w:p w14:paraId="5D593BB3">
            <w:pPr>
              <w:autoSpaceDE w:val="0"/>
              <w:autoSpaceDN w:val="0"/>
              <w:rPr>
                <w:rFonts w:ascii="Arial"/>
                <w:color w:val="auto"/>
                <w:sz w:val="21"/>
                <w:highlight w:val="none"/>
              </w:rPr>
            </w:pPr>
          </w:p>
        </w:tc>
      </w:tr>
      <w:tr w14:paraId="227A4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477D7224">
            <w:pPr>
              <w:autoSpaceDE w:val="0"/>
              <w:autoSpaceDN w:val="0"/>
              <w:spacing w:before="126"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97</w:t>
            </w:r>
          </w:p>
        </w:tc>
        <w:tc>
          <w:tcPr>
            <w:tcW w:w="4204" w:type="dxa"/>
            <w:gridSpan w:val="2"/>
            <w:vAlign w:val="top"/>
          </w:tcPr>
          <w:p w14:paraId="0062B596">
            <w:pPr>
              <w:autoSpaceDE w:val="0"/>
              <w:autoSpaceDN w:val="0"/>
              <w:spacing w:before="91" w:line="221" w:lineRule="auto"/>
              <w:ind w:left="158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激光断面</w:t>
            </w:r>
            <w:r>
              <w:rPr>
                <w:rFonts w:ascii="宋体" w:hAnsi="宋体" w:eastAsia="宋体" w:cs="宋体"/>
                <w:color w:val="auto"/>
                <w:sz w:val="21"/>
                <w:szCs w:val="21"/>
                <w:highlight w:val="none"/>
              </w:rPr>
              <w:t>仪</w:t>
            </w:r>
          </w:p>
        </w:tc>
        <w:tc>
          <w:tcPr>
            <w:tcW w:w="1490" w:type="dxa"/>
            <w:vAlign w:val="top"/>
          </w:tcPr>
          <w:p w14:paraId="7AA395AA">
            <w:pPr>
              <w:autoSpaceDE w:val="0"/>
              <w:autoSpaceDN w:val="0"/>
              <w:spacing w:before="92"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7846F029">
            <w:pPr>
              <w:autoSpaceDE w:val="0"/>
              <w:autoSpaceDN w:val="0"/>
              <w:rPr>
                <w:rFonts w:ascii="Arial"/>
                <w:color w:val="auto"/>
                <w:sz w:val="21"/>
                <w:highlight w:val="none"/>
              </w:rPr>
            </w:pPr>
          </w:p>
        </w:tc>
      </w:tr>
      <w:tr w14:paraId="2C7D5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34D0C475">
            <w:pPr>
              <w:autoSpaceDE w:val="0"/>
              <w:autoSpaceDN w:val="0"/>
              <w:spacing w:before="123" w:line="187" w:lineRule="auto"/>
              <w:ind w:left="742"/>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2"/>
                <w:sz w:val="21"/>
                <w:szCs w:val="21"/>
                <w:highlight w:val="none"/>
              </w:rPr>
              <w:t>98</w:t>
            </w:r>
          </w:p>
        </w:tc>
        <w:tc>
          <w:tcPr>
            <w:tcW w:w="4204" w:type="dxa"/>
            <w:gridSpan w:val="2"/>
            <w:vAlign w:val="top"/>
          </w:tcPr>
          <w:p w14:paraId="5DA2CB25">
            <w:pPr>
              <w:autoSpaceDE w:val="0"/>
              <w:autoSpaceDN w:val="0"/>
              <w:spacing w:before="91" w:line="221" w:lineRule="auto"/>
              <w:ind w:left="15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锚杆拉拔仪</w:t>
            </w:r>
          </w:p>
        </w:tc>
        <w:tc>
          <w:tcPr>
            <w:tcW w:w="1490" w:type="dxa"/>
            <w:vAlign w:val="top"/>
          </w:tcPr>
          <w:p w14:paraId="61E2E292">
            <w:pPr>
              <w:autoSpaceDE w:val="0"/>
              <w:autoSpaceDN w:val="0"/>
              <w:spacing w:before="92"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0" w:type="dxa"/>
            <w:vAlign w:val="top"/>
          </w:tcPr>
          <w:p w14:paraId="3BC0956D">
            <w:pPr>
              <w:autoSpaceDE w:val="0"/>
              <w:autoSpaceDN w:val="0"/>
              <w:rPr>
                <w:rFonts w:ascii="Arial"/>
                <w:color w:val="auto"/>
                <w:sz w:val="21"/>
                <w:highlight w:val="none"/>
              </w:rPr>
            </w:pPr>
          </w:p>
        </w:tc>
      </w:tr>
      <w:tr w14:paraId="04DA5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536AA520">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99</w:t>
            </w:r>
          </w:p>
        </w:tc>
        <w:tc>
          <w:tcPr>
            <w:tcW w:w="4204" w:type="dxa"/>
            <w:gridSpan w:val="2"/>
            <w:vAlign w:val="top"/>
          </w:tcPr>
          <w:p w14:paraId="6C5EA9A8">
            <w:pPr>
              <w:autoSpaceDE w:val="0"/>
              <w:autoSpaceDN w:val="0"/>
              <w:spacing w:before="91" w:line="221" w:lineRule="auto"/>
              <w:ind w:left="0"/>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苏光</w:t>
            </w:r>
            <w:r>
              <w:rPr>
                <w:rFonts w:ascii="宋体" w:hAnsi="宋体" w:eastAsia="宋体" w:cs="宋体"/>
                <w:color w:val="auto"/>
                <w:spacing w:val="-1"/>
                <w:sz w:val="21"/>
                <w:szCs w:val="21"/>
                <w:highlight w:val="none"/>
              </w:rPr>
              <w:t>DSZ2</w:t>
            </w:r>
            <w:r>
              <w:rPr>
                <w:rFonts w:hint="eastAsia" w:ascii="宋体" w:hAnsi="宋体" w:eastAsia="宋体" w:cs="宋体"/>
                <w:color w:val="auto"/>
                <w:spacing w:val="-1"/>
                <w:sz w:val="21"/>
                <w:szCs w:val="21"/>
                <w:highlight w:val="none"/>
              </w:rPr>
              <w:t>测量水准仪（配测微器及</w:t>
            </w: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rPr>
              <w:t>米锳钢尺）</w:t>
            </w:r>
          </w:p>
        </w:tc>
        <w:tc>
          <w:tcPr>
            <w:tcW w:w="1490" w:type="dxa"/>
            <w:vAlign w:val="top"/>
          </w:tcPr>
          <w:p w14:paraId="39F74234">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1台</w:t>
            </w:r>
          </w:p>
        </w:tc>
        <w:tc>
          <w:tcPr>
            <w:tcW w:w="1840" w:type="dxa"/>
            <w:vAlign w:val="top"/>
          </w:tcPr>
          <w:p w14:paraId="39BC4F95">
            <w:pPr>
              <w:autoSpaceDE w:val="0"/>
              <w:autoSpaceDN w:val="0"/>
              <w:jc w:val="center"/>
              <w:rPr>
                <w:rFonts w:ascii="Arial"/>
                <w:color w:val="auto"/>
                <w:sz w:val="21"/>
                <w:highlight w:val="none"/>
              </w:rPr>
            </w:pPr>
            <w:r>
              <w:rPr>
                <w:rFonts w:hint="eastAsia" w:ascii="Arial"/>
                <w:color w:val="auto"/>
                <w:sz w:val="21"/>
                <w:highlight w:val="none"/>
              </w:rPr>
              <w:t>苏光</w:t>
            </w:r>
            <w:r>
              <w:rPr>
                <w:rFonts w:ascii="Arial"/>
                <w:color w:val="auto"/>
                <w:sz w:val="21"/>
                <w:highlight w:val="none"/>
              </w:rPr>
              <w:t>DSZ2</w:t>
            </w:r>
          </w:p>
        </w:tc>
      </w:tr>
      <w:tr w14:paraId="768EC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456A3689">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100</w:t>
            </w:r>
          </w:p>
        </w:tc>
        <w:tc>
          <w:tcPr>
            <w:tcW w:w="4204" w:type="dxa"/>
            <w:gridSpan w:val="2"/>
            <w:vAlign w:val="top"/>
          </w:tcPr>
          <w:p w14:paraId="12281AC8">
            <w:pPr>
              <w:autoSpaceDE w:val="0"/>
              <w:autoSpaceDN w:val="0"/>
              <w:spacing w:before="91" w:line="221" w:lineRule="auto"/>
              <w:ind w:left="0"/>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进口全站仪（</w:t>
            </w: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rPr>
              <w:t>含数字键盘全中文）</w:t>
            </w:r>
          </w:p>
        </w:tc>
        <w:tc>
          <w:tcPr>
            <w:tcW w:w="1490" w:type="dxa"/>
            <w:vAlign w:val="top"/>
          </w:tcPr>
          <w:p w14:paraId="1E9CD9EF">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1台</w:t>
            </w:r>
          </w:p>
        </w:tc>
        <w:tc>
          <w:tcPr>
            <w:tcW w:w="1840" w:type="dxa"/>
            <w:vAlign w:val="top"/>
          </w:tcPr>
          <w:p w14:paraId="502E1F15">
            <w:pPr>
              <w:autoSpaceDE w:val="0"/>
              <w:autoSpaceDN w:val="0"/>
              <w:jc w:val="center"/>
              <w:rPr>
                <w:rFonts w:ascii="Arial"/>
                <w:color w:val="auto"/>
                <w:sz w:val="21"/>
                <w:highlight w:val="none"/>
              </w:rPr>
            </w:pPr>
            <w:r>
              <w:rPr>
                <w:color w:val="auto"/>
                <w:kern w:val="0"/>
                <w:szCs w:val="21"/>
                <w:highlight w:val="none"/>
              </w:rPr>
              <w:t>DTM-552</w:t>
            </w:r>
          </w:p>
        </w:tc>
      </w:tr>
      <w:tr w14:paraId="77938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4D702750">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101</w:t>
            </w:r>
          </w:p>
        </w:tc>
        <w:tc>
          <w:tcPr>
            <w:tcW w:w="4204" w:type="dxa"/>
            <w:gridSpan w:val="2"/>
            <w:vAlign w:val="center"/>
          </w:tcPr>
          <w:p w14:paraId="031828DF">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地质雷达</w:t>
            </w:r>
          </w:p>
        </w:tc>
        <w:tc>
          <w:tcPr>
            <w:tcW w:w="1490" w:type="dxa"/>
            <w:vAlign w:val="top"/>
          </w:tcPr>
          <w:p w14:paraId="223C7ECE">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1台</w:t>
            </w:r>
          </w:p>
        </w:tc>
        <w:tc>
          <w:tcPr>
            <w:tcW w:w="1840" w:type="dxa"/>
            <w:vAlign w:val="top"/>
          </w:tcPr>
          <w:p w14:paraId="0FEF9E71">
            <w:pPr>
              <w:autoSpaceDE w:val="0"/>
              <w:autoSpaceDN w:val="0"/>
              <w:jc w:val="center"/>
              <w:rPr>
                <w:rFonts w:ascii="Arial"/>
                <w:color w:val="auto"/>
                <w:sz w:val="21"/>
                <w:highlight w:val="none"/>
              </w:rPr>
            </w:pPr>
          </w:p>
        </w:tc>
      </w:tr>
      <w:tr w14:paraId="45CA7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5D92A6A8">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102</w:t>
            </w:r>
          </w:p>
        </w:tc>
        <w:tc>
          <w:tcPr>
            <w:tcW w:w="4204" w:type="dxa"/>
            <w:gridSpan w:val="2"/>
            <w:vAlign w:val="center"/>
          </w:tcPr>
          <w:p w14:paraId="64EDF892">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多点位移计</w:t>
            </w:r>
          </w:p>
        </w:tc>
        <w:tc>
          <w:tcPr>
            <w:tcW w:w="1490" w:type="dxa"/>
            <w:vAlign w:val="top"/>
          </w:tcPr>
          <w:p w14:paraId="18E58430">
            <w:pPr>
              <w:autoSpaceDE w:val="0"/>
              <w:autoSpaceDN w:val="0"/>
              <w:spacing w:before="92" w:line="223" w:lineRule="auto"/>
              <w:ind w:left="585"/>
              <w:rPr>
                <w:rFonts w:hint="eastAsia"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若干</w:t>
            </w:r>
          </w:p>
        </w:tc>
        <w:tc>
          <w:tcPr>
            <w:tcW w:w="1840" w:type="dxa"/>
            <w:vAlign w:val="top"/>
          </w:tcPr>
          <w:p w14:paraId="2E7390E7">
            <w:pPr>
              <w:autoSpaceDE w:val="0"/>
              <w:autoSpaceDN w:val="0"/>
              <w:jc w:val="center"/>
              <w:rPr>
                <w:rFonts w:ascii="Arial"/>
                <w:color w:val="auto"/>
                <w:sz w:val="21"/>
                <w:highlight w:val="none"/>
              </w:rPr>
            </w:pPr>
          </w:p>
        </w:tc>
      </w:tr>
      <w:tr w14:paraId="4A91D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387FA51D">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103</w:t>
            </w:r>
          </w:p>
        </w:tc>
        <w:tc>
          <w:tcPr>
            <w:tcW w:w="4204" w:type="dxa"/>
            <w:gridSpan w:val="2"/>
            <w:vAlign w:val="center"/>
          </w:tcPr>
          <w:p w14:paraId="7F146914">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收敛计</w:t>
            </w:r>
          </w:p>
        </w:tc>
        <w:tc>
          <w:tcPr>
            <w:tcW w:w="1490" w:type="dxa"/>
            <w:vAlign w:val="top"/>
          </w:tcPr>
          <w:p w14:paraId="70BFB337">
            <w:pPr>
              <w:autoSpaceDE w:val="0"/>
              <w:autoSpaceDN w:val="0"/>
              <w:spacing w:before="92" w:line="223" w:lineRule="auto"/>
              <w:ind w:left="585"/>
              <w:rPr>
                <w:rFonts w:ascii="Times New Roman" w:hAnsi="Times New Roman" w:eastAsia="Times New Roman" w:cs="Times New Roman"/>
                <w:color w:val="auto"/>
                <w:sz w:val="21"/>
                <w:szCs w:val="21"/>
                <w:highlight w:val="none"/>
              </w:rPr>
            </w:pPr>
            <w:r>
              <w:rPr>
                <w:rFonts w:hint="eastAsia" w:eastAsia="宋体" w:cs="Times New Roman"/>
                <w:color w:val="auto"/>
                <w:sz w:val="21"/>
                <w:szCs w:val="21"/>
                <w:highlight w:val="none"/>
                <w:lang w:val="en-US" w:eastAsia="zh-CN"/>
              </w:rPr>
              <w:t>若干</w:t>
            </w:r>
          </w:p>
        </w:tc>
        <w:tc>
          <w:tcPr>
            <w:tcW w:w="1840" w:type="dxa"/>
            <w:vAlign w:val="top"/>
          </w:tcPr>
          <w:p w14:paraId="44F4BD9D">
            <w:pPr>
              <w:autoSpaceDE w:val="0"/>
              <w:autoSpaceDN w:val="0"/>
              <w:jc w:val="center"/>
              <w:rPr>
                <w:rFonts w:ascii="Arial"/>
                <w:color w:val="auto"/>
                <w:sz w:val="21"/>
                <w:highlight w:val="none"/>
              </w:rPr>
            </w:pPr>
          </w:p>
        </w:tc>
      </w:tr>
      <w:tr w14:paraId="76EE4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4BCA268B">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104</w:t>
            </w:r>
          </w:p>
        </w:tc>
        <w:tc>
          <w:tcPr>
            <w:tcW w:w="4204" w:type="dxa"/>
            <w:gridSpan w:val="2"/>
            <w:vAlign w:val="center"/>
          </w:tcPr>
          <w:p w14:paraId="46638FDC">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应力计</w:t>
            </w:r>
          </w:p>
        </w:tc>
        <w:tc>
          <w:tcPr>
            <w:tcW w:w="1490" w:type="dxa"/>
            <w:vAlign w:val="top"/>
          </w:tcPr>
          <w:p w14:paraId="47A97FC0">
            <w:pPr>
              <w:autoSpaceDE w:val="0"/>
              <w:autoSpaceDN w:val="0"/>
              <w:spacing w:before="92" w:line="223" w:lineRule="auto"/>
              <w:ind w:left="585"/>
              <w:rPr>
                <w:rFonts w:ascii="Times New Roman" w:hAnsi="Times New Roman" w:eastAsia="Times New Roman" w:cs="Times New Roman"/>
                <w:color w:val="auto"/>
                <w:sz w:val="21"/>
                <w:szCs w:val="21"/>
                <w:highlight w:val="none"/>
              </w:rPr>
            </w:pPr>
            <w:r>
              <w:rPr>
                <w:rFonts w:hint="eastAsia" w:eastAsia="宋体" w:cs="Times New Roman"/>
                <w:color w:val="auto"/>
                <w:sz w:val="21"/>
                <w:szCs w:val="21"/>
                <w:highlight w:val="none"/>
                <w:lang w:val="en-US" w:eastAsia="zh-CN"/>
              </w:rPr>
              <w:t>若干</w:t>
            </w:r>
          </w:p>
        </w:tc>
        <w:tc>
          <w:tcPr>
            <w:tcW w:w="1840" w:type="dxa"/>
            <w:vAlign w:val="top"/>
          </w:tcPr>
          <w:p w14:paraId="1CE50BA5">
            <w:pPr>
              <w:autoSpaceDE w:val="0"/>
              <w:autoSpaceDN w:val="0"/>
              <w:jc w:val="center"/>
              <w:rPr>
                <w:rFonts w:ascii="Arial"/>
                <w:color w:val="auto"/>
                <w:sz w:val="21"/>
                <w:highlight w:val="none"/>
              </w:rPr>
            </w:pPr>
          </w:p>
        </w:tc>
      </w:tr>
      <w:tr w14:paraId="749AF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527A79FC">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105</w:t>
            </w:r>
          </w:p>
        </w:tc>
        <w:tc>
          <w:tcPr>
            <w:tcW w:w="4204" w:type="dxa"/>
            <w:gridSpan w:val="2"/>
            <w:vAlign w:val="center"/>
          </w:tcPr>
          <w:p w14:paraId="01C69E30">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应变计</w:t>
            </w:r>
          </w:p>
        </w:tc>
        <w:tc>
          <w:tcPr>
            <w:tcW w:w="1490" w:type="dxa"/>
            <w:vAlign w:val="top"/>
          </w:tcPr>
          <w:p w14:paraId="2BFB7F0B">
            <w:pPr>
              <w:autoSpaceDE w:val="0"/>
              <w:autoSpaceDN w:val="0"/>
              <w:spacing w:before="92" w:line="223" w:lineRule="auto"/>
              <w:ind w:left="585"/>
              <w:rPr>
                <w:rFonts w:ascii="Times New Roman" w:hAnsi="Times New Roman" w:eastAsia="Times New Roman" w:cs="Times New Roman"/>
                <w:color w:val="auto"/>
                <w:sz w:val="21"/>
                <w:szCs w:val="21"/>
                <w:highlight w:val="none"/>
              </w:rPr>
            </w:pPr>
            <w:r>
              <w:rPr>
                <w:rFonts w:hint="eastAsia" w:eastAsia="宋体" w:cs="Times New Roman"/>
                <w:color w:val="auto"/>
                <w:sz w:val="21"/>
                <w:szCs w:val="21"/>
                <w:highlight w:val="none"/>
                <w:lang w:val="en-US" w:eastAsia="zh-CN"/>
              </w:rPr>
              <w:t>若干</w:t>
            </w:r>
          </w:p>
        </w:tc>
        <w:tc>
          <w:tcPr>
            <w:tcW w:w="1840" w:type="dxa"/>
            <w:vAlign w:val="top"/>
          </w:tcPr>
          <w:p w14:paraId="26958EC9">
            <w:pPr>
              <w:autoSpaceDE w:val="0"/>
              <w:autoSpaceDN w:val="0"/>
              <w:jc w:val="center"/>
              <w:rPr>
                <w:rFonts w:ascii="Arial"/>
                <w:color w:val="auto"/>
                <w:sz w:val="21"/>
                <w:highlight w:val="none"/>
              </w:rPr>
            </w:pPr>
          </w:p>
        </w:tc>
      </w:tr>
      <w:tr w14:paraId="1F43CF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7DBE315D">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106</w:t>
            </w:r>
          </w:p>
        </w:tc>
        <w:tc>
          <w:tcPr>
            <w:tcW w:w="4204" w:type="dxa"/>
            <w:gridSpan w:val="2"/>
            <w:vAlign w:val="center"/>
          </w:tcPr>
          <w:p w14:paraId="6E0930BE">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混凝土大板喷射试模</w:t>
            </w:r>
          </w:p>
        </w:tc>
        <w:tc>
          <w:tcPr>
            <w:tcW w:w="1490" w:type="dxa"/>
            <w:vAlign w:val="top"/>
          </w:tcPr>
          <w:p w14:paraId="59B6DF53">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若干</w:t>
            </w:r>
          </w:p>
        </w:tc>
        <w:tc>
          <w:tcPr>
            <w:tcW w:w="1840" w:type="dxa"/>
            <w:vAlign w:val="top"/>
          </w:tcPr>
          <w:p w14:paraId="583DBE52">
            <w:pPr>
              <w:autoSpaceDE w:val="0"/>
              <w:autoSpaceDN w:val="0"/>
              <w:jc w:val="center"/>
              <w:rPr>
                <w:rFonts w:ascii="Arial"/>
                <w:color w:val="auto"/>
                <w:sz w:val="21"/>
                <w:highlight w:val="none"/>
              </w:rPr>
            </w:pPr>
            <w:r>
              <w:rPr>
                <w:rFonts w:hint="eastAsia" w:ascii="宋体" w:cs="宋体"/>
                <w:color w:val="auto"/>
                <w:kern w:val="0"/>
                <w:szCs w:val="21"/>
                <w:highlight w:val="none"/>
              </w:rPr>
              <w:t>450*350*120mm</w:t>
            </w:r>
          </w:p>
        </w:tc>
      </w:tr>
      <w:tr w14:paraId="6967E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0F3B6AD9">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107</w:t>
            </w:r>
          </w:p>
        </w:tc>
        <w:tc>
          <w:tcPr>
            <w:tcW w:w="4204" w:type="dxa"/>
            <w:gridSpan w:val="2"/>
            <w:vAlign w:val="center"/>
          </w:tcPr>
          <w:p w14:paraId="46B5D966">
            <w:pPr>
              <w:widowControl/>
              <w:autoSpaceDE w:val="0"/>
              <w:autoSpaceDN w:val="0"/>
              <w:snapToGrid w:val="0"/>
              <w:jc w:val="center"/>
              <w:rPr>
                <w:rFonts w:ascii="宋体" w:hAnsi="宋体" w:eastAsia="宋体" w:cs="宋体"/>
                <w:color w:val="auto"/>
                <w:spacing w:val="-1"/>
                <w:sz w:val="21"/>
                <w:szCs w:val="21"/>
                <w:highlight w:val="none"/>
              </w:rPr>
            </w:pPr>
            <w:r>
              <w:rPr>
                <w:rFonts w:ascii="微软雅黑" w:hAnsi="微软雅黑"/>
                <w:color w:val="auto"/>
                <w:sz w:val="19"/>
                <w:szCs w:val="19"/>
                <w:highlight w:val="none"/>
                <w:shd w:val="clear" w:color="auto" w:fill="FFFFFF"/>
              </w:rPr>
              <w:t>岩石芯样切割机</w:t>
            </w:r>
          </w:p>
        </w:tc>
        <w:tc>
          <w:tcPr>
            <w:tcW w:w="1490" w:type="dxa"/>
            <w:vAlign w:val="top"/>
          </w:tcPr>
          <w:p w14:paraId="00A34D60">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1台</w:t>
            </w:r>
          </w:p>
        </w:tc>
        <w:tc>
          <w:tcPr>
            <w:tcW w:w="1840" w:type="dxa"/>
            <w:vAlign w:val="center"/>
          </w:tcPr>
          <w:p w14:paraId="75C7FC06">
            <w:pPr>
              <w:widowControl/>
              <w:autoSpaceDE w:val="0"/>
              <w:autoSpaceDN w:val="0"/>
              <w:snapToGrid w:val="0"/>
              <w:jc w:val="center"/>
              <w:rPr>
                <w:rFonts w:ascii="Arial"/>
                <w:color w:val="auto"/>
                <w:sz w:val="21"/>
                <w:highlight w:val="none"/>
              </w:rPr>
            </w:pPr>
            <w:r>
              <w:rPr>
                <w:rFonts w:ascii="宋体" w:hAnsi="宋体" w:cs="宋体"/>
                <w:color w:val="auto"/>
                <w:kern w:val="0"/>
                <w:szCs w:val="21"/>
                <w:highlight w:val="none"/>
              </w:rPr>
              <w:t>SCQ-4A</w:t>
            </w:r>
          </w:p>
        </w:tc>
      </w:tr>
      <w:tr w14:paraId="7F224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4EA68D72">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108</w:t>
            </w:r>
          </w:p>
        </w:tc>
        <w:tc>
          <w:tcPr>
            <w:tcW w:w="4204" w:type="dxa"/>
            <w:gridSpan w:val="2"/>
            <w:vAlign w:val="center"/>
          </w:tcPr>
          <w:p w14:paraId="274C4C63">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岩石双端面磨平机</w:t>
            </w:r>
          </w:p>
        </w:tc>
        <w:tc>
          <w:tcPr>
            <w:tcW w:w="1490" w:type="dxa"/>
            <w:vAlign w:val="top"/>
          </w:tcPr>
          <w:p w14:paraId="26742E7B">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1台</w:t>
            </w:r>
          </w:p>
        </w:tc>
        <w:tc>
          <w:tcPr>
            <w:tcW w:w="1840" w:type="dxa"/>
            <w:vAlign w:val="center"/>
          </w:tcPr>
          <w:p w14:paraId="611089DF">
            <w:pPr>
              <w:widowControl/>
              <w:autoSpaceDE w:val="0"/>
              <w:autoSpaceDN w:val="0"/>
              <w:snapToGrid w:val="0"/>
              <w:jc w:val="center"/>
              <w:rPr>
                <w:rFonts w:ascii="Arial"/>
                <w:color w:val="auto"/>
                <w:sz w:val="21"/>
                <w:highlight w:val="none"/>
              </w:rPr>
            </w:pPr>
            <w:r>
              <w:rPr>
                <w:rFonts w:ascii="宋体" w:hAnsi="宋体" w:cs="宋体"/>
                <w:color w:val="auto"/>
                <w:kern w:val="0"/>
                <w:szCs w:val="21"/>
                <w:highlight w:val="none"/>
              </w:rPr>
              <w:t>SHM-200</w:t>
            </w:r>
          </w:p>
        </w:tc>
      </w:tr>
      <w:tr w14:paraId="77312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685" w:type="dxa"/>
            <w:vAlign w:val="top"/>
          </w:tcPr>
          <w:p w14:paraId="3F9E1F50">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109</w:t>
            </w:r>
          </w:p>
        </w:tc>
        <w:tc>
          <w:tcPr>
            <w:tcW w:w="4204" w:type="dxa"/>
            <w:gridSpan w:val="2"/>
            <w:vAlign w:val="center"/>
          </w:tcPr>
          <w:p w14:paraId="3044ADF0">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塞尺</w:t>
            </w:r>
          </w:p>
        </w:tc>
        <w:tc>
          <w:tcPr>
            <w:tcW w:w="1490" w:type="dxa"/>
            <w:vAlign w:val="top"/>
          </w:tcPr>
          <w:p w14:paraId="53AAFDE2">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1个</w:t>
            </w:r>
          </w:p>
        </w:tc>
        <w:tc>
          <w:tcPr>
            <w:tcW w:w="1840" w:type="dxa"/>
            <w:vAlign w:val="center"/>
          </w:tcPr>
          <w:p w14:paraId="2A2597FB">
            <w:pPr>
              <w:widowControl/>
              <w:autoSpaceDE w:val="0"/>
              <w:autoSpaceDN w:val="0"/>
              <w:snapToGrid w:val="0"/>
              <w:jc w:val="center"/>
              <w:rPr>
                <w:rFonts w:ascii="Arial"/>
                <w:color w:val="auto"/>
                <w:sz w:val="21"/>
                <w:highlight w:val="none"/>
              </w:rPr>
            </w:pPr>
            <w:r>
              <w:rPr>
                <w:rFonts w:hint="eastAsia" w:ascii="宋体" w:hAnsi="宋体" w:cs="宋体"/>
                <w:color w:val="auto"/>
                <w:kern w:val="0"/>
                <w:szCs w:val="21"/>
                <w:highlight w:val="none"/>
              </w:rPr>
              <w:t>0.02-1.00mm</w:t>
            </w:r>
          </w:p>
        </w:tc>
      </w:tr>
      <w:tr w14:paraId="42DAB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685" w:type="dxa"/>
            <w:vAlign w:val="top"/>
          </w:tcPr>
          <w:p w14:paraId="41A39590">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110</w:t>
            </w:r>
          </w:p>
        </w:tc>
        <w:tc>
          <w:tcPr>
            <w:tcW w:w="4204" w:type="dxa"/>
            <w:gridSpan w:val="2"/>
            <w:vAlign w:val="center"/>
          </w:tcPr>
          <w:p w14:paraId="289F4EE2">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楔形塞尺</w:t>
            </w:r>
          </w:p>
        </w:tc>
        <w:tc>
          <w:tcPr>
            <w:tcW w:w="1490" w:type="dxa"/>
            <w:vAlign w:val="top"/>
          </w:tcPr>
          <w:p w14:paraId="43637730">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1个</w:t>
            </w:r>
          </w:p>
        </w:tc>
        <w:tc>
          <w:tcPr>
            <w:tcW w:w="1840" w:type="dxa"/>
            <w:vAlign w:val="center"/>
          </w:tcPr>
          <w:p w14:paraId="7D515F42">
            <w:pPr>
              <w:widowControl/>
              <w:autoSpaceDE w:val="0"/>
              <w:autoSpaceDN w:val="0"/>
              <w:snapToGrid w:val="0"/>
              <w:jc w:val="center"/>
              <w:rPr>
                <w:rFonts w:hint="eastAsia" w:ascii="Arial" w:eastAsia="宋体"/>
                <w:color w:val="auto"/>
                <w:sz w:val="21"/>
                <w:highlight w:val="none"/>
                <w:lang w:val="en-US" w:eastAsia="zh-CN"/>
              </w:rPr>
            </w:pPr>
            <w:r>
              <w:rPr>
                <w:rFonts w:hint="eastAsia" w:ascii="宋体" w:hAnsi="宋体" w:cs="宋体"/>
                <w:color w:val="auto"/>
                <w:kern w:val="0"/>
                <w:szCs w:val="21"/>
                <w:highlight w:val="none"/>
              </w:rPr>
              <w:t>0-15mm精度0.02mm</w:t>
            </w:r>
          </w:p>
        </w:tc>
      </w:tr>
      <w:tr w14:paraId="7825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685" w:type="dxa"/>
            <w:vAlign w:val="top"/>
          </w:tcPr>
          <w:p w14:paraId="7546F981">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111</w:t>
            </w:r>
          </w:p>
        </w:tc>
        <w:tc>
          <w:tcPr>
            <w:tcW w:w="4204" w:type="dxa"/>
            <w:gridSpan w:val="2"/>
            <w:vAlign w:val="center"/>
          </w:tcPr>
          <w:p w14:paraId="393B1AFB">
            <w:pPr>
              <w:widowControl/>
              <w:autoSpaceDE w:val="0"/>
              <w:autoSpaceDN w:val="0"/>
              <w:snapToGrid w:val="0"/>
              <w:jc w:val="center"/>
              <w:rPr>
                <w:rFonts w:ascii="宋体" w:hAnsi="宋体" w:eastAsia="宋体" w:cs="宋体"/>
                <w:color w:val="auto"/>
                <w:spacing w:val="-1"/>
                <w:sz w:val="21"/>
                <w:szCs w:val="21"/>
                <w:highlight w:val="none"/>
              </w:rPr>
            </w:pPr>
            <w:r>
              <w:rPr>
                <w:rFonts w:ascii="宋体" w:hAnsi="宋体" w:cs="宋体"/>
                <w:color w:val="auto"/>
                <w:kern w:val="0"/>
                <w:szCs w:val="21"/>
                <w:highlight w:val="none"/>
              </w:rPr>
              <w:t>30</w:t>
            </w:r>
            <w:r>
              <w:rPr>
                <w:rFonts w:hint="eastAsia" w:ascii="宋体" w:hAnsi="宋体" w:cs="宋体"/>
                <w:color w:val="auto"/>
                <w:kern w:val="0"/>
                <w:szCs w:val="21"/>
                <w:highlight w:val="none"/>
              </w:rPr>
              <w:t>米皮尺、</w:t>
            </w:r>
            <w:r>
              <w:rPr>
                <w:rFonts w:ascii="宋体" w:hAnsi="宋体" w:cs="宋体"/>
                <w:color w:val="auto"/>
                <w:kern w:val="0"/>
                <w:szCs w:val="21"/>
                <w:highlight w:val="none"/>
              </w:rPr>
              <w:t>50</w:t>
            </w:r>
            <w:r>
              <w:rPr>
                <w:rFonts w:hint="eastAsia" w:ascii="宋体" w:hAnsi="宋体" w:cs="宋体"/>
                <w:color w:val="auto"/>
                <w:kern w:val="0"/>
                <w:szCs w:val="21"/>
                <w:highlight w:val="none"/>
              </w:rPr>
              <w:t>米钢卷尺</w:t>
            </w:r>
          </w:p>
        </w:tc>
        <w:tc>
          <w:tcPr>
            <w:tcW w:w="1490" w:type="dxa"/>
            <w:vAlign w:val="top"/>
          </w:tcPr>
          <w:p w14:paraId="15B42D45">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各1把</w:t>
            </w:r>
          </w:p>
        </w:tc>
        <w:tc>
          <w:tcPr>
            <w:tcW w:w="1840" w:type="dxa"/>
            <w:vAlign w:val="top"/>
          </w:tcPr>
          <w:p w14:paraId="5146E2DF">
            <w:pPr>
              <w:autoSpaceDE w:val="0"/>
              <w:autoSpaceDN w:val="0"/>
              <w:rPr>
                <w:rFonts w:ascii="Arial"/>
                <w:color w:val="auto"/>
                <w:sz w:val="21"/>
                <w:highlight w:val="none"/>
              </w:rPr>
            </w:pPr>
          </w:p>
        </w:tc>
      </w:tr>
      <w:tr w14:paraId="1C33F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685" w:type="dxa"/>
            <w:vAlign w:val="top"/>
          </w:tcPr>
          <w:p w14:paraId="56B7C45D">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112</w:t>
            </w:r>
          </w:p>
        </w:tc>
        <w:tc>
          <w:tcPr>
            <w:tcW w:w="4204" w:type="dxa"/>
            <w:gridSpan w:val="2"/>
            <w:vAlign w:val="center"/>
          </w:tcPr>
          <w:p w14:paraId="5F25480E">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5米钢卷尺</w:t>
            </w:r>
          </w:p>
        </w:tc>
        <w:tc>
          <w:tcPr>
            <w:tcW w:w="1490" w:type="dxa"/>
            <w:vAlign w:val="top"/>
          </w:tcPr>
          <w:p w14:paraId="2F35DB19">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1个</w:t>
            </w:r>
          </w:p>
        </w:tc>
        <w:tc>
          <w:tcPr>
            <w:tcW w:w="1840" w:type="dxa"/>
            <w:vAlign w:val="top"/>
          </w:tcPr>
          <w:p w14:paraId="736E5D9B">
            <w:pPr>
              <w:autoSpaceDE w:val="0"/>
              <w:autoSpaceDN w:val="0"/>
              <w:rPr>
                <w:rFonts w:ascii="Arial"/>
                <w:color w:val="auto"/>
                <w:sz w:val="21"/>
                <w:highlight w:val="none"/>
              </w:rPr>
            </w:pPr>
          </w:p>
        </w:tc>
      </w:tr>
      <w:tr w14:paraId="7773E0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685" w:type="dxa"/>
            <w:vAlign w:val="top"/>
          </w:tcPr>
          <w:p w14:paraId="5AC8F93D">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113</w:t>
            </w:r>
          </w:p>
        </w:tc>
        <w:tc>
          <w:tcPr>
            <w:tcW w:w="4204" w:type="dxa"/>
            <w:gridSpan w:val="2"/>
            <w:vAlign w:val="center"/>
          </w:tcPr>
          <w:p w14:paraId="225F6F91">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一体式数显回弹仪</w:t>
            </w:r>
          </w:p>
        </w:tc>
        <w:tc>
          <w:tcPr>
            <w:tcW w:w="1490" w:type="dxa"/>
            <w:vAlign w:val="top"/>
          </w:tcPr>
          <w:p w14:paraId="1DAC07E8">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2台</w:t>
            </w:r>
          </w:p>
        </w:tc>
        <w:tc>
          <w:tcPr>
            <w:tcW w:w="1840" w:type="dxa"/>
            <w:vAlign w:val="top"/>
          </w:tcPr>
          <w:p w14:paraId="147F260A">
            <w:pPr>
              <w:autoSpaceDE w:val="0"/>
              <w:autoSpaceDN w:val="0"/>
              <w:jc w:val="center"/>
              <w:rPr>
                <w:rFonts w:ascii="Arial"/>
                <w:color w:val="auto"/>
                <w:sz w:val="21"/>
                <w:highlight w:val="none"/>
              </w:rPr>
            </w:pPr>
            <w:r>
              <w:rPr>
                <w:rFonts w:ascii="Arial"/>
                <w:color w:val="auto"/>
                <w:sz w:val="21"/>
                <w:highlight w:val="none"/>
              </w:rPr>
              <w:t>ZC3-D</w:t>
            </w:r>
          </w:p>
        </w:tc>
      </w:tr>
      <w:tr w14:paraId="32567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685" w:type="dxa"/>
            <w:vAlign w:val="top"/>
          </w:tcPr>
          <w:p w14:paraId="117150D2">
            <w:pPr>
              <w:autoSpaceDE w:val="0"/>
              <w:autoSpaceDN w:val="0"/>
              <w:spacing w:before="123" w:line="187" w:lineRule="auto"/>
              <w:ind w:left="742"/>
              <w:rPr>
                <w:rFonts w:hint="default" w:ascii="Times New Roman" w:hAnsi="Times New Roman" w:eastAsia="宋体" w:cs="Times New Roman"/>
                <w:color w:val="auto"/>
                <w:spacing w:val="-2"/>
                <w:sz w:val="21"/>
                <w:szCs w:val="21"/>
                <w:highlight w:val="none"/>
                <w:lang w:val="en-US" w:eastAsia="zh-CN"/>
              </w:rPr>
            </w:pPr>
            <w:r>
              <w:rPr>
                <w:rFonts w:hint="eastAsia" w:eastAsia="宋体" w:cs="Times New Roman"/>
                <w:color w:val="auto"/>
                <w:spacing w:val="-2"/>
                <w:sz w:val="21"/>
                <w:szCs w:val="21"/>
                <w:highlight w:val="none"/>
                <w:lang w:val="en-US" w:eastAsia="zh-CN"/>
              </w:rPr>
              <w:t>114</w:t>
            </w:r>
          </w:p>
        </w:tc>
        <w:tc>
          <w:tcPr>
            <w:tcW w:w="4204" w:type="dxa"/>
            <w:gridSpan w:val="2"/>
            <w:vAlign w:val="center"/>
          </w:tcPr>
          <w:p w14:paraId="5A93EA77">
            <w:pPr>
              <w:widowControl/>
              <w:autoSpaceDE w:val="0"/>
              <w:autoSpaceDN w:val="0"/>
              <w:snapToGrid w:val="0"/>
              <w:jc w:val="center"/>
              <w:rPr>
                <w:rFonts w:ascii="宋体" w:hAnsi="宋体" w:eastAsia="宋体" w:cs="宋体"/>
                <w:color w:val="auto"/>
                <w:spacing w:val="-1"/>
                <w:sz w:val="21"/>
                <w:szCs w:val="21"/>
                <w:highlight w:val="none"/>
              </w:rPr>
            </w:pPr>
            <w:r>
              <w:rPr>
                <w:rFonts w:hint="eastAsia" w:ascii="宋体" w:hAnsi="宋体" w:cs="宋体"/>
                <w:color w:val="auto"/>
                <w:kern w:val="0"/>
                <w:szCs w:val="21"/>
                <w:highlight w:val="none"/>
              </w:rPr>
              <w:t>钢砧</w:t>
            </w:r>
          </w:p>
        </w:tc>
        <w:tc>
          <w:tcPr>
            <w:tcW w:w="1490" w:type="dxa"/>
            <w:vAlign w:val="top"/>
          </w:tcPr>
          <w:p w14:paraId="34B2C57E">
            <w:pPr>
              <w:autoSpaceDE w:val="0"/>
              <w:autoSpaceDN w:val="0"/>
              <w:spacing w:before="92" w:line="223" w:lineRule="auto"/>
              <w:ind w:left="585"/>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1台</w:t>
            </w:r>
          </w:p>
        </w:tc>
        <w:tc>
          <w:tcPr>
            <w:tcW w:w="1840" w:type="dxa"/>
            <w:vAlign w:val="top"/>
          </w:tcPr>
          <w:p w14:paraId="10A7527E">
            <w:pPr>
              <w:autoSpaceDE w:val="0"/>
              <w:autoSpaceDN w:val="0"/>
              <w:rPr>
                <w:rFonts w:ascii="Arial"/>
                <w:color w:val="auto"/>
                <w:sz w:val="21"/>
                <w:highlight w:val="none"/>
              </w:rPr>
            </w:pPr>
          </w:p>
        </w:tc>
      </w:tr>
      <w:tr w14:paraId="4FB50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9219" w:type="dxa"/>
            <w:gridSpan w:val="5"/>
            <w:vAlign w:val="top"/>
          </w:tcPr>
          <w:p w14:paraId="1F06221F">
            <w:pPr>
              <w:autoSpaceDE w:val="0"/>
              <w:autoSpaceDN w:val="0"/>
              <w:spacing w:before="92" w:line="220" w:lineRule="auto"/>
              <w:ind w:left="334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七、沥</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青路面试验仪器设备</w:t>
            </w:r>
          </w:p>
        </w:tc>
      </w:tr>
      <w:tr w14:paraId="625DE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51C7FAB0">
            <w:pPr>
              <w:autoSpaceDE w:val="0"/>
              <w:autoSpaceDN w:val="0"/>
              <w:spacing w:before="124" w:line="187" w:lineRule="auto"/>
              <w:ind w:left="742"/>
              <w:rPr>
                <w:rFonts w:ascii="Times New Roman" w:hAnsi="Times New Roman" w:eastAsia="Times New Roman" w:cs="Times New Roman"/>
                <w:color w:val="auto"/>
                <w:sz w:val="21"/>
                <w:szCs w:val="21"/>
                <w:highlight w:val="none"/>
              </w:rPr>
            </w:pPr>
            <w:r>
              <w:rPr>
                <w:rFonts w:hint="eastAsia" w:eastAsia="宋体" w:cs="Times New Roman"/>
                <w:color w:val="auto"/>
                <w:spacing w:val="-2"/>
                <w:sz w:val="21"/>
                <w:szCs w:val="21"/>
                <w:highlight w:val="none"/>
                <w:lang w:val="en-US" w:eastAsia="zh-CN"/>
              </w:rPr>
              <w:t>115</w:t>
            </w:r>
          </w:p>
        </w:tc>
        <w:tc>
          <w:tcPr>
            <w:tcW w:w="4204" w:type="dxa"/>
            <w:gridSpan w:val="2"/>
            <w:vAlign w:val="top"/>
          </w:tcPr>
          <w:p w14:paraId="67FF878B">
            <w:pPr>
              <w:autoSpaceDE w:val="0"/>
              <w:autoSpaceDN w:val="0"/>
              <w:spacing w:before="92" w:line="220" w:lineRule="auto"/>
              <w:ind w:left="12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沥青软化点</w:t>
            </w:r>
            <w:r>
              <w:rPr>
                <w:rFonts w:ascii="宋体" w:hAnsi="宋体" w:eastAsia="宋体" w:cs="宋体"/>
                <w:color w:val="auto"/>
                <w:sz w:val="21"/>
                <w:szCs w:val="21"/>
                <w:highlight w:val="none"/>
              </w:rPr>
              <w:t>测定仪</w:t>
            </w:r>
          </w:p>
        </w:tc>
        <w:tc>
          <w:tcPr>
            <w:tcW w:w="1490" w:type="dxa"/>
            <w:vAlign w:val="top"/>
          </w:tcPr>
          <w:p w14:paraId="7DCE992E">
            <w:pPr>
              <w:autoSpaceDE w:val="0"/>
              <w:autoSpaceDN w:val="0"/>
              <w:spacing w:before="93"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26985B05">
            <w:pPr>
              <w:autoSpaceDE w:val="0"/>
              <w:autoSpaceDN w:val="0"/>
              <w:rPr>
                <w:rFonts w:ascii="Arial"/>
                <w:color w:val="auto"/>
                <w:sz w:val="21"/>
                <w:highlight w:val="none"/>
              </w:rPr>
            </w:pPr>
          </w:p>
        </w:tc>
      </w:tr>
      <w:tr w14:paraId="681A0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5" w:type="dxa"/>
            <w:vAlign w:val="top"/>
          </w:tcPr>
          <w:p w14:paraId="49D818C1">
            <w:pPr>
              <w:autoSpaceDE w:val="0"/>
              <w:autoSpaceDN w:val="0"/>
              <w:spacing w:before="124"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116</w:t>
            </w:r>
          </w:p>
        </w:tc>
        <w:tc>
          <w:tcPr>
            <w:tcW w:w="4204" w:type="dxa"/>
            <w:gridSpan w:val="2"/>
            <w:vAlign w:val="top"/>
          </w:tcPr>
          <w:p w14:paraId="7A99ECC0">
            <w:pPr>
              <w:autoSpaceDE w:val="0"/>
              <w:autoSpaceDN w:val="0"/>
              <w:spacing w:before="93" w:line="220" w:lineRule="auto"/>
              <w:ind w:left="12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沥青针入度</w:t>
            </w:r>
            <w:r>
              <w:rPr>
                <w:rFonts w:ascii="宋体" w:hAnsi="宋体" w:eastAsia="宋体" w:cs="宋体"/>
                <w:color w:val="auto"/>
                <w:sz w:val="21"/>
                <w:szCs w:val="21"/>
                <w:highlight w:val="none"/>
              </w:rPr>
              <w:t>测定仪</w:t>
            </w:r>
          </w:p>
        </w:tc>
        <w:tc>
          <w:tcPr>
            <w:tcW w:w="1490" w:type="dxa"/>
            <w:vAlign w:val="top"/>
          </w:tcPr>
          <w:p w14:paraId="2A9E134E">
            <w:pPr>
              <w:autoSpaceDE w:val="0"/>
              <w:autoSpaceDN w:val="0"/>
              <w:spacing w:before="93"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233012BB">
            <w:pPr>
              <w:autoSpaceDE w:val="0"/>
              <w:autoSpaceDN w:val="0"/>
              <w:rPr>
                <w:rFonts w:ascii="Arial"/>
                <w:color w:val="auto"/>
                <w:sz w:val="21"/>
                <w:highlight w:val="none"/>
              </w:rPr>
            </w:pPr>
          </w:p>
        </w:tc>
      </w:tr>
      <w:tr w14:paraId="1A954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4914762E">
            <w:pPr>
              <w:autoSpaceDE w:val="0"/>
              <w:autoSpaceDN w:val="0"/>
              <w:spacing w:before="126"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117</w:t>
            </w:r>
          </w:p>
        </w:tc>
        <w:tc>
          <w:tcPr>
            <w:tcW w:w="4204" w:type="dxa"/>
            <w:gridSpan w:val="2"/>
            <w:vAlign w:val="top"/>
          </w:tcPr>
          <w:p w14:paraId="6B18025D">
            <w:pPr>
              <w:autoSpaceDE w:val="0"/>
              <w:autoSpaceDN w:val="0"/>
              <w:spacing w:before="93" w:line="220" w:lineRule="auto"/>
              <w:ind w:left="1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低温沥青</w:t>
            </w:r>
            <w:r>
              <w:rPr>
                <w:rFonts w:ascii="宋体" w:hAnsi="宋体" w:eastAsia="宋体" w:cs="宋体"/>
                <w:color w:val="auto"/>
                <w:sz w:val="21"/>
                <w:szCs w:val="21"/>
                <w:highlight w:val="none"/>
              </w:rPr>
              <w:t>延度仪</w:t>
            </w:r>
          </w:p>
        </w:tc>
        <w:tc>
          <w:tcPr>
            <w:tcW w:w="1490" w:type="dxa"/>
            <w:vAlign w:val="top"/>
          </w:tcPr>
          <w:p w14:paraId="3F51E707">
            <w:pPr>
              <w:autoSpaceDE w:val="0"/>
              <w:autoSpaceDN w:val="0"/>
              <w:spacing w:before="93"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3776BD46">
            <w:pPr>
              <w:autoSpaceDE w:val="0"/>
              <w:autoSpaceDN w:val="0"/>
              <w:rPr>
                <w:rFonts w:ascii="Arial"/>
                <w:color w:val="auto"/>
                <w:sz w:val="21"/>
                <w:highlight w:val="none"/>
              </w:rPr>
            </w:pPr>
          </w:p>
        </w:tc>
      </w:tr>
      <w:tr w14:paraId="2E26A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4F5BDA92">
            <w:pPr>
              <w:autoSpaceDE w:val="0"/>
              <w:autoSpaceDN w:val="0"/>
              <w:spacing w:before="124"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118</w:t>
            </w:r>
          </w:p>
        </w:tc>
        <w:tc>
          <w:tcPr>
            <w:tcW w:w="4204" w:type="dxa"/>
            <w:gridSpan w:val="2"/>
            <w:vAlign w:val="top"/>
          </w:tcPr>
          <w:p w14:paraId="01C1829D">
            <w:pPr>
              <w:autoSpaceDE w:val="0"/>
              <w:autoSpaceDN w:val="0"/>
              <w:spacing w:before="93" w:line="220" w:lineRule="auto"/>
              <w:ind w:left="12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沥青旋转薄</w:t>
            </w:r>
            <w:r>
              <w:rPr>
                <w:rFonts w:ascii="宋体" w:hAnsi="宋体" w:eastAsia="宋体" w:cs="宋体"/>
                <w:color w:val="auto"/>
                <w:sz w:val="21"/>
                <w:szCs w:val="21"/>
                <w:highlight w:val="none"/>
              </w:rPr>
              <w:t>膜烘箱</w:t>
            </w:r>
          </w:p>
        </w:tc>
        <w:tc>
          <w:tcPr>
            <w:tcW w:w="1490" w:type="dxa"/>
            <w:vAlign w:val="top"/>
          </w:tcPr>
          <w:p w14:paraId="2739813E">
            <w:pPr>
              <w:autoSpaceDE w:val="0"/>
              <w:autoSpaceDN w:val="0"/>
              <w:spacing w:before="93"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6EC476BA">
            <w:pPr>
              <w:autoSpaceDE w:val="0"/>
              <w:autoSpaceDN w:val="0"/>
              <w:rPr>
                <w:rFonts w:ascii="Arial"/>
                <w:color w:val="auto"/>
                <w:sz w:val="21"/>
                <w:highlight w:val="none"/>
              </w:rPr>
            </w:pPr>
          </w:p>
        </w:tc>
      </w:tr>
      <w:tr w14:paraId="33460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01777699">
            <w:pPr>
              <w:autoSpaceDE w:val="0"/>
              <w:autoSpaceDN w:val="0"/>
              <w:spacing w:before="127"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119</w:t>
            </w:r>
          </w:p>
        </w:tc>
        <w:tc>
          <w:tcPr>
            <w:tcW w:w="4204" w:type="dxa"/>
            <w:gridSpan w:val="2"/>
            <w:vAlign w:val="top"/>
          </w:tcPr>
          <w:p w14:paraId="37A34C94">
            <w:pPr>
              <w:autoSpaceDE w:val="0"/>
              <w:autoSpaceDN w:val="0"/>
              <w:spacing w:before="93" w:line="221" w:lineRule="auto"/>
              <w:ind w:left="13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最</w:t>
            </w:r>
            <w:r>
              <w:rPr>
                <w:rFonts w:ascii="宋体" w:hAnsi="宋体" w:eastAsia="宋体" w:cs="宋体"/>
                <w:color w:val="auto"/>
                <w:spacing w:val="-1"/>
                <w:sz w:val="21"/>
                <w:szCs w:val="21"/>
                <w:highlight w:val="none"/>
              </w:rPr>
              <w:t>大理论密度仪</w:t>
            </w:r>
          </w:p>
        </w:tc>
        <w:tc>
          <w:tcPr>
            <w:tcW w:w="1490" w:type="dxa"/>
            <w:vAlign w:val="top"/>
          </w:tcPr>
          <w:p w14:paraId="0212B4B8">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61069D54">
            <w:pPr>
              <w:autoSpaceDE w:val="0"/>
              <w:autoSpaceDN w:val="0"/>
              <w:rPr>
                <w:rFonts w:ascii="Arial"/>
                <w:color w:val="auto"/>
                <w:sz w:val="21"/>
                <w:highlight w:val="none"/>
              </w:rPr>
            </w:pPr>
          </w:p>
        </w:tc>
      </w:tr>
      <w:tr w14:paraId="140BA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6BE4F29F">
            <w:pPr>
              <w:autoSpaceDE w:val="0"/>
              <w:autoSpaceDN w:val="0"/>
              <w:spacing w:before="125"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120</w:t>
            </w:r>
          </w:p>
        </w:tc>
        <w:tc>
          <w:tcPr>
            <w:tcW w:w="4204" w:type="dxa"/>
            <w:gridSpan w:val="2"/>
            <w:vAlign w:val="top"/>
          </w:tcPr>
          <w:p w14:paraId="354A4DCD">
            <w:pPr>
              <w:autoSpaceDE w:val="0"/>
              <w:autoSpaceDN w:val="0"/>
              <w:spacing w:before="93" w:line="220" w:lineRule="auto"/>
              <w:ind w:left="15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沥青粘度计</w:t>
            </w:r>
          </w:p>
        </w:tc>
        <w:tc>
          <w:tcPr>
            <w:tcW w:w="1490" w:type="dxa"/>
            <w:vAlign w:val="top"/>
          </w:tcPr>
          <w:p w14:paraId="4F56EB99">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053B4AAF">
            <w:pPr>
              <w:autoSpaceDE w:val="0"/>
              <w:autoSpaceDN w:val="0"/>
              <w:rPr>
                <w:rFonts w:ascii="Arial"/>
                <w:color w:val="auto"/>
                <w:sz w:val="21"/>
                <w:highlight w:val="none"/>
              </w:rPr>
            </w:pPr>
          </w:p>
        </w:tc>
      </w:tr>
      <w:tr w14:paraId="0F384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67DFB15C">
            <w:pPr>
              <w:autoSpaceDE w:val="0"/>
              <w:autoSpaceDN w:val="0"/>
              <w:spacing w:before="128"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121</w:t>
            </w:r>
          </w:p>
        </w:tc>
        <w:tc>
          <w:tcPr>
            <w:tcW w:w="4204" w:type="dxa"/>
            <w:gridSpan w:val="2"/>
            <w:vAlign w:val="top"/>
          </w:tcPr>
          <w:p w14:paraId="7344AD27">
            <w:pPr>
              <w:autoSpaceDE w:val="0"/>
              <w:autoSpaceDN w:val="0"/>
              <w:spacing w:before="96" w:line="221" w:lineRule="auto"/>
              <w:ind w:left="14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数</w:t>
            </w:r>
            <w:r>
              <w:rPr>
                <w:rFonts w:ascii="宋体" w:hAnsi="宋体" w:eastAsia="宋体" w:cs="宋体"/>
                <w:color w:val="auto"/>
                <w:spacing w:val="-1"/>
                <w:sz w:val="21"/>
                <w:szCs w:val="21"/>
                <w:highlight w:val="none"/>
              </w:rPr>
              <w:t>显恒温水浴</w:t>
            </w:r>
          </w:p>
        </w:tc>
        <w:tc>
          <w:tcPr>
            <w:tcW w:w="1490" w:type="dxa"/>
            <w:vAlign w:val="top"/>
          </w:tcPr>
          <w:p w14:paraId="4078B140">
            <w:pPr>
              <w:autoSpaceDE w:val="0"/>
              <w:autoSpaceDN w:val="0"/>
              <w:spacing w:before="97"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36F860A5">
            <w:pPr>
              <w:autoSpaceDE w:val="0"/>
              <w:autoSpaceDN w:val="0"/>
              <w:rPr>
                <w:rFonts w:ascii="Arial"/>
                <w:color w:val="auto"/>
                <w:sz w:val="21"/>
                <w:highlight w:val="none"/>
              </w:rPr>
            </w:pPr>
          </w:p>
        </w:tc>
      </w:tr>
      <w:tr w14:paraId="40F51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435038A5">
            <w:pPr>
              <w:autoSpaceDE w:val="0"/>
              <w:autoSpaceDN w:val="0"/>
              <w:spacing w:before="128"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122</w:t>
            </w:r>
          </w:p>
        </w:tc>
        <w:tc>
          <w:tcPr>
            <w:tcW w:w="4204" w:type="dxa"/>
            <w:gridSpan w:val="2"/>
            <w:vAlign w:val="top"/>
          </w:tcPr>
          <w:p w14:paraId="5D1009AD">
            <w:pPr>
              <w:autoSpaceDE w:val="0"/>
              <w:autoSpaceDN w:val="0"/>
              <w:spacing w:before="94" w:line="221" w:lineRule="auto"/>
              <w:ind w:left="150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电子分析天平</w:t>
            </w:r>
          </w:p>
        </w:tc>
        <w:tc>
          <w:tcPr>
            <w:tcW w:w="1490" w:type="dxa"/>
            <w:vAlign w:val="top"/>
          </w:tcPr>
          <w:p w14:paraId="6D343246">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4B4E2AE7">
            <w:pPr>
              <w:autoSpaceDE w:val="0"/>
              <w:autoSpaceDN w:val="0"/>
              <w:rPr>
                <w:rFonts w:ascii="Arial"/>
                <w:color w:val="auto"/>
                <w:sz w:val="21"/>
                <w:highlight w:val="none"/>
              </w:rPr>
            </w:pPr>
          </w:p>
        </w:tc>
      </w:tr>
      <w:tr w14:paraId="6EDA1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5" w:type="dxa"/>
            <w:vAlign w:val="top"/>
          </w:tcPr>
          <w:p w14:paraId="19A2B9A1">
            <w:pPr>
              <w:autoSpaceDE w:val="0"/>
              <w:autoSpaceDN w:val="0"/>
              <w:spacing w:before="125"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123</w:t>
            </w:r>
          </w:p>
        </w:tc>
        <w:tc>
          <w:tcPr>
            <w:tcW w:w="4204" w:type="dxa"/>
            <w:gridSpan w:val="2"/>
            <w:vAlign w:val="top"/>
          </w:tcPr>
          <w:p w14:paraId="6550AF26">
            <w:pPr>
              <w:autoSpaceDE w:val="0"/>
              <w:autoSpaceDN w:val="0"/>
              <w:spacing w:before="94" w:line="220" w:lineRule="auto"/>
              <w:ind w:left="12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沥青混合料</w:t>
            </w:r>
            <w:r>
              <w:rPr>
                <w:rFonts w:ascii="宋体" w:hAnsi="宋体" w:eastAsia="宋体" w:cs="宋体"/>
                <w:color w:val="auto"/>
                <w:sz w:val="21"/>
                <w:szCs w:val="21"/>
                <w:highlight w:val="none"/>
              </w:rPr>
              <w:t>拌和机</w:t>
            </w:r>
          </w:p>
        </w:tc>
        <w:tc>
          <w:tcPr>
            <w:tcW w:w="1490" w:type="dxa"/>
            <w:vAlign w:val="top"/>
          </w:tcPr>
          <w:p w14:paraId="2D81BF7F">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16F6C3E7">
            <w:pPr>
              <w:autoSpaceDE w:val="0"/>
              <w:autoSpaceDN w:val="0"/>
              <w:rPr>
                <w:rFonts w:ascii="Arial"/>
                <w:color w:val="auto"/>
                <w:sz w:val="21"/>
                <w:highlight w:val="none"/>
              </w:rPr>
            </w:pPr>
          </w:p>
        </w:tc>
      </w:tr>
      <w:tr w14:paraId="18C8B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04FEE371">
            <w:pPr>
              <w:autoSpaceDE w:val="0"/>
              <w:autoSpaceDN w:val="0"/>
              <w:spacing w:before="128"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124</w:t>
            </w:r>
          </w:p>
        </w:tc>
        <w:tc>
          <w:tcPr>
            <w:tcW w:w="4204" w:type="dxa"/>
            <w:gridSpan w:val="2"/>
            <w:vAlign w:val="top"/>
          </w:tcPr>
          <w:p w14:paraId="6B517DA6">
            <w:pPr>
              <w:autoSpaceDE w:val="0"/>
              <w:autoSpaceDN w:val="0"/>
              <w:spacing w:before="93" w:line="221" w:lineRule="auto"/>
              <w:ind w:left="10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标准马歇尔电</w:t>
            </w:r>
            <w:r>
              <w:rPr>
                <w:rFonts w:ascii="宋体" w:hAnsi="宋体" w:eastAsia="宋体" w:cs="宋体"/>
                <w:color w:val="auto"/>
                <w:sz w:val="21"/>
                <w:szCs w:val="21"/>
                <w:highlight w:val="none"/>
              </w:rPr>
              <w:t>动击实仪</w:t>
            </w:r>
          </w:p>
        </w:tc>
        <w:tc>
          <w:tcPr>
            <w:tcW w:w="1490" w:type="dxa"/>
            <w:vAlign w:val="top"/>
          </w:tcPr>
          <w:p w14:paraId="74D822AF">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715FD387">
            <w:pPr>
              <w:autoSpaceDE w:val="0"/>
              <w:autoSpaceDN w:val="0"/>
              <w:rPr>
                <w:rFonts w:ascii="Arial"/>
                <w:color w:val="auto"/>
                <w:sz w:val="21"/>
                <w:highlight w:val="none"/>
              </w:rPr>
            </w:pPr>
          </w:p>
        </w:tc>
      </w:tr>
      <w:tr w14:paraId="6515C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5" w:type="dxa"/>
            <w:vAlign w:val="top"/>
          </w:tcPr>
          <w:p w14:paraId="2A6D579E">
            <w:pPr>
              <w:autoSpaceDE w:val="0"/>
              <w:autoSpaceDN w:val="0"/>
              <w:spacing w:before="125"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125</w:t>
            </w:r>
          </w:p>
        </w:tc>
        <w:tc>
          <w:tcPr>
            <w:tcW w:w="4204" w:type="dxa"/>
            <w:gridSpan w:val="2"/>
            <w:vAlign w:val="top"/>
          </w:tcPr>
          <w:p w14:paraId="6AC87DB1">
            <w:pPr>
              <w:autoSpaceDE w:val="0"/>
              <w:autoSpaceDN w:val="0"/>
              <w:spacing w:before="93" w:line="221" w:lineRule="auto"/>
              <w:ind w:left="84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标准全自动马</w:t>
            </w:r>
            <w:r>
              <w:rPr>
                <w:rFonts w:ascii="宋体" w:hAnsi="宋体" w:eastAsia="宋体" w:cs="宋体"/>
                <w:color w:val="auto"/>
                <w:sz w:val="21"/>
                <w:szCs w:val="21"/>
                <w:highlight w:val="none"/>
              </w:rPr>
              <w:t>歇尔稳定度仪</w:t>
            </w:r>
          </w:p>
        </w:tc>
        <w:tc>
          <w:tcPr>
            <w:tcW w:w="1490" w:type="dxa"/>
            <w:vAlign w:val="top"/>
          </w:tcPr>
          <w:p w14:paraId="1F94A3A2">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52089527">
            <w:pPr>
              <w:autoSpaceDE w:val="0"/>
              <w:autoSpaceDN w:val="0"/>
              <w:rPr>
                <w:rFonts w:ascii="Arial"/>
                <w:color w:val="auto"/>
                <w:sz w:val="21"/>
                <w:highlight w:val="none"/>
              </w:rPr>
            </w:pPr>
          </w:p>
        </w:tc>
      </w:tr>
      <w:tr w14:paraId="57763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7A086471">
            <w:pPr>
              <w:autoSpaceDE w:val="0"/>
              <w:autoSpaceDN w:val="0"/>
              <w:spacing w:before="127"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126</w:t>
            </w:r>
          </w:p>
        </w:tc>
        <w:tc>
          <w:tcPr>
            <w:tcW w:w="4204" w:type="dxa"/>
            <w:gridSpan w:val="2"/>
            <w:vAlign w:val="top"/>
          </w:tcPr>
          <w:p w14:paraId="1F755AC7">
            <w:pPr>
              <w:autoSpaceDE w:val="0"/>
              <w:autoSpaceDN w:val="0"/>
              <w:spacing w:before="93" w:line="221" w:lineRule="auto"/>
              <w:ind w:left="168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恒温水</w:t>
            </w:r>
            <w:r>
              <w:rPr>
                <w:rFonts w:ascii="宋体" w:hAnsi="宋体" w:eastAsia="宋体" w:cs="宋体"/>
                <w:color w:val="auto"/>
                <w:sz w:val="21"/>
                <w:szCs w:val="21"/>
                <w:highlight w:val="none"/>
              </w:rPr>
              <w:t>箱</w:t>
            </w:r>
          </w:p>
        </w:tc>
        <w:tc>
          <w:tcPr>
            <w:tcW w:w="1490" w:type="dxa"/>
            <w:vAlign w:val="top"/>
          </w:tcPr>
          <w:p w14:paraId="21A413CA">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39BE4DEE">
            <w:pPr>
              <w:autoSpaceDE w:val="0"/>
              <w:autoSpaceDN w:val="0"/>
              <w:rPr>
                <w:rFonts w:ascii="Arial"/>
                <w:color w:val="auto"/>
                <w:sz w:val="21"/>
                <w:highlight w:val="none"/>
              </w:rPr>
            </w:pPr>
          </w:p>
        </w:tc>
      </w:tr>
      <w:tr w14:paraId="4D3F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5F598B2D">
            <w:pPr>
              <w:autoSpaceDE w:val="0"/>
              <w:autoSpaceDN w:val="0"/>
              <w:spacing w:before="125"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127</w:t>
            </w:r>
          </w:p>
        </w:tc>
        <w:tc>
          <w:tcPr>
            <w:tcW w:w="4204" w:type="dxa"/>
            <w:gridSpan w:val="2"/>
            <w:vAlign w:val="top"/>
          </w:tcPr>
          <w:p w14:paraId="4A509016">
            <w:pPr>
              <w:autoSpaceDE w:val="0"/>
              <w:autoSpaceDN w:val="0"/>
              <w:spacing w:before="94" w:line="221" w:lineRule="auto"/>
              <w:ind w:left="158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低温试验</w:t>
            </w:r>
            <w:r>
              <w:rPr>
                <w:rFonts w:ascii="宋体" w:hAnsi="宋体" w:eastAsia="宋体" w:cs="宋体"/>
                <w:color w:val="auto"/>
                <w:sz w:val="21"/>
                <w:szCs w:val="21"/>
                <w:highlight w:val="none"/>
              </w:rPr>
              <w:t>箱</w:t>
            </w:r>
          </w:p>
        </w:tc>
        <w:tc>
          <w:tcPr>
            <w:tcW w:w="1490" w:type="dxa"/>
            <w:vAlign w:val="top"/>
          </w:tcPr>
          <w:p w14:paraId="2EDA2808">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0B8D2DE0">
            <w:pPr>
              <w:autoSpaceDE w:val="0"/>
              <w:autoSpaceDN w:val="0"/>
              <w:rPr>
                <w:rFonts w:ascii="Arial"/>
                <w:color w:val="auto"/>
                <w:sz w:val="21"/>
                <w:highlight w:val="none"/>
              </w:rPr>
            </w:pPr>
          </w:p>
        </w:tc>
      </w:tr>
      <w:tr w14:paraId="3208D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2CB93135">
            <w:pPr>
              <w:autoSpaceDE w:val="0"/>
              <w:autoSpaceDN w:val="0"/>
              <w:spacing w:before="125"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128</w:t>
            </w:r>
          </w:p>
        </w:tc>
        <w:tc>
          <w:tcPr>
            <w:tcW w:w="4204" w:type="dxa"/>
            <w:gridSpan w:val="2"/>
            <w:vAlign w:val="top"/>
          </w:tcPr>
          <w:p w14:paraId="66166DAE">
            <w:pPr>
              <w:autoSpaceDE w:val="0"/>
              <w:autoSpaceDN w:val="0"/>
              <w:spacing w:before="93" w:line="220" w:lineRule="auto"/>
              <w:ind w:left="63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车</w:t>
            </w:r>
            <w:r>
              <w:rPr>
                <w:rFonts w:ascii="宋体" w:hAnsi="宋体" w:eastAsia="宋体" w:cs="宋体"/>
                <w:color w:val="auto"/>
                <w:spacing w:val="6"/>
                <w:sz w:val="21"/>
                <w:szCs w:val="21"/>
                <w:highlight w:val="none"/>
              </w:rPr>
              <w:t>辙试验成型仪(轮碾成型机)</w:t>
            </w:r>
          </w:p>
        </w:tc>
        <w:tc>
          <w:tcPr>
            <w:tcW w:w="1490" w:type="dxa"/>
            <w:vAlign w:val="top"/>
          </w:tcPr>
          <w:p w14:paraId="50960216">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4823B029">
            <w:pPr>
              <w:autoSpaceDE w:val="0"/>
              <w:autoSpaceDN w:val="0"/>
              <w:rPr>
                <w:rFonts w:ascii="Arial"/>
                <w:color w:val="auto"/>
                <w:sz w:val="21"/>
                <w:highlight w:val="none"/>
              </w:rPr>
            </w:pPr>
          </w:p>
        </w:tc>
      </w:tr>
      <w:tr w14:paraId="241F9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18CD304F">
            <w:pPr>
              <w:autoSpaceDE w:val="0"/>
              <w:autoSpaceDN w:val="0"/>
              <w:spacing w:before="128"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129</w:t>
            </w:r>
          </w:p>
        </w:tc>
        <w:tc>
          <w:tcPr>
            <w:tcW w:w="4204" w:type="dxa"/>
            <w:gridSpan w:val="2"/>
            <w:vAlign w:val="top"/>
          </w:tcPr>
          <w:p w14:paraId="7BC19EEB">
            <w:pPr>
              <w:autoSpaceDE w:val="0"/>
              <w:autoSpaceDN w:val="0"/>
              <w:spacing w:before="94" w:line="221" w:lineRule="auto"/>
              <w:ind w:left="158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车辙</w:t>
            </w:r>
            <w:r>
              <w:rPr>
                <w:rFonts w:ascii="宋体" w:hAnsi="宋体" w:eastAsia="宋体" w:cs="宋体"/>
                <w:color w:val="auto"/>
                <w:spacing w:val="-1"/>
                <w:sz w:val="21"/>
                <w:szCs w:val="21"/>
                <w:highlight w:val="none"/>
              </w:rPr>
              <w:t>试验仪</w:t>
            </w:r>
          </w:p>
        </w:tc>
        <w:tc>
          <w:tcPr>
            <w:tcW w:w="1490" w:type="dxa"/>
            <w:vAlign w:val="top"/>
          </w:tcPr>
          <w:p w14:paraId="1E48AE90">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5E111CCF">
            <w:pPr>
              <w:autoSpaceDE w:val="0"/>
              <w:autoSpaceDN w:val="0"/>
              <w:rPr>
                <w:rFonts w:ascii="Arial"/>
                <w:color w:val="auto"/>
                <w:sz w:val="21"/>
                <w:highlight w:val="none"/>
              </w:rPr>
            </w:pPr>
          </w:p>
        </w:tc>
      </w:tr>
      <w:tr w14:paraId="45A53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3B4635BC">
            <w:pPr>
              <w:autoSpaceDE w:val="0"/>
              <w:autoSpaceDN w:val="0"/>
              <w:spacing w:before="126"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130</w:t>
            </w:r>
          </w:p>
        </w:tc>
        <w:tc>
          <w:tcPr>
            <w:tcW w:w="4204" w:type="dxa"/>
            <w:gridSpan w:val="2"/>
            <w:vAlign w:val="top"/>
          </w:tcPr>
          <w:p w14:paraId="16B9B5C5">
            <w:pPr>
              <w:autoSpaceDE w:val="0"/>
              <w:autoSpaceDN w:val="0"/>
              <w:spacing w:before="94" w:line="221" w:lineRule="auto"/>
              <w:ind w:left="1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冻融劈裂实</w:t>
            </w:r>
            <w:r>
              <w:rPr>
                <w:rFonts w:ascii="宋体" w:hAnsi="宋体" w:eastAsia="宋体" w:cs="宋体"/>
                <w:color w:val="auto"/>
                <w:sz w:val="21"/>
                <w:szCs w:val="21"/>
                <w:highlight w:val="none"/>
              </w:rPr>
              <w:t>验仪</w:t>
            </w:r>
          </w:p>
        </w:tc>
        <w:tc>
          <w:tcPr>
            <w:tcW w:w="1490" w:type="dxa"/>
            <w:vAlign w:val="top"/>
          </w:tcPr>
          <w:p w14:paraId="53AEE5E7">
            <w:pPr>
              <w:autoSpaceDE w:val="0"/>
              <w:autoSpaceDN w:val="0"/>
              <w:spacing w:before="94"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70B11307">
            <w:pPr>
              <w:autoSpaceDE w:val="0"/>
              <w:autoSpaceDN w:val="0"/>
              <w:rPr>
                <w:rFonts w:ascii="Arial"/>
                <w:color w:val="auto"/>
                <w:sz w:val="21"/>
                <w:highlight w:val="none"/>
              </w:rPr>
            </w:pPr>
          </w:p>
        </w:tc>
      </w:tr>
      <w:tr w14:paraId="79FBC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78D012AA">
            <w:pPr>
              <w:autoSpaceDE w:val="0"/>
              <w:autoSpaceDN w:val="0"/>
              <w:spacing w:before="128"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131</w:t>
            </w:r>
          </w:p>
        </w:tc>
        <w:tc>
          <w:tcPr>
            <w:tcW w:w="4204" w:type="dxa"/>
            <w:gridSpan w:val="2"/>
            <w:vAlign w:val="top"/>
          </w:tcPr>
          <w:p w14:paraId="3229D2BF">
            <w:pPr>
              <w:autoSpaceDE w:val="0"/>
              <w:autoSpaceDN w:val="0"/>
              <w:spacing w:before="94" w:line="221" w:lineRule="auto"/>
              <w:ind w:left="126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便携式红外测</w:t>
            </w:r>
            <w:r>
              <w:rPr>
                <w:rFonts w:ascii="宋体" w:hAnsi="宋体" w:eastAsia="宋体" w:cs="宋体"/>
                <w:color w:val="auto"/>
                <w:sz w:val="21"/>
                <w:szCs w:val="21"/>
                <w:highlight w:val="none"/>
              </w:rPr>
              <w:t>温仪</w:t>
            </w:r>
          </w:p>
        </w:tc>
        <w:tc>
          <w:tcPr>
            <w:tcW w:w="1490" w:type="dxa"/>
            <w:vAlign w:val="top"/>
          </w:tcPr>
          <w:p w14:paraId="3BDAF49C">
            <w:pPr>
              <w:autoSpaceDE w:val="0"/>
              <w:autoSpaceDN w:val="0"/>
              <w:spacing w:before="95"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3A10DF01">
            <w:pPr>
              <w:autoSpaceDE w:val="0"/>
              <w:autoSpaceDN w:val="0"/>
              <w:rPr>
                <w:rFonts w:ascii="Arial"/>
                <w:color w:val="auto"/>
                <w:sz w:val="21"/>
                <w:highlight w:val="none"/>
              </w:rPr>
            </w:pPr>
          </w:p>
        </w:tc>
      </w:tr>
      <w:tr w14:paraId="0613C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685" w:type="dxa"/>
            <w:vAlign w:val="top"/>
          </w:tcPr>
          <w:p w14:paraId="21C449E8">
            <w:pPr>
              <w:autoSpaceDE w:val="0"/>
              <w:autoSpaceDN w:val="0"/>
              <w:spacing w:before="127"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132</w:t>
            </w:r>
          </w:p>
        </w:tc>
        <w:tc>
          <w:tcPr>
            <w:tcW w:w="4204" w:type="dxa"/>
            <w:gridSpan w:val="2"/>
            <w:vAlign w:val="top"/>
          </w:tcPr>
          <w:p w14:paraId="1256D19D">
            <w:pPr>
              <w:autoSpaceDE w:val="0"/>
              <w:autoSpaceDN w:val="0"/>
              <w:spacing w:before="95" w:line="220" w:lineRule="auto"/>
              <w:ind w:left="85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热电偶温度计、水银</w:t>
            </w:r>
            <w:r>
              <w:rPr>
                <w:rFonts w:ascii="宋体" w:hAnsi="宋体" w:eastAsia="宋体" w:cs="宋体"/>
                <w:color w:val="auto"/>
                <w:sz w:val="21"/>
                <w:szCs w:val="21"/>
                <w:highlight w:val="none"/>
              </w:rPr>
              <w:t>温度计</w:t>
            </w:r>
          </w:p>
        </w:tc>
        <w:tc>
          <w:tcPr>
            <w:tcW w:w="1490" w:type="dxa"/>
            <w:vAlign w:val="top"/>
          </w:tcPr>
          <w:p w14:paraId="1FCD6236">
            <w:pPr>
              <w:autoSpaceDE w:val="0"/>
              <w:autoSpaceDN w:val="0"/>
              <w:spacing w:before="95" w:line="221" w:lineRule="auto"/>
              <w:ind w:left="43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各</w:t>
            </w:r>
            <w:r>
              <w:rPr>
                <w:rFonts w:ascii="宋体" w:hAnsi="宋体" w:eastAsia="宋体" w:cs="宋体"/>
                <w:color w:val="auto"/>
                <w:spacing w:val="-10"/>
                <w:sz w:val="21"/>
                <w:szCs w:val="21"/>
                <w:highlight w:val="none"/>
              </w:rPr>
              <w:t xml:space="preserve"> </w:t>
            </w:r>
            <w:r>
              <w:rPr>
                <w:rFonts w:ascii="Times New Roman" w:hAnsi="Times New Roman" w:eastAsia="Times New Roman" w:cs="Times New Roman"/>
                <w:color w:val="auto"/>
                <w:spacing w:val="-10"/>
                <w:sz w:val="21"/>
                <w:szCs w:val="21"/>
                <w:highlight w:val="none"/>
              </w:rPr>
              <w:t xml:space="preserve">7 </w:t>
            </w:r>
            <w:r>
              <w:rPr>
                <w:rFonts w:ascii="宋体" w:hAnsi="宋体" w:eastAsia="宋体" w:cs="宋体"/>
                <w:color w:val="auto"/>
                <w:spacing w:val="-10"/>
                <w:sz w:val="21"/>
                <w:szCs w:val="21"/>
                <w:highlight w:val="none"/>
              </w:rPr>
              <w:t>个</w:t>
            </w:r>
          </w:p>
        </w:tc>
        <w:tc>
          <w:tcPr>
            <w:tcW w:w="1840" w:type="dxa"/>
            <w:vAlign w:val="top"/>
          </w:tcPr>
          <w:p w14:paraId="432179B5">
            <w:pPr>
              <w:autoSpaceDE w:val="0"/>
              <w:autoSpaceDN w:val="0"/>
              <w:rPr>
                <w:rFonts w:ascii="Arial"/>
                <w:color w:val="auto"/>
                <w:sz w:val="21"/>
                <w:highlight w:val="none"/>
              </w:rPr>
            </w:pPr>
          </w:p>
        </w:tc>
      </w:tr>
      <w:tr w14:paraId="4754D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0DC5C922">
            <w:pPr>
              <w:autoSpaceDE w:val="0"/>
              <w:autoSpaceDN w:val="0"/>
              <w:spacing w:before="129"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133</w:t>
            </w:r>
          </w:p>
        </w:tc>
        <w:tc>
          <w:tcPr>
            <w:tcW w:w="4204" w:type="dxa"/>
            <w:gridSpan w:val="2"/>
            <w:vAlign w:val="top"/>
          </w:tcPr>
          <w:p w14:paraId="05DE274B">
            <w:pPr>
              <w:autoSpaceDE w:val="0"/>
              <w:autoSpaceDN w:val="0"/>
              <w:spacing w:before="97" w:line="220" w:lineRule="auto"/>
              <w:ind w:left="84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全自动沥青</w:t>
            </w:r>
            <w:r>
              <w:rPr>
                <w:rFonts w:ascii="宋体" w:hAnsi="宋体" w:eastAsia="宋体" w:cs="宋体"/>
                <w:color w:val="auto"/>
                <w:sz w:val="21"/>
                <w:szCs w:val="21"/>
                <w:highlight w:val="none"/>
              </w:rPr>
              <w:t>抽提仪、燃烧炉</w:t>
            </w:r>
          </w:p>
        </w:tc>
        <w:tc>
          <w:tcPr>
            <w:tcW w:w="1490" w:type="dxa"/>
            <w:vAlign w:val="top"/>
          </w:tcPr>
          <w:p w14:paraId="1DAFD476">
            <w:pPr>
              <w:autoSpaceDE w:val="0"/>
              <w:autoSpaceDN w:val="0"/>
              <w:spacing w:before="98" w:line="221" w:lineRule="auto"/>
              <w:ind w:left="3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各</w:t>
            </w:r>
            <w:r>
              <w:rPr>
                <w:rFonts w:ascii="宋体" w:hAnsi="宋体" w:eastAsia="宋体" w:cs="宋体"/>
                <w:color w:val="auto"/>
                <w:spacing w:val="-8"/>
                <w:sz w:val="21"/>
                <w:szCs w:val="21"/>
                <w:highlight w:val="none"/>
              </w:rPr>
              <w:t xml:space="preserve"> </w:t>
            </w:r>
            <w:r>
              <w:rPr>
                <w:rFonts w:ascii="Times New Roman" w:hAnsi="Times New Roman" w:eastAsia="Times New Roman" w:cs="Times New Roman"/>
                <w:color w:val="auto"/>
                <w:spacing w:val="-8"/>
                <w:sz w:val="21"/>
                <w:szCs w:val="21"/>
                <w:highlight w:val="none"/>
              </w:rPr>
              <w:t xml:space="preserve">1 </w:t>
            </w:r>
            <w:r>
              <w:rPr>
                <w:rFonts w:ascii="宋体" w:hAnsi="宋体" w:eastAsia="宋体" w:cs="宋体"/>
                <w:color w:val="auto"/>
                <w:spacing w:val="-8"/>
                <w:sz w:val="21"/>
                <w:szCs w:val="21"/>
                <w:highlight w:val="none"/>
              </w:rPr>
              <w:t>台套</w:t>
            </w:r>
          </w:p>
        </w:tc>
        <w:tc>
          <w:tcPr>
            <w:tcW w:w="1840" w:type="dxa"/>
            <w:vAlign w:val="top"/>
          </w:tcPr>
          <w:p w14:paraId="64A39F8E">
            <w:pPr>
              <w:autoSpaceDE w:val="0"/>
              <w:autoSpaceDN w:val="0"/>
              <w:rPr>
                <w:rFonts w:ascii="Arial"/>
                <w:color w:val="auto"/>
                <w:sz w:val="21"/>
                <w:highlight w:val="none"/>
              </w:rPr>
            </w:pPr>
          </w:p>
        </w:tc>
      </w:tr>
      <w:tr w14:paraId="739B6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6EB678EB">
            <w:pPr>
              <w:autoSpaceDE w:val="0"/>
              <w:autoSpaceDN w:val="0"/>
              <w:spacing w:before="129"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134</w:t>
            </w:r>
          </w:p>
        </w:tc>
        <w:tc>
          <w:tcPr>
            <w:tcW w:w="4204" w:type="dxa"/>
            <w:gridSpan w:val="2"/>
            <w:vAlign w:val="top"/>
          </w:tcPr>
          <w:p w14:paraId="65735357">
            <w:pPr>
              <w:autoSpaceDE w:val="0"/>
              <w:autoSpaceDN w:val="0"/>
              <w:spacing w:before="94" w:line="221" w:lineRule="auto"/>
              <w:ind w:left="158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摆式磨擦仪</w:t>
            </w:r>
          </w:p>
        </w:tc>
        <w:tc>
          <w:tcPr>
            <w:tcW w:w="1490" w:type="dxa"/>
            <w:vAlign w:val="top"/>
          </w:tcPr>
          <w:p w14:paraId="39EF17E0">
            <w:pPr>
              <w:autoSpaceDE w:val="0"/>
              <w:autoSpaceDN w:val="0"/>
              <w:spacing w:before="95"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57967671">
            <w:pPr>
              <w:autoSpaceDE w:val="0"/>
              <w:autoSpaceDN w:val="0"/>
              <w:rPr>
                <w:rFonts w:ascii="Arial"/>
                <w:color w:val="auto"/>
                <w:sz w:val="21"/>
                <w:highlight w:val="none"/>
              </w:rPr>
            </w:pPr>
          </w:p>
        </w:tc>
      </w:tr>
      <w:tr w14:paraId="6E57C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4F904DF2">
            <w:pPr>
              <w:autoSpaceDE w:val="0"/>
              <w:autoSpaceDN w:val="0"/>
              <w:spacing w:before="126"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135</w:t>
            </w:r>
          </w:p>
        </w:tc>
        <w:tc>
          <w:tcPr>
            <w:tcW w:w="4204" w:type="dxa"/>
            <w:gridSpan w:val="2"/>
            <w:vAlign w:val="top"/>
          </w:tcPr>
          <w:p w14:paraId="3C8FE23A">
            <w:pPr>
              <w:autoSpaceDE w:val="0"/>
              <w:autoSpaceDN w:val="0"/>
              <w:spacing w:before="94" w:line="221" w:lineRule="auto"/>
              <w:ind w:left="137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路面构造深度仪</w:t>
            </w:r>
          </w:p>
        </w:tc>
        <w:tc>
          <w:tcPr>
            <w:tcW w:w="1490" w:type="dxa"/>
            <w:vAlign w:val="top"/>
          </w:tcPr>
          <w:p w14:paraId="6E17BA30">
            <w:pPr>
              <w:autoSpaceDE w:val="0"/>
              <w:autoSpaceDN w:val="0"/>
              <w:spacing w:before="95"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487AA1E4">
            <w:pPr>
              <w:autoSpaceDE w:val="0"/>
              <w:autoSpaceDN w:val="0"/>
              <w:rPr>
                <w:rFonts w:ascii="Arial"/>
                <w:color w:val="auto"/>
                <w:sz w:val="21"/>
                <w:highlight w:val="none"/>
              </w:rPr>
            </w:pPr>
          </w:p>
        </w:tc>
      </w:tr>
      <w:tr w14:paraId="4C160D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655E02BD">
            <w:pPr>
              <w:autoSpaceDE w:val="0"/>
              <w:autoSpaceDN w:val="0"/>
              <w:spacing w:before="129"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136</w:t>
            </w:r>
          </w:p>
        </w:tc>
        <w:tc>
          <w:tcPr>
            <w:tcW w:w="4204" w:type="dxa"/>
            <w:gridSpan w:val="2"/>
            <w:vAlign w:val="top"/>
          </w:tcPr>
          <w:p w14:paraId="71BC7373">
            <w:pPr>
              <w:autoSpaceDE w:val="0"/>
              <w:autoSpaceDN w:val="0"/>
              <w:spacing w:before="95" w:line="221" w:lineRule="auto"/>
              <w:ind w:left="127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路面渗水量测定</w:t>
            </w:r>
            <w:r>
              <w:rPr>
                <w:rFonts w:ascii="宋体" w:hAnsi="宋体" w:eastAsia="宋体" w:cs="宋体"/>
                <w:color w:val="auto"/>
                <w:sz w:val="21"/>
                <w:szCs w:val="21"/>
                <w:highlight w:val="none"/>
              </w:rPr>
              <w:t>仪</w:t>
            </w:r>
          </w:p>
        </w:tc>
        <w:tc>
          <w:tcPr>
            <w:tcW w:w="1490" w:type="dxa"/>
            <w:vAlign w:val="top"/>
          </w:tcPr>
          <w:p w14:paraId="1DD9F1D0">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12358D36">
            <w:pPr>
              <w:autoSpaceDE w:val="0"/>
              <w:autoSpaceDN w:val="0"/>
              <w:rPr>
                <w:rFonts w:ascii="Arial"/>
                <w:color w:val="auto"/>
                <w:sz w:val="21"/>
                <w:highlight w:val="none"/>
              </w:rPr>
            </w:pPr>
          </w:p>
        </w:tc>
      </w:tr>
      <w:tr w14:paraId="2C4C1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685" w:type="dxa"/>
            <w:vAlign w:val="top"/>
          </w:tcPr>
          <w:p w14:paraId="087FC573">
            <w:pPr>
              <w:autoSpaceDE w:val="0"/>
              <w:autoSpaceDN w:val="0"/>
              <w:spacing w:before="127"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137</w:t>
            </w:r>
          </w:p>
        </w:tc>
        <w:tc>
          <w:tcPr>
            <w:tcW w:w="4204" w:type="dxa"/>
            <w:gridSpan w:val="2"/>
            <w:vAlign w:val="top"/>
          </w:tcPr>
          <w:p w14:paraId="0DB06BDE">
            <w:pPr>
              <w:autoSpaceDE w:val="0"/>
              <w:autoSpaceDN w:val="0"/>
              <w:spacing w:before="95" w:line="221" w:lineRule="auto"/>
              <w:ind w:left="11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连续式平整度</w:t>
            </w:r>
            <w:r>
              <w:rPr>
                <w:rFonts w:ascii="宋体" w:hAnsi="宋体" w:eastAsia="宋体" w:cs="宋体"/>
                <w:color w:val="auto"/>
                <w:sz w:val="21"/>
                <w:szCs w:val="21"/>
                <w:highlight w:val="none"/>
              </w:rPr>
              <w:t>测定仪</w:t>
            </w:r>
          </w:p>
        </w:tc>
        <w:tc>
          <w:tcPr>
            <w:tcW w:w="1490" w:type="dxa"/>
            <w:vAlign w:val="top"/>
          </w:tcPr>
          <w:p w14:paraId="012A1E78">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48D59FD1">
            <w:pPr>
              <w:autoSpaceDE w:val="0"/>
              <w:autoSpaceDN w:val="0"/>
              <w:rPr>
                <w:rFonts w:ascii="Arial"/>
                <w:color w:val="auto"/>
                <w:sz w:val="21"/>
                <w:highlight w:val="none"/>
              </w:rPr>
            </w:pPr>
          </w:p>
        </w:tc>
      </w:tr>
      <w:tr w14:paraId="08C5F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740FB8A4">
            <w:pPr>
              <w:autoSpaceDE w:val="0"/>
              <w:autoSpaceDN w:val="0"/>
              <w:spacing w:before="130"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138</w:t>
            </w:r>
          </w:p>
        </w:tc>
        <w:tc>
          <w:tcPr>
            <w:tcW w:w="4204" w:type="dxa"/>
            <w:gridSpan w:val="2"/>
            <w:vAlign w:val="top"/>
          </w:tcPr>
          <w:p w14:paraId="3004319A">
            <w:pPr>
              <w:autoSpaceDE w:val="0"/>
              <w:autoSpaceDN w:val="0"/>
              <w:spacing w:before="96" w:line="220" w:lineRule="auto"/>
              <w:ind w:left="95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沥青路面无</w:t>
            </w:r>
            <w:r>
              <w:rPr>
                <w:rFonts w:ascii="宋体" w:hAnsi="宋体" w:eastAsia="宋体" w:cs="宋体"/>
                <w:color w:val="auto"/>
                <w:sz w:val="21"/>
                <w:szCs w:val="21"/>
                <w:highlight w:val="none"/>
              </w:rPr>
              <w:t>核密度测试仪</w:t>
            </w:r>
          </w:p>
        </w:tc>
        <w:tc>
          <w:tcPr>
            <w:tcW w:w="1490" w:type="dxa"/>
            <w:vAlign w:val="top"/>
          </w:tcPr>
          <w:p w14:paraId="52F186FD">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2D1AF555">
            <w:pPr>
              <w:autoSpaceDE w:val="0"/>
              <w:autoSpaceDN w:val="0"/>
              <w:rPr>
                <w:rFonts w:ascii="Arial"/>
                <w:color w:val="auto"/>
                <w:sz w:val="21"/>
                <w:highlight w:val="none"/>
              </w:rPr>
            </w:pPr>
          </w:p>
        </w:tc>
      </w:tr>
      <w:tr w14:paraId="22348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685" w:type="dxa"/>
            <w:vAlign w:val="top"/>
          </w:tcPr>
          <w:p w14:paraId="726D5B2D">
            <w:pPr>
              <w:autoSpaceDE w:val="0"/>
              <w:autoSpaceDN w:val="0"/>
              <w:spacing w:before="130" w:line="187" w:lineRule="auto"/>
              <w:ind w:left="70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139</w:t>
            </w:r>
          </w:p>
        </w:tc>
        <w:tc>
          <w:tcPr>
            <w:tcW w:w="4204" w:type="dxa"/>
            <w:gridSpan w:val="2"/>
            <w:vAlign w:val="top"/>
          </w:tcPr>
          <w:p w14:paraId="782BB40E">
            <w:pPr>
              <w:autoSpaceDE w:val="0"/>
              <w:autoSpaceDN w:val="0"/>
              <w:spacing w:before="96" w:line="220" w:lineRule="auto"/>
              <w:ind w:left="13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沥青面层取</w:t>
            </w:r>
            <w:r>
              <w:rPr>
                <w:rFonts w:ascii="宋体" w:hAnsi="宋体" w:eastAsia="宋体" w:cs="宋体"/>
                <w:color w:val="auto"/>
                <w:sz w:val="21"/>
                <w:szCs w:val="21"/>
                <w:highlight w:val="none"/>
              </w:rPr>
              <w:t>芯机</w:t>
            </w:r>
          </w:p>
        </w:tc>
        <w:tc>
          <w:tcPr>
            <w:tcW w:w="1490" w:type="dxa"/>
            <w:vAlign w:val="top"/>
          </w:tcPr>
          <w:p w14:paraId="6096069D">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47A5606B">
            <w:pPr>
              <w:autoSpaceDE w:val="0"/>
              <w:autoSpaceDN w:val="0"/>
              <w:rPr>
                <w:rFonts w:ascii="Arial"/>
                <w:color w:val="auto"/>
                <w:sz w:val="21"/>
                <w:highlight w:val="none"/>
              </w:rPr>
            </w:pPr>
          </w:p>
        </w:tc>
      </w:tr>
      <w:tr w14:paraId="1673A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9" w:type="dxa"/>
            <w:gridSpan w:val="5"/>
            <w:vAlign w:val="top"/>
          </w:tcPr>
          <w:p w14:paraId="2244367A">
            <w:pPr>
              <w:autoSpaceDE w:val="0"/>
              <w:autoSpaceDN w:val="0"/>
              <w:spacing w:before="96" w:line="221" w:lineRule="auto"/>
              <w:ind w:left="377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八、</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交安仪器设备</w:t>
            </w:r>
          </w:p>
        </w:tc>
      </w:tr>
      <w:tr w14:paraId="59635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705" w:type="dxa"/>
            <w:gridSpan w:val="2"/>
            <w:vAlign w:val="top"/>
          </w:tcPr>
          <w:p w14:paraId="5760F847">
            <w:pPr>
              <w:autoSpaceDE w:val="0"/>
              <w:autoSpaceDN w:val="0"/>
              <w:spacing w:before="130"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140</w:t>
            </w:r>
          </w:p>
        </w:tc>
        <w:tc>
          <w:tcPr>
            <w:tcW w:w="4184" w:type="dxa"/>
            <w:vAlign w:val="top"/>
          </w:tcPr>
          <w:p w14:paraId="3966099A">
            <w:pPr>
              <w:autoSpaceDE w:val="0"/>
              <w:autoSpaceDN w:val="0"/>
              <w:spacing w:before="96" w:line="221" w:lineRule="auto"/>
              <w:ind w:left="146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超声波测</w:t>
            </w:r>
            <w:r>
              <w:rPr>
                <w:rFonts w:ascii="宋体" w:hAnsi="宋体" w:eastAsia="宋体" w:cs="宋体"/>
                <w:color w:val="auto"/>
                <w:sz w:val="21"/>
                <w:szCs w:val="21"/>
                <w:highlight w:val="none"/>
              </w:rPr>
              <w:t>厚仪</w:t>
            </w:r>
          </w:p>
        </w:tc>
        <w:tc>
          <w:tcPr>
            <w:tcW w:w="1490" w:type="dxa"/>
            <w:vAlign w:val="top"/>
          </w:tcPr>
          <w:p w14:paraId="72B91EB9">
            <w:pPr>
              <w:autoSpaceDE w:val="0"/>
              <w:autoSpaceDN w:val="0"/>
              <w:spacing w:before="96" w:line="221" w:lineRule="auto"/>
              <w:ind w:left="47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0" w:type="dxa"/>
            <w:vAlign w:val="top"/>
          </w:tcPr>
          <w:p w14:paraId="659F2987">
            <w:pPr>
              <w:autoSpaceDE w:val="0"/>
              <w:autoSpaceDN w:val="0"/>
              <w:rPr>
                <w:rFonts w:ascii="Arial"/>
                <w:color w:val="auto"/>
                <w:sz w:val="21"/>
                <w:highlight w:val="none"/>
              </w:rPr>
            </w:pPr>
          </w:p>
        </w:tc>
      </w:tr>
    </w:tbl>
    <w:p w14:paraId="2CE87FA9">
      <w:pPr>
        <w:pStyle w:val="5"/>
        <w:tabs>
          <w:tab w:val="left" w:pos="7950"/>
        </w:tabs>
        <w:rPr>
          <w:rFonts w:ascii="Times New Roman" w:hAnsi="Times New Roman"/>
          <w:color w:val="auto"/>
          <w:szCs w:val="21"/>
          <w:highlight w:val="none"/>
        </w:rPr>
      </w:pPr>
    </w:p>
    <w:p w14:paraId="4F042C9A">
      <w:pPr>
        <w:pStyle w:val="5"/>
        <w:tabs>
          <w:tab w:val="left" w:pos="7950"/>
        </w:tabs>
        <w:rPr>
          <w:rFonts w:ascii="Times New Roman" w:hAnsi="Times New Roman"/>
          <w:color w:val="auto"/>
          <w:szCs w:val="21"/>
          <w:highlight w:val="none"/>
        </w:rPr>
      </w:pPr>
    </w:p>
    <w:p w14:paraId="44C16664">
      <w:pPr>
        <w:rPr>
          <w:rFonts w:ascii="Times New Roman" w:hAnsi="Times New Roman"/>
          <w:color w:val="auto"/>
          <w:szCs w:val="21"/>
          <w:highlight w:val="none"/>
        </w:rPr>
      </w:pPr>
    </w:p>
    <w:tbl>
      <w:tblPr>
        <w:tblStyle w:val="650"/>
        <w:tblW w:w="9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4184"/>
        <w:gridCol w:w="1488"/>
        <w:gridCol w:w="1842"/>
      </w:tblGrid>
      <w:tr w14:paraId="145C1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705" w:type="dxa"/>
            <w:tcBorders>
              <w:right w:val="single" w:color="000000" w:sz="6" w:space="0"/>
            </w:tcBorders>
            <w:vAlign w:val="top"/>
          </w:tcPr>
          <w:p w14:paraId="7B455152">
            <w:pPr>
              <w:autoSpaceDE w:val="0"/>
              <w:autoSpaceDN w:val="0"/>
              <w:spacing w:before="140"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141</w:t>
            </w:r>
          </w:p>
        </w:tc>
        <w:tc>
          <w:tcPr>
            <w:tcW w:w="4184" w:type="dxa"/>
            <w:tcBorders>
              <w:left w:val="single" w:color="000000" w:sz="6" w:space="0"/>
              <w:right w:val="single" w:color="000000" w:sz="6" w:space="0"/>
            </w:tcBorders>
            <w:vAlign w:val="top"/>
          </w:tcPr>
          <w:p w14:paraId="2764ACF0">
            <w:pPr>
              <w:autoSpaceDE w:val="0"/>
              <w:autoSpaceDN w:val="0"/>
              <w:spacing w:before="106" w:line="221" w:lineRule="auto"/>
              <w:ind w:left="156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覆</w:t>
            </w:r>
            <w:r>
              <w:rPr>
                <w:rFonts w:ascii="宋体" w:hAnsi="宋体" w:eastAsia="宋体" w:cs="宋体"/>
                <w:color w:val="auto"/>
                <w:spacing w:val="-1"/>
                <w:sz w:val="21"/>
                <w:szCs w:val="21"/>
                <w:highlight w:val="none"/>
              </w:rPr>
              <w:t>层测厚仪</w:t>
            </w:r>
          </w:p>
        </w:tc>
        <w:tc>
          <w:tcPr>
            <w:tcW w:w="1488" w:type="dxa"/>
            <w:tcBorders>
              <w:left w:val="single" w:color="000000" w:sz="6" w:space="0"/>
              <w:right w:val="single" w:color="000000" w:sz="6" w:space="0"/>
            </w:tcBorders>
            <w:vAlign w:val="top"/>
          </w:tcPr>
          <w:p w14:paraId="5ECCF82A">
            <w:pPr>
              <w:autoSpaceDE w:val="0"/>
              <w:autoSpaceDN w:val="0"/>
              <w:spacing w:before="107" w:line="221" w:lineRule="auto"/>
              <w:ind w:left="46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tcBorders>
              <w:left w:val="single" w:color="000000" w:sz="6" w:space="0"/>
            </w:tcBorders>
            <w:vAlign w:val="top"/>
          </w:tcPr>
          <w:p w14:paraId="7950CA61">
            <w:pPr>
              <w:autoSpaceDE w:val="0"/>
              <w:autoSpaceDN w:val="0"/>
              <w:rPr>
                <w:rFonts w:ascii="Arial"/>
                <w:color w:val="auto"/>
                <w:sz w:val="21"/>
                <w:highlight w:val="none"/>
              </w:rPr>
            </w:pPr>
          </w:p>
        </w:tc>
      </w:tr>
      <w:tr w14:paraId="39BDF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5" w:type="dxa"/>
            <w:vAlign w:val="top"/>
          </w:tcPr>
          <w:p w14:paraId="2AE9A111">
            <w:pPr>
              <w:autoSpaceDE w:val="0"/>
              <w:autoSpaceDN w:val="0"/>
              <w:spacing w:before="128"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142</w:t>
            </w:r>
          </w:p>
        </w:tc>
        <w:tc>
          <w:tcPr>
            <w:tcW w:w="4184" w:type="dxa"/>
            <w:vAlign w:val="top"/>
          </w:tcPr>
          <w:p w14:paraId="26D1BA45">
            <w:pPr>
              <w:autoSpaceDE w:val="0"/>
              <w:autoSpaceDN w:val="0"/>
              <w:spacing w:before="96" w:line="221" w:lineRule="auto"/>
              <w:ind w:left="12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逆反射标</w:t>
            </w:r>
            <w:r>
              <w:rPr>
                <w:rFonts w:ascii="宋体" w:hAnsi="宋体" w:eastAsia="宋体" w:cs="宋体"/>
                <w:color w:val="auto"/>
                <w:sz w:val="21"/>
                <w:szCs w:val="21"/>
                <w:highlight w:val="none"/>
              </w:rPr>
              <w:t>志测试仪</w:t>
            </w:r>
          </w:p>
        </w:tc>
        <w:tc>
          <w:tcPr>
            <w:tcW w:w="1488" w:type="dxa"/>
            <w:vAlign w:val="top"/>
          </w:tcPr>
          <w:p w14:paraId="549A9244">
            <w:pPr>
              <w:autoSpaceDE w:val="0"/>
              <w:autoSpaceDN w:val="0"/>
              <w:spacing w:before="97" w:line="221" w:lineRule="auto"/>
              <w:ind w:left="47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39FB1F2E">
            <w:pPr>
              <w:autoSpaceDE w:val="0"/>
              <w:autoSpaceDN w:val="0"/>
              <w:rPr>
                <w:rFonts w:ascii="Arial"/>
                <w:color w:val="auto"/>
                <w:sz w:val="21"/>
                <w:highlight w:val="none"/>
              </w:rPr>
            </w:pPr>
          </w:p>
        </w:tc>
      </w:tr>
      <w:tr w14:paraId="6B866E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1705" w:type="dxa"/>
            <w:vAlign w:val="top"/>
          </w:tcPr>
          <w:p w14:paraId="4FB32DAE">
            <w:pPr>
              <w:autoSpaceDE w:val="0"/>
              <w:autoSpaceDN w:val="0"/>
              <w:spacing w:before="126"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143</w:t>
            </w:r>
          </w:p>
        </w:tc>
        <w:tc>
          <w:tcPr>
            <w:tcW w:w="4184" w:type="dxa"/>
            <w:vAlign w:val="top"/>
          </w:tcPr>
          <w:p w14:paraId="47381854">
            <w:pPr>
              <w:autoSpaceDE w:val="0"/>
              <w:autoSpaceDN w:val="0"/>
              <w:spacing w:before="92" w:line="221" w:lineRule="auto"/>
              <w:ind w:left="8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反光标线逆反</w:t>
            </w:r>
            <w:r>
              <w:rPr>
                <w:rFonts w:ascii="宋体" w:hAnsi="宋体" w:eastAsia="宋体" w:cs="宋体"/>
                <w:color w:val="auto"/>
                <w:sz w:val="21"/>
                <w:szCs w:val="21"/>
                <w:highlight w:val="none"/>
              </w:rPr>
              <w:t>射系数测试仪</w:t>
            </w:r>
          </w:p>
        </w:tc>
        <w:tc>
          <w:tcPr>
            <w:tcW w:w="1488" w:type="dxa"/>
            <w:vAlign w:val="top"/>
          </w:tcPr>
          <w:p w14:paraId="7850D387">
            <w:pPr>
              <w:autoSpaceDE w:val="0"/>
              <w:autoSpaceDN w:val="0"/>
              <w:spacing w:before="93" w:line="221" w:lineRule="auto"/>
              <w:ind w:left="47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723AECFA">
            <w:pPr>
              <w:autoSpaceDE w:val="0"/>
              <w:autoSpaceDN w:val="0"/>
              <w:rPr>
                <w:rFonts w:ascii="Arial"/>
                <w:color w:val="auto"/>
                <w:sz w:val="21"/>
                <w:highlight w:val="none"/>
              </w:rPr>
            </w:pPr>
          </w:p>
        </w:tc>
      </w:tr>
      <w:tr w14:paraId="63D3E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5" w:type="dxa"/>
            <w:vAlign w:val="top"/>
          </w:tcPr>
          <w:p w14:paraId="326BEEEF">
            <w:pPr>
              <w:autoSpaceDE w:val="0"/>
              <w:autoSpaceDN w:val="0"/>
              <w:spacing w:before="124"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144</w:t>
            </w:r>
          </w:p>
        </w:tc>
        <w:tc>
          <w:tcPr>
            <w:tcW w:w="4184" w:type="dxa"/>
            <w:vAlign w:val="top"/>
          </w:tcPr>
          <w:p w14:paraId="2D1CB41C">
            <w:pPr>
              <w:autoSpaceDE w:val="0"/>
              <w:autoSpaceDN w:val="0"/>
              <w:spacing w:before="92" w:line="221" w:lineRule="auto"/>
              <w:ind w:left="104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标线涂层厚度</w:t>
            </w:r>
            <w:r>
              <w:rPr>
                <w:rFonts w:ascii="宋体" w:hAnsi="宋体" w:eastAsia="宋体" w:cs="宋体"/>
                <w:color w:val="auto"/>
                <w:sz w:val="21"/>
                <w:szCs w:val="21"/>
                <w:highlight w:val="none"/>
              </w:rPr>
              <w:t>测试装置</w:t>
            </w:r>
          </w:p>
        </w:tc>
        <w:tc>
          <w:tcPr>
            <w:tcW w:w="1488" w:type="dxa"/>
            <w:vAlign w:val="top"/>
          </w:tcPr>
          <w:p w14:paraId="702558D7">
            <w:pPr>
              <w:autoSpaceDE w:val="0"/>
              <w:autoSpaceDN w:val="0"/>
              <w:spacing w:before="93" w:line="221" w:lineRule="auto"/>
              <w:ind w:left="47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72392533">
            <w:pPr>
              <w:autoSpaceDE w:val="0"/>
              <w:autoSpaceDN w:val="0"/>
              <w:rPr>
                <w:rFonts w:ascii="Arial"/>
                <w:color w:val="auto"/>
                <w:sz w:val="21"/>
                <w:highlight w:val="none"/>
              </w:rPr>
            </w:pPr>
          </w:p>
        </w:tc>
      </w:tr>
      <w:tr w14:paraId="1E840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05" w:type="dxa"/>
            <w:vAlign w:val="top"/>
          </w:tcPr>
          <w:p w14:paraId="1D37BAA9">
            <w:pPr>
              <w:autoSpaceDE w:val="0"/>
              <w:autoSpaceDN w:val="0"/>
              <w:spacing w:before="125"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145</w:t>
            </w:r>
          </w:p>
        </w:tc>
        <w:tc>
          <w:tcPr>
            <w:tcW w:w="4184" w:type="dxa"/>
            <w:vAlign w:val="top"/>
          </w:tcPr>
          <w:p w14:paraId="1772A04D">
            <w:pPr>
              <w:autoSpaceDE w:val="0"/>
              <w:autoSpaceDN w:val="0"/>
              <w:spacing w:before="93" w:line="221" w:lineRule="auto"/>
              <w:ind w:left="73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突起路标发光强度系数测</w:t>
            </w:r>
            <w:r>
              <w:rPr>
                <w:rFonts w:ascii="宋体" w:hAnsi="宋体" w:eastAsia="宋体" w:cs="宋体"/>
                <w:color w:val="auto"/>
                <w:sz w:val="21"/>
                <w:szCs w:val="21"/>
                <w:highlight w:val="none"/>
              </w:rPr>
              <w:t>试仪</w:t>
            </w:r>
          </w:p>
        </w:tc>
        <w:tc>
          <w:tcPr>
            <w:tcW w:w="1488" w:type="dxa"/>
            <w:vAlign w:val="top"/>
          </w:tcPr>
          <w:p w14:paraId="790BD968">
            <w:pPr>
              <w:autoSpaceDE w:val="0"/>
              <w:autoSpaceDN w:val="0"/>
              <w:spacing w:before="94" w:line="221" w:lineRule="auto"/>
              <w:ind w:left="47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617C4B5F">
            <w:pPr>
              <w:autoSpaceDE w:val="0"/>
              <w:autoSpaceDN w:val="0"/>
              <w:rPr>
                <w:rFonts w:ascii="Arial"/>
                <w:color w:val="auto"/>
                <w:sz w:val="21"/>
                <w:highlight w:val="none"/>
              </w:rPr>
            </w:pPr>
          </w:p>
        </w:tc>
      </w:tr>
      <w:tr w14:paraId="568E7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00EEE3D0">
            <w:pPr>
              <w:autoSpaceDE w:val="0"/>
              <w:autoSpaceDN w:val="0"/>
              <w:spacing w:before="128"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146</w:t>
            </w:r>
          </w:p>
        </w:tc>
        <w:tc>
          <w:tcPr>
            <w:tcW w:w="4184" w:type="dxa"/>
            <w:vAlign w:val="top"/>
          </w:tcPr>
          <w:p w14:paraId="7D8AD5AD">
            <w:pPr>
              <w:autoSpaceDE w:val="0"/>
              <w:autoSpaceDN w:val="0"/>
              <w:spacing w:before="94" w:line="221" w:lineRule="auto"/>
              <w:ind w:left="178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拉拔</w:t>
            </w:r>
            <w:r>
              <w:rPr>
                <w:rFonts w:ascii="宋体" w:hAnsi="宋体" w:eastAsia="宋体" w:cs="宋体"/>
                <w:color w:val="auto"/>
                <w:spacing w:val="-1"/>
                <w:sz w:val="21"/>
                <w:szCs w:val="21"/>
                <w:highlight w:val="none"/>
              </w:rPr>
              <w:t>仪</w:t>
            </w:r>
          </w:p>
        </w:tc>
        <w:tc>
          <w:tcPr>
            <w:tcW w:w="1488" w:type="dxa"/>
            <w:vAlign w:val="top"/>
          </w:tcPr>
          <w:p w14:paraId="5DC195D4">
            <w:pPr>
              <w:autoSpaceDE w:val="0"/>
              <w:autoSpaceDN w:val="0"/>
              <w:spacing w:before="94" w:line="221" w:lineRule="auto"/>
              <w:ind w:left="474"/>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1D87F648">
            <w:pPr>
              <w:autoSpaceDE w:val="0"/>
              <w:autoSpaceDN w:val="0"/>
              <w:rPr>
                <w:rFonts w:ascii="Arial"/>
                <w:color w:val="auto"/>
                <w:sz w:val="21"/>
                <w:highlight w:val="none"/>
              </w:rPr>
            </w:pPr>
          </w:p>
        </w:tc>
      </w:tr>
      <w:tr w14:paraId="24551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9219" w:type="dxa"/>
            <w:gridSpan w:val="4"/>
            <w:vAlign w:val="top"/>
          </w:tcPr>
          <w:p w14:paraId="005AC568">
            <w:pPr>
              <w:autoSpaceDE w:val="0"/>
              <w:autoSpaceDN w:val="0"/>
              <w:spacing w:before="94" w:line="221" w:lineRule="auto"/>
              <w:ind w:left="324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九、钢</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结构无损检测仪器设备</w:t>
            </w:r>
          </w:p>
        </w:tc>
      </w:tr>
      <w:tr w14:paraId="2285A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2F8A7A1A">
            <w:pPr>
              <w:autoSpaceDE w:val="0"/>
              <w:autoSpaceDN w:val="0"/>
              <w:spacing w:before="128"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147</w:t>
            </w:r>
          </w:p>
        </w:tc>
        <w:tc>
          <w:tcPr>
            <w:tcW w:w="4184" w:type="dxa"/>
            <w:vAlign w:val="top"/>
          </w:tcPr>
          <w:p w14:paraId="33DC4C45">
            <w:pPr>
              <w:autoSpaceDE w:val="0"/>
              <w:autoSpaceDN w:val="0"/>
              <w:spacing w:before="94" w:line="221" w:lineRule="auto"/>
              <w:ind w:left="167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超声波仪</w:t>
            </w:r>
          </w:p>
        </w:tc>
        <w:tc>
          <w:tcPr>
            <w:tcW w:w="1488" w:type="dxa"/>
            <w:vAlign w:val="top"/>
          </w:tcPr>
          <w:p w14:paraId="0CFA8278">
            <w:pPr>
              <w:autoSpaceDE w:val="0"/>
              <w:autoSpaceDN w:val="0"/>
              <w:spacing w:before="95"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64691C36">
            <w:pPr>
              <w:autoSpaceDE w:val="0"/>
              <w:autoSpaceDN w:val="0"/>
              <w:rPr>
                <w:rFonts w:ascii="Arial"/>
                <w:color w:val="auto"/>
                <w:sz w:val="21"/>
                <w:highlight w:val="none"/>
              </w:rPr>
            </w:pPr>
          </w:p>
        </w:tc>
      </w:tr>
      <w:tr w14:paraId="340D7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705" w:type="dxa"/>
            <w:vAlign w:val="top"/>
          </w:tcPr>
          <w:p w14:paraId="5ED1017D">
            <w:pPr>
              <w:autoSpaceDE w:val="0"/>
              <w:autoSpaceDN w:val="0"/>
              <w:spacing w:before="127"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148</w:t>
            </w:r>
          </w:p>
        </w:tc>
        <w:tc>
          <w:tcPr>
            <w:tcW w:w="4184" w:type="dxa"/>
            <w:vAlign w:val="top"/>
          </w:tcPr>
          <w:p w14:paraId="01F2BB05">
            <w:pPr>
              <w:autoSpaceDE w:val="0"/>
              <w:autoSpaceDN w:val="0"/>
              <w:spacing w:before="95" w:line="221" w:lineRule="auto"/>
              <w:ind w:left="15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射线检测仪</w:t>
            </w:r>
          </w:p>
        </w:tc>
        <w:tc>
          <w:tcPr>
            <w:tcW w:w="1488" w:type="dxa"/>
            <w:vAlign w:val="top"/>
          </w:tcPr>
          <w:p w14:paraId="7241A422">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191066F2">
            <w:pPr>
              <w:autoSpaceDE w:val="0"/>
              <w:autoSpaceDN w:val="0"/>
              <w:rPr>
                <w:rFonts w:ascii="Arial"/>
                <w:color w:val="auto"/>
                <w:sz w:val="21"/>
                <w:highlight w:val="none"/>
              </w:rPr>
            </w:pPr>
          </w:p>
        </w:tc>
      </w:tr>
      <w:tr w14:paraId="35BAE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2C892306">
            <w:pPr>
              <w:autoSpaceDE w:val="0"/>
              <w:autoSpaceDN w:val="0"/>
              <w:spacing w:before="129"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149</w:t>
            </w:r>
          </w:p>
        </w:tc>
        <w:tc>
          <w:tcPr>
            <w:tcW w:w="4184" w:type="dxa"/>
            <w:vAlign w:val="top"/>
          </w:tcPr>
          <w:p w14:paraId="70FC3C84">
            <w:pPr>
              <w:autoSpaceDE w:val="0"/>
              <w:autoSpaceDN w:val="0"/>
              <w:spacing w:before="97" w:line="221" w:lineRule="auto"/>
              <w:ind w:left="157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磁粉检测仪</w:t>
            </w:r>
          </w:p>
        </w:tc>
        <w:tc>
          <w:tcPr>
            <w:tcW w:w="1488" w:type="dxa"/>
            <w:vAlign w:val="top"/>
          </w:tcPr>
          <w:p w14:paraId="7E7C5499">
            <w:pPr>
              <w:autoSpaceDE w:val="0"/>
              <w:autoSpaceDN w:val="0"/>
              <w:spacing w:before="98"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3572A059">
            <w:pPr>
              <w:autoSpaceDE w:val="0"/>
              <w:autoSpaceDN w:val="0"/>
              <w:rPr>
                <w:rFonts w:ascii="Arial"/>
                <w:color w:val="auto"/>
                <w:sz w:val="21"/>
                <w:highlight w:val="none"/>
              </w:rPr>
            </w:pPr>
          </w:p>
        </w:tc>
      </w:tr>
      <w:tr w14:paraId="63F6A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7ADDC58C">
            <w:pPr>
              <w:autoSpaceDE w:val="0"/>
              <w:autoSpaceDN w:val="0"/>
              <w:spacing w:before="129"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150</w:t>
            </w:r>
          </w:p>
        </w:tc>
        <w:tc>
          <w:tcPr>
            <w:tcW w:w="4184" w:type="dxa"/>
            <w:vAlign w:val="top"/>
          </w:tcPr>
          <w:p w14:paraId="733F2305">
            <w:pPr>
              <w:autoSpaceDE w:val="0"/>
              <w:autoSpaceDN w:val="0"/>
              <w:spacing w:before="95" w:line="220" w:lineRule="auto"/>
              <w:ind w:left="147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原材料检</w:t>
            </w:r>
            <w:r>
              <w:rPr>
                <w:rFonts w:ascii="宋体" w:hAnsi="宋体" w:eastAsia="宋体" w:cs="宋体"/>
                <w:color w:val="auto"/>
                <w:spacing w:val="-1"/>
                <w:sz w:val="21"/>
                <w:szCs w:val="21"/>
                <w:highlight w:val="none"/>
              </w:rPr>
              <w:t>测仪</w:t>
            </w:r>
          </w:p>
        </w:tc>
        <w:tc>
          <w:tcPr>
            <w:tcW w:w="1488" w:type="dxa"/>
            <w:vAlign w:val="top"/>
          </w:tcPr>
          <w:p w14:paraId="46E46626">
            <w:pPr>
              <w:autoSpaceDE w:val="0"/>
              <w:autoSpaceDN w:val="0"/>
              <w:spacing w:before="95"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2AF48BE8">
            <w:pPr>
              <w:autoSpaceDE w:val="0"/>
              <w:autoSpaceDN w:val="0"/>
              <w:rPr>
                <w:rFonts w:ascii="Arial"/>
                <w:color w:val="auto"/>
                <w:sz w:val="21"/>
                <w:highlight w:val="none"/>
              </w:rPr>
            </w:pPr>
          </w:p>
        </w:tc>
      </w:tr>
      <w:tr w14:paraId="0737B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05" w:type="dxa"/>
            <w:vAlign w:val="top"/>
          </w:tcPr>
          <w:p w14:paraId="5139775F">
            <w:pPr>
              <w:autoSpaceDE w:val="0"/>
              <w:autoSpaceDN w:val="0"/>
              <w:spacing w:before="126"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151</w:t>
            </w:r>
          </w:p>
        </w:tc>
        <w:tc>
          <w:tcPr>
            <w:tcW w:w="4184" w:type="dxa"/>
            <w:vAlign w:val="top"/>
          </w:tcPr>
          <w:p w14:paraId="7EB60C71">
            <w:pPr>
              <w:autoSpaceDE w:val="0"/>
              <w:autoSpaceDN w:val="0"/>
              <w:spacing w:before="94" w:line="221" w:lineRule="auto"/>
              <w:ind w:left="5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高强度螺栓扭矩系数</w:t>
            </w:r>
            <w:r>
              <w:rPr>
                <w:rFonts w:ascii="宋体" w:hAnsi="宋体" w:eastAsia="宋体" w:cs="宋体"/>
                <w:color w:val="auto"/>
                <w:sz w:val="21"/>
                <w:szCs w:val="21"/>
                <w:highlight w:val="none"/>
              </w:rPr>
              <w:t>及性能检测仪</w:t>
            </w:r>
          </w:p>
        </w:tc>
        <w:tc>
          <w:tcPr>
            <w:tcW w:w="1488" w:type="dxa"/>
            <w:vAlign w:val="top"/>
          </w:tcPr>
          <w:p w14:paraId="1251D10D">
            <w:pPr>
              <w:autoSpaceDE w:val="0"/>
              <w:autoSpaceDN w:val="0"/>
              <w:spacing w:before="95"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49B27435">
            <w:pPr>
              <w:autoSpaceDE w:val="0"/>
              <w:autoSpaceDN w:val="0"/>
              <w:rPr>
                <w:rFonts w:ascii="Arial"/>
                <w:color w:val="auto"/>
                <w:sz w:val="21"/>
                <w:highlight w:val="none"/>
              </w:rPr>
            </w:pPr>
          </w:p>
        </w:tc>
      </w:tr>
      <w:tr w14:paraId="3078B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2903A42B">
            <w:pPr>
              <w:autoSpaceDE w:val="0"/>
              <w:autoSpaceDN w:val="0"/>
              <w:spacing w:before="129"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152</w:t>
            </w:r>
          </w:p>
        </w:tc>
        <w:tc>
          <w:tcPr>
            <w:tcW w:w="4184" w:type="dxa"/>
            <w:vAlign w:val="top"/>
          </w:tcPr>
          <w:p w14:paraId="22547206">
            <w:pPr>
              <w:autoSpaceDE w:val="0"/>
              <w:autoSpaceDN w:val="0"/>
              <w:spacing w:before="95" w:line="221" w:lineRule="auto"/>
              <w:ind w:left="157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涂料常</w:t>
            </w:r>
            <w:r>
              <w:rPr>
                <w:rFonts w:ascii="宋体" w:hAnsi="宋体" w:eastAsia="宋体" w:cs="宋体"/>
                <w:color w:val="auto"/>
                <w:spacing w:val="-1"/>
                <w:sz w:val="21"/>
                <w:szCs w:val="21"/>
                <w:highlight w:val="none"/>
              </w:rPr>
              <w:t>规仪</w:t>
            </w:r>
          </w:p>
        </w:tc>
        <w:tc>
          <w:tcPr>
            <w:tcW w:w="1488" w:type="dxa"/>
            <w:vAlign w:val="top"/>
          </w:tcPr>
          <w:p w14:paraId="51AF30D8">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268C0ED7">
            <w:pPr>
              <w:autoSpaceDE w:val="0"/>
              <w:autoSpaceDN w:val="0"/>
              <w:rPr>
                <w:rFonts w:ascii="Arial"/>
                <w:color w:val="auto"/>
                <w:sz w:val="21"/>
                <w:highlight w:val="none"/>
              </w:rPr>
            </w:pPr>
          </w:p>
        </w:tc>
      </w:tr>
      <w:tr w14:paraId="34E63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05" w:type="dxa"/>
            <w:vAlign w:val="top"/>
          </w:tcPr>
          <w:p w14:paraId="463C5210">
            <w:pPr>
              <w:autoSpaceDE w:val="0"/>
              <w:autoSpaceDN w:val="0"/>
              <w:spacing w:before="127"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153</w:t>
            </w:r>
          </w:p>
        </w:tc>
        <w:tc>
          <w:tcPr>
            <w:tcW w:w="4184" w:type="dxa"/>
            <w:vAlign w:val="top"/>
          </w:tcPr>
          <w:p w14:paraId="50ADC827">
            <w:pPr>
              <w:autoSpaceDE w:val="0"/>
              <w:autoSpaceDN w:val="0"/>
              <w:spacing w:before="95" w:line="221" w:lineRule="auto"/>
              <w:ind w:left="115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涂装施工质量检</w:t>
            </w:r>
            <w:r>
              <w:rPr>
                <w:rFonts w:ascii="宋体" w:hAnsi="宋体" w:eastAsia="宋体" w:cs="宋体"/>
                <w:color w:val="auto"/>
                <w:sz w:val="21"/>
                <w:szCs w:val="21"/>
                <w:highlight w:val="none"/>
              </w:rPr>
              <w:t>测仪</w:t>
            </w:r>
          </w:p>
        </w:tc>
        <w:tc>
          <w:tcPr>
            <w:tcW w:w="1488" w:type="dxa"/>
            <w:vAlign w:val="top"/>
          </w:tcPr>
          <w:p w14:paraId="56779DE9">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5C6BEA45">
            <w:pPr>
              <w:autoSpaceDE w:val="0"/>
              <w:autoSpaceDN w:val="0"/>
              <w:rPr>
                <w:rFonts w:ascii="Arial"/>
                <w:color w:val="auto"/>
                <w:sz w:val="21"/>
                <w:highlight w:val="none"/>
              </w:rPr>
            </w:pPr>
          </w:p>
        </w:tc>
      </w:tr>
      <w:tr w14:paraId="0B91D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13E23D13">
            <w:pPr>
              <w:autoSpaceDE w:val="0"/>
              <w:autoSpaceDN w:val="0"/>
              <w:spacing w:before="130"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154</w:t>
            </w:r>
          </w:p>
        </w:tc>
        <w:tc>
          <w:tcPr>
            <w:tcW w:w="4184" w:type="dxa"/>
            <w:vAlign w:val="top"/>
          </w:tcPr>
          <w:p w14:paraId="7D7E0E0E">
            <w:pPr>
              <w:autoSpaceDE w:val="0"/>
              <w:autoSpaceDN w:val="0"/>
              <w:spacing w:before="96" w:line="221" w:lineRule="auto"/>
              <w:ind w:left="136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涂</w:t>
            </w:r>
            <w:r>
              <w:rPr>
                <w:rFonts w:ascii="宋体" w:hAnsi="宋体" w:eastAsia="宋体" w:cs="宋体"/>
                <w:color w:val="auto"/>
                <w:spacing w:val="-1"/>
                <w:sz w:val="21"/>
                <w:szCs w:val="21"/>
                <w:highlight w:val="none"/>
              </w:rPr>
              <w:t>层厚度检测仪</w:t>
            </w:r>
          </w:p>
        </w:tc>
        <w:tc>
          <w:tcPr>
            <w:tcW w:w="1488" w:type="dxa"/>
            <w:vAlign w:val="top"/>
          </w:tcPr>
          <w:p w14:paraId="495467CE">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0F001396">
            <w:pPr>
              <w:autoSpaceDE w:val="0"/>
              <w:autoSpaceDN w:val="0"/>
              <w:rPr>
                <w:rFonts w:ascii="Arial"/>
                <w:color w:val="auto"/>
                <w:sz w:val="21"/>
                <w:highlight w:val="none"/>
              </w:rPr>
            </w:pPr>
          </w:p>
        </w:tc>
      </w:tr>
      <w:tr w14:paraId="2B553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705" w:type="dxa"/>
            <w:vAlign w:val="top"/>
          </w:tcPr>
          <w:p w14:paraId="248B8660">
            <w:pPr>
              <w:autoSpaceDE w:val="0"/>
              <w:autoSpaceDN w:val="0"/>
              <w:spacing w:before="127"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155</w:t>
            </w:r>
          </w:p>
        </w:tc>
        <w:tc>
          <w:tcPr>
            <w:tcW w:w="4184" w:type="dxa"/>
            <w:vAlign w:val="top"/>
          </w:tcPr>
          <w:p w14:paraId="08C63C33">
            <w:pPr>
              <w:autoSpaceDE w:val="0"/>
              <w:autoSpaceDN w:val="0"/>
              <w:spacing w:before="96" w:line="220" w:lineRule="auto"/>
              <w:ind w:left="126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涂层附着力检测仪</w:t>
            </w:r>
          </w:p>
        </w:tc>
        <w:tc>
          <w:tcPr>
            <w:tcW w:w="1488" w:type="dxa"/>
            <w:vAlign w:val="top"/>
          </w:tcPr>
          <w:p w14:paraId="4AAE218F">
            <w:pPr>
              <w:autoSpaceDE w:val="0"/>
              <w:autoSpaceDN w:val="0"/>
              <w:spacing w:before="96" w:line="221" w:lineRule="auto"/>
              <w:ind w:left="479"/>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1</w:t>
            </w:r>
            <w:r>
              <w:rPr>
                <w:rFonts w:ascii="Times New Roman" w:hAnsi="Times New Roman" w:eastAsia="Times New Roman" w:cs="Times New Roman"/>
                <w:color w:val="auto"/>
                <w:spacing w:val="-3"/>
                <w:sz w:val="21"/>
                <w:szCs w:val="21"/>
                <w:highlight w:val="none"/>
              </w:rPr>
              <w:t xml:space="preserve"> </w:t>
            </w:r>
            <w:r>
              <w:rPr>
                <w:rFonts w:ascii="宋体" w:hAnsi="宋体" w:eastAsia="宋体" w:cs="宋体"/>
                <w:color w:val="auto"/>
                <w:spacing w:val="-2"/>
                <w:sz w:val="21"/>
                <w:szCs w:val="21"/>
                <w:highlight w:val="none"/>
              </w:rPr>
              <w:t>台套</w:t>
            </w:r>
          </w:p>
        </w:tc>
        <w:tc>
          <w:tcPr>
            <w:tcW w:w="1842" w:type="dxa"/>
            <w:vAlign w:val="top"/>
          </w:tcPr>
          <w:p w14:paraId="6595F9D4">
            <w:pPr>
              <w:autoSpaceDE w:val="0"/>
              <w:autoSpaceDN w:val="0"/>
              <w:rPr>
                <w:rFonts w:ascii="Arial"/>
                <w:color w:val="auto"/>
                <w:sz w:val="21"/>
                <w:highlight w:val="none"/>
              </w:rPr>
            </w:pPr>
          </w:p>
        </w:tc>
      </w:tr>
      <w:tr w14:paraId="339A89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9219" w:type="dxa"/>
            <w:gridSpan w:val="4"/>
            <w:vAlign w:val="top"/>
          </w:tcPr>
          <w:p w14:paraId="49BEC10C">
            <w:pPr>
              <w:autoSpaceDE w:val="0"/>
              <w:autoSpaceDN w:val="0"/>
              <w:spacing w:before="97" w:line="221" w:lineRule="auto"/>
              <w:ind w:left="3772"/>
              <w:rPr>
                <w:rFonts w:ascii="宋体" w:hAnsi="宋体" w:eastAsia="宋体" w:cs="宋体"/>
                <w:color w:val="auto"/>
                <w:sz w:val="21"/>
                <w:szCs w:val="21"/>
                <w:highlight w:val="none"/>
              </w:rPr>
            </w:pP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十、特殊仪器设备</w:t>
            </w:r>
          </w:p>
        </w:tc>
      </w:tr>
      <w:tr w14:paraId="19C1B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705" w:type="dxa"/>
            <w:vAlign w:val="top"/>
          </w:tcPr>
          <w:p w14:paraId="4509012F">
            <w:pPr>
              <w:autoSpaceDE w:val="0"/>
              <w:autoSpaceDN w:val="0"/>
              <w:spacing w:before="131"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156</w:t>
            </w:r>
          </w:p>
        </w:tc>
        <w:tc>
          <w:tcPr>
            <w:tcW w:w="4184" w:type="dxa"/>
            <w:vAlign w:val="top"/>
          </w:tcPr>
          <w:p w14:paraId="026D05E9">
            <w:pPr>
              <w:autoSpaceDE w:val="0"/>
              <w:autoSpaceDN w:val="0"/>
              <w:spacing w:before="97" w:line="221" w:lineRule="auto"/>
              <w:ind w:left="83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声波检测仪(超声波检测)</w:t>
            </w:r>
          </w:p>
        </w:tc>
        <w:tc>
          <w:tcPr>
            <w:tcW w:w="1488" w:type="dxa"/>
            <w:vAlign w:val="top"/>
          </w:tcPr>
          <w:p w14:paraId="0271451A">
            <w:pPr>
              <w:autoSpaceDE w:val="0"/>
              <w:autoSpaceDN w:val="0"/>
              <w:spacing w:before="97"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2" w:type="dxa"/>
            <w:vAlign w:val="top"/>
          </w:tcPr>
          <w:p w14:paraId="7CF9E6E3">
            <w:pPr>
              <w:autoSpaceDE w:val="0"/>
              <w:autoSpaceDN w:val="0"/>
              <w:rPr>
                <w:rFonts w:ascii="Arial"/>
                <w:color w:val="auto"/>
                <w:sz w:val="21"/>
                <w:highlight w:val="none"/>
              </w:rPr>
            </w:pPr>
          </w:p>
        </w:tc>
      </w:tr>
      <w:tr w14:paraId="721B6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705" w:type="dxa"/>
            <w:vAlign w:val="top"/>
          </w:tcPr>
          <w:p w14:paraId="380F712B">
            <w:pPr>
              <w:autoSpaceDE w:val="0"/>
              <w:autoSpaceDN w:val="0"/>
              <w:spacing w:before="129" w:line="187" w:lineRule="auto"/>
              <w:ind w:left="718"/>
              <w:rPr>
                <w:rFonts w:ascii="Times New Roman" w:hAnsi="Times New Roman" w:eastAsia="Times New Roman" w:cs="Times New Roman"/>
                <w:color w:val="auto"/>
                <w:sz w:val="21"/>
                <w:szCs w:val="21"/>
                <w:highlight w:val="none"/>
              </w:rPr>
            </w:pPr>
            <w:r>
              <w:rPr>
                <w:rFonts w:hint="eastAsia" w:eastAsia="宋体" w:cs="Times New Roman"/>
                <w:color w:val="auto"/>
                <w:spacing w:val="-6"/>
                <w:sz w:val="21"/>
                <w:szCs w:val="21"/>
                <w:highlight w:val="none"/>
                <w:lang w:val="en-US" w:eastAsia="zh-CN"/>
              </w:rPr>
              <w:t>157</w:t>
            </w:r>
          </w:p>
        </w:tc>
        <w:tc>
          <w:tcPr>
            <w:tcW w:w="4184" w:type="dxa"/>
            <w:vAlign w:val="top"/>
          </w:tcPr>
          <w:p w14:paraId="4C4A5823">
            <w:pPr>
              <w:autoSpaceDE w:val="0"/>
              <w:autoSpaceDN w:val="0"/>
              <w:spacing w:before="97" w:line="221" w:lineRule="auto"/>
              <w:ind w:left="835"/>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基</w:t>
            </w:r>
            <w:r>
              <w:rPr>
                <w:rFonts w:ascii="宋体" w:hAnsi="宋体" w:eastAsia="宋体" w:cs="宋体"/>
                <w:color w:val="auto"/>
                <w:spacing w:val="8"/>
                <w:sz w:val="21"/>
                <w:szCs w:val="21"/>
                <w:highlight w:val="none"/>
              </w:rPr>
              <w:t>桩动测仪(小应变检测)</w:t>
            </w:r>
          </w:p>
        </w:tc>
        <w:tc>
          <w:tcPr>
            <w:tcW w:w="1488" w:type="dxa"/>
            <w:vAlign w:val="top"/>
          </w:tcPr>
          <w:p w14:paraId="6CE8534D">
            <w:pPr>
              <w:autoSpaceDE w:val="0"/>
              <w:autoSpaceDN w:val="0"/>
              <w:spacing w:before="97" w:line="223" w:lineRule="auto"/>
              <w:ind w:left="585"/>
              <w:rPr>
                <w:rFonts w:ascii="宋体" w:hAnsi="宋体" w:eastAsia="宋体" w:cs="宋体"/>
                <w:color w:val="auto"/>
                <w:sz w:val="21"/>
                <w:szCs w:val="21"/>
                <w:highlight w:val="none"/>
              </w:rPr>
            </w:pPr>
            <w:r>
              <w:rPr>
                <w:rFonts w:ascii="Times New Roman" w:hAnsi="Times New Roman" w:eastAsia="Times New Roman" w:cs="Times New Roman"/>
                <w:color w:val="auto"/>
                <w:sz w:val="21"/>
                <w:szCs w:val="21"/>
                <w:highlight w:val="none"/>
              </w:rPr>
              <w:t xml:space="preserve">1 </w:t>
            </w:r>
            <w:r>
              <w:rPr>
                <w:rFonts w:ascii="宋体" w:hAnsi="宋体" w:eastAsia="宋体" w:cs="宋体"/>
                <w:color w:val="auto"/>
                <w:sz w:val="21"/>
                <w:szCs w:val="21"/>
                <w:highlight w:val="none"/>
              </w:rPr>
              <w:t>台</w:t>
            </w:r>
          </w:p>
        </w:tc>
        <w:tc>
          <w:tcPr>
            <w:tcW w:w="1842" w:type="dxa"/>
            <w:vAlign w:val="top"/>
          </w:tcPr>
          <w:p w14:paraId="25702CC6">
            <w:pPr>
              <w:autoSpaceDE w:val="0"/>
              <w:autoSpaceDN w:val="0"/>
              <w:rPr>
                <w:rFonts w:ascii="Arial"/>
                <w:color w:val="auto"/>
                <w:sz w:val="21"/>
                <w:highlight w:val="none"/>
              </w:rPr>
            </w:pPr>
          </w:p>
        </w:tc>
      </w:tr>
    </w:tbl>
    <w:p w14:paraId="446BEAE4">
      <w:pPr>
        <w:pStyle w:val="74"/>
        <w:rPr>
          <w:rFonts w:ascii="Times New Roman" w:hAnsi="Times New Roman"/>
          <w:color w:val="auto"/>
          <w:szCs w:val="21"/>
          <w:highlight w:val="none"/>
        </w:rPr>
      </w:pPr>
    </w:p>
    <w:p w14:paraId="64DE358C">
      <w:pPr>
        <w:rPr>
          <w:rFonts w:ascii="Times New Roman" w:hAnsi="Times New Roman"/>
          <w:color w:val="auto"/>
          <w:szCs w:val="21"/>
          <w:highlight w:val="none"/>
        </w:rPr>
      </w:pPr>
    </w:p>
    <w:p w14:paraId="165199CF">
      <w:pPr>
        <w:pStyle w:val="74"/>
        <w:rPr>
          <w:rFonts w:ascii="Times New Roman" w:hAnsi="Times New Roman"/>
          <w:color w:val="auto"/>
          <w:szCs w:val="21"/>
          <w:highlight w:val="none"/>
        </w:rPr>
      </w:pPr>
    </w:p>
    <w:p w14:paraId="26C1E614">
      <w:pPr>
        <w:spacing w:before="59" w:line="218" w:lineRule="auto"/>
        <w:ind w:left="158"/>
        <w:rPr>
          <w:rFonts w:ascii="宋体" w:hAnsi="宋体" w:eastAsia="宋体" w:cs="宋体"/>
          <w:color w:val="auto"/>
          <w:sz w:val="18"/>
          <w:szCs w:val="18"/>
          <w:highlight w:val="none"/>
        </w:rPr>
      </w:pPr>
      <w:r>
        <w:rPr>
          <w:rFonts w:ascii="宋体" w:hAnsi="宋体" w:eastAsia="宋体" w:cs="宋体"/>
          <w:color w:val="auto"/>
          <w:spacing w:val="-8"/>
          <w:sz w:val="18"/>
          <w:szCs w:val="18"/>
          <w:highlight w:val="none"/>
          <w14:textOutline w14:w="3265" w14:cap="flat" w14:cmpd="sng">
            <w14:solidFill>
              <w14:srgbClr w14:val="000000"/>
            </w14:solidFill>
            <w14:prstDash w14:val="solid"/>
            <w14:miter w14:val="0"/>
          </w14:textOutline>
        </w:rPr>
        <w:t>注：</w:t>
      </w:r>
      <w:r>
        <w:rPr>
          <w:rFonts w:ascii="宋体" w:hAnsi="宋体" w:eastAsia="宋体" w:cs="宋体"/>
          <w:color w:val="auto"/>
          <w:spacing w:val="-8"/>
          <w:sz w:val="18"/>
          <w:szCs w:val="18"/>
          <w:highlight w:val="none"/>
        </w:rPr>
        <w:t xml:space="preserve"> </w:t>
      </w:r>
      <w:r>
        <w:rPr>
          <w:rFonts w:ascii="Times New Roman" w:hAnsi="Times New Roman" w:eastAsia="Times New Roman" w:cs="Times New Roman"/>
          <w:b/>
          <w:bCs/>
          <w:color w:val="auto"/>
          <w:spacing w:val="-8"/>
          <w:sz w:val="18"/>
          <w:szCs w:val="18"/>
          <w:highlight w:val="none"/>
        </w:rPr>
        <w:t>1</w:t>
      </w:r>
      <w:r>
        <w:rPr>
          <w:rFonts w:ascii="宋体" w:hAnsi="宋体" w:eastAsia="宋体" w:cs="宋体"/>
          <w:color w:val="auto"/>
          <w:spacing w:val="-8"/>
          <w:sz w:val="18"/>
          <w:szCs w:val="18"/>
          <w:highlight w:val="none"/>
          <w14:textOutline w14:w="3265" w14:cap="flat" w14:cmpd="sng">
            <w14:solidFill>
              <w14:srgbClr w14:val="000000"/>
            </w14:solidFill>
            <w14:prstDash w14:val="solid"/>
            <w14:miter w14:val="0"/>
          </w14:textOutline>
        </w:rPr>
        <w:t>、</w:t>
      </w:r>
      <w:r>
        <w:rPr>
          <w:rFonts w:ascii="宋体" w:hAnsi="宋体" w:eastAsia="宋体" w:cs="宋体"/>
          <w:color w:val="auto"/>
          <w:spacing w:val="-7"/>
          <w:sz w:val="18"/>
          <w:szCs w:val="18"/>
          <w:highlight w:val="none"/>
          <w14:textOutline w14:w="3265" w14:cap="flat" w14:cmpd="sng">
            <w14:solidFill>
              <w14:srgbClr w14:val="000000"/>
            </w14:solidFill>
            <w14:prstDash w14:val="solid"/>
            <w14:miter w14:val="0"/>
          </w14:textOutline>
        </w:rPr>
        <w:t>以</w:t>
      </w:r>
      <w:r>
        <w:rPr>
          <w:rFonts w:ascii="宋体" w:hAnsi="宋体" w:eastAsia="宋体" w:cs="宋体"/>
          <w:color w:val="auto"/>
          <w:spacing w:val="-4"/>
          <w:sz w:val="18"/>
          <w:szCs w:val="18"/>
          <w:highlight w:val="none"/>
          <w14:textOutline w14:w="3265" w14:cap="flat" w14:cmpd="sng">
            <w14:solidFill>
              <w14:srgbClr w14:val="000000"/>
            </w14:solidFill>
            <w14:prstDash w14:val="solid"/>
            <w14:miter w14:val="0"/>
          </w14:textOutline>
        </w:rPr>
        <w:t>上设备为基本配备，不足时需自行增加，费用包含在报价中，</w:t>
      </w:r>
      <w:r>
        <w:rPr>
          <w:rFonts w:ascii="宋体" w:hAnsi="宋体" w:eastAsia="宋体" w:cs="宋体"/>
          <w:color w:val="auto"/>
          <w:spacing w:val="-4"/>
          <w:sz w:val="18"/>
          <w:szCs w:val="18"/>
          <w:highlight w:val="none"/>
        </w:rPr>
        <w:t xml:space="preserve"> </w:t>
      </w:r>
      <w:r>
        <w:rPr>
          <w:rFonts w:ascii="宋体" w:hAnsi="宋体" w:eastAsia="宋体" w:cs="宋体"/>
          <w:color w:val="auto"/>
          <w:spacing w:val="-4"/>
          <w:sz w:val="18"/>
          <w:szCs w:val="18"/>
          <w:highlight w:val="none"/>
          <w14:textOutline w14:w="3265" w14:cap="flat" w14:cmpd="sng">
            <w14:solidFill>
              <w14:srgbClr w14:val="000000"/>
            </w14:solidFill>
            <w14:prstDash w14:val="solid"/>
            <w14:miter w14:val="0"/>
          </w14:textOutline>
        </w:rPr>
        <w:t>不另计量。</w:t>
      </w:r>
    </w:p>
    <w:p w14:paraId="71DD9DE9">
      <w:pPr>
        <w:spacing w:before="19" w:line="220" w:lineRule="auto"/>
        <w:ind w:left="515"/>
        <w:outlineLvl w:val="0"/>
        <w:rPr>
          <w:rFonts w:ascii="宋体" w:hAnsi="宋体" w:eastAsia="宋体" w:cs="宋体"/>
          <w:color w:val="auto"/>
          <w:sz w:val="18"/>
          <w:szCs w:val="18"/>
          <w:highlight w:val="none"/>
        </w:rPr>
      </w:pPr>
      <w:bookmarkStart w:id="164" w:name="_Toc18336"/>
      <w:r>
        <w:rPr>
          <w:rFonts w:ascii="Times New Roman" w:hAnsi="Times New Roman" w:eastAsia="Times New Roman" w:cs="Times New Roman"/>
          <w:b/>
          <w:bCs/>
          <w:color w:val="auto"/>
          <w:spacing w:val="-4"/>
          <w:sz w:val="18"/>
          <w:szCs w:val="18"/>
          <w:highlight w:val="none"/>
        </w:rPr>
        <w:t>2</w:t>
      </w:r>
      <w:r>
        <w:rPr>
          <w:rFonts w:ascii="Times New Roman" w:hAnsi="Times New Roman" w:eastAsia="Times New Roman" w:cs="Times New Roman"/>
          <w:color w:val="auto"/>
          <w:spacing w:val="-4"/>
          <w:sz w:val="18"/>
          <w:szCs w:val="18"/>
          <w:highlight w:val="none"/>
        </w:rPr>
        <w:t xml:space="preserve"> </w:t>
      </w:r>
      <w:r>
        <w:rPr>
          <w:rFonts w:ascii="宋体" w:hAnsi="宋体" w:eastAsia="宋体" w:cs="宋体"/>
          <w:color w:val="auto"/>
          <w:spacing w:val="-4"/>
          <w:sz w:val="18"/>
          <w:szCs w:val="18"/>
          <w:highlight w:val="none"/>
          <w14:textOutline w14:w="3265" w14:cap="flat" w14:cmpd="sng">
            <w14:solidFill>
              <w14:srgbClr w14:val="000000"/>
            </w14:solidFill>
            <w14:prstDash w14:val="solid"/>
            <w14:miter w14:val="0"/>
          </w14:textOutline>
        </w:rPr>
        <w:t>、其他</w:t>
      </w:r>
      <w:r>
        <w:rPr>
          <w:rFonts w:ascii="宋体" w:hAnsi="宋体" w:eastAsia="宋体" w:cs="宋体"/>
          <w:color w:val="auto"/>
          <w:spacing w:val="-2"/>
          <w:sz w:val="18"/>
          <w:szCs w:val="18"/>
          <w:highlight w:val="none"/>
          <w14:textOutline w14:w="3265" w14:cap="flat" w14:cmpd="sng">
            <w14:solidFill>
              <w14:srgbClr w14:val="000000"/>
            </w14:solidFill>
            <w14:prstDash w14:val="solid"/>
            <w14:miter w14:val="0"/>
          </w14:textOutline>
        </w:rPr>
        <w:t>未列入项目试验检测仪器设备自行添加。</w:t>
      </w:r>
      <w:bookmarkEnd w:id="164"/>
    </w:p>
    <w:p w14:paraId="0B66F49D">
      <w:pPr>
        <w:rPr>
          <w:rFonts w:ascii="Times New Roman" w:hAnsi="Times New Roman"/>
          <w:color w:val="auto"/>
          <w:szCs w:val="21"/>
          <w:highlight w:val="none"/>
        </w:rPr>
      </w:pPr>
    </w:p>
    <w:p w14:paraId="7F3280A5">
      <w:pPr>
        <w:pStyle w:val="74"/>
        <w:rPr>
          <w:rFonts w:ascii="Times New Roman" w:hAnsi="Times New Roman"/>
          <w:color w:val="auto"/>
          <w:szCs w:val="21"/>
          <w:highlight w:val="none"/>
        </w:rPr>
      </w:pPr>
    </w:p>
    <w:p w14:paraId="4CB3A706">
      <w:pPr>
        <w:rPr>
          <w:rFonts w:ascii="Times New Roman" w:hAnsi="Times New Roman"/>
          <w:color w:val="auto"/>
          <w:szCs w:val="21"/>
          <w:highlight w:val="none"/>
        </w:rPr>
      </w:pPr>
    </w:p>
    <w:p w14:paraId="024E0050">
      <w:pPr>
        <w:pStyle w:val="74"/>
        <w:rPr>
          <w:rFonts w:ascii="Times New Roman" w:hAnsi="Times New Roman"/>
          <w:color w:val="auto"/>
          <w:szCs w:val="21"/>
          <w:highlight w:val="none"/>
        </w:rPr>
      </w:pPr>
    </w:p>
    <w:p w14:paraId="01380F6C">
      <w:pPr>
        <w:rPr>
          <w:rFonts w:ascii="Times New Roman" w:hAnsi="Times New Roman"/>
          <w:color w:val="auto"/>
          <w:szCs w:val="21"/>
          <w:highlight w:val="none"/>
        </w:rPr>
      </w:pPr>
    </w:p>
    <w:p w14:paraId="181AD06A">
      <w:pPr>
        <w:pStyle w:val="74"/>
        <w:rPr>
          <w:rFonts w:ascii="Times New Roman" w:hAnsi="Times New Roman"/>
          <w:color w:val="auto"/>
          <w:szCs w:val="21"/>
          <w:highlight w:val="none"/>
        </w:rPr>
      </w:pPr>
    </w:p>
    <w:p w14:paraId="6C7B31AE">
      <w:pPr>
        <w:rPr>
          <w:rFonts w:ascii="Times New Roman" w:hAnsi="Times New Roman"/>
          <w:color w:val="auto"/>
          <w:szCs w:val="21"/>
          <w:highlight w:val="none"/>
        </w:rPr>
      </w:pPr>
    </w:p>
    <w:p w14:paraId="55BB623D">
      <w:pPr>
        <w:pStyle w:val="74"/>
        <w:rPr>
          <w:rFonts w:ascii="Times New Roman" w:hAnsi="Times New Roman"/>
          <w:color w:val="auto"/>
          <w:szCs w:val="21"/>
          <w:highlight w:val="none"/>
        </w:rPr>
      </w:pPr>
    </w:p>
    <w:p w14:paraId="21461211">
      <w:pPr>
        <w:rPr>
          <w:rFonts w:ascii="Times New Roman" w:hAnsi="Times New Roman"/>
          <w:color w:val="auto"/>
          <w:szCs w:val="21"/>
          <w:highlight w:val="none"/>
        </w:rPr>
      </w:pPr>
    </w:p>
    <w:p w14:paraId="28E19771">
      <w:pPr>
        <w:rPr>
          <w:rFonts w:ascii="Times New Roman" w:hAnsi="Times New Roman"/>
          <w:color w:val="auto"/>
          <w:szCs w:val="21"/>
          <w:highlight w:val="none"/>
        </w:rPr>
      </w:pPr>
    </w:p>
    <w:p w14:paraId="238B7B60">
      <w:pPr>
        <w:rPr>
          <w:rFonts w:ascii="Times New Roman" w:hAnsi="Times New Roman"/>
          <w:color w:val="auto"/>
          <w:szCs w:val="21"/>
          <w:highlight w:val="none"/>
        </w:rPr>
      </w:pPr>
    </w:p>
    <w:p w14:paraId="751C0A9A">
      <w:pPr>
        <w:rPr>
          <w:rFonts w:ascii="Times New Roman" w:hAnsi="Times New Roman"/>
          <w:color w:val="auto"/>
          <w:szCs w:val="21"/>
          <w:highlight w:val="none"/>
        </w:rPr>
      </w:pPr>
    </w:p>
    <w:p w14:paraId="53B0E0AE">
      <w:pPr>
        <w:rPr>
          <w:rFonts w:ascii="Times New Roman" w:hAnsi="Times New Roman"/>
          <w:color w:val="auto"/>
          <w:szCs w:val="21"/>
          <w:highlight w:val="none"/>
        </w:rPr>
      </w:pPr>
    </w:p>
    <w:p w14:paraId="0AA7D9E1">
      <w:pPr>
        <w:rPr>
          <w:rFonts w:ascii="Times New Roman" w:hAnsi="Times New Roman"/>
          <w:color w:val="auto"/>
          <w:szCs w:val="21"/>
          <w:highlight w:val="none"/>
        </w:rPr>
      </w:pPr>
    </w:p>
    <w:p w14:paraId="4BE16C73">
      <w:pPr>
        <w:rPr>
          <w:rFonts w:ascii="Times New Roman" w:hAnsi="Times New Roman"/>
          <w:color w:val="auto"/>
          <w:szCs w:val="21"/>
          <w:highlight w:val="none"/>
        </w:rPr>
      </w:pPr>
    </w:p>
    <w:p w14:paraId="32C58C42">
      <w:pPr>
        <w:rPr>
          <w:rFonts w:ascii="Times New Roman" w:hAnsi="Times New Roman"/>
          <w:color w:val="auto"/>
          <w:szCs w:val="21"/>
          <w:highlight w:val="none"/>
        </w:rPr>
      </w:pPr>
    </w:p>
    <w:p w14:paraId="28E2C127">
      <w:pPr>
        <w:rPr>
          <w:rFonts w:ascii="Times New Roman" w:hAnsi="Times New Roman"/>
          <w:color w:val="auto"/>
          <w:szCs w:val="21"/>
          <w:highlight w:val="none"/>
        </w:rPr>
      </w:pPr>
    </w:p>
    <w:p w14:paraId="6EE9BF73">
      <w:pPr>
        <w:rPr>
          <w:rFonts w:ascii="Times New Roman" w:hAnsi="Times New Roman"/>
          <w:color w:val="auto"/>
          <w:szCs w:val="21"/>
          <w:highlight w:val="none"/>
        </w:rPr>
      </w:pPr>
    </w:p>
    <w:p w14:paraId="356B21E5">
      <w:pPr>
        <w:rPr>
          <w:rFonts w:ascii="Times New Roman" w:hAnsi="Times New Roman"/>
          <w:color w:val="auto"/>
          <w:szCs w:val="21"/>
          <w:highlight w:val="none"/>
        </w:rPr>
      </w:pPr>
    </w:p>
    <w:p w14:paraId="68429334">
      <w:pPr>
        <w:rPr>
          <w:rFonts w:ascii="Times New Roman" w:hAnsi="Times New Roman"/>
          <w:color w:val="auto"/>
          <w:szCs w:val="21"/>
          <w:highlight w:val="none"/>
        </w:rPr>
      </w:pPr>
    </w:p>
    <w:p w14:paraId="79DD49DE">
      <w:pPr>
        <w:rPr>
          <w:rFonts w:ascii="Times New Roman" w:hAnsi="Times New Roman"/>
          <w:color w:val="auto"/>
          <w:szCs w:val="21"/>
          <w:highlight w:val="none"/>
        </w:rPr>
      </w:pPr>
    </w:p>
    <w:p w14:paraId="422E172D">
      <w:pPr>
        <w:rPr>
          <w:rFonts w:ascii="Times New Roman" w:hAnsi="Times New Roman"/>
          <w:color w:val="auto"/>
          <w:szCs w:val="21"/>
          <w:highlight w:val="none"/>
        </w:rPr>
      </w:pPr>
    </w:p>
    <w:p w14:paraId="157D6542">
      <w:pPr>
        <w:rPr>
          <w:rFonts w:ascii="Times New Roman" w:hAnsi="Times New Roman"/>
          <w:color w:val="auto"/>
          <w:szCs w:val="21"/>
          <w:highlight w:val="none"/>
        </w:rPr>
      </w:pPr>
    </w:p>
    <w:p w14:paraId="50349E55">
      <w:pPr>
        <w:rPr>
          <w:rFonts w:ascii="Times New Roman" w:hAnsi="Times New Roman"/>
          <w:color w:val="auto"/>
          <w:szCs w:val="21"/>
          <w:highlight w:val="none"/>
        </w:rPr>
      </w:pPr>
    </w:p>
    <w:p w14:paraId="53FB5E92">
      <w:pPr>
        <w:rPr>
          <w:rFonts w:ascii="Times New Roman" w:hAnsi="Times New Roman"/>
          <w:color w:val="auto"/>
          <w:szCs w:val="21"/>
          <w:highlight w:val="none"/>
        </w:rPr>
      </w:pPr>
    </w:p>
    <w:p w14:paraId="6532EAE7">
      <w:pPr>
        <w:rPr>
          <w:rFonts w:ascii="Times New Roman" w:hAnsi="Times New Roman"/>
          <w:color w:val="auto"/>
          <w:szCs w:val="21"/>
          <w:highlight w:val="none"/>
        </w:rPr>
      </w:pPr>
    </w:p>
    <w:p w14:paraId="42FD4AD7">
      <w:pPr>
        <w:rPr>
          <w:rFonts w:ascii="Times New Roman" w:hAnsi="Times New Roman"/>
          <w:color w:val="auto"/>
          <w:szCs w:val="21"/>
          <w:highlight w:val="none"/>
        </w:rPr>
      </w:pPr>
    </w:p>
    <w:p w14:paraId="701A35ED">
      <w:pPr>
        <w:rPr>
          <w:rFonts w:ascii="Times New Roman" w:hAnsi="Times New Roman"/>
          <w:color w:val="auto"/>
          <w:szCs w:val="21"/>
          <w:highlight w:val="none"/>
        </w:rPr>
      </w:pPr>
    </w:p>
    <w:p w14:paraId="75E5E9DD">
      <w:pPr>
        <w:rPr>
          <w:rFonts w:ascii="Times New Roman" w:hAnsi="Times New Roman"/>
          <w:color w:val="auto"/>
          <w:szCs w:val="21"/>
          <w:highlight w:val="none"/>
        </w:rPr>
      </w:pPr>
    </w:p>
    <w:p w14:paraId="39FB27C8">
      <w:pPr>
        <w:rPr>
          <w:rFonts w:ascii="Times New Roman" w:hAnsi="Times New Roman"/>
          <w:color w:val="auto"/>
          <w:szCs w:val="21"/>
          <w:highlight w:val="none"/>
        </w:rPr>
      </w:pPr>
    </w:p>
    <w:p w14:paraId="59CBD09A">
      <w:pPr>
        <w:rPr>
          <w:rFonts w:ascii="Times New Roman" w:hAnsi="Times New Roman"/>
          <w:color w:val="auto"/>
          <w:szCs w:val="21"/>
          <w:highlight w:val="none"/>
        </w:rPr>
      </w:pPr>
    </w:p>
    <w:p w14:paraId="77F807D2">
      <w:pPr>
        <w:rPr>
          <w:rFonts w:ascii="Times New Roman" w:hAnsi="Times New Roman"/>
          <w:color w:val="auto"/>
          <w:szCs w:val="21"/>
          <w:highlight w:val="none"/>
        </w:rPr>
      </w:pPr>
    </w:p>
    <w:p w14:paraId="4AAA4535">
      <w:pPr>
        <w:rPr>
          <w:rFonts w:ascii="Times New Roman" w:hAnsi="Times New Roman"/>
          <w:color w:val="auto"/>
          <w:szCs w:val="21"/>
          <w:highlight w:val="none"/>
        </w:rPr>
      </w:pPr>
    </w:p>
    <w:p w14:paraId="26968D6E">
      <w:pPr>
        <w:rPr>
          <w:rFonts w:ascii="Times New Roman" w:hAnsi="Times New Roman"/>
          <w:color w:val="auto"/>
          <w:szCs w:val="21"/>
          <w:highlight w:val="none"/>
        </w:rPr>
      </w:pPr>
    </w:p>
    <w:p w14:paraId="3397BBEA">
      <w:pPr>
        <w:rPr>
          <w:rFonts w:ascii="Times New Roman" w:hAnsi="Times New Roman"/>
          <w:color w:val="auto"/>
          <w:szCs w:val="21"/>
          <w:highlight w:val="none"/>
        </w:rPr>
      </w:pPr>
    </w:p>
    <w:p w14:paraId="1EE528B5">
      <w:pPr>
        <w:rPr>
          <w:rFonts w:ascii="Times New Roman" w:hAnsi="Times New Roman"/>
          <w:color w:val="auto"/>
          <w:szCs w:val="21"/>
          <w:highlight w:val="none"/>
        </w:rPr>
      </w:pPr>
    </w:p>
    <w:p w14:paraId="20ABA3E9">
      <w:pPr>
        <w:rPr>
          <w:rFonts w:ascii="Times New Roman" w:hAnsi="Times New Roman"/>
          <w:color w:val="auto"/>
          <w:szCs w:val="21"/>
          <w:highlight w:val="none"/>
        </w:rPr>
      </w:pPr>
    </w:p>
    <w:p w14:paraId="6CCC8DF8">
      <w:pPr>
        <w:rPr>
          <w:rFonts w:ascii="Times New Roman" w:hAnsi="Times New Roman"/>
          <w:color w:val="auto"/>
          <w:szCs w:val="21"/>
          <w:highlight w:val="none"/>
        </w:rPr>
      </w:pPr>
    </w:p>
    <w:p w14:paraId="5993CFF4">
      <w:pPr>
        <w:rPr>
          <w:rFonts w:ascii="Times New Roman" w:hAnsi="Times New Roman"/>
          <w:color w:val="auto"/>
          <w:szCs w:val="21"/>
          <w:highlight w:val="none"/>
        </w:rPr>
      </w:pPr>
    </w:p>
    <w:p w14:paraId="1FA122BA">
      <w:pPr>
        <w:rPr>
          <w:rFonts w:ascii="Times New Roman" w:hAnsi="Times New Roman"/>
          <w:color w:val="auto"/>
          <w:szCs w:val="21"/>
          <w:highlight w:val="none"/>
        </w:rPr>
      </w:pPr>
    </w:p>
    <w:p w14:paraId="520A7034">
      <w:pPr>
        <w:rPr>
          <w:rFonts w:ascii="Times New Roman" w:hAnsi="Times New Roman"/>
          <w:color w:val="auto"/>
          <w:szCs w:val="21"/>
          <w:highlight w:val="none"/>
        </w:rPr>
      </w:pPr>
    </w:p>
    <w:p w14:paraId="17A5AAC6">
      <w:pPr>
        <w:pStyle w:val="74"/>
        <w:rPr>
          <w:rFonts w:ascii="Times New Roman" w:hAnsi="Times New Roman"/>
          <w:color w:val="auto"/>
          <w:szCs w:val="21"/>
          <w:highlight w:val="none"/>
        </w:rPr>
      </w:pPr>
    </w:p>
    <w:p w14:paraId="12CBF0AA">
      <w:pPr>
        <w:pStyle w:val="5"/>
        <w:rPr>
          <w:rFonts w:ascii="黑体" w:hAnsi="黑体" w:eastAsia="黑体" w:cs="黑体"/>
          <w:b w:val="0"/>
          <w:bCs w:val="0"/>
          <w:color w:val="auto"/>
          <w:spacing w:val="-2"/>
          <w:kern w:val="2"/>
          <w:sz w:val="30"/>
          <w:szCs w:val="30"/>
          <w:highlight w:val="none"/>
        </w:rPr>
      </w:pPr>
      <w:r>
        <w:rPr>
          <w:rFonts w:ascii="黑体" w:hAnsi="黑体" w:eastAsia="黑体" w:cs="黑体"/>
          <w:b w:val="0"/>
          <w:bCs w:val="0"/>
          <w:color w:val="auto"/>
          <w:spacing w:val="-2"/>
          <w:kern w:val="2"/>
          <w:sz w:val="30"/>
          <w:szCs w:val="30"/>
          <w:highlight w:val="none"/>
        </w:rPr>
        <w:t>附件</w:t>
      </w:r>
      <w:r>
        <w:rPr>
          <w:rFonts w:hint="eastAsia" w:ascii="黑体" w:hAnsi="黑体" w:eastAsia="黑体" w:cs="黑体"/>
          <w:b w:val="0"/>
          <w:bCs w:val="0"/>
          <w:color w:val="auto"/>
          <w:spacing w:val="-2"/>
          <w:kern w:val="2"/>
          <w:sz w:val="30"/>
          <w:szCs w:val="30"/>
          <w:highlight w:val="none"/>
          <w:lang w:val="en-US" w:eastAsia="zh-CN"/>
        </w:rPr>
        <w:t>五</w:t>
      </w:r>
      <w:r>
        <w:rPr>
          <w:rFonts w:ascii="黑体" w:hAnsi="黑体" w:eastAsia="黑体" w:cs="黑体"/>
          <w:b w:val="0"/>
          <w:bCs w:val="0"/>
          <w:color w:val="auto"/>
          <w:spacing w:val="-2"/>
          <w:kern w:val="2"/>
          <w:sz w:val="30"/>
          <w:szCs w:val="30"/>
          <w:highlight w:val="none"/>
        </w:rPr>
        <w:t>：履约保证金格式</w:t>
      </w:r>
    </w:p>
    <w:p w14:paraId="460B3C63">
      <w:pPr>
        <w:spacing w:line="400" w:lineRule="exact"/>
        <w:ind w:firstLine="482" w:firstLineChars="200"/>
        <w:rPr>
          <w:b/>
          <w:bCs/>
          <w:color w:val="auto"/>
          <w:sz w:val="24"/>
          <w:highlight w:val="none"/>
        </w:rPr>
      </w:pPr>
      <w:r>
        <w:rPr>
          <w:b/>
          <w:bCs/>
          <w:color w:val="auto"/>
          <w:sz w:val="24"/>
          <w:highlight w:val="none"/>
        </w:rPr>
        <w:t>如采用银行保函，格式如下.</w:t>
      </w:r>
    </w:p>
    <w:p w14:paraId="2E7C6916">
      <w:pPr>
        <w:spacing w:line="400" w:lineRule="exact"/>
        <w:rPr>
          <w:b/>
          <w:bCs/>
          <w:color w:val="auto"/>
          <w:highlight w:val="none"/>
        </w:rPr>
      </w:pPr>
    </w:p>
    <w:p w14:paraId="4CD5C3F8">
      <w:pPr>
        <w:spacing w:line="440" w:lineRule="exact"/>
        <w:jc w:val="center"/>
        <w:rPr>
          <w:rFonts w:eastAsia="黑体"/>
          <w:b/>
          <w:bCs/>
          <w:color w:val="auto"/>
          <w:sz w:val="28"/>
          <w:szCs w:val="28"/>
          <w:highlight w:val="none"/>
        </w:rPr>
      </w:pPr>
      <w:r>
        <w:rPr>
          <w:rFonts w:eastAsia="黑体"/>
          <w:b/>
          <w:bCs/>
          <w:color w:val="auto"/>
          <w:sz w:val="28"/>
          <w:szCs w:val="28"/>
          <w:highlight w:val="none"/>
        </w:rPr>
        <w:t>履约保证金</w:t>
      </w:r>
    </w:p>
    <w:p w14:paraId="3D668E23">
      <w:pPr>
        <w:spacing w:line="440" w:lineRule="exact"/>
        <w:rPr>
          <w:rFonts w:eastAsia="黑体"/>
          <w:b/>
          <w:bCs/>
          <w:color w:val="auto"/>
          <w:sz w:val="20"/>
          <w:szCs w:val="20"/>
          <w:highlight w:val="none"/>
        </w:rPr>
      </w:pPr>
    </w:p>
    <w:p w14:paraId="111E0CB8">
      <w:pPr>
        <w:spacing w:line="360" w:lineRule="auto"/>
        <w:rPr>
          <w:color w:val="auto"/>
          <w:sz w:val="22"/>
          <w:szCs w:val="22"/>
          <w:highlight w:val="none"/>
        </w:rPr>
      </w:pPr>
      <w:r>
        <w:rPr>
          <w:color w:val="auto"/>
          <w:sz w:val="22"/>
          <w:szCs w:val="22"/>
          <w:highlight w:val="none"/>
          <w:u w:val="single"/>
        </w:rPr>
        <w:t xml:space="preserve">             </w:t>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 xml:space="preserve"> </w:t>
      </w:r>
      <w:r>
        <w:rPr>
          <w:color w:val="auto"/>
          <w:sz w:val="22"/>
          <w:szCs w:val="22"/>
          <w:highlight w:val="none"/>
        </w:rPr>
        <w:t xml:space="preserve"> （</w:t>
      </w:r>
      <w:r>
        <w:rPr>
          <w:rFonts w:hint="eastAsia"/>
          <w:color w:val="auto"/>
          <w:sz w:val="22"/>
          <w:szCs w:val="22"/>
          <w:highlight w:val="none"/>
          <w:lang w:val="en-US" w:eastAsia="zh-CN"/>
        </w:rPr>
        <w:t>委托人</w:t>
      </w:r>
      <w:r>
        <w:rPr>
          <w:color w:val="auto"/>
          <w:sz w:val="22"/>
          <w:szCs w:val="22"/>
          <w:highlight w:val="none"/>
        </w:rPr>
        <w:t>名称）：</w:t>
      </w:r>
    </w:p>
    <w:p w14:paraId="41D53217">
      <w:pPr>
        <w:spacing w:line="360" w:lineRule="auto"/>
        <w:rPr>
          <w:color w:val="auto"/>
          <w:sz w:val="22"/>
          <w:szCs w:val="22"/>
          <w:highlight w:val="none"/>
        </w:rPr>
      </w:pPr>
    </w:p>
    <w:p w14:paraId="07A3308F">
      <w:pPr>
        <w:spacing w:line="360" w:lineRule="auto"/>
        <w:ind w:firstLine="440" w:firstLineChars="200"/>
        <w:rPr>
          <w:color w:val="auto"/>
          <w:sz w:val="22"/>
          <w:szCs w:val="22"/>
          <w:highlight w:val="none"/>
        </w:rPr>
      </w:pPr>
      <w:r>
        <w:rPr>
          <w:color w:val="auto"/>
          <w:sz w:val="22"/>
          <w:szCs w:val="22"/>
          <w:highlight w:val="none"/>
        </w:rPr>
        <w:t>鉴于</w:t>
      </w:r>
      <w:r>
        <w:rPr>
          <w:color w:val="auto"/>
          <w:sz w:val="22"/>
          <w:szCs w:val="22"/>
          <w:highlight w:val="none"/>
          <w:u w:val="single"/>
        </w:rPr>
        <w:t xml:space="preserve">                </w:t>
      </w:r>
      <w:r>
        <w:rPr>
          <w:color w:val="auto"/>
          <w:sz w:val="22"/>
          <w:szCs w:val="22"/>
          <w:highlight w:val="none"/>
        </w:rPr>
        <w:t>（</w:t>
      </w:r>
      <w:r>
        <w:rPr>
          <w:rFonts w:hint="eastAsia"/>
          <w:color w:val="auto"/>
          <w:sz w:val="22"/>
          <w:szCs w:val="22"/>
          <w:highlight w:val="none"/>
          <w:lang w:val="en-US" w:eastAsia="zh-CN"/>
        </w:rPr>
        <w:t>委托人</w:t>
      </w:r>
      <w:r>
        <w:rPr>
          <w:color w:val="auto"/>
          <w:sz w:val="22"/>
          <w:szCs w:val="22"/>
          <w:highlight w:val="none"/>
        </w:rPr>
        <w:t>名称，以下简称“</w:t>
      </w:r>
      <w:r>
        <w:rPr>
          <w:rFonts w:hint="eastAsia"/>
          <w:color w:val="auto"/>
          <w:sz w:val="22"/>
          <w:szCs w:val="22"/>
          <w:highlight w:val="none"/>
          <w:lang w:val="en-US" w:eastAsia="zh-CN"/>
        </w:rPr>
        <w:t>委托人</w:t>
      </w:r>
      <w:r>
        <w:rPr>
          <w:color w:val="auto"/>
          <w:sz w:val="22"/>
          <w:szCs w:val="22"/>
          <w:highlight w:val="none"/>
        </w:rPr>
        <w:t xml:space="preserve">”）接受 </w:t>
      </w:r>
      <w:r>
        <w:rPr>
          <w:color w:val="auto"/>
          <w:sz w:val="22"/>
          <w:szCs w:val="22"/>
          <w:highlight w:val="none"/>
          <w:u w:val="single"/>
        </w:rPr>
        <w:t xml:space="preserve">           </w:t>
      </w:r>
      <w:r>
        <w:rPr>
          <w:color w:val="auto"/>
          <w:sz w:val="22"/>
          <w:szCs w:val="22"/>
          <w:highlight w:val="none"/>
        </w:rPr>
        <w:t>（</w:t>
      </w:r>
      <w:r>
        <w:rPr>
          <w:rFonts w:hint="eastAsia"/>
          <w:color w:val="auto"/>
          <w:sz w:val="22"/>
          <w:szCs w:val="22"/>
          <w:highlight w:val="none"/>
          <w:lang w:val="en-US" w:eastAsia="zh-CN"/>
        </w:rPr>
        <w:t>检测人</w:t>
      </w:r>
      <w:r>
        <w:rPr>
          <w:color w:val="auto"/>
          <w:sz w:val="22"/>
          <w:szCs w:val="22"/>
          <w:highlight w:val="none"/>
        </w:rPr>
        <w:t>名称）（以下称“</w:t>
      </w:r>
      <w:r>
        <w:rPr>
          <w:rFonts w:hint="eastAsia"/>
          <w:color w:val="auto"/>
          <w:sz w:val="22"/>
          <w:szCs w:val="22"/>
          <w:highlight w:val="none"/>
          <w:lang w:val="en-US" w:eastAsia="zh-CN"/>
        </w:rPr>
        <w:t>检测人</w:t>
      </w:r>
      <w:r>
        <w:rPr>
          <w:color w:val="auto"/>
          <w:sz w:val="22"/>
          <w:szCs w:val="22"/>
          <w:highlight w:val="none"/>
        </w:rPr>
        <w:t>”）于</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日参加</w:t>
      </w:r>
      <w:r>
        <w:rPr>
          <w:color w:val="auto"/>
          <w:sz w:val="22"/>
          <w:szCs w:val="22"/>
          <w:highlight w:val="none"/>
          <w:u w:val="single"/>
        </w:rPr>
        <w:t xml:space="preserve">         </w:t>
      </w:r>
      <w:r>
        <w:rPr>
          <w:color w:val="auto"/>
          <w:sz w:val="22"/>
          <w:szCs w:val="22"/>
          <w:highlight w:val="none"/>
        </w:rPr>
        <w:t>（项目名称）施工</w:t>
      </w:r>
      <w:r>
        <w:rPr>
          <w:rFonts w:hint="eastAsia"/>
          <w:color w:val="auto"/>
          <w:sz w:val="22"/>
          <w:szCs w:val="22"/>
          <w:highlight w:val="none"/>
          <w:lang w:val="en-US" w:eastAsia="zh-CN"/>
        </w:rPr>
        <w:t>检测</w:t>
      </w:r>
      <w:r>
        <w:rPr>
          <w:color w:val="auto"/>
          <w:sz w:val="22"/>
          <w:szCs w:val="22"/>
          <w:highlight w:val="none"/>
        </w:rPr>
        <w:t>的投标。我方愿意无条件地、不可撤销地就</w:t>
      </w:r>
      <w:r>
        <w:rPr>
          <w:rFonts w:hint="eastAsia"/>
          <w:color w:val="auto"/>
          <w:sz w:val="22"/>
          <w:szCs w:val="22"/>
          <w:highlight w:val="none"/>
          <w:lang w:val="en-US" w:eastAsia="zh-CN"/>
        </w:rPr>
        <w:t>检测</w:t>
      </w:r>
      <w:r>
        <w:rPr>
          <w:color w:val="auto"/>
          <w:sz w:val="22"/>
          <w:szCs w:val="22"/>
          <w:highlight w:val="none"/>
        </w:rPr>
        <w:t>人履行与你方订立的合同， 向你方提供担保。</w:t>
      </w:r>
    </w:p>
    <w:p w14:paraId="23BB39BB">
      <w:pPr>
        <w:spacing w:line="360" w:lineRule="auto"/>
        <w:ind w:firstLine="440" w:firstLineChars="200"/>
        <w:rPr>
          <w:color w:val="auto"/>
          <w:sz w:val="22"/>
          <w:szCs w:val="22"/>
          <w:highlight w:val="none"/>
        </w:rPr>
      </w:pPr>
      <w:r>
        <w:rPr>
          <w:color w:val="auto"/>
          <w:sz w:val="22"/>
          <w:szCs w:val="22"/>
          <w:highlight w:val="none"/>
        </w:rPr>
        <w:t>1. 担保金额人民币（大写）</w:t>
      </w:r>
      <w:r>
        <w:rPr>
          <w:color w:val="auto"/>
          <w:sz w:val="22"/>
          <w:szCs w:val="22"/>
          <w:highlight w:val="none"/>
          <w:u w:val="single"/>
        </w:rPr>
        <w:t xml:space="preserve">                 </w:t>
      </w:r>
      <w:r>
        <w:rPr>
          <w:color w:val="auto"/>
          <w:sz w:val="22"/>
          <w:szCs w:val="22"/>
          <w:highlight w:val="none"/>
        </w:rPr>
        <w:t>元（¥</w:t>
      </w:r>
      <w:r>
        <w:rPr>
          <w:color w:val="auto"/>
          <w:sz w:val="22"/>
          <w:szCs w:val="22"/>
          <w:highlight w:val="none"/>
          <w:u w:val="single"/>
        </w:rPr>
        <w:t xml:space="preserve">             </w:t>
      </w:r>
      <w:r>
        <w:rPr>
          <w:color w:val="auto"/>
          <w:sz w:val="22"/>
          <w:szCs w:val="22"/>
          <w:highlight w:val="none"/>
        </w:rPr>
        <w:t>）。</w:t>
      </w:r>
    </w:p>
    <w:p w14:paraId="6883BBC5">
      <w:pPr>
        <w:spacing w:line="360" w:lineRule="auto"/>
        <w:ind w:firstLine="440" w:firstLineChars="200"/>
        <w:rPr>
          <w:color w:val="auto"/>
          <w:sz w:val="22"/>
          <w:szCs w:val="22"/>
          <w:highlight w:val="none"/>
        </w:rPr>
      </w:pPr>
      <w:r>
        <w:rPr>
          <w:color w:val="auto"/>
          <w:sz w:val="22"/>
          <w:szCs w:val="22"/>
          <w:highlight w:val="none"/>
        </w:rPr>
        <w:t>2. 担保有效期自委托人与</w:t>
      </w:r>
      <w:r>
        <w:rPr>
          <w:rFonts w:hint="eastAsia"/>
          <w:color w:val="auto"/>
          <w:sz w:val="22"/>
          <w:szCs w:val="22"/>
          <w:highlight w:val="none"/>
          <w:lang w:val="en-US" w:eastAsia="zh-CN"/>
        </w:rPr>
        <w:t>检测</w:t>
      </w:r>
      <w:r>
        <w:rPr>
          <w:color w:val="auto"/>
          <w:sz w:val="22"/>
          <w:szCs w:val="22"/>
          <w:highlight w:val="none"/>
        </w:rPr>
        <w:t>人签订的合同生效之日起至委托人签发交工验收证书且</w:t>
      </w:r>
      <w:r>
        <w:rPr>
          <w:rFonts w:hint="eastAsia"/>
          <w:color w:val="auto"/>
          <w:sz w:val="22"/>
          <w:szCs w:val="22"/>
          <w:highlight w:val="none"/>
          <w:lang w:val="en-US" w:eastAsia="zh-CN"/>
        </w:rPr>
        <w:t>检测</w:t>
      </w:r>
      <w:r>
        <w:rPr>
          <w:color w:val="auto"/>
          <w:sz w:val="22"/>
          <w:szCs w:val="22"/>
          <w:highlight w:val="none"/>
        </w:rPr>
        <w:t>人按照合同约定提交缺陷责任期保函之日止。</w:t>
      </w:r>
    </w:p>
    <w:p w14:paraId="0924D18F">
      <w:pPr>
        <w:spacing w:line="360" w:lineRule="auto"/>
        <w:ind w:firstLine="440" w:firstLineChars="200"/>
        <w:rPr>
          <w:color w:val="auto"/>
          <w:sz w:val="22"/>
          <w:szCs w:val="22"/>
          <w:highlight w:val="none"/>
        </w:rPr>
      </w:pPr>
      <w:r>
        <w:rPr>
          <w:color w:val="auto"/>
          <w:sz w:val="22"/>
          <w:szCs w:val="22"/>
          <w:highlight w:val="none"/>
        </w:rPr>
        <w:t>3. 在本担保有效期内，因</w:t>
      </w:r>
      <w:r>
        <w:rPr>
          <w:rFonts w:hint="eastAsia"/>
          <w:color w:val="auto"/>
          <w:sz w:val="22"/>
          <w:szCs w:val="22"/>
          <w:highlight w:val="none"/>
          <w:lang w:val="en-US" w:eastAsia="zh-CN"/>
        </w:rPr>
        <w:t>检测</w:t>
      </w:r>
      <w:r>
        <w:rPr>
          <w:color w:val="auto"/>
          <w:sz w:val="22"/>
          <w:szCs w:val="22"/>
          <w:highlight w:val="none"/>
        </w:rPr>
        <w:t>人违反合同约定的义务给你方造成经济损失时，我方在收到你方以书面形式提出的在担保金额内的赔偿要求后，在 7 天内无条件支付，无须你方出具证明或陈述理由。</w:t>
      </w:r>
    </w:p>
    <w:p w14:paraId="3893A4B8">
      <w:pPr>
        <w:numPr>
          <w:ilvl w:val="0"/>
          <w:numId w:val="0"/>
        </w:numPr>
        <w:spacing w:line="400" w:lineRule="exact"/>
        <w:ind w:firstLine="440" w:firstLineChars="200"/>
        <w:rPr>
          <w:color w:val="auto"/>
          <w:sz w:val="24"/>
          <w:highlight w:val="none"/>
        </w:rPr>
      </w:pPr>
      <w:r>
        <w:rPr>
          <w:color w:val="auto"/>
          <w:sz w:val="22"/>
          <w:szCs w:val="22"/>
          <w:highlight w:val="none"/>
        </w:rPr>
        <w:t>4. 委托人和</w:t>
      </w:r>
      <w:r>
        <w:rPr>
          <w:rFonts w:hint="eastAsia"/>
          <w:color w:val="auto"/>
          <w:sz w:val="22"/>
          <w:szCs w:val="22"/>
          <w:highlight w:val="none"/>
          <w:lang w:val="en-US" w:eastAsia="zh-CN"/>
        </w:rPr>
        <w:t>检测</w:t>
      </w:r>
      <w:r>
        <w:rPr>
          <w:color w:val="auto"/>
          <w:sz w:val="22"/>
          <w:szCs w:val="22"/>
          <w:highlight w:val="none"/>
        </w:rPr>
        <w:t>人按合同条款变更合同时，我方承担本担保规定的义务不变</w:t>
      </w:r>
      <w:r>
        <w:rPr>
          <w:rFonts w:hint="eastAsia"/>
          <w:color w:val="auto"/>
          <w:sz w:val="24"/>
          <w:highlight w:val="none"/>
        </w:rPr>
        <w:t>。</w:t>
      </w:r>
    </w:p>
    <w:p w14:paraId="5E871BFD">
      <w:pPr>
        <w:pStyle w:val="74"/>
        <w:rPr>
          <w:rFonts w:hint="default" w:eastAsia="宋体"/>
          <w:color w:val="auto"/>
          <w:highlight w:val="none"/>
          <w:lang w:val="en-US" w:eastAsia="zh-CN"/>
        </w:rPr>
      </w:pPr>
    </w:p>
    <w:p w14:paraId="208E212D">
      <w:pPr>
        <w:spacing w:line="360" w:lineRule="auto"/>
        <w:rPr>
          <w:color w:val="auto"/>
          <w:sz w:val="22"/>
          <w:szCs w:val="22"/>
          <w:highlight w:val="none"/>
        </w:rPr>
      </w:pPr>
    </w:p>
    <w:p w14:paraId="386BEC4A">
      <w:pPr>
        <w:spacing w:line="360" w:lineRule="auto"/>
        <w:rPr>
          <w:color w:val="auto"/>
          <w:sz w:val="22"/>
          <w:szCs w:val="22"/>
          <w:highlight w:val="none"/>
        </w:rPr>
      </w:pPr>
    </w:p>
    <w:p w14:paraId="7E86AEC8">
      <w:pPr>
        <w:spacing w:line="360" w:lineRule="auto"/>
        <w:rPr>
          <w:color w:val="auto"/>
          <w:sz w:val="22"/>
          <w:szCs w:val="22"/>
          <w:highlight w:val="none"/>
        </w:rPr>
      </w:pPr>
    </w:p>
    <w:p w14:paraId="4CB2F0F3">
      <w:pPr>
        <w:spacing w:line="360" w:lineRule="auto"/>
        <w:ind w:firstLine="3581" w:firstLineChars="1628"/>
        <w:rPr>
          <w:color w:val="auto"/>
          <w:sz w:val="22"/>
          <w:szCs w:val="22"/>
          <w:highlight w:val="none"/>
        </w:rPr>
      </w:pPr>
      <w:r>
        <w:rPr>
          <w:rFonts w:ascii="Times New Roman" w:hAnsi="Times New Roman" w:eastAsia="宋体" w:cs="Times New Roman"/>
          <w:color w:val="auto"/>
          <w:sz w:val="22"/>
          <w:szCs w:val="22"/>
          <w:highlight w:val="none"/>
        </w:rPr>
        <w:t xml:space="preserve"> </w:t>
      </w:r>
      <w:r>
        <w:rPr>
          <w:rFonts w:hint="eastAsia" w:ascii="Times New Roman" w:hAnsi="Times New Roman" w:eastAsia="宋体" w:cs="Times New Roman"/>
          <w:color w:val="auto"/>
          <w:sz w:val="22"/>
          <w:szCs w:val="22"/>
          <w:highlight w:val="none"/>
        </w:rPr>
        <w:t>开立</w:t>
      </w:r>
      <w:r>
        <w:rPr>
          <w:rFonts w:ascii="Times New Roman" w:hAnsi="Times New Roman" w:eastAsia="宋体" w:cs="Times New Roman"/>
          <w:color w:val="auto"/>
          <w:sz w:val="22"/>
          <w:szCs w:val="22"/>
          <w:highlight w:val="none"/>
        </w:rPr>
        <w:t xml:space="preserve">人名称： </w:t>
      </w:r>
      <w:r>
        <w:rPr>
          <w:color w:val="auto"/>
          <w:sz w:val="22"/>
          <w:szCs w:val="22"/>
          <w:highlight w:val="none"/>
          <w:u w:val="single"/>
        </w:rPr>
        <w:t xml:space="preserve">                       </w:t>
      </w:r>
      <w:r>
        <w:rPr>
          <w:color w:val="auto"/>
          <w:sz w:val="22"/>
          <w:szCs w:val="22"/>
          <w:highlight w:val="none"/>
        </w:rPr>
        <w:t>（盖单位章）</w:t>
      </w:r>
    </w:p>
    <w:p w14:paraId="314F1D11">
      <w:pPr>
        <w:spacing w:line="360" w:lineRule="auto"/>
        <w:ind w:firstLine="3581" w:firstLineChars="1628"/>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color w:val="auto"/>
          <w:sz w:val="22"/>
          <w:szCs w:val="22"/>
          <w:highlight w:val="none"/>
        </w:rPr>
        <w:t>（签字）</w:t>
      </w:r>
    </w:p>
    <w:p w14:paraId="126225D0">
      <w:pPr>
        <w:spacing w:line="360" w:lineRule="auto"/>
        <w:ind w:firstLine="3581" w:firstLineChars="1628"/>
        <w:rPr>
          <w:color w:val="auto"/>
          <w:sz w:val="22"/>
          <w:szCs w:val="22"/>
          <w:highlight w:val="none"/>
        </w:rPr>
      </w:pPr>
      <w:r>
        <w:rPr>
          <w:color w:val="auto"/>
          <w:sz w:val="22"/>
          <w:szCs w:val="22"/>
          <w:highlight w:val="none"/>
        </w:rPr>
        <w:t>地    址：</w:t>
      </w:r>
      <w:r>
        <w:rPr>
          <w:color w:val="auto"/>
          <w:sz w:val="22"/>
          <w:szCs w:val="22"/>
          <w:highlight w:val="none"/>
          <w:u w:val="single"/>
        </w:rPr>
        <w:t xml:space="preserve">                                    </w:t>
      </w:r>
    </w:p>
    <w:p w14:paraId="3BFC778C">
      <w:pPr>
        <w:spacing w:line="360" w:lineRule="auto"/>
        <w:ind w:firstLine="3581" w:firstLineChars="1628"/>
        <w:rPr>
          <w:color w:val="auto"/>
          <w:sz w:val="22"/>
          <w:szCs w:val="22"/>
          <w:highlight w:val="none"/>
        </w:rPr>
      </w:pPr>
      <w:r>
        <w:rPr>
          <w:color w:val="auto"/>
          <w:sz w:val="22"/>
          <w:szCs w:val="22"/>
          <w:highlight w:val="none"/>
        </w:rPr>
        <w:t>邮政编码：</w:t>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 xml:space="preserve">        </w:t>
      </w:r>
      <w:r>
        <w:rPr>
          <w:color w:val="auto"/>
          <w:sz w:val="22"/>
          <w:szCs w:val="22"/>
          <w:highlight w:val="none"/>
          <w:u w:val="single"/>
        </w:rPr>
        <w:tab/>
      </w:r>
      <w:r>
        <w:rPr>
          <w:color w:val="auto"/>
          <w:sz w:val="22"/>
          <w:szCs w:val="22"/>
          <w:highlight w:val="none"/>
          <w:u w:val="single"/>
        </w:rPr>
        <w:tab/>
      </w:r>
      <w:r>
        <w:rPr>
          <w:color w:val="auto"/>
          <w:sz w:val="22"/>
          <w:szCs w:val="22"/>
          <w:highlight w:val="none"/>
          <w:u w:val="single"/>
        </w:rPr>
        <w:t xml:space="preserve">  </w:t>
      </w:r>
    </w:p>
    <w:p w14:paraId="40DCFFE7">
      <w:pPr>
        <w:spacing w:line="360" w:lineRule="auto"/>
        <w:ind w:firstLine="3581" w:firstLineChars="1628"/>
        <w:rPr>
          <w:color w:val="auto"/>
          <w:sz w:val="22"/>
          <w:szCs w:val="22"/>
          <w:highlight w:val="none"/>
          <w:u w:val="single"/>
        </w:rPr>
      </w:pPr>
      <w:r>
        <w:rPr>
          <w:color w:val="auto"/>
          <w:sz w:val="22"/>
          <w:szCs w:val="22"/>
          <w:highlight w:val="none"/>
        </w:rPr>
        <w:t>电    话：</w:t>
      </w:r>
      <w:r>
        <w:rPr>
          <w:color w:val="auto"/>
          <w:sz w:val="22"/>
          <w:szCs w:val="22"/>
          <w:highlight w:val="none"/>
          <w:u w:val="single"/>
        </w:rPr>
        <w:t xml:space="preserve">                                   </w:t>
      </w:r>
    </w:p>
    <w:p w14:paraId="6509EA7D">
      <w:pPr>
        <w:spacing w:line="360" w:lineRule="auto"/>
        <w:ind w:firstLine="3581" w:firstLineChars="1628"/>
        <w:rPr>
          <w:color w:val="auto"/>
          <w:sz w:val="22"/>
          <w:szCs w:val="22"/>
          <w:highlight w:val="none"/>
        </w:rPr>
      </w:pPr>
      <w:r>
        <w:rPr>
          <w:color w:val="auto"/>
          <w:sz w:val="22"/>
          <w:szCs w:val="22"/>
          <w:highlight w:val="none"/>
        </w:rPr>
        <w:t>传    真：</w:t>
      </w:r>
      <w:r>
        <w:rPr>
          <w:color w:val="auto"/>
          <w:sz w:val="22"/>
          <w:szCs w:val="22"/>
          <w:highlight w:val="none"/>
          <w:u w:val="single"/>
        </w:rPr>
        <w:t xml:space="preserve">                                   </w:t>
      </w:r>
    </w:p>
    <w:p w14:paraId="38709367">
      <w:pPr>
        <w:spacing w:line="360" w:lineRule="auto"/>
        <w:rPr>
          <w:color w:val="auto"/>
          <w:sz w:val="22"/>
          <w:szCs w:val="28"/>
          <w:highlight w:val="none"/>
        </w:rPr>
      </w:pPr>
      <w:r>
        <w:rPr>
          <w:color w:val="auto"/>
          <w:sz w:val="22"/>
          <w:szCs w:val="28"/>
          <w:highlight w:val="none"/>
        </w:rPr>
        <w:t xml:space="preserve">                                                </w:t>
      </w:r>
    </w:p>
    <w:p w14:paraId="5282CC31">
      <w:pPr>
        <w:spacing w:line="360" w:lineRule="auto"/>
        <w:ind w:firstLine="5280" w:firstLineChars="2400"/>
        <w:rPr>
          <w:color w:val="auto"/>
          <w:sz w:val="22"/>
          <w:szCs w:val="28"/>
          <w:highlight w:val="none"/>
        </w:rPr>
      </w:pPr>
      <w:r>
        <w:rPr>
          <w:color w:val="auto"/>
          <w:sz w:val="22"/>
          <w:szCs w:val="28"/>
          <w:highlight w:val="none"/>
        </w:rPr>
        <w:t>年        月        日</w:t>
      </w:r>
    </w:p>
    <w:p w14:paraId="0F14B3D9">
      <w:pPr>
        <w:spacing w:line="360" w:lineRule="auto"/>
        <w:rPr>
          <w:color w:val="auto"/>
          <w:sz w:val="22"/>
          <w:szCs w:val="28"/>
          <w:highlight w:val="none"/>
        </w:rPr>
      </w:pPr>
    </w:p>
    <w:p w14:paraId="2275676B">
      <w:pPr>
        <w:widowControl/>
        <w:jc w:val="left"/>
        <w:rPr>
          <w:b/>
          <w:bCs/>
          <w:color w:val="auto"/>
          <w:szCs w:val="21"/>
          <w:highlight w:val="none"/>
        </w:rPr>
      </w:pPr>
      <w:r>
        <w:rPr>
          <w:b/>
          <w:bCs/>
          <w:color w:val="auto"/>
          <w:szCs w:val="21"/>
          <w:highlight w:val="none"/>
        </w:rPr>
        <w:br w:type="page"/>
      </w:r>
      <w:r>
        <w:rPr>
          <w:b/>
          <w:bCs/>
          <w:color w:val="auto"/>
          <w:highlight w:val="none"/>
        </w:rPr>
        <w:t>附件</w:t>
      </w:r>
      <w:r>
        <w:rPr>
          <w:rFonts w:hint="eastAsia"/>
          <w:b/>
          <w:bCs/>
          <w:color w:val="auto"/>
          <w:highlight w:val="none"/>
          <w:lang w:val="en-US" w:eastAsia="zh-CN"/>
        </w:rPr>
        <w:t>六</w:t>
      </w:r>
      <w:r>
        <w:rPr>
          <w:b/>
          <w:bCs/>
          <w:color w:val="auto"/>
          <w:highlight w:val="none"/>
        </w:rPr>
        <w:t xml:space="preserve">  档案合同</w:t>
      </w:r>
    </w:p>
    <w:p w14:paraId="0897F217">
      <w:pPr>
        <w:spacing w:line="360" w:lineRule="auto"/>
        <w:jc w:val="center"/>
        <w:rPr>
          <w:rFonts w:eastAsia="黑体"/>
          <w:b/>
          <w:bCs/>
          <w:color w:val="auto"/>
          <w:sz w:val="28"/>
          <w:szCs w:val="28"/>
          <w:highlight w:val="none"/>
        </w:rPr>
      </w:pPr>
      <w:r>
        <w:rPr>
          <w:rFonts w:eastAsia="黑体"/>
          <w:b/>
          <w:bCs/>
          <w:color w:val="auto"/>
          <w:sz w:val="28"/>
          <w:szCs w:val="28"/>
          <w:highlight w:val="none"/>
        </w:rPr>
        <w:t>项目档案合同</w:t>
      </w:r>
    </w:p>
    <w:p w14:paraId="47B3E4C8">
      <w:pPr>
        <w:spacing w:line="360" w:lineRule="auto"/>
        <w:jc w:val="center"/>
        <w:rPr>
          <w:rFonts w:eastAsia="黑体"/>
          <w:b/>
          <w:bCs/>
          <w:color w:val="auto"/>
          <w:sz w:val="28"/>
          <w:szCs w:val="28"/>
          <w:highlight w:val="none"/>
        </w:rPr>
      </w:pPr>
    </w:p>
    <w:p w14:paraId="7649037C">
      <w:pPr>
        <w:spacing w:line="360" w:lineRule="auto"/>
        <w:jc w:val="center"/>
        <w:rPr>
          <w:color w:val="auto"/>
          <w:sz w:val="22"/>
          <w:szCs w:val="22"/>
          <w:highlight w:val="none"/>
        </w:rPr>
      </w:pPr>
      <w:r>
        <w:rPr>
          <w:color w:val="auto"/>
          <w:sz w:val="22"/>
          <w:szCs w:val="22"/>
          <w:highlight w:val="none"/>
        </w:rPr>
        <w:t>（格式）</w:t>
      </w:r>
    </w:p>
    <w:p w14:paraId="194C1504">
      <w:pPr>
        <w:pStyle w:val="18"/>
        <w:spacing w:line="360" w:lineRule="auto"/>
        <w:ind w:firstLine="440" w:firstLineChars="200"/>
        <w:rPr>
          <w:rFonts w:hint="eastAsia" w:eastAsia="宋体"/>
          <w:color w:val="auto"/>
          <w:sz w:val="22"/>
          <w:szCs w:val="22"/>
          <w:highlight w:val="none"/>
          <w:lang w:eastAsia="zh-CN"/>
        </w:rPr>
      </w:pPr>
      <w:r>
        <w:rPr>
          <w:color w:val="auto"/>
          <w:sz w:val="22"/>
          <w:szCs w:val="22"/>
          <w:highlight w:val="none"/>
        </w:rPr>
        <w:t>为确保</w:t>
      </w:r>
      <w:r>
        <w:rPr>
          <w:color w:val="auto"/>
          <w:sz w:val="22"/>
          <w:szCs w:val="22"/>
          <w:highlight w:val="none"/>
          <w:u w:val="single"/>
        </w:rPr>
        <w:t xml:space="preserve">           </w:t>
      </w:r>
      <w:r>
        <w:rPr>
          <w:color w:val="auto"/>
          <w:sz w:val="22"/>
          <w:szCs w:val="22"/>
          <w:highlight w:val="none"/>
        </w:rPr>
        <w:t>建设项目文件材料立卷归档工作按质、按量完成，本项目</w:t>
      </w:r>
      <w:r>
        <w:rPr>
          <w:rFonts w:hint="eastAsia"/>
          <w:color w:val="auto"/>
          <w:sz w:val="22"/>
          <w:szCs w:val="22"/>
          <w:highlight w:val="none"/>
          <w:lang w:val="en-US" w:eastAsia="zh-CN"/>
        </w:rPr>
        <w:t>委托人</w:t>
      </w:r>
      <w:r>
        <w:rPr>
          <w:color w:val="auto"/>
          <w:sz w:val="22"/>
          <w:szCs w:val="22"/>
          <w:highlight w:val="none"/>
          <w:u w:val="single"/>
        </w:rPr>
        <w:t xml:space="preserve">        </w:t>
      </w:r>
      <w:r>
        <w:rPr>
          <w:color w:val="auto"/>
          <w:sz w:val="22"/>
          <w:szCs w:val="22"/>
          <w:highlight w:val="none"/>
        </w:rPr>
        <w:t>（以下简称甲方）与</w:t>
      </w:r>
      <w:r>
        <w:rPr>
          <w:rFonts w:hint="eastAsia"/>
          <w:color w:val="auto"/>
          <w:sz w:val="22"/>
          <w:szCs w:val="22"/>
          <w:highlight w:val="none"/>
          <w:lang w:val="en-US" w:eastAsia="zh-CN"/>
        </w:rPr>
        <w:t>检测人</w:t>
      </w:r>
      <w:r>
        <w:rPr>
          <w:color w:val="auto"/>
          <w:sz w:val="22"/>
          <w:szCs w:val="22"/>
          <w:highlight w:val="none"/>
          <w:u w:val="single"/>
        </w:rPr>
        <w:t xml:space="preserve">        </w:t>
      </w:r>
      <w:r>
        <w:rPr>
          <w:color w:val="auto"/>
          <w:sz w:val="22"/>
          <w:szCs w:val="22"/>
          <w:highlight w:val="none"/>
        </w:rPr>
        <w:t>（以下简称乙方）特签订本档案合同：</w:t>
      </w:r>
    </w:p>
    <w:p w14:paraId="39FC9759">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一、合同内容</w:t>
      </w:r>
    </w:p>
    <w:p w14:paraId="7851A826">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建设项目文件的收集、积累、整理和归档工作。</w:t>
      </w:r>
    </w:p>
    <w:p w14:paraId="1B6BECF5">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二、双方权利义务</w:t>
      </w:r>
    </w:p>
    <w:p w14:paraId="2AF56BD2">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甲方权利义务：</w:t>
      </w:r>
    </w:p>
    <w:p w14:paraId="1C265F13">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1、严格遵守国家有关建设项目文件材料立卷归档的法律法规，认真执行有关公路水运建设项目档案管理工作的要求。</w:t>
      </w:r>
    </w:p>
    <w:p w14:paraId="555AA4CE">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2、负责项目前期工作文件的收集、整理和归档工作。</w:t>
      </w:r>
    </w:p>
    <w:p w14:paraId="328B0C6D">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3、负责对乙方承建的标段建设文件材料归档工作进行指导、检查、监督。</w:t>
      </w:r>
    </w:p>
    <w:p w14:paraId="2C250078">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4、在乙方完成建设项目文件立卷归档工作后，负责组织乙方、质监机构和监理人会审，并负责接收乙方办理移交相关手续。</w:t>
      </w:r>
    </w:p>
    <w:p w14:paraId="0D772329">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乙方权利义务：</w:t>
      </w:r>
    </w:p>
    <w:p w14:paraId="0056A697">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1、严格遵守国家有关建设项目文件材料立卷归档的法律、法规和交通运输部相关文件精神和具体要求，保证项目文件的收集、整理、编制及归档工作与工程建设同步进行。</w:t>
      </w:r>
    </w:p>
    <w:p w14:paraId="631A4C52">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2、建立健全项目档案责任制。</w:t>
      </w:r>
      <w:r>
        <w:rPr>
          <w:rFonts w:hint="eastAsia"/>
          <w:color w:val="auto"/>
          <w:sz w:val="22"/>
          <w:szCs w:val="22"/>
          <w:highlight w:val="none"/>
          <w:lang w:val="en-US" w:eastAsia="zh-CN"/>
        </w:rPr>
        <w:t>中心试验室主任</w:t>
      </w:r>
      <w:r>
        <w:rPr>
          <w:color w:val="auto"/>
          <w:sz w:val="22"/>
          <w:szCs w:val="22"/>
          <w:highlight w:val="none"/>
        </w:rPr>
        <w:t>为工程档案第一责任人，并明确工程档案的具体分管负责人。</w:t>
      </w:r>
    </w:p>
    <w:p w14:paraId="53EA1766">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3、建立“一人一机一室”制，即明确一名专职档案工作人员，配备一台以上的计算机用于文件收集、整理和归档，建立符合规定条件的临时档案室或资料整理室。</w:t>
      </w:r>
    </w:p>
    <w:p w14:paraId="358EE818">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4、保证项目文件材料收集、立卷、归档的及时、准确、完整，做到项目文件资料记录字迹清晰、内容详细、计算准确；图表做到图物相符、技术数据可靠、签字手续完备；整理、组卷后的档案资料统一、规范，符合档案管理及甲方要求。</w:t>
      </w:r>
    </w:p>
    <w:p w14:paraId="600CE3BE">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5、负责在项目交工验收前向甲方移交所有文件，纸质版一份，电子版（PTF版）一份，竣工图纸4份，并协助甲方办理档案专项验收。</w:t>
      </w:r>
    </w:p>
    <w:p w14:paraId="686C3963">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6、接受交通运输、档案行政管理部门及甲方的监督检查，并按照要求整改落实到位。</w:t>
      </w:r>
    </w:p>
    <w:p w14:paraId="7CC48127">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三、附则</w:t>
      </w:r>
    </w:p>
    <w:p w14:paraId="254C1518">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1、项目文件材料收集、整理、立卷、归档所需的经费包含在工程总承包费用内。甲方承诺按照工程进度和有关规定拨付工程费用，如乙方未按照本合同完成档案移交工作，或档案质量不符合规定要求的，甲方可暂扣工程费用或质保金，直至乙方履行本合同的规定。</w:t>
      </w:r>
    </w:p>
    <w:p w14:paraId="160926B7">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2、本合同作为</w:t>
      </w:r>
      <w:r>
        <w:rPr>
          <w:color w:val="auto"/>
          <w:sz w:val="22"/>
          <w:szCs w:val="22"/>
          <w:highlight w:val="none"/>
          <w:u w:val="single"/>
        </w:rPr>
        <w:t xml:space="preserve">           </w:t>
      </w:r>
      <w:r>
        <w:rPr>
          <w:color w:val="auto"/>
          <w:sz w:val="22"/>
          <w:szCs w:val="22"/>
          <w:highlight w:val="none"/>
        </w:rPr>
        <w:t>合同的附件，与工程施工合同具有同等的法律效力。</w:t>
      </w:r>
    </w:p>
    <w:p w14:paraId="04A5445F">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3、本合同经双方法定代表人或委托代理人签字并加盖公章后即生效，有效期为甲乙双方签署之日起至通过项目竣工验收时止。</w:t>
      </w:r>
    </w:p>
    <w:p w14:paraId="660B82CC">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4、其它未尽事宜，双方友好协商解决。</w:t>
      </w:r>
    </w:p>
    <w:p w14:paraId="20DB2C53">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 xml:space="preserve">    本合同文本一式六份，甲乙双方各执三份。</w:t>
      </w:r>
    </w:p>
    <w:p w14:paraId="096C26F5">
      <w:pPr>
        <w:pStyle w:val="18"/>
        <w:spacing w:line="360" w:lineRule="auto"/>
        <w:ind w:firstLine="0" w:firstLineChars="0"/>
        <w:rPr>
          <w:rFonts w:hint="eastAsia" w:eastAsia="宋体"/>
          <w:color w:val="auto"/>
          <w:sz w:val="22"/>
          <w:szCs w:val="22"/>
          <w:highlight w:val="none"/>
          <w:lang w:eastAsia="zh-CN"/>
        </w:rPr>
      </w:pPr>
    </w:p>
    <w:p w14:paraId="2367CE6B">
      <w:pPr>
        <w:pStyle w:val="18"/>
        <w:spacing w:line="360" w:lineRule="auto"/>
        <w:ind w:firstLine="0" w:firstLineChars="0"/>
        <w:rPr>
          <w:color w:val="auto"/>
          <w:sz w:val="22"/>
          <w:szCs w:val="22"/>
          <w:highlight w:val="none"/>
        </w:rPr>
      </w:pPr>
    </w:p>
    <w:p w14:paraId="347B9B6A">
      <w:pPr>
        <w:pStyle w:val="18"/>
        <w:spacing w:line="360" w:lineRule="auto"/>
        <w:ind w:firstLine="0" w:firstLineChars="0"/>
        <w:rPr>
          <w:color w:val="auto"/>
          <w:sz w:val="22"/>
          <w:szCs w:val="22"/>
          <w:highlight w:val="none"/>
        </w:rPr>
      </w:pPr>
    </w:p>
    <w:p w14:paraId="3C077982">
      <w:pPr>
        <w:pStyle w:val="18"/>
        <w:spacing w:line="360" w:lineRule="auto"/>
        <w:ind w:firstLine="0" w:firstLineChars="0"/>
        <w:rPr>
          <w:color w:val="auto"/>
          <w:sz w:val="22"/>
          <w:szCs w:val="22"/>
          <w:highlight w:val="none"/>
        </w:rPr>
      </w:pPr>
    </w:p>
    <w:p w14:paraId="6DC9EB24">
      <w:pPr>
        <w:pStyle w:val="18"/>
        <w:spacing w:line="360" w:lineRule="auto"/>
        <w:ind w:firstLine="0" w:firstLineChars="0"/>
        <w:rPr>
          <w:rFonts w:hint="eastAsia" w:eastAsia="宋体"/>
          <w:color w:val="auto"/>
          <w:sz w:val="22"/>
          <w:szCs w:val="22"/>
          <w:highlight w:val="none"/>
          <w:lang w:eastAsia="zh-CN"/>
        </w:rPr>
      </w:pPr>
    </w:p>
    <w:p w14:paraId="6EC1EB85">
      <w:pPr>
        <w:pStyle w:val="18"/>
        <w:spacing w:line="360" w:lineRule="auto"/>
        <w:ind w:firstLine="0" w:firstLineChars="0"/>
        <w:rPr>
          <w:rFonts w:hint="eastAsia" w:eastAsia="宋体"/>
          <w:color w:val="auto"/>
          <w:sz w:val="22"/>
          <w:szCs w:val="22"/>
          <w:highlight w:val="none"/>
          <w:lang w:eastAsia="zh-CN"/>
        </w:rPr>
      </w:pPr>
    </w:p>
    <w:p w14:paraId="4AD3B1D4">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甲方：（单位全称）（盖章）                    乙方：（单位全称）（盖章）</w:t>
      </w:r>
    </w:p>
    <w:p w14:paraId="618AA726">
      <w:pPr>
        <w:pStyle w:val="18"/>
        <w:spacing w:line="360" w:lineRule="auto"/>
        <w:ind w:firstLine="0" w:firstLineChars="0"/>
        <w:rPr>
          <w:rFonts w:hint="eastAsia" w:eastAsia="宋体"/>
          <w:color w:val="auto"/>
          <w:sz w:val="22"/>
          <w:szCs w:val="22"/>
          <w:highlight w:val="none"/>
          <w:lang w:eastAsia="zh-CN"/>
        </w:rPr>
      </w:pPr>
    </w:p>
    <w:p w14:paraId="3C1E46F3">
      <w:pPr>
        <w:pStyle w:val="18"/>
        <w:spacing w:line="360" w:lineRule="auto"/>
        <w:ind w:firstLine="0" w:firstLineChars="0"/>
        <w:rPr>
          <w:rFonts w:hint="eastAsia" w:eastAsia="宋体"/>
          <w:color w:val="auto"/>
          <w:sz w:val="22"/>
          <w:szCs w:val="22"/>
          <w:highlight w:val="none"/>
          <w:lang w:eastAsia="zh-CN"/>
        </w:rPr>
      </w:pPr>
    </w:p>
    <w:p w14:paraId="37E57443">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法定代表人 ：                                 法定代表人：</w:t>
      </w:r>
    </w:p>
    <w:p w14:paraId="7234C393">
      <w:pPr>
        <w:pStyle w:val="18"/>
        <w:spacing w:line="360" w:lineRule="auto"/>
        <w:ind w:firstLine="0" w:firstLineChars="0"/>
        <w:rPr>
          <w:rFonts w:hint="eastAsia" w:eastAsia="宋体"/>
          <w:color w:val="auto"/>
          <w:sz w:val="22"/>
          <w:szCs w:val="22"/>
          <w:highlight w:val="none"/>
          <w:lang w:eastAsia="zh-CN"/>
        </w:rPr>
      </w:pPr>
      <w:r>
        <w:rPr>
          <w:color w:val="auto"/>
          <w:sz w:val="22"/>
          <w:szCs w:val="22"/>
          <w:highlight w:val="none"/>
        </w:rPr>
        <w:t>或其授权的代理人：  （签字）               或其授权的代理人：  （签字）  </w:t>
      </w:r>
    </w:p>
    <w:p w14:paraId="33F399CA">
      <w:pPr>
        <w:pStyle w:val="18"/>
        <w:spacing w:line="360" w:lineRule="auto"/>
        <w:ind w:firstLine="0" w:firstLineChars="0"/>
        <w:rPr>
          <w:rFonts w:hint="eastAsia" w:eastAsia="宋体"/>
          <w:color w:val="auto"/>
          <w:sz w:val="22"/>
          <w:szCs w:val="22"/>
          <w:highlight w:val="none"/>
          <w:lang w:eastAsia="zh-CN"/>
        </w:rPr>
      </w:pPr>
    </w:p>
    <w:p w14:paraId="55155A6A">
      <w:pPr>
        <w:pStyle w:val="18"/>
        <w:spacing w:line="360" w:lineRule="auto"/>
        <w:ind w:firstLine="0" w:firstLineChars="0"/>
        <w:rPr>
          <w:color w:val="auto"/>
          <w:sz w:val="22"/>
          <w:szCs w:val="28"/>
          <w:highlight w:val="none"/>
        </w:rPr>
      </w:pPr>
      <w:r>
        <w:rPr>
          <w:color w:val="auto"/>
          <w:sz w:val="22"/>
          <w:szCs w:val="22"/>
          <w:highlight w:val="none"/>
        </w:rPr>
        <w:t xml:space="preserve">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 xml:space="preserve">日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14:paraId="406C0F9E">
      <w:pPr>
        <w:pStyle w:val="18"/>
        <w:spacing w:line="360" w:lineRule="auto"/>
        <w:ind w:firstLine="0" w:firstLineChars="0"/>
        <w:rPr>
          <w:b/>
          <w:bCs/>
          <w:color w:val="auto"/>
          <w:highlight w:val="none"/>
        </w:rPr>
      </w:pPr>
    </w:p>
    <w:p w14:paraId="5D609587">
      <w:pPr>
        <w:pStyle w:val="18"/>
        <w:spacing w:line="360" w:lineRule="auto"/>
        <w:ind w:firstLine="0" w:firstLineChars="0"/>
        <w:rPr>
          <w:b/>
          <w:bCs/>
          <w:color w:val="auto"/>
          <w:highlight w:val="none"/>
        </w:rPr>
      </w:pPr>
    </w:p>
    <w:p w14:paraId="7D98DD02">
      <w:pPr>
        <w:pStyle w:val="18"/>
        <w:spacing w:line="360" w:lineRule="auto"/>
        <w:ind w:firstLine="0" w:firstLineChars="0"/>
        <w:rPr>
          <w:b/>
          <w:bCs/>
          <w:color w:val="auto"/>
          <w:highlight w:val="none"/>
        </w:rPr>
      </w:pPr>
    </w:p>
    <w:p w14:paraId="11CAE928">
      <w:pPr>
        <w:pStyle w:val="18"/>
        <w:spacing w:line="360" w:lineRule="auto"/>
        <w:ind w:firstLine="0" w:firstLineChars="0"/>
        <w:rPr>
          <w:b/>
          <w:bCs/>
          <w:color w:val="auto"/>
          <w:highlight w:val="none"/>
        </w:rPr>
      </w:pPr>
    </w:p>
    <w:p w14:paraId="5C69C695">
      <w:pPr>
        <w:widowControl/>
        <w:jc w:val="left"/>
        <w:rPr>
          <w:rFonts w:eastAsia="黑体"/>
          <w:b/>
          <w:bCs/>
          <w:color w:val="auto"/>
          <w:sz w:val="48"/>
          <w:highlight w:val="none"/>
        </w:rPr>
      </w:pPr>
      <w:r>
        <w:rPr>
          <w:b/>
          <w:bCs/>
          <w:color w:val="auto"/>
          <w:highlight w:val="none"/>
        </w:rPr>
        <w:br w:type="page"/>
      </w:r>
      <w:bookmarkStart w:id="165" w:name="_Toc152045772"/>
      <w:bookmarkStart w:id="166" w:name="_Toc179632789"/>
      <w:bookmarkStart w:id="167" w:name="_Toc144974834"/>
      <w:bookmarkStart w:id="168" w:name="_Toc152042554"/>
    </w:p>
    <w:p w14:paraId="5D707D27">
      <w:pPr>
        <w:topLinePunct/>
        <w:spacing w:line="300" w:lineRule="auto"/>
        <w:ind w:right="31" w:rightChars="15"/>
        <w:jc w:val="center"/>
        <w:outlineLvl w:val="0"/>
        <w:rPr>
          <w:rFonts w:hint="default" w:eastAsia="黑体"/>
          <w:b/>
          <w:bCs/>
          <w:color w:val="auto"/>
          <w:sz w:val="36"/>
          <w:szCs w:val="36"/>
          <w:highlight w:val="none"/>
          <w:lang w:val="en-US" w:eastAsia="zh-CN"/>
        </w:rPr>
      </w:pPr>
      <w:bookmarkStart w:id="169" w:name="_Toc30369"/>
      <w:bookmarkStart w:id="170" w:name="_Toc464508727"/>
      <w:bookmarkStart w:id="171" w:name="_Toc496369623"/>
      <w:bookmarkStart w:id="172" w:name="_Toc496537752"/>
      <w:bookmarkStart w:id="173" w:name="_Toc494703660"/>
      <w:bookmarkStart w:id="174" w:name="_Toc496202772"/>
      <w:bookmarkStart w:id="175" w:name="_Toc31034"/>
      <w:r>
        <w:rPr>
          <w:rFonts w:eastAsia="黑体"/>
          <w:b/>
          <w:bCs/>
          <w:color w:val="auto"/>
          <w:sz w:val="36"/>
          <w:szCs w:val="36"/>
          <w:highlight w:val="none"/>
        </w:rPr>
        <w:t xml:space="preserve">第五章  </w:t>
      </w:r>
      <w:bookmarkEnd w:id="169"/>
      <w:bookmarkEnd w:id="170"/>
      <w:bookmarkEnd w:id="171"/>
      <w:bookmarkEnd w:id="172"/>
      <w:bookmarkEnd w:id="173"/>
      <w:bookmarkEnd w:id="174"/>
      <w:r>
        <w:rPr>
          <w:rFonts w:hint="eastAsia" w:eastAsia="黑体"/>
          <w:b/>
          <w:bCs/>
          <w:color w:val="auto"/>
          <w:sz w:val="36"/>
          <w:szCs w:val="36"/>
          <w:highlight w:val="none"/>
          <w:lang w:val="en-US" w:eastAsia="zh-CN"/>
        </w:rPr>
        <w:t>委托人要求</w:t>
      </w:r>
      <w:bookmarkEnd w:id="175"/>
    </w:p>
    <w:p w14:paraId="2285BFE2">
      <w:pPr>
        <w:spacing w:line="360" w:lineRule="auto"/>
        <w:rPr>
          <w:rFonts w:eastAsia="黑体"/>
          <w:b/>
          <w:bCs/>
          <w:color w:val="auto"/>
          <w:sz w:val="24"/>
          <w:szCs w:val="24"/>
          <w:highlight w:val="none"/>
        </w:rPr>
      </w:pPr>
    </w:p>
    <w:bookmarkEnd w:id="165"/>
    <w:bookmarkEnd w:id="166"/>
    <w:bookmarkEnd w:id="167"/>
    <w:bookmarkEnd w:id="168"/>
    <w:p w14:paraId="702C6A64">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76" w:name="_Toc18928"/>
      <w:bookmarkStart w:id="177" w:name="_Toc152042571"/>
      <w:bookmarkStart w:id="178" w:name="_Toc144974851"/>
      <w:bookmarkStart w:id="179" w:name="_Toc152045782"/>
      <w:bookmarkStart w:id="180" w:name="_Toc179632800"/>
      <w:r>
        <w:rPr>
          <w:rFonts w:hint="eastAsia" w:eastAsia="宋体"/>
          <w:b w:val="0"/>
          <w:bCs w:val="0"/>
          <w:color w:val="auto"/>
          <w:sz w:val="22"/>
          <w:szCs w:val="22"/>
          <w:highlight w:val="none"/>
          <w:lang w:val="en-US" w:eastAsia="zh-CN"/>
        </w:rPr>
        <w:t>检测人需严格执行国家、</w:t>
      </w:r>
      <w:r>
        <w:rPr>
          <w:rFonts w:hint="eastAsia"/>
          <w:b w:val="0"/>
          <w:bCs w:val="0"/>
          <w:color w:val="auto"/>
          <w:sz w:val="22"/>
          <w:szCs w:val="22"/>
          <w:highlight w:val="none"/>
          <w:lang w:val="en-US" w:eastAsia="zh-CN"/>
        </w:rPr>
        <w:t>安徽省</w:t>
      </w:r>
      <w:r>
        <w:rPr>
          <w:rFonts w:hint="eastAsia" w:eastAsia="宋体"/>
          <w:b w:val="0"/>
          <w:bCs w:val="0"/>
          <w:color w:val="auto"/>
          <w:sz w:val="22"/>
          <w:szCs w:val="22"/>
          <w:highlight w:val="none"/>
          <w:lang w:val="en-US" w:eastAsia="zh-CN"/>
        </w:rPr>
        <w:t>相关规范、本项目前期工作形成的相关文件要求以及项目相关批复要求。</w:t>
      </w:r>
      <w:bookmarkEnd w:id="176"/>
      <w:r>
        <w:rPr>
          <w:rFonts w:hint="eastAsia" w:eastAsia="宋体"/>
          <w:b w:val="0"/>
          <w:bCs w:val="0"/>
          <w:color w:val="auto"/>
          <w:sz w:val="22"/>
          <w:szCs w:val="22"/>
          <w:highlight w:val="none"/>
          <w:lang w:val="en-US" w:eastAsia="zh-CN"/>
        </w:rPr>
        <w:t xml:space="preserve"> </w:t>
      </w:r>
    </w:p>
    <w:p w14:paraId="667F2469">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hint="eastAsia" w:eastAsia="宋体"/>
          <w:b/>
          <w:bCs/>
          <w:color w:val="auto"/>
          <w:sz w:val="22"/>
          <w:szCs w:val="22"/>
          <w:highlight w:val="none"/>
          <w:lang w:val="en-US" w:eastAsia="zh-CN"/>
        </w:rPr>
      </w:pPr>
      <w:bookmarkStart w:id="181" w:name="_Toc30193"/>
      <w:r>
        <w:rPr>
          <w:rFonts w:hint="eastAsia" w:eastAsia="宋体"/>
          <w:b/>
          <w:bCs/>
          <w:color w:val="auto"/>
          <w:sz w:val="22"/>
          <w:szCs w:val="22"/>
          <w:highlight w:val="none"/>
          <w:lang w:val="en-US" w:eastAsia="zh-CN"/>
        </w:rPr>
        <w:t xml:space="preserve">一、服务内容与要求 </w:t>
      </w:r>
    </w:p>
    <w:p w14:paraId="5965F580">
      <w:pPr>
        <w:keepNext w:val="0"/>
        <w:keepLines w:val="0"/>
        <w:pageBreakBefore w:val="0"/>
        <w:widowControl w:val="0"/>
        <w:kinsoku/>
        <w:wordWrap/>
        <w:overflowPunct/>
        <w:topLinePunct/>
        <w:autoSpaceDE/>
        <w:autoSpaceDN/>
        <w:bidi w:val="0"/>
        <w:adjustRightInd/>
        <w:snapToGrid/>
        <w:spacing w:before="0" w:beforeLines="0" w:after="0" w:afterLines="0" w:line="560" w:lineRule="exact"/>
        <w:ind w:right="0" w:rightChars="0" w:firstLine="440" w:firstLineChars="200"/>
        <w:jc w:val="left"/>
        <w:textAlignment w:val="auto"/>
        <w:outlineLvl w:val="0"/>
        <w:rPr>
          <w:rFonts w:hint="eastAsia" w:eastAsia="宋体"/>
          <w:b w:val="0"/>
          <w:bCs w:val="0"/>
          <w:color w:val="auto"/>
          <w:sz w:val="22"/>
          <w:szCs w:val="22"/>
          <w:highlight w:val="none"/>
          <w:lang w:val="en-US" w:eastAsia="zh-CN"/>
        </w:rPr>
      </w:pPr>
      <w:r>
        <w:rPr>
          <w:rFonts w:hint="eastAsia" w:eastAsia="宋体"/>
          <w:b w:val="0"/>
          <w:bCs w:val="0"/>
          <w:color w:val="auto"/>
          <w:sz w:val="22"/>
          <w:szCs w:val="22"/>
          <w:highlight w:val="none"/>
          <w:lang w:val="en-US" w:eastAsia="zh-CN"/>
        </w:rPr>
        <w:t xml:space="preserve">1.完成施工过程中对原材料试验、标准试验验证、工程实体（路基、路面、桥涵、绿化、交安、机电、隧道等）检测试验。 </w:t>
      </w:r>
    </w:p>
    <w:p w14:paraId="21D336CD">
      <w:pPr>
        <w:keepNext w:val="0"/>
        <w:keepLines w:val="0"/>
        <w:pageBreakBefore w:val="0"/>
        <w:widowControl w:val="0"/>
        <w:kinsoku/>
        <w:wordWrap/>
        <w:overflowPunct/>
        <w:topLinePunct/>
        <w:autoSpaceDE/>
        <w:autoSpaceDN/>
        <w:bidi w:val="0"/>
        <w:adjustRightInd/>
        <w:snapToGrid/>
        <w:spacing w:before="0" w:beforeLines="0" w:after="0" w:afterLines="0" w:line="560" w:lineRule="exact"/>
        <w:ind w:right="0" w:rightChars="0" w:firstLine="440" w:firstLineChars="200"/>
        <w:jc w:val="left"/>
        <w:textAlignment w:val="auto"/>
        <w:outlineLvl w:val="0"/>
        <w:rPr>
          <w:rFonts w:hint="eastAsia" w:eastAsia="宋体"/>
          <w:b w:val="0"/>
          <w:bCs w:val="0"/>
          <w:color w:val="auto"/>
          <w:sz w:val="22"/>
          <w:szCs w:val="22"/>
          <w:highlight w:val="none"/>
          <w:lang w:val="en-US" w:eastAsia="zh-CN"/>
        </w:rPr>
      </w:pPr>
      <w:r>
        <w:rPr>
          <w:rFonts w:hint="eastAsia" w:eastAsia="宋体"/>
          <w:b w:val="0"/>
          <w:bCs w:val="0"/>
          <w:color w:val="auto"/>
          <w:sz w:val="22"/>
          <w:szCs w:val="22"/>
          <w:highlight w:val="none"/>
          <w:lang w:val="en-US" w:eastAsia="zh-CN"/>
        </w:rPr>
        <w:t xml:space="preserve">2.完成交、竣工验收相关试验检测及资料整理和审查。 </w:t>
      </w:r>
    </w:p>
    <w:p w14:paraId="352EDA5C">
      <w:pPr>
        <w:keepNext w:val="0"/>
        <w:keepLines w:val="0"/>
        <w:pageBreakBefore w:val="0"/>
        <w:widowControl w:val="0"/>
        <w:kinsoku/>
        <w:wordWrap/>
        <w:overflowPunct/>
        <w:topLinePunct/>
        <w:autoSpaceDE/>
        <w:autoSpaceDN/>
        <w:bidi w:val="0"/>
        <w:adjustRightInd/>
        <w:snapToGrid/>
        <w:spacing w:before="0" w:beforeLines="0" w:after="0" w:afterLines="0" w:line="560" w:lineRule="exact"/>
        <w:ind w:right="0" w:rightChars="0" w:firstLine="440" w:firstLineChars="200"/>
        <w:jc w:val="left"/>
        <w:textAlignment w:val="auto"/>
        <w:outlineLvl w:val="0"/>
        <w:rPr>
          <w:rFonts w:hint="eastAsia" w:eastAsia="宋体"/>
          <w:b w:val="0"/>
          <w:bCs w:val="0"/>
          <w:color w:val="auto"/>
          <w:sz w:val="22"/>
          <w:szCs w:val="22"/>
          <w:highlight w:val="none"/>
          <w:lang w:val="en-US" w:eastAsia="zh-CN"/>
        </w:rPr>
      </w:pPr>
      <w:r>
        <w:rPr>
          <w:rFonts w:hint="eastAsia" w:eastAsia="宋体"/>
          <w:b w:val="0"/>
          <w:bCs w:val="0"/>
          <w:color w:val="auto"/>
          <w:sz w:val="22"/>
          <w:szCs w:val="22"/>
          <w:highlight w:val="none"/>
          <w:lang w:val="en-US" w:eastAsia="zh-CN"/>
        </w:rPr>
        <w:t xml:space="preserve">3.完成委托人和监督机构要求的其他检测内容。 </w:t>
      </w:r>
    </w:p>
    <w:p w14:paraId="706B43B3">
      <w:pPr>
        <w:keepNext w:val="0"/>
        <w:keepLines w:val="0"/>
        <w:pageBreakBefore w:val="0"/>
        <w:widowControl w:val="0"/>
        <w:kinsoku/>
        <w:wordWrap/>
        <w:overflowPunct/>
        <w:topLinePunct/>
        <w:autoSpaceDE/>
        <w:autoSpaceDN/>
        <w:bidi w:val="0"/>
        <w:adjustRightInd/>
        <w:snapToGrid/>
        <w:spacing w:before="0" w:beforeLines="0" w:after="0" w:afterLines="0" w:line="560" w:lineRule="exact"/>
        <w:ind w:right="0" w:rightChars="0" w:firstLine="440" w:firstLineChars="200"/>
        <w:jc w:val="left"/>
        <w:textAlignment w:val="auto"/>
        <w:outlineLvl w:val="0"/>
        <w:rPr>
          <w:rFonts w:hint="eastAsia" w:eastAsia="宋体"/>
          <w:b w:val="0"/>
          <w:bCs w:val="0"/>
          <w:color w:val="auto"/>
          <w:sz w:val="22"/>
          <w:szCs w:val="22"/>
          <w:highlight w:val="none"/>
          <w:lang w:val="en-US" w:eastAsia="zh-CN"/>
        </w:rPr>
      </w:pPr>
      <w:r>
        <w:rPr>
          <w:rFonts w:hint="eastAsia" w:eastAsia="宋体"/>
          <w:b w:val="0"/>
          <w:bCs w:val="0"/>
          <w:color w:val="auto"/>
          <w:sz w:val="22"/>
          <w:szCs w:val="22"/>
          <w:highlight w:val="none"/>
          <w:lang w:val="en-US" w:eastAsia="zh-CN"/>
        </w:rPr>
        <w:t xml:space="preserve">4.健全工作和管理制度,主要包括：工作程序和质量管理；岗位责任制；试验室和仪器设备的管理；安全管理；样品、资料、档案管理的制度化、标准化；有关的试验检测标准、规范、规程、方法等技术文件等。 </w:t>
      </w:r>
    </w:p>
    <w:p w14:paraId="373949EB">
      <w:pPr>
        <w:keepNext w:val="0"/>
        <w:keepLines w:val="0"/>
        <w:pageBreakBefore w:val="0"/>
        <w:widowControl w:val="0"/>
        <w:kinsoku/>
        <w:wordWrap/>
        <w:overflowPunct/>
        <w:topLinePunct/>
        <w:autoSpaceDE/>
        <w:autoSpaceDN/>
        <w:bidi w:val="0"/>
        <w:adjustRightInd/>
        <w:snapToGrid/>
        <w:spacing w:before="0" w:beforeLines="0" w:after="0" w:afterLines="0" w:line="560" w:lineRule="exact"/>
        <w:ind w:right="0" w:rightChars="0" w:firstLine="440" w:firstLineChars="200"/>
        <w:jc w:val="left"/>
        <w:textAlignment w:val="auto"/>
        <w:outlineLvl w:val="0"/>
        <w:rPr>
          <w:rFonts w:hint="eastAsia" w:eastAsia="宋体"/>
          <w:b w:val="0"/>
          <w:bCs w:val="0"/>
          <w:color w:val="auto"/>
          <w:sz w:val="22"/>
          <w:szCs w:val="22"/>
          <w:highlight w:val="none"/>
          <w:lang w:val="en-US" w:eastAsia="zh-CN"/>
        </w:rPr>
      </w:pPr>
      <w:r>
        <w:rPr>
          <w:rFonts w:hint="eastAsia" w:eastAsia="宋体"/>
          <w:b w:val="0"/>
          <w:bCs w:val="0"/>
          <w:color w:val="auto"/>
          <w:sz w:val="22"/>
          <w:szCs w:val="22"/>
          <w:highlight w:val="none"/>
          <w:lang w:val="en-US" w:eastAsia="zh-CN"/>
        </w:rPr>
        <w:t xml:space="preserve">5.主要试验检测项目包括：土工试验（筛分、容重、含水量、液塑限、击实、颗粒分析、三轴试验）；集料、石料（筛分、压碎值、磨耗、石料硬度、加速磨光）；水泥试验、石灰试验（有效钙镁含量）、粉煤灰试验；水泥混凝土（稠度、坍落度、抗压强度、抗折强度、劈裂试验、抗冻、抗渗）、砂浆强度 试验、配合比设计；沥青指标试验（针入度、延度、软化点、脆点、闪点、燃点、粘附性、薄膜烘箱和老化试验）；沥青混合料试验（抽提试验、马歇尔试验、劈裂、抗压）、沥青混凝土配合比设计；路面基层材料试验（击实、无侧限抗压强度、灰剂量、配合比设计）；路基、路面、构造物几何尺寸；路基路面（压实度、厚度、平整度、弯沉、路面构造深度、摩擦系数、路基 CBR、回弹模量）；砌石工程常规试验检测；地基承载力；钢材物理、力学性能、焊接；桥梁构件强度、桩基完整性、桩基承载力；混凝土无破损检测；岩土工程（地基、基础）；桥梁荷载试验；外加剂；钢绞线、预应力锚具、支座、钢结构专项检测、隧道质量检测、隧道超前地质预报及隧道监控量测等。 </w:t>
      </w:r>
    </w:p>
    <w:p w14:paraId="3E4F8A36">
      <w:pPr>
        <w:keepNext w:val="0"/>
        <w:keepLines w:val="0"/>
        <w:pageBreakBefore w:val="0"/>
        <w:widowControl w:val="0"/>
        <w:kinsoku/>
        <w:wordWrap/>
        <w:overflowPunct/>
        <w:topLinePunct/>
        <w:autoSpaceDE/>
        <w:autoSpaceDN/>
        <w:bidi w:val="0"/>
        <w:adjustRightInd/>
        <w:snapToGrid/>
        <w:spacing w:before="0" w:beforeLines="0" w:after="0" w:afterLines="0" w:line="560" w:lineRule="exact"/>
        <w:ind w:right="0" w:rightChars="0" w:firstLine="440" w:firstLineChars="200"/>
        <w:jc w:val="left"/>
        <w:textAlignment w:val="auto"/>
        <w:outlineLvl w:val="0"/>
        <w:rPr>
          <w:rFonts w:hint="eastAsia" w:eastAsia="宋体"/>
          <w:b w:val="0"/>
          <w:bCs w:val="0"/>
          <w:color w:val="auto"/>
          <w:sz w:val="22"/>
          <w:szCs w:val="22"/>
          <w:highlight w:val="none"/>
          <w:lang w:val="en-US" w:eastAsia="zh-CN"/>
        </w:rPr>
      </w:pPr>
      <w:r>
        <w:rPr>
          <w:rFonts w:hint="eastAsia" w:eastAsia="宋体"/>
          <w:b w:val="0"/>
          <w:bCs w:val="0"/>
          <w:color w:val="auto"/>
          <w:sz w:val="22"/>
          <w:szCs w:val="22"/>
          <w:highlight w:val="none"/>
          <w:lang w:val="en-US" w:eastAsia="zh-CN"/>
        </w:rPr>
        <w:t>6.合同签订后，检测单位须编制切实可行的检测方案须组织外部专家审查后报招标人审批，并按审批后的方案认真检测。检测单位只对委托人负责，严禁听从监理单位与施工单位，否则，予以重罚直至解除合同</w:t>
      </w:r>
      <w:r>
        <w:rPr>
          <w:rFonts w:hint="eastAsia"/>
          <w:b w:val="0"/>
          <w:bCs w:val="0"/>
          <w:color w:val="auto"/>
          <w:sz w:val="22"/>
          <w:szCs w:val="22"/>
          <w:highlight w:val="none"/>
          <w:lang w:val="en-US" w:eastAsia="zh-CN"/>
        </w:rPr>
        <w:t>。</w:t>
      </w:r>
    </w:p>
    <w:p w14:paraId="4763CF24">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hint="eastAsia" w:eastAsia="宋体"/>
          <w:b/>
          <w:bCs/>
          <w:color w:val="auto"/>
          <w:sz w:val="22"/>
          <w:szCs w:val="22"/>
          <w:highlight w:val="none"/>
          <w:lang w:val="en-US" w:eastAsia="zh-CN"/>
        </w:rPr>
      </w:pPr>
      <w:r>
        <w:rPr>
          <w:rFonts w:hint="eastAsia"/>
          <w:b/>
          <w:bCs/>
          <w:color w:val="auto"/>
          <w:sz w:val="22"/>
          <w:szCs w:val="22"/>
          <w:highlight w:val="none"/>
          <w:lang w:val="en-US" w:eastAsia="zh-CN"/>
        </w:rPr>
        <w:t>二、</w:t>
      </w:r>
      <w:r>
        <w:rPr>
          <w:rFonts w:hint="eastAsia" w:eastAsia="宋体"/>
          <w:b/>
          <w:bCs/>
          <w:color w:val="auto"/>
          <w:sz w:val="22"/>
          <w:szCs w:val="22"/>
          <w:highlight w:val="none"/>
          <w:lang w:val="en-US" w:eastAsia="zh-CN"/>
        </w:rPr>
        <w:t>试验检测依据及规范</w:t>
      </w:r>
      <w:bookmarkEnd w:id="181"/>
      <w:r>
        <w:rPr>
          <w:rFonts w:hint="eastAsia" w:eastAsia="宋体"/>
          <w:b/>
          <w:bCs/>
          <w:color w:val="auto"/>
          <w:sz w:val="22"/>
          <w:szCs w:val="22"/>
          <w:highlight w:val="none"/>
          <w:lang w:val="en-US" w:eastAsia="zh-CN"/>
        </w:rPr>
        <w:t xml:space="preserve"> </w:t>
      </w:r>
    </w:p>
    <w:p w14:paraId="03BE410E">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2" w:name="_Toc27505"/>
      <w:r>
        <w:rPr>
          <w:rFonts w:hint="eastAsia" w:eastAsia="宋体"/>
          <w:b w:val="0"/>
          <w:bCs w:val="0"/>
          <w:color w:val="auto"/>
          <w:sz w:val="22"/>
          <w:szCs w:val="22"/>
          <w:highlight w:val="none"/>
          <w:lang w:val="en-US" w:eastAsia="zh-CN"/>
        </w:rPr>
        <w:t>检测人在试验检测工作中必须使用中华人民共和国《工程建设标准强制性条文》（公路工程部分）和下述标准、规范（可能使用但不限于下述标准或规范）：</w:t>
      </w:r>
      <w:bookmarkEnd w:id="182"/>
      <w:r>
        <w:rPr>
          <w:rFonts w:hint="eastAsia" w:eastAsia="宋体"/>
          <w:b w:val="0"/>
          <w:bCs w:val="0"/>
          <w:color w:val="auto"/>
          <w:sz w:val="22"/>
          <w:szCs w:val="22"/>
          <w:highlight w:val="none"/>
          <w:lang w:val="en-US" w:eastAsia="zh-CN"/>
        </w:rPr>
        <w:t xml:space="preserve"> </w:t>
      </w:r>
    </w:p>
    <w:p w14:paraId="21494338">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3" w:name="_Toc25239"/>
      <w:r>
        <w:rPr>
          <w:rFonts w:hint="eastAsia" w:eastAsia="宋体"/>
          <w:b w:val="0"/>
          <w:bCs w:val="0"/>
          <w:color w:val="auto"/>
          <w:sz w:val="22"/>
          <w:szCs w:val="22"/>
          <w:highlight w:val="none"/>
          <w:lang w:val="en-US" w:eastAsia="zh-CN"/>
        </w:rPr>
        <w:t>1.《公路路基路面现场测试规程》(JTG 3450—2019)、《公路路面基层施工技术细则》（JTG/T F20-2015）、《公路桥涵施工技术规范》（JTG/T 3650-2020）</w:t>
      </w:r>
      <w:bookmarkEnd w:id="183"/>
      <w:r>
        <w:rPr>
          <w:rFonts w:hint="eastAsia" w:eastAsia="宋体"/>
          <w:b w:val="0"/>
          <w:bCs w:val="0"/>
          <w:color w:val="auto"/>
          <w:sz w:val="22"/>
          <w:szCs w:val="22"/>
          <w:highlight w:val="none"/>
          <w:lang w:val="en-US" w:eastAsia="zh-CN"/>
        </w:rPr>
        <w:t xml:space="preserve"> </w:t>
      </w:r>
    </w:p>
    <w:p w14:paraId="45B6BAC1">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4" w:name="_Toc27043"/>
      <w:r>
        <w:rPr>
          <w:rFonts w:hint="eastAsia" w:eastAsia="宋体"/>
          <w:b w:val="0"/>
          <w:bCs w:val="0"/>
          <w:color w:val="auto"/>
          <w:sz w:val="22"/>
          <w:szCs w:val="22"/>
          <w:highlight w:val="none"/>
          <w:lang w:val="en-US" w:eastAsia="zh-CN"/>
        </w:rPr>
        <w:t>2.《公路工程竣(交)工验收办法》及《公路工程竣(交)工验收办法实施细则》</w:t>
      </w:r>
      <w:bookmarkEnd w:id="184"/>
      <w:r>
        <w:rPr>
          <w:rFonts w:hint="eastAsia" w:eastAsia="宋体"/>
          <w:b w:val="0"/>
          <w:bCs w:val="0"/>
          <w:color w:val="auto"/>
          <w:sz w:val="22"/>
          <w:szCs w:val="22"/>
          <w:highlight w:val="none"/>
          <w:lang w:val="en-US" w:eastAsia="zh-CN"/>
        </w:rPr>
        <w:t xml:space="preserve"> </w:t>
      </w:r>
    </w:p>
    <w:p w14:paraId="00A51E7E">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5" w:name="_Toc29877"/>
      <w:r>
        <w:rPr>
          <w:rFonts w:hint="eastAsia" w:eastAsia="宋体"/>
          <w:b w:val="0"/>
          <w:bCs w:val="0"/>
          <w:color w:val="auto"/>
          <w:sz w:val="22"/>
          <w:szCs w:val="22"/>
          <w:highlight w:val="none"/>
          <w:lang w:val="en-US" w:eastAsia="zh-CN"/>
        </w:rPr>
        <w:t>3.《公路工程竣工质量鉴定工作规定(试行)》(厅质监字〔2012〕25 号)</w:t>
      </w:r>
      <w:bookmarkEnd w:id="185"/>
      <w:r>
        <w:rPr>
          <w:rFonts w:hint="eastAsia" w:eastAsia="宋体"/>
          <w:b w:val="0"/>
          <w:bCs w:val="0"/>
          <w:color w:val="auto"/>
          <w:sz w:val="22"/>
          <w:szCs w:val="22"/>
          <w:highlight w:val="none"/>
          <w:lang w:val="en-US" w:eastAsia="zh-CN"/>
        </w:rPr>
        <w:t xml:space="preserve"> </w:t>
      </w:r>
    </w:p>
    <w:p w14:paraId="49E73A27">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6" w:name="_Toc458"/>
      <w:r>
        <w:rPr>
          <w:rFonts w:hint="eastAsia" w:eastAsia="宋体"/>
          <w:b w:val="0"/>
          <w:bCs w:val="0"/>
          <w:color w:val="auto"/>
          <w:sz w:val="22"/>
          <w:szCs w:val="22"/>
          <w:highlight w:val="none"/>
          <w:lang w:val="en-US" w:eastAsia="zh-CN"/>
        </w:rPr>
        <w:t>4.《公路工程质量检验评定标准》(第一册土建工程)(JTG F80/l-2017)和《公路工程质量检验评定标准》(第二册机电工程)（JTG 2182-2020）</w:t>
      </w:r>
      <w:bookmarkEnd w:id="186"/>
      <w:r>
        <w:rPr>
          <w:rFonts w:hint="eastAsia" w:eastAsia="宋体"/>
          <w:b w:val="0"/>
          <w:bCs w:val="0"/>
          <w:color w:val="auto"/>
          <w:sz w:val="22"/>
          <w:szCs w:val="22"/>
          <w:highlight w:val="none"/>
          <w:lang w:val="en-US" w:eastAsia="zh-CN"/>
        </w:rPr>
        <w:t xml:space="preserve"> </w:t>
      </w:r>
    </w:p>
    <w:p w14:paraId="62968A98">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7" w:name="_Toc25307"/>
      <w:r>
        <w:rPr>
          <w:rFonts w:hint="eastAsia" w:eastAsia="宋体"/>
          <w:b w:val="0"/>
          <w:bCs w:val="0"/>
          <w:color w:val="auto"/>
          <w:sz w:val="22"/>
          <w:szCs w:val="22"/>
          <w:highlight w:val="none"/>
          <w:lang w:val="en-US" w:eastAsia="zh-CN"/>
        </w:rPr>
        <w:t>5.《公路工程技术标准》 (JTG BOl-2014)</w:t>
      </w:r>
      <w:bookmarkEnd w:id="187"/>
      <w:r>
        <w:rPr>
          <w:rFonts w:hint="eastAsia" w:eastAsia="宋体"/>
          <w:b w:val="0"/>
          <w:bCs w:val="0"/>
          <w:color w:val="auto"/>
          <w:sz w:val="22"/>
          <w:szCs w:val="22"/>
          <w:highlight w:val="none"/>
          <w:lang w:val="en-US" w:eastAsia="zh-CN"/>
        </w:rPr>
        <w:t xml:space="preserve"> </w:t>
      </w:r>
    </w:p>
    <w:p w14:paraId="244652E1">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8" w:name="_Toc11564"/>
      <w:r>
        <w:rPr>
          <w:rFonts w:hint="eastAsia"/>
          <w:b w:val="0"/>
          <w:bCs w:val="0"/>
          <w:color w:val="auto"/>
          <w:sz w:val="22"/>
          <w:szCs w:val="22"/>
          <w:highlight w:val="none"/>
          <w:lang w:val="en-US" w:eastAsia="zh-CN"/>
        </w:rPr>
        <w:t>6</w:t>
      </w:r>
      <w:r>
        <w:rPr>
          <w:rFonts w:hint="eastAsia" w:eastAsia="宋体"/>
          <w:b w:val="0"/>
          <w:bCs w:val="0"/>
          <w:color w:val="auto"/>
          <w:sz w:val="22"/>
          <w:szCs w:val="22"/>
          <w:highlight w:val="none"/>
          <w:lang w:val="en-US" w:eastAsia="zh-CN"/>
        </w:rPr>
        <w:t>.本项目施工图设计中使用的标准及规范</w:t>
      </w:r>
      <w:bookmarkEnd w:id="188"/>
      <w:r>
        <w:rPr>
          <w:rFonts w:hint="eastAsia" w:eastAsia="宋体"/>
          <w:b w:val="0"/>
          <w:bCs w:val="0"/>
          <w:color w:val="auto"/>
          <w:sz w:val="22"/>
          <w:szCs w:val="22"/>
          <w:highlight w:val="none"/>
          <w:lang w:val="en-US" w:eastAsia="zh-CN"/>
        </w:rPr>
        <w:t xml:space="preserve"> </w:t>
      </w:r>
    </w:p>
    <w:p w14:paraId="07CFEEA5">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89" w:name="_Toc12895"/>
      <w:r>
        <w:rPr>
          <w:rFonts w:hint="eastAsia"/>
          <w:b w:val="0"/>
          <w:bCs w:val="0"/>
          <w:color w:val="auto"/>
          <w:sz w:val="22"/>
          <w:szCs w:val="22"/>
          <w:highlight w:val="none"/>
          <w:lang w:val="en-US" w:eastAsia="zh-CN"/>
        </w:rPr>
        <w:t>7</w:t>
      </w:r>
      <w:r>
        <w:rPr>
          <w:rFonts w:hint="eastAsia" w:eastAsia="宋体"/>
          <w:b w:val="0"/>
          <w:bCs w:val="0"/>
          <w:color w:val="auto"/>
          <w:sz w:val="22"/>
          <w:szCs w:val="22"/>
          <w:highlight w:val="none"/>
          <w:lang w:val="en-US" w:eastAsia="zh-CN"/>
        </w:rPr>
        <w:t>.国家、自治区及包头市与本项目施工及检测相关的标准及规范</w:t>
      </w:r>
      <w:bookmarkEnd w:id="189"/>
    </w:p>
    <w:p w14:paraId="563260E9">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90" w:name="_Toc12357"/>
      <w:r>
        <w:rPr>
          <w:rFonts w:hint="eastAsia" w:eastAsia="宋体"/>
          <w:b w:val="0"/>
          <w:bCs w:val="0"/>
          <w:color w:val="auto"/>
          <w:sz w:val="22"/>
          <w:szCs w:val="22"/>
          <w:highlight w:val="none"/>
          <w:lang w:val="en-US" w:eastAsia="zh-CN"/>
        </w:rPr>
        <w:t>当上述标准、规范、规程等文件如有不一致之处，按照标准要求高者执行。</w:t>
      </w:r>
      <w:bookmarkEnd w:id="190"/>
      <w:r>
        <w:rPr>
          <w:rFonts w:hint="eastAsia" w:eastAsia="宋体"/>
          <w:b w:val="0"/>
          <w:bCs w:val="0"/>
          <w:color w:val="auto"/>
          <w:sz w:val="22"/>
          <w:szCs w:val="22"/>
          <w:highlight w:val="none"/>
          <w:lang w:val="en-US" w:eastAsia="zh-CN"/>
        </w:rPr>
        <w:t xml:space="preserve"> </w:t>
      </w:r>
    </w:p>
    <w:p w14:paraId="05BED59C">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hint="eastAsia" w:eastAsia="宋体"/>
          <w:b/>
          <w:bCs/>
          <w:color w:val="auto"/>
          <w:sz w:val="22"/>
          <w:szCs w:val="22"/>
          <w:highlight w:val="none"/>
          <w:lang w:val="en-US" w:eastAsia="zh-CN"/>
        </w:rPr>
      </w:pPr>
      <w:bookmarkStart w:id="191" w:name="_Toc8262"/>
      <w:r>
        <w:rPr>
          <w:rFonts w:hint="eastAsia"/>
          <w:b/>
          <w:bCs/>
          <w:color w:val="auto"/>
          <w:sz w:val="22"/>
          <w:szCs w:val="22"/>
          <w:highlight w:val="none"/>
          <w:lang w:val="en-US" w:eastAsia="zh-CN"/>
        </w:rPr>
        <w:t>三</w:t>
      </w:r>
      <w:r>
        <w:rPr>
          <w:rFonts w:hint="eastAsia" w:eastAsia="宋体"/>
          <w:b/>
          <w:bCs/>
          <w:color w:val="auto"/>
          <w:sz w:val="22"/>
          <w:szCs w:val="22"/>
          <w:highlight w:val="none"/>
          <w:lang w:val="en-US" w:eastAsia="zh-CN"/>
        </w:rPr>
        <w:t>、中心试验室授权检测参数及检测频率</w:t>
      </w:r>
      <w:bookmarkEnd w:id="191"/>
      <w:r>
        <w:rPr>
          <w:rFonts w:hint="eastAsia" w:eastAsia="宋体"/>
          <w:b/>
          <w:bCs/>
          <w:color w:val="auto"/>
          <w:sz w:val="22"/>
          <w:szCs w:val="22"/>
          <w:highlight w:val="none"/>
          <w:lang w:val="en-US" w:eastAsia="zh-CN"/>
        </w:rPr>
        <w:t xml:space="preserve"> </w:t>
      </w:r>
    </w:p>
    <w:p w14:paraId="6F248FB5">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92" w:name="_Toc7320"/>
      <w:r>
        <w:rPr>
          <w:rFonts w:hint="eastAsia" w:eastAsia="宋体"/>
          <w:b w:val="0"/>
          <w:bCs w:val="0"/>
          <w:color w:val="auto"/>
          <w:sz w:val="22"/>
          <w:szCs w:val="22"/>
          <w:highlight w:val="none"/>
          <w:lang w:val="en-US" w:eastAsia="zh-CN"/>
        </w:rPr>
        <w:t>本项目中心试验室授权检测参数严格按照《公路工程施工监理规范》（JTGG10-2016）和《公路工程质量检验评定标准》要求的检测参数及委托人要求的检测频率进行独立检测工作，检测事项及参数符合合同要求。</w:t>
      </w:r>
      <w:bookmarkEnd w:id="192"/>
      <w:r>
        <w:rPr>
          <w:rFonts w:hint="eastAsia" w:eastAsia="宋体"/>
          <w:b w:val="0"/>
          <w:bCs w:val="0"/>
          <w:color w:val="auto"/>
          <w:sz w:val="22"/>
          <w:szCs w:val="22"/>
          <w:highlight w:val="none"/>
          <w:lang w:val="en-US" w:eastAsia="zh-CN"/>
        </w:rPr>
        <w:t xml:space="preserve"> </w:t>
      </w:r>
    </w:p>
    <w:p w14:paraId="61C94464">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hint="eastAsia" w:eastAsia="宋体"/>
          <w:b/>
          <w:bCs/>
          <w:color w:val="auto"/>
          <w:sz w:val="22"/>
          <w:szCs w:val="22"/>
          <w:highlight w:val="none"/>
          <w:lang w:val="en-US" w:eastAsia="zh-CN"/>
        </w:rPr>
      </w:pPr>
      <w:bookmarkStart w:id="193" w:name="_Toc26193"/>
      <w:r>
        <w:rPr>
          <w:rFonts w:hint="eastAsia"/>
          <w:b/>
          <w:bCs/>
          <w:color w:val="auto"/>
          <w:sz w:val="22"/>
          <w:szCs w:val="22"/>
          <w:highlight w:val="none"/>
          <w:lang w:val="en-US" w:eastAsia="zh-CN"/>
        </w:rPr>
        <w:t>四</w:t>
      </w:r>
      <w:r>
        <w:rPr>
          <w:rFonts w:hint="eastAsia" w:eastAsia="宋体"/>
          <w:b/>
          <w:bCs/>
          <w:color w:val="auto"/>
          <w:sz w:val="22"/>
          <w:szCs w:val="22"/>
          <w:highlight w:val="none"/>
          <w:lang w:val="en-US" w:eastAsia="zh-CN"/>
        </w:rPr>
        <w:t>、本项目中心试验室试验检测设备最低要求</w:t>
      </w:r>
      <w:bookmarkEnd w:id="193"/>
      <w:r>
        <w:rPr>
          <w:rFonts w:hint="eastAsia" w:eastAsia="宋体"/>
          <w:b/>
          <w:bCs/>
          <w:color w:val="auto"/>
          <w:sz w:val="22"/>
          <w:szCs w:val="22"/>
          <w:highlight w:val="none"/>
          <w:lang w:val="en-US" w:eastAsia="zh-CN"/>
        </w:rPr>
        <w:t xml:space="preserve"> </w:t>
      </w:r>
    </w:p>
    <w:p w14:paraId="60F0A9FB">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eastAsia="宋体"/>
          <w:b w:val="0"/>
          <w:bCs w:val="0"/>
          <w:color w:val="auto"/>
          <w:sz w:val="22"/>
          <w:szCs w:val="22"/>
          <w:highlight w:val="none"/>
          <w:lang w:val="en-US" w:eastAsia="zh-CN"/>
        </w:rPr>
      </w:pPr>
      <w:bookmarkStart w:id="194" w:name="_Toc8710"/>
      <w:r>
        <w:rPr>
          <w:rFonts w:hint="eastAsia" w:eastAsia="宋体"/>
          <w:b w:val="0"/>
          <w:bCs w:val="0"/>
          <w:color w:val="auto"/>
          <w:sz w:val="22"/>
          <w:szCs w:val="22"/>
          <w:highlight w:val="none"/>
          <w:lang w:val="en-US" w:eastAsia="zh-CN"/>
        </w:rPr>
        <w:t>本项目试验检测设备为完成上述或委托人要求的试验检测参数或项目所自有或租赁的设备，其他为完成检测参数必须的仪器、配件、化学药品、标准物质、防护措施等，由投标人自行配置，其费用已包含在合同总价内。</w:t>
      </w:r>
      <w:bookmarkEnd w:id="194"/>
    </w:p>
    <w:p w14:paraId="31200A55">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eastAsia="宋体"/>
          <w:b/>
          <w:bCs/>
          <w:color w:val="auto"/>
          <w:sz w:val="22"/>
          <w:szCs w:val="22"/>
          <w:highlight w:val="none"/>
        </w:rPr>
      </w:pPr>
      <w:bookmarkStart w:id="195" w:name="_Toc25980"/>
      <w:r>
        <w:rPr>
          <w:rFonts w:hint="eastAsia"/>
          <w:b/>
          <w:bCs/>
          <w:color w:val="auto"/>
          <w:sz w:val="22"/>
          <w:szCs w:val="22"/>
          <w:highlight w:val="none"/>
          <w:lang w:val="en-US" w:eastAsia="zh-CN"/>
        </w:rPr>
        <w:t>五 、</w:t>
      </w:r>
      <w:r>
        <w:rPr>
          <w:rFonts w:hint="eastAsia" w:eastAsia="宋体"/>
          <w:b/>
          <w:bCs/>
          <w:color w:val="auto"/>
          <w:sz w:val="22"/>
          <w:szCs w:val="22"/>
          <w:highlight w:val="none"/>
          <w:lang w:val="en-US" w:eastAsia="zh-CN"/>
        </w:rPr>
        <w:t>检测人员和试验检测仪器设备要求</w:t>
      </w:r>
      <w:bookmarkEnd w:id="195"/>
      <w:r>
        <w:rPr>
          <w:rFonts w:hint="eastAsia" w:eastAsia="宋体"/>
          <w:b/>
          <w:bCs/>
          <w:color w:val="auto"/>
          <w:sz w:val="22"/>
          <w:szCs w:val="22"/>
          <w:highlight w:val="none"/>
          <w:lang w:val="en-US" w:eastAsia="zh-CN"/>
        </w:rPr>
        <w:t xml:space="preserve"> </w:t>
      </w:r>
    </w:p>
    <w:p w14:paraId="30B8A7E7">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eastAsia="宋体"/>
          <w:b w:val="0"/>
          <w:bCs w:val="0"/>
          <w:color w:val="auto"/>
          <w:sz w:val="22"/>
          <w:szCs w:val="22"/>
          <w:highlight w:val="none"/>
        </w:rPr>
      </w:pPr>
      <w:bookmarkStart w:id="196" w:name="_Toc13259"/>
      <w:r>
        <w:rPr>
          <w:rFonts w:hint="eastAsia" w:eastAsia="宋体"/>
          <w:b w:val="0"/>
          <w:bCs w:val="0"/>
          <w:color w:val="auto"/>
          <w:sz w:val="22"/>
          <w:szCs w:val="22"/>
          <w:highlight w:val="none"/>
          <w:lang w:val="en-US" w:eastAsia="zh-CN"/>
        </w:rPr>
        <w:t>见项目专用合同条款</w:t>
      </w:r>
      <w:bookmarkEnd w:id="196"/>
      <w:r>
        <w:rPr>
          <w:rFonts w:hint="eastAsia" w:eastAsia="宋体"/>
          <w:b w:val="0"/>
          <w:bCs w:val="0"/>
          <w:color w:val="auto"/>
          <w:sz w:val="22"/>
          <w:szCs w:val="22"/>
          <w:highlight w:val="none"/>
          <w:lang w:val="en-US" w:eastAsia="zh-CN"/>
        </w:rPr>
        <w:t xml:space="preserve"> </w:t>
      </w:r>
    </w:p>
    <w:p w14:paraId="1E49D2EE">
      <w:pPr>
        <w:keepNext w:val="0"/>
        <w:keepLines w:val="0"/>
        <w:pageBreakBefore w:val="0"/>
        <w:widowControl w:val="0"/>
        <w:numPr>
          <w:ilvl w:val="0"/>
          <w:numId w:val="0"/>
        </w:numPr>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hint="eastAsia"/>
          <w:b/>
          <w:bCs/>
          <w:color w:val="auto"/>
          <w:sz w:val="22"/>
          <w:szCs w:val="22"/>
          <w:highlight w:val="none"/>
          <w:lang w:val="en-US" w:eastAsia="zh-CN"/>
        </w:rPr>
      </w:pPr>
      <w:bookmarkStart w:id="197" w:name="_Toc18807"/>
      <w:r>
        <w:rPr>
          <w:rFonts w:hint="eastAsia"/>
          <w:b/>
          <w:bCs/>
          <w:color w:val="auto"/>
          <w:sz w:val="22"/>
          <w:szCs w:val="22"/>
          <w:highlight w:val="none"/>
          <w:lang w:val="en-US" w:eastAsia="zh-CN"/>
        </w:rPr>
        <w:t>六、成果文件</w:t>
      </w:r>
      <w:bookmarkEnd w:id="197"/>
    </w:p>
    <w:p w14:paraId="4996559B">
      <w:pPr>
        <w:keepNext w:val="0"/>
        <w:keepLines w:val="0"/>
        <w:pageBreakBefore w:val="0"/>
        <w:widowControl w:val="0"/>
        <w:numPr>
          <w:ilvl w:val="-1"/>
          <w:numId w:val="0"/>
        </w:numPr>
        <w:kinsoku/>
        <w:wordWrap/>
        <w:overflowPunct/>
        <w:topLinePunct/>
        <w:autoSpaceDE/>
        <w:autoSpaceDN/>
        <w:bidi w:val="0"/>
        <w:adjustRightInd/>
        <w:snapToGrid/>
        <w:spacing w:before="157" w:beforeLines="50" w:after="157" w:afterLines="50" w:line="360" w:lineRule="auto"/>
        <w:ind w:right="31" w:rightChars="15"/>
        <w:jc w:val="left"/>
        <w:textAlignment w:val="auto"/>
        <w:outlineLvl w:val="0"/>
        <w:rPr>
          <w:rFonts w:hint="eastAsia"/>
          <w:b w:val="0"/>
          <w:bCs w:val="0"/>
          <w:color w:val="auto"/>
          <w:sz w:val="22"/>
          <w:szCs w:val="22"/>
          <w:highlight w:val="none"/>
          <w:lang w:val="en-US" w:eastAsia="zh-CN"/>
        </w:rPr>
      </w:pPr>
      <w:bookmarkStart w:id="198" w:name="_Toc26269"/>
      <w:r>
        <w:rPr>
          <w:rFonts w:hint="eastAsia"/>
          <w:b w:val="0"/>
          <w:bCs w:val="0"/>
          <w:color w:val="auto"/>
          <w:sz w:val="22"/>
          <w:szCs w:val="22"/>
          <w:highlight w:val="none"/>
          <w:lang w:val="en-US" w:eastAsia="zh-CN"/>
        </w:rPr>
        <w:t>（一）成果文件的组成</w:t>
      </w:r>
      <w:bookmarkEnd w:id="198"/>
      <w:r>
        <w:rPr>
          <w:rFonts w:hint="eastAsia"/>
          <w:b w:val="0"/>
          <w:bCs w:val="0"/>
          <w:color w:val="auto"/>
          <w:sz w:val="22"/>
          <w:szCs w:val="22"/>
          <w:highlight w:val="none"/>
          <w:lang w:val="en-US" w:eastAsia="zh-CN"/>
        </w:rPr>
        <w:t xml:space="preserve"> </w:t>
      </w:r>
    </w:p>
    <w:p w14:paraId="0F050F6A">
      <w:pPr>
        <w:keepNext w:val="0"/>
        <w:keepLines w:val="0"/>
        <w:pageBreakBefore w:val="0"/>
        <w:widowControl w:val="0"/>
        <w:numPr>
          <w:ilvl w:val="-1"/>
          <w:numId w:val="0"/>
        </w:numPr>
        <w:kinsoku/>
        <w:wordWrap/>
        <w:overflowPunct/>
        <w:topLinePunct/>
        <w:autoSpaceDE/>
        <w:autoSpaceDN/>
        <w:bidi w:val="0"/>
        <w:adjustRightInd/>
        <w:snapToGrid/>
        <w:spacing w:before="157" w:beforeLines="50" w:after="157" w:afterLines="50" w:line="360" w:lineRule="auto"/>
        <w:ind w:right="31" w:rightChars="15"/>
        <w:jc w:val="left"/>
        <w:textAlignment w:val="auto"/>
        <w:outlineLvl w:val="0"/>
        <w:rPr>
          <w:rFonts w:hint="eastAsia"/>
          <w:b w:val="0"/>
          <w:bCs w:val="0"/>
          <w:color w:val="auto"/>
          <w:sz w:val="22"/>
          <w:szCs w:val="22"/>
          <w:highlight w:val="none"/>
          <w:lang w:val="en-US" w:eastAsia="zh-CN"/>
        </w:rPr>
      </w:pPr>
      <w:bookmarkStart w:id="199" w:name="_Toc5340"/>
      <w:r>
        <w:rPr>
          <w:rFonts w:hint="eastAsia"/>
          <w:b w:val="0"/>
          <w:bCs w:val="0"/>
          <w:color w:val="auto"/>
          <w:sz w:val="22"/>
          <w:szCs w:val="22"/>
          <w:highlight w:val="none"/>
          <w:lang w:val="en-US" w:eastAsia="zh-CN"/>
        </w:rPr>
        <w:t>（二）成果文件的深度</w:t>
      </w:r>
      <w:bookmarkEnd w:id="199"/>
      <w:r>
        <w:rPr>
          <w:rFonts w:hint="eastAsia"/>
          <w:b w:val="0"/>
          <w:bCs w:val="0"/>
          <w:color w:val="auto"/>
          <w:sz w:val="22"/>
          <w:szCs w:val="22"/>
          <w:highlight w:val="none"/>
          <w:lang w:val="en-US" w:eastAsia="zh-CN"/>
        </w:rPr>
        <w:t xml:space="preserve"> </w:t>
      </w:r>
    </w:p>
    <w:p w14:paraId="74824729">
      <w:pPr>
        <w:keepNext w:val="0"/>
        <w:keepLines w:val="0"/>
        <w:pageBreakBefore w:val="0"/>
        <w:widowControl w:val="0"/>
        <w:numPr>
          <w:ilvl w:val="-1"/>
          <w:numId w:val="0"/>
        </w:numPr>
        <w:kinsoku/>
        <w:wordWrap/>
        <w:overflowPunct/>
        <w:topLinePunct/>
        <w:autoSpaceDE/>
        <w:autoSpaceDN/>
        <w:bidi w:val="0"/>
        <w:adjustRightInd/>
        <w:snapToGrid/>
        <w:spacing w:before="157" w:beforeLines="50" w:after="157" w:afterLines="50" w:line="360" w:lineRule="auto"/>
        <w:ind w:right="31" w:rightChars="15"/>
        <w:jc w:val="left"/>
        <w:textAlignment w:val="auto"/>
        <w:outlineLvl w:val="0"/>
        <w:rPr>
          <w:rFonts w:hint="eastAsia"/>
          <w:b w:val="0"/>
          <w:bCs w:val="0"/>
          <w:color w:val="auto"/>
          <w:sz w:val="22"/>
          <w:szCs w:val="22"/>
          <w:highlight w:val="none"/>
          <w:lang w:val="en-US" w:eastAsia="zh-CN"/>
        </w:rPr>
      </w:pPr>
      <w:bookmarkStart w:id="200" w:name="_Toc22652"/>
      <w:r>
        <w:rPr>
          <w:rFonts w:hint="eastAsia"/>
          <w:b w:val="0"/>
          <w:bCs w:val="0"/>
          <w:color w:val="auto"/>
          <w:sz w:val="22"/>
          <w:szCs w:val="22"/>
          <w:highlight w:val="none"/>
          <w:lang w:val="en-US" w:eastAsia="zh-CN"/>
        </w:rPr>
        <w:t>（三）成果文件的格式要求</w:t>
      </w:r>
      <w:bookmarkEnd w:id="200"/>
      <w:r>
        <w:rPr>
          <w:rFonts w:hint="eastAsia"/>
          <w:b w:val="0"/>
          <w:bCs w:val="0"/>
          <w:color w:val="auto"/>
          <w:sz w:val="22"/>
          <w:szCs w:val="22"/>
          <w:highlight w:val="none"/>
          <w:lang w:val="en-US" w:eastAsia="zh-CN"/>
        </w:rPr>
        <w:t xml:space="preserve"> </w:t>
      </w:r>
    </w:p>
    <w:p w14:paraId="32120165">
      <w:pPr>
        <w:keepNext w:val="0"/>
        <w:keepLines w:val="0"/>
        <w:pageBreakBefore w:val="0"/>
        <w:widowControl w:val="0"/>
        <w:numPr>
          <w:ilvl w:val="-1"/>
          <w:numId w:val="0"/>
        </w:numPr>
        <w:kinsoku/>
        <w:wordWrap/>
        <w:overflowPunct/>
        <w:topLinePunct/>
        <w:autoSpaceDE/>
        <w:autoSpaceDN/>
        <w:bidi w:val="0"/>
        <w:adjustRightInd/>
        <w:snapToGrid/>
        <w:spacing w:before="157" w:beforeLines="50" w:after="157" w:afterLines="50" w:line="360" w:lineRule="auto"/>
        <w:ind w:right="31" w:rightChars="15"/>
        <w:jc w:val="left"/>
        <w:textAlignment w:val="auto"/>
        <w:outlineLvl w:val="0"/>
        <w:rPr>
          <w:rFonts w:hint="eastAsia"/>
          <w:b w:val="0"/>
          <w:bCs w:val="0"/>
          <w:color w:val="auto"/>
          <w:sz w:val="22"/>
          <w:szCs w:val="22"/>
          <w:highlight w:val="none"/>
          <w:lang w:val="en-US" w:eastAsia="zh-CN"/>
        </w:rPr>
      </w:pPr>
      <w:bookmarkStart w:id="201" w:name="_Toc17461"/>
      <w:r>
        <w:rPr>
          <w:rFonts w:hint="eastAsia"/>
          <w:b w:val="0"/>
          <w:bCs w:val="0"/>
          <w:color w:val="auto"/>
          <w:sz w:val="22"/>
          <w:szCs w:val="22"/>
          <w:highlight w:val="none"/>
          <w:lang w:val="en-US" w:eastAsia="zh-CN"/>
        </w:rPr>
        <w:t>（四）成果文件的份数要求</w:t>
      </w:r>
      <w:bookmarkEnd w:id="201"/>
      <w:r>
        <w:rPr>
          <w:rFonts w:hint="eastAsia"/>
          <w:b w:val="0"/>
          <w:bCs w:val="0"/>
          <w:color w:val="auto"/>
          <w:sz w:val="22"/>
          <w:szCs w:val="22"/>
          <w:highlight w:val="none"/>
          <w:lang w:val="en-US" w:eastAsia="zh-CN"/>
        </w:rPr>
        <w:t xml:space="preserve"> </w:t>
      </w:r>
    </w:p>
    <w:p w14:paraId="67B3DBDA">
      <w:pPr>
        <w:keepNext w:val="0"/>
        <w:keepLines w:val="0"/>
        <w:pageBreakBefore w:val="0"/>
        <w:widowControl w:val="0"/>
        <w:numPr>
          <w:ilvl w:val="-1"/>
          <w:numId w:val="0"/>
        </w:numPr>
        <w:kinsoku/>
        <w:wordWrap/>
        <w:overflowPunct/>
        <w:topLinePunct/>
        <w:autoSpaceDE/>
        <w:autoSpaceDN/>
        <w:bidi w:val="0"/>
        <w:adjustRightInd/>
        <w:snapToGrid/>
        <w:spacing w:before="157" w:beforeLines="50" w:after="157" w:afterLines="50" w:line="360" w:lineRule="auto"/>
        <w:ind w:right="31" w:rightChars="15"/>
        <w:jc w:val="left"/>
        <w:textAlignment w:val="auto"/>
        <w:outlineLvl w:val="0"/>
        <w:rPr>
          <w:rFonts w:hint="eastAsia"/>
          <w:b w:val="0"/>
          <w:bCs w:val="0"/>
          <w:color w:val="auto"/>
          <w:sz w:val="22"/>
          <w:szCs w:val="22"/>
          <w:highlight w:val="none"/>
          <w:lang w:val="en-US" w:eastAsia="zh-CN"/>
        </w:rPr>
      </w:pPr>
      <w:bookmarkStart w:id="202" w:name="_Toc14381"/>
      <w:r>
        <w:rPr>
          <w:rFonts w:hint="eastAsia"/>
          <w:b w:val="0"/>
          <w:bCs w:val="0"/>
          <w:color w:val="auto"/>
          <w:sz w:val="22"/>
          <w:szCs w:val="22"/>
          <w:highlight w:val="none"/>
          <w:lang w:val="en-US" w:eastAsia="zh-CN"/>
        </w:rPr>
        <w:t>纸质版文件 1 份、电子版文件 1 份。</w:t>
      </w:r>
      <w:bookmarkEnd w:id="202"/>
    </w:p>
    <w:p w14:paraId="7D39DF46">
      <w:pPr>
        <w:keepNext w:val="0"/>
        <w:keepLines w:val="0"/>
        <w:pageBreakBefore w:val="0"/>
        <w:widowControl w:val="0"/>
        <w:numPr>
          <w:ilvl w:val="0"/>
          <w:numId w:val="0"/>
        </w:numPr>
        <w:kinsoku/>
        <w:wordWrap/>
        <w:overflowPunct/>
        <w:topLinePunct/>
        <w:autoSpaceDE/>
        <w:autoSpaceDN/>
        <w:bidi w:val="0"/>
        <w:adjustRightInd/>
        <w:snapToGrid/>
        <w:spacing w:before="157" w:beforeLines="50" w:after="157" w:afterLines="50" w:line="360" w:lineRule="auto"/>
        <w:ind w:right="31" w:rightChars="15" w:firstLine="442" w:firstLineChars="200"/>
        <w:jc w:val="left"/>
        <w:textAlignment w:val="auto"/>
        <w:outlineLvl w:val="0"/>
        <w:rPr>
          <w:rFonts w:eastAsia="宋体"/>
          <w:b/>
          <w:bCs/>
          <w:color w:val="auto"/>
          <w:sz w:val="22"/>
          <w:szCs w:val="22"/>
          <w:highlight w:val="none"/>
        </w:rPr>
      </w:pPr>
      <w:bookmarkStart w:id="203" w:name="_Toc26125"/>
      <w:r>
        <w:rPr>
          <w:rFonts w:hint="eastAsia"/>
          <w:b/>
          <w:bCs/>
          <w:color w:val="auto"/>
          <w:sz w:val="22"/>
          <w:szCs w:val="22"/>
          <w:highlight w:val="none"/>
          <w:lang w:val="en-US" w:eastAsia="zh-CN"/>
        </w:rPr>
        <w:t>七、</w:t>
      </w:r>
      <w:r>
        <w:rPr>
          <w:rFonts w:hint="eastAsia" w:eastAsia="宋体"/>
          <w:b/>
          <w:bCs/>
          <w:color w:val="auto"/>
          <w:sz w:val="22"/>
          <w:szCs w:val="22"/>
          <w:highlight w:val="none"/>
          <w:lang w:val="en-US" w:eastAsia="zh-CN"/>
        </w:rPr>
        <w:t>成果文件的载体要求</w:t>
      </w:r>
      <w:bookmarkEnd w:id="203"/>
      <w:r>
        <w:rPr>
          <w:rFonts w:hint="eastAsia" w:eastAsia="宋体"/>
          <w:b/>
          <w:bCs/>
          <w:color w:val="auto"/>
          <w:sz w:val="22"/>
          <w:szCs w:val="22"/>
          <w:highlight w:val="none"/>
          <w:lang w:val="en-US" w:eastAsia="zh-CN"/>
        </w:rPr>
        <w:t xml:space="preserve"> </w:t>
      </w:r>
    </w:p>
    <w:p w14:paraId="084478EC">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ascii="宋体" w:hAnsi="宋体" w:eastAsia="宋体" w:cs="宋体"/>
          <w:b w:val="0"/>
          <w:bCs w:val="0"/>
          <w:color w:val="auto"/>
          <w:sz w:val="22"/>
          <w:szCs w:val="22"/>
          <w:highlight w:val="none"/>
          <w:lang w:val="en-US" w:eastAsia="zh-CN"/>
        </w:rPr>
      </w:pPr>
      <w:bookmarkStart w:id="204" w:name="_Toc29057"/>
      <w:r>
        <w:rPr>
          <w:rFonts w:hint="eastAsia" w:eastAsia="宋体"/>
          <w:b w:val="0"/>
          <w:bCs w:val="0"/>
          <w:color w:val="auto"/>
          <w:sz w:val="22"/>
          <w:szCs w:val="22"/>
          <w:highlight w:val="none"/>
          <w:lang w:val="en-US" w:eastAsia="zh-CN"/>
        </w:rPr>
        <w:t>l.纸质版的要求</w:t>
      </w:r>
      <w:bookmarkEnd w:id="204"/>
    </w:p>
    <w:p w14:paraId="0FCABDA1">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firstLine="440" w:firstLineChars="200"/>
        <w:jc w:val="left"/>
        <w:textAlignment w:val="auto"/>
        <w:outlineLvl w:val="0"/>
        <w:rPr>
          <w:rFonts w:hint="eastAsia" w:ascii="宋体" w:hAnsi="宋体" w:eastAsia="宋体" w:cs="宋体"/>
          <w:b w:val="0"/>
          <w:bCs w:val="0"/>
          <w:color w:val="auto"/>
          <w:sz w:val="22"/>
          <w:szCs w:val="22"/>
          <w:highlight w:val="none"/>
          <w:lang w:val="en-US" w:eastAsia="zh-CN"/>
        </w:rPr>
      </w:pPr>
      <w:bookmarkStart w:id="205" w:name="_Toc14493"/>
      <w:r>
        <w:rPr>
          <w:rFonts w:hint="eastAsia" w:ascii="宋体" w:hAnsi="宋体" w:eastAsia="宋体" w:cs="宋体"/>
          <w:b w:val="0"/>
          <w:bCs w:val="0"/>
          <w:color w:val="auto"/>
          <w:sz w:val="22"/>
          <w:szCs w:val="22"/>
          <w:highlight w:val="none"/>
          <w:lang w:val="en-US" w:eastAsia="zh-CN"/>
        </w:rPr>
        <w:t>2.电子版的要求；</w:t>
      </w:r>
      <w:bookmarkEnd w:id="205"/>
      <w:r>
        <w:rPr>
          <w:rFonts w:hint="eastAsia" w:ascii="宋体" w:hAnsi="宋体" w:eastAsia="宋体" w:cs="宋体"/>
          <w:b w:val="0"/>
          <w:bCs w:val="0"/>
          <w:color w:val="auto"/>
          <w:sz w:val="22"/>
          <w:szCs w:val="22"/>
          <w:highlight w:val="none"/>
          <w:lang w:val="en-US" w:eastAsia="zh-CN"/>
        </w:rPr>
        <w:t xml:space="preserve"> </w:t>
      </w:r>
    </w:p>
    <w:p w14:paraId="0DB6265D">
      <w:pPr>
        <w:numPr>
          <w:ilvl w:val="0"/>
          <w:numId w:val="0"/>
        </w:numPr>
        <w:topLinePunct/>
        <w:spacing w:before="157" w:beforeLines="50" w:after="157" w:afterLines="50" w:line="360" w:lineRule="auto"/>
        <w:ind w:right="31" w:rightChars="15" w:firstLine="442" w:firstLineChars="200"/>
        <w:jc w:val="left"/>
        <w:outlineLvl w:val="0"/>
        <w:rPr>
          <w:rFonts w:hint="eastAsia" w:ascii="宋体" w:hAnsi="宋体" w:cs="宋体"/>
          <w:b/>
          <w:bCs/>
          <w:color w:val="auto"/>
          <w:sz w:val="22"/>
          <w:szCs w:val="22"/>
          <w:highlight w:val="none"/>
          <w:lang w:val="en-US" w:eastAsia="zh-CN"/>
        </w:rPr>
      </w:pPr>
      <w:bookmarkStart w:id="206" w:name="_Toc27854"/>
      <w:r>
        <w:rPr>
          <w:rFonts w:hint="eastAsia" w:ascii="宋体" w:hAnsi="宋体" w:cs="宋体"/>
          <w:b/>
          <w:bCs/>
          <w:color w:val="auto"/>
          <w:sz w:val="22"/>
          <w:szCs w:val="22"/>
          <w:highlight w:val="none"/>
          <w:lang w:val="en-US" w:eastAsia="zh-CN"/>
        </w:rPr>
        <w:t>八、委托人提供的便利条件</w:t>
      </w:r>
      <w:bookmarkEnd w:id="206"/>
      <w:r>
        <w:rPr>
          <w:rFonts w:hint="eastAsia" w:ascii="宋体" w:hAnsi="宋体" w:cs="宋体"/>
          <w:b/>
          <w:bCs/>
          <w:color w:val="auto"/>
          <w:sz w:val="22"/>
          <w:szCs w:val="22"/>
          <w:highlight w:val="none"/>
          <w:lang w:val="en-US" w:eastAsia="zh-CN"/>
        </w:rPr>
        <w:t xml:space="preserve"> </w:t>
      </w:r>
    </w:p>
    <w:p w14:paraId="2F52635D">
      <w:pPr>
        <w:numPr>
          <w:ilvl w:val="0"/>
          <w:numId w:val="0"/>
        </w:numPr>
        <w:topLinePunct/>
        <w:spacing w:before="157" w:beforeLines="50" w:after="157" w:afterLines="50" w:line="360" w:lineRule="auto"/>
        <w:ind w:right="31" w:rightChars="15" w:firstLine="440" w:firstLineChars="200"/>
        <w:jc w:val="left"/>
        <w:outlineLvl w:val="0"/>
        <w:rPr>
          <w:rFonts w:hint="eastAsia" w:ascii="宋体" w:hAnsi="宋体" w:cs="宋体"/>
          <w:color w:val="auto"/>
          <w:sz w:val="22"/>
          <w:szCs w:val="22"/>
          <w:highlight w:val="none"/>
          <w:lang w:val="en-US" w:eastAsia="zh-CN"/>
        </w:rPr>
      </w:pPr>
      <w:bookmarkStart w:id="207" w:name="_Toc8665"/>
      <w:r>
        <w:rPr>
          <w:rFonts w:hint="eastAsia" w:ascii="宋体" w:hAnsi="宋体" w:cs="宋体"/>
          <w:color w:val="auto"/>
          <w:sz w:val="22"/>
          <w:szCs w:val="22"/>
          <w:highlight w:val="none"/>
          <w:lang w:val="en-US" w:eastAsia="zh-CN"/>
        </w:rPr>
        <w:t>项目试验检测期间，委托人不为试验检测人员提供生活、交通、网络及通信上的便利，也不提供协助人员。</w:t>
      </w:r>
      <w:bookmarkEnd w:id="207"/>
      <w:r>
        <w:rPr>
          <w:rFonts w:hint="eastAsia" w:ascii="宋体" w:hAnsi="宋体" w:cs="宋体"/>
          <w:color w:val="auto"/>
          <w:sz w:val="22"/>
          <w:szCs w:val="22"/>
          <w:highlight w:val="none"/>
          <w:lang w:val="en-US" w:eastAsia="zh-CN"/>
        </w:rPr>
        <w:t xml:space="preserve"> </w:t>
      </w:r>
    </w:p>
    <w:p w14:paraId="1BB8E610">
      <w:pPr>
        <w:numPr>
          <w:ilvl w:val="0"/>
          <w:numId w:val="0"/>
        </w:numPr>
        <w:topLinePunct/>
        <w:spacing w:before="157" w:beforeLines="50" w:after="157" w:afterLines="50" w:line="360" w:lineRule="auto"/>
        <w:ind w:right="31" w:rightChars="15" w:firstLine="442" w:firstLineChars="200"/>
        <w:jc w:val="left"/>
        <w:outlineLvl w:val="0"/>
        <w:rPr>
          <w:rFonts w:hint="eastAsia" w:ascii="宋体" w:hAnsi="宋体" w:cs="宋体"/>
          <w:color w:val="auto"/>
          <w:sz w:val="22"/>
          <w:szCs w:val="22"/>
          <w:highlight w:val="none"/>
          <w:lang w:val="en-US" w:eastAsia="zh-CN"/>
        </w:rPr>
      </w:pPr>
      <w:bookmarkStart w:id="208" w:name="_Toc845"/>
      <w:r>
        <w:rPr>
          <w:rFonts w:hint="eastAsia" w:ascii="宋体" w:hAnsi="宋体" w:cs="宋体"/>
          <w:b/>
          <w:bCs/>
          <w:color w:val="auto"/>
          <w:sz w:val="22"/>
          <w:szCs w:val="22"/>
          <w:highlight w:val="none"/>
          <w:lang w:val="en-US" w:eastAsia="zh-CN"/>
        </w:rPr>
        <w:t>九、试验检测人员需要自备的工作条件</w:t>
      </w:r>
      <w:bookmarkEnd w:id="208"/>
      <w:r>
        <w:rPr>
          <w:rFonts w:hint="eastAsia" w:ascii="宋体" w:hAnsi="宋体" w:cs="宋体"/>
          <w:color w:val="auto"/>
          <w:sz w:val="22"/>
          <w:szCs w:val="22"/>
          <w:highlight w:val="none"/>
          <w:lang w:val="en-US" w:eastAsia="zh-CN"/>
        </w:rPr>
        <w:t xml:space="preserve"> </w:t>
      </w:r>
    </w:p>
    <w:p w14:paraId="436BB9B7">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09" w:name="_Toc15590"/>
      <w:r>
        <w:rPr>
          <w:rFonts w:hint="eastAsia"/>
          <w:color w:val="auto"/>
          <w:sz w:val="22"/>
          <w:szCs w:val="22"/>
          <w:highlight w:val="none"/>
          <w:lang w:val="en-US" w:eastAsia="zh-CN"/>
        </w:rPr>
        <w:t>（一）试验检测人员自备的工作手册</w:t>
      </w:r>
      <w:bookmarkEnd w:id="209"/>
      <w:r>
        <w:rPr>
          <w:rFonts w:hint="eastAsia"/>
          <w:color w:val="auto"/>
          <w:sz w:val="22"/>
          <w:szCs w:val="22"/>
          <w:highlight w:val="none"/>
          <w:lang w:val="en-US" w:eastAsia="zh-CN"/>
        </w:rPr>
        <w:t xml:space="preserve"> </w:t>
      </w:r>
    </w:p>
    <w:p w14:paraId="540DB320">
      <w:pPr>
        <w:numPr>
          <w:ilvl w:val="0"/>
          <w:numId w:val="0"/>
        </w:numPr>
        <w:topLinePunct/>
        <w:spacing w:before="157" w:beforeLines="50" w:after="157" w:afterLines="50" w:line="360" w:lineRule="auto"/>
        <w:ind w:right="31" w:rightChars="15" w:firstLine="440" w:firstLineChars="200"/>
        <w:jc w:val="left"/>
        <w:outlineLvl w:val="0"/>
        <w:rPr>
          <w:rFonts w:hint="eastAsia"/>
          <w:color w:val="auto"/>
          <w:sz w:val="22"/>
          <w:szCs w:val="22"/>
          <w:highlight w:val="none"/>
          <w:lang w:val="en-US" w:eastAsia="zh-CN"/>
        </w:rPr>
      </w:pPr>
      <w:bookmarkStart w:id="210" w:name="_Toc5937"/>
      <w:r>
        <w:rPr>
          <w:rFonts w:hint="eastAsia"/>
          <w:color w:val="auto"/>
          <w:sz w:val="22"/>
          <w:szCs w:val="22"/>
          <w:highlight w:val="none"/>
          <w:lang w:val="en-US" w:eastAsia="zh-CN"/>
        </w:rPr>
        <w:t>本项目试验检测期间，试验检测人员所需要用到的规范（程）、标准、图集等，由试验检测人员自行配备。</w:t>
      </w:r>
      <w:bookmarkEnd w:id="210"/>
      <w:r>
        <w:rPr>
          <w:rFonts w:hint="eastAsia"/>
          <w:color w:val="auto"/>
          <w:sz w:val="22"/>
          <w:szCs w:val="22"/>
          <w:highlight w:val="none"/>
          <w:lang w:val="en-US" w:eastAsia="zh-CN"/>
        </w:rPr>
        <w:t xml:space="preserve"> </w:t>
      </w:r>
    </w:p>
    <w:p w14:paraId="2440151C">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1" w:name="_Toc20543"/>
      <w:r>
        <w:rPr>
          <w:rFonts w:hint="eastAsia"/>
          <w:color w:val="auto"/>
          <w:sz w:val="22"/>
          <w:szCs w:val="22"/>
          <w:highlight w:val="none"/>
          <w:lang w:val="en-US" w:eastAsia="zh-CN"/>
        </w:rPr>
        <w:t>（二）试验检测人员自备的办公设备</w:t>
      </w:r>
      <w:bookmarkEnd w:id="211"/>
      <w:r>
        <w:rPr>
          <w:rFonts w:hint="eastAsia"/>
          <w:color w:val="auto"/>
          <w:sz w:val="22"/>
          <w:szCs w:val="22"/>
          <w:highlight w:val="none"/>
          <w:lang w:val="en-US" w:eastAsia="zh-CN"/>
        </w:rPr>
        <w:t xml:space="preserve"> </w:t>
      </w:r>
    </w:p>
    <w:p w14:paraId="300481BF">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2" w:name="_Toc30135"/>
      <w:r>
        <w:rPr>
          <w:rFonts w:hint="eastAsia"/>
          <w:color w:val="auto"/>
          <w:sz w:val="22"/>
          <w:szCs w:val="22"/>
          <w:highlight w:val="none"/>
          <w:lang w:val="en-US" w:eastAsia="zh-CN"/>
        </w:rPr>
        <w:t>本项目试验检测期间，试验检测人员所需要用到的办公设备，由试验检测人员自行配备，包括但不限于以下办公设备：计算机、软件、投影、打印机、复印机、照相机等。</w:t>
      </w:r>
      <w:bookmarkEnd w:id="212"/>
      <w:r>
        <w:rPr>
          <w:rFonts w:hint="eastAsia"/>
          <w:color w:val="auto"/>
          <w:sz w:val="22"/>
          <w:szCs w:val="22"/>
          <w:highlight w:val="none"/>
          <w:lang w:val="en-US" w:eastAsia="zh-CN"/>
        </w:rPr>
        <w:t xml:space="preserve"> </w:t>
      </w:r>
    </w:p>
    <w:p w14:paraId="68022B75">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3" w:name="_Toc23065"/>
      <w:r>
        <w:rPr>
          <w:rFonts w:hint="eastAsia"/>
          <w:color w:val="auto"/>
          <w:sz w:val="22"/>
          <w:szCs w:val="22"/>
          <w:highlight w:val="none"/>
          <w:lang w:val="en-US" w:eastAsia="zh-CN"/>
        </w:rPr>
        <w:t>（三）试验检测人员自备的交通工具</w:t>
      </w:r>
      <w:bookmarkEnd w:id="213"/>
      <w:r>
        <w:rPr>
          <w:rFonts w:hint="eastAsia"/>
          <w:color w:val="auto"/>
          <w:sz w:val="22"/>
          <w:szCs w:val="22"/>
          <w:highlight w:val="none"/>
          <w:lang w:val="en-US" w:eastAsia="zh-CN"/>
        </w:rPr>
        <w:t xml:space="preserve"> </w:t>
      </w:r>
    </w:p>
    <w:p w14:paraId="1CC4F422">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4" w:name="_Toc6787"/>
      <w:r>
        <w:rPr>
          <w:rFonts w:hint="eastAsia"/>
          <w:color w:val="auto"/>
          <w:sz w:val="22"/>
          <w:szCs w:val="22"/>
          <w:highlight w:val="none"/>
          <w:lang w:val="en-US" w:eastAsia="zh-CN"/>
        </w:rPr>
        <w:t>本项目试验检测期间，试验检测人员所需要用到的交通工具，由试验检测人员自行配备。</w:t>
      </w:r>
      <w:bookmarkEnd w:id="214"/>
      <w:r>
        <w:rPr>
          <w:rFonts w:hint="eastAsia"/>
          <w:color w:val="auto"/>
          <w:sz w:val="22"/>
          <w:szCs w:val="22"/>
          <w:highlight w:val="none"/>
          <w:lang w:val="en-US" w:eastAsia="zh-CN"/>
        </w:rPr>
        <w:t xml:space="preserve"> </w:t>
      </w:r>
    </w:p>
    <w:p w14:paraId="6D305219">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5" w:name="_Toc3267"/>
      <w:r>
        <w:rPr>
          <w:rFonts w:hint="eastAsia"/>
          <w:color w:val="auto"/>
          <w:sz w:val="22"/>
          <w:szCs w:val="22"/>
          <w:highlight w:val="none"/>
          <w:lang w:val="en-US" w:eastAsia="zh-CN"/>
        </w:rPr>
        <w:t>（四）试验检测人员自备的现场办公设施</w:t>
      </w:r>
      <w:bookmarkEnd w:id="215"/>
      <w:r>
        <w:rPr>
          <w:rFonts w:hint="eastAsia"/>
          <w:color w:val="auto"/>
          <w:sz w:val="22"/>
          <w:szCs w:val="22"/>
          <w:highlight w:val="none"/>
          <w:lang w:val="en-US" w:eastAsia="zh-CN"/>
        </w:rPr>
        <w:t xml:space="preserve"> </w:t>
      </w:r>
    </w:p>
    <w:p w14:paraId="2124D165">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6" w:name="_Toc26365"/>
      <w:r>
        <w:rPr>
          <w:rFonts w:hint="eastAsia"/>
          <w:color w:val="auto"/>
          <w:sz w:val="22"/>
          <w:szCs w:val="22"/>
          <w:highlight w:val="none"/>
          <w:lang w:val="en-US" w:eastAsia="zh-CN"/>
        </w:rPr>
        <w:t>本项目试验检测期间，检测人为满足办公需要所使用的各类现场办公设施，由检测人自行配备，包括但不限于以下各类办公设施：办公桌椅、文件夹（柜）等。</w:t>
      </w:r>
      <w:bookmarkEnd w:id="216"/>
      <w:r>
        <w:rPr>
          <w:rFonts w:hint="eastAsia"/>
          <w:color w:val="auto"/>
          <w:sz w:val="22"/>
          <w:szCs w:val="22"/>
          <w:highlight w:val="none"/>
          <w:lang w:val="en-US" w:eastAsia="zh-CN"/>
        </w:rPr>
        <w:t xml:space="preserve"> </w:t>
      </w:r>
    </w:p>
    <w:p w14:paraId="170D0043">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7" w:name="_Toc8974"/>
      <w:r>
        <w:rPr>
          <w:rFonts w:hint="eastAsia"/>
          <w:color w:val="auto"/>
          <w:sz w:val="22"/>
          <w:szCs w:val="22"/>
          <w:highlight w:val="none"/>
          <w:lang w:val="en-US" w:eastAsia="zh-CN"/>
        </w:rPr>
        <w:t>（五）试验检测人员自备的安全设施</w:t>
      </w:r>
      <w:bookmarkEnd w:id="217"/>
      <w:r>
        <w:rPr>
          <w:rFonts w:hint="eastAsia"/>
          <w:color w:val="auto"/>
          <w:sz w:val="22"/>
          <w:szCs w:val="22"/>
          <w:highlight w:val="none"/>
          <w:lang w:val="en-US" w:eastAsia="zh-CN"/>
        </w:rPr>
        <w:t xml:space="preserve"> </w:t>
      </w:r>
    </w:p>
    <w:p w14:paraId="12038D29">
      <w:pPr>
        <w:numPr>
          <w:ilvl w:val="0"/>
          <w:numId w:val="0"/>
        </w:numPr>
        <w:topLinePunct/>
        <w:spacing w:before="157" w:beforeLines="50" w:after="157" w:afterLines="50" w:line="360" w:lineRule="auto"/>
        <w:ind w:right="31" w:rightChars="15" w:firstLine="440" w:firstLineChars="200"/>
        <w:jc w:val="left"/>
        <w:outlineLvl w:val="0"/>
        <w:rPr>
          <w:rFonts w:hint="eastAsia"/>
          <w:color w:val="auto"/>
          <w:sz w:val="22"/>
          <w:szCs w:val="22"/>
          <w:highlight w:val="none"/>
          <w:lang w:val="en-US" w:eastAsia="zh-CN"/>
        </w:rPr>
      </w:pPr>
      <w:bookmarkStart w:id="218" w:name="_Toc13715"/>
      <w:r>
        <w:rPr>
          <w:rFonts w:hint="eastAsia"/>
          <w:color w:val="auto"/>
          <w:sz w:val="22"/>
          <w:szCs w:val="22"/>
          <w:highlight w:val="none"/>
          <w:lang w:val="en-US" w:eastAsia="zh-CN"/>
        </w:rPr>
        <w:t>本项目试验检测期间，试验检测人员应自备各类安全设施，保证自身安全，包括但不限于以下安全设施：安全帽、安全鞋、手电筒等。</w:t>
      </w:r>
      <w:bookmarkEnd w:id="218"/>
      <w:r>
        <w:rPr>
          <w:rFonts w:hint="eastAsia"/>
          <w:color w:val="auto"/>
          <w:sz w:val="22"/>
          <w:szCs w:val="22"/>
          <w:highlight w:val="none"/>
          <w:lang w:val="en-US" w:eastAsia="zh-CN"/>
        </w:rPr>
        <w:t xml:space="preserve"> </w:t>
      </w:r>
    </w:p>
    <w:p w14:paraId="654D2D39">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19" w:name="_Toc29961"/>
      <w:r>
        <w:rPr>
          <w:rFonts w:hint="eastAsia"/>
          <w:color w:val="auto"/>
          <w:sz w:val="22"/>
          <w:szCs w:val="22"/>
          <w:highlight w:val="none"/>
          <w:lang w:val="en-US" w:eastAsia="zh-CN"/>
        </w:rPr>
        <w:t>（六）试验检测人员自备的试验检测仪器、设备、工具</w:t>
      </w:r>
      <w:bookmarkEnd w:id="219"/>
      <w:r>
        <w:rPr>
          <w:rFonts w:hint="eastAsia"/>
          <w:color w:val="auto"/>
          <w:sz w:val="22"/>
          <w:szCs w:val="22"/>
          <w:highlight w:val="none"/>
          <w:lang w:val="en-US" w:eastAsia="zh-CN"/>
        </w:rPr>
        <w:t xml:space="preserve"> </w:t>
      </w:r>
    </w:p>
    <w:p w14:paraId="15BBCFD5">
      <w:pPr>
        <w:numPr>
          <w:ilvl w:val="0"/>
          <w:numId w:val="0"/>
        </w:numPr>
        <w:topLinePunct/>
        <w:spacing w:before="157" w:beforeLines="50" w:after="157" w:afterLines="50" w:line="360" w:lineRule="auto"/>
        <w:ind w:right="31" w:rightChars="15" w:firstLine="440" w:firstLineChars="200"/>
        <w:jc w:val="left"/>
        <w:outlineLvl w:val="0"/>
        <w:rPr>
          <w:rFonts w:hint="eastAsia"/>
          <w:color w:val="auto"/>
          <w:sz w:val="22"/>
          <w:szCs w:val="22"/>
          <w:highlight w:val="none"/>
          <w:u w:val="single"/>
          <w:lang w:val="en-US" w:eastAsia="zh-CN"/>
        </w:rPr>
      </w:pPr>
      <w:bookmarkStart w:id="220" w:name="_Toc12296"/>
      <w:r>
        <w:rPr>
          <w:rFonts w:hint="eastAsia"/>
          <w:color w:val="auto"/>
          <w:sz w:val="22"/>
          <w:szCs w:val="22"/>
          <w:highlight w:val="none"/>
          <w:lang w:val="en-US" w:eastAsia="zh-CN"/>
        </w:rPr>
        <w:t>本项目试验检测期间，试验检测人员为满足试验检测工作需要而使用的试验检测仪器、</w:t>
      </w:r>
      <w:r>
        <w:rPr>
          <w:rFonts w:hint="eastAsia"/>
          <w:color w:val="auto"/>
          <w:sz w:val="22"/>
          <w:szCs w:val="22"/>
          <w:highlight w:val="none"/>
          <w:u w:val="single"/>
          <w:lang w:val="en-US" w:eastAsia="zh-CN"/>
        </w:rPr>
        <w:t>设备、工具等，由试验检测人员自行配备。</w:t>
      </w:r>
      <w:bookmarkEnd w:id="220"/>
      <w:r>
        <w:rPr>
          <w:rFonts w:hint="eastAsia"/>
          <w:color w:val="auto"/>
          <w:sz w:val="22"/>
          <w:szCs w:val="22"/>
          <w:highlight w:val="none"/>
          <w:u w:val="single"/>
          <w:lang w:val="en-US" w:eastAsia="zh-CN"/>
        </w:rPr>
        <w:t xml:space="preserve"> </w:t>
      </w:r>
    </w:p>
    <w:p w14:paraId="708F650F">
      <w:pPr>
        <w:numPr>
          <w:ilvl w:val="0"/>
          <w:numId w:val="0"/>
        </w:numPr>
        <w:topLinePunct/>
        <w:spacing w:before="157" w:beforeLines="50" w:after="157" w:afterLines="50" w:line="360" w:lineRule="auto"/>
        <w:ind w:right="31" w:rightChars="15"/>
        <w:jc w:val="left"/>
        <w:outlineLvl w:val="0"/>
        <w:rPr>
          <w:rFonts w:hint="eastAsia"/>
          <w:color w:val="auto"/>
          <w:sz w:val="22"/>
          <w:szCs w:val="22"/>
          <w:highlight w:val="none"/>
          <w:lang w:val="en-US" w:eastAsia="zh-CN"/>
        </w:rPr>
      </w:pPr>
      <w:bookmarkStart w:id="221" w:name="_Toc14231"/>
      <w:r>
        <w:rPr>
          <w:rFonts w:hint="eastAsia"/>
          <w:color w:val="auto"/>
          <w:sz w:val="22"/>
          <w:szCs w:val="22"/>
          <w:highlight w:val="none"/>
          <w:lang w:val="en-US" w:eastAsia="zh-CN"/>
        </w:rPr>
        <w:t>（七）试验检测人员自备的办公用房、生活用房、试验用房、样品用房</w:t>
      </w:r>
      <w:bookmarkEnd w:id="221"/>
      <w:r>
        <w:rPr>
          <w:rFonts w:hint="eastAsia"/>
          <w:color w:val="auto"/>
          <w:sz w:val="22"/>
          <w:szCs w:val="22"/>
          <w:highlight w:val="none"/>
          <w:lang w:val="en-US" w:eastAsia="zh-CN"/>
        </w:rPr>
        <w:t xml:space="preserve"> </w:t>
      </w:r>
    </w:p>
    <w:p w14:paraId="259B3E06">
      <w:pPr>
        <w:numPr>
          <w:ilvl w:val="0"/>
          <w:numId w:val="0"/>
        </w:numPr>
        <w:topLinePunct/>
        <w:spacing w:before="157" w:beforeLines="50" w:after="157" w:afterLines="50" w:line="360" w:lineRule="auto"/>
        <w:ind w:right="31" w:rightChars="15" w:firstLine="0" w:firstLineChars="0"/>
        <w:jc w:val="left"/>
        <w:outlineLvl w:val="0"/>
        <w:rPr>
          <w:rFonts w:hint="eastAsia"/>
          <w:color w:val="auto"/>
          <w:sz w:val="22"/>
          <w:szCs w:val="22"/>
          <w:highlight w:val="none"/>
          <w:lang w:val="en-US" w:eastAsia="zh-CN"/>
        </w:rPr>
      </w:pPr>
      <w:bookmarkStart w:id="222" w:name="_Toc18742"/>
      <w:r>
        <w:rPr>
          <w:rFonts w:hint="eastAsia"/>
          <w:color w:val="auto"/>
          <w:sz w:val="22"/>
          <w:szCs w:val="22"/>
          <w:highlight w:val="none"/>
          <w:lang w:val="en-US" w:eastAsia="zh-CN"/>
        </w:rPr>
        <w:t>本项目试验检测期间，试验检测人员所需要使用的办公用房、生活用房、试验用饭、样品用房，由试验检测人员自行建设或租赁。</w:t>
      </w:r>
      <w:bookmarkEnd w:id="222"/>
      <w:r>
        <w:rPr>
          <w:rFonts w:hint="eastAsia"/>
          <w:color w:val="auto"/>
          <w:sz w:val="22"/>
          <w:szCs w:val="22"/>
          <w:highlight w:val="none"/>
          <w:lang w:val="en-US" w:eastAsia="zh-CN"/>
        </w:rPr>
        <w:t xml:space="preserve"> </w:t>
      </w:r>
    </w:p>
    <w:p w14:paraId="48C9F8DF">
      <w:pPr>
        <w:numPr>
          <w:ilvl w:val="0"/>
          <w:numId w:val="0"/>
        </w:numPr>
        <w:topLinePunct/>
        <w:spacing w:before="157" w:beforeLines="50" w:after="157" w:afterLines="50" w:line="360" w:lineRule="auto"/>
        <w:ind w:right="31" w:rightChars="15" w:firstLine="442" w:firstLineChars="200"/>
        <w:jc w:val="left"/>
        <w:outlineLvl w:val="0"/>
        <w:rPr>
          <w:rFonts w:hint="eastAsia"/>
          <w:b/>
          <w:bCs/>
          <w:color w:val="auto"/>
          <w:sz w:val="22"/>
          <w:szCs w:val="22"/>
          <w:highlight w:val="none"/>
          <w:lang w:val="en-US" w:eastAsia="zh-CN"/>
        </w:rPr>
      </w:pPr>
      <w:bookmarkStart w:id="223" w:name="_Toc26018"/>
      <w:r>
        <w:rPr>
          <w:rFonts w:hint="eastAsia"/>
          <w:b/>
          <w:bCs/>
          <w:color w:val="auto"/>
          <w:sz w:val="22"/>
          <w:szCs w:val="22"/>
          <w:highlight w:val="none"/>
          <w:lang w:val="en-US" w:eastAsia="zh-CN"/>
        </w:rPr>
        <w:t>上述由试验检测人员自行配备的工作手册、办公设备、交通工具、现场办公设施、安全设施、试验检测仪器及工具设备、各类生活办公用房所需的费用已包含在检测人服务费报价清单中，委托人不再另行计量与支付。</w:t>
      </w:r>
      <w:bookmarkEnd w:id="223"/>
      <w:r>
        <w:rPr>
          <w:rFonts w:hint="eastAsia"/>
          <w:b/>
          <w:bCs/>
          <w:color w:val="auto"/>
          <w:sz w:val="22"/>
          <w:szCs w:val="22"/>
          <w:highlight w:val="none"/>
          <w:lang w:val="en-US" w:eastAsia="zh-CN"/>
        </w:rPr>
        <w:t xml:space="preserve"> </w:t>
      </w:r>
    </w:p>
    <w:p w14:paraId="7C383185">
      <w:pPr>
        <w:numPr>
          <w:ilvl w:val="0"/>
          <w:numId w:val="0"/>
        </w:numPr>
        <w:topLinePunct/>
        <w:spacing w:before="157" w:beforeLines="50" w:after="157" w:afterLines="50" w:line="360" w:lineRule="auto"/>
        <w:ind w:right="31" w:rightChars="15" w:firstLine="442" w:firstLineChars="200"/>
        <w:jc w:val="left"/>
        <w:outlineLvl w:val="0"/>
        <w:rPr>
          <w:rFonts w:hint="eastAsia"/>
          <w:b/>
          <w:bCs/>
          <w:color w:val="auto"/>
          <w:sz w:val="22"/>
          <w:szCs w:val="22"/>
          <w:highlight w:val="none"/>
          <w:lang w:val="en-US" w:eastAsia="zh-CN"/>
        </w:rPr>
      </w:pPr>
      <w:bookmarkStart w:id="224" w:name="_Toc32241"/>
      <w:r>
        <w:rPr>
          <w:rFonts w:hint="eastAsia"/>
          <w:b/>
          <w:bCs/>
          <w:color w:val="auto"/>
          <w:sz w:val="22"/>
          <w:szCs w:val="22"/>
          <w:highlight w:val="none"/>
          <w:lang w:val="en-US" w:eastAsia="zh-CN"/>
        </w:rPr>
        <w:t>上文中所提到的检测服务期包括施工阶段（含施工准备阶段）、验收与缺陷责任期阶段。</w:t>
      </w:r>
      <w:bookmarkEnd w:id="224"/>
    </w:p>
    <w:p w14:paraId="5E535A38">
      <w:pPr>
        <w:numPr>
          <w:ilvl w:val="0"/>
          <w:numId w:val="0"/>
        </w:numPr>
        <w:topLinePunct/>
        <w:spacing w:before="157" w:beforeLines="50" w:after="157" w:afterLines="50" w:line="360" w:lineRule="auto"/>
        <w:ind w:right="31" w:rightChars="15" w:firstLine="442" w:firstLineChars="200"/>
        <w:jc w:val="left"/>
        <w:outlineLvl w:val="0"/>
        <w:rPr>
          <w:rFonts w:hint="default" w:ascii="宋体" w:hAnsi="宋体" w:eastAsia="宋体" w:cs="宋体"/>
          <w:b/>
          <w:bCs/>
          <w:color w:val="auto"/>
          <w:sz w:val="22"/>
          <w:szCs w:val="22"/>
          <w:highlight w:val="none"/>
          <w:lang w:val="en-US" w:eastAsia="zh-CN"/>
        </w:rPr>
      </w:pPr>
      <w:r>
        <w:rPr>
          <w:rFonts w:hint="default" w:ascii="宋体" w:hAnsi="宋体" w:eastAsia="宋体" w:cs="宋体"/>
          <w:b/>
          <w:bCs/>
          <w:color w:val="auto"/>
          <w:sz w:val="22"/>
          <w:szCs w:val="22"/>
          <w:highlight w:val="none"/>
          <w:lang w:val="en-US" w:eastAsia="zh-CN"/>
        </w:rPr>
        <w:t>十、报价要求</w:t>
      </w:r>
    </w:p>
    <w:p w14:paraId="096ACA92">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b w:val="0"/>
          <w:bCs w:val="0"/>
          <w:color w:val="auto"/>
          <w:kern w:val="2"/>
          <w:sz w:val="22"/>
          <w:szCs w:val="22"/>
          <w:highlight w:val="none"/>
          <w:lang w:val="en-US" w:eastAsia="zh-CN" w:bidi="ar"/>
        </w:rPr>
      </w:pPr>
      <w:r>
        <w:rPr>
          <w:rFonts w:hint="eastAsia" w:ascii="Times New Roman" w:hAnsi="Times New Roman" w:eastAsia="宋体" w:cs="Times New Roman"/>
          <w:b w:val="0"/>
          <w:bCs w:val="0"/>
          <w:color w:val="auto"/>
          <w:kern w:val="2"/>
          <w:sz w:val="22"/>
          <w:szCs w:val="22"/>
          <w:highlight w:val="none"/>
          <w:lang w:val="en-US" w:eastAsia="zh-CN" w:bidi="ar"/>
        </w:rPr>
        <w:t>1.本项目采用总价报价方式，投标人须按要求报出总价及分项报价（详见投标文件格式中分项报价表）。</w:t>
      </w:r>
    </w:p>
    <w:p w14:paraId="2C991163">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b w:val="0"/>
          <w:bCs w:val="0"/>
          <w:color w:val="auto"/>
          <w:kern w:val="2"/>
          <w:sz w:val="22"/>
          <w:szCs w:val="22"/>
          <w:highlight w:val="none"/>
          <w:lang w:val="en-US" w:eastAsia="zh-CN" w:bidi="ar"/>
        </w:rPr>
      </w:pPr>
      <w:r>
        <w:rPr>
          <w:rFonts w:hint="eastAsia" w:ascii="Times New Roman" w:hAnsi="Times New Roman" w:eastAsia="宋体" w:cs="Times New Roman"/>
          <w:b w:val="0"/>
          <w:bCs w:val="0"/>
          <w:color w:val="auto"/>
          <w:kern w:val="2"/>
          <w:sz w:val="22"/>
          <w:szCs w:val="22"/>
          <w:highlight w:val="none"/>
          <w:lang w:val="en-US" w:eastAsia="zh-CN" w:bidi="ar"/>
        </w:rPr>
        <w:t>2.最终投标总价中除包括各类检测费用外，还包括驻地建设、安全生产及资料整理、所投服务的所有材料、劳务、交通、食宿、利润、税金、政策性文件规定及合同包含的所有风险、责任、义务等一切应有费用及招标文件约定的所有由中标人承担的费用，投标人在报价中需综合考虑、谨慎报价。分项报价表中未列明但在检测过程需要完成的相关工作，相关工作费用视同已包含在分项报价表的已列项中，中标人在中标后不得以分项报价表未列明为由增加费用。</w:t>
      </w:r>
    </w:p>
    <w:p w14:paraId="4EAB7D7F">
      <w:pPr>
        <w:keepNext w:val="0"/>
        <w:keepLines w:val="0"/>
        <w:widowControl/>
        <w:numPr>
          <w:ilvl w:val="0"/>
          <w:numId w:val="0"/>
        </w:numPr>
        <w:suppressLineNumbers w:val="0"/>
        <w:topLinePunct/>
        <w:spacing w:before="0" w:beforeLines="0" w:after="0" w:afterLines="0" w:line="440" w:lineRule="exact"/>
        <w:ind w:right="0" w:rightChars="0" w:firstLine="442" w:firstLineChars="200"/>
        <w:jc w:val="left"/>
        <w:outlineLvl w:val="0"/>
        <w:rPr>
          <w:rFonts w:hint="default" w:ascii="宋体" w:hAnsi="宋体" w:eastAsia="宋体" w:cs="宋体"/>
          <w:b/>
          <w:bCs/>
          <w:color w:val="auto"/>
          <w:sz w:val="22"/>
          <w:szCs w:val="22"/>
          <w:highlight w:val="none"/>
          <w:lang w:bidi="ar"/>
        </w:rPr>
      </w:pPr>
      <w:r>
        <w:rPr>
          <w:rFonts w:hint="eastAsia" w:ascii="宋体" w:hAnsi="宋体" w:eastAsia="宋体" w:cs="宋体"/>
          <w:b/>
          <w:bCs/>
          <w:color w:val="auto"/>
          <w:sz w:val="22"/>
          <w:szCs w:val="22"/>
          <w:highlight w:val="none"/>
          <w:lang w:val="en-US" w:eastAsia="zh-CN" w:bidi="ar"/>
        </w:rPr>
        <w:t>十一</w:t>
      </w:r>
      <w:r>
        <w:rPr>
          <w:rFonts w:hint="default" w:ascii="宋体" w:hAnsi="宋体" w:eastAsia="宋体" w:cs="宋体"/>
          <w:b/>
          <w:bCs/>
          <w:color w:val="auto"/>
          <w:sz w:val="22"/>
          <w:szCs w:val="22"/>
          <w:highlight w:val="none"/>
          <w:lang w:val="en-US" w:eastAsia="zh-CN" w:bidi="ar"/>
        </w:rPr>
        <w:t xml:space="preserve">、其他要求 </w:t>
      </w:r>
    </w:p>
    <w:p w14:paraId="6A1BAE77">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中标人须在工地建立工地试验室，配备相应的检测仪器设备，试验检测人员必须驻场办公。中标人不得同时为本项目其他单位作为工地试验室母体授权人提供服务。一旦发现，招标人有权立即终止合同并追究对方责任。 </w:t>
      </w:r>
    </w:p>
    <w:p w14:paraId="4AC6DF56">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2.工地试验室经项目质量监督部门验收合格后方可出具正式检测报告。验收合格前提供的服务由中标人母体机构负责。 </w:t>
      </w:r>
    </w:p>
    <w:p w14:paraId="256F2C8E">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3.按承诺投入本项目的试验检测人员上岗前其资格证书原件需经发包人核实。所有检测人员必须常驻现场，实行考勤制度，执行质量监督部门规定以及业主现场考勤制度。 </w:t>
      </w:r>
    </w:p>
    <w:p w14:paraId="6145F9EB">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4.承担具体任务明确后，检测单位须在合同签订后，三日内成立工程现场组织机构与工程现场实验室，安排专人驻工地现场，并完成项目检测实施方案编制，根据工程现场检测要求，随时进行取样检测。 </w:t>
      </w:r>
    </w:p>
    <w:p w14:paraId="52365B28">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val="en-US" w:eastAsia="zh-CN" w:bidi="ar"/>
        </w:rPr>
      </w:pPr>
      <w:r>
        <w:rPr>
          <w:rFonts w:hint="eastAsia" w:ascii="Times New Roman" w:hAnsi="Times New Roman" w:eastAsia="宋体" w:cs="Times New Roman"/>
          <w:color w:val="auto"/>
          <w:sz w:val="22"/>
          <w:szCs w:val="22"/>
          <w:highlight w:val="none"/>
          <w:lang w:val="en-US" w:eastAsia="zh-CN" w:bidi="ar"/>
        </w:rPr>
        <w:t>5.检测单位应根据项目实际编制切实可行的检测方案。检测方案可分项目（或标段）明确检测内容、方法、频率、数量、单价及费用，以便在项目（或标段）无法同步实施或完成时分别计量、验收、审计、支付。检测方案报委托人或质监部门审批，审批后的检测方案作为合同的一部分，抄送监理单位与施工单位。检测方案审批前，委托人有权对检测内容、频率、数量进行调整，但总价不超过中标价，中标人无条件接受。</w:t>
      </w:r>
    </w:p>
    <w:p w14:paraId="77BFDA35">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6.检测单位只对委托人负责，严禁听从监理单位与施工单位的不合法或明显不合理意见，否则予以违约金处理直至解除合同。部分项目（或标段）可能的建设滞后情况，投标人已充分考虑，并自愿承担可能的滞后风险和费用。 </w:t>
      </w:r>
    </w:p>
    <w:p w14:paraId="3979504C">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7.中标人必须派专职人员现场取样和巡视，检测数量及频率除按照国家及地方相关规范的规定取定，还包括委托人对工程质量有怀疑的部位需要增加检测项目。进场后，委托人将对照规范和工程项目重要节点、关键工序和关键部位，可适当增减检测数量和频率，并以书面方式通知检测单位，所需费用包含在投标报价中，投标人须自行考虑。 </w:t>
      </w:r>
    </w:p>
    <w:p w14:paraId="68D27C53">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8.中标人必须派员随时随地跟踪检测，及时反馈检测结果，以确保施工工序正常开展及工期安排的总体需要。中标人的检测结果，要第一时间以书面形式报给委托人单位，经委托人同意后抄送监理、施工单位。 </w:t>
      </w:r>
    </w:p>
    <w:p w14:paraId="197414A1">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9.中标人负责向委托人汇报检测结果，并提供必要的咨询技术服务。检测结果作为委托人审查监理、施工单位质量控制活动的重要支撑。中标人须保证出具的试验检测数据能够准确、及时、真实的反映工程实体质量，并对出具的所有试验报告负法律责任。 </w:t>
      </w:r>
    </w:p>
    <w:p w14:paraId="1C8DD405">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10.检测单位须定期向委托人汇报月度检测内容及下一步工作计划，以便使试验检测工作更好服务于工程施工； </w:t>
      </w:r>
    </w:p>
    <w:p w14:paraId="35321A17">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11.检测单位人员要服从委托人的协调与安排，及时完成委托人临时指派的其他检测任务，费用包含在合同费用中，不另行支付，按照委托人的要求参加工程调度会、质量分析会等。 </w:t>
      </w:r>
    </w:p>
    <w:p w14:paraId="0739F58D">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12.抽检项目均应在验收前完成检测，数量以实际发生并经相关单位审核确认为准，以上工作内容含受委托人委托的工程外观检查、资料检查； </w:t>
      </w:r>
    </w:p>
    <w:p w14:paraId="2959D2C9">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13.检测单位所完成的工作内容必须达到国家相关法规对环境保护的要求。 </w:t>
      </w:r>
    </w:p>
    <w:p w14:paraId="7EAFC9F3">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14.中标人应确保检测数据的客观及正确性，如发现有弄虚作假行为，中标人须按每次缴纳 100000元违约金，并上报省市交通主管部门及交通质量监督部门，并记入信用评价信息系统，性质恶劣的或达到 3 次弄虚作假的委托人有权解除合同并拒付检测费。 </w:t>
      </w:r>
    </w:p>
    <w:p w14:paraId="23475F13">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15.中标检测机构不得转包和违规分包检测业务。转包是指检测机构将其承包的检测项目部分或者全部转包给其他检测机构的行为。对于检测项目中的个别参数，属于检测设备昂贵或使用率低或本机构设备临时出现故障需要由其他检测机构进行该项目参数检测的，按分包检测对待。分包方须具备相应的资质、能力。检测项目需要分包时，应将分包事项以书面形式征得委托人同意。分包部分取费标准仍执行检测机构投标报价。 </w:t>
      </w:r>
    </w:p>
    <w:p w14:paraId="701F0AB3">
      <w:pPr>
        <w:keepNext w:val="0"/>
        <w:keepLines w:val="0"/>
        <w:widowControl/>
        <w:numPr>
          <w:ilvl w:val="0"/>
          <w:numId w:val="0"/>
        </w:numPr>
        <w:suppressLineNumbers w:val="0"/>
        <w:topLinePunct/>
        <w:spacing w:before="0" w:beforeLines="0" w:after="0" w:afterLines="0" w:line="440" w:lineRule="exact"/>
        <w:ind w:right="0" w:rightChars="0" w:firstLine="440" w:firstLineChars="200"/>
        <w:jc w:val="left"/>
        <w:outlineLvl w:val="0"/>
        <w:rPr>
          <w:rFonts w:hint="eastAsia" w:ascii="Times New Roman" w:hAnsi="Times New Roman" w:eastAsia="宋体" w:cs="Times New Roman"/>
          <w:color w:val="auto"/>
          <w:sz w:val="22"/>
          <w:szCs w:val="22"/>
          <w:highlight w:val="none"/>
          <w:lang w:bidi="ar"/>
        </w:rPr>
      </w:pPr>
      <w:r>
        <w:rPr>
          <w:rFonts w:hint="eastAsia" w:ascii="Times New Roman" w:hAnsi="Times New Roman" w:eastAsia="宋体" w:cs="Times New Roman"/>
          <w:color w:val="auto"/>
          <w:sz w:val="22"/>
          <w:szCs w:val="22"/>
          <w:highlight w:val="none"/>
          <w:lang w:val="en-US" w:eastAsia="zh-CN" w:bidi="ar"/>
        </w:rPr>
        <w:t xml:space="preserve">16.中标人负责完成委托合同中的所有检测项目，对合同中部分在其相应的资质等级及业务承揽范围之外的检测项目（如机电工程等），由中标人自行委托（须经业主认可）具备相应检测能力、资质的检测单位完成检测，并出具合格的检测报告。此部分费用包含在投标人投标报价总费用中，不再单独支付。 </w:t>
      </w:r>
    </w:p>
    <w:p w14:paraId="2BCD742B">
      <w:pPr>
        <w:keepNext w:val="0"/>
        <w:keepLines w:val="0"/>
        <w:widowControl/>
        <w:numPr>
          <w:ilvl w:val="0"/>
          <w:numId w:val="0"/>
        </w:numPr>
        <w:suppressLineNumbers w:val="0"/>
        <w:topLinePunct/>
        <w:spacing w:before="157" w:beforeLines="50" w:after="157" w:afterLines="50" w:line="360" w:lineRule="auto"/>
        <w:ind w:right="31" w:rightChars="15" w:firstLine="440" w:firstLineChars="200"/>
        <w:jc w:val="left"/>
        <w:outlineLvl w:val="0"/>
        <w:rPr>
          <w:rFonts w:hint="default"/>
          <w:color w:val="auto"/>
          <w:sz w:val="22"/>
          <w:szCs w:val="22"/>
          <w:highlight w:val="none"/>
          <w:lang w:bidi="ar"/>
        </w:rPr>
      </w:pPr>
    </w:p>
    <w:p w14:paraId="02D124DF">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jc w:val="left"/>
        <w:textAlignment w:val="auto"/>
        <w:outlineLvl w:val="0"/>
        <w:rPr>
          <w:rFonts w:eastAsia="宋体"/>
          <w:b w:val="0"/>
          <w:bCs w:val="0"/>
          <w:color w:val="auto"/>
          <w:sz w:val="22"/>
          <w:szCs w:val="22"/>
          <w:highlight w:val="none"/>
        </w:rPr>
      </w:pPr>
    </w:p>
    <w:p w14:paraId="2D400FB9">
      <w:pPr>
        <w:pStyle w:val="74"/>
        <w:rPr>
          <w:rFonts w:eastAsia="宋体"/>
          <w:b w:val="0"/>
          <w:bCs w:val="0"/>
          <w:color w:val="auto"/>
          <w:sz w:val="22"/>
          <w:szCs w:val="22"/>
          <w:highlight w:val="none"/>
        </w:rPr>
      </w:pPr>
    </w:p>
    <w:p w14:paraId="50D59638">
      <w:pPr>
        <w:rPr>
          <w:rFonts w:eastAsia="宋体"/>
          <w:b w:val="0"/>
          <w:bCs w:val="0"/>
          <w:color w:val="auto"/>
          <w:sz w:val="22"/>
          <w:szCs w:val="22"/>
          <w:highlight w:val="none"/>
        </w:rPr>
      </w:pPr>
    </w:p>
    <w:p w14:paraId="67E57C90">
      <w:pPr>
        <w:pStyle w:val="74"/>
        <w:rPr>
          <w:rFonts w:eastAsia="宋体"/>
          <w:b w:val="0"/>
          <w:bCs w:val="0"/>
          <w:color w:val="auto"/>
          <w:sz w:val="22"/>
          <w:szCs w:val="22"/>
          <w:highlight w:val="none"/>
        </w:rPr>
      </w:pPr>
    </w:p>
    <w:p w14:paraId="4D53A2DC">
      <w:pPr>
        <w:rPr>
          <w:rFonts w:eastAsia="宋体"/>
          <w:b w:val="0"/>
          <w:bCs w:val="0"/>
          <w:color w:val="auto"/>
          <w:sz w:val="22"/>
          <w:szCs w:val="22"/>
          <w:highlight w:val="none"/>
        </w:rPr>
      </w:pPr>
    </w:p>
    <w:p w14:paraId="557A85FA">
      <w:pPr>
        <w:pStyle w:val="74"/>
        <w:rPr>
          <w:rFonts w:eastAsia="宋体"/>
          <w:b w:val="0"/>
          <w:bCs w:val="0"/>
          <w:color w:val="auto"/>
          <w:sz w:val="22"/>
          <w:szCs w:val="22"/>
          <w:highlight w:val="none"/>
        </w:rPr>
      </w:pPr>
    </w:p>
    <w:p w14:paraId="0D31E54E">
      <w:pPr>
        <w:rPr>
          <w:rFonts w:eastAsia="宋体"/>
          <w:b w:val="0"/>
          <w:bCs w:val="0"/>
          <w:color w:val="auto"/>
          <w:sz w:val="22"/>
          <w:szCs w:val="22"/>
          <w:highlight w:val="none"/>
        </w:rPr>
      </w:pPr>
    </w:p>
    <w:p w14:paraId="06DC6C3D">
      <w:pPr>
        <w:pStyle w:val="74"/>
        <w:ind w:left="0" w:leftChars="0" w:firstLine="0" w:firstLineChars="0"/>
        <w:rPr>
          <w:rFonts w:eastAsia="宋体"/>
          <w:b w:val="0"/>
          <w:bCs w:val="0"/>
          <w:color w:val="auto"/>
          <w:sz w:val="22"/>
          <w:szCs w:val="22"/>
          <w:highlight w:val="none"/>
        </w:rPr>
      </w:pPr>
    </w:p>
    <w:p w14:paraId="00C25AE6">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right="31" w:rightChars="15"/>
        <w:jc w:val="center"/>
        <w:textAlignment w:val="auto"/>
        <w:outlineLvl w:val="0"/>
        <w:rPr>
          <w:rFonts w:eastAsia="宋体"/>
          <w:b w:val="0"/>
          <w:bCs w:val="0"/>
          <w:color w:val="auto"/>
          <w:sz w:val="22"/>
          <w:szCs w:val="22"/>
          <w:highlight w:val="none"/>
        </w:rPr>
      </w:pPr>
    </w:p>
    <w:p w14:paraId="2E3F3B07">
      <w:pPr>
        <w:keepNext w:val="0"/>
        <w:keepLines w:val="0"/>
        <w:widowControl/>
        <w:suppressLineNumbers w:val="0"/>
        <w:jc w:val="center"/>
        <w:rPr>
          <w:color w:val="auto"/>
          <w:highlight w:val="none"/>
        </w:rPr>
      </w:pPr>
      <w:r>
        <w:rPr>
          <w:rFonts w:ascii="黑体" w:hAnsi="宋体" w:eastAsia="黑体" w:cs="黑体"/>
          <w:color w:val="auto"/>
          <w:kern w:val="0"/>
          <w:sz w:val="48"/>
          <w:szCs w:val="48"/>
          <w:highlight w:val="none"/>
          <w:lang w:val="en-US" w:eastAsia="zh-CN" w:bidi="ar"/>
        </w:rPr>
        <w:t>第六章 图纸和资料</w:t>
      </w:r>
    </w:p>
    <w:p w14:paraId="2430F3C9">
      <w:pPr>
        <w:pStyle w:val="74"/>
        <w:rPr>
          <w:rFonts w:eastAsia="黑体"/>
          <w:b/>
          <w:bCs/>
          <w:color w:val="auto"/>
          <w:sz w:val="36"/>
          <w:szCs w:val="36"/>
          <w:highlight w:val="none"/>
        </w:rPr>
      </w:pPr>
    </w:p>
    <w:bookmarkEnd w:id="177"/>
    <w:bookmarkEnd w:id="178"/>
    <w:bookmarkEnd w:id="179"/>
    <w:bookmarkEnd w:id="180"/>
    <w:p w14:paraId="740FAC40">
      <w:pPr>
        <w:spacing w:line="276" w:lineRule="auto"/>
        <w:ind w:firstLine="442" w:firstLineChars="200"/>
        <w:rPr>
          <w:b/>
          <w:bCs/>
          <w:color w:val="auto"/>
          <w:sz w:val="22"/>
          <w:szCs w:val="22"/>
          <w:highlight w:val="none"/>
        </w:rPr>
      </w:pPr>
      <w:r>
        <w:rPr>
          <w:rFonts w:hint="eastAsia"/>
          <w:b/>
          <w:bCs/>
          <w:color w:val="auto"/>
          <w:sz w:val="22"/>
          <w:szCs w:val="22"/>
          <w:highlight w:val="none"/>
        </w:rPr>
        <w:t>备注：</w:t>
      </w:r>
    </w:p>
    <w:p w14:paraId="66592B28">
      <w:pPr>
        <w:spacing w:line="276" w:lineRule="auto"/>
        <w:ind w:firstLine="442" w:firstLineChars="200"/>
        <w:rPr>
          <w:rFonts w:eastAsia="黑体"/>
          <w:b/>
          <w:bCs/>
          <w:color w:val="auto"/>
          <w:sz w:val="56"/>
          <w:szCs w:val="52"/>
          <w:highlight w:val="none"/>
        </w:rPr>
      </w:pPr>
      <w:r>
        <w:rPr>
          <w:rFonts w:hint="eastAsia"/>
          <w:b/>
          <w:bCs/>
          <w:color w:val="auto"/>
          <w:sz w:val="22"/>
          <w:szCs w:val="22"/>
          <w:highlight w:val="none"/>
        </w:rPr>
        <w:t>电子图纸</w:t>
      </w:r>
      <w:r>
        <w:rPr>
          <w:b/>
          <w:bCs/>
          <w:color w:val="auto"/>
          <w:sz w:val="22"/>
          <w:szCs w:val="22"/>
          <w:highlight w:val="none"/>
        </w:rPr>
        <w:t>将在安徽合肥公共资源电子交易平台发布，投标人自行下载。</w:t>
      </w:r>
    </w:p>
    <w:p w14:paraId="330D1DF9">
      <w:pPr>
        <w:topLinePunct/>
        <w:spacing w:line="360" w:lineRule="auto"/>
        <w:jc w:val="both"/>
        <w:rPr>
          <w:b/>
          <w:bCs/>
          <w:color w:val="auto"/>
          <w:highlight w:val="none"/>
        </w:rPr>
      </w:pPr>
    </w:p>
    <w:p w14:paraId="7A62877A">
      <w:pPr>
        <w:topLinePunct/>
        <w:spacing w:line="300" w:lineRule="auto"/>
        <w:ind w:right="31" w:rightChars="15"/>
        <w:jc w:val="center"/>
        <w:outlineLvl w:val="0"/>
        <w:rPr>
          <w:rFonts w:eastAsia="黑体"/>
          <w:b/>
          <w:bCs/>
          <w:color w:val="auto"/>
          <w:sz w:val="36"/>
          <w:szCs w:val="36"/>
          <w:highlight w:val="none"/>
        </w:rPr>
      </w:pPr>
      <w:bookmarkStart w:id="225" w:name="_Toc144974854"/>
      <w:bookmarkStart w:id="226" w:name="_Toc496537756"/>
      <w:bookmarkStart w:id="227" w:name="_Toc494703664"/>
      <w:bookmarkStart w:id="228" w:name="_Toc15225"/>
      <w:bookmarkStart w:id="229" w:name="_Toc152045785"/>
      <w:bookmarkStart w:id="230" w:name="_Toc464508731"/>
      <w:bookmarkStart w:id="231" w:name="_Toc152042574"/>
      <w:bookmarkStart w:id="232" w:name="_Toc449608394"/>
      <w:bookmarkStart w:id="233" w:name="_Toc179632804"/>
    </w:p>
    <w:p w14:paraId="5367CEA7">
      <w:pPr>
        <w:topLinePunct/>
        <w:spacing w:line="300" w:lineRule="auto"/>
        <w:ind w:right="31" w:rightChars="15"/>
        <w:jc w:val="center"/>
        <w:outlineLvl w:val="0"/>
        <w:rPr>
          <w:rFonts w:eastAsia="黑体"/>
          <w:b/>
          <w:bCs/>
          <w:color w:val="auto"/>
          <w:sz w:val="36"/>
          <w:szCs w:val="36"/>
          <w:highlight w:val="none"/>
        </w:rPr>
      </w:pPr>
    </w:p>
    <w:p w14:paraId="4016F141">
      <w:pPr>
        <w:topLinePunct/>
        <w:spacing w:line="300" w:lineRule="auto"/>
        <w:ind w:right="31" w:rightChars="15"/>
        <w:jc w:val="center"/>
        <w:outlineLvl w:val="0"/>
        <w:rPr>
          <w:rFonts w:eastAsia="黑体"/>
          <w:b/>
          <w:bCs/>
          <w:color w:val="auto"/>
          <w:sz w:val="36"/>
          <w:szCs w:val="36"/>
          <w:highlight w:val="none"/>
        </w:rPr>
      </w:pPr>
    </w:p>
    <w:p w14:paraId="1A070200">
      <w:pPr>
        <w:topLinePunct/>
        <w:spacing w:line="300" w:lineRule="auto"/>
        <w:ind w:right="31" w:rightChars="15"/>
        <w:jc w:val="center"/>
        <w:outlineLvl w:val="0"/>
        <w:rPr>
          <w:rFonts w:eastAsia="黑体"/>
          <w:b/>
          <w:bCs/>
          <w:color w:val="auto"/>
          <w:sz w:val="36"/>
          <w:szCs w:val="36"/>
          <w:highlight w:val="none"/>
        </w:rPr>
      </w:pPr>
    </w:p>
    <w:p w14:paraId="7512EBB7">
      <w:pPr>
        <w:topLinePunct/>
        <w:spacing w:line="300" w:lineRule="auto"/>
        <w:ind w:right="31" w:rightChars="15"/>
        <w:jc w:val="center"/>
        <w:outlineLvl w:val="0"/>
        <w:rPr>
          <w:rFonts w:eastAsia="黑体"/>
          <w:b/>
          <w:bCs/>
          <w:color w:val="auto"/>
          <w:sz w:val="36"/>
          <w:szCs w:val="36"/>
          <w:highlight w:val="none"/>
        </w:rPr>
      </w:pPr>
    </w:p>
    <w:p w14:paraId="380447A1">
      <w:pPr>
        <w:topLinePunct/>
        <w:spacing w:line="300" w:lineRule="auto"/>
        <w:ind w:right="31" w:rightChars="15"/>
        <w:jc w:val="center"/>
        <w:outlineLvl w:val="0"/>
        <w:rPr>
          <w:rFonts w:eastAsia="黑体"/>
          <w:b/>
          <w:bCs/>
          <w:color w:val="auto"/>
          <w:sz w:val="36"/>
          <w:szCs w:val="36"/>
          <w:highlight w:val="none"/>
        </w:rPr>
      </w:pPr>
    </w:p>
    <w:p w14:paraId="778FAEBF">
      <w:pPr>
        <w:topLinePunct/>
        <w:spacing w:line="300" w:lineRule="auto"/>
        <w:ind w:right="31" w:rightChars="15"/>
        <w:jc w:val="center"/>
        <w:outlineLvl w:val="0"/>
        <w:rPr>
          <w:rFonts w:eastAsia="黑体"/>
          <w:b/>
          <w:bCs/>
          <w:color w:val="auto"/>
          <w:sz w:val="36"/>
          <w:szCs w:val="36"/>
          <w:highlight w:val="none"/>
        </w:rPr>
      </w:pPr>
    </w:p>
    <w:p w14:paraId="7CBC6FB2">
      <w:pPr>
        <w:topLinePunct/>
        <w:spacing w:line="300" w:lineRule="auto"/>
        <w:ind w:right="31" w:rightChars="15"/>
        <w:jc w:val="center"/>
        <w:outlineLvl w:val="0"/>
        <w:rPr>
          <w:rFonts w:eastAsia="黑体"/>
          <w:b/>
          <w:bCs/>
          <w:color w:val="auto"/>
          <w:sz w:val="36"/>
          <w:szCs w:val="36"/>
          <w:highlight w:val="none"/>
        </w:rPr>
      </w:pPr>
    </w:p>
    <w:p w14:paraId="13DBD873">
      <w:pPr>
        <w:topLinePunct/>
        <w:spacing w:line="300" w:lineRule="auto"/>
        <w:ind w:right="31" w:rightChars="15"/>
        <w:jc w:val="center"/>
        <w:outlineLvl w:val="0"/>
        <w:rPr>
          <w:rFonts w:eastAsia="黑体"/>
          <w:b/>
          <w:bCs/>
          <w:color w:val="auto"/>
          <w:sz w:val="36"/>
          <w:szCs w:val="36"/>
          <w:highlight w:val="none"/>
        </w:rPr>
      </w:pPr>
    </w:p>
    <w:p w14:paraId="709EE415">
      <w:pPr>
        <w:topLinePunct/>
        <w:spacing w:line="300" w:lineRule="auto"/>
        <w:ind w:right="31" w:rightChars="15"/>
        <w:jc w:val="center"/>
        <w:outlineLvl w:val="0"/>
        <w:rPr>
          <w:rFonts w:eastAsia="黑体"/>
          <w:b/>
          <w:bCs/>
          <w:color w:val="auto"/>
          <w:sz w:val="36"/>
          <w:szCs w:val="36"/>
          <w:highlight w:val="none"/>
        </w:rPr>
      </w:pPr>
    </w:p>
    <w:p w14:paraId="0DFED018">
      <w:pPr>
        <w:topLinePunct/>
        <w:spacing w:line="300" w:lineRule="auto"/>
        <w:ind w:right="31" w:rightChars="15"/>
        <w:jc w:val="center"/>
        <w:outlineLvl w:val="0"/>
        <w:rPr>
          <w:rFonts w:eastAsia="黑体"/>
          <w:b/>
          <w:bCs/>
          <w:color w:val="auto"/>
          <w:sz w:val="36"/>
          <w:szCs w:val="36"/>
          <w:highlight w:val="none"/>
        </w:rPr>
      </w:pPr>
    </w:p>
    <w:p w14:paraId="3EA2573A">
      <w:pPr>
        <w:topLinePunct/>
        <w:spacing w:line="300" w:lineRule="auto"/>
        <w:ind w:right="31" w:rightChars="15"/>
        <w:jc w:val="center"/>
        <w:outlineLvl w:val="0"/>
        <w:rPr>
          <w:rFonts w:eastAsia="黑体"/>
          <w:b/>
          <w:bCs/>
          <w:color w:val="auto"/>
          <w:sz w:val="36"/>
          <w:szCs w:val="36"/>
          <w:highlight w:val="none"/>
        </w:rPr>
      </w:pPr>
    </w:p>
    <w:p w14:paraId="60EC33D7">
      <w:pPr>
        <w:topLinePunct/>
        <w:spacing w:line="300" w:lineRule="auto"/>
        <w:ind w:right="31" w:rightChars="15"/>
        <w:jc w:val="center"/>
        <w:outlineLvl w:val="0"/>
        <w:rPr>
          <w:rFonts w:eastAsia="黑体"/>
          <w:b/>
          <w:bCs/>
          <w:color w:val="auto"/>
          <w:sz w:val="36"/>
          <w:szCs w:val="36"/>
          <w:highlight w:val="none"/>
        </w:rPr>
      </w:pPr>
    </w:p>
    <w:p w14:paraId="25F70529">
      <w:pPr>
        <w:topLinePunct/>
        <w:spacing w:line="300" w:lineRule="auto"/>
        <w:ind w:right="31" w:rightChars="15"/>
        <w:jc w:val="center"/>
        <w:outlineLvl w:val="0"/>
        <w:rPr>
          <w:rFonts w:eastAsia="黑体"/>
          <w:b/>
          <w:bCs/>
          <w:color w:val="auto"/>
          <w:sz w:val="36"/>
          <w:szCs w:val="36"/>
          <w:highlight w:val="none"/>
        </w:rPr>
      </w:pPr>
    </w:p>
    <w:p w14:paraId="623FEBD0">
      <w:pPr>
        <w:topLinePunct/>
        <w:spacing w:line="300" w:lineRule="auto"/>
        <w:ind w:right="31" w:rightChars="15"/>
        <w:jc w:val="center"/>
        <w:outlineLvl w:val="0"/>
        <w:rPr>
          <w:rFonts w:eastAsia="黑体"/>
          <w:b/>
          <w:bCs/>
          <w:color w:val="auto"/>
          <w:sz w:val="36"/>
          <w:szCs w:val="36"/>
          <w:highlight w:val="none"/>
        </w:rPr>
      </w:pPr>
    </w:p>
    <w:p w14:paraId="3B39148A">
      <w:pPr>
        <w:topLinePunct/>
        <w:spacing w:line="300" w:lineRule="auto"/>
        <w:ind w:right="31" w:rightChars="15"/>
        <w:jc w:val="center"/>
        <w:outlineLvl w:val="0"/>
        <w:rPr>
          <w:rFonts w:eastAsia="黑体"/>
          <w:b/>
          <w:bCs/>
          <w:color w:val="auto"/>
          <w:sz w:val="36"/>
          <w:szCs w:val="36"/>
          <w:highlight w:val="none"/>
        </w:rPr>
      </w:pPr>
    </w:p>
    <w:p w14:paraId="70EF7B71">
      <w:pPr>
        <w:topLinePunct/>
        <w:spacing w:line="300" w:lineRule="auto"/>
        <w:ind w:right="31" w:rightChars="15"/>
        <w:jc w:val="center"/>
        <w:outlineLvl w:val="0"/>
        <w:rPr>
          <w:rFonts w:eastAsia="黑体"/>
          <w:b/>
          <w:bCs/>
          <w:color w:val="auto"/>
          <w:sz w:val="36"/>
          <w:szCs w:val="36"/>
          <w:highlight w:val="none"/>
        </w:rPr>
      </w:pPr>
    </w:p>
    <w:p w14:paraId="649F5AA6">
      <w:pPr>
        <w:topLinePunct/>
        <w:spacing w:line="300" w:lineRule="auto"/>
        <w:ind w:right="31" w:rightChars="15"/>
        <w:jc w:val="center"/>
        <w:outlineLvl w:val="0"/>
        <w:rPr>
          <w:rFonts w:eastAsia="黑体"/>
          <w:b/>
          <w:bCs/>
          <w:color w:val="auto"/>
          <w:sz w:val="36"/>
          <w:szCs w:val="36"/>
          <w:highlight w:val="none"/>
        </w:rPr>
      </w:pPr>
    </w:p>
    <w:p w14:paraId="1A714F00">
      <w:pPr>
        <w:topLinePunct/>
        <w:spacing w:line="300" w:lineRule="auto"/>
        <w:ind w:right="31" w:rightChars="15"/>
        <w:jc w:val="center"/>
        <w:outlineLvl w:val="0"/>
        <w:rPr>
          <w:rFonts w:eastAsia="黑体"/>
          <w:b/>
          <w:bCs/>
          <w:color w:val="auto"/>
          <w:sz w:val="36"/>
          <w:szCs w:val="36"/>
          <w:highlight w:val="none"/>
        </w:rPr>
      </w:pPr>
    </w:p>
    <w:p w14:paraId="6208C480">
      <w:pPr>
        <w:topLinePunct/>
        <w:spacing w:line="300" w:lineRule="auto"/>
        <w:ind w:right="31" w:rightChars="15"/>
        <w:jc w:val="center"/>
        <w:outlineLvl w:val="0"/>
        <w:rPr>
          <w:rFonts w:eastAsia="黑体"/>
          <w:b/>
          <w:bCs/>
          <w:color w:val="auto"/>
          <w:sz w:val="36"/>
          <w:szCs w:val="36"/>
          <w:highlight w:val="none"/>
        </w:rPr>
      </w:pPr>
    </w:p>
    <w:p w14:paraId="575011AC">
      <w:pPr>
        <w:pStyle w:val="74"/>
        <w:rPr>
          <w:rFonts w:eastAsia="黑体"/>
          <w:b/>
          <w:bCs/>
          <w:color w:val="auto"/>
          <w:sz w:val="36"/>
          <w:szCs w:val="36"/>
          <w:highlight w:val="none"/>
        </w:rPr>
      </w:pPr>
    </w:p>
    <w:bookmarkEnd w:id="142"/>
    <w:bookmarkEnd w:id="225"/>
    <w:bookmarkEnd w:id="226"/>
    <w:bookmarkEnd w:id="227"/>
    <w:bookmarkEnd w:id="228"/>
    <w:bookmarkEnd w:id="229"/>
    <w:bookmarkEnd w:id="230"/>
    <w:bookmarkEnd w:id="231"/>
    <w:bookmarkEnd w:id="232"/>
    <w:bookmarkEnd w:id="233"/>
    <w:p w14:paraId="58652B6B">
      <w:pPr>
        <w:pStyle w:val="3"/>
        <w:spacing w:line="360" w:lineRule="auto"/>
        <w:jc w:val="center"/>
        <w:rPr>
          <w:rFonts w:ascii="Times New Roman" w:hAnsi="Times New Roman" w:eastAsia="黑体"/>
          <w:color w:val="auto"/>
          <w:sz w:val="36"/>
          <w:szCs w:val="36"/>
          <w:highlight w:val="none"/>
        </w:rPr>
      </w:pPr>
      <w:bookmarkStart w:id="234" w:name="_Toc464508733"/>
      <w:bookmarkStart w:id="235" w:name="_Toc179632806"/>
      <w:bookmarkStart w:id="236" w:name="_Toc2043"/>
      <w:bookmarkStart w:id="237" w:name="_Toc449608396"/>
      <w:bookmarkStart w:id="238" w:name="_Toc496537760"/>
      <w:bookmarkStart w:id="239" w:name="_Toc494703668"/>
      <w:bookmarkStart w:id="240" w:name="_Toc24994"/>
      <w:r>
        <w:rPr>
          <w:rFonts w:ascii="Times New Roman" w:hAnsi="Times New Roman" w:eastAsia="黑体"/>
          <w:color w:val="auto"/>
          <w:sz w:val="36"/>
          <w:szCs w:val="36"/>
          <w:highlight w:val="none"/>
        </w:rPr>
        <w:t>第</w:t>
      </w:r>
      <w:r>
        <w:rPr>
          <w:rFonts w:hint="eastAsia" w:ascii="Times New Roman" w:hAnsi="Times New Roman" w:eastAsia="黑体"/>
          <w:color w:val="auto"/>
          <w:sz w:val="36"/>
          <w:szCs w:val="36"/>
          <w:highlight w:val="none"/>
          <w:lang w:val="en-US" w:eastAsia="zh-CN"/>
        </w:rPr>
        <w:t>七</w:t>
      </w:r>
      <w:r>
        <w:rPr>
          <w:rFonts w:ascii="Times New Roman" w:hAnsi="Times New Roman" w:eastAsia="黑体"/>
          <w:color w:val="auto"/>
          <w:sz w:val="36"/>
          <w:szCs w:val="36"/>
          <w:highlight w:val="none"/>
        </w:rPr>
        <w:t>章  投标文件格式</w:t>
      </w:r>
      <w:bookmarkEnd w:id="143"/>
      <w:bookmarkEnd w:id="144"/>
      <w:bookmarkEnd w:id="145"/>
      <w:bookmarkEnd w:id="234"/>
      <w:bookmarkEnd w:id="235"/>
      <w:bookmarkEnd w:id="236"/>
      <w:bookmarkEnd w:id="237"/>
      <w:bookmarkEnd w:id="238"/>
      <w:bookmarkEnd w:id="239"/>
      <w:bookmarkEnd w:id="240"/>
    </w:p>
    <w:p w14:paraId="23510973">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14:paraId="69598190">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14:paraId="7AD72F5D">
      <w:pPr>
        <w:tabs>
          <w:tab w:val="left" w:pos="3196"/>
        </w:tabs>
        <w:spacing w:before="88" w:line="480" w:lineRule="auto"/>
        <w:ind w:firstLine="965"/>
        <w:rPr>
          <w:rFonts w:hint="eastAsia" w:ascii="宋体" w:hAnsi="宋体" w:eastAsia="宋体" w:cs="宋体"/>
          <w:color w:val="auto"/>
          <w:sz w:val="27"/>
          <w:szCs w:val="27"/>
          <w:highlight w:val="none"/>
        </w:rPr>
      </w:pPr>
      <w:r>
        <w:rPr>
          <w:rFonts w:hint="eastAsia" w:ascii="宋体" w:hAnsi="宋体" w:eastAsia="宋体" w:cs="宋体"/>
          <w:color w:val="auto"/>
          <w:sz w:val="21"/>
          <w:szCs w:val="21"/>
          <w:highlight w:val="none"/>
          <w:u w:val="single" w:color="auto"/>
        </w:rPr>
        <w:tab/>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pacing w:val="-19"/>
          <w:sz w:val="27"/>
          <w:szCs w:val="27"/>
          <w:highlight w:val="none"/>
        </w:rPr>
        <w:t>（招标项目名称）</w:t>
      </w:r>
    </w:p>
    <w:p w14:paraId="7AE40131">
      <w:pPr>
        <w:spacing w:line="476" w:lineRule="auto"/>
        <w:rPr>
          <w:rFonts w:hint="eastAsia" w:ascii="宋体" w:hAnsi="宋体" w:eastAsia="宋体" w:cs="宋体"/>
          <w:color w:val="auto"/>
          <w:sz w:val="21"/>
          <w:highlight w:val="none"/>
        </w:rPr>
      </w:pPr>
    </w:p>
    <w:p w14:paraId="02F3BA5F">
      <w:pPr>
        <w:spacing w:before="146" w:line="600" w:lineRule="auto"/>
        <w:ind w:firstLine="3482"/>
        <w:outlineLvl w:val="1"/>
        <w:rPr>
          <w:rFonts w:hint="eastAsia" w:ascii="宋体" w:hAnsi="宋体" w:eastAsia="宋体" w:cs="宋体"/>
          <w:color w:val="auto"/>
          <w:sz w:val="45"/>
          <w:szCs w:val="45"/>
          <w:highlight w:val="none"/>
        </w:rPr>
      </w:pPr>
      <w:bookmarkStart w:id="241" w:name="_Toc24043"/>
      <w:r>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t>投标文件</w:t>
      </w:r>
      <w:bookmarkEnd w:id="241"/>
    </w:p>
    <w:p w14:paraId="3FBC7495">
      <w:pPr>
        <w:keepNext w:val="0"/>
        <w:keepLines w:val="0"/>
        <w:widowControl/>
        <w:suppressLineNumbers w:val="0"/>
        <w:spacing w:line="600" w:lineRule="auto"/>
        <w:jc w:val="center"/>
        <w:rPr>
          <w:color w:val="auto"/>
          <w:highlight w:val="none"/>
        </w:rPr>
      </w:pPr>
      <w:r>
        <w:rPr>
          <w:rFonts w:ascii="黑体" w:hAnsi="宋体" w:eastAsia="黑体" w:cs="黑体"/>
          <w:color w:val="auto"/>
          <w:kern w:val="0"/>
          <w:sz w:val="30"/>
          <w:szCs w:val="30"/>
          <w:highlight w:val="none"/>
          <w:lang w:val="en-US" w:eastAsia="zh-CN" w:bidi="ar"/>
        </w:rPr>
        <w:t>第一个信封（商务及技术文件）</w:t>
      </w:r>
    </w:p>
    <w:p w14:paraId="4BCA94CD">
      <w:pPr>
        <w:spacing w:before="202" w:line="188" w:lineRule="auto"/>
        <w:ind w:firstLine="3622"/>
        <w:jc w:val="center"/>
        <w:rPr>
          <w:rFonts w:hint="eastAsia" w:ascii="宋体" w:hAnsi="宋体" w:eastAsia="宋体" w:cs="宋体"/>
          <w:color w:val="auto"/>
          <w:sz w:val="24"/>
          <w:szCs w:val="24"/>
          <w:highlight w:val="none"/>
        </w:rPr>
      </w:pPr>
    </w:p>
    <w:p w14:paraId="3DB0BBF3">
      <w:pPr>
        <w:spacing w:line="242" w:lineRule="auto"/>
        <w:rPr>
          <w:rFonts w:hint="eastAsia" w:ascii="宋体" w:hAnsi="宋体" w:eastAsia="宋体" w:cs="宋体"/>
          <w:color w:val="auto"/>
          <w:sz w:val="21"/>
          <w:highlight w:val="none"/>
        </w:rPr>
      </w:pPr>
    </w:p>
    <w:p w14:paraId="60F5CB7F">
      <w:pPr>
        <w:spacing w:line="242" w:lineRule="auto"/>
        <w:rPr>
          <w:rFonts w:hint="eastAsia" w:ascii="宋体" w:hAnsi="宋体" w:eastAsia="宋体" w:cs="宋体"/>
          <w:color w:val="auto"/>
          <w:sz w:val="21"/>
          <w:highlight w:val="none"/>
        </w:rPr>
      </w:pPr>
    </w:p>
    <w:p w14:paraId="16376074">
      <w:pPr>
        <w:spacing w:line="242" w:lineRule="auto"/>
        <w:rPr>
          <w:rFonts w:hint="eastAsia" w:ascii="宋体" w:hAnsi="宋体" w:eastAsia="宋体" w:cs="宋体"/>
          <w:color w:val="auto"/>
          <w:sz w:val="21"/>
          <w:highlight w:val="none"/>
        </w:rPr>
      </w:pPr>
    </w:p>
    <w:p w14:paraId="68DDBA89">
      <w:pPr>
        <w:spacing w:line="242" w:lineRule="auto"/>
        <w:rPr>
          <w:rFonts w:hint="eastAsia" w:ascii="宋体" w:hAnsi="宋体" w:eastAsia="宋体" w:cs="宋体"/>
          <w:color w:val="auto"/>
          <w:sz w:val="21"/>
          <w:highlight w:val="none"/>
        </w:rPr>
      </w:pPr>
    </w:p>
    <w:p w14:paraId="250A5E96">
      <w:pPr>
        <w:spacing w:line="243" w:lineRule="auto"/>
        <w:rPr>
          <w:rFonts w:hint="eastAsia" w:ascii="宋体" w:hAnsi="宋体" w:eastAsia="宋体" w:cs="宋体"/>
          <w:color w:val="auto"/>
          <w:sz w:val="21"/>
          <w:highlight w:val="none"/>
        </w:rPr>
      </w:pPr>
    </w:p>
    <w:p w14:paraId="7C6CDEB2">
      <w:pPr>
        <w:spacing w:line="243" w:lineRule="auto"/>
        <w:rPr>
          <w:rFonts w:hint="eastAsia" w:ascii="宋体" w:hAnsi="宋体" w:eastAsia="宋体" w:cs="宋体"/>
          <w:color w:val="auto"/>
          <w:sz w:val="21"/>
          <w:highlight w:val="none"/>
        </w:rPr>
      </w:pPr>
    </w:p>
    <w:p w14:paraId="5452A109">
      <w:pPr>
        <w:spacing w:line="243" w:lineRule="auto"/>
        <w:rPr>
          <w:rFonts w:hint="eastAsia" w:ascii="宋体" w:hAnsi="宋体" w:eastAsia="宋体" w:cs="宋体"/>
          <w:color w:val="auto"/>
          <w:sz w:val="21"/>
          <w:highlight w:val="none"/>
        </w:rPr>
      </w:pPr>
    </w:p>
    <w:p w14:paraId="259D42A0">
      <w:pPr>
        <w:spacing w:line="243" w:lineRule="auto"/>
        <w:rPr>
          <w:rFonts w:hint="eastAsia" w:ascii="宋体" w:hAnsi="宋体" w:eastAsia="宋体" w:cs="宋体"/>
          <w:color w:val="auto"/>
          <w:sz w:val="21"/>
          <w:highlight w:val="none"/>
        </w:rPr>
      </w:pPr>
    </w:p>
    <w:p w14:paraId="49BAB05F">
      <w:pPr>
        <w:spacing w:line="243" w:lineRule="auto"/>
        <w:rPr>
          <w:rFonts w:hint="eastAsia" w:ascii="宋体" w:hAnsi="宋体" w:eastAsia="宋体" w:cs="宋体"/>
          <w:color w:val="auto"/>
          <w:sz w:val="21"/>
          <w:highlight w:val="none"/>
        </w:rPr>
      </w:pPr>
    </w:p>
    <w:p w14:paraId="130F7913">
      <w:pPr>
        <w:spacing w:line="243" w:lineRule="auto"/>
        <w:rPr>
          <w:rFonts w:hint="eastAsia" w:ascii="宋体" w:hAnsi="宋体" w:eastAsia="宋体" w:cs="宋体"/>
          <w:color w:val="auto"/>
          <w:sz w:val="21"/>
          <w:highlight w:val="none"/>
        </w:rPr>
      </w:pPr>
    </w:p>
    <w:p w14:paraId="254776A5">
      <w:pPr>
        <w:tabs>
          <w:tab w:val="left" w:pos="3327"/>
        </w:tabs>
        <w:spacing w:before="88" w:line="480" w:lineRule="auto"/>
        <w:ind w:left="2018" w:right="797" w:hanging="1240"/>
        <w:jc w:val="center"/>
        <w:rPr>
          <w:rFonts w:hint="eastAsia" w:ascii="宋体" w:hAnsi="宋体" w:eastAsia="宋体" w:cs="宋体"/>
          <w:color w:val="auto"/>
          <w:spacing w:val="33"/>
          <w:sz w:val="27"/>
          <w:szCs w:val="27"/>
          <w:highlight w:val="none"/>
        </w:rPr>
      </w:pPr>
      <w:r>
        <w:rPr>
          <w:rFonts w:hint="eastAsia" w:ascii="宋体" w:hAnsi="宋体" w:eastAsia="宋体" w:cs="宋体"/>
          <w:color w:val="auto"/>
          <w:spacing w:val="-26"/>
          <w:w w:val="97"/>
          <w:sz w:val="27"/>
          <w:szCs w:val="27"/>
          <w:highlight w:val="none"/>
        </w:rPr>
        <w:t>投标人</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
          <w:sz w:val="27"/>
          <w:szCs w:val="27"/>
          <w:highlight w:val="none"/>
          <w:u w:val="single" w:color="auto"/>
        </w:rPr>
        <w:t xml:space="preserve">                                   </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6"/>
          <w:w w:val="97"/>
          <w:sz w:val="27"/>
          <w:szCs w:val="27"/>
          <w:highlight w:val="none"/>
        </w:rPr>
        <w:t>盖单位章）</w:t>
      </w:r>
    </w:p>
    <w:p w14:paraId="799ABC6D">
      <w:pPr>
        <w:tabs>
          <w:tab w:val="left" w:pos="3327"/>
        </w:tabs>
        <w:spacing w:before="88" w:line="480" w:lineRule="auto"/>
        <w:ind w:left="2018" w:right="797" w:hanging="1240"/>
        <w:jc w:val="center"/>
        <w:rPr>
          <w:rFonts w:hint="eastAsia" w:ascii="宋体" w:hAnsi="宋体" w:eastAsia="宋体" w:cs="宋体"/>
          <w:color w:val="auto"/>
          <w:sz w:val="27"/>
          <w:szCs w:val="27"/>
          <w:highlight w:val="none"/>
        </w:rPr>
      </w:pP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年</w:t>
      </w: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月</w:t>
      </w:r>
      <w:r>
        <w:rPr>
          <w:rFonts w:hint="eastAsia" w:ascii="宋体" w:hAnsi="宋体" w:eastAsia="宋体" w:cs="宋体"/>
          <w:color w:val="auto"/>
          <w:sz w:val="27"/>
          <w:szCs w:val="27"/>
          <w:highlight w:val="none"/>
          <w:u w:val="single" w:color="auto"/>
        </w:rPr>
        <w:t xml:space="preserve">      </w:t>
      </w:r>
      <w:r>
        <w:rPr>
          <w:rFonts w:hint="eastAsia" w:ascii="宋体" w:hAnsi="宋体" w:eastAsia="宋体" w:cs="宋体"/>
          <w:color w:val="auto"/>
          <w:spacing w:val="-8"/>
          <w:sz w:val="27"/>
          <w:szCs w:val="27"/>
          <w:highlight w:val="none"/>
        </w:rPr>
        <w:t>日</w:t>
      </w:r>
    </w:p>
    <w:p w14:paraId="1835E26A">
      <w:pPr>
        <w:spacing w:line="360" w:lineRule="auto"/>
        <w:rPr>
          <w:b/>
          <w:bCs/>
          <w:color w:val="auto"/>
          <w:highlight w:val="none"/>
        </w:rPr>
      </w:pPr>
    </w:p>
    <w:p w14:paraId="2F0D8B5D">
      <w:pPr>
        <w:spacing w:line="360" w:lineRule="auto"/>
        <w:jc w:val="center"/>
        <w:rPr>
          <w:rFonts w:eastAsia="黑体"/>
          <w:b/>
          <w:bCs/>
          <w:color w:val="auto"/>
          <w:sz w:val="32"/>
          <w:szCs w:val="32"/>
          <w:highlight w:val="none"/>
        </w:rPr>
      </w:pPr>
      <w:bookmarkStart w:id="242" w:name="_Toc494703669"/>
    </w:p>
    <w:p w14:paraId="4207A845">
      <w:pPr>
        <w:spacing w:line="360" w:lineRule="auto"/>
        <w:jc w:val="center"/>
        <w:rPr>
          <w:rFonts w:eastAsia="黑体"/>
          <w:b/>
          <w:bCs/>
          <w:color w:val="auto"/>
          <w:sz w:val="24"/>
          <w:highlight w:val="none"/>
        </w:rPr>
      </w:pPr>
    </w:p>
    <w:p w14:paraId="02E8424E">
      <w:pPr>
        <w:pStyle w:val="74"/>
        <w:rPr>
          <w:rFonts w:eastAsia="黑体"/>
          <w:b/>
          <w:bCs/>
          <w:color w:val="auto"/>
          <w:sz w:val="24"/>
          <w:highlight w:val="none"/>
        </w:rPr>
      </w:pPr>
    </w:p>
    <w:p w14:paraId="1BA54B2D">
      <w:pPr>
        <w:rPr>
          <w:rFonts w:eastAsia="黑体"/>
          <w:b/>
          <w:bCs/>
          <w:color w:val="auto"/>
          <w:sz w:val="24"/>
          <w:highlight w:val="none"/>
        </w:rPr>
      </w:pPr>
    </w:p>
    <w:p w14:paraId="0A4A1DD6">
      <w:pPr>
        <w:pStyle w:val="74"/>
        <w:rPr>
          <w:rFonts w:eastAsia="黑体"/>
          <w:b/>
          <w:bCs/>
          <w:color w:val="auto"/>
          <w:sz w:val="24"/>
          <w:highlight w:val="none"/>
        </w:rPr>
      </w:pPr>
    </w:p>
    <w:p w14:paraId="0D2B22CD">
      <w:pPr>
        <w:rPr>
          <w:rFonts w:eastAsia="黑体"/>
          <w:b/>
          <w:bCs/>
          <w:color w:val="auto"/>
          <w:sz w:val="24"/>
          <w:highlight w:val="none"/>
        </w:rPr>
      </w:pPr>
    </w:p>
    <w:p w14:paraId="63E81675">
      <w:pPr>
        <w:pStyle w:val="74"/>
        <w:rPr>
          <w:rFonts w:eastAsia="黑体"/>
          <w:b/>
          <w:bCs/>
          <w:color w:val="auto"/>
          <w:sz w:val="24"/>
          <w:highlight w:val="none"/>
        </w:rPr>
      </w:pPr>
    </w:p>
    <w:p w14:paraId="1AEBEC20">
      <w:pPr>
        <w:rPr>
          <w:rFonts w:eastAsia="黑体"/>
          <w:b/>
          <w:bCs/>
          <w:color w:val="auto"/>
          <w:sz w:val="24"/>
          <w:highlight w:val="none"/>
        </w:rPr>
      </w:pPr>
    </w:p>
    <w:p w14:paraId="2F676832">
      <w:pPr>
        <w:spacing w:before="71" w:line="181" w:lineRule="auto"/>
        <w:jc w:val="center"/>
        <w:rPr>
          <w:rFonts w:hint="eastAsia" w:ascii="宋体" w:hAnsi="宋体" w:eastAsia="宋体" w:cs="宋体"/>
          <w:b/>
          <w:bCs/>
          <w:color w:val="auto"/>
          <w:spacing w:val="-6"/>
          <w:sz w:val="28"/>
          <w:szCs w:val="28"/>
          <w:highlight w:val="none"/>
          <w:lang w:val="en-US" w:eastAsia="zh-CN"/>
        </w:rPr>
      </w:pPr>
    </w:p>
    <w:p w14:paraId="47163851">
      <w:pPr>
        <w:spacing w:before="71" w:line="181" w:lineRule="auto"/>
        <w:jc w:val="center"/>
        <w:rPr>
          <w:rFonts w:hint="eastAsia" w:ascii="宋体" w:hAnsi="宋体" w:eastAsia="宋体" w:cs="宋体"/>
          <w:b/>
          <w:bCs/>
          <w:color w:val="auto"/>
          <w:spacing w:val="-6"/>
          <w:sz w:val="28"/>
          <w:szCs w:val="28"/>
          <w:highlight w:val="none"/>
          <w:lang w:val="en-US" w:eastAsia="zh-CN"/>
        </w:rPr>
      </w:pPr>
    </w:p>
    <w:p w14:paraId="6498974E">
      <w:pPr>
        <w:spacing w:before="71" w:line="181" w:lineRule="auto"/>
        <w:jc w:val="center"/>
        <w:rPr>
          <w:rFonts w:hint="default" w:ascii="宋体" w:hAnsi="宋体" w:eastAsia="宋体" w:cs="宋体"/>
          <w:b/>
          <w:bCs/>
          <w:color w:val="auto"/>
          <w:spacing w:val="-6"/>
          <w:sz w:val="28"/>
          <w:szCs w:val="28"/>
          <w:highlight w:val="none"/>
          <w:lang w:val="en-US" w:eastAsia="zh-CN"/>
        </w:rPr>
      </w:pPr>
      <w:r>
        <w:rPr>
          <w:rFonts w:hint="eastAsia" w:ascii="宋体" w:hAnsi="宋体" w:eastAsia="宋体" w:cs="宋体"/>
          <w:b/>
          <w:bCs/>
          <w:color w:val="auto"/>
          <w:spacing w:val="-6"/>
          <w:sz w:val="28"/>
          <w:szCs w:val="28"/>
          <w:highlight w:val="none"/>
          <w:lang w:val="en-US" w:eastAsia="zh-CN"/>
        </w:rPr>
        <w:t>目    录</w:t>
      </w:r>
    </w:p>
    <w:p w14:paraId="3053AEDF">
      <w:pPr>
        <w:keepNext w:val="0"/>
        <w:keepLines w:val="0"/>
        <w:widowControl/>
        <w:suppressLineNumbers w:val="0"/>
        <w:spacing w:line="360" w:lineRule="auto"/>
        <w:jc w:val="left"/>
        <w:rPr>
          <w:color w:val="auto"/>
          <w:sz w:val="22"/>
          <w:szCs w:val="22"/>
          <w:highlight w:val="none"/>
        </w:rPr>
      </w:pPr>
      <w:r>
        <w:rPr>
          <w:color w:val="auto"/>
          <w:sz w:val="22"/>
          <w:szCs w:val="22"/>
          <w:highlight w:val="none"/>
        </w:rPr>
        <w:t>一、</w:t>
      </w:r>
      <w:r>
        <w:rPr>
          <w:rFonts w:hint="default" w:ascii="Times New Roman" w:hAnsi="Times New Roman" w:eastAsia="宋体" w:cs="Times New Roman"/>
          <w:color w:val="auto"/>
          <w:kern w:val="2"/>
          <w:sz w:val="22"/>
          <w:szCs w:val="22"/>
          <w:highlight w:val="none"/>
          <w:lang w:val="en-US" w:eastAsia="zh-CN" w:bidi="ar"/>
        </w:rPr>
        <w:t>投标函（不含报价）</w:t>
      </w:r>
    </w:p>
    <w:p w14:paraId="4233E425">
      <w:pPr>
        <w:spacing w:line="360" w:lineRule="auto"/>
        <w:rPr>
          <w:color w:val="auto"/>
          <w:sz w:val="22"/>
          <w:szCs w:val="22"/>
          <w:highlight w:val="none"/>
        </w:rPr>
      </w:pPr>
      <w:r>
        <w:rPr>
          <w:color w:val="auto"/>
          <w:sz w:val="22"/>
          <w:szCs w:val="22"/>
          <w:highlight w:val="none"/>
        </w:rPr>
        <w:t>二、法定代表人身份证明或授权委托书</w:t>
      </w:r>
    </w:p>
    <w:p w14:paraId="5437BB50">
      <w:pPr>
        <w:spacing w:line="360" w:lineRule="auto"/>
        <w:rPr>
          <w:color w:val="auto"/>
          <w:sz w:val="22"/>
          <w:szCs w:val="22"/>
          <w:highlight w:val="none"/>
        </w:rPr>
      </w:pPr>
      <w:r>
        <w:rPr>
          <w:color w:val="auto"/>
          <w:sz w:val="22"/>
          <w:szCs w:val="22"/>
          <w:highlight w:val="none"/>
        </w:rPr>
        <w:t>三、投标保证金</w:t>
      </w:r>
    </w:p>
    <w:p w14:paraId="7EDBB47A">
      <w:pPr>
        <w:spacing w:line="360" w:lineRule="auto"/>
        <w:rPr>
          <w:color w:val="auto"/>
          <w:sz w:val="22"/>
          <w:szCs w:val="22"/>
          <w:highlight w:val="none"/>
        </w:rPr>
      </w:pPr>
      <w:r>
        <w:rPr>
          <w:rFonts w:hint="eastAsia"/>
          <w:color w:val="auto"/>
          <w:sz w:val="22"/>
          <w:szCs w:val="22"/>
          <w:highlight w:val="none"/>
          <w:lang w:val="en-US" w:eastAsia="zh-CN"/>
        </w:rPr>
        <w:t>四</w:t>
      </w:r>
      <w:r>
        <w:rPr>
          <w:color w:val="auto"/>
          <w:sz w:val="22"/>
          <w:szCs w:val="22"/>
          <w:highlight w:val="none"/>
        </w:rPr>
        <w:t>、资格审查资料</w:t>
      </w:r>
    </w:p>
    <w:p w14:paraId="212F589D">
      <w:pPr>
        <w:spacing w:line="360" w:lineRule="auto"/>
        <w:ind w:left="0" w:leftChars="0" w:firstLine="0" w:firstLineChars="0"/>
        <w:rPr>
          <w:rFonts w:eastAsia="宋体"/>
          <w:b w:val="0"/>
          <w:bCs w:val="0"/>
          <w:color w:val="auto"/>
          <w:sz w:val="22"/>
          <w:szCs w:val="22"/>
          <w:highlight w:val="none"/>
        </w:rPr>
      </w:pPr>
      <w:r>
        <w:rPr>
          <w:rFonts w:hint="eastAsia"/>
          <w:b w:val="0"/>
          <w:bCs w:val="0"/>
          <w:color w:val="auto"/>
          <w:sz w:val="22"/>
          <w:szCs w:val="22"/>
          <w:highlight w:val="none"/>
          <w:lang w:val="en-US" w:eastAsia="zh-CN"/>
        </w:rPr>
        <w:t>五</w:t>
      </w:r>
      <w:r>
        <w:rPr>
          <w:rFonts w:hint="default" w:eastAsia="宋体"/>
          <w:b w:val="0"/>
          <w:bCs w:val="0"/>
          <w:color w:val="auto"/>
          <w:sz w:val="22"/>
          <w:szCs w:val="22"/>
          <w:highlight w:val="none"/>
          <w:lang w:val="en-US" w:eastAsia="zh-CN"/>
        </w:rPr>
        <w:t xml:space="preserve">、技术建议书 </w:t>
      </w:r>
    </w:p>
    <w:p w14:paraId="28A4D50F">
      <w:pPr>
        <w:spacing w:line="360" w:lineRule="auto"/>
        <w:ind w:left="0" w:leftChars="0" w:firstLine="0" w:firstLineChars="0"/>
        <w:rPr>
          <w:rFonts w:eastAsia="宋体"/>
          <w:b w:val="0"/>
          <w:bCs w:val="0"/>
          <w:color w:val="auto"/>
          <w:sz w:val="22"/>
          <w:szCs w:val="22"/>
          <w:highlight w:val="none"/>
        </w:rPr>
      </w:pPr>
      <w:r>
        <w:rPr>
          <w:rFonts w:hint="eastAsia"/>
          <w:b w:val="0"/>
          <w:bCs w:val="0"/>
          <w:color w:val="auto"/>
          <w:sz w:val="22"/>
          <w:szCs w:val="22"/>
          <w:highlight w:val="none"/>
          <w:lang w:val="en-US" w:eastAsia="zh-CN"/>
        </w:rPr>
        <w:t>六</w:t>
      </w:r>
      <w:r>
        <w:rPr>
          <w:rFonts w:hint="default" w:eastAsia="宋体"/>
          <w:b w:val="0"/>
          <w:bCs w:val="0"/>
          <w:color w:val="auto"/>
          <w:sz w:val="22"/>
          <w:szCs w:val="22"/>
          <w:highlight w:val="none"/>
          <w:lang w:val="en-US" w:eastAsia="zh-CN"/>
        </w:rPr>
        <w:t>、其他材料</w:t>
      </w:r>
    </w:p>
    <w:p w14:paraId="40ADD21F">
      <w:pPr>
        <w:spacing w:line="360" w:lineRule="auto"/>
        <w:ind w:left="0" w:leftChars="0" w:firstLine="0" w:firstLineChars="0"/>
        <w:rPr>
          <w:rFonts w:eastAsia="宋体"/>
          <w:b w:val="0"/>
          <w:bCs w:val="0"/>
          <w:color w:val="auto"/>
          <w:sz w:val="22"/>
          <w:szCs w:val="22"/>
          <w:highlight w:val="none"/>
        </w:rPr>
      </w:pPr>
    </w:p>
    <w:p w14:paraId="6F6ECAF3">
      <w:pPr>
        <w:spacing w:line="360" w:lineRule="auto"/>
        <w:jc w:val="center"/>
        <w:rPr>
          <w:b/>
          <w:bCs/>
          <w:color w:val="auto"/>
          <w:highlight w:val="none"/>
        </w:rPr>
      </w:pPr>
      <w:r>
        <w:rPr>
          <w:b/>
          <w:bCs/>
          <w:color w:val="auto"/>
          <w:highlight w:val="none"/>
        </w:rPr>
        <w:br w:type="page"/>
      </w:r>
      <w:bookmarkStart w:id="243" w:name="_Toc144974857"/>
      <w:bookmarkStart w:id="244" w:name="_Toc179632808"/>
      <w:bookmarkStart w:id="245" w:name="_Toc152042577"/>
      <w:bookmarkStart w:id="246" w:name="_Toc152045788"/>
    </w:p>
    <w:p w14:paraId="05438E2B">
      <w:pPr>
        <w:numPr>
          <w:ilvl w:val="0"/>
          <w:numId w:val="3"/>
        </w:numPr>
        <w:spacing w:line="360" w:lineRule="auto"/>
        <w:jc w:val="center"/>
        <w:rPr>
          <w:rFonts w:hint="eastAsia" w:eastAsia="黑体"/>
          <w:b/>
          <w:bCs/>
          <w:color w:val="auto"/>
          <w:sz w:val="30"/>
          <w:highlight w:val="none"/>
          <w:lang w:val="en-US" w:eastAsia="zh-CN"/>
        </w:rPr>
      </w:pPr>
      <w:r>
        <w:rPr>
          <w:rFonts w:hint="eastAsia" w:eastAsia="黑体"/>
          <w:b/>
          <w:bCs/>
          <w:color w:val="auto"/>
          <w:sz w:val="30"/>
          <w:highlight w:val="none"/>
          <w:lang w:val="en-US" w:eastAsia="zh-CN"/>
        </w:rPr>
        <w:t>投标函</w:t>
      </w:r>
    </w:p>
    <w:bookmarkEnd w:id="243"/>
    <w:bookmarkEnd w:id="244"/>
    <w:bookmarkEnd w:id="245"/>
    <w:bookmarkEnd w:id="246"/>
    <w:p w14:paraId="5058D76C">
      <w:pPr>
        <w:spacing w:line="440" w:lineRule="exact"/>
        <w:rPr>
          <w:color w:val="auto"/>
          <w:sz w:val="22"/>
          <w:szCs w:val="22"/>
          <w:highlight w:val="none"/>
          <w:u w:val="single"/>
        </w:rPr>
      </w:pPr>
      <w:r>
        <w:rPr>
          <w:rFonts w:hint="eastAsia"/>
          <w:color w:val="auto"/>
          <w:sz w:val="22"/>
          <w:szCs w:val="22"/>
          <w:highlight w:val="none"/>
          <w:u w:val="single"/>
          <w:lang w:val="en-US" w:eastAsia="zh-CN"/>
        </w:rPr>
        <w:t>安徽滁扬高速公路有限公司</w:t>
      </w:r>
      <w:r>
        <w:rPr>
          <w:color w:val="auto"/>
          <w:sz w:val="22"/>
          <w:szCs w:val="22"/>
          <w:highlight w:val="none"/>
          <w:u w:val="single"/>
        </w:rPr>
        <w:t>：</w:t>
      </w:r>
    </w:p>
    <w:p w14:paraId="589BB21A">
      <w:pPr>
        <w:widowControl/>
        <w:spacing w:line="440" w:lineRule="exact"/>
        <w:ind w:firstLine="440" w:firstLineChars="200"/>
        <w:jc w:val="left"/>
        <w:rPr>
          <w:b w:val="0"/>
          <w:bCs w:val="0"/>
          <w:color w:val="auto"/>
          <w:sz w:val="22"/>
          <w:szCs w:val="22"/>
          <w:highlight w:val="none"/>
          <w:u w:val="none"/>
        </w:rPr>
      </w:pPr>
      <w:bookmarkStart w:id="247" w:name="_Toc152045790"/>
      <w:bookmarkStart w:id="248" w:name="_Toc179632810"/>
      <w:bookmarkStart w:id="249" w:name="_Toc152042579"/>
      <w:bookmarkStart w:id="250" w:name="_Toc144974859"/>
      <w:r>
        <w:rPr>
          <w:color w:val="auto"/>
          <w:sz w:val="22"/>
          <w:szCs w:val="22"/>
          <w:highlight w:val="none"/>
        </w:rPr>
        <w:t>1．我方已仔细研究了</w:t>
      </w:r>
      <w:r>
        <w:rPr>
          <w:rFonts w:hint="eastAsia"/>
          <w:color w:val="auto"/>
          <w:sz w:val="22"/>
          <w:szCs w:val="22"/>
          <w:highlight w:val="none"/>
          <w:u w:val="single"/>
        </w:rPr>
        <w:t xml:space="preserve"> </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（招标项目名称）招</w:t>
      </w:r>
      <w:r>
        <w:rPr>
          <w:color w:val="auto"/>
          <w:sz w:val="22"/>
          <w:szCs w:val="22"/>
          <w:highlight w:val="none"/>
        </w:rPr>
        <w:t>标文件的全部内容</w:t>
      </w:r>
      <w:r>
        <w:rPr>
          <w:rFonts w:hint="eastAsia" w:ascii="宋体" w:hAnsi="宋体" w:eastAsia="宋体" w:cs="宋体"/>
          <w:color w:val="auto"/>
          <w:kern w:val="0"/>
          <w:sz w:val="22"/>
          <w:szCs w:val="22"/>
          <w:highlight w:val="none"/>
          <w:lang w:val="en-US" w:eastAsia="zh-CN" w:bidi="ar"/>
        </w:rPr>
        <w:t>（含补遗书第</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号至第</w:t>
      </w:r>
      <w:r>
        <w:rPr>
          <w:rFonts w:hint="eastAsia" w:ascii="宋体" w:hAnsi="宋体" w:eastAsia="宋体" w:cs="宋体"/>
          <w:color w:val="auto"/>
          <w:kern w:val="0"/>
          <w:sz w:val="22"/>
          <w:szCs w:val="22"/>
          <w:highlight w:val="none"/>
          <w:u w:val="single"/>
          <w:lang w:val="en-US" w:eastAsia="zh-CN" w:bidi="ar"/>
        </w:rPr>
        <w:t xml:space="preserve">    </w:t>
      </w:r>
      <w:r>
        <w:rPr>
          <w:rFonts w:hint="eastAsia" w:ascii="宋体" w:hAnsi="宋体" w:eastAsia="宋体" w:cs="宋体"/>
          <w:color w:val="auto"/>
          <w:kern w:val="0"/>
          <w:sz w:val="22"/>
          <w:szCs w:val="22"/>
          <w:highlight w:val="none"/>
          <w:lang w:val="en-US" w:eastAsia="zh-CN" w:bidi="ar"/>
        </w:rPr>
        <w:t>号）</w:t>
      </w:r>
      <w:r>
        <w:rPr>
          <w:color w:val="auto"/>
          <w:sz w:val="22"/>
          <w:szCs w:val="22"/>
          <w:highlight w:val="none"/>
        </w:rPr>
        <w:t>，在考察工程现场后，愿意以</w:t>
      </w:r>
      <w:r>
        <w:rPr>
          <w:rFonts w:hint="eastAsia"/>
          <w:b/>
          <w:bCs/>
          <w:color w:val="auto"/>
          <w:sz w:val="22"/>
          <w:szCs w:val="22"/>
          <w:highlight w:val="none"/>
          <w:u w:val="single"/>
          <w:lang w:val="en-US" w:eastAsia="zh-CN"/>
        </w:rPr>
        <w:t>第二个信封（报价文件）中</w:t>
      </w:r>
      <w:r>
        <w:rPr>
          <w:rFonts w:hint="eastAsia"/>
          <w:b w:val="0"/>
          <w:bCs w:val="0"/>
          <w:color w:val="auto"/>
          <w:sz w:val="22"/>
          <w:szCs w:val="22"/>
          <w:highlight w:val="none"/>
          <w:u w:val="none"/>
          <w:lang w:val="en-US" w:eastAsia="zh-CN"/>
        </w:rPr>
        <w:t>的</w:t>
      </w:r>
      <w:r>
        <w:rPr>
          <w:b w:val="0"/>
          <w:bCs w:val="0"/>
          <w:color w:val="auto"/>
          <w:sz w:val="22"/>
          <w:szCs w:val="22"/>
          <w:highlight w:val="none"/>
          <w:u w:val="none"/>
        </w:rPr>
        <w:t>投标总报价</w:t>
      </w:r>
      <w:r>
        <w:rPr>
          <w:rFonts w:hint="eastAsia"/>
          <w:b w:val="0"/>
          <w:bCs w:val="0"/>
          <w:color w:val="auto"/>
          <w:sz w:val="22"/>
          <w:szCs w:val="22"/>
          <w:highlight w:val="none"/>
          <w:u w:val="none"/>
          <w:lang w:val="en-US" w:eastAsia="zh-CN"/>
        </w:rPr>
        <w:t>（或根据招标文件规定修正核实后确定的另一金额）</w:t>
      </w:r>
      <w:r>
        <w:rPr>
          <w:b w:val="0"/>
          <w:bCs w:val="0"/>
          <w:color w:val="auto"/>
          <w:sz w:val="22"/>
          <w:szCs w:val="22"/>
          <w:highlight w:val="none"/>
          <w:u w:val="none"/>
        </w:rPr>
        <w:t>，</w:t>
      </w:r>
      <w:r>
        <w:rPr>
          <w:rFonts w:hint="eastAsia"/>
          <w:b w:val="0"/>
          <w:bCs w:val="0"/>
          <w:color w:val="auto"/>
          <w:sz w:val="22"/>
          <w:szCs w:val="22"/>
          <w:highlight w:val="none"/>
          <w:u w:val="none"/>
          <w:lang w:val="en-US" w:eastAsia="zh-CN"/>
        </w:rPr>
        <w:t>按合同约定完成中心试验室工作</w:t>
      </w:r>
      <w:r>
        <w:rPr>
          <w:b w:val="0"/>
          <w:bCs w:val="0"/>
          <w:color w:val="auto"/>
          <w:sz w:val="22"/>
          <w:szCs w:val="22"/>
          <w:highlight w:val="none"/>
          <w:u w:val="none"/>
        </w:rPr>
        <w:t>。</w:t>
      </w:r>
    </w:p>
    <w:p w14:paraId="586FF072">
      <w:pPr>
        <w:spacing w:line="440" w:lineRule="exact"/>
        <w:ind w:firstLine="440" w:firstLineChars="200"/>
        <w:rPr>
          <w:color w:val="auto"/>
          <w:sz w:val="22"/>
          <w:szCs w:val="22"/>
          <w:highlight w:val="none"/>
        </w:rPr>
      </w:pPr>
      <w:r>
        <w:rPr>
          <w:color w:val="auto"/>
          <w:sz w:val="22"/>
          <w:szCs w:val="22"/>
          <w:highlight w:val="none"/>
        </w:rPr>
        <w:t>2．我方承诺在投标有效期内不修改、撤销投标文件。</w:t>
      </w:r>
    </w:p>
    <w:p w14:paraId="4FDD47AD">
      <w:pPr>
        <w:spacing w:line="440" w:lineRule="exact"/>
        <w:ind w:firstLine="440" w:firstLineChars="200"/>
        <w:rPr>
          <w:rFonts w:hint="eastAsia"/>
          <w:color w:val="auto"/>
          <w:sz w:val="22"/>
          <w:szCs w:val="22"/>
          <w:highlight w:val="none"/>
          <w:u w:val="single"/>
          <w:lang w:val="en-US" w:eastAsia="zh-CN"/>
        </w:rPr>
      </w:pPr>
      <w:r>
        <w:rPr>
          <w:color w:val="auto"/>
          <w:sz w:val="22"/>
          <w:szCs w:val="22"/>
          <w:highlight w:val="none"/>
        </w:rPr>
        <w:t>3．</w:t>
      </w:r>
      <w:r>
        <w:rPr>
          <w:rFonts w:hint="eastAsia"/>
          <w:color w:val="auto"/>
          <w:sz w:val="22"/>
          <w:szCs w:val="22"/>
          <w:highlight w:val="none"/>
          <w:lang w:val="en-US" w:eastAsia="zh-CN"/>
        </w:rPr>
        <w:t>中心试验室主任姓名：</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 xml:space="preserve"> ，年龄：</w:t>
      </w:r>
      <w:r>
        <w:rPr>
          <w:rFonts w:hint="eastAsia"/>
          <w:color w:val="auto"/>
          <w:sz w:val="22"/>
          <w:szCs w:val="22"/>
          <w:highlight w:val="none"/>
          <w:u w:val="single"/>
          <w:lang w:val="en-US" w:eastAsia="zh-CN"/>
        </w:rPr>
        <w:t xml:space="preserve">          </w:t>
      </w:r>
      <w:r>
        <w:rPr>
          <w:rFonts w:hint="eastAsia"/>
          <w:color w:val="auto"/>
          <w:sz w:val="22"/>
          <w:szCs w:val="22"/>
          <w:highlight w:val="none"/>
          <w:lang w:val="en-US" w:eastAsia="zh-CN"/>
        </w:rPr>
        <w:t>，职称：</w:t>
      </w:r>
      <w:r>
        <w:rPr>
          <w:rFonts w:hint="eastAsia"/>
          <w:color w:val="auto"/>
          <w:sz w:val="22"/>
          <w:szCs w:val="22"/>
          <w:highlight w:val="none"/>
          <w:u w:val="single"/>
          <w:lang w:val="en-US" w:eastAsia="zh-CN"/>
        </w:rPr>
        <w:t xml:space="preserve">          </w:t>
      </w:r>
      <w:r>
        <w:rPr>
          <w:rFonts w:hint="eastAsia"/>
          <w:color w:val="auto"/>
          <w:sz w:val="22"/>
          <w:szCs w:val="22"/>
          <w:highlight w:val="none"/>
          <w:u w:val="none"/>
          <w:lang w:val="en-US" w:eastAsia="zh-CN"/>
        </w:rPr>
        <w:t>，试验检测工程师资格证书：</w:t>
      </w:r>
      <w:r>
        <w:rPr>
          <w:rFonts w:hint="eastAsia"/>
          <w:color w:val="auto"/>
          <w:sz w:val="22"/>
          <w:szCs w:val="22"/>
          <w:highlight w:val="none"/>
          <w:u w:val="single"/>
          <w:lang w:val="en-US" w:eastAsia="zh-CN"/>
        </w:rPr>
        <w:t xml:space="preserve">                     。 </w:t>
      </w:r>
    </w:p>
    <w:p w14:paraId="427A1B70">
      <w:pPr>
        <w:spacing w:line="440" w:lineRule="exact"/>
        <w:ind w:firstLine="440" w:firstLineChars="200"/>
        <w:rPr>
          <w:color w:val="auto"/>
          <w:sz w:val="22"/>
          <w:szCs w:val="22"/>
          <w:highlight w:val="none"/>
        </w:rPr>
      </w:pPr>
      <w:r>
        <w:rPr>
          <w:rFonts w:hint="eastAsia"/>
          <w:color w:val="auto"/>
          <w:sz w:val="22"/>
          <w:szCs w:val="22"/>
          <w:highlight w:val="none"/>
          <w:lang w:val="en-US" w:eastAsia="zh-CN"/>
        </w:rPr>
        <w:t>4.质量要求：</w:t>
      </w:r>
      <w:r>
        <w:rPr>
          <w:rFonts w:hint="eastAsia"/>
          <w:color w:val="auto"/>
          <w:sz w:val="22"/>
          <w:szCs w:val="22"/>
          <w:highlight w:val="none"/>
          <w:u w:val="single"/>
          <w:lang w:val="en-US" w:eastAsia="zh-CN"/>
        </w:rPr>
        <w:t>响应招标文件要求</w:t>
      </w:r>
      <w:r>
        <w:rPr>
          <w:rFonts w:hint="eastAsia"/>
          <w:color w:val="auto"/>
          <w:sz w:val="22"/>
          <w:szCs w:val="22"/>
          <w:highlight w:val="none"/>
          <w:lang w:val="en-US" w:eastAsia="zh-CN"/>
        </w:rPr>
        <w:t>；安全目标：</w:t>
      </w:r>
      <w:r>
        <w:rPr>
          <w:rFonts w:hint="eastAsia"/>
          <w:color w:val="auto"/>
          <w:sz w:val="22"/>
          <w:szCs w:val="22"/>
          <w:highlight w:val="none"/>
          <w:u w:val="single"/>
          <w:lang w:val="en-US" w:eastAsia="zh-CN"/>
        </w:rPr>
        <w:t>响应招标文件要求</w:t>
      </w:r>
      <w:r>
        <w:rPr>
          <w:rFonts w:hint="eastAsia"/>
          <w:color w:val="auto"/>
          <w:sz w:val="22"/>
          <w:szCs w:val="22"/>
          <w:highlight w:val="none"/>
          <w:lang w:val="en-US" w:eastAsia="zh-CN"/>
        </w:rPr>
        <w:t>；服务期：</w:t>
      </w:r>
      <w:r>
        <w:rPr>
          <w:rFonts w:hint="eastAsia"/>
          <w:color w:val="auto"/>
          <w:sz w:val="22"/>
          <w:szCs w:val="22"/>
          <w:highlight w:val="none"/>
          <w:u w:val="single"/>
          <w:lang w:val="en-US" w:eastAsia="zh-CN"/>
        </w:rPr>
        <w:t>响应招标文件要求。</w:t>
      </w:r>
      <w:r>
        <w:rPr>
          <w:rFonts w:hint="eastAsia"/>
          <w:color w:val="auto"/>
          <w:sz w:val="22"/>
          <w:szCs w:val="22"/>
          <w:highlight w:val="none"/>
          <w:lang w:val="en-US" w:eastAsia="zh-CN"/>
        </w:rPr>
        <w:t xml:space="preserve"> </w:t>
      </w:r>
    </w:p>
    <w:p w14:paraId="06389B34">
      <w:pPr>
        <w:spacing w:line="440" w:lineRule="exact"/>
        <w:ind w:firstLine="440" w:firstLineChars="200"/>
        <w:rPr>
          <w:color w:val="auto"/>
          <w:sz w:val="22"/>
          <w:szCs w:val="22"/>
          <w:highlight w:val="none"/>
        </w:rPr>
      </w:pPr>
      <w:r>
        <w:rPr>
          <w:rFonts w:hint="eastAsia"/>
          <w:color w:val="auto"/>
          <w:sz w:val="22"/>
          <w:szCs w:val="22"/>
          <w:highlight w:val="none"/>
          <w:lang w:val="en-US" w:eastAsia="zh-CN"/>
        </w:rPr>
        <w:t>5</w:t>
      </w:r>
      <w:r>
        <w:rPr>
          <w:color w:val="auto"/>
          <w:sz w:val="22"/>
          <w:szCs w:val="22"/>
          <w:highlight w:val="none"/>
        </w:rPr>
        <w:t>．我方将与本投标函一起提交投标保证金，且承诺投标保证金转出账户真实有效。</w:t>
      </w:r>
    </w:p>
    <w:p w14:paraId="2D690ACF">
      <w:pPr>
        <w:spacing w:line="440" w:lineRule="exact"/>
        <w:ind w:firstLine="440" w:firstLineChars="200"/>
        <w:rPr>
          <w:color w:val="auto"/>
          <w:sz w:val="22"/>
          <w:szCs w:val="22"/>
          <w:highlight w:val="none"/>
        </w:rPr>
      </w:pPr>
      <w:r>
        <w:rPr>
          <w:rFonts w:hint="eastAsia"/>
          <w:color w:val="auto"/>
          <w:sz w:val="22"/>
          <w:szCs w:val="22"/>
          <w:highlight w:val="none"/>
          <w:lang w:val="en-US" w:eastAsia="zh-CN"/>
        </w:rPr>
        <w:t>6</w:t>
      </w:r>
      <w:r>
        <w:rPr>
          <w:color w:val="auto"/>
          <w:sz w:val="22"/>
          <w:szCs w:val="22"/>
          <w:highlight w:val="none"/>
        </w:rPr>
        <w:t>．如我方中标，我方承诺：</w:t>
      </w:r>
    </w:p>
    <w:p w14:paraId="3DA6BEE1">
      <w:pPr>
        <w:spacing w:line="440" w:lineRule="exact"/>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（1）在收到中标通知书后，在中标通知书规定的期限内与你方签订合同；</w:t>
      </w:r>
    </w:p>
    <w:p w14:paraId="77CC8D11">
      <w:pPr>
        <w:spacing w:line="440" w:lineRule="exact"/>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（2）在签订合同时不向你方提出附加条件；</w:t>
      </w:r>
    </w:p>
    <w:p w14:paraId="4B3AC347">
      <w:pPr>
        <w:spacing w:line="440" w:lineRule="exact"/>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（3）按照招标文件要求提交履约保证金；</w:t>
      </w:r>
    </w:p>
    <w:p w14:paraId="093D1415">
      <w:pPr>
        <w:spacing w:line="440" w:lineRule="exact"/>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（4）在合同约定的期限内完成合同规定的全部义务；</w:t>
      </w:r>
    </w:p>
    <w:p w14:paraId="41DE91F3">
      <w:pPr>
        <w:spacing w:line="440" w:lineRule="exact"/>
        <w:ind w:firstLine="440" w:firstLineChars="200"/>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（5）</w:t>
      </w:r>
      <w:r>
        <w:rPr>
          <w:rFonts w:hint="eastAsia" w:ascii="Times New Roman" w:hAnsi="Times New Roman" w:eastAsia="宋体" w:cs="Times New Roman"/>
          <w:color w:val="auto"/>
          <w:sz w:val="22"/>
          <w:szCs w:val="22"/>
          <w:highlight w:val="none"/>
          <w:lang w:val="en-US" w:eastAsia="zh-CN"/>
        </w:rPr>
        <w:t>在你方和我方进行合同谈判之前，我方将按照合同附件提出的最低要求填报派驻的其他管理和技术人员及主要机械设备和试验检测设备，经你方审批后作为派驻本项目管理机构主要人员和主要设备且不进行更换。如我方拟派驻的人员和设备不满足合同附件要求，你方有权取消我方中标资格</w:t>
      </w:r>
      <w:r>
        <w:rPr>
          <w:rFonts w:ascii="Times New Roman" w:hAnsi="Times New Roman" w:eastAsia="宋体" w:cs="Times New Roman"/>
          <w:color w:val="auto"/>
          <w:sz w:val="22"/>
          <w:szCs w:val="22"/>
          <w:highlight w:val="none"/>
        </w:rPr>
        <w:t>；</w:t>
      </w:r>
    </w:p>
    <w:p w14:paraId="6BB6070F">
      <w:pPr>
        <w:spacing w:line="440" w:lineRule="exact"/>
        <w:ind w:firstLine="440" w:firstLineChars="200"/>
        <w:rPr>
          <w:color w:val="auto"/>
          <w:sz w:val="22"/>
          <w:szCs w:val="22"/>
          <w:highlight w:val="none"/>
        </w:rPr>
      </w:pPr>
      <w:r>
        <w:rPr>
          <w:rFonts w:hint="eastAsia"/>
          <w:color w:val="auto"/>
          <w:sz w:val="22"/>
          <w:szCs w:val="22"/>
          <w:highlight w:val="none"/>
          <w:lang w:val="en-US" w:eastAsia="zh-CN"/>
        </w:rPr>
        <w:t>7</w:t>
      </w:r>
      <w:r>
        <w:rPr>
          <w:color w:val="auto"/>
          <w:sz w:val="22"/>
          <w:szCs w:val="22"/>
          <w:highlight w:val="none"/>
        </w:rPr>
        <w:t>．我方在此声明，所递交的投标文件及有关资料内容完整、真实和准确，且不存在第二章“投标人须知”第1.4.3项和1.4.4项规定的任何一种情形。</w:t>
      </w:r>
    </w:p>
    <w:p w14:paraId="1AA8E84D">
      <w:pPr>
        <w:spacing w:line="440" w:lineRule="exact"/>
        <w:ind w:firstLine="440" w:firstLineChars="200"/>
        <w:rPr>
          <w:color w:val="auto"/>
          <w:sz w:val="22"/>
          <w:szCs w:val="22"/>
          <w:highlight w:val="none"/>
        </w:rPr>
      </w:pPr>
      <w:r>
        <w:rPr>
          <w:rFonts w:hint="eastAsia"/>
          <w:color w:val="auto"/>
          <w:sz w:val="22"/>
          <w:szCs w:val="22"/>
          <w:highlight w:val="none"/>
          <w:lang w:val="en-US" w:eastAsia="zh-CN"/>
        </w:rPr>
        <w:t>8</w:t>
      </w:r>
      <w:r>
        <w:rPr>
          <w:color w:val="auto"/>
          <w:sz w:val="22"/>
          <w:szCs w:val="22"/>
          <w:highlight w:val="none"/>
        </w:rPr>
        <w:t>．除非另外达成协议并生效，你方的中标通知书和本投标文件以及招标文件、招标文件澄清、修改、补充文件将成为约束双方的合同文件的组成部分。</w:t>
      </w:r>
    </w:p>
    <w:p w14:paraId="406FACEF">
      <w:pPr>
        <w:spacing w:line="440" w:lineRule="exact"/>
        <w:ind w:firstLine="442" w:firstLineChars="200"/>
        <w:rPr>
          <w:rFonts w:hint="eastAsia"/>
          <w:b/>
          <w:bCs/>
          <w:color w:val="auto"/>
          <w:sz w:val="22"/>
          <w:szCs w:val="22"/>
          <w:highlight w:val="none"/>
          <w:lang w:val="en-US" w:eastAsia="zh-CN"/>
        </w:rPr>
      </w:pPr>
      <w:r>
        <w:rPr>
          <w:rFonts w:hint="eastAsia"/>
          <w:b/>
          <w:bCs/>
          <w:color w:val="auto"/>
          <w:sz w:val="22"/>
          <w:szCs w:val="22"/>
          <w:highlight w:val="none"/>
          <w:lang w:val="en-US" w:eastAsia="zh-CN"/>
        </w:rPr>
        <w:t xml:space="preserve">9.我方在此声明，我单位非本项目施工单位工地试验室的母体机构，且不与所投标的试验室（检测）合同段对应工程的施工单位以及建筑材料、建筑构配件和设备供应单位有隶属关系或者其他利害关系。 </w:t>
      </w:r>
    </w:p>
    <w:p w14:paraId="48AAE03C">
      <w:pPr>
        <w:spacing w:line="440" w:lineRule="exact"/>
        <w:ind w:firstLine="442" w:firstLineChars="200"/>
        <w:rPr>
          <w:rFonts w:hint="eastAsia"/>
          <w:b/>
          <w:bCs/>
          <w:color w:val="auto"/>
          <w:sz w:val="22"/>
          <w:szCs w:val="22"/>
          <w:highlight w:val="none"/>
          <w:lang w:val="en-US" w:eastAsia="zh-CN"/>
        </w:rPr>
      </w:pPr>
      <w:r>
        <w:rPr>
          <w:rFonts w:hint="eastAsia"/>
          <w:b/>
          <w:bCs/>
          <w:color w:val="auto"/>
          <w:sz w:val="22"/>
          <w:szCs w:val="22"/>
          <w:highlight w:val="none"/>
          <w:lang w:val="en-US" w:eastAsia="zh-CN"/>
        </w:rPr>
        <w:t xml:space="preserve">10. 我方在此声明，我方在此声明，我单位在中标后将按照“第四章合同条款中附件三其他人员配置要求和附件四主要试验检测设备最低要求”中要求进行配置并按其要求提供相关材料。 </w:t>
      </w:r>
    </w:p>
    <w:p w14:paraId="7C6B08F9">
      <w:pPr>
        <w:spacing w:line="440" w:lineRule="exact"/>
        <w:ind w:firstLine="440" w:firstLineChars="200"/>
        <w:rPr>
          <w:color w:val="auto"/>
          <w:sz w:val="22"/>
          <w:szCs w:val="22"/>
          <w:highlight w:val="none"/>
          <w:u w:val="single"/>
        </w:rPr>
      </w:pPr>
      <w:r>
        <w:rPr>
          <w:rFonts w:hint="eastAsia"/>
          <w:color w:val="auto"/>
          <w:sz w:val="22"/>
          <w:szCs w:val="22"/>
          <w:highlight w:val="none"/>
          <w:lang w:val="en-US" w:eastAsia="zh-CN"/>
        </w:rPr>
        <w:t>11</w:t>
      </w:r>
      <w:r>
        <w:rPr>
          <w:color w:val="auto"/>
          <w:sz w:val="22"/>
          <w:szCs w:val="22"/>
          <w:highlight w:val="none"/>
        </w:rPr>
        <w:t>．在合同协议书正式签署生效之前，本投标函连同你方的中标通知书将构成我们双方之间共同遵守的文件，对双方具有约束力。</w:t>
      </w:r>
    </w:p>
    <w:p w14:paraId="416411EB">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rPr>
      </w:pPr>
      <w:r>
        <w:rPr>
          <w:color w:val="auto"/>
          <w:sz w:val="22"/>
          <w:szCs w:val="22"/>
          <w:highlight w:val="none"/>
        </w:rPr>
        <w:t>投 标 人：</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（盖单位章）</w:t>
      </w:r>
    </w:p>
    <w:p w14:paraId="078F522B">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rPr>
      </w:pPr>
      <w:r>
        <w:rPr>
          <w:color w:val="auto"/>
          <w:sz w:val="22"/>
          <w:szCs w:val="22"/>
          <w:highlight w:val="none"/>
        </w:rPr>
        <w:t>法定代表人或其委托代理人：</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（签字）</w:t>
      </w:r>
    </w:p>
    <w:p w14:paraId="103EE258">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rPr>
      </w:pPr>
      <w:r>
        <w:rPr>
          <w:color w:val="auto"/>
          <w:sz w:val="22"/>
          <w:szCs w:val="22"/>
          <w:highlight w:val="none"/>
        </w:rPr>
        <w:t>地址：</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7BF004F0">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rPr>
      </w:pPr>
      <w:r>
        <w:rPr>
          <w:color w:val="auto"/>
          <w:sz w:val="22"/>
          <w:szCs w:val="22"/>
          <w:highlight w:val="none"/>
        </w:rPr>
        <w:t>网址：</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7E086398">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rPr>
      </w:pPr>
      <w:r>
        <w:rPr>
          <w:color w:val="auto"/>
          <w:sz w:val="22"/>
          <w:szCs w:val="22"/>
          <w:highlight w:val="none"/>
        </w:rPr>
        <w:t>电话：</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0C8E0E94">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rPr>
      </w:pPr>
      <w:r>
        <w:rPr>
          <w:color w:val="auto"/>
          <w:sz w:val="22"/>
          <w:szCs w:val="22"/>
          <w:highlight w:val="none"/>
        </w:rPr>
        <w:t>传真：</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1D494E34">
      <w:pPr>
        <w:keepNext w:val="0"/>
        <w:keepLines w:val="0"/>
        <w:pageBreakBefore w:val="0"/>
        <w:widowControl w:val="0"/>
        <w:kinsoku/>
        <w:wordWrap/>
        <w:overflowPunct/>
        <w:topLinePunct w:val="0"/>
        <w:autoSpaceDE/>
        <w:autoSpaceDN/>
        <w:bidi w:val="0"/>
        <w:adjustRightInd/>
        <w:snapToGrid/>
        <w:spacing w:line="440" w:lineRule="exact"/>
        <w:ind w:firstLine="4510" w:firstLineChars="2050"/>
        <w:textAlignment w:val="auto"/>
        <w:rPr>
          <w:color w:val="auto"/>
          <w:sz w:val="22"/>
          <w:szCs w:val="22"/>
          <w:highlight w:val="none"/>
          <w:u w:val="single"/>
        </w:rPr>
      </w:pPr>
      <w:r>
        <w:rPr>
          <w:color w:val="auto"/>
          <w:sz w:val="22"/>
          <w:szCs w:val="22"/>
          <w:highlight w:val="none"/>
        </w:rPr>
        <w:t>邮政编码：</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3A68EDA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eastAsia="宋体"/>
          <w:color w:val="auto"/>
          <w:sz w:val="22"/>
          <w:szCs w:val="22"/>
          <w:highlight w:val="none"/>
          <w:u w:val="single"/>
          <w:lang w:val="en-US" w:eastAsia="zh-CN"/>
        </w:rPr>
      </w:pPr>
      <w:r>
        <w:rPr>
          <w:rFonts w:hint="eastAsia"/>
          <w:color w:val="auto"/>
          <w:sz w:val="22"/>
          <w:szCs w:val="22"/>
          <w:highlight w:val="none"/>
          <w:u w:val="none"/>
          <w:lang w:val="en-US" w:eastAsia="zh-CN"/>
        </w:rPr>
        <w:t>投标人基本账户开户名、账号、开户行：</w:t>
      </w:r>
      <w:r>
        <w:rPr>
          <w:rFonts w:hint="eastAsia"/>
          <w:color w:val="auto"/>
          <w:sz w:val="22"/>
          <w:szCs w:val="22"/>
          <w:highlight w:val="none"/>
          <w:u w:val="single"/>
          <w:lang w:val="en-US" w:eastAsia="zh-CN"/>
        </w:rPr>
        <w:t xml:space="preserve">                             </w:t>
      </w:r>
    </w:p>
    <w:p w14:paraId="7F55F2B9">
      <w:pPr>
        <w:spacing w:line="440" w:lineRule="exact"/>
        <w:ind w:firstLine="5940" w:firstLineChars="2700"/>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14:paraId="26F22168">
      <w:pPr>
        <w:spacing w:line="276" w:lineRule="auto"/>
        <w:ind w:firstLine="0" w:firstLineChars="0"/>
        <w:jc w:val="left"/>
        <w:rPr>
          <w:rFonts w:hint="eastAsia"/>
          <w:color w:val="auto"/>
          <w:sz w:val="22"/>
          <w:szCs w:val="22"/>
          <w:highlight w:val="none"/>
          <w:lang w:val="en-US" w:eastAsia="zh-CN"/>
        </w:rPr>
      </w:pPr>
    </w:p>
    <w:p w14:paraId="7E22DEFF">
      <w:pPr>
        <w:spacing w:line="276" w:lineRule="auto"/>
        <w:ind w:firstLine="5940" w:firstLineChars="2700"/>
        <w:rPr>
          <w:color w:val="auto"/>
          <w:sz w:val="22"/>
          <w:szCs w:val="22"/>
          <w:highlight w:val="none"/>
        </w:rPr>
      </w:pPr>
    </w:p>
    <w:p w14:paraId="063522A3">
      <w:pPr>
        <w:pStyle w:val="95"/>
        <w:rPr>
          <w:color w:val="auto"/>
          <w:highlight w:val="none"/>
        </w:rPr>
      </w:pPr>
    </w:p>
    <w:p w14:paraId="7A89FC87">
      <w:pPr>
        <w:pStyle w:val="95"/>
        <w:rPr>
          <w:color w:val="auto"/>
          <w:highlight w:val="none"/>
        </w:rPr>
      </w:pPr>
    </w:p>
    <w:p w14:paraId="3DC3AE19">
      <w:pPr>
        <w:pStyle w:val="95"/>
        <w:rPr>
          <w:color w:val="auto"/>
          <w:highlight w:val="none"/>
        </w:rPr>
      </w:pPr>
    </w:p>
    <w:p w14:paraId="31051F0A">
      <w:pPr>
        <w:pStyle w:val="95"/>
        <w:rPr>
          <w:color w:val="auto"/>
          <w:highlight w:val="none"/>
        </w:rPr>
      </w:pPr>
    </w:p>
    <w:p w14:paraId="7D8E94A4">
      <w:pPr>
        <w:pStyle w:val="95"/>
        <w:rPr>
          <w:color w:val="auto"/>
          <w:highlight w:val="none"/>
        </w:rPr>
      </w:pPr>
    </w:p>
    <w:p w14:paraId="4DB73444">
      <w:pPr>
        <w:pStyle w:val="95"/>
        <w:rPr>
          <w:color w:val="auto"/>
          <w:highlight w:val="none"/>
        </w:rPr>
      </w:pPr>
    </w:p>
    <w:p w14:paraId="149858CC">
      <w:pPr>
        <w:pStyle w:val="95"/>
        <w:rPr>
          <w:color w:val="auto"/>
          <w:highlight w:val="none"/>
        </w:rPr>
      </w:pPr>
    </w:p>
    <w:p w14:paraId="5E0CBAF6">
      <w:pPr>
        <w:pStyle w:val="95"/>
        <w:rPr>
          <w:color w:val="auto"/>
          <w:highlight w:val="none"/>
        </w:rPr>
      </w:pPr>
    </w:p>
    <w:p w14:paraId="5638D595">
      <w:pPr>
        <w:pStyle w:val="95"/>
        <w:rPr>
          <w:color w:val="auto"/>
          <w:highlight w:val="none"/>
        </w:rPr>
      </w:pPr>
    </w:p>
    <w:p w14:paraId="394EFA77">
      <w:pPr>
        <w:pStyle w:val="95"/>
        <w:rPr>
          <w:color w:val="auto"/>
          <w:highlight w:val="none"/>
        </w:rPr>
      </w:pPr>
    </w:p>
    <w:p w14:paraId="46A870EA">
      <w:pPr>
        <w:pStyle w:val="95"/>
        <w:rPr>
          <w:color w:val="auto"/>
          <w:highlight w:val="none"/>
        </w:rPr>
      </w:pPr>
    </w:p>
    <w:p w14:paraId="7D5B031B">
      <w:pPr>
        <w:pStyle w:val="95"/>
        <w:rPr>
          <w:color w:val="auto"/>
          <w:highlight w:val="none"/>
        </w:rPr>
      </w:pPr>
    </w:p>
    <w:p w14:paraId="7F71F9D1">
      <w:pPr>
        <w:pStyle w:val="95"/>
        <w:rPr>
          <w:color w:val="auto"/>
          <w:highlight w:val="none"/>
        </w:rPr>
      </w:pPr>
    </w:p>
    <w:p w14:paraId="41D53AF9">
      <w:pPr>
        <w:pStyle w:val="95"/>
        <w:rPr>
          <w:color w:val="auto"/>
          <w:highlight w:val="none"/>
        </w:rPr>
      </w:pPr>
    </w:p>
    <w:p w14:paraId="7060EE21">
      <w:pPr>
        <w:pStyle w:val="95"/>
        <w:rPr>
          <w:color w:val="auto"/>
          <w:highlight w:val="none"/>
        </w:rPr>
      </w:pPr>
    </w:p>
    <w:p w14:paraId="43633C75">
      <w:pPr>
        <w:pStyle w:val="95"/>
        <w:rPr>
          <w:color w:val="auto"/>
          <w:highlight w:val="none"/>
        </w:rPr>
      </w:pPr>
    </w:p>
    <w:p w14:paraId="6B7C2CCE">
      <w:pPr>
        <w:pStyle w:val="95"/>
        <w:rPr>
          <w:color w:val="auto"/>
          <w:highlight w:val="none"/>
        </w:rPr>
      </w:pPr>
    </w:p>
    <w:bookmarkEnd w:id="247"/>
    <w:bookmarkEnd w:id="248"/>
    <w:bookmarkEnd w:id="249"/>
    <w:bookmarkEnd w:id="250"/>
    <w:p w14:paraId="119DEBEC">
      <w:pPr>
        <w:tabs>
          <w:tab w:val="left" w:pos="5578"/>
        </w:tabs>
        <w:rPr>
          <w:rFonts w:hint="eastAsia"/>
          <w:color w:val="auto"/>
          <w:highlight w:val="none"/>
          <w:lang w:eastAsia="zh-CN"/>
        </w:rPr>
      </w:pPr>
      <w:r>
        <w:rPr>
          <w:rFonts w:hint="eastAsia"/>
          <w:color w:val="auto"/>
          <w:highlight w:val="none"/>
          <w:lang w:eastAsia="zh-CN"/>
        </w:rPr>
        <w:tab/>
      </w:r>
    </w:p>
    <w:p w14:paraId="6940E380">
      <w:pPr>
        <w:tabs>
          <w:tab w:val="left" w:pos="5578"/>
        </w:tabs>
        <w:rPr>
          <w:rFonts w:hint="eastAsia"/>
          <w:color w:val="auto"/>
          <w:highlight w:val="none"/>
          <w:lang w:eastAsia="zh-CN"/>
        </w:rPr>
      </w:pPr>
    </w:p>
    <w:p w14:paraId="3B1195B3">
      <w:pPr>
        <w:jc w:val="center"/>
        <w:rPr>
          <w:b/>
          <w:bCs/>
          <w:color w:val="auto"/>
          <w:szCs w:val="21"/>
          <w:highlight w:val="none"/>
        </w:rPr>
      </w:pPr>
      <w:r>
        <w:rPr>
          <w:rFonts w:eastAsia="黑体"/>
          <w:b/>
          <w:bCs/>
          <w:color w:val="auto"/>
          <w:sz w:val="30"/>
          <w:highlight w:val="none"/>
        </w:rPr>
        <w:t>二、</w:t>
      </w:r>
      <w:r>
        <w:rPr>
          <w:rFonts w:eastAsia="黑体"/>
          <w:b/>
          <w:bCs/>
          <w:color w:val="auto"/>
          <w:sz w:val="30"/>
          <w:szCs w:val="30"/>
          <w:highlight w:val="none"/>
        </w:rPr>
        <w:t>授权委托书或法定代表人身份证明</w:t>
      </w:r>
    </w:p>
    <w:p w14:paraId="407A5FBC">
      <w:pPr>
        <w:spacing w:line="360" w:lineRule="auto"/>
        <w:jc w:val="center"/>
        <w:rPr>
          <w:rFonts w:eastAsia="黑体"/>
          <w:b/>
          <w:bCs/>
          <w:color w:val="auto"/>
          <w:sz w:val="30"/>
          <w:highlight w:val="none"/>
        </w:rPr>
      </w:pPr>
    </w:p>
    <w:p w14:paraId="0C732D32">
      <w:pPr>
        <w:spacing w:line="360" w:lineRule="auto"/>
        <w:jc w:val="center"/>
        <w:rPr>
          <w:rFonts w:eastAsia="黑体"/>
          <w:b/>
          <w:bCs/>
          <w:color w:val="auto"/>
          <w:sz w:val="28"/>
          <w:szCs w:val="28"/>
          <w:highlight w:val="none"/>
        </w:rPr>
      </w:pPr>
      <w:bookmarkStart w:id="251" w:name="_Toc144974862"/>
      <w:bookmarkStart w:id="252" w:name="_Toc179632814"/>
      <w:bookmarkStart w:id="253" w:name="_Toc152042583"/>
      <w:bookmarkStart w:id="254" w:name="_Toc152045794"/>
      <w:r>
        <w:rPr>
          <w:rFonts w:eastAsia="黑体"/>
          <w:b/>
          <w:bCs/>
          <w:color w:val="auto"/>
          <w:sz w:val="28"/>
          <w:szCs w:val="28"/>
          <w:highlight w:val="none"/>
        </w:rPr>
        <w:t>（一）授权委托书</w:t>
      </w:r>
    </w:p>
    <w:p w14:paraId="6D5669E7">
      <w:pPr>
        <w:spacing w:line="440" w:lineRule="exact"/>
        <w:rPr>
          <w:color w:val="auto"/>
          <w:sz w:val="22"/>
          <w:szCs w:val="22"/>
          <w:highlight w:val="none"/>
        </w:rPr>
      </w:pPr>
      <w:r>
        <w:rPr>
          <w:color w:val="auto"/>
          <w:sz w:val="22"/>
          <w:szCs w:val="22"/>
          <w:highlight w:val="none"/>
        </w:rPr>
        <w:t xml:space="preserve"> </w:t>
      </w:r>
    </w:p>
    <w:p w14:paraId="0A9F2A8A">
      <w:pPr>
        <w:topLinePunct/>
        <w:spacing w:line="440" w:lineRule="exact"/>
        <w:ind w:firstLine="440" w:firstLineChars="200"/>
        <w:rPr>
          <w:color w:val="auto"/>
          <w:sz w:val="22"/>
          <w:szCs w:val="22"/>
          <w:highlight w:val="none"/>
        </w:rPr>
      </w:pPr>
      <w:r>
        <w:rPr>
          <w:color w:val="auto"/>
          <w:sz w:val="22"/>
          <w:szCs w:val="22"/>
          <w:highlight w:val="none"/>
        </w:rPr>
        <w:t>本人</w:t>
      </w:r>
      <w:r>
        <w:rPr>
          <w:color w:val="auto"/>
          <w:sz w:val="22"/>
          <w:szCs w:val="22"/>
          <w:highlight w:val="none"/>
          <w:u w:val="single"/>
        </w:rPr>
        <w:t xml:space="preserve">          </w:t>
      </w:r>
      <w:r>
        <w:rPr>
          <w:color w:val="auto"/>
          <w:sz w:val="22"/>
          <w:szCs w:val="22"/>
          <w:highlight w:val="none"/>
        </w:rPr>
        <w:t>（姓名）系</w:t>
      </w:r>
      <w:r>
        <w:rPr>
          <w:color w:val="auto"/>
          <w:sz w:val="22"/>
          <w:szCs w:val="22"/>
          <w:highlight w:val="none"/>
          <w:u w:val="single"/>
        </w:rPr>
        <w:t xml:space="preserve">              </w:t>
      </w:r>
      <w:r>
        <w:rPr>
          <w:color w:val="auto"/>
          <w:sz w:val="22"/>
          <w:szCs w:val="22"/>
          <w:highlight w:val="none"/>
        </w:rPr>
        <w:t>（投标人名称）的法定代表人，现委托</w:t>
      </w:r>
      <w:r>
        <w:rPr>
          <w:color w:val="auto"/>
          <w:sz w:val="22"/>
          <w:szCs w:val="22"/>
          <w:highlight w:val="none"/>
          <w:u w:val="single"/>
        </w:rPr>
        <w:t xml:space="preserve">          </w:t>
      </w:r>
      <w:r>
        <w:rPr>
          <w:color w:val="auto"/>
          <w:sz w:val="22"/>
          <w:szCs w:val="22"/>
          <w:highlight w:val="none"/>
        </w:rPr>
        <w:t>（姓名）为我方代理人。代理人根据授权，以我方名义签署、澄清、说明、补正、递交、撤回、修改</w:t>
      </w:r>
      <w:r>
        <w:rPr>
          <w:color w:val="auto"/>
          <w:sz w:val="22"/>
          <w:szCs w:val="22"/>
          <w:highlight w:val="none"/>
          <w:u w:val="single"/>
        </w:rPr>
        <w:t xml:space="preserve">             （项目名称）</w:t>
      </w:r>
      <w:r>
        <w:rPr>
          <w:rFonts w:hint="eastAsia"/>
          <w:color w:val="auto"/>
          <w:sz w:val="22"/>
          <w:szCs w:val="22"/>
          <w:highlight w:val="none"/>
          <w:u w:val="single"/>
          <w:lang w:val="en-US" w:eastAsia="zh-CN"/>
        </w:rPr>
        <w:t xml:space="preserve">                  </w:t>
      </w:r>
      <w:r>
        <w:rPr>
          <w:color w:val="auto"/>
          <w:sz w:val="22"/>
          <w:szCs w:val="22"/>
          <w:highlight w:val="none"/>
        </w:rPr>
        <w:t>投标文件、签订合同和处理有关事宜，其法律后果由我方承担。</w:t>
      </w:r>
    </w:p>
    <w:p w14:paraId="781159D2">
      <w:pPr>
        <w:spacing w:line="440" w:lineRule="exact"/>
        <w:ind w:firstLine="440" w:firstLineChars="200"/>
        <w:rPr>
          <w:color w:val="auto"/>
          <w:sz w:val="22"/>
          <w:szCs w:val="22"/>
          <w:highlight w:val="none"/>
        </w:rPr>
      </w:pPr>
      <w:r>
        <w:rPr>
          <w:color w:val="auto"/>
          <w:sz w:val="22"/>
          <w:szCs w:val="22"/>
          <w:highlight w:val="none"/>
        </w:rPr>
        <w:t>委托期限：</w:t>
      </w:r>
      <w:r>
        <w:rPr>
          <w:color w:val="auto"/>
          <w:sz w:val="22"/>
          <w:szCs w:val="22"/>
          <w:highlight w:val="none"/>
          <w:u w:val="single"/>
        </w:rPr>
        <w:t>自本委托书签署之日起至投标有效期期满</w:t>
      </w:r>
      <w:r>
        <w:rPr>
          <w:color w:val="auto"/>
          <w:sz w:val="22"/>
          <w:szCs w:val="22"/>
          <w:highlight w:val="none"/>
        </w:rPr>
        <w:t>。</w:t>
      </w:r>
    </w:p>
    <w:p w14:paraId="784DEAB1">
      <w:pPr>
        <w:spacing w:line="440" w:lineRule="exact"/>
        <w:ind w:firstLine="440" w:firstLineChars="200"/>
        <w:rPr>
          <w:color w:val="auto"/>
          <w:sz w:val="22"/>
          <w:szCs w:val="22"/>
          <w:highlight w:val="none"/>
        </w:rPr>
      </w:pPr>
      <w:r>
        <w:rPr>
          <w:color w:val="auto"/>
          <w:sz w:val="22"/>
          <w:szCs w:val="22"/>
          <w:highlight w:val="none"/>
        </w:rPr>
        <w:t>代理人无转委托权。</w:t>
      </w:r>
    </w:p>
    <w:p w14:paraId="00F4AD95">
      <w:pPr>
        <w:spacing w:line="440" w:lineRule="exact"/>
        <w:ind w:firstLine="442" w:firstLineChars="200"/>
        <w:rPr>
          <w:rFonts w:hint="default" w:eastAsia="宋体"/>
          <w:b/>
          <w:bCs/>
          <w:color w:val="auto"/>
          <w:sz w:val="22"/>
          <w:szCs w:val="22"/>
          <w:highlight w:val="none"/>
          <w:lang w:val="en-US" w:eastAsia="zh-CN"/>
        </w:rPr>
      </w:pPr>
      <w:r>
        <w:rPr>
          <w:b/>
          <w:bCs/>
          <w:color w:val="auto"/>
          <w:sz w:val="22"/>
          <w:szCs w:val="22"/>
          <w:highlight w:val="none"/>
        </w:rPr>
        <w:t>附：法定代表人和委托代理人的身份证</w:t>
      </w:r>
      <w:r>
        <w:rPr>
          <w:rFonts w:hint="eastAsia"/>
          <w:b/>
          <w:bCs/>
          <w:color w:val="auto"/>
          <w:sz w:val="22"/>
          <w:szCs w:val="22"/>
          <w:highlight w:val="none"/>
          <w:lang w:val="en-US" w:eastAsia="zh-CN"/>
        </w:rPr>
        <w:t>原件扫描件</w:t>
      </w:r>
    </w:p>
    <w:p w14:paraId="53392EFD">
      <w:pPr>
        <w:spacing w:line="440" w:lineRule="exact"/>
        <w:ind w:firstLine="440" w:firstLineChars="200"/>
        <w:rPr>
          <w:color w:val="auto"/>
          <w:sz w:val="22"/>
          <w:szCs w:val="22"/>
          <w:highlight w:val="none"/>
        </w:rPr>
      </w:pPr>
    </w:p>
    <w:p w14:paraId="236D756D">
      <w:pPr>
        <w:spacing w:line="440" w:lineRule="exact"/>
        <w:rPr>
          <w:color w:val="auto"/>
          <w:sz w:val="22"/>
          <w:szCs w:val="22"/>
          <w:highlight w:val="none"/>
        </w:rPr>
      </w:pPr>
      <w:r>
        <w:rPr>
          <w:color w:val="auto"/>
          <w:sz w:val="22"/>
          <w:szCs w:val="22"/>
          <w:highlight w:val="none"/>
        </w:rPr>
        <w:t xml:space="preserve"> </w:t>
      </w:r>
    </w:p>
    <w:p w14:paraId="2C92A47A">
      <w:pPr>
        <w:topLinePunct/>
        <w:spacing w:line="400" w:lineRule="atLeast"/>
        <w:ind w:firstLine="3894" w:firstLineChars="1770"/>
        <w:jc w:val="left"/>
        <w:rPr>
          <w:color w:val="auto"/>
          <w:sz w:val="22"/>
          <w:szCs w:val="22"/>
          <w:highlight w:val="none"/>
        </w:rPr>
      </w:pPr>
      <w:r>
        <w:rPr>
          <w:color w:val="auto"/>
          <w:sz w:val="22"/>
          <w:szCs w:val="22"/>
          <w:highlight w:val="none"/>
        </w:rPr>
        <w:t>投标人：</w:t>
      </w:r>
      <w:r>
        <w:rPr>
          <w:color w:val="auto"/>
          <w:sz w:val="22"/>
          <w:szCs w:val="22"/>
          <w:highlight w:val="none"/>
          <w:u w:val="single"/>
        </w:rPr>
        <w:t xml:space="preserve">                </w:t>
      </w:r>
      <w:r>
        <w:rPr>
          <w:color w:val="auto"/>
          <w:sz w:val="22"/>
          <w:szCs w:val="22"/>
          <w:highlight w:val="none"/>
        </w:rPr>
        <w:t>（盖单位章）</w:t>
      </w:r>
    </w:p>
    <w:p w14:paraId="42D3261C">
      <w:pPr>
        <w:topLinePunct/>
        <w:spacing w:line="400" w:lineRule="atLeast"/>
        <w:ind w:firstLine="3894" w:firstLineChars="1770"/>
        <w:rPr>
          <w:color w:val="auto"/>
          <w:sz w:val="22"/>
          <w:szCs w:val="22"/>
          <w:highlight w:val="none"/>
        </w:rPr>
      </w:pPr>
      <w:r>
        <w:rPr>
          <w:color w:val="auto"/>
          <w:sz w:val="22"/>
          <w:szCs w:val="22"/>
          <w:highlight w:val="none"/>
        </w:rPr>
        <w:t>法定代表人：</w:t>
      </w:r>
      <w:r>
        <w:rPr>
          <w:color w:val="auto"/>
          <w:sz w:val="22"/>
          <w:szCs w:val="22"/>
          <w:highlight w:val="none"/>
          <w:u w:val="single"/>
        </w:rPr>
        <w:t xml:space="preserve">                </w:t>
      </w:r>
      <w:r>
        <w:rPr>
          <w:color w:val="auto"/>
          <w:sz w:val="22"/>
          <w:szCs w:val="22"/>
          <w:highlight w:val="none"/>
        </w:rPr>
        <w:t>（签字）</w:t>
      </w:r>
    </w:p>
    <w:p w14:paraId="2A7D6375">
      <w:pPr>
        <w:topLinePunct/>
        <w:spacing w:line="400" w:lineRule="atLeast"/>
        <w:ind w:firstLine="3894" w:firstLineChars="1770"/>
        <w:rPr>
          <w:color w:val="auto"/>
          <w:sz w:val="22"/>
          <w:szCs w:val="22"/>
          <w:highlight w:val="none"/>
          <w:u w:val="single"/>
        </w:rPr>
      </w:pPr>
      <w:r>
        <w:rPr>
          <w:color w:val="auto"/>
          <w:sz w:val="22"/>
          <w:szCs w:val="22"/>
          <w:highlight w:val="none"/>
        </w:rPr>
        <w:t>身份证号码：</w:t>
      </w:r>
      <w:r>
        <w:rPr>
          <w:color w:val="auto"/>
          <w:sz w:val="22"/>
          <w:szCs w:val="22"/>
          <w:highlight w:val="none"/>
          <w:u w:val="single"/>
        </w:rPr>
        <w:t xml:space="preserve">                      </w:t>
      </w:r>
    </w:p>
    <w:p w14:paraId="1DAE85A4">
      <w:pPr>
        <w:topLinePunct/>
        <w:spacing w:line="400" w:lineRule="atLeast"/>
        <w:ind w:firstLine="3894" w:firstLineChars="1770"/>
        <w:rPr>
          <w:color w:val="auto"/>
          <w:sz w:val="22"/>
          <w:szCs w:val="22"/>
          <w:highlight w:val="none"/>
        </w:rPr>
      </w:pPr>
      <w:r>
        <w:rPr>
          <w:color w:val="auto"/>
          <w:sz w:val="22"/>
          <w:szCs w:val="22"/>
          <w:highlight w:val="none"/>
        </w:rPr>
        <w:t>委托代理人：</w:t>
      </w:r>
      <w:r>
        <w:rPr>
          <w:color w:val="auto"/>
          <w:sz w:val="22"/>
          <w:szCs w:val="22"/>
          <w:highlight w:val="none"/>
          <w:u w:val="single"/>
        </w:rPr>
        <w:t xml:space="preserve">                </w:t>
      </w:r>
      <w:r>
        <w:rPr>
          <w:color w:val="auto"/>
          <w:sz w:val="22"/>
          <w:szCs w:val="22"/>
          <w:highlight w:val="none"/>
        </w:rPr>
        <w:t>（签字）</w:t>
      </w:r>
    </w:p>
    <w:p w14:paraId="4C827F02">
      <w:pPr>
        <w:topLinePunct/>
        <w:spacing w:line="400" w:lineRule="atLeast"/>
        <w:ind w:firstLine="3894" w:firstLineChars="1770"/>
        <w:rPr>
          <w:color w:val="auto"/>
          <w:sz w:val="22"/>
          <w:szCs w:val="22"/>
          <w:highlight w:val="none"/>
          <w:u w:val="single"/>
        </w:rPr>
      </w:pPr>
      <w:r>
        <w:rPr>
          <w:color w:val="auto"/>
          <w:sz w:val="22"/>
          <w:szCs w:val="22"/>
          <w:highlight w:val="none"/>
        </w:rPr>
        <w:t>身份证号码：</w:t>
      </w:r>
      <w:r>
        <w:rPr>
          <w:color w:val="auto"/>
          <w:sz w:val="22"/>
          <w:szCs w:val="22"/>
          <w:highlight w:val="none"/>
          <w:u w:val="single"/>
        </w:rPr>
        <w:t xml:space="preserve">                      </w:t>
      </w:r>
    </w:p>
    <w:p w14:paraId="2A4CA67F">
      <w:pPr>
        <w:wordWrap w:val="0"/>
        <w:topLinePunct/>
        <w:spacing w:line="400" w:lineRule="atLeast"/>
        <w:ind w:left="383" w:hanging="382" w:hangingChars="174"/>
        <w:jc w:val="right"/>
        <w:rPr>
          <w:color w:val="auto"/>
          <w:sz w:val="22"/>
          <w:szCs w:val="22"/>
          <w:highlight w:val="none"/>
        </w:rPr>
      </w:pP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color w:val="auto"/>
          <w:sz w:val="22"/>
          <w:szCs w:val="22"/>
          <w:highlight w:val="none"/>
        </w:rPr>
        <w:t>月</w:t>
      </w:r>
      <w:r>
        <w:rPr>
          <w:color w:val="auto"/>
          <w:sz w:val="22"/>
          <w:szCs w:val="22"/>
          <w:highlight w:val="none"/>
          <w:u w:val="single"/>
        </w:rPr>
        <w:t xml:space="preserve">     </w:t>
      </w:r>
      <w:r>
        <w:rPr>
          <w:color w:val="auto"/>
          <w:sz w:val="22"/>
          <w:szCs w:val="22"/>
          <w:highlight w:val="none"/>
        </w:rPr>
        <w:t>日</w:t>
      </w:r>
    </w:p>
    <w:p w14:paraId="5817726F">
      <w:pPr>
        <w:spacing w:line="360" w:lineRule="auto"/>
        <w:jc w:val="center"/>
        <w:rPr>
          <w:color w:val="auto"/>
          <w:sz w:val="22"/>
          <w:szCs w:val="22"/>
          <w:highlight w:val="none"/>
        </w:rPr>
      </w:pPr>
    </w:p>
    <w:p w14:paraId="32A51A52">
      <w:pPr>
        <w:spacing w:line="360" w:lineRule="auto"/>
        <w:jc w:val="center"/>
        <w:rPr>
          <w:color w:val="auto"/>
          <w:sz w:val="22"/>
          <w:szCs w:val="22"/>
          <w:highlight w:val="none"/>
        </w:rPr>
      </w:pPr>
    </w:p>
    <w:p w14:paraId="01394F83">
      <w:pPr>
        <w:adjustRightInd w:val="0"/>
        <w:snapToGrid w:val="0"/>
        <w:spacing w:line="400" w:lineRule="exact"/>
        <w:ind w:left="293" w:hanging="292" w:hangingChars="133"/>
        <w:jc w:val="left"/>
        <w:textAlignment w:val="baseline"/>
        <w:rPr>
          <w:color w:val="auto"/>
          <w:kern w:val="0"/>
          <w:sz w:val="22"/>
          <w:szCs w:val="22"/>
          <w:highlight w:val="none"/>
        </w:rPr>
      </w:pPr>
      <w:r>
        <w:rPr>
          <w:color w:val="auto"/>
          <w:sz w:val="22"/>
          <w:szCs w:val="22"/>
          <w:highlight w:val="none"/>
        </w:rPr>
        <w:t>注：</w:t>
      </w:r>
      <w:r>
        <w:rPr>
          <w:rFonts w:hint="eastAsia"/>
          <w:color w:val="auto"/>
          <w:sz w:val="22"/>
          <w:szCs w:val="22"/>
          <w:highlight w:val="none"/>
          <w:lang w:val="en-US" w:eastAsia="zh-CN"/>
        </w:rPr>
        <w:t>1.</w:t>
      </w:r>
      <w:r>
        <w:rPr>
          <w:color w:val="auto"/>
          <w:sz w:val="22"/>
          <w:szCs w:val="22"/>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365BF50F">
      <w:pPr>
        <w:rPr>
          <w:b/>
          <w:bCs/>
          <w:color w:val="auto"/>
          <w:szCs w:val="21"/>
          <w:highlight w:val="none"/>
        </w:rPr>
      </w:pPr>
    </w:p>
    <w:p w14:paraId="2325D9B7">
      <w:pPr>
        <w:spacing w:line="360" w:lineRule="auto"/>
        <w:jc w:val="center"/>
        <w:rPr>
          <w:rFonts w:eastAsia="黑体"/>
          <w:b/>
          <w:bCs/>
          <w:color w:val="auto"/>
          <w:sz w:val="28"/>
          <w:szCs w:val="28"/>
          <w:highlight w:val="none"/>
        </w:rPr>
      </w:pPr>
    </w:p>
    <w:p w14:paraId="155DC99F">
      <w:pPr>
        <w:spacing w:line="360" w:lineRule="auto"/>
        <w:jc w:val="center"/>
        <w:rPr>
          <w:rFonts w:eastAsia="黑体"/>
          <w:b/>
          <w:bCs/>
          <w:color w:val="auto"/>
          <w:sz w:val="28"/>
          <w:szCs w:val="28"/>
          <w:highlight w:val="none"/>
        </w:rPr>
      </w:pPr>
    </w:p>
    <w:p w14:paraId="12F488D5">
      <w:pPr>
        <w:spacing w:line="360" w:lineRule="auto"/>
        <w:jc w:val="center"/>
        <w:rPr>
          <w:rFonts w:eastAsia="黑体"/>
          <w:b/>
          <w:bCs/>
          <w:color w:val="auto"/>
          <w:sz w:val="28"/>
          <w:szCs w:val="28"/>
          <w:highlight w:val="none"/>
        </w:rPr>
      </w:pPr>
    </w:p>
    <w:p w14:paraId="5A544331">
      <w:pPr>
        <w:spacing w:line="360" w:lineRule="auto"/>
        <w:jc w:val="center"/>
        <w:rPr>
          <w:rFonts w:eastAsia="黑体"/>
          <w:b/>
          <w:bCs/>
          <w:color w:val="auto"/>
          <w:sz w:val="28"/>
          <w:szCs w:val="28"/>
          <w:highlight w:val="none"/>
        </w:rPr>
      </w:pPr>
    </w:p>
    <w:p w14:paraId="03E4FA60">
      <w:pPr>
        <w:spacing w:line="360" w:lineRule="auto"/>
        <w:jc w:val="center"/>
        <w:rPr>
          <w:rFonts w:eastAsia="黑体"/>
          <w:b/>
          <w:bCs/>
          <w:color w:val="auto"/>
          <w:sz w:val="28"/>
          <w:szCs w:val="28"/>
          <w:highlight w:val="none"/>
        </w:rPr>
      </w:pPr>
    </w:p>
    <w:p w14:paraId="5533A978">
      <w:pPr>
        <w:spacing w:line="360" w:lineRule="auto"/>
        <w:jc w:val="center"/>
        <w:rPr>
          <w:rFonts w:eastAsia="黑体"/>
          <w:b/>
          <w:bCs/>
          <w:color w:val="auto"/>
          <w:sz w:val="28"/>
          <w:szCs w:val="28"/>
          <w:highlight w:val="none"/>
        </w:rPr>
      </w:pPr>
    </w:p>
    <w:p w14:paraId="6914EC56">
      <w:pPr>
        <w:spacing w:line="360" w:lineRule="auto"/>
        <w:jc w:val="center"/>
        <w:rPr>
          <w:rFonts w:eastAsia="黑体"/>
          <w:b/>
          <w:bCs/>
          <w:color w:val="auto"/>
          <w:sz w:val="28"/>
          <w:szCs w:val="28"/>
          <w:highlight w:val="none"/>
        </w:rPr>
      </w:pPr>
    </w:p>
    <w:p w14:paraId="42CDA4FB">
      <w:pPr>
        <w:spacing w:line="360" w:lineRule="auto"/>
        <w:jc w:val="center"/>
        <w:rPr>
          <w:rFonts w:eastAsia="黑体"/>
          <w:b/>
          <w:bCs/>
          <w:color w:val="auto"/>
          <w:sz w:val="28"/>
          <w:szCs w:val="28"/>
          <w:highlight w:val="none"/>
        </w:rPr>
      </w:pPr>
    </w:p>
    <w:p w14:paraId="14E468E7">
      <w:pPr>
        <w:spacing w:line="360" w:lineRule="auto"/>
        <w:jc w:val="center"/>
        <w:rPr>
          <w:rFonts w:eastAsia="黑体"/>
          <w:b/>
          <w:bCs/>
          <w:color w:val="auto"/>
          <w:sz w:val="28"/>
          <w:szCs w:val="28"/>
          <w:highlight w:val="none"/>
        </w:rPr>
      </w:pPr>
    </w:p>
    <w:p w14:paraId="65655456">
      <w:pPr>
        <w:spacing w:line="360" w:lineRule="auto"/>
        <w:jc w:val="center"/>
        <w:rPr>
          <w:rFonts w:eastAsia="黑体"/>
          <w:b/>
          <w:bCs/>
          <w:color w:val="auto"/>
          <w:sz w:val="28"/>
          <w:szCs w:val="28"/>
          <w:highlight w:val="none"/>
        </w:rPr>
      </w:pPr>
    </w:p>
    <w:p w14:paraId="20BF5DD2">
      <w:pPr>
        <w:spacing w:line="360" w:lineRule="auto"/>
        <w:jc w:val="center"/>
        <w:rPr>
          <w:rFonts w:eastAsia="黑体"/>
          <w:b/>
          <w:bCs/>
          <w:color w:val="auto"/>
          <w:sz w:val="28"/>
          <w:szCs w:val="28"/>
          <w:highlight w:val="none"/>
        </w:rPr>
      </w:pPr>
    </w:p>
    <w:p w14:paraId="1B6F6CE1">
      <w:pPr>
        <w:spacing w:line="360" w:lineRule="auto"/>
        <w:jc w:val="center"/>
        <w:rPr>
          <w:rFonts w:eastAsia="黑体"/>
          <w:b/>
          <w:bCs/>
          <w:color w:val="auto"/>
          <w:sz w:val="28"/>
          <w:szCs w:val="28"/>
          <w:highlight w:val="none"/>
        </w:rPr>
      </w:pPr>
    </w:p>
    <w:p w14:paraId="50ECC962">
      <w:pPr>
        <w:spacing w:line="360" w:lineRule="auto"/>
        <w:jc w:val="center"/>
        <w:rPr>
          <w:rFonts w:eastAsia="黑体"/>
          <w:b/>
          <w:bCs/>
          <w:color w:val="auto"/>
          <w:sz w:val="28"/>
          <w:szCs w:val="28"/>
          <w:highlight w:val="none"/>
        </w:rPr>
      </w:pPr>
    </w:p>
    <w:p w14:paraId="219D7978">
      <w:pPr>
        <w:spacing w:line="360" w:lineRule="auto"/>
        <w:jc w:val="center"/>
        <w:rPr>
          <w:rFonts w:eastAsia="黑体"/>
          <w:b/>
          <w:bCs/>
          <w:color w:val="auto"/>
          <w:sz w:val="28"/>
          <w:szCs w:val="28"/>
          <w:highlight w:val="none"/>
        </w:rPr>
      </w:pPr>
      <w:r>
        <w:rPr>
          <w:rFonts w:eastAsia="黑体"/>
          <w:b/>
          <w:bCs/>
          <w:color w:val="auto"/>
          <w:sz w:val="28"/>
          <w:szCs w:val="28"/>
          <w:highlight w:val="none"/>
        </w:rPr>
        <w:t>（二）法定代表人身份证明</w:t>
      </w:r>
    </w:p>
    <w:p w14:paraId="2F7BB11E">
      <w:pPr>
        <w:spacing w:line="480" w:lineRule="auto"/>
        <w:rPr>
          <w:b/>
          <w:bCs/>
          <w:color w:val="auto"/>
          <w:szCs w:val="21"/>
          <w:highlight w:val="none"/>
        </w:rPr>
      </w:pPr>
    </w:p>
    <w:p w14:paraId="7EC7FF5B">
      <w:pPr>
        <w:spacing w:line="480" w:lineRule="auto"/>
        <w:rPr>
          <w:b/>
          <w:bCs/>
          <w:color w:val="auto"/>
          <w:szCs w:val="21"/>
          <w:highlight w:val="none"/>
        </w:rPr>
      </w:pPr>
    </w:p>
    <w:p w14:paraId="7877275A">
      <w:pPr>
        <w:spacing w:line="480" w:lineRule="auto"/>
        <w:rPr>
          <w:color w:val="auto"/>
          <w:sz w:val="22"/>
          <w:szCs w:val="22"/>
          <w:highlight w:val="none"/>
        </w:rPr>
      </w:pPr>
      <w:r>
        <w:rPr>
          <w:color w:val="auto"/>
          <w:sz w:val="22"/>
          <w:szCs w:val="22"/>
          <w:highlight w:val="none"/>
        </w:rPr>
        <w:t>投标人名称：</w:t>
      </w:r>
      <w:r>
        <w:rPr>
          <w:color w:val="auto"/>
          <w:sz w:val="22"/>
          <w:szCs w:val="22"/>
          <w:highlight w:val="none"/>
          <w:u w:val="single"/>
        </w:rPr>
        <w:t xml:space="preserve">                            </w:t>
      </w:r>
    </w:p>
    <w:p w14:paraId="0519C03D">
      <w:pPr>
        <w:spacing w:line="480" w:lineRule="auto"/>
        <w:rPr>
          <w:color w:val="auto"/>
          <w:sz w:val="22"/>
          <w:szCs w:val="22"/>
          <w:highlight w:val="none"/>
        </w:rPr>
      </w:pPr>
      <w:r>
        <w:rPr>
          <w:rFonts w:hint="eastAsia"/>
          <w:color w:val="auto"/>
          <w:sz w:val="22"/>
          <w:szCs w:val="22"/>
          <w:highlight w:val="none"/>
          <w:lang w:val="en-US" w:eastAsia="zh-CN"/>
        </w:rPr>
        <w:t>单位性质</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0A34936C">
      <w:pPr>
        <w:spacing w:line="480" w:lineRule="auto"/>
        <w:rPr>
          <w:color w:val="auto"/>
          <w:sz w:val="22"/>
          <w:szCs w:val="22"/>
          <w:highlight w:val="none"/>
        </w:rPr>
      </w:pPr>
      <w:r>
        <w:rPr>
          <w:rFonts w:hint="eastAsia"/>
          <w:color w:val="auto"/>
          <w:sz w:val="22"/>
          <w:szCs w:val="22"/>
          <w:highlight w:val="none"/>
          <w:lang w:val="en-US" w:eastAsia="zh-CN"/>
        </w:rPr>
        <w:t>地    址</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p>
    <w:p w14:paraId="4D3827F9">
      <w:pPr>
        <w:spacing w:line="480" w:lineRule="auto"/>
        <w:rPr>
          <w:rFonts w:hint="eastAsia" w:eastAsia="宋体"/>
          <w:color w:val="auto"/>
          <w:sz w:val="22"/>
          <w:szCs w:val="22"/>
          <w:highlight w:val="none"/>
          <w:lang w:val="en-US" w:eastAsia="zh-CN"/>
        </w:rPr>
      </w:pPr>
      <w:r>
        <w:rPr>
          <w:rFonts w:hint="eastAsia"/>
          <w:color w:val="auto"/>
          <w:sz w:val="22"/>
          <w:szCs w:val="22"/>
          <w:highlight w:val="none"/>
          <w:lang w:val="en-US" w:eastAsia="zh-CN"/>
        </w:rPr>
        <w:t>成立时间</w:t>
      </w:r>
      <w:r>
        <w:rPr>
          <w:color w:val="auto"/>
          <w:sz w:val="22"/>
          <w:szCs w:val="22"/>
          <w:highlight w:val="none"/>
        </w:rPr>
        <w:t>：</w:t>
      </w:r>
      <w:r>
        <w:rPr>
          <w:color w:val="auto"/>
          <w:sz w:val="22"/>
          <w:szCs w:val="22"/>
          <w:highlight w:val="none"/>
          <w:u w:val="single"/>
        </w:rPr>
        <w:t xml:space="preserve">        </w:t>
      </w:r>
      <w:r>
        <w:rPr>
          <w:rFonts w:hint="eastAsia"/>
          <w:color w:val="auto"/>
          <w:sz w:val="22"/>
          <w:szCs w:val="22"/>
          <w:highlight w:val="none"/>
          <w:u w:val="none"/>
          <w:lang w:val="en-US" w:eastAsia="zh-CN"/>
        </w:rPr>
        <w:t>年</w:t>
      </w:r>
      <w:r>
        <w:rPr>
          <w:color w:val="auto"/>
          <w:sz w:val="22"/>
          <w:szCs w:val="22"/>
          <w:highlight w:val="none"/>
          <w:u w:val="single"/>
        </w:rPr>
        <w:t xml:space="preserve">      </w:t>
      </w:r>
      <w:r>
        <w:rPr>
          <w:rFonts w:hint="eastAsia"/>
          <w:color w:val="auto"/>
          <w:sz w:val="22"/>
          <w:szCs w:val="22"/>
          <w:highlight w:val="none"/>
          <w:u w:val="none"/>
          <w:lang w:val="en-US" w:eastAsia="zh-CN"/>
        </w:rPr>
        <w:t>月</w:t>
      </w:r>
      <w:r>
        <w:rPr>
          <w:color w:val="auto"/>
          <w:sz w:val="22"/>
          <w:szCs w:val="22"/>
          <w:highlight w:val="none"/>
          <w:u w:val="single"/>
        </w:rPr>
        <w:t xml:space="preserve">         </w:t>
      </w:r>
      <w:r>
        <w:rPr>
          <w:rFonts w:hint="eastAsia"/>
          <w:color w:val="auto"/>
          <w:sz w:val="22"/>
          <w:szCs w:val="22"/>
          <w:highlight w:val="none"/>
          <w:u w:val="none"/>
          <w:lang w:val="en-US" w:eastAsia="zh-CN"/>
        </w:rPr>
        <w:t>日</w:t>
      </w:r>
    </w:p>
    <w:p w14:paraId="034D97AB">
      <w:pPr>
        <w:spacing w:line="480" w:lineRule="auto"/>
        <w:rPr>
          <w:color w:val="auto"/>
          <w:sz w:val="22"/>
          <w:szCs w:val="22"/>
          <w:highlight w:val="none"/>
        </w:rPr>
      </w:pPr>
      <w:r>
        <w:rPr>
          <w:rFonts w:hint="eastAsia"/>
          <w:color w:val="auto"/>
          <w:sz w:val="22"/>
          <w:szCs w:val="22"/>
          <w:highlight w:val="none"/>
          <w:lang w:val="en-US" w:eastAsia="zh-CN"/>
        </w:rPr>
        <w:t>经营期限</w:t>
      </w:r>
      <w:r>
        <w:rPr>
          <w:color w:val="auto"/>
          <w:sz w:val="22"/>
          <w:szCs w:val="22"/>
          <w:highlight w:val="none"/>
        </w:rPr>
        <w:t>：</w:t>
      </w:r>
      <w:r>
        <w:rPr>
          <w:color w:val="auto"/>
          <w:sz w:val="22"/>
          <w:szCs w:val="22"/>
          <w:highlight w:val="none"/>
          <w:u w:val="single"/>
        </w:rPr>
        <w:t xml:space="preserve">                            </w:t>
      </w:r>
    </w:p>
    <w:p w14:paraId="137597FE">
      <w:pPr>
        <w:spacing w:line="480" w:lineRule="auto"/>
        <w:rPr>
          <w:color w:val="auto"/>
          <w:sz w:val="22"/>
          <w:szCs w:val="22"/>
          <w:highlight w:val="none"/>
        </w:rPr>
      </w:pPr>
      <w:r>
        <w:rPr>
          <w:color w:val="auto"/>
          <w:sz w:val="22"/>
          <w:szCs w:val="22"/>
          <w:highlight w:val="none"/>
        </w:rPr>
        <w:t>姓名：</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rFonts w:hint="eastAsia"/>
          <w:color w:val="auto"/>
          <w:sz w:val="22"/>
          <w:szCs w:val="22"/>
          <w:highlight w:val="none"/>
          <w:lang w:val="en-US" w:eastAsia="zh-CN"/>
        </w:rPr>
        <w:t xml:space="preserve"> </w:t>
      </w:r>
      <w:r>
        <w:rPr>
          <w:color w:val="auto"/>
          <w:sz w:val="22"/>
          <w:szCs w:val="22"/>
          <w:highlight w:val="none"/>
        </w:rPr>
        <w:t xml:space="preserve">  性别：</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年龄：</w:t>
      </w:r>
      <w:r>
        <w:rPr>
          <w:color w:val="auto"/>
          <w:sz w:val="22"/>
          <w:szCs w:val="22"/>
          <w:highlight w:val="none"/>
          <w:u w:val="single"/>
        </w:rPr>
        <w:t xml:space="preserve">       </w:t>
      </w:r>
      <w:r>
        <w:rPr>
          <w:color w:val="auto"/>
          <w:sz w:val="22"/>
          <w:szCs w:val="22"/>
          <w:highlight w:val="none"/>
        </w:rPr>
        <w:t xml:space="preserve"> 职务：</w:t>
      </w:r>
      <w:r>
        <w:rPr>
          <w:color w:val="auto"/>
          <w:sz w:val="22"/>
          <w:szCs w:val="22"/>
          <w:highlight w:val="none"/>
          <w:u w:val="single"/>
        </w:rPr>
        <w:t xml:space="preserve">      </w:t>
      </w:r>
      <w:r>
        <w:rPr>
          <w:color w:val="auto"/>
          <w:sz w:val="22"/>
          <w:szCs w:val="22"/>
          <w:highlight w:val="none"/>
        </w:rPr>
        <w:t>系</w:t>
      </w:r>
      <w:r>
        <w:rPr>
          <w:color w:val="auto"/>
          <w:sz w:val="22"/>
          <w:szCs w:val="22"/>
          <w:highlight w:val="none"/>
          <w:u w:val="single"/>
        </w:rPr>
        <w:t xml:space="preserve">                   </w:t>
      </w:r>
      <w:r>
        <w:rPr>
          <w:color w:val="auto"/>
          <w:sz w:val="22"/>
          <w:szCs w:val="22"/>
          <w:highlight w:val="none"/>
        </w:rPr>
        <w:t>（投标人名称）的法定代表人。</w:t>
      </w:r>
    </w:p>
    <w:p w14:paraId="338579AE">
      <w:pPr>
        <w:spacing w:line="480" w:lineRule="auto"/>
        <w:ind w:firstLine="660" w:firstLineChars="300"/>
        <w:rPr>
          <w:color w:val="auto"/>
          <w:sz w:val="22"/>
          <w:szCs w:val="22"/>
          <w:highlight w:val="none"/>
        </w:rPr>
      </w:pPr>
      <w:r>
        <w:rPr>
          <w:color w:val="auto"/>
          <w:sz w:val="22"/>
          <w:szCs w:val="22"/>
          <w:highlight w:val="none"/>
        </w:rPr>
        <w:t>特此证明。</w:t>
      </w:r>
    </w:p>
    <w:p w14:paraId="474D7488">
      <w:pPr>
        <w:spacing w:line="480" w:lineRule="auto"/>
        <w:ind w:firstLine="660" w:firstLineChars="300"/>
        <w:rPr>
          <w:color w:val="auto"/>
          <w:sz w:val="22"/>
          <w:szCs w:val="22"/>
          <w:highlight w:val="none"/>
        </w:rPr>
      </w:pPr>
      <w:r>
        <w:rPr>
          <w:color w:val="auto"/>
          <w:sz w:val="22"/>
          <w:szCs w:val="22"/>
          <w:highlight w:val="none"/>
        </w:rPr>
        <w:t>附：法定代表人身份证</w:t>
      </w:r>
      <w:r>
        <w:rPr>
          <w:rFonts w:hint="eastAsia"/>
          <w:color w:val="auto"/>
          <w:sz w:val="22"/>
          <w:szCs w:val="22"/>
          <w:highlight w:val="none"/>
          <w:lang w:val="en-US" w:eastAsia="zh-CN"/>
        </w:rPr>
        <w:t>原件扫描件</w:t>
      </w:r>
      <w:r>
        <w:rPr>
          <w:color w:val="auto"/>
          <w:sz w:val="22"/>
          <w:szCs w:val="22"/>
          <w:highlight w:val="none"/>
        </w:rPr>
        <w:t>。</w:t>
      </w:r>
    </w:p>
    <w:p w14:paraId="263F686F">
      <w:pPr>
        <w:spacing w:line="480" w:lineRule="auto"/>
        <w:rPr>
          <w:color w:val="auto"/>
          <w:sz w:val="22"/>
          <w:szCs w:val="22"/>
          <w:highlight w:val="none"/>
        </w:rPr>
      </w:pPr>
      <w:r>
        <w:rPr>
          <w:color w:val="auto"/>
          <w:sz w:val="22"/>
          <w:szCs w:val="22"/>
          <w:highlight w:val="none"/>
        </w:rPr>
        <w:t xml:space="preserve"> </w:t>
      </w:r>
    </w:p>
    <w:p w14:paraId="12EA3EC5">
      <w:pPr>
        <w:spacing w:line="480" w:lineRule="auto"/>
        <w:rPr>
          <w:color w:val="auto"/>
          <w:sz w:val="22"/>
          <w:szCs w:val="22"/>
          <w:highlight w:val="none"/>
        </w:rPr>
      </w:pPr>
      <w:r>
        <w:rPr>
          <w:color w:val="auto"/>
          <w:sz w:val="22"/>
          <w:szCs w:val="22"/>
          <w:highlight w:val="none"/>
        </w:rPr>
        <w:t xml:space="preserve"> </w:t>
      </w:r>
    </w:p>
    <w:p w14:paraId="5452D337">
      <w:pPr>
        <w:spacing w:line="480" w:lineRule="auto"/>
        <w:rPr>
          <w:color w:val="auto"/>
          <w:sz w:val="22"/>
          <w:szCs w:val="22"/>
          <w:highlight w:val="none"/>
        </w:rPr>
      </w:pPr>
      <w:r>
        <w:rPr>
          <w:color w:val="auto"/>
          <w:sz w:val="22"/>
          <w:szCs w:val="22"/>
          <w:highlight w:val="none"/>
        </w:rPr>
        <w:t xml:space="preserve">                                   投标人：</w:t>
      </w:r>
      <w:r>
        <w:rPr>
          <w:color w:val="auto"/>
          <w:sz w:val="22"/>
          <w:szCs w:val="22"/>
          <w:highlight w:val="none"/>
          <w:u w:val="single"/>
        </w:rPr>
        <w:t xml:space="preserve">                 </w:t>
      </w:r>
      <w:r>
        <w:rPr>
          <w:color w:val="auto"/>
          <w:sz w:val="22"/>
          <w:szCs w:val="22"/>
          <w:highlight w:val="none"/>
        </w:rPr>
        <w:t>（盖单位章）</w:t>
      </w:r>
    </w:p>
    <w:p w14:paraId="2D681EA8">
      <w:pPr>
        <w:spacing w:line="480" w:lineRule="auto"/>
        <w:ind w:firstLine="3960" w:firstLineChars="1800"/>
        <w:rPr>
          <w:color w:val="auto"/>
          <w:sz w:val="22"/>
          <w:szCs w:val="22"/>
          <w:highlight w:val="none"/>
        </w:rPr>
      </w:pPr>
      <w:r>
        <w:rPr>
          <w:color w:val="auto"/>
          <w:sz w:val="22"/>
          <w:szCs w:val="22"/>
          <w:highlight w:val="none"/>
        </w:rPr>
        <w:t xml:space="preserve">              年       月      日</w:t>
      </w:r>
    </w:p>
    <w:p w14:paraId="39E10CFD">
      <w:pPr>
        <w:spacing w:line="480" w:lineRule="auto"/>
        <w:rPr>
          <w:color w:val="auto"/>
          <w:sz w:val="28"/>
          <w:szCs w:val="28"/>
          <w:highlight w:val="none"/>
        </w:rPr>
      </w:pPr>
      <w:r>
        <w:rPr>
          <w:color w:val="auto"/>
          <w:sz w:val="28"/>
          <w:szCs w:val="28"/>
          <w:highlight w:val="none"/>
        </w:rPr>
        <w:t xml:space="preserve"> </w:t>
      </w:r>
    </w:p>
    <w:p w14:paraId="228DDCE9">
      <w:pPr>
        <w:spacing w:line="480" w:lineRule="auto"/>
        <w:rPr>
          <w:color w:val="auto"/>
          <w:sz w:val="28"/>
          <w:szCs w:val="28"/>
          <w:highlight w:val="none"/>
        </w:rPr>
      </w:pPr>
      <w:r>
        <w:rPr>
          <w:color w:val="auto"/>
          <w:sz w:val="28"/>
          <w:szCs w:val="28"/>
          <w:highlight w:val="none"/>
        </w:rPr>
        <w:t xml:space="preserve"> </w:t>
      </w:r>
    </w:p>
    <w:p w14:paraId="0985F749">
      <w:pPr>
        <w:spacing w:line="480" w:lineRule="auto"/>
        <w:rPr>
          <w:color w:val="auto"/>
          <w:sz w:val="28"/>
          <w:szCs w:val="28"/>
          <w:highlight w:val="none"/>
        </w:rPr>
      </w:pPr>
      <w:r>
        <w:rPr>
          <w:color w:val="auto"/>
          <w:sz w:val="28"/>
          <w:szCs w:val="28"/>
          <w:highlight w:val="none"/>
        </w:rPr>
        <w:t xml:space="preserve"> </w:t>
      </w:r>
    </w:p>
    <w:p w14:paraId="0B253DF2">
      <w:pPr>
        <w:spacing w:line="480" w:lineRule="auto"/>
        <w:rPr>
          <w:color w:val="auto"/>
          <w:sz w:val="28"/>
          <w:szCs w:val="28"/>
          <w:highlight w:val="none"/>
        </w:rPr>
      </w:pPr>
      <w:r>
        <w:rPr>
          <w:color w:val="auto"/>
          <w:sz w:val="28"/>
          <w:szCs w:val="28"/>
          <w:highlight w:val="none"/>
        </w:rPr>
        <w:t xml:space="preserve"> </w:t>
      </w:r>
    </w:p>
    <w:p w14:paraId="2CBBC756">
      <w:pPr>
        <w:spacing w:line="360" w:lineRule="auto"/>
        <w:jc w:val="left"/>
        <w:rPr>
          <w:b/>
          <w:bCs/>
          <w:color w:val="auto"/>
          <w:szCs w:val="21"/>
          <w:highlight w:val="none"/>
        </w:rPr>
      </w:pPr>
      <w:r>
        <w:rPr>
          <w:rFonts w:hint="eastAsia"/>
          <w:b/>
          <w:bCs/>
          <w:color w:val="auto"/>
          <w:szCs w:val="21"/>
          <w:highlight w:val="none"/>
          <w:lang w:val="en-US" w:eastAsia="zh-CN"/>
        </w:rPr>
        <w:t xml:space="preserve">注：1、法定代表人的签字必须是亲笔签名，不得使用印章、签名章或其他电子制版签名代替。 </w:t>
      </w:r>
    </w:p>
    <w:p w14:paraId="018E9C02">
      <w:pPr>
        <w:jc w:val="center"/>
        <w:rPr>
          <w:rFonts w:eastAsia="黑体"/>
          <w:b/>
          <w:bCs/>
          <w:color w:val="auto"/>
          <w:sz w:val="30"/>
          <w:highlight w:val="none"/>
        </w:rPr>
      </w:pPr>
    </w:p>
    <w:p w14:paraId="63AEA3F6">
      <w:pPr>
        <w:jc w:val="center"/>
        <w:rPr>
          <w:rFonts w:eastAsia="黑体"/>
          <w:b/>
          <w:bCs/>
          <w:color w:val="auto"/>
          <w:sz w:val="30"/>
          <w:highlight w:val="none"/>
        </w:rPr>
      </w:pPr>
    </w:p>
    <w:p w14:paraId="77104AC0">
      <w:pPr>
        <w:jc w:val="center"/>
        <w:rPr>
          <w:rFonts w:eastAsia="黑体"/>
          <w:b/>
          <w:bCs/>
          <w:color w:val="auto"/>
          <w:sz w:val="30"/>
          <w:highlight w:val="none"/>
        </w:rPr>
      </w:pPr>
    </w:p>
    <w:p w14:paraId="378E3B49">
      <w:pPr>
        <w:jc w:val="center"/>
        <w:rPr>
          <w:rFonts w:eastAsia="黑体"/>
          <w:b/>
          <w:bCs/>
          <w:color w:val="auto"/>
          <w:sz w:val="30"/>
          <w:highlight w:val="none"/>
        </w:rPr>
      </w:pPr>
      <w:r>
        <w:rPr>
          <w:rFonts w:eastAsia="黑体"/>
          <w:b/>
          <w:bCs/>
          <w:color w:val="auto"/>
          <w:sz w:val="30"/>
          <w:highlight w:val="none"/>
        </w:rPr>
        <w:t>三</w:t>
      </w:r>
      <w:r>
        <w:rPr>
          <w:rFonts w:hint="eastAsia" w:eastAsia="黑体"/>
          <w:b/>
          <w:bCs/>
          <w:color w:val="auto"/>
          <w:sz w:val="30"/>
          <w:highlight w:val="none"/>
          <w:lang w:val="en-US" w:eastAsia="zh-CN"/>
        </w:rPr>
        <w:t>、</w:t>
      </w:r>
      <w:r>
        <w:rPr>
          <w:rFonts w:eastAsia="黑体"/>
          <w:b/>
          <w:bCs/>
          <w:color w:val="auto"/>
          <w:sz w:val="30"/>
          <w:highlight w:val="none"/>
        </w:rPr>
        <w:t>投标保证金</w:t>
      </w:r>
      <w:bookmarkEnd w:id="251"/>
      <w:bookmarkEnd w:id="252"/>
      <w:bookmarkEnd w:id="253"/>
      <w:bookmarkEnd w:id="254"/>
    </w:p>
    <w:p w14:paraId="25321463">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rPr>
        <w:t>如采用前附表中</w:t>
      </w:r>
      <w:r>
        <w:rPr>
          <w:rFonts w:hint="eastAsia" w:ascii="Times New Roman" w:hAnsi="Times New Roman" w:eastAsia="宋体" w:cs="Times New Roman"/>
          <w:color w:val="auto"/>
          <w:sz w:val="22"/>
          <w:szCs w:val="22"/>
          <w:highlight w:val="none"/>
          <w:lang w:val="en-US" w:eastAsia="zh-CN"/>
        </w:rPr>
        <w:t>银行转账</w:t>
      </w:r>
      <w:r>
        <w:rPr>
          <w:rFonts w:hint="eastAsia" w:cs="Times New Roman"/>
          <w:color w:val="auto"/>
          <w:sz w:val="22"/>
          <w:szCs w:val="22"/>
          <w:highlight w:val="none"/>
          <w:lang w:val="en-US" w:eastAsia="zh-CN"/>
        </w:rPr>
        <w:t>、</w:t>
      </w:r>
      <w:r>
        <w:rPr>
          <w:rFonts w:hint="eastAsia" w:ascii="Times New Roman" w:hAnsi="Times New Roman" w:eastAsia="宋体" w:cs="Times New Roman"/>
          <w:color w:val="auto"/>
          <w:sz w:val="22"/>
          <w:szCs w:val="22"/>
          <w:highlight w:val="none"/>
          <w:lang w:val="en-US" w:eastAsia="zh-CN"/>
        </w:rPr>
        <w:t>银行电汇</w:t>
      </w:r>
      <w:r>
        <w:rPr>
          <w:rFonts w:ascii="Times New Roman" w:hAnsi="Times New Roman" w:eastAsia="宋体" w:cs="Times New Roman"/>
          <w:color w:val="auto"/>
          <w:sz w:val="22"/>
          <w:szCs w:val="22"/>
          <w:highlight w:val="none"/>
        </w:rPr>
        <w:t>形式的投标担保，投标人应在此提供银行回单的扫描件、基本账户开户许可证扫描件（或基本存款账户编号）。</w:t>
      </w:r>
    </w:p>
    <w:p w14:paraId="7572E920">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如采用前附表中银行保函，投标人应在此提供基本账户开户许可证扫描件，同时将银行保函扫描件提供在投标文件中，格式见投标保函示范文本。 </w:t>
      </w:r>
    </w:p>
    <w:p w14:paraId="4A32C057">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如采用前附表中担保机构担保或保证保险，担保机构担保或保证保险扫描件提供在投标文件中，格式见投标保函示范文本。 </w:t>
      </w:r>
    </w:p>
    <w:p w14:paraId="40FA97BD">
      <w:pPr>
        <w:adjustRightInd w:val="0"/>
        <w:snapToGrid w:val="0"/>
        <w:spacing w:line="400" w:lineRule="exact"/>
        <w:ind w:firstLine="440" w:firstLineChars="200"/>
        <w:jc w:val="left"/>
        <w:textAlignment w:val="baseline"/>
        <w:rPr>
          <w:rFonts w:hint="eastAsia"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如采用前附表中电子保函形式，系统自动抓取电子保函信息，投标文件无需提供</w:t>
      </w:r>
      <w:r>
        <w:rPr>
          <w:rFonts w:hint="eastAsia" w:cs="Times New Roman"/>
          <w:color w:val="auto"/>
          <w:sz w:val="22"/>
          <w:szCs w:val="22"/>
          <w:highlight w:val="none"/>
          <w:lang w:val="en-US" w:eastAsia="zh-CN"/>
        </w:rPr>
        <w:t>。</w:t>
      </w:r>
    </w:p>
    <w:p w14:paraId="00736FE1">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p>
    <w:p w14:paraId="369DD274">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投标保函示范文本</w:t>
      </w:r>
    </w:p>
    <w:p w14:paraId="237DAE22">
      <w:pPr>
        <w:adjustRightInd w:val="0"/>
        <w:snapToGrid w:val="0"/>
        <w:spacing w:line="400" w:lineRule="exact"/>
        <w:jc w:val="left"/>
        <w:textAlignment w:val="baseline"/>
        <w:rPr>
          <w:rFonts w:ascii="Times New Roman" w:hAnsi="Times New Roman" w:eastAsia="宋体" w:cs="Times New Roman"/>
          <w:color w:val="auto"/>
          <w:sz w:val="22"/>
          <w:szCs w:val="22"/>
          <w:highlight w:val="none"/>
        </w:rPr>
      </w:pPr>
    </w:p>
    <w:p w14:paraId="5C9FE691">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u w:val="single"/>
        </w:rPr>
      </w:pPr>
      <w:r>
        <w:rPr>
          <w:rFonts w:hint="eastAsia" w:ascii="Times New Roman" w:hAnsi="Times New Roman" w:eastAsia="宋体" w:cs="Times New Roman"/>
          <w:color w:val="auto"/>
          <w:sz w:val="22"/>
          <w:szCs w:val="22"/>
          <w:highlight w:val="none"/>
          <w:lang w:val="en-US" w:eastAsia="zh-CN"/>
        </w:rPr>
        <w:t>编号：</w:t>
      </w:r>
      <w:r>
        <w:rPr>
          <w:rFonts w:hint="eastAsia" w:ascii="Times New Roman" w:hAnsi="Times New Roman" w:eastAsia="宋体" w:cs="Times New Roman"/>
          <w:color w:val="auto"/>
          <w:sz w:val="22"/>
          <w:szCs w:val="22"/>
          <w:highlight w:val="none"/>
          <w:u w:val="single"/>
          <w:lang w:val="en-US" w:eastAsia="zh-CN"/>
        </w:rPr>
        <w:t xml:space="preserve">                     </w:t>
      </w:r>
    </w:p>
    <w:p w14:paraId="68436418">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致：</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u w:val="single"/>
          <w:lang w:val="en-US" w:eastAsia="zh-CN"/>
        </w:rPr>
        <w:t>受益人（招标人）</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名称 </w:t>
      </w:r>
    </w:p>
    <w:p w14:paraId="788AA041">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开立人获得通知，</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u w:val="single"/>
          <w:lang w:val="en-US" w:eastAsia="zh-CN"/>
        </w:rPr>
        <w:t>（投标人）</w:t>
      </w:r>
      <w:r>
        <w:rPr>
          <w:rFonts w:hint="eastAsia" w:ascii="Times New Roman" w:hAnsi="Times New Roman" w:eastAsia="宋体" w:cs="Times New Roman"/>
          <w:color w:val="auto"/>
          <w:sz w:val="22"/>
          <w:szCs w:val="22"/>
          <w:highlight w:val="none"/>
          <w:lang w:val="en-US" w:eastAsia="zh-CN"/>
        </w:rPr>
        <w:t>于</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年</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月</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日参加</w:t>
      </w:r>
      <w:r>
        <w:rPr>
          <w:rFonts w:hint="eastAsia" w:cs="Times New Roman"/>
          <w:color w:val="auto"/>
          <w:sz w:val="22"/>
          <w:szCs w:val="22"/>
          <w:highlight w:val="none"/>
          <w:lang w:val="en-US" w:eastAsia="zh-CN"/>
        </w:rPr>
        <w:t>项目</w:t>
      </w:r>
      <w:r>
        <w:rPr>
          <w:rFonts w:hint="eastAsia" w:ascii="Times New Roman" w:hAnsi="Times New Roman" w:eastAsia="宋体" w:cs="Times New Roman"/>
          <w:color w:val="auto"/>
          <w:sz w:val="22"/>
          <w:szCs w:val="22"/>
          <w:highlight w:val="none"/>
          <w:lang w:val="en-US" w:eastAsia="zh-CN"/>
        </w:rPr>
        <w:t>编号</w:t>
      </w:r>
      <w:r>
        <w:rPr>
          <w:rFonts w:hint="eastAsia" w:cs="Times New Roman"/>
          <w:color w:val="auto"/>
          <w:sz w:val="22"/>
          <w:szCs w:val="22"/>
          <w:highlight w:val="none"/>
          <w:lang w:val="en-US" w:eastAsia="zh-CN"/>
        </w:rPr>
        <w:t>为</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的</w:t>
      </w:r>
      <w:r>
        <w:rPr>
          <w:rFonts w:hint="eastAsia" w:cs="Times New Roman"/>
          <w:color w:val="auto"/>
          <w:sz w:val="22"/>
          <w:szCs w:val="22"/>
          <w:highlight w:val="none"/>
          <w:u w:val="single"/>
          <w:lang w:val="en-US" w:eastAsia="zh-CN"/>
        </w:rPr>
        <w:t xml:space="preserve"> 盱眙至明光高速公路安徽段项目中心试验室   </w:t>
      </w:r>
      <w:r>
        <w:rPr>
          <w:rFonts w:hint="eastAsia" w:ascii="Times New Roman" w:hAnsi="Times New Roman" w:eastAsia="宋体" w:cs="Times New Roman"/>
          <w:color w:val="auto"/>
          <w:sz w:val="22"/>
          <w:szCs w:val="22"/>
          <w:highlight w:val="none"/>
          <w:lang w:val="en-US" w:eastAsia="zh-CN"/>
        </w:rPr>
        <w:t xml:space="preserve">投标（即“基础交易”）。 </w:t>
      </w:r>
    </w:p>
    <w:p w14:paraId="7A3DD902">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Pr>
          <w:rFonts w:hint="eastAsia" w:cs="Times New Roman"/>
          <w:color w:val="auto"/>
          <w:sz w:val="22"/>
          <w:szCs w:val="22"/>
          <w:highlight w:val="none"/>
          <w:u w:val="single"/>
          <w:lang w:val="en-US" w:eastAsia="zh-CN"/>
        </w:rPr>
        <w:t xml:space="preserve">     </w:t>
      </w:r>
      <w:r>
        <w:rPr>
          <w:rFonts w:hint="eastAsia" w:cs="Times New Roman"/>
          <w:color w:val="auto"/>
          <w:sz w:val="22"/>
          <w:szCs w:val="22"/>
          <w:highlight w:val="none"/>
          <w:lang w:val="en-US" w:eastAsia="zh-CN"/>
        </w:rPr>
        <w:t xml:space="preserve">  </w:t>
      </w:r>
      <w:r>
        <w:rPr>
          <w:rFonts w:hint="eastAsia" w:ascii="Times New Roman" w:hAnsi="Times New Roman" w:eastAsia="宋体" w:cs="Times New Roman"/>
          <w:color w:val="auto"/>
          <w:sz w:val="22"/>
          <w:szCs w:val="22"/>
          <w:highlight w:val="none"/>
          <w:lang w:val="en-US" w:eastAsia="zh-CN"/>
        </w:rPr>
        <w:t>元（¥</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p>
    <w:p w14:paraId="27671CE7">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二、开立人在投标人发生以下情形时承担保证担保责任： </w:t>
      </w:r>
    </w:p>
    <w:p w14:paraId="7B25C584">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（1）投标人在投标有效期内撤销投标文件； </w:t>
      </w:r>
    </w:p>
    <w:p w14:paraId="2A9F0125">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（2）投标人在中标后无正当理由不与招标人订立合同； </w:t>
      </w:r>
    </w:p>
    <w:p w14:paraId="0E33D15E">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（3）投标人在签订合同时向招标人提出附加条件； </w:t>
      </w:r>
    </w:p>
    <w:p w14:paraId="6BE58B9B">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（4）投标人不按照招标文件要求提交履约保证金； </w:t>
      </w:r>
    </w:p>
    <w:p w14:paraId="30C4BB5A">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（5）发生招标文件明确规定可以不予退还投标保证金的其他情形。 </w:t>
      </w:r>
    </w:p>
    <w:p w14:paraId="036A3A93">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三、本保函为不可撤销、不可转让的见索即付独立保函。本保函有效期自开立之日起至投标 </w:t>
      </w:r>
    </w:p>
    <w:p w14:paraId="1519AA28">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有效期届满之日止。 </w:t>
      </w:r>
    </w:p>
    <w:p w14:paraId="3C34821E">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四、开立人承诺，在收到受益人发来的书面付款通知后的七日内无条件支付，前述书面付款 </w:t>
      </w:r>
    </w:p>
    <w:p w14:paraId="1A71AB2C">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通知即为付款要求之单据，且应满足以下要求： </w:t>
      </w:r>
    </w:p>
    <w:p w14:paraId="4F368B50">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（1）付款通知到达的日期在本保函的有效期内； </w:t>
      </w:r>
    </w:p>
    <w:p w14:paraId="606FCCEA">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（2）载明要求支付的金额； </w:t>
      </w:r>
    </w:p>
    <w:p w14:paraId="727A4E4E">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r>
        <w:rPr>
          <w:rFonts w:hint="eastAsia" w:ascii="Times New Roman" w:hAnsi="Times New Roman" w:eastAsia="宋体" w:cs="Times New Roman"/>
          <w:color w:val="auto"/>
          <w:sz w:val="22"/>
          <w:szCs w:val="22"/>
          <w:highlight w:val="none"/>
          <w:lang w:val="en-US" w:eastAsia="zh-CN"/>
        </w:rPr>
        <w:t xml:space="preserve">（3）载明申请人违反招投标文件规定的义务内容和具体条款； </w:t>
      </w:r>
    </w:p>
    <w:p w14:paraId="14AEFC38">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（4）声明不存在招标文件规定或我国法律规定免除申请人或我方支付责任的情形；</w:t>
      </w:r>
    </w:p>
    <w:p w14:paraId="0E8F9F67">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（5）书面付款通知应在本保函有效期内到达的地址是： </w:t>
      </w:r>
      <w:r>
        <w:rPr>
          <w:rFonts w:hint="eastAsia" w:cs="Times New Roman"/>
          <w:color w:val="auto"/>
          <w:sz w:val="22"/>
          <w:szCs w:val="22"/>
          <w:highlight w:val="none"/>
          <w:u w:val="single"/>
          <w:lang w:val="en-US" w:eastAsia="zh-CN"/>
        </w:rPr>
        <w:t xml:space="preserve">                        </w:t>
      </w:r>
      <w:r>
        <w:rPr>
          <w:rFonts w:hint="eastAsia" w:ascii="Times New Roman" w:hAnsi="Times New Roman" w:eastAsia="宋体" w:cs="Times New Roman"/>
          <w:color w:val="auto"/>
          <w:sz w:val="22"/>
          <w:szCs w:val="22"/>
          <w:highlight w:val="none"/>
          <w:lang w:val="en-US" w:eastAsia="zh-CN"/>
        </w:rPr>
        <w:t xml:space="preserve">。 </w:t>
      </w:r>
    </w:p>
    <w:p w14:paraId="55FD2DFA">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受益人发出的书面付款通知应由其法定代表人（负责人）或授权代理人签字并加盖公章。 </w:t>
      </w:r>
    </w:p>
    <w:p w14:paraId="1FC19EDA">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五、本保函项下的权利不得转让，不得设定担保。受益人未经开立人书面同意转让本保函或其项下任何权利，对开立人不发生法律效力。 </w:t>
      </w:r>
    </w:p>
    <w:p w14:paraId="55617B84">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六、本保函项下的基础交易不成立、不生效、无效、被撤销、被解除，不影响本保函的独立有效。 </w:t>
      </w:r>
    </w:p>
    <w:p w14:paraId="221DF9F4">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七、本保函项下的义务和责任均在保函有效期到期后自动消灭。 </w:t>
      </w:r>
    </w:p>
    <w:p w14:paraId="56E3D374">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 xml:space="preserve">八、本保函适用的法律为中华人民共和国法律，因本保函产生的纠纷案件，由受益人所在地人民法院管辖。 </w:t>
      </w:r>
    </w:p>
    <w:p w14:paraId="4D89DAE5">
      <w:pPr>
        <w:adjustRightInd w:val="0"/>
        <w:snapToGrid w:val="0"/>
        <w:spacing w:line="400" w:lineRule="exact"/>
        <w:ind w:firstLine="440" w:firstLineChars="200"/>
        <w:jc w:val="left"/>
        <w:textAlignment w:val="baseline"/>
        <w:rPr>
          <w:rFonts w:hint="eastAsia"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九、本保函自我方法定代表人或授权代表签字并加盖公章之日起生效。</w:t>
      </w:r>
    </w:p>
    <w:p w14:paraId="776E7644">
      <w:pPr>
        <w:adjustRightInd w:val="0"/>
        <w:snapToGrid w:val="0"/>
        <w:spacing w:line="400" w:lineRule="exact"/>
        <w:ind w:firstLine="440" w:firstLineChars="200"/>
        <w:jc w:val="left"/>
        <w:textAlignment w:val="baseline"/>
        <w:rPr>
          <w:rFonts w:ascii="Times New Roman" w:hAnsi="Times New Roman" w:eastAsia="宋体" w:cs="Times New Roman"/>
          <w:color w:val="auto"/>
          <w:sz w:val="22"/>
          <w:szCs w:val="22"/>
          <w:highlight w:val="none"/>
        </w:rPr>
      </w:pPr>
    </w:p>
    <w:p w14:paraId="485AC9E7">
      <w:pPr>
        <w:adjustRightInd w:val="0"/>
        <w:snapToGrid w:val="0"/>
        <w:spacing w:line="400" w:lineRule="exact"/>
        <w:ind w:left="437" w:leftChars="208" w:firstLine="2340" w:firstLineChars="1064"/>
        <w:jc w:val="right"/>
        <w:textAlignment w:val="baseline"/>
        <w:rPr>
          <w:rFonts w:ascii="Times New Roman" w:hAnsi="Times New Roman" w:eastAsia="宋体" w:cs="Times New Roman"/>
          <w:color w:val="auto"/>
          <w:sz w:val="22"/>
          <w:szCs w:val="22"/>
          <w:highlight w:val="none"/>
        </w:rPr>
      </w:pPr>
      <w:r>
        <w:rPr>
          <w:rFonts w:hint="eastAsia" w:cs="Times New Roman"/>
          <w:color w:val="auto"/>
          <w:sz w:val="22"/>
          <w:szCs w:val="22"/>
          <w:highlight w:val="none"/>
          <w:lang w:val="en-US" w:eastAsia="zh-CN"/>
        </w:rPr>
        <w:t>开立人</w:t>
      </w:r>
      <w:r>
        <w:rPr>
          <w:rFonts w:ascii="Times New Roman" w:hAnsi="Times New Roman" w:eastAsia="宋体" w:cs="Times New Roman"/>
          <w:color w:val="auto"/>
          <w:sz w:val="22"/>
          <w:szCs w:val="22"/>
          <w:highlight w:val="none"/>
        </w:rPr>
        <w:t>：</w:t>
      </w:r>
      <w:r>
        <w:rPr>
          <w:rFonts w:ascii="Times New Roman" w:hAnsi="Times New Roman" w:eastAsia="宋体" w:cs="Times New Roman"/>
          <w:color w:val="auto"/>
          <w:sz w:val="22"/>
          <w:szCs w:val="22"/>
          <w:highlight w:val="none"/>
          <w:u w:val="single"/>
        </w:rPr>
        <w:t xml:space="preserve">                                  （盖单位章） </w:t>
      </w:r>
      <w:r>
        <w:rPr>
          <w:rFonts w:ascii="Times New Roman" w:hAnsi="Times New Roman" w:eastAsia="宋体" w:cs="Times New Roman"/>
          <w:color w:val="auto"/>
          <w:sz w:val="22"/>
          <w:szCs w:val="22"/>
          <w:highlight w:val="none"/>
        </w:rPr>
        <w:t xml:space="preserve">   </w:t>
      </w:r>
    </w:p>
    <w:p w14:paraId="2CFF3F6F">
      <w:pPr>
        <w:adjustRightInd w:val="0"/>
        <w:snapToGrid w:val="0"/>
        <w:spacing w:line="400" w:lineRule="exact"/>
        <w:ind w:left="293" w:hanging="292" w:hangingChars="133"/>
        <w:jc w:val="right"/>
        <w:textAlignment w:val="baseline"/>
        <w:rPr>
          <w:rFonts w:ascii="Times New Roman" w:hAnsi="Times New Roman" w:eastAsia="宋体" w:cs="Times New Roman"/>
          <w:color w:val="auto"/>
          <w:sz w:val="22"/>
          <w:szCs w:val="22"/>
          <w:highlight w:val="none"/>
          <w:u w:val="single"/>
        </w:rPr>
      </w:pPr>
      <w:r>
        <w:rPr>
          <w:rFonts w:ascii="Times New Roman" w:hAnsi="Times New Roman" w:eastAsia="宋体" w:cs="Times New Roman"/>
          <w:color w:val="auto"/>
          <w:sz w:val="22"/>
          <w:szCs w:val="22"/>
          <w:highlight w:val="none"/>
          <w:u w:val="none"/>
        </w:rPr>
        <w:t>法定代表人（ 或</w:t>
      </w:r>
      <w:r>
        <w:rPr>
          <w:rFonts w:hint="eastAsia" w:cs="Times New Roman"/>
          <w:color w:val="auto"/>
          <w:sz w:val="22"/>
          <w:szCs w:val="22"/>
          <w:highlight w:val="none"/>
          <w:u w:val="none"/>
          <w:lang w:val="en-US" w:eastAsia="zh-CN"/>
        </w:rPr>
        <w:t>授权代表</w:t>
      </w:r>
      <w:r>
        <w:rPr>
          <w:rFonts w:ascii="Times New Roman" w:hAnsi="Times New Roman" w:eastAsia="宋体" w:cs="Times New Roman"/>
          <w:color w:val="auto"/>
          <w:sz w:val="22"/>
          <w:szCs w:val="22"/>
          <w:highlight w:val="none"/>
          <w:u w:val="none"/>
        </w:rPr>
        <w:t>）：</w:t>
      </w:r>
      <w:r>
        <w:rPr>
          <w:rFonts w:ascii="Times New Roman" w:hAnsi="Times New Roman" w:eastAsia="宋体" w:cs="Times New Roman"/>
          <w:color w:val="auto"/>
          <w:sz w:val="22"/>
          <w:szCs w:val="22"/>
          <w:highlight w:val="none"/>
          <w:u w:val="single"/>
        </w:rPr>
        <w:t xml:space="preserve">   （签字或盖章）</w:t>
      </w:r>
    </w:p>
    <w:p w14:paraId="30912023">
      <w:pPr>
        <w:adjustRightInd w:val="0"/>
        <w:snapToGrid w:val="0"/>
        <w:spacing w:line="400" w:lineRule="exact"/>
        <w:ind w:left="437" w:leftChars="208" w:firstLine="2780" w:firstLineChars="1264"/>
        <w:jc w:val="left"/>
        <w:textAlignment w:val="baseline"/>
        <w:rPr>
          <w:rFonts w:hint="default" w:ascii="Times New Roman" w:hAnsi="Times New Roman" w:eastAsia="宋体" w:cs="Times New Roman"/>
          <w:color w:val="auto"/>
          <w:sz w:val="22"/>
          <w:szCs w:val="22"/>
          <w:highlight w:val="none"/>
          <w:u w:val="single"/>
          <w:lang w:val="en-US" w:eastAsia="zh-CN"/>
        </w:rPr>
      </w:pPr>
      <w:r>
        <w:rPr>
          <w:rFonts w:ascii="Times New Roman" w:hAnsi="Times New Roman" w:eastAsia="宋体" w:cs="Times New Roman"/>
          <w:color w:val="auto"/>
          <w:sz w:val="22"/>
          <w:szCs w:val="22"/>
          <w:highlight w:val="none"/>
          <w:u w:val="none"/>
        </w:rPr>
        <w:t>地址：</w:t>
      </w:r>
      <w:r>
        <w:rPr>
          <w:rFonts w:hint="eastAsia" w:ascii="Times New Roman" w:hAnsi="Times New Roman" w:eastAsia="宋体" w:cs="Times New Roman"/>
          <w:color w:val="auto"/>
          <w:sz w:val="22"/>
          <w:szCs w:val="22"/>
          <w:highlight w:val="none"/>
          <w:u w:val="single"/>
          <w:lang w:val="en-US" w:eastAsia="zh-CN"/>
        </w:rPr>
        <w:t xml:space="preserve">                                                    </w:t>
      </w:r>
    </w:p>
    <w:p w14:paraId="2B455B65">
      <w:pPr>
        <w:adjustRightInd w:val="0"/>
        <w:snapToGrid w:val="0"/>
        <w:spacing w:line="400" w:lineRule="exact"/>
        <w:ind w:left="437" w:leftChars="208" w:firstLine="2780" w:firstLineChars="1264"/>
        <w:jc w:val="left"/>
        <w:textAlignment w:val="baseline"/>
        <w:rPr>
          <w:rFonts w:ascii="Times New Roman" w:hAnsi="Times New Roman" w:eastAsia="宋体" w:cs="Times New Roman"/>
          <w:color w:val="auto"/>
          <w:sz w:val="22"/>
          <w:szCs w:val="22"/>
          <w:highlight w:val="none"/>
          <w:u w:val="single"/>
        </w:rPr>
      </w:pPr>
      <w:r>
        <w:rPr>
          <w:rFonts w:ascii="Times New Roman" w:hAnsi="Times New Roman" w:eastAsia="宋体" w:cs="Times New Roman"/>
          <w:color w:val="auto"/>
          <w:sz w:val="22"/>
          <w:szCs w:val="22"/>
          <w:highlight w:val="none"/>
          <w:u w:val="none"/>
        </w:rPr>
        <w:t xml:space="preserve">邮政编码： </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 xml:space="preserve">                    </w:t>
      </w:r>
    </w:p>
    <w:p w14:paraId="4D9AE6B5">
      <w:pPr>
        <w:adjustRightInd w:val="0"/>
        <w:snapToGrid w:val="0"/>
        <w:spacing w:line="400" w:lineRule="exact"/>
        <w:ind w:left="437" w:leftChars="208" w:firstLine="2780" w:firstLineChars="1264"/>
        <w:jc w:val="left"/>
        <w:textAlignment w:val="baseline"/>
        <w:rPr>
          <w:rFonts w:hint="eastAsia" w:ascii="Times New Roman" w:hAnsi="Times New Roman" w:eastAsia="宋体" w:cs="Times New Roman"/>
          <w:color w:val="auto"/>
          <w:sz w:val="22"/>
          <w:szCs w:val="22"/>
          <w:highlight w:val="none"/>
          <w:u w:val="single"/>
          <w:lang w:val="en-US" w:eastAsia="zh-CN"/>
        </w:rPr>
      </w:pPr>
      <w:r>
        <w:rPr>
          <w:rFonts w:ascii="Times New Roman" w:hAnsi="Times New Roman" w:eastAsia="宋体" w:cs="Times New Roman"/>
          <w:color w:val="auto"/>
          <w:sz w:val="22"/>
          <w:szCs w:val="22"/>
          <w:highlight w:val="none"/>
          <w:u w:val="none"/>
        </w:rPr>
        <w:t>电 话：</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p>
    <w:p w14:paraId="77161D69">
      <w:pPr>
        <w:adjustRightInd w:val="0"/>
        <w:snapToGrid w:val="0"/>
        <w:spacing w:line="400" w:lineRule="exact"/>
        <w:ind w:left="437" w:leftChars="208" w:firstLine="2780" w:firstLineChars="1264"/>
        <w:jc w:val="left"/>
        <w:textAlignment w:val="baseline"/>
        <w:rPr>
          <w:rFonts w:ascii="Times New Roman" w:hAnsi="Times New Roman" w:eastAsia="宋体" w:cs="Times New Roman"/>
          <w:color w:val="auto"/>
          <w:sz w:val="22"/>
          <w:szCs w:val="22"/>
          <w:highlight w:val="none"/>
        </w:rPr>
      </w:pPr>
      <w:r>
        <w:rPr>
          <w:rFonts w:ascii="Times New Roman" w:hAnsi="Times New Roman" w:eastAsia="宋体" w:cs="Times New Roman"/>
          <w:color w:val="auto"/>
          <w:sz w:val="22"/>
          <w:szCs w:val="22"/>
          <w:highlight w:val="none"/>
          <w:u w:val="none"/>
        </w:rPr>
        <w:t>传真：</w:t>
      </w:r>
      <w:r>
        <w:rPr>
          <w:rFonts w:ascii="Times New Roman" w:hAnsi="Times New Roman" w:eastAsia="宋体" w:cs="Times New Roman"/>
          <w:color w:val="auto"/>
          <w:sz w:val="22"/>
          <w:szCs w:val="22"/>
          <w:highlight w:val="none"/>
          <w:u w:val="single"/>
        </w:rPr>
        <w:t xml:space="preserve"> </w:t>
      </w:r>
      <w:r>
        <w:rPr>
          <w:rFonts w:hint="eastAsia" w:ascii="Times New Roman" w:hAnsi="Times New Roman" w:eastAsia="宋体" w:cs="Times New Roman"/>
          <w:color w:val="auto"/>
          <w:sz w:val="22"/>
          <w:szCs w:val="22"/>
          <w:highlight w:val="none"/>
          <w:u w:val="single"/>
          <w:lang w:val="en-US" w:eastAsia="zh-CN"/>
        </w:rPr>
        <w:t xml:space="preserve">                                                 </w:t>
      </w:r>
      <w:r>
        <w:rPr>
          <w:rFonts w:ascii="Times New Roman" w:hAnsi="Times New Roman" w:eastAsia="宋体" w:cs="Times New Roman"/>
          <w:color w:val="auto"/>
          <w:sz w:val="22"/>
          <w:szCs w:val="22"/>
          <w:highlight w:val="none"/>
          <w:u w:val="single"/>
        </w:rPr>
        <w:t xml:space="preserve">  </w:t>
      </w:r>
      <w:r>
        <w:rPr>
          <w:rFonts w:ascii="Times New Roman" w:hAnsi="Times New Roman" w:eastAsia="宋体" w:cs="Times New Roman"/>
          <w:color w:val="auto"/>
          <w:sz w:val="22"/>
          <w:szCs w:val="22"/>
          <w:highlight w:val="none"/>
        </w:rPr>
        <w:t xml:space="preserve">                                </w:t>
      </w:r>
    </w:p>
    <w:p w14:paraId="667C741E">
      <w:pPr>
        <w:spacing w:line="400" w:lineRule="exact"/>
        <w:ind w:firstLine="0" w:firstLineChars="0"/>
        <w:jc w:val="right"/>
        <w:rPr>
          <w:b/>
          <w:bCs/>
          <w:color w:val="auto"/>
          <w:sz w:val="24"/>
          <w:highlight w:val="none"/>
        </w:rPr>
      </w:pPr>
      <w:r>
        <w:rPr>
          <w:rFonts w:hint="eastAsia" w:ascii="宋体" w:hAnsi="宋体" w:cs="宋体"/>
          <w:color w:val="auto"/>
          <w:sz w:val="21"/>
          <w:szCs w:val="21"/>
          <w:highlight w:val="none"/>
          <w:u w:val="single" w:color="auto"/>
          <w:lang w:val="en-US" w:eastAsia="zh-CN"/>
        </w:rPr>
        <w:t>开立时间：</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11"/>
          <w:sz w:val="22"/>
          <w:szCs w:val="22"/>
          <w:highlight w:val="none"/>
        </w:rPr>
        <w:t>年</w:t>
      </w:r>
      <w:r>
        <w:rPr>
          <w:rFonts w:ascii="宋体" w:hAnsi="宋体" w:eastAsia="宋体" w:cs="宋体"/>
          <w:color w:val="auto"/>
          <w:spacing w:val="15"/>
          <w:sz w:val="22"/>
          <w:szCs w:val="22"/>
          <w:highlight w:val="none"/>
          <w:u w:val="single" w:color="auto"/>
        </w:rPr>
        <w:t xml:space="preserve">   </w:t>
      </w:r>
      <w:r>
        <w:rPr>
          <w:rFonts w:ascii="宋体" w:hAnsi="宋体" w:eastAsia="宋体" w:cs="宋体"/>
          <w:color w:val="auto"/>
          <w:spacing w:val="-11"/>
          <w:sz w:val="22"/>
          <w:szCs w:val="22"/>
          <w:highlight w:val="none"/>
        </w:rPr>
        <w:t>月</w:t>
      </w:r>
      <w:r>
        <w:rPr>
          <w:rFonts w:ascii="宋体" w:hAnsi="宋体" w:eastAsia="宋体" w:cs="宋体"/>
          <w:color w:val="auto"/>
          <w:spacing w:val="10"/>
          <w:sz w:val="22"/>
          <w:szCs w:val="22"/>
          <w:highlight w:val="none"/>
          <w:u w:val="single" w:color="auto"/>
        </w:rPr>
        <w:t xml:space="preserve">    </w:t>
      </w:r>
      <w:r>
        <w:rPr>
          <w:rFonts w:ascii="宋体" w:hAnsi="宋体" w:eastAsia="宋体" w:cs="宋体"/>
          <w:color w:val="auto"/>
          <w:spacing w:val="-11"/>
          <w:sz w:val="22"/>
          <w:szCs w:val="22"/>
          <w:highlight w:val="none"/>
        </w:rPr>
        <w:t>日</w:t>
      </w:r>
    </w:p>
    <w:p w14:paraId="622D66FB">
      <w:pPr>
        <w:adjustRightInd w:val="0"/>
        <w:snapToGrid w:val="0"/>
        <w:spacing w:line="400" w:lineRule="exact"/>
        <w:ind w:firstLine="442" w:firstLineChars="200"/>
        <w:jc w:val="left"/>
        <w:textAlignment w:val="baseline"/>
        <w:rPr>
          <w:rFonts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lang w:val="en-US" w:eastAsia="zh-CN"/>
        </w:rPr>
        <w:t>注：</w:t>
      </w:r>
      <w:r>
        <w:rPr>
          <w:rFonts w:ascii="Times New Roman" w:hAnsi="Times New Roman" w:eastAsia="宋体" w:cs="Times New Roman"/>
          <w:b/>
          <w:bCs/>
          <w:color w:val="auto"/>
          <w:sz w:val="22"/>
          <w:szCs w:val="22"/>
          <w:highlight w:val="none"/>
        </w:rPr>
        <w:t>1、</w:t>
      </w:r>
      <w:r>
        <w:rPr>
          <w:rFonts w:hint="eastAsia" w:ascii="Times New Roman" w:hAnsi="Times New Roman" w:eastAsia="宋体" w:cs="Times New Roman"/>
          <w:b/>
          <w:bCs/>
          <w:color w:val="auto"/>
          <w:sz w:val="22"/>
          <w:szCs w:val="22"/>
          <w:highlight w:val="none"/>
          <w:lang w:val="en-US" w:eastAsia="zh-CN"/>
        </w:rPr>
        <w:t xml:space="preserve">允许投标人实际开具的银行保函或担保机构或保证保险机构出具的担保的格式与本文件提供的格式有所不同，但不得更改本文件提供的银行保函或担保格式中的实质性内容。 </w:t>
      </w:r>
    </w:p>
    <w:p w14:paraId="601F5554">
      <w:pPr>
        <w:adjustRightInd w:val="0"/>
        <w:snapToGrid w:val="0"/>
        <w:spacing w:line="400" w:lineRule="exact"/>
        <w:ind w:firstLine="442" w:firstLineChars="200"/>
        <w:jc w:val="left"/>
        <w:textAlignment w:val="baseline"/>
        <w:rPr>
          <w:rFonts w:ascii="Times New Roman" w:hAnsi="Times New Roman" w:eastAsia="宋体" w:cs="Times New Roman"/>
          <w:b/>
          <w:bCs/>
          <w:color w:val="auto"/>
          <w:sz w:val="22"/>
          <w:szCs w:val="22"/>
          <w:highlight w:val="none"/>
        </w:rPr>
      </w:pPr>
      <w:r>
        <w:rPr>
          <w:rFonts w:hint="eastAsia" w:ascii="Times New Roman" w:hAnsi="Times New Roman" w:eastAsia="宋体" w:cs="Times New Roman"/>
          <w:b/>
          <w:bCs/>
          <w:color w:val="auto"/>
          <w:sz w:val="22"/>
          <w:szCs w:val="22"/>
          <w:highlight w:val="none"/>
          <w:lang w:val="en-US" w:eastAsia="zh-CN"/>
        </w:rPr>
        <w:t>2、投标人开具的银行保函（或担保机构担保或保证保险）必须具有明确有效的查询途径（二维码；或网址链接及查询方式）</w:t>
      </w:r>
      <w:r>
        <w:rPr>
          <w:rFonts w:ascii="Times New Roman" w:hAnsi="Times New Roman" w:eastAsia="宋体" w:cs="Times New Roman"/>
          <w:b/>
          <w:bCs/>
          <w:color w:val="auto"/>
          <w:sz w:val="22"/>
          <w:szCs w:val="22"/>
          <w:highlight w:val="none"/>
        </w:rPr>
        <w:t>。</w:t>
      </w:r>
    </w:p>
    <w:p w14:paraId="22B2D8C2">
      <w:pPr>
        <w:jc w:val="center"/>
        <w:rPr>
          <w:rFonts w:eastAsia="黑体"/>
          <w:b/>
          <w:bCs/>
          <w:color w:val="auto"/>
          <w:sz w:val="30"/>
          <w:highlight w:val="none"/>
        </w:rPr>
      </w:pPr>
    </w:p>
    <w:p w14:paraId="3C06ECF6">
      <w:pPr>
        <w:jc w:val="center"/>
        <w:rPr>
          <w:rFonts w:eastAsia="黑体"/>
          <w:b/>
          <w:bCs/>
          <w:color w:val="auto"/>
          <w:sz w:val="30"/>
          <w:highlight w:val="none"/>
        </w:rPr>
      </w:pPr>
    </w:p>
    <w:p w14:paraId="6EE4F4F1">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15B365A3">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67FB28ED">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5B31D476">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7DB61857">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12786A8D">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6C14A795">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1766CCEC">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6FD82E0B">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5E44B269">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2E1B299C">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110E3C1D">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74A97934">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4775A065">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5B264D81">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286E4F62">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1A507F3E">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4D1D8B3B">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2236487B">
      <w:pPr>
        <w:spacing w:before="0" w:line="240" w:lineRule="auto"/>
        <w:ind w:left="0"/>
        <w:jc w:val="center"/>
        <w:rPr>
          <w:rFonts w:hint="default" w:ascii="Times New Roman" w:hAnsi="Times New Roman" w:eastAsia="黑体" w:cs="Times New Roman"/>
          <w:b/>
          <w:bCs/>
          <w:color w:val="auto"/>
          <w:spacing w:val="0"/>
          <w:sz w:val="30"/>
          <w:szCs w:val="24"/>
          <w:highlight w:val="none"/>
        </w:rPr>
      </w:pPr>
    </w:p>
    <w:p w14:paraId="655FE6C5">
      <w:pPr>
        <w:jc w:val="center"/>
        <w:rPr>
          <w:rFonts w:hint="eastAsia" w:eastAsia="黑体" w:cs="Times New Roman"/>
          <w:b/>
          <w:bCs/>
          <w:color w:val="auto"/>
          <w:spacing w:val="0"/>
          <w:sz w:val="30"/>
          <w:szCs w:val="24"/>
          <w:highlight w:val="none"/>
          <w:lang w:val="en-US" w:eastAsia="zh-CN"/>
        </w:rPr>
      </w:pPr>
    </w:p>
    <w:p w14:paraId="34214E34">
      <w:pPr>
        <w:jc w:val="center"/>
        <w:rPr>
          <w:rFonts w:eastAsia="黑体"/>
          <w:b/>
          <w:bCs/>
          <w:color w:val="auto"/>
          <w:sz w:val="30"/>
          <w:highlight w:val="none"/>
        </w:rPr>
      </w:pPr>
      <w:r>
        <w:rPr>
          <w:rFonts w:hint="eastAsia" w:eastAsia="黑体" w:cs="Times New Roman"/>
          <w:b/>
          <w:bCs/>
          <w:color w:val="auto"/>
          <w:spacing w:val="0"/>
          <w:sz w:val="30"/>
          <w:szCs w:val="24"/>
          <w:highlight w:val="none"/>
          <w:lang w:val="en-US" w:eastAsia="zh-CN"/>
        </w:rPr>
        <w:t>四</w:t>
      </w:r>
      <w:r>
        <w:rPr>
          <w:rFonts w:hint="eastAsia" w:ascii="Times New Roman" w:hAnsi="Times New Roman" w:eastAsia="黑体" w:cs="Times New Roman"/>
          <w:b/>
          <w:bCs/>
          <w:color w:val="auto"/>
          <w:spacing w:val="0"/>
          <w:sz w:val="30"/>
          <w:szCs w:val="24"/>
          <w:highlight w:val="none"/>
          <w:lang w:val="en-US" w:eastAsia="zh-CN"/>
        </w:rPr>
        <w:t>、</w:t>
      </w:r>
      <w:r>
        <w:rPr>
          <w:rFonts w:eastAsia="黑体"/>
          <w:b/>
          <w:bCs/>
          <w:color w:val="auto"/>
          <w:sz w:val="30"/>
          <w:highlight w:val="none"/>
        </w:rPr>
        <w:t>资格审查资料</w:t>
      </w:r>
    </w:p>
    <w:p w14:paraId="7C65BA67">
      <w:pPr>
        <w:jc w:val="center"/>
        <w:rPr>
          <w:rFonts w:eastAsia="黑体"/>
          <w:b/>
          <w:bCs/>
          <w:color w:val="auto"/>
          <w:sz w:val="30"/>
          <w:highlight w:val="none"/>
        </w:rPr>
      </w:pPr>
    </w:p>
    <w:p w14:paraId="5085ACFD">
      <w:pPr>
        <w:jc w:val="center"/>
        <w:rPr>
          <w:rFonts w:eastAsia="黑体"/>
          <w:b/>
          <w:bCs/>
          <w:color w:val="auto"/>
          <w:sz w:val="30"/>
          <w:highlight w:val="none"/>
        </w:rPr>
      </w:pPr>
      <w:r>
        <w:rPr>
          <w:rFonts w:eastAsia="黑体"/>
          <w:b/>
          <w:bCs/>
          <w:color w:val="auto"/>
          <w:sz w:val="30"/>
          <w:highlight w:val="none"/>
        </w:rPr>
        <w:t>（一）投标人基本情况表</w:t>
      </w:r>
    </w:p>
    <w:p w14:paraId="6A8DFA0F">
      <w:pPr>
        <w:jc w:val="left"/>
        <w:rPr>
          <w:rFonts w:eastAsia="黑体"/>
          <w:b/>
          <w:bCs/>
          <w:color w:val="auto"/>
          <w:sz w:val="30"/>
          <w:highlight w:val="none"/>
        </w:rPr>
      </w:pPr>
    </w:p>
    <w:tbl>
      <w:tblPr>
        <w:tblStyle w:val="75"/>
        <w:tblW w:w="97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64"/>
        <w:gridCol w:w="1010"/>
        <w:gridCol w:w="959"/>
        <w:gridCol w:w="784"/>
        <w:gridCol w:w="589"/>
        <w:gridCol w:w="1173"/>
        <w:gridCol w:w="534"/>
        <w:gridCol w:w="936"/>
        <w:gridCol w:w="1474"/>
      </w:tblGrid>
      <w:tr w14:paraId="56D39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jc w:val="center"/>
        </w:trPr>
        <w:tc>
          <w:tcPr>
            <w:tcW w:w="2264" w:type="dxa"/>
            <w:vAlign w:val="center"/>
          </w:tcPr>
          <w:p w14:paraId="4CE237C4">
            <w:pPr>
              <w:topLinePunct/>
              <w:spacing w:line="440" w:lineRule="exact"/>
              <w:jc w:val="center"/>
              <w:rPr>
                <w:color w:val="auto"/>
                <w:szCs w:val="21"/>
                <w:highlight w:val="none"/>
              </w:rPr>
            </w:pPr>
            <w:r>
              <w:rPr>
                <w:color w:val="auto"/>
                <w:highlight w:val="none"/>
              </w:rPr>
              <w:t>投标人名称</w:t>
            </w:r>
          </w:p>
        </w:tc>
        <w:tc>
          <w:tcPr>
            <w:tcW w:w="7459" w:type="dxa"/>
            <w:gridSpan w:val="8"/>
            <w:vAlign w:val="center"/>
          </w:tcPr>
          <w:p w14:paraId="507E4609">
            <w:pPr>
              <w:topLinePunct/>
              <w:spacing w:line="440" w:lineRule="exact"/>
              <w:rPr>
                <w:color w:val="auto"/>
                <w:szCs w:val="21"/>
                <w:highlight w:val="none"/>
              </w:rPr>
            </w:pPr>
          </w:p>
        </w:tc>
      </w:tr>
      <w:tr w14:paraId="1931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4" w:hRule="atLeast"/>
          <w:jc w:val="center"/>
        </w:trPr>
        <w:tc>
          <w:tcPr>
            <w:tcW w:w="2264" w:type="dxa"/>
            <w:vAlign w:val="center"/>
          </w:tcPr>
          <w:p w14:paraId="3277682A">
            <w:pPr>
              <w:topLinePunct/>
              <w:jc w:val="center"/>
              <w:rPr>
                <w:color w:val="auto"/>
                <w:szCs w:val="21"/>
                <w:highlight w:val="none"/>
              </w:rPr>
            </w:pPr>
            <w:r>
              <w:rPr>
                <w:color w:val="auto"/>
                <w:highlight w:val="none"/>
              </w:rPr>
              <w:t>注册地址和网址（如有）</w:t>
            </w:r>
          </w:p>
        </w:tc>
        <w:tc>
          <w:tcPr>
            <w:tcW w:w="3342" w:type="dxa"/>
            <w:gridSpan w:val="4"/>
            <w:vAlign w:val="center"/>
          </w:tcPr>
          <w:p w14:paraId="61D8AE87">
            <w:pPr>
              <w:topLinePunct/>
              <w:spacing w:line="440" w:lineRule="exact"/>
              <w:jc w:val="center"/>
              <w:rPr>
                <w:color w:val="auto"/>
                <w:szCs w:val="21"/>
                <w:highlight w:val="none"/>
              </w:rPr>
            </w:pPr>
          </w:p>
        </w:tc>
        <w:tc>
          <w:tcPr>
            <w:tcW w:w="1173" w:type="dxa"/>
            <w:vAlign w:val="center"/>
          </w:tcPr>
          <w:p w14:paraId="20005F9F">
            <w:pPr>
              <w:topLinePunct/>
              <w:spacing w:line="440" w:lineRule="exact"/>
              <w:jc w:val="center"/>
              <w:rPr>
                <w:color w:val="auto"/>
                <w:szCs w:val="21"/>
                <w:highlight w:val="none"/>
              </w:rPr>
            </w:pPr>
            <w:r>
              <w:rPr>
                <w:color w:val="auto"/>
                <w:highlight w:val="none"/>
              </w:rPr>
              <w:t>邮政编码</w:t>
            </w:r>
          </w:p>
        </w:tc>
        <w:tc>
          <w:tcPr>
            <w:tcW w:w="2944" w:type="dxa"/>
            <w:gridSpan w:val="3"/>
            <w:vAlign w:val="center"/>
          </w:tcPr>
          <w:p w14:paraId="5CD86945">
            <w:pPr>
              <w:topLinePunct/>
              <w:spacing w:line="440" w:lineRule="exact"/>
              <w:jc w:val="center"/>
              <w:rPr>
                <w:color w:val="auto"/>
                <w:szCs w:val="21"/>
                <w:highlight w:val="none"/>
              </w:rPr>
            </w:pPr>
          </w:p>
        </w:tc>
      </w:tr>
      <w:tr w14:paraId="5B4EA4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2264" w:type="dxa"/>
            <w:vMerge w:val="restart"/>
            <w:vAlign w:val="center"/>
          </w:tcPr>
          <w:p w14:paraId="4B74F6CD">
            <w:pPr>
              <w:topLinePunct/>
              <w:spacing w:line="440" w:lineRule="exact"/>
              <w:jc w:val="center"/>
              <w:rPr>
                <w:color w:val="auto"/>
                <w:szCs w:val="21"/>
                <w:highlight w:val="none"/>
              </w:rPr>
            </w:pPr>
            <w:r>
              <w:rPr>
                <w:color w:val="auto"/>
                <w:highlight w:val="none"/>
              </w:rPr>
              <w:t>联系方式</w:t>
            </w:r>
          </w:p>
        </w:tc>
        <w:tc>
          <w:tcPr>
            <w:tcW w:w="1010" w:type="dxa"/>
            <w:vAlign w:val="center"/>
          </w:tcPr>
          <w:p w14:paraId="6511F569">
            <w:pPr>
              <w:topLinePunct/>
              <w:spacing w:line="440" w:lineRule="exact"/>
              <w:jc w:val="center"/>
              <w:rPr>
                <w:color w:val="auto"/>
                <w:szCs w:val="21"/>
                <w:highlight w:val="none"/>
              </w:rPr>
            </w:pPr>
            <w:r>
              <w:rPr>
                <w:color w:val="auto"/>
                <w:highlight w:val="none"/>
              </w:rPr>
              <w:t>联系人</w:t>
            </w:r>
          </w:p>
        </w:tc>
        <w:tc>
          <w:tcPr>
            <w:tcW w:w="2332" w:type="dxa"/>
            <w:gridSpan w:val="3"/>
            <w:vAlign w:val="center"/>
          </w:tcPr>
          <w:p w14:paraId="1EB9201C">
            <w:pPr>
              <w:topLinePunct/>
              <w:spacing w:line="440" w:lineRule="exact"/>
              <w:jc w:val="center"/>
              <w:rPr>
                <w:color w:val="auto"/>
                <w:szCs w:val="21"/>
                <w:highlight w:val="none"/>
              </w:rPr>
            </w:pPr>
          </w:p>
        </w:tc>
        <w:tc>
          <w:tcPr>
            <w:tcW w:w="1173" w:type="dxa"/>
            <w:vAlign w:val="center"/>
          </w:tcPr>
          <w:p w14:paraId="52457939">
            <w:pPr>
              <w:topLinePunct/>
              <w:spacing w:line="440" w:lineRule="exact"/>
              <w:jc w:val="center"/>
              <w:rPr>
                <w:color w:val="auto"/>
                <w:szCs w:val="21"/>
                <w:highlight w:val="none"/>
              </w:rPr>
            </w:pPr>
            <w:r>
              <w:rPr>
                <w:color w:val="auto"/>
                <w:highlight w:val="none"/>
              </w:rPr>
              <w:t>电 话</w:t>
            </w:r>
          </w:p>
        </w:tc>
        <w:tc>
          <w:tcPr>
            <w:tcW w:w="2944" w:type="dxa"/>
            <w:gridSpan w:val="3"/>
            <w:vAlign w:val="center"/>
          </w:tcPr>
          <w:p w14:paraId="79DE9344">
            <w:pPr>
              <w:topLinePunct/>
              <w:spacing w:line="440" w:lineRule="exact"/>
              <w:jc w:val="center"/>
              <w:rPr>
                <w:color w:val="auto"/>
                <w:szCs w:val="21"/>
                <w:highlight w:val="none"/>
              </w:rPr>
            </w:pPr>
          </w:p>
        </w:tc>
      </w:tr>
      <w:tr w14:paraId="73F165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jc w:val="center"/>
        </w:trPr>
        <w:tc>
          <w:tcPr>
            <w:tcW w:w="2264" w:type="dxa"/>
            <w:vMerge w:val="continue"/>
            <w:vAlign w:val="center"/>
          </w:tcPr>
          <w:p w14:paraId="6FD73360">
            <w:pPr>
              <w:widowControl/>
              <w:jc w:val="left"/>
              <w:rPr>
                <w:color w:val="auto"/>
                <w:szCs w:val="21"/>
                <w:highlight w:val="none"/>
              </w:rPr>
            </w:pPr>
          </w:p>
        </w:tc>
        <w:tc>
          <w:tcPr>
            <w:tcW w:w="1010" w:type="dxa"/>
            <w:vAlign w:val="center"/>
          </w:tcPr>
          <w:p w14:paraId="1E16C06B">
            <w:pPr>
              <w:topLinePunct/>
              <w:spacing w:line="440" w:lineRule="exact"/>
              <w:jc w:val="center"/>
              <w:rPr>
                <w:color w:val="auto"/>
                <w:szCs w:val="21"/>
                <w:highlight w:val="none"/>
              </w:rPr>
            </w:pPr>
            <w:r>
              <w:rPr>
                <w:color w:val="auto"/>
                <w:highlight w:val="none"/>
              </w:rPr>
              <w:t>传  真</w:t>
            </w:r>
          </w:p>
        </w:tc>
        <w:tc>
          <w:tcPr>
            <w:tcW w:w="2332" w:type="dxa"/>
            <w:gridSpan w:val="3"/>
            <w:vAlign w:val="center"/>
          </w:tcPr>
          <w:p w14:paraId="17475A97">
            <w:pPr>
              <w:topLinePunct/>
              <w:spacing w:line="440" w:lineRule="exact"/>
              <w:jc w:val="center"/>
              <w:rPr>
                <w:color w:val="auto"/>
                <w:szCs w:val="21"/>
                <w:highlight w:val="none"/>
              </w:rPr>
            </w:pPr>
          </w:p>
        </w:tc>
        <w:tc>
          <w:tcPr>
            <w:tcW w:w="1173" w:type="dxa"/>
            <w:vAlign w:val="center"/>
          </w:tcPr>
          <w:p w14:paraId="7689F422">
            <w:pPr>
              <w:topLinePunct/>
              <w:spacing w:line="440" w:lineRule="exact"/>
              <w:jc w:val="center"/>
              <w:rPr>
                <w:color w:val="auto"/>
                <w:szCs w:val="21"/>
                <w:highlight w:val="none"/>
              </w:rPr>
            </w:pPr>
            <w:r>
              <w:rPr>
                <w:color w:val="auto"/>
                <w:highlight w:val="none"/>
              </w:rPr>
              <w:t>电子邮件</w:t>
            </w:r>
          </w:p>
        </w:tc>
        <w:tc>
          <w:tcPr>
            <w:tcW w:w="2944" w:type="dxa"/>
            <w:gridSpan w:val="3"/>
            <w:vAlign w:val="center"/>
          </w:tcPr>
          <w:p w14:paraId="6255720B">
            <w:pPr>
              <w:topLinePunct/>
              <w:spacing w:line="440" w:lineRule="exact"/>
              <w:jc w:val="center"/>
              <w:rPr>
                <w:color w:val="auto"/>
                <w:szCs w:val="21"/>
                <w:highlight w:val="none"/>
              </w:rPr>
            </w:pPr>
          </w:p>
        </w:tc>
      </w:tr>
      <w:tr w14:paraId="5680B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2264" w:type="dxa"/>
            <w:vAlign w:val="center"/>
          </w:tcPr>
          <w:p w14:paraId="1C8BCFBF">
            <w:pPr>
              <w:topLinePunct/>
              <w:spacing w:line="440" w:lineRule="exact"/>
              <w:jc w:val="center"/>
              <w:rPr>
                <w:color w:val="auto"/>
                <w:szCs w:val="21"/>
                <w:highlight w:val="none"/>
              </w:rPr>
            </w:pPr>
            <w:r>
              <w:rPr>
                <w:color w:val="auto"/>
                <w:highlight w:val="none"/>
              </w:rPr>
              <w:t>法定代表人</w:t>
            </w:r>
          </w:p>
        </w:tc>
        <w:tc>
          <w:tcPr>
            <w:tcW w:w="1010" w:type="dxa"/>
            <w:vAlign w:val="center"/>
          </w:tcPr>
          <w:p w14:paraId="3897EB0B">
            <w:pPr>
              <w:topLinePunct/>
              <w:spacing w:line="440" w:lineRule="exact"/>
              <w:jc w:val="center"/>
              <w:rPr>
                <w:color w:val="auto"/>
                <w:szCs w:val="21"/>
                <w:highlight w:val="none"/>
              </w:rPr>
            </w:pPr>
            <w:r>
              <w:rPr>
                <w:color w:val="auto"/>
                <w:highlight w:val="none"/>
              </w:rPr>
              <w:t>姓名</w:t>
            </w:r>
          </w:p>
        </w:tc>
        <w:tc>
          <w:tcPr>
            <w:tcW w:w="959" w:type="dxa"/>
            <w:vAlign w:val="center"/>
          </w:tcPr>
          <w:p w14:paraId="33559714">
            <w:pPr>
              <w:topLinePunct/>
              <w:spacing w:line="440" w:lineRule="exact"/>
              <w:jc w:val="center"/>
              <w:rPr>
                <w:color w:val="auto"/>
                <w:szCs w:val="21"/>
                <w:highlight w:val="none"/>
              </w:rPr>
            </w:pPr>
          </w:p>
        </w:tc>
        <w:tc>
          <w:tcPr>
            <w:tcW w:w="1373" w:type="dxa"/>
            <w:gridSpan w:val="2"/>
            <w:vAlign w:val="center"/>
          </w:tcPr>
          <w:p w14:paraId="6BBCF7E9">
            <w:pPr>
              <w:topLinePunct/>
              <w:spacing w:line="440" w:lineRule="exact"/>
              <w:jc w:val="center"/>
              <w:rPr>
                <w:color w:val="auto"/>
                <w:szCs w:val="21"/>
                <w:highlight w:val="none"/>
              </w:rPr>
            </w:pPr>
            <w:r>
              <w:rPr>
                <w:color w:val="auto"/>
                <w:highlight w:val="none"/>
              </w:rPr>
              <w:t>技术职称</w:t>
            </w:r>
          </w:p>
        </w:tc>
        <w:tc>
          <w:tcPr>
            <w:tcW w:w="1707" w:type="dxa"/>
            <w:gridSpan w:val="2"/>
            <w:vAlign w:val="center"/>
          </w:tcPr>
          <w:p w14:paraId="3B7F2B6B">
            <w:pPr>
              <w:topLinePunct/>
              <w:spacing w:line="440" w:lineRule="exact"/>
              <w:jc w:val="center"/>
              <w:rPr>
                <w:color w:val="auto"/>
                <w:szCs w:val="21"/>
                <w:highlight w:val="none"/>
              </w:rPr>
            </w:pPr>
          </w:p>
        </w:tc>
        <w:tc>
          <w:tcPr>
            <w:tcW w:w="936" w:type="dxa"/>
            <w:vAlign w:val="center"/>
          </w:tcPr>
          <w:p w14:paraId="6014CD15">
            <w:pPr>
              <w:topLinePunct/>
              <w:spacing w:line="440" w:lineRule="exact"/>
              <w:jc w:val="center"/>
              <w:rPr>
                <w:color w:val="auto"/>
                <w:szCs w:val="21"/>
                <w:highlight w:val="none"/>
              </w:rPr>
            </w:pPr>
            <w:r>
              <w:rPr>
                <w:color w:val="auto"/>
                <w:highlight w:val="none"/>
              </w:rPr>
              <w:t>电话</w:t>
            </w:r>
          </w:p>
        </w:tc>
        <w:tc>
          <w:tcPr>
            <w:tcW w:w="1474" w:type="dxa"/>
            <w:vAlign w:val="center"/>
          </w:tcPr>
          <w:p w14:paraId="1E4D8A84">
            <w:pPr>
              <w:topLinePunct/>
              <w:spacing w:line="440" w:lineRule="exact"/>
              <w:jc w:val="center"/>
              <w:rPr>
                <w:color w:val="auto"/>
                <w:szCs w:val="21"/>
                <w:highlight w:val="none"/>
              </w:rPr>
            </w:pPr>
          </w:p>
        </w:tc>
      </w:tr>
      <w:tr w14:paraId="3B4ABB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64" w:type="dxa"/>
            <w:vAlign w:val="center"/>
          </w:tcPr>
          <w:p w14:paraId="2EC7A51B">
            <w:pPr>
              <w:topLinePunct/>
              <w:spacing w:line="440" w:lineRule="exact"/>
              <w:jc w:val="center"/>
              <w:rPr>
                <w:color w:val="auto"/>
                <w:szCs w:val="21"/>
                <w:highlight w:val="none"/>
              </w:rPr>
            </w:pPr>
            <w:r>
              <w:rPr>
                <w:color w:val="auto"/>
                <w:highlight w:val="none"/>
              </w:rPr>
              <w:t>技术负责人</w:t>
            </w:r>
          </w:p>
        </w:tc>
        <w:tc>
          <w:tcPr>
            <w:tcW w:w="1010" w:type="dxa"/>
            <w:vAlign w:val="center"/>
          </w:tcPr>
          <w:p w14:paraId="753B1E9E">
            <w:pPr>
              <w:topLinePunct/>
              <w:spacing w:line="440" w:lineRule="exact"/>
              <w:jc w:val="center"/>
              <w:rPr>
                <w:color w:val="auto"/>
                <w:szCs w:val="21"/>
                <w:highlight w:val="none"/>
              </w:rPr>
            </w:pPr>
            <w:r>
              <w:rPr>
                <w:color w:val="auto"/>
                <w:highlight w:val="none"/>
              </w:rPr>
              <w:t>姓名</w:t>
            </w:r>
          </w:p>
        </w:tc>
        <w:tc>
          <w:tcPr>
            <w:tcW w:w="959" w:type="dxa"/>
            <w:vAlign w:val="center"/>
          </w:tcPr>
          <w:p w14:paraId="58CD7952">
            <w:pPr>
              <w:topLinePunct/>
              <w:spacing w:line="440" w:lineRule="exact"/>
              <w:jc w:val="center"/>
              <w:rPr>
                <w:color w:val="auto"/>
                <w:szCs w:val="21"/>
                <w:highlight w:val="none"/>
              </w:rPr>
            </w:pPr>
          </w:p>
        </w:tc>
        <w:tc>
          <w:tcPr>
            <w:tcW w:w="1373" w:type="dxa"/>
            <w:gridSpan w:val="2"/>
            <w:vAlign w:val="center"/>
          </w:tcPr>
          <w:p w14:paraId="7C80218E">
            <w:pPr>
              <w:topLinePunct/>
              <w:spacing w:line="440" w:lineRule="exact"/>
              <w:jc w:val="center"/>
              <w:rPr>
                <w:color w:val="auto"/>
                <w:szCs w:val="21"/>
                <w:highlight w:val="none"/>
              </w:rPr>
            </w:pPr>
            <w:r>
              <w:rPr>
                <w:color w:val="auto"/>
                <w:highlight w:val="none"/>
              </w:rPr>
              <w:t>技术职称</w:t>
            </w:r>
          </w:p>
        </w:tc>
        <w:tc>
          <w:tcPr>
            <w:tcW w:w="1707" w:type="dxa"/>
            <w:gridSpan w:val="2"/>
            <w:vAlign w:val="center"/>
          </w:tcPr>
          <w:p w14:paraId="3257433D">
            <w:pPr>
              <w:topLinePunct/>
              <w:spacing w:line="440" w:lineRule="exact"/>
              <w:jc w:val="center"/>
              <w:rPr>
                <w:color w:val="auto"/>
                <w:szCs w:val="21"/>
                <w:highlight w:val="none"/>
              </w:rPr>
            </w:pPr>
          </w:p>
        </w:tc>
        <w:tc>
          <w:tcPr>
            <w:tcW w:w="936" w:type="dxa"/>
            <w:vAlign w:val="center"/>
          </w:tcPr>
          <w:p w14:paraId="19D5CD4D">
            <w:pPr>
              <w:topLinePunct/>
              <w:spacing w:line="440" w:lineRule="exact"/>
              <w:jc w:val="center"/>
              <w:rPr>
                <w:color w:val="auto"/>
                <w:szCs w:val="21"/>
                <w:highlight w:val="none"/>
              </w:rPr>
            </w:pPr>
            <w:r>
              <w:rPr>
                <w:color w:val="auto"/>
                <w:highlight w:val="none"/>
              </w:rPr>
              <w:t>电话</w:t>
            </w:r>
          </w:p>
        </w:tc>
        <w:tc>
          <w:tcPr>
            <w:tcW w:w="1474" w:type="dxa"/>
            <w:vAlign w:val="center"/>
          </w:tcPr>
          <w:p w14:paraId="129FF8AE">
            <w:pPr>
              <w:topLinePunct/>
              <w:spacing w:line="440" w:lineRule="exact"/>
              <w:jc w:val="center"/>
              <w:rPr>
                <w:color w:val="auto"/>
                <w:szCs w:val="21"/>
                <w:highlight w:val="none"/>
              </w:rPr>
            </w:pPr>
          </w:p>
        </w:tc>
      </w:tr>
      <w:tr w14:paraId="041971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64" w:type="dxa"/>
            <w:vAlign w:val="center"/>
          </w:tcPr>
          <w:p w14:paraId="6497A984">
            <w:pPr>
              <w:topLinePunct/>
              <w:spacing w:line="440" w:lineRule="exact"/>
              <w:jc w:val="center"/>
              <w:rPr>
                <w:color w:val="auto"/>
                <w:highlight w:val="none"/>
              </w:rPr>
            </w:pPr>
            <w:r>
              <w:rPr>
                <w:rFonts w:hint="eastAsia"/>
                <w:color w:val="auto"/>
                <w:highlight w:val="none"/>
                <w:lang w:val="en-US" w:eastAsia="zh-CN"/>
              </w:rPr>
              <w:t>企业资质证书</w:t>
            </w:r>
          </w:p>
        </w:tc>
        <w:tc>
          <w:tcPr>
            <w:tcW w:w="7459" w:type="dxa"/>
            <w:gridSpan w:val="8"/>
            <w:vAlign w:val="center"/>
          </w:tcPr>
          <w:p w14:paraId="03CEB9B1">
            <w:pPr>
              <w:topLinePunct/>
              <w:spacing w:line="440" w:lineRule="exact"/>
              <w:jc w:val="center"/>
              <w:rPr>
                <w:color w:val="auto"/>
                <w:szCs w:val="21"/>
                <w:highlight w:val="none"/>
              </w:rPr>
            </w:pPr>
            <w:r>
              <w:rPr>
                <w:rFonts w:hint="eastAsia"/>
                <w:color w:val="auto"/>
                <w:szCs w:val="21"/>
                <w:highlight w:val="none"/>
                <w:lang w:val="en-US" w:eastAsia="zh-CN"/>
              </w:rPr>
              <w:t>类型：          等级：                 证书号</w:t>
            </w:r>
          </w:p>
        </w:tc>
      </w:tr>
      <w:tr w14:paraId="76351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jc w:val="center"/>
        </w:trPr>
        <w:tc>
          <w:tcPr>
            <w:tcW w:w="2264" w:type="dxa"/>
            <w:vAlign w:val="center"/>
          </w:tcPr>
          <w:p w14:paraId="3F6C997B">
            <w:pPr>
              <w:topLinePunct/>
              <w:spacing w:line="440" w:lineRule="exact"/>
              <w:jc w:val="center"/>
              <w:rPr>
                <w:color w:val="auto"/>
                <w:szCs w:val="21"/>
                <w:highlight w:val="none"/>
              </w:rPr>
            </w:pPr>
            <w:r>
              <w:rPr>
                <w:rFonts w:hint="eastAsia"/>
                <w:color w:val="auto"/>
                <w:szCs w:val="21"/>
                <w:highlight w:val="none"/>
                <w:lang w:val="en-US" w:eastAsia="zh-CN"/>
              </w:rPr>
              <w:t>营业执照号</w:t>
            </w:r>
          </w:p>
        </w:tc>
        <w:tc>
          <w:tcPr>
            <w:tcW w:w="1969" w:type="dxa"/>
            <w:gridSpan w:val="2"/>
            <w:vAlign w:val="center"/>
          </w:tcPr>
          <w:p w14:paraId="4B56F3ED">
            <w:pPr>
              <w:topLinePunct/>
              <w:spacing w:line="440" w:lineRule="exact"/>
              <w:jc w:val="center"/>
              <w:rPr>
                <w:color w:val="auto"/>
                <w:szCs w:val="21"/>
                <w:highlight w:val="none"/>
              </w:rPr>
            </w:pPr>
          </w:p>
        </w:tc>
        <w:tc>
          <w:tcPr>
            <w:tcW w:w="5490" w:type="dxa"/>
            <w:gridSpan w:val="6"/>
            <w:vAlign w:val="center"/>
          </w:tcPr>
          <w:p w14:paraId="0A3E2F30">
            <w:pPr>
              <w:topLinePunct/>
              <w:spacing w:line="440" w:lineRule="exact"/>
              <w:ind w:firstLine="1050" w:firstLineChars="500"/>
              <w:rPr>
                <w:color w:val="auto"/>
                <w:szCs w:val="21"/>
                <w:highlight w:val="none"/>
              </w:rPr>
            </w:pPr>
            <w:r>
              <w:rPr>
                <w:color w:val="auto"/>
                <w:highlight w:val="none"/>
              </w:rPr>
              <w:t>员工总人数：</w:t>
            </w:r>
          </w:p>
        </w:tc>
      </w:tr>
      <w:tr w14:paraId="68F185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14:paraId="31BAE6C9">
            <w:pPr>
              <w:topLinePunct/>
              <w:spacing w:line="28" w:lineRule="atLeast"/>
              <w:jc w:val="center"/>
              <w:rPr>
                <w:rFonts w:hint="default" w:eastAsia="宋体"/>
                <w:color w:val="auto"/>
                <w:szCs w:val="21"/>
                <w:highlight w:val="none"/>
                <w:lang w:val="en-US" w:eastAsia="zh-CN"/>
              </w:rPr>
            </w:pPr>
            <w:r>
              <w:rPr>
                <w:rFonts w:hint="eastAsia"/>
                <w:color w:val="auto"/>
                <w:highlight w:val="none"/>
                <w:lang w:val="en-US" w:eastAsia="zh-CN"/>
              </w:rPr>
              <w:t>注册资本</w:t>
            </w:r>
          </w:p>
        </w:tc>
        <w:tc>
          <w:tcPr>
            <w:tcW w:w="1969" w:type="dxa"/>
            <w:gridSpan w:val="2"/>
            <w:vAlign w:val="center"/>
          </w:tcPr>
          <w:p w14:paraId="17B90277">
            <w:pPr>
              <w:topLinePunct/>
              <w:spacing w:line="440" w:lineRule="exact"/>
              <w:jc w:val="center"/>
              <w:rPr>
                <w:color w:val="auto"/>
                <w:sz w:val="2"/>
                <w:szCs w:val="21"/>
                <w:highlight w:val="none"/>
              </w:rPr>
            </w:pPr>
          </w:p>
        </w:tc>
        <w:tc>
          <w:tcPr>
            <w:tcW w:w="784" w:type="dxa"/>
            <w:vMerge w:val="restart"/>
            <w:vAlign w:val="center"/>
          </w:tcPr>
          <w:p w14:paraId="4C120895">
            <w:pPr>
              <w:topLinePunct/>
              <w:spacing w:line="28" w:lineRule="atLeast"/>
              <w:jc w:val="center"/>
              <w:rPr>
                <w:color w:val="auto"/>
                <w:szCs w:val="21"/>
                <w:highlight w:val="none"/>
              </w:rPr>
            </w:pPr>
            <w:r>
              <w:rPr>
                <w:color w:val="auto"/>
                <w:highlight w:val="none"/>
              </w:rPr>
              <w:t>其中</w:t>
            </w:r>
          </w:p>
        </w:tc>
        <w:tc>
          <w:tcPr>
            <w:tcW w:w="2296" w:type="dxa"/>
            <w:gridSpan w:val="3"/>
            <w:vAlign w:val="center"/>
          </w:tcPr>
          <w:p w14:paraId="25427042">
            <w:pPr>
              <w:topLinePunct/>
              <w:spacing w:line="28" w:lineRule="atLeast"/>
              <w:jc w:val="center"/>
              <w:rPr>
                <w:color w:val="auto"/>
                <w:szCs w:val="21"/>
                <w:highlight w:val="none"/>
              </w:rPr>
            </w:pPr>
            <w:r>
              <w:rPr>
                <w:color w:val="auto"/>
                <w:highlight w:val="none"/>
              </w:rPr>
              <w:t>高级职称人员</w:t>
            </w:r>
          </w:p>
        </w:tc>
        <w:tc>
          <w:tcPr>
            <w:tcW w:w="2410" w:type="dxa"/>
            <w:gridSpan w:val="2"/>
            <w:vAlign w:val="center"/>
          </w:tcPr>
          <w:p w14:paraId="3F2ECF44">
            <w:pPr>
              <w:topLinePunct/>
              <w:spacing w:line="440" w:lineRule="exact"/>
              <w:jc w:val="center"/>
              <w:rPr>
                <w:color w:val="auto"/>
                <w:sz w:val="2"/>
                <w:szCs w:val="21"/>
                <w:highlight w:val="none"/>
              </w:rPr>
            </w:pPr>
          </w:p>
        </w:tc>
      </w:tr>
      <w:tr w14:paraId="2E124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14:paraId="258B0D13">
            <w:pPr>
              <w:topLinePunct/>
              <w:spacing w:line="28" w:lineRule="atLeast"/>
              <w:jc w:val="center"/>
              <w:rPr>
                <w:color w:val="auto"/>
                <w:szCs w:val="21"/>
                <w:highlight w:val="none"/>
              </w:rPr>
            </w:pPr>
            <w:r>
              <w:rPr>
                <w:rFonts w:hint="eastAsia"/>
                <w:color w:val="auto"/>
                <w:szCs w:val="21"/>
                <w:highlight w:val="none"/>
                <w:lang w:val="en-US" w:eastAsia="zh-CN"/>
              </w:rPr>
              <w:t>成立日期</w:t>
            </w:r>
          </w:p>
        </w:tc>
        <w:tc>
          <w:tcPr>
            <w:tcW w:w="1969" w:type="dxa"/>
            <w:gridSpan w:val="2"/>
            <w:vAlign w:val="center"/>
          </w:tcPr>
          <w:p w14:paraId="5BC16618">
            <w:pPr>
              <w:topLinePunct/>
              <w:spacing w:line="440" w:lineRule="exact"/>
              <w:jc w:val="center"/>
              <w:rPr>
                <w:color w:val="auto"/>
                <w:sz w:val="2"/>
                <w:szCs w:val="21"/>
                <w:highlight w:val="none"/>
              </w:rPr>
            </w:pPr>
          </w:p>
        </w:tc>
        <w:tc>
          <w:tcPr>
            <w:tcW w:w="784" w:type="dxa"/>
            <w:vMerge w:val="continue"/>
            <w:vAlign w:val="center"/>
          </w:tcPr>
          <w:p w14:paraId="7BB291E4">
            <w:pPr>
              <w:widowControl/>
              <w:jc w:val="left"/>
              <w:rPr>
                <w:color w:val="auto"/>
                <w:szCs w:val="21"/>
                <w:highlight w:val="none"/>
              </w:rPr>
            </w:pPr>
          </w:p>
        </w:tc>
        <w:tc>
          <w:tcPr>
            <w:tcW w:w="2296" w:type="dxa"/>
            <w:gridSpan w:val="3"/>
            <w:vAlign w:val="center"/>
          </w:tcPr>
          <w:p w14:paraId="7CBB3E41">
            <w:pPr>
              <w:topLinePunct/>
              <w:spacing w:line="28" w:lineRule="atLeast"/>
              <w:jc w:val="center"/>
              <w:rPr>
                <w:color w:val="auto"/>
                <w:szCs w:val="21"/>
                <w:highlight w:val="none"/>
              </w:rPr>
            </w:pPr>
            <w:r>
              <w:rPr>
                <w:color w:val="auto"/>
                <w:highlight w:val="none"/>
              </w:rPr>
              <w:t>中级职称人员</w:t>
            </w:r>
          </w:p>
        </w:tc>
        <w:tc>
          <w:tcPr>
            <w:tcW w:w="2410" w:type="dxa"/>
            <w:gridSpan w:val="2"/>
            <w:vAlign w:val="center"/>
          </w:tcPr>
          <w:p w14:paraId="2081E211">
            <w:pPr>
              <w:topLinePunct/>
              <w:spacing w:line="440" w:lineRule="exact"/>
              <w:jc w:val="center"/>
              <w:rPr>
                <w:color w:val="auto"/>
                <w:sz w:val="2"/>
                <w:szCs w:val="21"/>
                <w:highlight w:val="none"/>
              </w:rPr>
            </w:pPr>
          </w:p>
        </w:tc>
      </w:tr>
      <w:tr w14:paraId="2B6C5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2264" w:type="dxa"/>
            <w:vAlign w:val="center"/>
          </w:tcPr>
          <w:p w14:paraId="52AE9D66">
            <w:pPr>
              <w:topLinePunct/>
              <w:spacing w:line="28" w:lineRule="atLeast"/>
              <w:jc w:val="center"/>
              <w:rPr>
                <w:color w:val="auto"/>
                <w:szCs w:val="21"/>
                <w:highlight w:val="none"/>
              </w:rPr>
            </w:pPr>
            <w:r>
              <w:rPr>
                <w:color w:val="auto"/>
                <w:highlight w:val="none"/>
              </w:rPr>
              <w:t>基本账户开户银行</w:t>
            </w:r>
          </w:p>
        </w:tc>
        <w:tc>
          <w:tcPr>
            <w:tcW w:w="1969" w:type="dxa"/>
            <w:gridSpan w:val="2"/>
            <w:vAlign w:val="center"/>
          </w:tcPr>
          <w:p w14:paraId="1F305901">
            <w:pPr>
              <w:topLinePunct/>
              <w:spacing w:line="440" w:lineRule="exact"/>
              <w:jc w:val="center"/>
              <w:rPr>
                <w:color w:val="auto"/>
                <w:sz w:val="2"/>
                <w:szCs w:val="21"/>
                <w:highlight w:val="none"/>
              </w:rPr>
            </w:pPr>
          </w:p>
        </w:tc>
        <w:tc>
          <w:tcPr>
            <w:tcW w:w="784" w:type="dxa"/>
            <w:vMerge w:val="continue"/>
            <w:vAlign w:val="center"/>
          </w:tcPr>
          <w:p w14:paraId="6AF0A24D">
            <w:pPr>
              <w:widowControl/>
              <w:jc w:val="left"/>
              <w:rPr>
                <w:color w:val="auto"/>
                <w:szCs w:val="21"/>
                <w:highlight w:val="none"/>
              </w:rPr>
            </w:pPr>
          </w:p>
        </w:tc>
        <w:tc>
          <w:tcPr>
            <w:tcW w:w="2296" w:type="dxa"/>
            <w:gridSpan w:val="3"/>
            <w:vAlign w:val="center"/>
          </w:tcPr>
          <w:p w14:paraId="474524BA">
            <w:pPr>
              <w:topLinePunct/>
              <w:spacing w:line="28" w:lineRule="atLeast"/>
              <w:jc w:val="center"/>
              <w:rPr>
                <w:color w:val="auto"/>
                <w:szCs w:val="21"/>
                <w:highlight w:val="none"/>
              </w:rPr>
            </w:pPr>
            <w:r>
              <w:rPr>
                <w:rFonts w:hint="eastAsia"/>
                <w:color w:val="auto"/>
                <w:highlight w:val="none"/>
                <w:lang w:val="en-US" w:eastAsia="zh-CN"/>
              </w:rPr>
              <w:t>技术人员数量</w:t>
            </w:r>
          </w:p>
        </w:tc>
        <w:tc>
          <w:tcPr>
            <w:tcW w:w="2410" w:type="dxa"/>
            <w:gridSpan w:val="2"/>
            <w:vAlign w:val="center"/>
          </w:tcPr>
          <w:p w14:paraId="67D38880">
            <w:pPr>
              <w:topLinePunct/>
              <w:spacing w:line="440" w:lineRule="exact"/>
              <w:jc w:val="center"/>
              <w:rPr>
                <w:color w:val="auto"/>
                <w:sz w:val="2"/>
                <w:szCs w:val="21"/>
                <w:highlight w:val="none"/>
              </w:rPr>
            </w:pPr>
          </w:p>
        </w:tc>
      </w:tr>
      <w:tr w14:paraId="61C84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 w:hRule="atLeast"/>
          <w:jc w:val="center"/>
        </w:trPr>
        <w:tc>
          <w:tcPr>
            <w:tcW w:w="2264" w:type="dxa"/>
            <w:vAlign w:val="center"/>
          </w:tcPr>
          <w:p w14:paraId="408B263D">
            <w:pPr>
              <w:topLinePunct/>
              <w:spacing w:line="28" w:lineRule="atLeast"/>
              <w:jc w:val="center"/>
              <w:rPr>
                <w:color w:val="auto"/>
                <w:szCs w:val="21"/>
                <w:highlight w:val="none"/>
              </w:rPr>
            </w:pPr>
            <w:r>
              <w:rPr>
                <w:color w:val="auto"/>
                <w:highlight w:val="none"/>
              </w:rPr>
              <w:t>基本账户账号</w:t>
            </w:r>
          </w:p>
        </w:tc>
        <w:tc>
          <w:tcPr>
            <w:tcW w:w="1969" w:type="dxa"/>
            <w:gridSpan w:val="2"/>
            <w:vAlign w:val="center"/>
          </w:tcPr>
          <w:p w14:paraId="6D57FDC6">
            <w:pPr>
              <w:topLinePunct/>
              <w:spacing w:line="440" w:lineRule="exact"/>
              <w:jc w:val="center"/>
              <w:rPr>
                <w:color w:val="auto"/>
                <w:sz w:val="2"/>
                <w:szCs w:val="21"/>
                <w:highlight w:val="none"/>
              </w:rPr>
            </w:pPr>
          </w:p>
        </w:tc>
        <w:tc>
          <w:tcPr>
            <w:tcW w:w="784" w:type="dxa"/>
            <w:vMerge w:val="continue"/>
            <w:vAlign w:val="center"/>
          </w:tcPr>
          <w:p w14:paraId="5E396B2F">
            <w:pPr>
              <w:widowControl/>
              <w:jc w:val="left"/>
              <w:rPr>
                <w:color w:val="auto"/>
                <w:szCs w:val="21"/>
                <w:highlight w:val="none"/>
              </w:rPr>
            </w:pPr>
          </w:p>
        </w:tc>
        <w:tc>
          <w:tcPr>
            <w:tcW w:w="2296" w:type="dxa"/>
            <w:gridSpan w:val="3"/>
            <w:vAlign w:val="center"/>
          </w:tcPr>
          <w:p w14:paraId="536CCBFB">
            <w:pPr>
              <w:topLinePunct/>
              <w:spacing w:line="28" w:lineRule="atLeast"/>
              <w:jc w:val="center"/>
              <w:rPr>
                <w:rFonts w:ascii="Times New Roman" w:hAnsi="Times New Roman" w:eastAsia="宋体" w:cs="Times New Roman"/>
                <w:color w:val="auto"/>
                <w:kern w:val="2"/>
                <w:sz w:val="21"/>
                <w:szCs w:val="21"/>
                <w:highlight w:val="none"/>
                <w:lang w:val="en-US" w:eastAsia="zh-CN" w:bidi="ar-SA"/>
              </w:rPr>
            </w:pPr>
            <w:r>
              <w:rPr>
                <w:rFonts w:hint="eastAsia"/>
                <w:color w:val="auto"/>
                <w:highlight w:val="none"/>
                <w:lang w:val="en-US" w:eastAsia="zh-CN"/>
              </w:rPr>
              <w:t>各类注册人员</w:t>
            </w:r>
          </w:p>
        </w:tc>
        <w:tc>
          <w:tcPr>
            <w:tcW w:w="2410" w:type="dxa"/>
            <w:gridSpan w:val="2"/>
            <w:vAlign w:val="center"/>
          </w:tcPr>
          <w:p w14:paraId="28250CDA">
            <w:pPr>
              <w:topLinePunct/>
              <w:spacing w:line="440" w:lineRule="exact"/>
              <w:jc w:val="center"/>
              <w:rPr>
                <w:color w:val="auto"/>
                <w:sz w:val="2"/>
                <w:szCs w:val="21"/>
                <w:highlight w:val="none"/>
              </w:rPr>
            </w:pPr>
          </w:p>
        </w:tc>
      </w:tr>
      <w:tr w14:paraId="4E158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2264" w:type="dxa"/>
            <w:vAlign w:val="center"/>
          </w:tcPr>
          <w:p w14:paraId="27196C21">
            <w:pPr>
              <w:topLinePunct/>
              <w:spacing w:line="440" w:lineRule="exact"/>
              <w:jc w:val="center"/>
              <w:rPr>
                <w:color w:val="auto"/>
                <w:szCs w:val="21"/>
                <w:highlight w:val="none"/>
              </w:rPr>
            </w:pPr>
            <w:r>
              <w:rPr>
                <w:color w:val="auto"/>
                <w:highlight w:val="none"/>
              </w:rPr>
              <w:t>经营范围</w:t>
            </w:r>
          </w:p>
        </w:tc>
        <w:tc>
          <w:tcPr>
            <w:tcW w:w="7459" w:type="dxa"/>
            <w:gridSpan w:val="8"/>
            <w:vAlign w:val="center"/>
          </w:tcPr>
          <w:p w14:paraId="62E7CCBD">
            <w:pPr>
              <w:topLinePunct/>
              <w:spacing w:line="440" w:lineRule="exact"/>
              <w:jc w:val="center"/>
              <w:rPr>
                <w:color w:val="auto"/>
                <w:szCs w:val="21"/>
                <w:highlight w:val="none"/>
              </w:rPr>
            </w:pPr>
          </w:p>
        </w:tc>
      </w:tr>
      <w:tr w14:paraId="1A2B35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3" w:hRule="atLeast"/>
          <w:jc w:val="center"/>
        </w:trPr>
        <w:tc>
          <w:tcPr>
            <w:tcW w:w="2264" w:type="dxa"/>
            <w:vAlign w:val="center"/>
          </w:tcPr>
          <w:p w14:paraId="5874F25E">
            <w:pPr>
              <w:topLinePunct/>
              <w:spacing w:line="300" w:lineRule="exact"/>
              <w:ind w:firstLine="210" w:firstLineChars="100"/>
              <w:jc w:val="center"/>
              <w:rPr>
                <w:color w:val="auto"/>
                <w:szCs w:val="21"/>
                <w:highlight w:val="none"/>
              </w:rPr>
            </w:pPr>
            <w:r>
              <w:rPr>
                <w:rFonts w:hint="eastAsia"/>
                <w:color w:val="auto"/>
                <w:szCs w:val="21"/>
                <w:highlight w:val="none"/>
                <w:lang w:val="en-US" w:eastAsia="zh-CN"/>
              </w:rPr>
              <w:t xml:space="preserve">资产构成情况及投 </w:t>
            </w:r>
          </w:p>
          <w:p w14:paraId="7CF1C317">
            <w:pPr>
              <w:topLinePunct/>
              <w:spacing w:line="300" w:lineRule="exact"/>
              <w:ind w:firstLine="210" w:firstLineChars="100"/>
              <w:jc w:val="center"/>
              <w:rPr>
                <w:color w:val="auto"/>
                <w:szCs w:val="21"/>
                <w:highlight w:val="none"/>
              </w:rPr>
            </w:pPr>
            <w:r>
              <w:rPr>
                <w:rFonts w:hint="eastAsia"/>
                <w:color w:val="auto"/>
                <w:szCs w:val="21"/>
                <w:highlight w:val="none"/>
                <w:lang w:val="en-US" w:eastAsia="zh-CN"/>
              </w:rPr>
              <w:t>资的关联企业情况</w:t>
            </w:r>
          </w:p>
        </w:tc>
        <w:tc>
          <w:tcPr>
            <w:tcW w:w="7459" w:type="dxa"/>
            <w:gridSpan w:val="8"/>
            <w:vAlign w:val="center"/>
          </w:tcPr>
          <w:p w14:paraId="1DAF44A7">
            <w:pPr>
              <w:pStyle w:val="60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103" w:right="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投标人应提供关联企业情况，包括：</w:t>
            </w:r>
          </w:p>
          <w:p w14:paraId="51B22F11">
            <w:pPr>
              <w:pStyle w:val="60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2" w:right="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（1）投标人的所有股东名称及相应股权（出资额）比例；如投</w:t>
            </w:r>
            <w:r>
              <w:rPr>
                <w:rFonts w:hint="eastAsia" w:ascii="Times New Roman" w:hAnsi="Times New Roman" w:cs="Times New Roman"/>
                <w:color w:val="auto"/>
                <w:highlight w:val="none"/>
                <w:lang w:val="en-US" w:eastAsia="zh-CN"/>
              </w:rPr>
              <w:t>标</w:t>
            </w:r>
            <w:r>
              <w:rPr>
                <w:rFonts w:hint="default" w:ascii="Times New Roman" w:hAnsi="Times New Roman" w:cs="Times New Roman"/>
                <w:color w:val="auto"/>
                <w:highlight w:val="none"/>
              </w:rPr>
              <w:t>人为上市公司，投标人应提供股权占公司股份总数</w:t>
            </w:r>
            <w:r>
              <w:rPr>
                <w:rFonts w:hint="default"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33.3 </w:t>
            </w:r>
            <w:r>
              <w:rPr>
                <w:rFonts w:hint="default" w:ascii="Times New Roman" w:hAnsi="Times New Roman" w:cs="Times New Roman"/>
                <w:color w:val="auto"/>
                <w:highlight w:val="none"/>
              </w:rPr>
              <w:t>%以上的</w:t>
            </w:r>
            <w:r>
              <w:rPr>
                <w:rFonts w:hint="default" w:ascii="Times New Roman" w:hAnsi="Times New Roman" w:cs="Times New Roman"/>
                <w:b/>
                <w:bCs/>
                <w:color w:val="auto"/>
                <w:highlight w:val="none"/>
              </w:rPr>
              <w:t>所有股东名称及相应股权比例</w:t>
            </w:r>
            <w:r>
              <w:rPr>
                <w:rFonts w:hint="default" w:ascii="Times New Roman" w:hAnsi="Times New Roman" w:cs="Times New Roman"/>
                <w:color w:val="auto"/>
                <w:highlight w:val="none"/>
              </w:rPr>
              <w:t>；</w:t>
            </w:r>
          </w:p>
          <w:p w14:paraId="700E4558">
            <w:pPr>
              <w:pStyle w:val="60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（2）投标人投资（控股）或管理的下属</w:t>
            </w:r>
            <w:r>
              <w:rPr>
                <w:rFonts w:hint="default" w:ascii="Times New Roman" w:hAnsi="Times New Roman" w:cs="Times New Roman"/>
                <w:b/>
                <w:bCs/>
                <w:color w:val="auto"/>
                <w:highlight w:val="none"/>
              </w:rPr>
              <w:t>企业名称、持有股权（出资额）比例</w:t>
            </w:r>
            <w:r>
              <w:rPr>
                <w:rFonts w:hint="default" w:ascii="Times New Roman" w:hAnsi="Times New Roman" w:cs="Times New Roman"/>
                <w:color w:val="auto"/>
                <w:highlight w:val="none"/>
              </w:rPr>
              <w:t>；</w:t>
            </w:r>
          </w:p>
          <w:p w14:paraId="20F103C9">
            <w:pPr>
              <w:pStyle w:val="60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40" w:lineRule="exact"/>
              <w:ind w:left="0" w:right="0"/>
              <w:jc w:val="left"/>
              <w:textAlignment w:val="auto"/>
              <w:rPr>
                <w:rFonts w:hint="eastAsia" w:ascii="Times New Roman" w:hAnsi="Times New Roman" w:cs="Times New Roman"/>
                <w:b/>
                <w:bCs/>
                <w:color w:val="auto"/>
                <w:highlight w:val="none"/>
                <w:lang w:val="en-US" w:eastAsia="zh-CN"/>
              </w:rPr>
            </w:pPr>
            <w:r>
              <w:rPr>
                <w:rFonts w:hint="default" w:ascii="Times New Roman" w:hAnsi="Times New Roman" w:cs="Times New Roman"/>
                <w:color w:val="auto"/>
                <w:highlight w:val="none"/>
              </w:rPr>
              <w:t>（3）与投标人单位负责人（即法定代表人）为同一人的其他单位名称。</w:t>
            </w:r>
            <w:r>
              <w:rPr>
                <w:rFonts w:hint="eastAsia" w:ascii="Times New Roman" w:hAnsi="Times New Roman" w:cs="Times New Roman"/>
                <w:b/>
                <w:bCs/>
                <w:color w:val="auto"/>
                <w:highlight w:val="none"/>
                <w:lang w:val="en-US" w:eastAsia="zh-CN"/>
              </w:rPr>
              <w:t>(如无，请填写</w:t>
            </w:r>
            <w:r>
              <w:rPr>
                <w:rFonts w:hint="eastAsia" w:ascii="Times New Roman" w:hAnsi="Times New Roman" w:cs="Times New Roman"/>
                <w:b/>
                <w:bCs/>
                <w:color w:val="auto"/>
                <w:highlight w:val="none"/>
                <w:u w:val="single"/>
                <w:lang w:val="en-US" w:eastAsia="zh-CN"/>
              </w:rPr>
              <w:t>“无”</w:t>
            </w:r>
            <w:r>
              <w:rPr>
                <w:rFonts w:hint="eastAsia" w:ascii="Times New Roman" w:hAnsi="Times New Roman" w:cs="Times New Roman"/>
                <w:b/>
                <w:bCs/>
                <w:color w:val="auto"/>
                <w:highlight w:val="none"/>
                <w:lang w:val="en-US" w:eastAsia="zh-CN"/>
              </w:rPr>
              <w:t>。</w:t>
            </w:r>
          </w:p>
          <w:p w14:paraId="6F14A919">
            <w:pPr>
              <w:pStyle w:val="605"/>
              <w:keepNext w:val="0"/>
              <w:keepLines w:val="0"/>
              <w:pageBreakBefore w:val="0"/>
              <w:widowControl w:val="0"/>
              <w:kinsoku/>
              <w:wordWrap/>
              <w:overflowPunct/>
              <w:topLinePunct w:val="0"/>
              <w:autoSpaceDE/>
              <w:autoSpaceDN/>
              <w:bidi w:val="0"/>
              <w:adjustRightInd/>
              <w:snapToGrid w:val="0"/>
              <w:spacing w:line="440" w:lineRule="exact"/>
              <w:jc w:val="left"/>
              <w:textAlignment w:val="auto"/>
              <w:rPr>
                <w:rFonts w:ascii="Times New Roman" w:hAnsi="Times New Roman" w:cs="Times New Roman"/>
                <w:color w:val="auto"/>
                <w:highlight w:val="none"/>
              </w:rPr>
            </w:pPr>
            <w:r>
              <w:rPr>
                <w:rFonts w:hint="eastAsia" w:ascii="Times New Roman" w:hAnsi="Times New Roman" w:cs="Times New Roman"/>
                <w:b/>
                <w:bCs/>
                <w:color w:val="auto"/>
                <w:highlight w:val="none"/>
                <w:lang w:val="en-US" w:eastAsia="zh-CN"/>
              </w:rPr>
              <w:t>请按上述要求仔细准备并提供。</w:t>
            </w:r>
          </w:p>
        </w:tc>
      </w:tr>
      <w:tr w14:paraId="29F73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jc w:val="center"/>
        </w:trPr>
        <w:tc>
          <w:tcPr>
            <w:tcW w:w="2264" w:type="dxa"/>
            <w:vAlign w:val="center"/>
          </w:tcPr>
          <w:p w14:paraId="308F6528">
            <w:pPr>
              <w:topLinePunct/>
              <w:spacing w:line="300" w:lineRule="exact"/>
              <w:ind w:firstLine="210" w:firstLineChars="100"/>
              <w:jc w:val="center"/>
              <w:rPr>
                <w:rFonts w:hint="eastAsia"/>
                <w:color w:val="auto"/>
                <w:szCs w:val="21"/>
                <w:highlight w:val="none"/>
                <w:lang w:val="en-US" w:eastAsia="zh-CN"/>
              </w:rPr>
            </w:pPr>
            <w:r>
              <w:rPr>
                <w:color w:val="auto"/>
                <w:highlight w:val="none"/>
              </w:rPr>
              <w:t>备注</w:t>
            </w:r>
          </w:p>
        </w:tc>
        <w:tc>
          <w:tcPr>
            <w:tcW w:w="7459" w:type="dxa"/>
            <w:gridSpan w:val="8"/>
            <w:vAlign w:val="center"/>
          </w:tcPr>
          <w:p w14:paraId="373DD7BF">
            <w:pPr>
              <w:pStyle w:val="605"/>
              <w:snapToGrid w:val="0"/>
              <w:jc w:val="left"/>
              <w:rPr>
                <w:rFonts w:ascii="Times New Roman" w:hAnsi="Times New Roman" w:cs="Times New Roman"/>
                <w:color w:val="auto"/>
                <w:highlight w:val="none"/>
              </w:rPr>
            </w:pPr>
          </w:p>
        </w:tc>
      </w:tr>
    </w:tbl>
    <w:p w14:paraId="4D47AE1A">
      <w:pPr>
        <w:spacing w:line="300" w:lineRule="exact"/>
        <w:ind w:left="281" w:right="111" w:rightChars="53" w:hanging="281" w:hangingChars="134"/>
        <w:rPr>
          <w:color w:val="auto"/>
          <w:szCs w:val="21"/>
          <w:highlight w:val="none"/>
        </w:rPr>
      </w:pPr>
      <w:r>
        <w:rPr>
          <w:color w:val="auto"/>
          <w:highlight w:val="none"/>
        </w:rPr>
        <w:t>注：</w:t>
      </w:r>
      <w:r>
        <w:rPr>
          <w:color w:val="auto"/>
          <w:szCs w:val="21"/>
          <w:highlight w:val="none"/>
        </w:rPr>
        <w:t xml:space="preserve"> </w:t>
      </w:r>
    </w:p>
    <w:p w14:paraId="56C94A00">
      <w:pPr>
        <w:spacing w:line="300" w:lineRule="exact"/>
        <w:ind w:left="279" w:leftChars="99" w:right="111" w:rightChars="53" w:hanging="71" w:hangingChars="34"/>
        <w:rPr>
          <w:color w:val="auto"/>
          <w:highlight w:val="none"/>
        </w:rPr>
      </w:pPr>
      <w:r>
        <w:rPr>
          <w:color w:val="auto"/>
          <w:highlight w:val="none"/>
        </w:rPr>
        <w:t>1.投标人应附根据招标文件第二章投标人须知</w:t>
      </w:r>
      <w:r>
        <w:rPr>
          <w:rFonts w:hint="eastAsia"/>
          <w:b/>
          <w:bCs/>
          <w:color w:val="auto"/>
          <w:highlight w:val="none"/>
          <w:lang w:val="en-US" w:eastAsia="zh-CN"/>
        </w:rPr>
        <w:t>前附表</w:t>
      </w:r>
      <w:r>
        <w:rPr>
          <w:color w:val="auto"/>
          <w:highlight w:val="none"/>
        </w:rPr>
        <w:t>第3.5.1项的要求附相关证明材料</w:t>
      </w:r>
      <w:r>
        <w:rPr>
          <w:rFonts w:hint="eastAsia"/>
          <w:color w:val="auto"/>
          <w:highlight w:val="none"/>
          <w:lang w:val="en-US" w:eastAsia="zh-CN"/>
        </w:rPr>
        <w:t xml:space="preserve">。 </w:t>
      </w:r>
    </w:p>
    <w:p w14:paraId="6B7D099A">
      <w:pPr>
        <w:spacing w:line="360" w:lineRule="auto"/>
        <w:ind w:left="721" w:hanging="721" w:hangingChars="342"/>
        <w:rPr>
          <w:b/>
          <w:bCs/>
          <w:color w:val="auto"/>
          <w:highlight w:val="none"/>
        </w:rPr>
      </w:pPr>
      <w:r>
        <w:rPr>
          <w:b/>
          <w:bCs/>
          <w:color w:val="auto"/>
          <w:highlight w:val="none"/>
        </w:rPr>
        <w:br w:type="page"/>
      </w:r>
    </w:p>
    <w:p w14:paraId="4159FEA4">
      <w:pPr>
        <w:spacing w:line="360" w:lineRule="auto"/>
        <w:jc w:val="center"/>
        <w:rPr>
          <w:rFonts w:eastAsia="黑体"/>
          <w:b/>
          <w:bCs/>
          <w:color w:val="auto"/>
          <w:sz w:val="30"/>
          <w:highlight w:val="none"/>
        </w:rPr>
      </w:pPr>
      <w:bookmarkStart w:id="255" w:name="_Toc144974472"/>
      <w:bookmarkStart w:id="256" w:name="_Toc152047268"/>
      <w:bookmarkStart w:id="257" w:name="_Toc179715761"/>
      <w:r>
        <w:rPr>
          <w:rFonts w:eastAsia="黑体"/>
          <w:b/>
          <w:bCs/>
          <w:color w:val="auto"/>
          <w:sz w:val="30"/>
          <w:highlight w:val="none"/>
        </w:rPr>
        <w:t>（</w:t>
      </w:r>
      <w:r>
        <w:rPr>
          <w:rFonts w:hint="eastAsia" w:eastAsia="黑体"/>
          <w:b/>
          <w:bCs/>
          <w:color w:val="auto"/>
          <w:sz w:val="30"/>
          <w:highlight w:val="none"/>
          <w:lang w:val="en-US" w:eastAsia="zh-CN"/>
        </w:rPr>
        <w:t>二</w:t>
      </w:r>
      <w:r>
        <w:rPr>
          <w:rFonts w:eastAsia="黑体"/>
          <w:b/>
          <w:bCs/>
          <w:color w:val="auto"/>
          <w:sz w:val="30"/>
          <w:highlight w:val="none"/>
        </w:rPr>
        <w:t>）</w:t>
      </w:r>
      <w:r>
        <w:rPr>
          <w:rFonts w:hint="eastAsia" w:eastAsia="黑体"/>
          <w:b/>
          <w:bCs/>
          <w:color w:val="auto"/>
          <w:sz w:val="30"/>
          <w:highlight w:val="none"/>
          <w:lang w:val="en-US" w:eastAsia="zh-CN"/>
        </w:rPr>
        <w:t>投标人企业组织机构框图</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708E9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9854" w:type="dxa"/>
          </w:tcPr>
          <w:p w14:paraId="7277113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以框图方式表示</w:t>
            </w:r>
          </w:p>
          <w:p w14:paraId="0D22840F">
            <w:pPr>
              <w:spacing w:line="360" w:lineRule="auto"/>
              <w:jc w:val="center"/>
              <w:rPr>
                <w:rFonts w:eastAsia="黑体"/>
                <w:b/>
                <w:bCs/>
                <w:color w:val="auto"/>
                <w:sz w:val="30"/>
                <w:highlight w:val="none"/>
                <w:vertAlign w:val="baseline"/>
              </w:rPr>
            </w:pPr>
          </w:p>
        </w:tc>
      </w:tr>
      <w:tr w14:paraId="311E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trPr>
        <w:tc>
          <w:tcPr>
            <w:tcW w:w="9854" w:type="dxa"/>
          </w:tcPr>
          <w:p w14:paraId="459577B4">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说明</w:t>
            </w:r>
          </w:p>
          <w:p w14:paraId="06A93964">
            <w:pPr>
              <w:spacing w:line="360" w:lineRule="auto"/>
              <w:jc w:val="center"/>
              <w:rPr>
                <w:rFonts w:eastAsia="黑体"/>
                <w:b/>
                <w:bCs/>
                <w:color w:val="auto"/>
                <w:sz w:val="30"/>
                <w:highlight w:val="none"/>
                <w:vertAlign w:val="baseline"/>
              </w:rPr>
            </w:pPr>
          </w:p>
        </w:tc>
      </w:tr>
    </w:tbl>
    <w:p w14:paraId="7B37C3E4">
      <w:pPr>
        <w:pStyle w:val="74"/>
        <w:rPr>
          <w:rFonts w:eastAsia="黑体"/>
          <w:b/>
          <w:bCs/>
          <w:color w:val="auto"/>
          <w:sz w:val="30"/>
          <w:highlight w:val="none"/>
        </w:rPr>
      </w:pPr>
    </w:p>
    <w:p w14:paraId="4FF4D272">
      <w:pPr>
        <w:rPr>
          <w:rFonts w:eastAsia="黑体"/>
          <w:b/>
          <w:bCs/>
          <w:color w:val="auto"/>
          <w:sz w:val="30"/>
          <w:highlight w:val="none"/>
        </w:rPr>
      </w:pPr>
    </w:p>
    <w:p w14:paraId="10AAA0D9">
      <w:pPr>
        <w:pStyle w:val="74"/>
        <w:rPr>
          <w:rFonts w:eastAsia="黑体"/>
          <w:b/>
          <w:bCs/>
          <w:color w:val="auto"/>
          <w:sz w:val="30"/>
          <w:highlight w:val="none"/>
        </w:rPr>
      </w:pPr>
    </w:p>
    <w:p w14:paraId="71B28C87">
      <w:pPr>
        <w:rPr>
          <w:rFonts w:eastAsia="黑体"/>
          <w:b/>
          <w:bCs/>
          <w:color w:val="auto"/>
          <w:sz w:val="30"/>
          <w:highlight w:val="none"/>
        </w:rPr>
      </w:pPr>
    </w:p>
    <w:p w14:paraId="523953D6">
      <w:pPr>
        <w:pStyle w:val="74"/>
        <w:rPr>
          <w:rFonts w:eastAsia="黑体"/>
          <w:b/>
          <w:bCs/>
          <w:color w:val="auto"/>
          <w:sz w:val="30"/>
          <w:highlight w:val="none"/>
        </w:rPr>
      </w:pPr>
    </w:p>
    <w:p w14:paraId="214BABF5">
      <w:pPr>
        <w:rPr>
          <w:rFonts w:eastAsia="黑体"/>
          <w:b/>
          <w:bCs/>
          <w:color w:val="auto"/>
          <w:sz w:val="30"/>
          <w:highlight w:val="none"/>
        </w:rPr>
      </w:pPr>
    </w:p>
    <w:p w14:paraId="760E2C54">
      <w:pPr>
        <w:pStyle w:val="74"/>
        <w:rPr>
          <w:rFonts w:eastAsia="黑体"/>
          <w:b/>
          <w:bCs/>
          <w:color w:val="auto"/>
          <w:sz w:val="30"/>
          <w:highlight w:val="none"/>
        </w:rPr>
      </w:pPr>
    </w:p>
    <w:p w14:paraId="1964A75D">
      <w:pPr>
        <w:rPr>
          <w:rFonts w:eastAsia="黑体"/>
          <w:b/>
          <w:bCs/>
          <w:color w:val="auto"/>
          <w:sz w:val="30"/>
          <w:highlight w:val="none"/>
        </w:rPr>
      </w:pPr>
    </w:p>
    <w:p w14:paraId="2B5E33CD">
      <w:pPr>
        <w:pStyle w:val="74"/>
        <w:rPr>
          <w:rFonts w:eastAsia="黑体"/>
          <w:b/>
          <w:bCs/>
          <w:color w:val="auto"/>
          <w:sz w:val="30"/>
          <w:highlight w:val="none"/>
        </w:rPr>
      </w:pPr>
    </w:p>
    <w:p w14:paraId="4CB0CA61">
      <w:pPr>
        <w:rPr>
          <w:rFonts w:eastAsia="黑体"/>
          <w:b/>
          <w:bCs/>
          <w:color w:val="auto"/>
          <w:sz w:val="30"/>
          <w:highlight w:val="none"/>
        </w:rPr>
      </w:pPr>
    </w:p>
    <w:p w14:paraId="67C64E49">
      <w:pPr>
        <w:pStyle w:val="74"/>
        <w:rPr>
          <w:rFonts w:eastAsia="黑体"/>
          <w:b/>
          <w:bCs/>
          <w:color w:val="auto"/>
          <w:sz w:val="30"/>
          <w:highlight w:val="none"/>
        </w:rPr>
      </w:pPr>
    </w:p>
    <w:p w14:paraId="1823DE89">
      <w:pPr>
        <w:rPr>
          <w:rFonts w:eastAsia="黑体"/>
          <w:b/>
          <w:bCs/>
          <w:color w:val="auto"/>
          <w:sz w:val="30"/>
          <w:highlight w:val="none"/>
        </w:rPr>
      </w:pPr>
    </w:p>
    <w:p w14:paraId="7F867B61">
      <w:pPr>
        <w:pStyle w:val="74"/>
        <w:rPr>
          <w:rFonts w:eastAsia="黑体"/>
          <w:b/>
          <w:bCs/>
          <w:color w:val="auto"/>
          <w:sz w:val="30"/>
          <w:highlight w:val="none"/>
        </w:rPr>
      </w:pPr>
    </w:p>
    <w:p w14:paraId="1A53BAB9">
      <w:pPr>
        <w:rPr>
          <w:rFonts w:eastAsia="黑体"/>
          <w:b/>
          <w:bCs/>
          <w:color w:val="auto"/>
          <w:sz w:val="30"/>
          <w:highlight w:val="none"/>
        </w:rPr>
      </w:pPr>
    </w:p>
    <w:p w14:paraId="53351997">
      <w:pPr>
        <w:pStyle w:val="74"/>
        <w:rPr>
          <w:rFonts w:eastAsia="黑体"/>
          <w:b/>
          <w:bCs/>
          <w:color w:val="auto"/>
          <w:sz w:val="30"/>
          <w:highlight w:val="none"/>
        </w:rPr>
      </w:pPr>
    </w:p>
    <w:p w14:paraId="123F8189">
      <w:pPr>
        <w:rPr>
          <w:rFonts w:eastAsia="黑体"/>
          <w:b/>
          <w:bCs/>
          <w:color w:val="auto"/>
          <w:sz w:val="30"/>
          <w:highlight w:val="none"/>
        </w:rPr>
      </w:pPr>
    </w:p>
    <w:p w14:paraId="6065FE4C">
      <w:pPr>
        <w:pStyle w:val="74"/>
        <w:rPr>
          <w:rFonts w:eastAsia="黑体"/>
          <w:b/>
          <w:bCs/>
          <w:color w:val="auto"/>
          <w:sz w:val="30"/>
          <w:highlight w:val="none"/>
        </w:rPr>
      </w:pPr>
    </w:p>
    <w:p w14:paraId="5AFCF1E9">
      <w:pPr>
        <w:rPr>
          <w:color w:val="auto"/>
          <w:highlight w:val="none"/>
        </w:rPr>
      </w:pPr>
    </w:p>
    <w:p w14:paraId="156EEB34">
      <w:pPr>
        <w:pStyle w:val="74"/>
        <w:rPr>
          <w:rFonts w:eastAsia="黑体"/>
          <w:b/>
          <w:bCs/>
          <w:color w:val="auto"/>
          <w:sz w:val="30"/>
          <w:highlight w:val="none"/>
        </w:rPr>
      </w:pPr>
    </w:p>
    <w:p w14:paraId="4DEA63F6">
      <w:pPr>
        <w:rPr>
          <w:rFonts w:eastAsia="黑体"/>
          <w:b/>
          <w:bCs/>
          <w:color w:val="auto"/>
          <w:sz w:val="30"/>
          <w:highlight w:val="none"/>
        </w:rPr>
      </w:pPr>
    </w:p>
    <w:p w14:paraId="742AB70C">
      <w:pPr>
        <w:pStyle w:val="74"/>
        <w:rPr>
          <w:rFonts w:eastAsia="黑体"/>
          <w:b/>
          <w:bCs/>
          <w:color w:val="auto"/>
          <w:sz w:val="30"/>
          <w:highlight w:val="none"/>
        </w:rPr>
      </w:pPr>
    </w:p>
    <w:p w14:paraId="71C4B812">
      <w:pPr>
        <w:rPr>
          <w:color w:val="auto"/>
          <w:highlight w:val="none"/>
        </w:rPr>
      </w:pPr>
    </w:p>
    <w:p w14:paraId="1AB5C7FF">
      <w:pPr>
        <w:spacing w:line="360" w:lineRule="auto"/>
        <w:jc w:val="center"/>
        <w:rPr>
          <w:rFonts w:eastAsia="黑体"/>
          <w:b/>
          <w:bCs/>
          <w:color w:val="auto"/>
          <w:sz w:val="30"/>
          <w:highlight w:val="none"/>
        </w:rPr>
      </w:pPr>
      <w:r>
        <w:rPr>
          <w:rFonts w:hint="eastAsia" w:eastAsia="黑体"/>
          <w:b/>
          <w:bCs/>
          <w:color w:val="auto"/>
          <w:sz w:val="30"/>
          <w:highlight w:val="none"/>
          <w:lang w:eastAsia="zh-CN"/>
        </w:rPr>
        <w:t>（</w:t>
      </w:r>
      <w:r>
        <w:rPr>
          <w:rFonts w:hint="eastAsia" w:eastAsia="黑体"/>
          <w:b/>
          <w:bCs/>
          <w:color w:val="auto"/>
          <w:sz w:val="30"/>
          <w:highlight w:val="none"/>
          <w:lang w:val="en-US" w:eastAsia="zh-CN"/>
        </w:rPr>
        <w:t>三</w:t>
      </w:r>
      <w:r>
        <w:rPr>
          <w:rFonts w:hint="eastAsia" w:eastAsia="黑体"/>
          <w:b/>
          <w:bCs/>
          <w:color w:val="auto"/>
          <w:sz w:val="30"/>
          <w:highlight w:val="none"/>
          <w:lang w:eastAsia="zh-CN"/>
        </w:rPr>
        <w:t>）</w:t>
      </w:r>
      <w:r>
        <w:rPr>
          <w:rFonts w:eastAsia="黑体"/>
          <w:b/>
          <w:bCs/>
          <w:color w:val="auto"/>
          <w:sz w:val="30"/>
          <w:highlight w:val="none"/>
        </w:rPr>
        <w:t>近年完成的类似项目情况表</w:t>
      </w:r>
      <w:bookmarkEnd w:id="255"/>
      <w:bookmarkEnd w:id="256"/>
      <w:bookmarkEnd w:id="257"/>
    </w:p>
    <w:p w14:paraId="22AAD872">
      <w:pPr>
        <w:spacing w:line="360" w:lineRule="auto"/>
        <w:jc w:val="center"/>
        <w:rPr>
          <w:b/>
          <w:bCs/>
          <w:color w:val="auto"/>
          <w:sz w:val="24"/>
          <w:highlight w:val="none"/>
        </w:rPr>
      </w:pPr>
      <w:bookmarkStart w:id="258" w:name="_Toc152047269"/>
      <w:bookmarkStart w:id="259" w:name="_Toc179715762"/>
      <w:bookmarkStart w:id="260" w:name="_Toc144974473"/>
      <w:r>
        <w:rPr>
          <w:b/>
          <w:bCs/>
          <w:color w:val="auto"/>
          <w:sz w:val="24"/>
          <w:highlight w:val="none"/>
        </w:rPr>
        <w:t>（</w:t>
      </w:r>
      <w:r>
        <w:rPr>
          <w:rFonts w:hint="eastAsia"/>
          <w:b/>
          <w:bCs/>
          <w:color w:val="auto"/>
          <w:sz w:val="24"/>
          <w:highlight w:val="none"/>
          <w:lang w:val="en-US" w:eastAsia="zh-CN"/>
        </w:rPr>
        <w:t xml:space="preserve">     </w:t>
      </w:r>
      <w:r>
        <w:rPr>
          <w:b/>
          <w:bCs/>
          <w:color w:val="auto"/>
          <w:sz w:val="24"/>
          <w:highlight w:val="none"/>
        </w:rPr>
        <w:t>年</w:t>
      </w:r>
      <w:r>
        <w:rPr>
          <w:rFonts w:hint="eastAsia"/>
          <w:b/>
          <w:bCs/>
          <w:color w:val="auto"/>
          <w:sz w:val="24"/>
          <w:highlight w:val="none"/>
          <w:lang w:val="en-US" w:eastAsia="zh-CN"/>
        </w:rPr>
        <w:t xml:space="preserve">    </w:t>
      </w:r>
      <w:r>
        <w:rPr>
          <w:b/>
          <w:bCs/>
          <w:color w:val="auto"/>
          <w:sz w:val="24"/>
          <w:highlight w:val="none"/>
        </w:rPr>
        <w:t>月</w:t>
      </w:r>
      <w:r>
        <w:rPr>
          <w:rFonts w:hint="eastAsia"/>
          <w:b/>
          <w:bCs/>
          <w:color w:val="auto"/>
          <w:sz w:val="24"/>
          <w:highlight w:val="none"/>
          <w:lang w:val="en-US" w:eastAsia="zh-CN"/>
        </w:rPr>
        <w:t xml:space="preserve">    </w:t>
      </w:r>
      <w:r>
        <w:rPr>
          <w:rFonts w:hint="eastAsia"/>
          <w:b/>
          <w:bCs/>
          <w:color w:val="auto"/>
          <w:sz w:val="24"/>
          <w:highlight w:val="none"/>
        </w:rPr>
        <w:t>日</w:t>
      </w:r>
      <w:r>
        <w:rPr>
          <w:b/>
          <w:bCs/>
          <w:color w:val="auto"/>
          <w:sz w:val="24"/>
          <w:highlight w:val="none"/>
        </w:rPr>
        <w:t>至今）</w:t>
      </w:r>
    </w:p>
    <w:tbl>
      <w:tblPr>
        <w:tblStyle w:val="75"/>
        <w:tblW w:w="956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96"/>
        <w:gridCol w:w="6870"/>
      </w:tblGrid>
      <w:tr w14:paraId="6FEED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3374EA75">
            <w:pPr>
              <w:topLinePunct/>
              <w:jc w:val="center"/>
              <w:rPr>
                <w:color w:val="auto"/>
                <w:sz w:val="22"/>
                <w:szCs w:val="22"/>
                <w:highlight w:val="none"/>
              </w:rPr>
            </w:pPr>
            <w:r>
              <w:rPr>
                <w:color w:val="auto"/>
                <w:sz w:val="22"/>
                <w:szCs w:val="22"/>
                <w:highlight w:val="none"/>
              </w:rPr>
              <w:t>序号</w:t>
            </w:r>
          </w:p>
        </w:tc>
        <w:tc>
          <w:tcPr>
            <w:tcW w:w="6870" w:type="dxa"/>
          </w:tcPr>
          <w:p w14:paraId="56DE3267">
            <w:pPr>
              <w:topLinePunct/>
              <w:rPr>
                <w:color w:val="auto"/>
                <w:sz w:val="22"/>
                <w:szCs w:val="22"/>
                <w:highlight w:val="none"/>
              </w:rPr>
            </w:pPr>
          </w:p>
        </w:tc>
      </w:tr>
      <w:tr w14:paraId="174475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1499CCE5">
            <w:pPr>
              <w:topLinePunct/>
              <w:jc w:val="center"/>
              <w:rPr>
                <w:color w:val="auto"/>
                <w:sz w:val="22"/>
                <w:szCs w:val="22"/>
                <w:highlight w:val="none"/>
              </w:rPr>
            </w:pPr>
            <w:r>
              <w:rPr>
                <w:color w:val="auto"/>
                <w:sz w:val="22"/>
                <w:szCs w:val="22"/>
                <w:highlight w:val="none"/>
              </w:rPr>
              <w:t>项目名称</w:t>
            </w:r>
          </w:p>
        </w:tc>
        <w:tc>
          <w:tcPr>
            <w:tcW w:w="6870" w:type="dxa"/>
          </w:tcPr>
          <w:p w14:paraId="670AED24">
            <w:pPr>
              <w:topLinePunct/>
              <w:rPr>
                <w:color w:val="auto"/>
                <w:sz w:val="22"/>
                <w:szCs w:val="22"/>
                <w:highlight w:val="none"/>
              </w:rPr>
            </w:pPr>
          </w:p>
        </w:tc>
      </w:tr>
      <w:tr w14:paraId="2EE5B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01FF4F59">
            <w:pPr>
              <w:topLinePunct/>
              <w:jc w:val="center"/>
              <w:rPr>
                <w:color w:val="auto"/>
                <w:sz w:val="22"/>
                <w:szCs w:val="22"/>
                <w:highlight w:val="none"/>
              </w:rPr>
            </w:pPr>
            <w:r>
              <w:rPr>
                <w:color w:val="auto"/>
                <w:sz w:val="22"/>
                <w:szCs w:val="22"/>
                <w:highlight w:val="none"/>
              </w:rPr>
              <w:t>项目所在地</w:t>
            </w:r>
          </w:p>
        </w:tc>
        <w:tc>
          <w:tcPr>
            <w:tcW w:w="6870" w:type="dxa"/>
          </w:tcPr>
          <w:p w14:paraId="40E55AC8">
            <w:pPr>
              <w:topLinePunct/>
              <w:rPr>
                <w:color w:val="auto"/>
                <w:sz w:val="22"/>
                <w:szCs w:val="22"/>
                <w:highlight w:val="none"/>
              </w:rPr>
            </w:pPr>
          </w:p>
        </w:tc>
      </w:tr>
      <w:tr w14:paraId="3AE2D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34B7C3AF">
            <w:pPr>
              <w:topLinePunct/>
              <w:jc w:val="center"/>
              <w:rPr>
                <w:color w:val="auto"/>
                <w:sz w:val="22"/>
                <w:szCs w:val="22"/>
                <w:highlight w:val="none"/>
              </w:rPr>
            </w:pPr>
            <w:r>
              <w:rPr>
                <w:rFonts w:hint="eastAsia"/>
                <w:color w:val="auto"/>
                <w:sz w:val="22"/>
                <w:szCs w:val="22"/>
                <w:highlight w:val="none"/>
                <w:lang w:val="en-US" w:eastAsia="zh-CN"/>
              </w:rPr>
              <w:t>委托人名称</w:t>
            </w:r>
          </w:p>
        </w:tc>
        <w:tc>
          <w:tcPr>
            <w:tcW w:w="6870" w:type="dxa"/>
          </w:tcPr>
          <w:p w14:paraId="56118544">
            <w:pPr>
              <w:topLinePunct/>
              <w:rPr>
                <w:color w:val="auto"/>
                <w:sz w:val="22"/>
                <w:szCs w:val="22"/>
                <w:highlight w:val="none"/>
              </w:rPr>
            </w:pPr>
          </w:p>
        </w:tc>
      </w:tr>
      <w:tr w14:paraId="7A259B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59564611">
            <w:pPr>
              <w:topLinePunct/>
              <w:jc w:val="center"/>
              <w:rPr>
                <w:color w:val="auto"/>
                <w:sz w:val="22"/>
                <w:szCs w:val="22"/>
                <w:highlight w:val="none"/>
              </w:rPr>
            </w:pPr>
            <w:r>
              <w:rPr>
                <w:rFonts w:hint="eastAsia"/>
                <w:color w:val="auto"/>
                <w:sz w:val="22"/>
                <w:szCs w:val="22"/>
                <w:highlight w:val="none"/>
                <w:lang w:val="en-US" w:eastAsia="zh-CN"/>
              </w:rPr>
              <w:t>委托人地址</w:t>
            </w:r>
          </w:p>
        </w:tc>
        <w:tc>
          <w:tcPr>
            <w:tcW w:w="6870" w:type="dxa"/>
          </w:tcPr>
          <w:p w14:paraId="013F2636">
            <w:pPr>
              <w:topLinePunct/>
              <w:rPr>
                <w:color w:val="auto"/>
                <w:sz w:val="22"/>
                <w:szCs w:val="22"/>
                <w:highlight w:val="none"/>
              </w:rPr>
            </w:pPr>
          </w:p>
        </w:tc>
      </w:tr>
      <w:tr w14:paraId="7AF29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4A5DF5F3">
            <w:pPr>
              <w:topLinePunct/>
              <w:jc w:val="center"/>
              <w:rPr>
                <w:color w:val="auto"/>
                <w:sz w:val="22"/>
                <w:szCs w:val="22"/>
                <w:highlight w:val="none"/>
              </w:rPr>
            </w:pPr>
            <w:r>
              <w:rPr>
                <w:rFonts w:hint="eastAsia"/>
                <w:color w:val="auto"/>
                <w:sz w:val="22"/>
                <w:szCs w:val="22"/>
                <w:highlight w:val="none"/>
                <w:lang w:val="en-US" w:eastAsia="zh-CN"/>
              </w:rPr>
              <w:t>委托人电话</w:t>
            </w:r>
          </w:p>
        </w:tc>
        <w:tc>
          <w:tcPr>
            <w:tcW w:w="6870" w:type="dxa"/>
          </w:tcPr>
          <w:p w14:paraId="54E219A5">
            <w:pPr>
              <w:topLinePunct/>
              <w:rPr>
                <w:color w:val="auto"/>
                <w:sz w:val="22"/>
                <w:szCs w:val="22"/>
                <w:highlight w:val="none"/>
              </w:rPr>
            </w:pPr>
          </w:p>
        </w:tc>
      </w:tr>
      <w:tr w14:paraId="7944B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13A07394">
            <w:pPr>
              <w:topLinePunct/>
              <w:jc w:val="center"/>
              <w:rPr>
                <w:color w:val="auto"/>
                <w:sz w:val="22"/>
                <w:szCs w:val="22"/>
                <w:highlight w:val="none"/>
              </w:rPr>
            </w:pPr>
            <w:r>
              <w:rPr>
                <w:rFonts w:hint="eastAsia"/>
                <w:color w:val="auto"/>
                <w:sz w:val="22"/>
                <w:szCs w:val="22"/>
                <w:highlight w:val="none"/>
                <w:lang w:val="en-US" w:eastAsia="zh-CN"/>
              </w:rPr>
              <w:t>项目等级</w:t>
            </w:r>
          </w:p>
        </w:tc>
        <w:tc>
          <w:tcPr>
            <w:tcW w:w="6870" w:type="dxa"/>
          </w:tcPr>
          <w:p w14:paraId="0A36F1C7">
            <w:pPr>
              <w:topLinePunct/>
              <w:rPr>
                <w:color w:val="auto"/>
                <w:sz w:val="22"/>
                <w:szCs w:val="22"/>
                <w:highlight w:val="none"/>
              </w:rPr>
            </w:pPr>
          </w:p>
        </w:tc>
      </w:tr>
      <w:tr w14:paraId="2DDC9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5653E3AA">
            <w:pPr>
              <w:topLinePunct/>
              <w:jc w:val="center"/>
              <w:rPr>
                <w:color w:val="auto"/>
                <w:sz w:val="22"/>
                <w:szCs w:val="22"/>
                <w:highlight w:val="none"/>
              </w:rPr>
            </w:pPr>
            <w:r>
              <w:rPr>
                <w:rFonts w:hint="eastAsia"/>
                <w:color w:val="auto"/>
                <w:sz w:val="22"/>
                <w:szCs w:val="22"/>
                <w:highlight w:val="none"/>
                <w:lang w:val="en-US" w:eastAsia="zh-CN"/>
              </w:rPr>
              <w:t xml:space="preserve">项目总投资 </w:t>
            </w:r>
          </w:p>
        </w:tc>
        <w:tc>
          <w:tcPr>
            <w:tcW w:w="6870" w:type="dxa"/>
          </w:tcPr>
          <w:p w14:paraId="10ED5DF2">
            <w:pPr>
              <w:topLinePunct/>
              <w:rPr>
                <w:color w:val="auto"/>
                <w:sz w:val="22"/>
                <w:szCs w:val="22"/>
                <w:highlight w:val="none"/>
              </w:rPr>
            </w:pPr>
          </w:p>
        </w:tc>
      </w:tr>
      <w:tr w14:paraId="50057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6E58595F">
            <w:pPr>
              <w:topLinePunct/>
              <w:jc w:val="center"/>
              <w:rPr>
                <w:color w:val="auto"/>
                <w:sz w:val="22"/>
                <w:szCs w:val="22"/>
                <w:highlight w:val="none"/>
              </w:rPr>
            </w:pPr>
            <w:r>
              <w:rPr>
                <w:rFonts w:hint="eastAsia"/>
                <w:color w:val="auto"/>
                <w:sz w:val="22"/>
                <w:szCs w:val="22"/>
                <w:highlight w:val="none"/>
                <w:lang w:val="en-US" w:eastAsia="zh-CN"/>
              </w:rPr>
              <w:t>服务费</w:t>
            </w:r>
          </w:p>
        </w:tc>
        <w:tc>
          <w:tcPr>
            <w:tcW w:w="6870" w:type="dxa"/>
          </w:tcPr>
          <w:p w14:paraId="006F4DF5">
            <w:pPr>
              <w:topLinePunct/>
              <w:rPr>
                <w:color w:val="auto"/>
                <w:sz w:val="22"/>
                <w:szCs w:val="22"/>
                <w:highlight w:val="none"/>
              </w:rPr>
            </w:pPr>
          </w:p>
        </w:tc>
      </w:tr>
      <w:tr w14:paraId="10D3F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7B9BC1BF">
            <w:pPr>
              <w:topLinePunct/>
              <w:jc w:val="center"/>
              <w:rPr>
                <w:color w:val="auto"/>
                <w:sz w:val="22"/>
                <w:szCs w:val="22"/>
                <w:highlight w:val="none"/>
              </w:rPr>
            </w:pPr>
            <w:r>
              <w:rPr>
                <w:rFonts w:hint="eastAsia"/>
                <w:color w:val="auto"/>
                <w:sz w:val="22"/>
                <w:szCs w:val="22"/>
                <w:highlight w:val="none"/>
                <w:lang w:val="en-US" w:eastAsia="zh-CN"/>
              </w:rPr>
              <w:t>服务期限</w:t>
            </w:r>
          </w:p>
        </w:tc>
        <w:tc>
          <w:tcPr>
            <w:tcW w:w="6870" w:type="dxa"/>
          </w:tcPr>
          <w:p w14:paraId="4951EE47">
            <w:pPr>
              <w:topLinePunct/>
              <w:rPr>
                <w:color w:val="auto"/>
                <w:sz w:val="22"/>
                <w:szCs w:val="22"/>
                <w:highlight w:val="none"/>
              </w:rPr>
            </w:pPr>
          </w:p>
        </w:tc>
      </w:tr>
      <w:tr w14:paraId="7931F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2AEE51A6">
            <w:pPr>
              <w:pStyle w:val="71"/>
              <w:rPr>
                <w:color w:val="auto"/>
                <w:sz w:val="22"/>
                <w:szCs w:val="22"/>
                <w:highlight w:val="none"/>
              </w:rPr>
            </w:pPr>
            <w:r>
              <w:rPr>
                <w:rFonts w:hint="eastAsia"/>
                <w:color w:val="auto"/>
                <w:sz w:val="22"/>
                <w:szCs w:val="22"/>
                <w:highlight w:val="none"/>
                <w:lang w:val="en-US" w:eastAsia="zh-CN"/>
              </w:rPr>
              <w:t>服务内容</w:t>
            </w:r>
          </w:p>
        </w:tc>
        <w:tc>
          <w:tcPr>
            <w:tcW w:w="6870" w:type="dxa"/>
          </w:tcPr>
          <w:p w14:paraId="33C23FEE">
            <w:pPr>
              <w:topLinePunct/>
              <w:rPr>
                <w:color w:val="auto"/>
                <w:sz w:val="22"/>
                <w:szCs w:val="22"/>
                <w:highlight w:val="none"/>
              </w:rPr>
            </w:pPr>
          </w:p>
        </w:tc>
      </w:tr>
      <w:tr w14:paraId="6F225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04B67D20">
            <w:pPr>
              <w:topLinePunct/>
              <w:jc w:val="center"/>
              <w:rPr>
                <w:rFonts w:hint="default"/>
                <w:color w:val="auto"/>
                <w:sz w:val="22"/>
                <w:szCs w:val="22"/>
                <w:highlight w:val="none"/>
                <w:lang w:val="en-US"/>
              </w:rPr>
            </w:pPr>
            <w:r>
              <w:rPr>
                <w:rFonts w:hint="eastAsia"/>
                <w:color w:val="auto"/>
                <w:sz w:val="22"/>
                <w:szCs w:val="22"/>
                <w:highlight w:val="none"/>
                <w:lang w:val="en-US" w:eastAsia="zh-CN"/>
              </w:rPr>
              <w:t>中心试验室主任</w:t>
            </w:r>
          </w:p>
        </w:tc>
        <w:tc>
          <w:tcPr>
            <w:tcW w:w="6870" w:type="dxa"/>
          </w:tcPr>
          <w:p w14:paraId="16542724">
            <w:pPr>
              <w:topLinePunct/>
              <w:rPr>
                <w:color w:val="auto"/>
                <w:sz w:val="22"/>
                <w:szCs w:val="22"/>
                <w:highlight w:val="none"/>
              </w:rPr>
            </w:pPr>
          </w:p>
        </w:tc>
      </w:tr>
      <w:tr w14:paraId="18F8F3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2AF6605F">
            <w:pPr>
              <w:topLinePunct/>
              <w:jc w:val="center"/>
              <w:rPr>
                <w:color w:val="auto"/>
                <w:sz w:val="22"/>
                <w:szCs w:val="22"/>
                <w:highlight w:val="none"/>
              </w:rPr>
            </w:pPr>
            <w:r>
              <w:rPr>
                <w:rFonts w:hint="eastAsia"/>
                <w:color w:val="auto"/>
                <w:sz w:val="22"/>
                <w:szCs w:val="22"/>
                <w:highlight w:val="none"/>
                <w:lang w:val="en-US" w:eastAsia="zh-CN"/>
              </w:rPr>
              <w:t>项目描述</w:t>
            </w:r>
          </w:p>
        </w:tc>
        <w:tc>
          <w:tcPr>
            <w:tcW w:w="6870" w:type="dxa"/>
          </w:tcPr>
          <w:p w14:paraId="0F9712E1">
            <w:pPr>
              <w:topLinePunct/>
              <w:rPr>
                <w:color w:val="auto"/>
                <w:sz w:val="22"/>
                <w:szCs w:val="22"/>
                <w:highlight w:val="none"/>
              </w:rPr>
            </w:pPr>
          </w:p>
        </w:tc>
      </w:tr>
      <w:tr w14:paraId="49942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trPr>
        <w:tc>
          <w:tcPr>
            <w:tcW w:w="2696" w:type="dxa"/>
            <w:vAlign w:val="center"/>
          </w:tcPr>
          <w:p w14:paraId="39501A1A">
            <w:pPr>
              <w:topLinePunct/>
              <w:jc w:val="center"/>
              <w:rPr>
                <w:color w:val="auto"/>
                <w:sz w:val="22"/>
                <w:szCs w:val="22"/>
                <w:highlight w:val="none"/>
              </w:rPr>
            </w:pPr>
            <w:r>
              <w:rPr>
                <w:color w:val="auto"/>
                <w:sz w:val="22"/>
                <w:szCs w:val="22"/>
                <w:highlight w:val="none"/>
              </w:rPr>
              <w:t>备注</w:t>
            </w:r>
          </w:p>
        </w:tc>
        <w:tc>
          <w:tcPr>
            <w:tcW w:w="6870" w:type="dxa"/>
            <w:vAlign w:val="center"/>
          </w:tcPr>
          <w:p w14:paraId="18EB3E2F">
            <w:pPr>
              <w:topLinePunct/>
              <w:jc w:val="center"/>
              <w:rPr>
                <w:color w:val="auto"/>
                <w:sz w:val="22"/>
                <w:szCs w:val="22"/>
                <w:highlight w:val="none"/>
              </w:rPr>
            </w:pPr>
            <w:r>
              <w:rPr>
                <w:rFonts w:ascii="宋体" w:hAnsi="宋体" w:eastAsia="宋体" w:cs="宋体"/>
                <w:color w:val="auto"/>
                <w:spacing w:val="-7"/>
                <w:sz w:val="22"/>
                <w:szCs w:val="22"/>
                <w:highlight w:val="none"/>
              </w:rPr>
              <w:t>□资格审查用业绩</w:t>
            </w:r>
            <w:r>
              <w:rPr>
                <w:rFonts w:ascii="宋体" w:hAnsi="宋体" w:eastAsia="宋体" w:cs="宋体"/>
                <w:color w:val="auto"/>
                <w:spacing w:val="11"/>
                <w:sz w:val="22"/>
                <w:szCs w:val="22"/>
                <w:highlight w:val="none"/>
              </w:rPr>
              <w:t xml:space="preserve">      </w:t>
            </w:r>
            <w:r>
              <w:rPr>
                <w:rFonts w:ascii="宋体" w:hAnsi="宋体" w:eastAsia="宋体" w:cs="宋体"/>
                <w:color w:val="auto"/>
                <w:spacing w:val="-7"/>
                <w:sz w:val="22"/>
                <w:szCs w:val="22"/>
                <w:highlight w:val="none"/>
              </w:rPr>
              <w:t>□商务文件评分用业绩</w:t>
            </w:r>
          </w:p>
        </w:tc>
      </w:tr>
    </w:tbl>
    <w:p w14:paraId="08BA22F7">
      <w:pPr>
        <w:spacing w:line="360" w:lineRule="auto"/>
        <w:ind w:left="2"/>
        <w:jc w:val="left"/>
        <w:rPr>
          <w:color w:val="auto"/>
          <w:sz w:val="22"/>
          <w:szCs w:val="22"/>
          <w:highlight w:val="none"/>
        </w:rPr>
      </w:pPr>
      <w:r>
        <w:rPr>
          <w:color w:val="auto"/>
          <w:sz w:val="22"/>
          <w:szCs w:val="22"/>
          <w:highlight w:val="none"/>
        </w:rPr>
        <w:t xml:space="preserve">注： </w:t>
      </w:r>
      <w:r>
        <w:rPr>
          <w:rFonts w:hint="eastAsia"/>
          <w:color w:val="auto"/>
          <w:sz w:val="22"/>
          <w:szCs w:val="22"/>
          <w:highlight w:val="none"/>
          <w:lang w:val="en-US" w:eastAsia="zh-CN"/>
        </w:rPr>
        <w:t xml:space="preserve">1.每张表格只填写一个项目，并标明序号。 </w:t>
      </w:r>
    </w:p>
    <w:p w14:paraId="71910CE5">
      <w:pPr>
        <w:spacing w:line="360" w:lineRule="auto"/>
        <w:ind w:left="2"/>
        <w:jc w:val="left"/>
        <w:rPr>
          <w:color w:val="auto"/>
          <w:sz w:val="22"/>
          <w:szCs w:val="22"/>
          <w:highlight w:val="none"/>
        </w:rPr>
      </w:pPr>
      <w:r>
        <w:rPr>
          <w:rFonts w:hint="eastAsia"/>
          <w:color w:val="auto"/>
          <w:sz w:val="22"/>
          <w:szCs w:val="22"/>
          <w:highlight w:val="none"/>
          <w:lang w:val="en-US" w:eastAsia="zh-CN"/>
        </w:rPr>
        <w:t>2.投标人应根据招标文件第二章投标人须知</w:t>
      </w:r>
      <w:r>
        <w:rPr>
          <w:rFonts w:hint="eastAsia"/>
          <w:b/>
          <w:bCs/>
          <w:color w:val="auto"/>
          <w:sz w:val="22"/>
          <w:szCs w:val="22"/>
          <w:highlight w:val="none"/>
          <w:lang w:val="en-US" w:eastAsia="zh-CN"/>
        </w:rPr>
        <w:t>前附表</w:t>
      </w:r>
      <w:r>
        <w:rPr>
          <w:rFonts w:hint="eastAsia"/>
          <w:color w:val="auto"/>
          <w:sz w:val="22"/>
          <w:szCs w:val="22"/>
          <w:highlight w:val="none"/>
          <w:lang w:val="en-US" w:eastAsia="zh-CN"/>
        </w:rPr>
        <w:t xml:space="preserve"> 3.5.2 项的要求附相关证明材料。 </w:t>
      </w:r>
    </w:p>
    <w:p w14:paraId="517244A5">
      <w:pPr>
        <w:spacing w:line="360" w:lineRule="auto"/>
        <w:ind w:left="2"/>
        <w:jc w:val="left"/>
        <w:rPr>
          <w:color w:val="auto"/>
          <w:sz w:val="22"/>
          <w:szCs w:val="22"/>
          <w:highlight w:val="none"/>
        </w:rPr>
      </w:pPr>
      <w:r>
        <w:rPr>
          <w:rFonts w:hint="eastAsia"/>
          <w:color w:val="auto"/>
          <w:sz w:val="22"/>
          <w:szCs w:val="22"/>
          <w:highlight w:val="none"/>
          <w:lang w:val="en-US" w:eastAsia="zh-CN"/>
        </w:rPr>
        <w:t>3.如近年来，投标人法人机构发生合法变更或重组或法人名称变更时，应提供相关部门的合法批件或其他相关证明材料来证明其所附业绩的继承性。</w:t>
      </w:r>
    </w:p>
    <w:p w14:paraId="115B2A16">
      <w:pPr>
        <w:spacing w:line="360" w:lineRule="auto"/>
        <w:ind w:left="2"/>
        <w:jc w:val="center"/>
        <w:rPr>
          <w:b/>
          <w:bCs/>
          <w:color w:val="auto"/>
          <w:sz w:val="20"/>
          <w:szCs w:val="20"/>
          <w:highlight w:val="none"/>
        </w:rPr>
      </w:pPr>
      <w:r>
        <w:rPr>
          <w:b/>
          <w:bCs/>
          <w:color w:val="auto"/>
          <w:sz w:val="20"/>
          <w:szCs w:val="20"/>
          <w:highlight w:val="none"/>
        </w:rPr>
        <w:t xml:space="preserve"> </w:t>
      </w:r>
      <w:r>
        <w:rPr>
          <w:b/>
          <w:bCs/>
          <w:color w:val="auto"/>
          <w:sz w:val="20"/>
          <w:szCs w:val="20"/>
          <w:highlight w:val="none"/>
        </w:rPr>
        <w:br w:type="page"/>
      </w:r>
      <w:bookmarkEnd w:id="258"/>
      <w:bookmarkEnd w:id="259"/>
      <w:bookmarkEnd w:id="260"/>
      <w:bookmarkStart w:id="261" w:name="_Toc447808709"/>
      <w:bookmarkEnd w:id="261"/>
      <w:bookmarkStart w:id="262" w:name="_Toc457482595"/>
      <w:bookmarkStart w:id="263" w:name="_Toc144974474"/>
      <w:bookmarkStart w:id="264" w:name="_Toc152047270"/>
      <w:bookmarkStart w:id="265" w:name="_Toc179715763"/>
    </w:p>
    <w:p w14:paraId="195AF1FD">
      <w:pPr>
        <w:spacing w:line="360" w:lineRule="auto"/>
        <w:ind w:left="2"/>
        <w:jc w:val="center"/>
        <w:rPr>
          <w:rFonts w:hint="eastAsia" w:eastAsia="黑体"/>
          <w:b/>
          <w:bCs/>
          <w:color w:val="auto"/>
          <w:sz w:val="30"/>
          <w:highlight w:val="none"/>
          <w:lang w:val="en-US" w:eastAsia="zh-CN"/>
        </w:rPr>
      </w:pPr>
      <w:r>
        <w:rPr>
          <w:rFonts w:eastAsia="黑体"/>
          <w:b/>
          <w:bCs/>
          <w:color w:val="auto"/>
          <w:sz w:val="30"/>
          <w:highlight w:val="none"/>
        </w:rPr>
        <w:t>（</w:t>
      </w:r>
      <w:r>
        <w:rPr>
          <w:rFonts w:hint="eastAsia" w:eastAsia="黑体"/>
          <w:b/>
          <w:bCs/>
          <w:color w:val="auto"/>
          <w:sz w:val="30"/>
          <w:highlight w:val="none"/>
          <w:lang w:val="en-US" w:eastAsia="zh-CN"/>
        </w:rPr>
        <w:t>四</w:t>
      </w:r>
      <w:r>
        <w:rPr>
          <w:rFonts w:eastAsia="黑体"/>
          <w:b/>
          <w:bCs/>
          <w:color w:val="auto"/>
          <w:sz w:val="30"/>
          <w:highlight w:val="none"/>
        </w:rPr>
        <w:t>）</w:t>
      </w:r>
      <w:bookmarkEnd w:id="262"/>
      <w:r>
        <w:rPr>
          <w:rFonts w:eastAsia="黑体"/>
          <w:b/>
          <w:bCs/>
          <w:color w:val="auto"/>
          <w:sz w:val="30"/>
          <w:highlight w:val="none"/>
        </w:rPr>
        <w:t>投标人的信誉情况</w:t>
      </w:r>
      <w:r>
        <w:rPr>
          <w:rFonts w:hint="eastAsia" w:eastAsia="黑体"/>
          <w:b/>
          <w:bCs/>
          <w:color w:val="auto"/>
          <w:sz w:val="30"/>
          <w:highlight w:val="none"/>
          <w:lang w:val="en-US" w:eastAsia="zh-CN"/>
        </w:rPr>
        <w:t>表</w:t>
      </w:r>
    </w:p>
    <w:tbl>
      <w:tblPr>
        <w:tblStyle w:val="7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04"/>
        <w:gridCol w:w="3968"/>
      </w:tblGrid>
      <w:tr w14:paraId="5EB9B8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7E1B6E81">
            <w:pPr>
              <w:snapToGrid w:val="0"/>
              <w:jc w:val="center"/>
              <w:rPr>
                <w:color w:val="auto"/>
                <w:sz w:val="22"/>
                <w:szCs w:val="22"/>
                <w:highlight w:val="none"/>
              </w:rPr>
            </w:pPr>
            <w:r>
              <w:rPr>
                <w:color w:val="auto"/>
                <w:sz w:val="22"/>
                <w:szCs w:val="22"/>
                <w:highlight w:val="none"/>
              </w:rPr>
              <w:t>项  目</w:t>
            </w:r>
          </w:p>
        </w:tc>
        <w:tc>
          <w:tcPr>
            <w:tcW w:w="3968" w:type="dxa"/>
            <w:vAlign w:val="center"/>
          </w:tcPr>
          <w:p w14:paraId="44042345">
            <w:pPr>
              <w:spacing w:line="400" w:lineRule="exact"/>
              <w:jc w:val="center"/>
              <w:rPr>
                <w:color w:val="auto"/>
                <w:sz w:val="22"/>
                <w:szCs w:val="22"/>
                <w:highlight w:val="none"/>
              </w:rPr>
            </w:pPr>
            <w:r>
              <w:rPr>
                <w:color w:val="auto"/>
                <w:sz w:val="22"/>
                <w:szCs w:val="22"/>
                <w:highlight w:val="none"/>
              </w:rPr>
              <w:t>投标人情况说明</w:t>
            </w:r>
          </w:p>
        </w:tc>
      </w:tr>
      <w:tr w14:paraId="70C55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4CBEFABD">
            <w:pPr>
              <w:snapToGrid w:val="0"/>
              <w:spacing w:line="320" w:lineRule="exact"/>
              <w:jc w:val="left"/>
              <w:rPr>
                <w:color w:val="auto"/>
                <w:sz w:val="22"/>
                <w:szCs w:val="22"/>
                <w:highlight w:val="none"/>
              </w:rPr>
            </w:pPr>
          </w:p>
        </w:tc>
        <w:tc>
          <w:tcPr>
            <w:tcW w:w="3968" w:type="dxa"/>
            <w:vAlign w:val="center"/>
          </w:tcPr>
          <w:p w14:paraId="3F0A15F7">
            <w:pPr>
              <w:spacing w:line="400" w:lineRule="exact"/>
              <w:jc w:val="center"/>
              <w:rPr>
                <w:rFonts w:eastAsia="黑体"/>
                <w:color w:val="auto"/>
                <w:sz w:val="22"/>
                <w:szCs w:val="22"/>
                <w:highlight w:val="none"/>
              </w:rPr>
            </w:pPr>
          </w:p>
        </w:tc>
      </w:tr>
      <w:tr w14:paraId="2EC5E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1125030E">
            <w:pPr>
              <w:snapToGrid w:val="0"/>
              <w:spacing w:line="320" w:lineRule="exact"/>
              <w:jc w:val="left"/>
              <w:rPr>
                <w:color w:val="auto"/>
                <w:sz w:val="22"/>
                <w:szCs w:val="22"/>
                <w:highlight w:val="none"/>
              </w:rPr>
            </w:pPr>
          </w:p>
        </w:tc>
        <w:tc>
          <w:tcPr>
            <w:tcW w:w="3968" w:type="dxa"/>
            <w:vAlign w:val="center"/>
          </w:tcPr>
          <w:p w14:paraId="378E2E6A">
            <w:pPr>
              <w:spacing w:line="400" w:lineRule="exact"/>
              <w:jc w:val="center"/>
              <w:rPr>
                <w:rFonts w:eastAsia="黑体"/>
                <w:color w:val="auto"/>
                <w:sz w:val="22"/>
                <w:szCs w:val="22"/>
                <w:highlight w:val="none"/>
              </w:rPr>
            </w:pPr>
          </w:p>
        </w:tc>
      </w:tr>
      <w:tr w14:paraId="2CA62A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3EF0520C">
            <w:pPr>
              <w:snapToGrid w:val="0"/>
              <w:spacing w:line="320" w:lineRule="exact"/>
              <w:jc w:val="left"/>
              <w:rPr>
                <w:color w:val="auto"/>
                <w:sz w:val="22"/>
                <w:szCs w:val="22"/>
                <w:highlight w:val="none"/>
              </w:rPr>
            </w:pPr>
          </w:p>
        </w:tc>
        <w:tc>
          <w:tcPr>
            <w:tcW w:w="3968" w:type="dxa"/>
            <w:vAlign w:val="center"/>
          </w:tcPr>
          <w:p w14:paraId="24CB7797">
            <w:pPr>
              <w:spacing w:line="400" w:lineRule="exact"/>
              <w:jc w:val="center"/>
              <w:rPr>
                <w:rFonts w:eastAsia="黑体"/>
                <w:color w:val="auto"/>
                <w:sz w:val="22"/>
                <w:szCs w:val="22"/>
                <w:highlight w:val="none"/>
              </w:rPr>
            </w:pPr>
          </w:p>
        </w:tc>
      </w:tr>
      <w:tr w14:paraId="5BD29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15C653EE">
            <w:pPr>
              <w:snapToGrid w:val="0"/>
              <w:spacing w:line="320" w:lineRule="exact"/>
              <w:jc w:val="left"/>
              <w:rPr>
                <w:color w:val="auto"/>
                <w:sz w:val="22"/>
                <w:szCs w:val="22"/>
                <w:highlight w:val="none"/>
              </w:rPr>
            </w:pPr>
          </w:p>
        </w:tc>
        <w:tc>
          <w:tcPr>
            <w:tcW w:w="3968" w:type="dxa"/>
            <w:vAlign w:val="center"/>
          </w:tcPr>
          <w:p w14:paraId="6D7E1F31">
            <w:pPr>
              <w:spacing w:line="400" w:lineRule="exact"/>
              <w:jc w:val="center"/>
              <w:rPr>
                <w:rFonts w:eastAsia="黑体"/>
                <w:color w:val="auto"/>
                <w:sz w:val="22"/>
                <w:szCs w:val="22"/>
                <w:highlight w:val="none"/>
              </w:rPr>
            </w:pPr>
          </w:p>
        </w:tc>
      </w:tr>
      <w:tr w14:paraId="2595B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11F428B2">
            <w:pPr>
              <w:snapToGrid w:val="0"/>
              <w:spacing w:line="320" w:lineRule="exact"/>
              <w:jc w:val="left"/>
              <w:rPr>
                <w:color w:val="auto"/>
                <w:sz w:val="22"/>
                <w:szCs w:val="22"/>
                <w:highlight w:val="none"/>
              </w:rPr>
            </w:pPr>
          </w:p>
        </w:tc>
        <w:tc>
          <w:tcPr>
            <w:tcW w:w="3968" w:type="dxa"/>
            <w:vAlign w:val="center"/>
          </w:tcPr>
          <w:p w14:paraId="3EC05532">
            <w:pPr>
              <w:spacing w:line="400" w:lineRule="exact"/>
              <w:jc w:val="center"/>
              <w:rPr>
                <w:rFonts w:eastAsia="黑体"/>
                <w:color w:val="auto"/>
                <w:sz w:val="22"/>
                <w:szCs w:val="22"/>
                <w:highlight w:val="none"/>
              </w:rPr>
            </w:pPr>
          </w:p>
        </w:tc>
      </w:tr>
      <w:tr w14:paraId="251585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0C8EBF1D">
            <w:pPr>
              <w:widowControl/>
              <w:spacing w:line="320" w:lineRule="exact"/>
              <w:jc w:val="left"/>
              <w:rPr>
                <w:color w:val="auto"/>
                <w:sz w:val="22"/>
                <w:szCs w:val="22"/>
                <w:highlight w:val="none"/>
              </w:rPr>
            </w:pPr>
          </w:p>
        </w:tc>
        <w:tc>
          <w:tcPr>
            <w:tcW w:w="3968" w:type="dxa"/>
            <w:vAlign w:val="center"/>
          </w:tcPr>
          <w:p w14:paraId="1105CBED">
            <w:pPr>
              <w:spacing w:line="400" w:lineRule="exact"/>
              <w:jc w:val="center"/>
              <w:rPr>
                <w:rFonts w:eastAsia="黑体"/>
                <w:color w:val="auto"/>
                <w:sz w:val="22"/>
                <w:szCs w:val="22"/>
                <w:highlight w:val="none"/>
              </w:rPr>
            </w:pPr>
          </w:p>
        </w:tc>
      </w:tr>
      <w:tr w14:paraId="25024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71DB3037">
            <w:pPr>
              <w:spacing w:line="320" w:lineRule="exact"/>
              <w:jc w:val="left"/>
              <w:rPr>
                <w:color w:val="auto"/>
                <w:sz w:val="22"/>
                <w:szCs w:val="22"/>
                <w:highlight w:val="none"/>
              </w:rPr>
            </w:pPr>
          </w:p>
        </w:tc>
        <w:tc>
          <w:tcPr>
            <w:tcW w:w="3968" w:type="dxa"/>
            <w:vAlign w:val="center"/>
          </w:tcPr>
          <w:p w14:paraId="21071A5F">
            <w:pPr>
              <w:spacing w:line="400" w:lineRule="exact"/>
              <w:jc w:val="center"/>
              <w:rPr>
                <w:rFonts w:eastAsia="黑体"/>
                <w:color w:val="auto"/>
                <w:sz w:val="22"/>
                <w:szCs w:val="22"/>
                <w:highlight w:val="none"/>
              </w:rPr>
            </w:pPr>
          </w:p>
        </w:tc>
      </w:tr>
      <w:tr w14:paraId="190003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32710053">
            <w:pPr>
              <w:spacing w:line="320" w:lineRule="exact"/>
              <w:jc w:val="left"/>
              <w:rPr>
                <w:color w:val="auto"/>
                <w:sz w:val="22"/>
                <w:szCs w:val="22"/>
                <w:highlight w:val="none"/>
              </w:rPr>
            </w:pPr>
          </w:p>
        </w:tc>
        <w:tc>
          <w:tcPr>
            <w:tcW w:w="3968" w:type="dxa"/>
            <w:vAlign w:val="center"/>
          </w:tcPr>
          <w:p w14:paraId="48D54A6E">
            <w:pPr>
              <w:spacing w:line="400" w:lineRule="exact"/>
              <w:jc w:val="center"/>
              <w:rPr>
                <w:color w:val="auto"/>
                <w:sz w:val="22"/>
                <w:szCs w:val="22"/>
                <w:highlight w:val="none"/>
              </w:rPr>
            </w:pPr>
          </w:p>
        </w:tc>
      </w:tr>
      <w:tr w14:paraId="397704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38BD1BA9">
            <w:pPr>
              <w:spacing w:line="320" w:lineRule="exact"/>
              <w:rPr>
                <w:color w:val="auto"/>
                <w:sz w:val="22"/>
                <w:szCs w:val="22"/>
                <w:highlight w:val="none"/>
              </w:rPr>
            </w:pPr>
          </w:p>
        </w:tc>
        <w:tc>
          <w:tcPr>
            <w:tcW w:w="3968" w:type="dxa"/>
            <w:vAlign w:val="center"/>
          </w:tcPr>
          <w:p w14:paraId="5AABE19B">
            <w:pPr>
              <w:spacing w:line="400" w:lineRule="exact"/>
              <w:jc w:val="center"/>
              <w:rPr>
                <w:color w:val="auto"/>
                <w:sz w:val="22"/>
                <w:szCs w:val="22"/>
                <w:highlight w:val="none"/>
              </w:rPr>
            </w:pPr>
          </w:p>
        </w:tc>
      </w:tr>
      <w:tr w14:paraId="31E02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5104" w:type="dxa"/>
            <w:vAlign w:val="center"/>
          </w:tcPr>
          <w:p w14:paraId="1116B1D7">
            <w:pPr>
              <w:spacing w:line="320" w:lineRule="exact"/>
              <w:jc w:val="left"/>
              <w:rPr>
                <w:color w:val="auto"/>
                <w:sz w:val="22"/>
                <w:szCs w:val="22"/>
                <w:highlight w:val="none"/>
              </w:rPr>
            </w:pPr>
          </w:p>
        </w:tc>
        <w:tc>
          <w:tcPr>
            <w:tcW w:w="3968" w:type="dxa"/>
            <w:vAlign w:val="center"/>
          </w:tcPr>
          <w:p w14:paraId="499D3D30">
            <w:pPr>
              <w:spacing w:line="400" w:lineRule="exact"/>
              <w:jc w:val="center"/>
              <w:rPr>
                <w:color w:val="auto"/>
                <w:sz w:val="22"/>
                <w:szCs w:val="22"/>
                <w:highlight w:val="none"/>
              </w:rPr>
            </w:pPr>
          </w:p>
        </w:tc>
      </w:tr>
      <w:tr w14:paraId="5437A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1" w:hRule="atLeast"/>
          <w:jc w:val="center"/>
        </w:trPr>
        <w:tc>
          <w:tcPr>
            <w:tcW w:w="5104" w:type="dxa"/>
            <w:vAlign w:val="center"/>
          </w:tcPr>
          <w:p w14:paraId="5E15BC18">
            <w:pPr>
              <w:spacing w:line="320" w:lineRule="exact"/>
              <w:jc w:val="left"/>
              <w:rPr>
                <w:color w:val="auto"/>
                <w:sz w:val="22"/>
                <w:szCs w:val="22"/>
                <w:highlight w:val="none"/>
              </w:rPr>
            </w:pPr>
          </w:p>
        </w:tc>
        <w:tc>
          <w:tcPr>
            <w:tcW w:w="3968" w:type="dxa"/>
            <w:vAlign w:val="center"/>
          </w:tcPr>
          <w:p w14:paraId="031095D8">
            <w:pPr>
              <w:spacing w:line="400" w:lineRule="exact"/>
              <w:jc w:val="center"/>
              <w:rPr>
                <w:color w:val="auto"/>
                <w:sz w:val="22"/>
                <w:szCs w:val="22"/>
                <w:highlight w:val="none"/>
              </w:rPr>
            </w:pPr>
          </w:p>
        </w:tc>
      </w:tr>
    </w:tbl>
    <w:p w14:paraId="454D91B2">
      <w:pPr>
        <w:widowControl/>
        <w:spacing w:line="360" w:lineRule="auto"/>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w:t>
      </w:r>
    </w:p>
    <w:p w14:paraId="06A0B0B9">
      <w:pPr>
        <w:widowControl/>
        <w:spacing w:line="360" w:lineRule="auto"/>
        <w:contextualSpacing/>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1.投标人应按照招标文件第二章“投标人须知”前附表附录</w:t>
      </w: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rPr>
        <w:t xml:space="preserve"> 和“投标人须知”正文 1.4.4 项规定，逐条说明其信誉情况（招标文件另有要求的除外）。</w:t>
      </w:r>
    </w:p>
    <w:p w14:paraId="5CD75B5F">
      <w:pPr>
        <w:widowControl/>
        <w:spacing w:line="360" w:lineRule="auto"/>
        <w:ind w:left="0" w:leftChars="0" w:firstLine="0"/>
        <w:contextualSpacing/>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 xml:space="preserve">2.投标人应根据招标文件第二章“投标人须知”第 3.5.3 项的要求在本表后附相关证明材料。 </w:t>
      </w:r>
    </w:p>
    <w:p w14:paraId="0187D70E">
      <w:pPr>
        <w:spacing w:line="360" w:lineRule="auto"/>
        <w:ind w:left="357" w:leftChars="170" w:firstLine="1"/>
        <w:jc w:val="center"/>
        <w:rPr>
          <w:rFonts w:eastAsia="黑体"/>
          <w:b/>
          <w:bCs/>
          <w:color w:val="auto"/>
          <w:sz w:val="28"/>
          <w:szCs w:val="21"/>
          <w:highlight w:val="none"/>
        </w:rPr>
      </w:pPr>
    </w:p>
    <w:p w14:paraId="53E048E5">
      <w:pPr>
        <w:spacing w:line="360" w:lineRule="auto"/>
        <w:ind w:left="357" w:leftChars="170" w:firstLine="1"/>
        <w:jc w:val="center"/>
        <w:rPr>
          <w:rFonts w:eastAsia="黑体"/>
          <w:b/>
          <w:bCs/>
          <w:color w:val="auto"/>
          <w:sz w:val="28"/>
          <w:szCs w:val="21"/>
          <w:highlight w:val="none"/>
        </w:rPr>
      </w:pPr>
    </w:p>
    <w:p w14:paraId="4F7BCA6E">
      <w:pPr>
        <w:spacing w:line="360" w:lineRule="auto"/>
        <w:ind w:left="357" w:leftChars="170" w:firstLine="1"/>
        <w:jc w:val="center"/>
        <w:rPr>
          <w:rFonts w:eastAsia="黑体"/>
          <w:b/>
          <w:bCs/>
          <w:color w:val="auto"/>
          <w:sz w:val="28"/>
          <w:szCs w:val="21"/>
          <w:highlight w:val="none"/>
        </w:rPr>
      </w:pPr>
    </w:p>
    <w:p w14:paraId="1FEC7D51">
      <w:pPr>
        <w:spacing w:line="360" w:lineRule="auto"/>
        <w:ind w:left="357" w:leftChars="170" w:firstLine="1"/>
        <w:jc w:val="center"/>
        <w:rPr>
          <w:rFonts w:eastAsia="黑体"/>
          <w:b/>
          <w:bCs/>
          <w:color w:val="auto"/>
          <w:sz w:val="28"/>
          <w:szCs w:val="21"/>
          <w:highlight w:val="none"/>
        </w:rPr>
      </w:pPr>
    </w:p>
    <w:p w14:paraId="5661A3B3">
      <w:pPr>
        <w:spacing w:line="360" w:lineRule="auto"/>
        <w:ind w:left="357" w:leftChars="170" w:firstLine="1"/>
        <w:jc w:val="center"/>
        <w:rPr>
          <w:rFonts w:eastAsia="黑体"/>
          <w:b/>
          <w:bCs/>
          <w:color w:val="auto"/>
          <w:sz w:val="28"/>
          <w:szCs w:val="21"/>
          <w:highlight w:val="none"/>
        </w:rPr>
      </w:pPr>
    </w:p>
    <w:p w14:paraId="25F979D8">
      <w:pPr>
        <w:spacing w:line="360" w:lineRule="auto"/>
        <w:ind w:left="357" w:leftChars="170" w:firstLine="1"/>
        <w:jc w:val="center"/>
        <w:rPr>
          <w:rFonts w:eastAsia="黑体"/>
          <w:b/>
          <w:bCs/>
          <w:color w:val="auto"/>
          <w:sz w:val="28"/>
          <w:szCs w:val="21"/>
          <w:highlight w:val="none"/>
        </w:rPr>
      </w:pPr>
    </w:p>
    <w:p w14:paraId="2441DCBD">
      <w:pPr>
        <w:spacing w:line="360" w:lineRule="auto"/>
        <w:ind w:left="357" w:leftChars="170" w:firstLine="1"/>
        <w:jc w:val="center"/>
        <w:rPr>
          <w:rFonts w:eastAsia="黑体"/>
          <w:b/>
          <w:bCs/>
          <w:color w:val="auto"/>
          <w:sz w:val="28"/>
          <w:szCs w:val="21"/>
          <w:highlight w:val="none"/>
        </w:rPr>
      </w:pPr>
    </w:p>
    <w:p w14:paraId="349B8762">
      <w:pPr>
        <w:spacing w:line="360" w:lineRule="auto"/>
        <w:ind w:left="357" w:leftChars="170" w:firstLine="1"/>
        <w:jc w:val="center"/>
        <w:rPr>
          <w:rFonts w:eastAsia="黑体"/>
          <w:b/>
          <w:bCs/>
          <w:color w:val="auto"/>
          <w:sz w:val="28"/>
          <w:szCs w:val="21"/>
          <w:highlight w:val="none"/>
        </w:rPr>
      </w:pPr>
    </w:p>
    <w:p w14:paraId="64EEE9CD">
      <w:pPr>
        <w:spacing w:line="360" w:lineRule="auto"/>
        <w:ind w:left="357" w:leftChars="170" w:firstLine="1"/>
        <w:jc w:val="center"/>
        <w:rPr>
          <w:b/>
          <w:bCs/>
          <w:color w:val="auto"/>
          <w:highlight w:val="none"/>
        </w:rPr>
      </w:pPr>
      <w:r>
        <w:rPr>
          <w:rFonts w:eastAsia="黑体"/>
          <w:b/>
          <w:bCs/>
          <w:color w:val="auto"/>
          <w:sz w:val="28"/>
          <w:szCs w:val="21"/>
          <w:highlight w:val="none"/>
        </w:rPr>
        <w:t>（</w:t>
      </w:r>
      <w:r>
        <w:rPr>
          <w:rFonts w:hint="eastAsia" w:eastAsia="黑体"/>
          <w:b/>
          <w:bCs/>
          <w:color w:val="auto"/>
          <w:sz w:val="28"/>
          <w:szCs w:val="21"/>
          <w:highlight w:val="none"/>
          <w:lang w:val="en-US" w:eastAsia="zh-CN"/>
        </w:rPr>
        <w:t>五</w:t>
      </w:r>
      <w:r>
        <w:rPr>
          <w:rFonts w:eastAsia="黑体"/>
          <w:b/>
          <w:bCs/>
          <w:color w:val="auto"/>
          <w:sz w:val="28"/>
          <w:szCs w:val="21"/>
          <w:highlight w:val="none"/>
        </w:rPr>
        <w:t>）</w:t>
      </w:r>
      <w:r>
        <w:rPr>
          <w:rFonts w:eastAsia="黑体"/>
          <w:b/>
          <w:bCs/>
          <w:color w:val="auto"/>
          <w:sz w:val="28"/>
          <w:szCs w:val="21"/>
          <w:highlight w:val="none"/>
          <w:lang w:val="en-US" w:eastAsia="zh-CN"/>
        </w:rPr>
        <w:t>拟委任的中心试验室主任资历表</w:t>
      </w:r>
    </w:p>
    <w:tbl>
      <w:tblPr>
        <w:tblStyle w:val="75"/>
        <w:tblW w:w="95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0"/>
        <w:gridCol w:w="385"/>
        <w:gridCol w:w="1136"/>
        <w:gridCol w:w="676"/>
        <w:gridCol w:w="673"/>
        <w:gridCol w:w="1420"/>
        <w:gridCol w:w="1865"/>
        <w:gridCol w:w="2123"/>
      </w:tblGrid>
      <w:tr w14:paraId="785ED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1270" w:type="dxa"/>
            <w:vAlign w:val="center"/>
          </w:tcPr>
          <w:p w14:paraId="04EF9AC7">
            <w:pPr>
              <w:jc w:val="center"/>
              <w:rPr>
                <w:color w:val="auto"/>
                <w:sz w:val="22"/>
                <w:szCs w:val="22"/>
                <w:highlight w:val="none"/>
              </w:rPr>
            </w:pPr>
            <w:r>
              <w:rPr>
                <w:color w:val="auto"/>
                <w:sz w:val="22"/>
                <w:szCs w:val="22"/>
                <w:highlight w:val="none"/>
              </w:rPr>
              <w:t>姓  名</w:t>
            </w:r>
          </w:p>
        </w:tc>
        <w:tc>
          <w:tcPr>
            <w:tcW w:w="1521" w:type="dxa"/>
            <w:gridSpan w:val="2"/>
            <w:vAlign w:val="center"/>
          </w:tcPr>
          <w:p w14:paraId="29B548C7">
            <w:pPr>
              <w:jc w:val="center"/>
              <w:rPr>
                <w:color w:val="auto"/>
                <w:sz w:val="22"/>
                <w:szCs w:val="22"/>
                <w:highlight w:val="none"/>
              </w:rPr>
            </w:pPr>
          </w:p>
        </w:tc>
        <w:tc>
          <w:tcPr>
            <w:tcW w:w="1349" w:type="dxa"/>
            <w:gridSpan w:val="2"/>
            <w:vAlign w:val="center"/>
          </w:tcPr>
          <w:p w14:paraId="733F92E8">
            <w:pPr>
              <w:jc w:val="center"/>
              <w:rPr>
                <w:color w:val="auto"/>
                <w:sz w:val="22"/>
                <w:szCs w:val="22"/>
                <w:highlight w:val="none"/>
              </w:rPr>
            </w:pPr>
            <w:r>
              <w:rPr>
                <w:color w:val="auto"/>
                <w:sz w:val="22"/>
                <w:szCs w:val="22"/>
                <w:highlight w:val="none"/>
              </w:rPr>
              <w:t>年 龄</w:t>
            </w:r>
          </w:p>
        </w:tc>
        <w:tc>
          <w:tcPr>
            <w:tcW w:w="1420" w:type="dxa"/>
            <w:vAlign w:val="center"/>
          </w:tcPr>
          <w:p w14:paraId="44CA62E3">
            <w:pPr>
              <w:jc w:val="center"/>
              <w:rPr>
                <w:color w:val="auto"/>
                <w:sz w:val="22"/>
                <w:szCs w:val="22"/>
                <w:highlight w:val="none"/>
              </w:rPr>
            </w:pPr>
          </w:p>
        </w:tc>
        <w:tc>
          <w:tcPr>
            <w:tcW w:w="1865" w:type="dxa"/>
            <w:vAlign w:val="center"/>
          </w:tcPr>
          <w:p w14:paraId="23BA5D3F">
            <w:pPr>
              <w:jc w:val="center"/>
              <w:rPr>
                <w:color w:val="auto"/>
                <w:sz w:val="22"/>
                <w:szCs w:val="22"/>
                <w:highlight w:val="none"/>
              </w:rPr>
            </w:pPr>
            <w:r>
              <w:rPr>
                <w:rFonts w:hint="eastAsia"/>
                <w:color w:val="auto"/>
                <w:sz w:val="22"/>
                <w:szCs w:val="22"/>
                <w:highlight w:val="none"/>
                <w:lang w:val="en-US" w:eastAsia="zh-CN"/>
              </w:rPr>
              <w:t>执业或职业资格证书名称</w:t>
            </w:r>
          </w:p>
        </w:tc>
        <w:tc>
          <w:tcPr>
            <w:tcW w:w="2123" w:type="dxa"/>
            <w:vAlign w:val="center"/>
          </w:tcPr>
          <w:p w14:paraId="02B36EFD">
            <w:pPr>
              <w:jc w:val="center"/>
              <w:rPr>
                <w:color w:val="auto"/>
                <w:sz w:val="22"/>
                <w:szCs w:val="22"/>
                <w:highlight w:val="none"/>
              </w:rPr>
            </w:pPr>
          </w:p>
        </w:tc>
      </w:tr>
      <w:tr w14:paraId="3014BB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270" w:type="dxa"/>
            <w:vAlign w:val="center"/>
          </w:tcPr>
          <w:p w14:paraId="1ED0EC55">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 xml:space="preserve">技术职称    </w:t>
            </w:r>
          </w:p>
        </w:tc>
        <w:tc>
          <w:tcPr>
            <w:tcW w:w="1521" w:type="dxa"/>
            <w:gridSpan w:val="2"/>
            <w:vAlign w:val="center"/>
          </w:tcPr>
          <w:p w14:paraId="766123B3">
            <w:pPr>
              <w:jc w:val="center"/>
              <w:rPr>
                <w:color w:val="auto"/>
                <w:sz w:val="22"/>
                <w:szCs w:val="22"/>
                <w:highlight w:val="none"/>
              </w:rPr>
            </w:pPr>
          </w:p>
        </w:tc>
        <w:tc>
          <w:tcPr>
            <w:tcW w:w="1349" w:type="dxa"/>
            <w:gridSpan w:val="2"/>
            <w:vAlign w:val="center"/>
          </w:tcPr>
          <w:p w14:paraId="2696501A">
            <w:pPr>
              <w:jc w:val="center"/>
              <w:rPr>
                <w:rFonts w:hint="eastAsia" w:eastAsia="宋体"/>
                <w:color w:val="auto"/>
                <w:sz w:val="22"/>
                <w:szCs w:val="22"/>
                <w:highlight w:val="none"/>
                <w:lang w:eastAsia="zh-CN"/>
              </w:rPr>
            </w:pPr>
            <w:r>
              <w:rPr>
                <w:rFonts w:hint="eastAsia"/>
                <w:color w:val="auto"/>
                <w:sz w:val="22"/>
                <w:szCs w:val="22"/>
                <w:highlight w:val="none"/>
                <w:lang w:val="en-US" w:eastAsia="zh-CN"/>
              </w:rPr>
              <w:t xml:space="preserve">学历    </w:t>
            </w:r>
          </w:p>
        </w:tc>
        <w:tc>
          <w:tcPr>
            <w:tcW w:w="1420" w:type="dxa"/>
            <w:vAlign w:val="center"/>
          </w:tcPr>
          <w:p w14:paraId="0A155A44">
            <w:pPr>
              <w:jc w:val="center"/>
              <w:rPr>
                <w:color w:val="auto"/>
                <w:sz w:val="22"/>
                <w:szCs w:val="22"/>
                <w:highlight w:val="none"/>
              </w:rPr>
            </w:pPr>
          </w:p>
        </w:tc>
        <w:tc>
          <w:tcPr>
            <w:tcW w:w="1865" w:type="dxa"/>
            <w:vAlign w:val="center"/>
          </w:tcPr>
          <w:p w14:paraId="192197B1">
            <w:pPr>
              <w:jc w:val="center"/>
              <w:rPr>
                <w:color w:val="auto"/>
                <w:sz w:val="22"/>
                <w:szCs w:val="22"/>
                <w:highlight w:val="none"/>
              </w:rPr>
            </w:pPr>
            <w:r>
              <w:rPr>
                <w:rFonts w:hint="eastAsia"/>
                <w:color w:val="auto"/>
                <w:sz w:val="22"/>
                <w:szCs w:val="22"/>
                <w:highlight w:val="none"/>
                <w:lang w:val="en-US" w:eastAsia="zh-CN"/>
              </w:rPr>
              <w:t>拟在本工程任职</w:t>
            </w:r>
          </w:p>
        </w:tc>
        <w:tc>
          <w:tcPr>
            <w:tcW w:w="2123" w:type="dxa"/>
            <w:vAlign w:val="center"/>
          </w:tcPr>
          <w:p w14:paraId="28C9796F">
            <w:pPr>
              <w:jc w:val="center"/>
              <w:rPr>
                <w:color w:val="auto"/>
                <w:sz w:val="22"/>
                <w:szCs w:val="22"/>
                <w:highlight w:val="none"/>
              </w:rPr>
            </w:pPr>
          </w:p>
        </w:tc>
      </w:tr>
      <w:tr w14:paraId="7E8D1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9" w:hRule="atLeast"/>
          <w:jc w:val="center"/>
        </w:trPr>
        <w:tc>
          <w:tcPr>
            <w:tcW w:w="1270" w:type="dxa"/>
            <w:vAlign w:val="center"/>
          </w:tcPr>
          <w:p w14:paraId="3F373851">
            <w:pPr>
              <w:jc w:val="center"/>
              <w:rPr>
                <w:rFonts w:hint="default"/>
                <w:color w:val="auto"/>
                <w:sz w:val="22"/>
                <w:szCs w:val="22"/>
                <w:highlight w:val="none"/>
                <w:lang w:val="en-US"/>
              </w:rPr>
            </w:pPr>
            <w:r>
              <w:rPr>
                <w:rFonts w:hint="default"/>
                <w:color w:val="auto"/>
                <w:sz w:val="22"/>
                <w:szCs w:val="22"/>
                <w:highlight w:val="none"/>
                <w:lang w:val="en-US" w:eastAsia="zh-CN"/>
              </w:rPr>
              <w:t>工作年限</w:t>
            </w:r>
          </w:p>
        </w:tc>
        <w:tc>
          <w:tcPr>
            <w:tcW w:w="4290" w:type="dxa"/>
            <w:gridSpan w:val="5"/>
            <w:vAlign w:val="center"/>
          </w:tcPr>
          <w:p w14:paraId="4910E8E0">
            <w:pPr>
              <w:jc w:val="center"/>
              <w:rPr>
                <w:color w:val="auto"/>
                <w:sz w:val="22"/>
                <w:szCs w:val="22"/>
                <w:highlight w:val="none"/>
              </w:rPr>
            </w:pPr>
          </w:p>
        </w:tc>
        <w:tc>
          <w:tcPr>
            <w:tcW w:w="1865" w:type="dxa"/>
            <w:vAlign w:val="center"/>
          </w:tcPr>
          <w:p w14:paraId="14B8F75A">
            <w:pPr>
              <w:jc w:val="center"/>
              <w:rPr>
                <w:rFonts w:hint="eastAsia"/>
                <w:color w:val="auto"/>
                <w:sz w:val="22"/>
                <w:szCs w:val="22"/>
                <w:highlight w:val="none"/>
                <w:lang w:val="en-US" w:eastAsia="zh-CN"/>
              </w:rPr>
            </w:pPr>
            <w:r>
              <w:rPr>
                <w:rFonts w:hint="eastAsia"/>
                <w:color w:val="auto"/>
                <w:sz w:val="22"/>
                <w:szCs w:val="22"/>
                <w:highlight w:val="none"/>
                <w:lang w:val="en-US" w:eastAsia="zh-CN"/>
              </w:rPr>
              <w:t>从事检测工作年限</w:t>
            </w:r>
          </w:p>
        </w:tc>
        <w:tc>
          <w:tcPr>
            <w:tcW w:w="2123" w:type="dxa"/>
            <w:vAlign w:val="center"/>
          </w:tcPr>
          <w:p w14:paraId="4088DE1C">
            <w:pPr>
              <w:jc w:val="center"/>
              <w:rPr>
                <w:color w:val="auto"/>
                <w:sz w:val="22"/>
                <w:szCs w:val="22"/>
                <w:highlight w:val="none"/>
              </w:rPr>
            </w:pPr>
          </w:p>
        </w:tc>
      </w:tr>
      <w:tr w14:paraId="3006E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1270" w:type="dxa"/>
            <w:vAlign w:val="center"/>
          </w:tcPr>
          <w:p w14:paraId="25720CEE">
            <w:pPr>
              <w:jc w:val="center"/>
              <w:rPr>
                <w:color w:val="auto"/>
                <w:sz w:val="22"/>
                <w:szCs w:val="22"/>
                <w:highlight w:val="none"/>
              </w:rPr>
            </w:pPr>
            <w:r>
              <w:rPr>
                <w:color w:val="auto"/>
                <w:sz w:val="22"/>
                <w:szCs w:val="22"/>
                <w:highlight w:val="none"/>
              </w:rPr>
              <w:t>毕业学校</w:t>
            </w:r>
          </w:p>
        </w:tc>
        <w:tc>
          <w:tcPr>
            <w:tcW w:w="8278" w:type="dxa"/>
            <w:gridSpan w:val="7"/>
            <w:vAlign w:val="center"/>
          </w:tcPr>
          <w:p w14:paraId="477392BB">
            <w:pPr>
              <w:rPr>
                <w:color w:val="auto"/>
                <w:sz w:val="22"/>
                <w:szCs w:val="22"/>
                <w:highlight w:val="none"/>
              </w:rPr>
            </w:pP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年</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月毕业于</w:t>
            </w:r>
            <w:r>
              <w:rPr>
                <w:color w:val="auto"/>
                <w:sz w:val="22"/>
                <w:szCs w:val="22"/>
                <w:highlight w:val="none"/>
                <w:u w:val="single"/>
              </w:rPr>
              <w:t xml:space="preserve">            </w:t>
            </w:r>
            <w:r>
              <w:rPr>
                <w:color w:val="auto"/>
                <w:sz w:val="22"/>
                <w:szCs w:val="22"/>
                <w:highlight w:val="none"/>
              </w:rPr>
              <w:t>学校</w:t>
            </w:r>
            <w:r>
              <w:rPr>
                <w:color w:val="auto"/>
                <w:sz w:val="22"/>
                <w:szCs w:val="22"/>
                <w:highlight w:val="none"/>
                <w:u w:val="single"/>
              </w:rPr>
              <w:t xml:space="preserve">        </w:t>
            </w:r>
            <w:r>
              <w:rPr>
                <w:color w:val="auto"/>
                <w:sz w:val="22"/>
                <w:szCs w:val="22"/>
                <w:highlight w:val="none"/>
              </w:rPr>
              <w:t>专业，学制</w:t>
            </w:r>
            <w:r>
              <w:rPr>
                <w:color w:val="auto"/>
                <w:sz w:val="22"/>
                <w:szCs w:val="22"/>
                <w:highlight w:val="none"/>
                <w:u w:val="single"/>
              </w:rPr>
              <w:t xml:space="preserve">  </w:t>
            </w:r>
            <w:r>
              <w:rPr>
                <w:rFonts w:hint="eastAsia"/>
                <w:color w:val="auto"/>
                <w:sz w:val="22"/>
                <w:szCs w:val="22"/>
                <w:highlight w:val="none"/>
                <w:u w:val="single"/>
                <w:lang w:val="en-US" w:eastAsia="zh-CN"/>
              </w:rPr>
              <w:t xml:space="preserve">  </w:t>
            </w:r>
            <w:r>
              <w:rPr>
                <w:color w:val="auto"/>
                <w:sz w:val="22"/>
                <w:szCs w:val="22"/>
                <w:highlight w:val="none"/>
                <w:u w:val="single"/>
              </w:rPr>
              <w:t xml:space="preserve"> </w:t>
            </w:r>
            <w:r>
              <w:rPr>
                <w:color w:val="auto"/>
                <w:sz w:val="22"/>
                <w:szCs w:val="22"/>
                <w:highlight w:val="none"/>
              </w:rPr>
              <w:t>年</w:t>
            </w:r>
          </w:p>
        </w:tc>
      </w:tr>
      <w:tr w14:paraId="2DDC13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9548" w:type="dxa"/>
            <w:gridSpan w:val="8"/>
            <w:vAlign w:val="center"/>
          </w:tcPr>
          <w:p w14:paraId="54B1C6A7">
            <w:pPr>
              <w:pStyle w:val="71"/>
              <w:rPr>
                <w:color w:val="auto"/>
                <w:sz w:val="22"/>
                <w:szCs w:val="22"/>
                <w:highlight w:val="none"/>
              </w:rPr>
            </w:pPr>
            <w:r>
              <w:rPr>
                <w:color w:val="auto"/>
                <w:sz w:val="22"/>
                <w:szCs w:val="22"/>
                <w:highlight w:val="none"/>
              </w:rPr>
              <w:t>经    历</w:t>
            </w:r>
          </w:p>
        </w:tc>
      </w:tr>
      <w:tr w14:paraId="7DC4B7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 w:hRule="atLeast"/>
          <w:jc w:val="center"/>
        </w:trPr>
        <w:tc>
          <w:tcPr>
            <w:tcW w:w="1655" w:type="dxa"/>
            <w:gridSpan w:val="2"/>
            <w:vAlign w:val="center"/>
          </w:tcPr>
          <w:p w14:paraId="416C7E21">
            <w:pPr>
              <w:spacing w:before="159" w:line="181" w:lineRule="auto"/>
              <w:ind w:firstLine="441" w:firstLineChars="0"/>
              <w:jc w:val="center"/>
              <w:rPr>
                <w:color w:val="auto"/>
                <w:sz w:val="22"/>
                <w:szCs w:val="22"/>
                <w:highlight w:val="none"/>
              </w:rPr>
            </w:pPr>
            <w:r>
              <w:rPr>
                <w:rFonts w:ascii="宋体" w:hAnsi="宋体" w:eastAsia="宋体" w:cs="宋体"/>
                <w:color w:val="auto"/>
                <w:spacing w:val="-7"/>
                <w:sz w:val="22"/>
                <w:szCs w:val="22"/>
                <w:highlight w:val="none"/>
              </w:rPr>
              <w:t>时间</w:t>
            </w:r>
          </w:p>
        </w:tc>
        <w:tc>
          <w:tcPr>
            <w:tcW w:w="2485" w:type="dxa"/>
            <w:gridSpan w:val="3"/>
            <w:tcBorders>
              <w:right w:val="single" w:color="auto" w:sz="4" w:space="0"/>
            </w:tcBorders>
            <w:vAlign w:val="center"/>
          </w:tcPr>
          <w:p w14:paraId="65528C32">
            <w:pPr>
              <w:spacing w:before="159" w:line="181" w:lineRule="auto"/>
              <w:ind w:firstLine="146" w:firstLineChars="0"/>
              <w:jc w:val="center"/>
              <w:rPr>
                <w:color w:val="auto"/>
                <w:sz w:val="22"/>
                <w:szCs w:val="22"/>
                <w:highlight w:val="none"/>
              </w:rPr>
            </w:pPr>
            <w:r>
              <w:rPr>
                <w:rFonts w:ascii="宋体" w:hAnsi="宋体" w:eastAsia="宋体" w:cs="宋体"/>
                <w:color w:val="auto"/>
                <w:spacing w:val="-5"/>
                <w:sz w:val="22"/>
                <w:szCs w:val="22"/>
                <w:highlight w:val="none"/>
              </w:rPr>
              <w:t>参加过的工程项目名称</w:t>
            </w:r>
          </w:p>
        </w:tc>
        <w:tc>
          <w:tcPr>
            <w:tcW w:w="3285" w:type="dxa"/>
            <w:gridSpan w:val="2"/>
            <w:tcBorders>
              <w:left w:val="single" w:color="auto" w:sz="4" w:space="0"/>
            </w:tcBorders>
            <w:vAlign w:val="center"/>
          </w:tcPr>
          <w:p w14:paraId="08FAC324">
            <w:pPr>
              <w:spacing w:before="15" w:line="230" w:lineRule="auto"/>
              <w:ind w:left="291" w:right="156" w:hanging="115"/>
              <w:jc w:val="center"/>
              <w:rPr>
                <w:color w:val="auto"/>
                <w:sz w:val="22"/>
                <w:szCs w:val="22"/>
                <w:highlight w:val="none"/>
              </w:rPr>
            </w:pPr>
            <w:r>
              <w:rPr>
                <w:rFonts w:ascii="宋体" w:hAnsi="宋体" w:eastAsia="宋体" w:cs="宋体"/>
                <w:color w:val="auto"/>
                <w:spacing w:val="-5"/>
                <w:sz w:val="22"/>
                <w:szCs w:val="22"/>
                <w:highlight w:val="none"/>
              </w:rPr>
              <w:t>担任职务</w:t>
            </w:r>
          </w:p>
        </w:tc>
        <w:tc>
          <w:tcPr>
            <w:tcW w:w="2123" w:type="dxa"/>
            <w:vAlign w:val="center"/>
          </w:tcPr>
          <w:p w14:paraId="26605B47">
            <w:pPr>
              <w:spacing w:before="159" w:line="181" w:lineRule="auto"/>
              <w:ind w:firstLine="119" w:firstLineChars="0"/>
              <w:jc w:val="center"/>
              <w:rPr>
                <w:color w:val="auto"/>
                <w:sz w:val="22"/>
                <w:szCs w:val="22"/>
                <w:highlight w:val="none"/>
              </w:rPr>
            </w:pPr>
            <w:r>
              <w:rPr>
                <w:rFonts w:hint="eastAsia" w:ascii="宋体" w:hAnsi="宋体" w:cs="宋体"/>
                <w:color w:val="auto"/>
                <w:spacing w:val="-5"/>
                <w:sz w:val="22"/>
                <w:szCs w:val="22"/>
                <w:highlight w:val="none"/>
                <w:lang w:val="en-US" w:eastAsia="zh-CN"/>
              </w:rPr>
              <w:t>委托人</w:t>
            </w:r>
            <w:r>
              <w:rPr>
                <w:rFonts w:ascii="宋体" w:hAnsi="宋体" w:eastAsia="宋体" w:cs="宋体"/>
                <w:color w:val="auto"/>
                <w:spacing w:val="-5"/>
                <w:sz w:val="22"/>
                <w:szCs w:val="22"/>
                <w:highlight w:val="none"/>
              </w:rPr>
              <w:t>及联系电话</w:t>
            </w:r>
          </w:p>
        </w:tc>
      </w:tr>
      <w:tr w14:paraId="21FC8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tcPr>
          <w:p w14:paraId="60E2BA83">
            <w:pPr>
              <w:rPr>
                <w:color w:val="auto"/>
                <w:sz w:val="22"/>
                <w:szCs w:val="22"/>
                <w:highlight w:val="none"/>
              </w:rPr>
            </w:pPr>
          </w:p>
        </w:tc>
        <w:tc>
          <w:tcPr>
            <w:tcW w:w="2485" w:type="dxa"/>
            <w:gridSpan w:val="3"/>
            <w:tcBorders>
              <w:right w:val="single" w:color="auto" w:sz="4" w:space="0"/>
            </w:tcBorders>
          </w:tcPr>
          <w:p w14:paraId="3B2932F1">
            <w:pPr>
              <w:rPr>
                <w:color w:val="auto"/>
                <w:sz w:val="22"/>
                <w:szCs w:val="22"/>
                <w:highlight w:val="none"/>
              </w:rPr>
            </w:pPr>
          </w:p>
        </w:tc>
        <w:tc>
          <w:tcPr>
            <w:tcW w:w="3285" w:type="dxa"/>
            <w:gridSpan w:val="2"/>
            <w:tcBorders>
              <w:left w:val="single" w:color="auto" w:sz="4" w:space="0"/>
            </w:tcBorders>
          </w:tcPr>
          <w:p w14:paraId="4F5FF9B8">
            <w:pPr>
              <w:rPr>
                <w:color w:val="auto"/>
                <w:sz w:val="22"/>
                <w:szCs w:val="22"/>
                <w:highlight w:val="none"/>
              </w:rPr>
            </w:pPr>
          </w:p>
        </w:tc>
        <w:tc>
          <w:tcPr>
            <w:tcW w:w="2123" w:type="dxa"/>
          </w:tcPr>
          <w:p w14:paraId="235984A7">
            <w:pPr>
              <w:rPr>
                <w:color w:val="auto"/>
                <w:sz w:val="22"/>
                <w:szCs w:val="22"/>
                <w:highlight w:val="none"/>
              </w:rPr>
            </w:pPr>
          </w:p>
        </w:tc>
      </w:tr>
      <w:tr w14:paraId="6123C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14:paraId="00DADD65">
            <w:pPr>
              <w:rPr>
                <w:color w:val="auto"/>
                <w:sz w:val="22"/>
                <w:szCs w:val="22"/>
                <w:highlight w:val="none"/>
              </w:rPr>
            </w:pPr>
          </w:p>
        </w:tc>
        <w:tc>
          <w:tcPr>
            <w:tcW w:w="2485" w:type="dxa"/>
            <w:gridSpan w:val="3"/>
            <w:tcBorders>
              <w:right w:val="single" w:color="auto" w:sz="4" w:space="0"/>
            </w:tcBorders>
            <w:vAlign w:val="center"/>
          </w:tcPr>
          <w:p w14:paraId="6211C448">
            <w:pPr>
              <w:rPr>
                <w:color w:val="auto"/>
                <w:sz w:val="22"/>
                <w:szCs w:val="22"/>
                <w:highlight w:val="none"/>
              </w:rPr>
            </w:pPr>
          </w:p>
        </w:tc>
        <w:tc>
          <w:tcPr>
            <w:tcW w:w="3285" w:type="dxa"/>
            <w:gridSpan w:val="2"/>
            <w:tcBorders>
              <w:left w:val="single" w:color="auto" w:sz="4" w:space="0"/>
            </w:tcBorders>
            <w:vAlign w:val="center"/>
          </w:tcPr>
          <w:p w14:paraId="250EC471">
            <w:pPr>
              <w:rPr>
                <w:color w:val="auto"/>
                <w:sz w:val="22"/>
                <w:szCs w:val="22"/>
                <w:highlight w:val="none"/>
              </w:rPr>
            </w:pPr>
          </w:p>
        </w:tc>
        <w:tc>
          <w:tcPr>
            <w:tcW w:w="2123" w:type="dxa"/>
            <w:vAlign w:val="center"/>
          </w:tcPr>
          <w:p w14:paraId="184A2B42">
            <w:pPr>
              <w:rPr>
                <w:color w:val="auto"/>
                <w:sz w:val="22"/>
                <w:szCs w:val="22"/>
                <w:highlight w:val="none"/>
              </w:rPr>
            </w:pPr>
          </w:p>
        </w:tc>
      </w:tr>
      <w:tr w14:paraId="299A5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14:paraId="2B57597C">
            <w:pPr>
              <w:rPr>
                <w:color w:val="auto"/>
                <w:sz w:val="22"/>
                <w:szCs w:val="22"/>
                <w:highlight w:val="none"/>
              </w:rPr>
            </w:pPr>
          </w:p>
        </w:tc>
        <w:tc>
          <w:tcPr>
            <w:tcW w:w="2485" w:type="dxa"/>
            <w:gridSpan w:val="3"/>
            <w:tcBorders>
              <w:right w:val="single" w:color="auto" w:sz="4" w:space="0"/>
            </w:tcBorders>
            <w:vAlign w:val="center"/>
          </w:tcPr>
          <w:p w14:paraId="18C7A9DB">
            <w:pPr>
              <w:rPr>
                <w:color w:val="auto"/>
                <w:sz w:val="22"/>
                <w:szCs w:val="22"/>
                <w:highlight w:val="none"/>
              </w:rPr>
            </w:pPr>
          </w:p>
        </w:tc>
        <w:tc>
          <w:tcPr>
            <w:tcW w:w="3285" w:type="dxa"/>
            <w:gridSpan w:val="2"/>
            <w:tcBorders>
              <w:left w:val="single" w:color="auto" w:sz="4" w:space="0"/>
            </w:tcBorders>
            <w:vAlign w:val="center"/>
          </w:tcPr>
          <w:p w14:paraId="026671CC">
            <w:pPr>
              <w:rPr>
                <w:color w:val="auto"/>
                <w:sz w:val="22"/>
                <w:szCs w:val="22"/>
                <w:highlight w:val="none"/>
              </w:rPr>
            </w:pPr>
          </w:p>
        </w:tc>
        <w:tc>
          <w:tcPr>
            <w:tcW w:w="2123" w:type="dxa"/>
            <w:vAlign w:val="center"/>
          </w:tcPr>
          <w:p w14:paraId="278D278A">
            <w:pPr>
              <w:rPr>
                <w:color w:val="auto"/>
                <w:sz w:val="22"/>
                <w:szCs w:val="22"/>
                <w:highlight w:val="none"/>
              </w:rPr>
            </w:pPr>
          </w:p>
        </w:tc>
      </w:tr>
      <w:tr w14:paraId="45FCE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14:paraId="75BA6040">
            <w:pPr>
              <w:rPr>
                <w:color w:val="auto"/>
                <w:sz w:val="22"/>
                <w:szCs w:val="22"/>
                <w:highlight w:val="none"/>
              </w:rPr>
            </w:pPr>
          </w:p>
        </w:tc>
        <w:tc>
          <w:tcPr>
            <w:tcW w:w="2485" w:type="dxa"/>
            <w:gridSpan w:val="3"/>
            <w:tcBorders>
              <w:right w:val="single" w:color="auto" w:sz="4" w:space="0"/>
            </w:tcBorders>
            <w:vAlign w:val="center"/>
          </w:tcPr>
          <w:p w14:paraId="19A9D1A6">
            <w:pPr>
              <w:rPr>
                <w:color w:val="auto"/>
                <w:sz w:val="22"/>
                <w:szCs w:val="22"/>
                <w:highlight w:val="none"/>
              </w:rPr>
            </w:pPr>
          </w:p>
        </w:tc>
        <w:tc>
          <w:tcPr>
            <w:tcW w:w="3285" w:type="dxa"/>
            <w:gridSpan w:val="2"/>
            <w:tcBorders>
              <w:left w:val="single" w:color="auto" w:sz="4" w:space="0"/>
            </w:tcBorders>
            <w:vAlign w:val="center"/>
          </w:tcPr>
          <w:p w14:paraId="14667F85">
            <w:pPr>
              <w:rPr>
                <w:color w:val="auto"/>
                <w:sz w:val="22"/>
                <w:szCs w:val="22"/>
                <w:highlight w:val="none"/>
              </w:rPr>
            </w:pPr>
          </w:p>
        </w:tc>
        <w:tc>
          <w:tcPr>
            <w:tcW w:w="2123" w:type="dxa"/>
            <w:vAlign w:val="center"/>
          </w:tcPr>
          <w:p w14:paraId="50D910DA">
            <w:pPr>
              <w:rPr>
                <w:color w:val="auto"/>
                <w:sz w:val="22"/>
                <w:szCs w:val="22"/>
                <w:highlight w:val="none"/>
              </w:rPr>
            </w:pPr>
          </w:p>
        </w:tc>
      </w:tr>
      <w:tr w14:paraId="31DAED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14:paraId="7BBD1984">
            <w:pPr>
              <w:rPr>
                <w:color w:val="auto"/>
                <w:sz w:val="22"/>
                <w:szCs w:val="22"/>
                <w:highlight w:val="none"/>
              </w:rPr>
            </w:pPr>
          </w:p>
        </w:tc>
        <w:tc>
          <w:tcPr>
            <w:tcW w:w="2485" w:type="dxa"/>
            <w:gridSpan w:val="3"/>
            <w:tcBorders>
              <w:right w:val="single" w:color="auto" w:sz="4" w:space="0"/>
            </w:tcBorders>
            <w:vAlign w:val="center"/>
          </w:tcPr>
          <w:p w14:paraId="7C0B67FF">
            <w:pPr>
              <w:rPr>
                <w:color w:val="auto"/>
                <w:sz w:val="22"/>
                <w:szCs w:val="22"/>
                <w:highlight w:val="none"/>
              </w:rPr>
            </w:pPr>
          </w:p>
        </w:tc>
        <w:tc>
          <w:tcPr>
            <w:tcW w:w="3285" w:type="dxa"/>
            <w:gridSpan w:val="2"/>
            <w:tcBorders>
              <w:left w:val="single" w:color="auto" w:sz="4" w:space="0"/>
            </w:tcBorders>
            <w:vAlign w:val="center"/>
          </w:tcPr>
          <w:p w14:paraId="2B793A27">
            <w:pPr>
              <w:rPr>
                <w:color w:val="auto"/>
                <w:sz w:val="22"/>
                <w:szCs w:val="22"/>
                <w:highlight w:val="none"/>
              </w:rPr>
            </w:pPr>
          </w:p>
        </w:tc>
        <w:tc>
          <w:tcPr>
            <w:tcW w:w="2123" w:type="dxa"/>
            <w:vAlign w:val="center"/>
          </w:tcPr>
          <w:p w14:paraId="201BAC36">
            <w:pPr>
              <w:rPr>
                <w:color w:val="auto"/>
                <w:sz w:val="22"/>
                <w:szCs w:val="22"/>
                <w:highlight w:val="none"/>
              </w:rPr>
            </w:pPr>
          </w:p>
        </w:tc>
      </w:tr>
      <w:tr w14:paraId="4767CA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14:paraId="0261CB49">
            <w:pPr>
              <w:rPr>
                <w:color w:val="auto"/>
                <w:sz w:val="22"/>
                <w:szCs w:val="22"/>
                <w:highlight w:val="none"/>
              </w:rPr>
            </w:pPr>
          </w:p>
        </w:tc>
        <w:tc>
          <w:tcPr>
            <w:tcW w:w="2485" w:type="dxa"/>
            <w:gridSpan w:val="3"/>
            <w:tcBorders>
              <w:right w:val="single" w:color="auto" w:sz="4" w:space="0"/>
            </w:tcBorders>
            <w:vAlign w:val="center"/>
          </w:tcPr>
          <w:p w14:paraId="29986393">
            <w:pPr>
              <w:rPr>
                <w:color w:val="auto"/>
                <w:sz w:val="22"/>
                <w:szCs w:val="22"/>
                <w:highlight w:val="none"/>
              </w:rPr>
            </w:pPr>
          </w:p>
        </w:tc>
        <w:tc>
          <w:tcPr>
            <w:tcW w:w="3285" w:type="dxa"/>
            <w:gridSpan w:val="2"/>
            <w:tcBorders>
              <w:left w:val="single" w:color="auto" w:sz="4" w:space="0"/>
            </w:tcBorders>
            <w:vAlign w:val="center"/>
          </w:tcPr>
          <w:p w14:paraId="64AE509A">
            <w:pPr>
              <w:rPr>
                <w:color w:val="auto"/>
                <w:sz w:val="22"/>
                <w:szCs w:val="22"/>
                <w:highlight w:val="none"/>
              </w:rPr>
            </w:pPr>
          </w:p>
        </w:tc>
        <w:tc>
          <w:tcPr>
            <w:tcW w:w="2123" w:type="dxa"/>
            <w:vAlign w:val="center"/>
          </w:tcPr>
          <w:p w14:paraId="6FBDD21B">
            <w:pPr>
              <w:rPr>
                <w:color w:val="auto"/>
                <w:sz w:val="22"/>
                <w:szCs w:val="22"/>
                <w:highlight w:val="none"/>
              </w:rPr>
            </w:pPr>
          </w:p>
        </w:tc>
      </w:tr>
      <w:tr w14:paraId="25502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655" w:type="dxa"/>
            <w:gridSpan w:val="2"/>
            <w:vAlign w:val="center"/>
          </w:tcPr>
          <w:p w14:paraId="3FFA3D6E">
            <w:pPr>
              <w:rPr>
                <w:color w:val="auto"/>
                <w:sz w:val="22"/>
                <w:szCs w:val="22"/>
                <w:highlight w:val="none"/>
              </w:rPr>
            </w:pPr>
          </w:p>
        </w:tc>
        <w:tc>
          <w:tcPr>
            <w:tcW w:w="2485" w:type="dxa"/>
            <w:gridSpan w:val="3"/>
            <w:tcBorders>
              <w:right w:val="single" w:color="auto" w:sz="4" w:space="0"/>
            </w:tcBorders>
            <w:vAlign w:val="center"/>
          </w:tcPr>
          <w:p w14:paraId="7583D4C4">
            <w:pPr>
              <w:rPr>
                <w:color w:val="auto"/>
                <w:sz w:val="22"/>
                <w:szCs w:val="22"/>
                <w:highlight w:val="none"/>
              </w:rPr>
            </w:pPr>
          </w:p>
        </w:tc>
        <w:tc>
          <w:tcPr>
            <w:tcW w:w="3285" w:type="dxa"/>
            <w:gridSpan w:val="2"/>
            <w:tcBorders>
              <w:left w:val="single" w:color="auto" w:sz="4" w:space="0"/>
            </w:tcBorders>
            <w:vAlign w:val="center"/>
          </w:tcPr>
          <w:p w14:paraId="08A8D16D">
            <w:pPr>
              <w:rPr>
                <w:color w:val="auto"/>
                <w:sz w:val="22"/>
                <w:szCs w:val="22"/>
                <w:highlight w:val="none"/>
              </w:rPr>
            </w:pPr>
          </w:p>
        </w:tc>
        <w:tc>
          <w:tcPr>
            <w:tcW w:w="2123" w:type="dxa"/>
            <w:vAlign w:val="center"/>
          </w:tcPr>
          <w:p w14:paraId="6E16EDC0">
            <w:pPr>
              <w:rPr>
                <w:color w:val="auto"/>
                <w:sz w:val="22"/>
                <w:szCs w:val="22"/>
                <w:highlight w:val="none"/>
              </w:rPr>
            </w:pPr>
          </w:p>
        </w:tc>
      </w:tr>
      <w:tr w14:paraId="3B2BB5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3467" w:type="dxa"/>
            <w:gridSpan w:val="4"/>
            <w:vAlign w:val="center"/>
          </w:tcPr>
          <w:p w14:paraId="02FFFE5D">
            <w:pPr>
              <w:rPr>
                <w:color w:val="auto"/>
                <w:sz w:val="22"/>
                <w:szCs w:val="22"/>
                <w:highlight w:val="none"/>
              </w:rPr>
            </w:pPr>
            <w:r>
              <w:rPr>
                <w:color w:val="auto"/>
                <w:sz w:val="22"/>
                <w:szCs w:val="22"/>
                <w:highlight w:val="none"/>
              </w:rPr>
              <w:t>获奖情况</w:t>
            </w:r>
          </w:p>
        </w:tc>
        <w:tc>
          <w:tcPr>
            <w:tcW w:w="6081" w:type="dxa"/>
            <w:gridSpan w:val="4"/>
            <w:vAlign w:val="center"/>
          </w:tcPr>
          <w:p w14:paraId="2C2091EE">
            <w:pPr>
              <w:rPr>
                <w:color w:val="auto"/>
                <w:sz w:val="22"/>
                <w:szCs w:val="22"/>
                <w:highlight w:val="none"/>
              </w:rPr>
            </w:pPr>
          </w:p>
        </w:tc>
      </w:tr>
      <w:tr w14:paraId="0231A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7" w:hRule="atLeast"/>
          <w:jc w:val="center"/>
        </w:trPr>
        <w:tc>
          <w:tcPr>
            <w:tcW w:w="3467" w:type="dxa"/>
            <w:gridSpan w:val="4"/>
            <w:vAlign w:val="center"/>
          </w:tcPr>
          <w:p w14:paraId="4AFDACCC">
            <w:pPr>
              <w:rPr>
                <w:color w:val="auto"/>
                <w:sz w:val="22"/>
                <w:szCs w:val="22"/>
                <w:highlight w:val="none"/>
              </w:rPr>
            </w:pPr>
            <w:r>
              <w:rPr>
                <w:color w:val="auto"/>
                <w:sz w:val="22"/>
                <w:szCs w:val="22"/>
                <w:highlight w:val="none"/>
              </w:rPr>
              <w:t>说明在岗情况</w:t>
            </w:r>
          </w:p>
        </w:tc>
        <w:tc>
          <w:tcPr>
            <w:tcW w:w="6081" w:type="dxa"/>
            <w:gridSpan w:val="4"/>
            <w:vAlign w:val="center"/>
          </w:tcPr>
          <w:p w14:paraId="2C9C30AF">
            <w:pPr>
              <w:rPr>
                <w:color w:val="auto"/>
                <w:sz w:val="22"/>
                <w:szCs w:val="22"/>
                <w:highlight w:val="none"/>
              </w:rPr>
            </w:pPr>
            <w:r>
              <w:rPr>
                <w:color w:val="auto"/>
                <w:sz w:val="22"/>
                <w:szCs w:val="22"/>
                <w:highlight w:val="none"/>
              </w:rPr>
              <w:t>□目前未在其他项目上任职，现从事工作为：</w:t>
            </w:r>
            <w:r>
              <w:rPr>
                <w:color w:val="auto"/>
                <w:sz w:val="22"/>
                <w:szCs w:val="22"/>
                <w:highlight w:val="none"/>
                <w:u w:val="single"/>
              </w:rPr>
              <w:t xml:space="preserve">           </w:t>
            </w:r>
            <w:r>
              <w:rPr>
                <w:color w:val="auto"/>
                <w:sz w:val="22"/>
                <w:szCs w:val="22"/>
                <w:highlight w:val="none"/>
              </w:rPr>
              <w:t>。</w:t>
            </w:r>
          </w:p>
          <w:p w14:paraId="5F06A0C8">
            <w:pPr>
              <w:rPr>
                <w:color w:val="auto"/>
                <w:sz w:val="22"/>
                <w:szCs w:val="22"/>
                <w:highlight w:val="none"/>
              </w:rPr>
            </w:pPr>
            <w:r>
              <w:rPr>
                <w:color w:val="auto"/>
                <w:sz w:val="22"/>
                <w:szCs w:val="22"/>
                <w:highlight w:val="none"/>
              </w:rPr>
              <w:t>□目前虽在其他项目上任职，但本项目中标后能够从该项目撤离，目前任职项目：</w:t>
            </w:r>
            <w:r>
              <w:rPr>
                <w:color w:val="auto"/>
                <w:sz w:val="22"/>
                <w:szCs w:val="22"/>
                <w:highlight w:val="none"/>
                <w:u w:val="single"/>
              </w:rPr>
              <w:t xml:space="preserve">           </w:t>
            </w:r>
            <w:r>
              <w:rPr>
                <w:color w:val="auto"/>
                <w:sz w:val="22"/>
                <w:szCs w:val="22"/>
                <w:highlight w:val="none"/>
              </w:rPr>
              <w:t xml:space="preserve"> ，担任职位：</w:t>
            </w:r>
            <w:r>
              <w:rPr>
                <w:color w:val="auto"/>
                <w:sz w:val="22"/>
                <w:szCs w:val="22"/>
                <w:highlight w:val="none"/>
                <w:u w:val="single"/>
              </w:rPr>
              <w:t xml:space="preserve">       </w:t>
            </w:r>
            <w:r>
              <w:rPr>
                <w:color w:val="auto"/>
                <w:sz w:val="22"/>
                <w:szCs w:val="22"/>
                <w:highlight w:val="none"/>
              </w:rPr>
              <w:t>。</w:t>
            </w:r>
          </w:p>
        </w:tc>
      </w:tr>
      <w:tr w14:paraId="222DD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62" w:hRule="atLeast"/>
          <w:jc w:val="center"/>
        </w:trPr>
        <w:tc>
          <w:tcPr>
            <w:tcW w:w="3467" w:type="dxa"/>
            <w:gridSpan w:val="4"/>
            <w:vAlign w:val="center"/>
          </w:tcPr>
          <w:p w14:paraId="3262EB4A">
            <w:pPr>
              <w:rPr>
                <w:color w:val="auto"/>
                <w:sz w:val="22"/>
                <w:szCs w:val="22"/>
                <w:highlight w:val="none"/>
              </w:rPr>
            </w:pPr>
            <w:r>
              <w:rPr>
                <w:color w:val="auto"/>
                <w:sz w:val="22"/>
                <w:szCs w:val="22"/>
                <w:highlight w:val="none"/>
              </w:rPr>
              <w:t>备注</w:t>
            </w:r>
          </w:p>
        </w:tc>
        <w:tc>
          <w:tcPr>
            <w:tcW w:w="6081" w:type="dxa"/>
            <w:gridSpan w:val="4"/>
            <w:vAlign w:val="center"/>
          </w:tcPr>
          <w:p w14:paraId="56BF1D25">
            <w:pPr>
              <w:rPr>
                <w:color w:val="auto"/>
                <w:sz w:val="22"/>
                <w:szCs w:val="22"/>
                <w:highlight w:val="none"/>
              </w:rPr>
            </w:pPr>
          </w:p>
        </w:tc>
      </w:tr>
    </w:tbl>
    <w:p w14:paraId="7ABAC2E9">
      <w:pPr>
        <w:widowControl/>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w:t>
      </w:r>
      <w:r>
        <w:rPr>
          <w:rFonts w:hint="eastAsia" w:ascii="宋体" w:hAnsi="宋体" w:eastAsia="宋体" w:cs="宋体"/>
          <w:b/>
          <w:bCs/>
          <w:color w:val="auto"/>
          <w:sz w:val="22"/>
          <w:szCs w:val="22"/>
          <w:highlight w:val="none"/>
          <w:lang w:val="en-US" w:eastAsia="zh-CN"/>
        </w:rPr>
        <w:t xml:space="preserve">1.本表应填写中心试验室主任相关情况。 </w:t>
      </w:r>
    </w:p>
    <w:p w14:paraId="642836BA">
      <w:pPr>
        <w:widowControl/>
        <w:spacing w:line="360" w:lineRule="auto"/>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2.投标人应根据招标文件第二章投标人须知</w:t>
      </w:r>
      <w:r>
        <w:rPr>
          <w:rFonts w:hint="eastAsia" w:ascii="宋体" w:hAnsi="宋体" w:cs="宋体"/>
          <w:b/>
          <w:bCs/>
          <w:color w:val="auto"/>
          <w:sz w:val="22"/>
          <w:szCs w:val="22"/>
          <w:highlight w:val="none"/>
          <w:lang w:val="en-US" w:eastAsia="zh-CN"/>
        </w:rPr>
        <w:t>前附表</w:t>
      </w:r>
      <w:r>
        <w:rPr>
          <w:rFonts w:hint="eastAsia" w:ascii="宋体" w:hAnsi="宋体" w:eastAsia="宋体" w:cs="宋体"/>
          <w:b/>
          <w:bCs/>
          <w:color w:val="auto"/>
          <w:sz w:val="22"/>
          <w:szCs w:val="22"/>
          <w:highlight w:val="none"/>
          <w:lang w:val="en-US" w:eastAsia="zh-CN"/>
        </w:rPr>
        <w:t>第 3.5.</w:t>
      </w:r>
      <w:r>
        <w:rPr>
          <w:rFonts w:hint="eastAsia" w:ascii="宋体" w:hAnsi="宋体" w:cs="宋体"/>
          <w:b/>
          <w:bCs/>
          <w:color w:val="auto"/>
          <w:sz w:val="22"/>
          <w:szCs w:val="22"/>
          <w:highlight w:val="none"/>
          <w:lang w:val="en-US" w:eastAsia="zh-CN"/>
        </w:rPr>
        <w:t>5</w:t>
      </w:r>
      <w:r>
        <w:rPr>
          <w:rFonts w:hint="eastAsia" w:ascii="宋体" w:hAnsi="宋体" w:eastAsia="宋体" w:cs="宋体"/>
          <w:b/>
          <w:bCs/>
          <w:color w:val="auto"/>
          <w:sz w:val="22"/>
          <w:szCs w:val="22"/>
          <w:highlight w:val="none"/>
          <w:lang w:val="en-US" w:eastAsia="zh-CN"/>
        </w:rPr>
        <w:t>项</w:t>
      </w:r>
      <w:r>
        <w:rPr>
          <w:rFonts w:hint="eastAsia" w:ascii="宋体" w:hAnsi="宋体" w:cs="宋体"/>
          <w:b/>
          <w:bCs/>
          <w:color w:val="auto"/>
          <w:sz w:val="22"/>
          <w:szCs w:val="22"/>
          <w:highlight w:val="none"/>
          <w:lang w:val="en-US" w:eastAsia="zh-CN"/>
        </w:rPr>
        <w:t>（1）-（4）</w:t>
      </w:r>
      <w:r>
        <w:rPr>
          <w:rFonts w:hint="eastAsia" w:ascii="宋体" w:hAnsi="宋体" w:eastAsia="宋体" w:cs="宋体"/>
          <w:b/>
          <w:bCs/>
          <w:color w:val="auto"/>
          <w:sz w:val="22"/>
          <w:szCs w:val="22"/>
          <w:highlight w:val="none"/>
          <w:lang w:val="en-US" w:eastAsia="zh-CN"/>
        </w:rPr>
        <w:t>的要求在本表后附相关证明材料。</w:t>
      </w:r>
    </w:p>
    <w:p w14:paraId="79347479">
      <w:pPr>
        <w:widowControl/>
        <w:spacing w:line="360" w:lineRule="auto"/>
        <w:jc w:val="left"/>
        <w:rPr>
          <w:b/>
          <w:bCs/>
          <w:color w:val="auto"/>
          <w:szCs w:val="21"/>
          <w:highlight w:val="none"/>
        </w:rPr>
      </w:pPr>
    </w:p>
    <w:p w14:paraId="637AB0C0">
      <w:pPr>
        <w:spacing w:line="360" w:lineRule="auto"/>
        <w:ind w:left="357" w:leftChars="170" w:firstLine="1"/>
        <w:jc w:val="center"/>
        <w:rPr>
          <w:rFonts w:eastAsia="黑体"/>
          <w:b/>
          <w:bCs/>
          <w:color w:val="auto"/>
          <w:sz w:val="28"/>
          <w:szCs w:val="21"/>
          <w:highlight w:val="none"/>
        </w:rPr>
        <w:sectPr>
          <w:footerReference r:id="rId8" w:type="default"/>
          <w:pgSz w:w="11906" w:h="16838"/>
          <w:pgMar w:top="1134" w:right="1134" w:bottom="1134" w:left="1134" w:header="851" w:footer="992" w:gutter="0"/>
          <w:pgNumType w:fmt="decimal"/>
          <w:cols w:space="720" w:num="1"/>
          <w:docGrid w:linePitch="312" w:charSpace="0"/>
        </w:sectPr>
      </w:pPr>
    </w:p>
    <w:bookmarkEnd w:id="263"/>
    <w:bookmarkEnd w:id="264"/>
    <w:bookmarkEnd w:id="265"/>
    <w:p w14:paraId="1534A2EB">
      <w:pPr>
        <w:spacing w:line="360" w:lineRule="auto"/>
        <w:ind w:left="357" w:leftChars="170" w:firstLine="1"/>
        <w:jc w:val="center"/>
        <w:rPr>
          <w:rFonts w:hint="eastAsia" w:eastAsia="黑体"/>
          <w:b/>
          <w:bCs/>
          <w:color w:val="auto"/>
          <w:sz w:val="28"/>
          <w:szCs w:val="21"/>
          <w:highlight w:val="none"/>
          <w:lang w:val="en-US" w:eastAsia="zh-CN"/>
        </w:rPr>
      </w:pPr>
    </w:p>
    <w:p w14:paraId="2E1EB532">
      <w:pPr>
        <w:spacing w:line="360" w:lineRule="auto"/>
        <w:ind w:left="357" w:leftChars="170" w:firstLine="1"/>
        <w:jc w:val="center"/>
        <w:rPr>
          <w:b/>
          <w:bCs/>
          <w:color w:val="auto"/>
          <w:highlight w:val="none"/>
        </w:rPr>
      </w:pPr>
      <w:r>
        <w:rPr>
          <w:rFonts w:hint="eastAsia" w:eastAsia="黑体"/>
          <w:b/>
          <w:bCs/>
          <w:color w:val="auto"/>
          <w:sz w:val="28"/>
          <w:szCs w:val="21"/>
          <w:highlight w:val="none"/>
          <w:lang w:val="en-US" w:eastAsia="zh-CN"/>
        </w:rPr>
        <w:t>（六</w:t>
      </w:r>
      <w:r>
        <w:rPr>
          <w:rFonts w:eastAsia="黑体"/>
          <w:b/>
          <w:bCs/>
          <w:color w:val="auto"/>
          <w:sz w:val="28"/>
          <w:szCs w:val="21"/>
          <w:highlight w:val="none"/>
        </w:rPr>
        <w:t>）</w:t>
      </w:r>
      <w:r>
        <w:rPr>
          <w:rFonts w:eastAsia="黑体"/>
          <w:b/>
          <w:bCs/>
          <w:color w:val="auto"/>
          <w:sz w:val="28"/>
          <w:szCs w:val="21"/>
          <w:highlight w:val="none"/>
          <w:lang w:val="en-US" w:eastAsia="zh-CN"/>
        </w:rPr>
        <w:t>中心试验室主任</w:t>
      </w:r>
      <w:r>
        <w:rPr>
          <w:rFonts w:hint="eastAsia" w:eastAsia="黑体"/>
          <w:b/>
          <w:bCs/>
          <w:color w:val="auto"/>
          <w:sz w:val="28"/>
          <w:szCs w:val="21"/>
          <w:highlight w:val="none"/>
          <w:lang w:val="en-US" w:eastAsia="zh-CN"/>
        </w:rPr>
        <w:t>近年完成的类似项目情况表</w:t>
      </w:r>
    </w:p>
    <w:tbl>
      <w:tblPr>
        <w:tblStyle w:val="650"/>
        <w:tblW w:w="9476" w:type="dxa"/>
        <w:tblInd w:w="1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9"/>
        <w:gridCol w:w="7337"/>
      </w:tblGrid>
      <w:tr w14:paraId="5EDF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39" w:type="dxa"/>
            <w:vAlign w:val="center"/>
          </w:tcPr>
          <w:p w14:paraId="77F306FA">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7337" w:type="dxa"/>
            <w:vAlign w:val="center"/>
          </w:tcPr>
          <w:p w14:paraId="306FD6B8">
            <w:pPr>
              <w:autoSpaceDE w:val="0"/>
              <w:autoSpaceDN w:val="0"/>
              <w:jc w:val="center"/>
              <w:rPr>
                <w:rFonts w:hint="eastAsia" w:ascii="宋体" w:hAnsi="宋体" w:eastAsia="宋体" w:cs="宋体"/>
                <w:color w:val="auto"/>
                <w:sz w:val="22"/>
                <w:szCs w:val="22"/>
                <w:highlight w:val="none"/>
              </w:rPr>
            </w:pPr>
          </w:p>
        </w:tc>
      </w:tr>
      <w:tr w14:paraId="089DB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1C8FC6C4">
            <w:pPr>
              <w:topLinePunct/>
              <w:autoSpaceDE w:val="0"/>
              <w:autoSpaceDN w:val="0"/>
              <w:jc w:val="center"/>
              <w:rPr>
                <w:rFonts w:hint="eastAsia" w:ascii="宋体" w:hAnsi="宋体" w:eastAsia="宋体" w:cs="宋体"/>
                <w:color w:val="auto"/>
                <w:sz w:val="22"/>
                <w:szCs w:val="22"/>
                <w:highlight w:val="none"/>
              </w:rPr>
            </w:pPr>
            <w:r>
              <w:rPr>
                <w:color w:val="auto"/>
                <w:sz w:val="22"/>
                <w:szCs w:val="22"/>
                <w:highlight w:val="none"/>
              </w:rPr>
              <w:t>项目名称</w:t>
            </w:r>
          </w:p>
        </w:tc>
        <w:tc>
          <w:tcPr>
            <w:tcW w:w="7337" w:type="dxa"/>
            <w:vAlign w:val="center"/>
          </w:tcPr>
          <w:p w14:paraId="37EF035D">
            <w:pPr>
              <w:autoSpaceDE w:val="0"/>
              <w:autoSpaceDN w:val="0"/>
              <w:jc w:val="center"/>
              <w:rPr>
                <w:rFonts w:hint="eastAsia" w:ascii="宋体" w:hAnsi="宋体" w:eastAsia="宋体" w:cs="宋体"/>
                <w:color w:val="auto"/>
                <w:sz w:val="22"/>
                <w:szCs w:val="22"/>
                <w:highlight w:val="none"/>
              </w:rPr>
            </w:pPr>
          </w:p>
        </w:tc>
      </w:tr>
      <w:tr w14:paraId="316E78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9" w:type="dxa"/>
            <w:vAlign w:val="center"/>
          </w:tcPr>
          <w:p w14:paraId="2394B382">
            <w:pPr>
              <w:topLinePunct/>
              <w:autoSpaceDE w:val="0"/>
              <w:autoSpaceDN w:val="0"/>
              <w:jc w:val="center"/>
              <w:rPr>
                <w:rFonts w:hint="eastAsia" w:ascii="宋体" w:hAnsi="宋体" w:eastAsia="宋体" w:cs="宋体"/>
                <w:color w:val="auto"/>
                <w:sz w:val="22"/>
                <w:szCs w:val="22"/>
                <w:highlight w:val="none"/>
              </w:rPr>
            </w:pPr>
            <w:r>
              <w:rPr>
                <w:color w:val="auto"/>
                <w:sz w:val="22"/>
                <w:szCs w:val="22"/>
                <w:highlight w:val="none"/>
              </w:rPr>
              <w:t>项目所在地</w:t>
            </w:r>
          </w:p>
        </w:tc>
        <w:tc>
          <w:tcPr>
            <w:tcW w:w="7337" w:type="dxa"/>
            <w:vAlign w:val="center"/>
          </w:tcPr>
          <w:p w14:paraId="789DBF1E">
            <w:pPr>
              <w:autoSpaceDE w:val="0"/>
              <w:autoSpaceDN w:val="0"/>
              <w:jc w:val="center"/>
              <w:rPr>
                <w:rFonts w:hint="eastAsia" w:ascii="宋体" w:hAnsi="宋体" w:eastAsia="宋体" w:cs="宋体"/>
                <w:color w:val="auto"/>
                <w:sz w:val="22"/>
                <w:szCs w:val="22"/>
                <w:highlight w:val="none"/>
              </w:rPr>
            </w:pPr>
          </w:p>
        </w:tc>
      </w:tr>
      <w:tr w14:paraId="772AA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7D11D8E9">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委托人名称</w:t>
            </w:r>
          </w:p>
        </w:tc>
        <w:tc>
          <w:tcPr>
            <w:tcW w:w="7337" w:type="dxa"/>
            <w:vAlign w:val="center"/>
          </w:tcPr>
          <w:p w14:paraId="4CEBF34D">
            <w:pPr>
              <w:autoSpaceDE w:val="0"/>
              <w:autoSpaceDN w:val="0"/>
              <w:jc w:val="center"/>
              <w:rPr>
                <w:rFonts w:hint="eastAsia" w:ascii="宋体" w:hAnsi="宋体" w:eastAsia="宋体" w:cs="宋体"/>
                <w:color w:val="auto"/>
                <w:sz w:val="22"/>
                <w:szCs w:val="22"/>
                <w:highlight w:val="none"/>
              </w:rPr>
            </w:pPr>
          </w:p>
        </w:tc>
      </w:tr>
      <w:tr w14:paraId="33B2B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139" w:type="dxa"/>
            <w:vAlign w:val="center"/>
          </w:tcPr>
          <w:p w14:paraId="04B6C6AE">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委托人地址</w:t>
            </w:r>
          </w:p>
        </w:tc>
        <w:tc>
          <w:tcPr>
            <w:tcW w:w="7337" w:type="dxa"/>
            <w:vAlign w:val="center"/>
          </w:tcPr>
          <w:p w14:paraId="61E94310">
            <w:pPr>
              <w:autoSpaceDE w:val="0"/>
              <w:autoSpaceDN w:val="0"/>
              <w:jc w:val="center"/>
              <w:rPr>
                <w:rFonts w:hint="eastAsia" w:ascii="宋体" w:hAnsi="宋体" w:eastAsia="宋体" w:cs="宋体"/>
                <w:color w:val="auto"/>
                <w:sz w:val="22"/>
                <w:szCs w:val="22"/>
                <w:highlight w:val="none"/>
              </w:rPr>
            </w:pPr>
          </w:p>
        </w:tc>
      </w:tr>
      <w:tr w14:paraId="5F2E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167648BE">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委托人电话</w:t>
            </w:r>
          </w:p>
        </w:tc>
        <w:tc>
          <w:tcPr>
            <w:tcW w:w="7337" w:type="dxa"/>
            <w:vAlign w:val="center"/>
          </w:tcPr>
          <w:p w14:paraId="6D869012">
            <w:pPr>
              <w:autoSpaceDE w:val="0"/>
              <w:autoSpaceDN w:val="0"/>
              <w:jc w:val="center"/>
              <w:rPr>
                <w:rFonts w:hint="eastAsia" w:ascii="宋体" w:hAnsi="宋体" w:eastAsia="宋体" w:cs="宋体"/>
                <w:color w:val="auto"/>
                <w:sz w:val="22"/>
                <w:szCs w:val="22"/>
                <w:highlight w:val="none"/>
              </w:rPr>
            </w:pPr>
          </w:p>
        </w:tc>
      </w:tr>
      <w:tr w14:paraId="67C71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66FB3A33">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项目等级</w:t>
            </w:r>
          </w:p>
        </w:tc>
        <w:tc>
          <w:tcPr>
            <w:tcW w:w="7337" w:type="dxa"/>
            <w:vAlign w:val="center"/>
          </w:tcPr>
          <w:p w14:paraId="567B9BEB">
            <w:pPr>
              <w:autoSpaceDE w:val="0"/>
              <w:autoSpaceDN w:val="0"/>
              <w:jc w:val="center"/>
              <w:rPr>
                <w:rFonts w:hint="eastAsia" w:ascii="宋体" w:hAnsi="宋体" w:eastAsia="宋体" w:cs="宋体"/>
                <w:color w:val="auto"/>
                <w:sz w:val="22"/>
                <w:szCs w:val="22"/>
                <w:highlight w:val="none"/>
              </w:rPr>
            </w:pPr>
          </w:p>
        </w:tc>
      </w:tr>
      <w:tr w14:paraId="52172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269CF28A">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 xml:space="preserve">项目总投资 </w:t>
            </w:r>
          </w:p>
        </w:tc>
        <w:tc>
          <w:tcPr>
            <w:tcW w:w="7337" w:type="dxa"/>
            <w:vAlign w:val="center"/>
          </w:tcPr>
          <w:p w14:paraId="5D55B6A5">
            <w:pPr>
              <w:autoSpaceDE w:val="0"/>
              <w:autoSpaceDN w:val="0"/>
              <w:jc w:val="center"/>
              <w:rPr>
                <w:rFonts w:hint="eastAsia" w:ascii="宋体" w:hAnsi="宋体" w:eastAsia="宋体" w:cs="宋体"/>
                <w:color w:val="auto"/>
                <w:sz w:val="22"/>
                <w:szCs w:val="22"/>
                <w:highlight w:val="none"/>
              </w:rPr>
            </w:pPr>
          </w:p>
        </w:tc>
      </w:tr>
      <w:tr w14:paraId="4B6AC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467F605C">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服务费</w:t>
            </w:r>
          </w:p>
        </w:tc>
        <w:tc>
          <w:tcPr>
            <w:tcW w:w="7337" w:type="dxa"/>
            <w:vAlign w:val="center"/>
          </w:tcPr>
          <w:p w14:paraId="2D874DF8">
            <w:pPr>
              <w:autoSpaceDE w:val="0"/>
              <w:autoSpaceDN w:val="0"/>
              <w:jc w:val="center"/>
              <w:rPr>
                <w:rFonts w:hint="eastAsia" w:ascii="宋体" w:hAnsi="宋体" w:eastAsia="宋体" w:cs="宋体"/>
                <w:color w:val="auto"/>
                <w:sz w:val="22"/>
                <w:szCs w:val="22"/>
                <w:highlight w:val="none"/>
              </w:rPr>
            </w:pPr>
          </w:p>
        </w:tc>
      </w:tr>
      <w:tr w14:paraId="76BDB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39" w:type="dxa"/>
            <w:vAlign w:val="center"/>
          </w:tcPr>
          <w:p w14:paraId="68C58873">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服务期限</w:t>
            </w:r>
          </w:p>
        </w:tc>
        <w:tc>
          <w:tcPr>
            <w:tcW w:w="7337" w:type="dxa"/>
            <w:vAlign w:val="center"/>
          </w:tcPr>
          <w:p w14:paraId="26813F66">
            <w:pPr>
              <w:autoSpaceDE w:val="0"/>
              <w:autoSpaceDN w:val="0"/>
              <w:jc w:val="center"/>
              <w:rPr>
                <w:rFonts w:hint="eastAsia" w:ascii="宋体" w:hAnsi="宋体" w:eastAsia="宋体" w:cs="宋体"/>
                <w:color w:val="auto"/>
                <w:sz w:val="22"/>
                <w:szCs w:val="22"/>
                <w:highlight w:val="none"/>
              </w:rPr>
            </w:pPr>
          </w:p>
        </w:tc>
      </w:tr>
      <w:tr w14:paraId="26F3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9" w:type="dxa"/>
            <w:vAlign w:val="center"/>
          </w:tcPr>
          <w:p w14:paraId="5E8B0C67">
            <w:pPr>
              <w:pStyle w:val="71"/>
              <w:autoSpaceDE w:val="0"/>
              <w:autoSpaceDN w:val="0"/>
              <w:rPr>
                <w:rFonts w:hint="eastAsia" w:ascii="宋体" w:hAnsi="宋体" w:eastAsia="宋体" w:cs="宋体"/>
                <w:color w:val="auto"/>
                <w:sz w:val="22"/>
                <w:szCs w:val="22"/>
                <w:highlight w:val="none"/>
              </w:rPr>
            </w:pPr>
            <w:r>
              <w:rPr>
                <w:rFonts w:hint="eastAsia"/>
                <w:color w:val="auto"/>
                <w:sz w:val="22"/>
                <w:szCs w:val="22"/>
                <w:highlight w:val="none"/>
                <w:lang w:val="en-US" w:eastAsia="zh-CN"/>
              </w:rPr>
              <w:t>服务内容</w:t>
            </w:r>
          </w:p>
        </w:tc>
        <w:tc>
          <w:tcPr>
            <w:tcW w:w="7337" w:type="dxa"/>
            <w:vAlign w:val="center"/>
          </w:tcPr>
          <w:p w14:paraId="1FB88A9F">
            <w:pPr>
              <w:autoSpaceDE w:val="0"/>
              <w:autoSpaceDN w:val="0"/>
              <w:jc w:val="center"/>
              <w:rPr>
                <w:rFonts w:hint="eastAsia" w:ascii="宋体" w:hAnsi="宋体" w:eastAsia="宋体" w:cs="宋体"/>
                <w:color w:val="auto"/>
                <w:sz w:val="22"/>
                <w:szCs w:val="22"/>
                <w:highlight w:val="none"/>
              </w:rPr>
            </w:pPr>
          </w:p>
        </w:tc>
      </w:tr>
      <w:tr w14:paraId="355DF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139" w:type="dxa"/>
            <w:vAlign w:val="center"/>
          </w:tcPr>
          <w:p w14:paraId="41E6CB61">
            <w:pPr>
              <w:topLinePunct/>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中心试验室主任</w:t>
            </w:r>
          </w:p>
        </w:tc>
        <w:tc>
          <w:tcPr>
            <w:tcW w:w="7337" w:type="dxa"/>
            <w:vAlign w:val="center"/>
          </w:tcPr>
          <w:p w14:paraId="1084C957">
            <w:pPr>
              <w:autoSpaceDE w:val="0"/>
              <w:autoSpaceDN w:val="0"/>
              <w:jc w:val="center"/>
              <w:rPr>
                <w:rFonts w:hint="eastAsia" w:ascii="宋体" w:hAnsi="宋体" w:eastAsia="宋体" w:cs="宋体"/>
                <w:color w:val="auto"/>
                <w:sz w:val="22"/>
                <w:szCs w:val="22"/>
                <w:highlight w:val="none"/>
              </w:rPr>
            </w:pPr>
          </w:p>
        </w:tc>
      </w:tr>
      <w:tr w14:paraId="268DA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139" w:type="dxa"/>
            <w:vAlign w:val="center"/>
          </w:tcPr>
          <w:p w14:paraId="0B795590">
            <w:pPr>
              <w:topLinePunct/>
              <w:autoSpaceDE w:val="0"/>
              <w:autoSpaceDN w:val="0"/>
              <w:jc w:val="center"/>
              <w:rPr>
                <w:rFonts w:hint="eastAsia" w:ascii="宋体" w:hAnsi="宋体" w:eastAsia="宋体" w:cs="宋体"/>
                <w:color w:val="auto"/>
                <w:sz w:val="22"/>
                <w:szCs w:val="22"/>
                <w:highlight w:val="none"/>
              </w:rPr>
            </w:pPr>
            <w:r>
              <w:rPr>
                <w:rFonts w:hint="eastAsia"/>
                <w:color w:val="auto"/>
                <w:sz w:val="22"/>
                <w:szCs w:val="22"/>
                <w:highlight w:val="none"/>
                <w:lang w:val="en-US" w:eastAsia="zh-CN"/>
              </w:rPr>
              <w:t>项目描述</w:t>
            </w:r>
          </w:p>
        </w:tc>
        <w:tc>
          <w:tcPr>
            <w:tcW w:w="7337" w:type="dxa"/>
            <w:vAlign w:val="center"/>
          </w:tcPr>
          <w:p w14:paraId="55175A88">
            <w:pPr>
              <w:autoSpaceDE w:val="0"/>
              <w:autoSpaceDN w:val="0"/>
              <w:jc w:val="center"/>
              <w:rPr>
                <w:rFonts w:hint="eastAsia" w:ascii="宋体" w:hAnsi="宋体" w:eastAsia="宋体" w:cs="宋体"/>
                <w:color w:val="auto"/>
                <w:sz w:val="22"/>
                <w:szCs w:val="22"/>
                <w:highlight w:val="none"/>
              </w:rPr>
            </w:pPr>
          </w:p>
        </w:tc>
      </w:tr>
      <w:tr w14:paraId="62149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2139" w:type="dxa"/>
            <w:vAlign w:val="center"/>
          </w:tcPr>
          <w:p w14:paraId="06E00651">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c>
          <w:tcPr>
            <w:tcW w:w="7337" w:type="dxa"/>
            <w:vAlign w:val="center"/>
          </w:tcPr>
          <w:p w14:paraId="2F28C9E5">
            <w:pPr>
              <w:autoSpaceDE w:val="0"/>
              <w:autoSpaceDN w:val="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□资格审查用业绩      □商务文件评分用业绩</w:t>
            </w:r>
          </w:p>
        </w:tc>
      </w:tr>
    </w:tbl>
    <w:p w14:paraId="701E3221">
      <w:pPr>
        <w:spacing w:line="360" w:lineRule="auto"/>
        <w:jc w:val="center"/>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注： 投标人应根据招标文件第二章投标人须知</w:t>
      </w:r>
      <w:r>
        <w:rPr>
          <w:rFonts w:hint="eastAsia" w:ascii="宋体" w:hAnsi="宋体" w:cs="宋体"/>
          <w:b/>
          <w:bCs/>
          <w:color w:val="auto"/>
          <w:sz w:val="22"/>
          <w:szCs w:val="22"/>
          <w:highlight w:val="none"/>
          <w:lang w:val="en-US" w:eastAsia="zh-CN"/>
        </w:rPr>
        <w:t>前附表</w:t>
      </w:r>
      <w:r>
        <w:rPr>
          <w:rFonts w:hint="eastAsia" w:ascii="宋体" w:hAnsi="宋体" w:eastAsia="宋体" w:cs="宋体"/>
          <w:b/>
          <w:bCs/>
          <w:color w:val="auto"/>
          <w:sz w:val="22"/>
          <w:szCs w:val="22"/>
          <w:highlight w:val="none"/>
        </w:rPr>
        <w:t>第3.5.</w:t>
      </w:r>
      <w:r>
        <w:rPr>
          <w:rFonts w:hint="eastAsia" w:ascii="宋体" w:hAnsi="宋体" w:cs="宋体"/>
          <w:b/>
          <w:bCs/>
          <w:color w:val="auto"/>
          <w:sz w:val="22"/>
          <w:szCs w:val="22"/>
          <w:highlight w:val="none"/>
          <w:lang w:val="en-US" w:eastAsia="zh-CN"/>
        </w:rPr>
        <w:t>2</w:t>
      </w:r>
      <w:r>
        <w:rPr>
          <w:rFonts w:hint="eastAsia" w:ascii="宋体" w:hAnsi="宋体" w:eastAsia="宋体" w:cs="宋体"/>
          <w:b/>
          <w:bCs/>
          <w:color w:val="auto"/>
          <w:sz w:val="22"/>
          <w:szCs w:val="22"/>
          <w:highlight w:val="none"/>
        </w:rPr>
        <w:t>项的要求在本表后附相关证明材料。</w:t>
      </w:r>
    </w:p>
    <w:p w14:paraId="3400AED3">
      <w:pPr>
        <w:spacing w:line="360" w:lineRule="auto"/>
        <w:jc w:val="center"/>
        <w:rPr>
          <w:rFonts w:eastAsia="黑体"/>
          <w:b/>
          <w:bCs/>
          <w:color w:val="auto"/>
          <w:sz w:val="32"/>
          <w:szCs w:val="32"/>
          <w:highlight w:val="none"/>
        </w:rPr>
      </w:pPr>
    </w:p>
    <w:p w14:paraId="58301A0D">
      <w:pPr>
        <w:spacing w:line="360" w:lineRule="auto"/>
        <w:jc w:val="center"/>
        <w:rPr>
          <w:rFonts w:eastAsia="黑体"/>
          <w:b/>
          <w:bCs/>
          <w:color w:val="auto"/>
          <w:sz w:val="32"/>
          <w:szCs w:val="32"/>
          <w:highlight w:val="none"/>
        </w:rPr>
      </w:pPr>
    </w:p>
    <w:p w14:paraId="0191BE2B">
      <w:pPr>
        <w:spacing w:line="360" w:lineRule="auto"/>
        <w:jc w:val="center"/>
        <w:rPr>
          <w:rFonts w:eastAsia="黑体"/>
          <w:b/>
          <w:bCs/>
          <w:color w:val="auto"/>
          <w:sz w:val="32"/>
          <w:szCs w:val="32"/>
          <w:highlight w:val="none"/>
        </w:rPr>
      </w:pPr>
    </w:p>
    <w:p w14:paraId="076ED8BD">
      <w:pPr>
        <w:spacing w:line="360" w:lineRule="auto"/>
        <w:jc w:val="center"/>
        <w:rPr>
          <w:rFonts w:eastAsia="黑体"/>
          <w:b/>
          <w:bCs/>
          <w:color w:val="auto"/>
          <w:sz w:val="32"/>
          <w:szCs w:val="32"/>
          <w:highlight w:val="none"/>
        </w:rPr>
      </w:pPr>
    </w:p>
    <w:p w14:paraId="075CA51E">
      <w:pPr>
        <w:pStyle w:val="74"/>
        <w:rPr>
          <w:rFonts w:eastAsia="黑体"/>
          <w:b/>
          <w:bCs/>
          <w:color w:val="auto"/>
          <w:sz w:val="32"/>
          <w:szCs w:val="32"/>
          <w:highlight w:val="none"/>
        </w:rPr>
      </w:pPr>
    </w:p>
    <w:p w14:paraId="7A5B0FFF">
      <w:pPr>
        <w:rPr>
          <w:color w:val="auto"/>
          <w:highlight w:val="none"/>
        </w:rPr>
      </w:pPr>
    </w:p>
    <w:p w14:paraId="044D386E">
      <w:pPr>
        <w:spacing w:line="360" w:lineRule="auto"/>
        <w:jc w:val="center"/>
        <w:rPr>
          <w:rFonts w:eastAsia="黑体"/>
          <w:b/>
          <w:bCs/>
          <w:color w:val="auto"/>
          <w:sz w:val="32"/>
          <w:szCs w:val="32"/>
          <w:highlight w:val="none"/>
        </w:rPr>
      </w:pPr>
    </w:p>
    <w:p w14:paraId="3806A55A">
      <w:pPr>
        <w:spacing w:line="360" w:lineRule="auto"/>
        <w:jc w:val="center"/>
        <w:rPr>
          <w:rFonts w:eastAsia="黑体"/>
          <w:b/>
          <w:bCs/>
          <w:color w:val="auto"/>
          <w:sz w:val="32"/>
          <w:szCs w:val="32"/>
          <w:highlight w:val="none"/>
        </w:rPr>
      </w:pPr>
    </w:p>
    <w:p w14:paraId="02281C88">
      <w:pPr>
        <w:pStyle w:val="74"/>
        <w:rPr>
          <w:rFonts w:eastAsia="黑体"/>
          <w:b/>
          <w:bCs/>
          <w:color w:val="auto"/>
          <w:sz w:val="32"/>
          <w:szCs w:val="32"/>
          <w:highlight w:val="none"/>
        </w:rPr>
      </w:pPr>
    </w:p>
    <w:p w14:paraId="331F2973">
      <w:pPr>
        <w:rPr>
          <w:color w:val="auto"/>
          <w:highlight w:val="none"/>
        </w:rPr>
      </w:pPr>
    </w:p>
    <w:p w14:paraId="2DC73B52">
      <w:pPr>
        <w:spacing w:line="360" w:lineRule="auto"/>
        <w:jc w:val="center"/>
        <w:rPr>
          <w:rFonts w:hint="eastAsia" w:eastAsia="黑体"/>
          <w:b/>
          <w:bCs/>
          <w:color w:val="auto"/>
          <w:sz w:val="28"/>
          <w:szCs w:val="21"/>
          <w:highlight w:val="none"/>
          <w:lang w:val="en-US" w:eastAsia="zh-CN"/>
        </w:rPr>
      </w:pPr>
      <w:r>
        <w:rPr>
          <w:rFonts w:hint="eastAsia" w:eastAsia="黑体"/>
          <w:b/>
          <w:bCs/>
          <w:color w:val="auto"/>
          <w:sz w:val="28"/>
          <w:szCs w:val="21"/>
          <w:highlight w:val="none"/>
          <w:lang w:val="en-US" w:eastAsia="zh-CN"/>
        </w:rPr>
        <w:t>五、技术建议书</w:t>
      </w:r>
    </w:p>
    <w:p w14:paraId="5DBFBD9C">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试验检测工作大纲 </w:t>
      </w:r>
    </w:p>
    <w:p w14:paraId="70ABB5BD">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试验检测工作大纲应包括以下内容： </w:t>
      </w:r>
    </w:p>
    <w:p w14:paraId="6BDC0F76">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1、对本项目试验检测工作的理解，试验工作的指导思想和主要工作目标。 </w:t>
      </w:r>
    </w:p>
    <w:p w14:paraId="798ADCC0">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2、试验检测工作组织机构(包括人员配备框图、岗位职责等)。 </w:t>
      </w:r>
    </w:p>
    <w:p w14:paraId="17E1C07C">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3、试验检测工作、试验检测设施、设备配备及管理。 </w:t>
      </w:r>
    </w:p>
    <w:p w14:paraId="01CCFE21">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4、试验检测工作程序：包括试验检测工作程序和制度、试验检测机构自身的管理制度(含人员到位、出勤、考核、奖惩、廉洁)等。 </w:t>
      </w:r>
    </w:p>
    <w:p w14:paraId="3052ADC7">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5、对本项目试验检测工作重点、难点的分析以及检测机构的措施(对安全、环保、质量、文明形象等措施)。 </w:t>
      </w:r>
    </w:p>
    <w:p w14:paraId="3D2CFDAA">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6、对本项目的建议：为更好地完成本工程的试验检测工作，试验检测单位可根据以往的经验，对本工程试验检测工作提出建议。 </w:t>
      </w:r>
    </w:p>
    <w:p w14:paraId="45DCD1EE">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当合同授予后，中标人将对全部工程施工试验检测工作负完全责任。为此，投标人的建议书将作为重要考核依据之一，应重点叙述机构组成、试验检测设备配置、人员安排(拟派驻的关键人员的素质情况等)、工作计划、工作目标、试验检测方法和手段、实施细则、措施计划等。</w:t>
      </w:r>
    </w:p>
    <w:p w14:paraId="2DF77284">
      <w:pPr>
        <w:spacing w:line="360" w:lineRule="auto"/>
        <w:jc w:val="left"/>
        <w:rPr>
          <w:rFonts w:hint="eastAsia" w:ascii="宋体" w:hAnsi="宋体" w:eastAsia="宋体" w:cs="宋体"/>
          <w:b w:val="0"/>
          <w:bCs w:val="0"/>
          <w:color w:val="auto"/>
          <w:sz w:val="22"/>
          <w:szCs w:val="22"/>
          <w:highlight w:val="none"/>
          <w:lang w:val="en-US" w:eastAsia="zh-CN"/>
        </w:rPr>
      </w:pPr>
    </w:p>
    <w:p w14:paraId="5CD31731">
      <w:pPr>
        <w:spacing w:line="360" w:lineRule="auto"/>
        <w:jc w:val="center"/>
        <w:rPr>
          <w:rFonts w:eastAsia="黑体"/>
          <w:b/>
          <w:bCs/>
          <w:color w:val="auto"/>
          <w:sz w:val="36"/>
          <w:szCs w:val="36"/>
          <w:highlight w:val="none"/>
        </w:rPr>
      </w:pPr>
      <w:r>
        <w:rPr>
          <w:rFonts w:hint="eastAsia" w:eastAsia="黑体"/>
          <w:b/>
          <w:bCs/>
          <w:color w:val="auto"/>
          <w:sz w:val="28"/>
          <w:szCs w:val="21"/>
          <w:highlight w:val="none"/>
          <w:lang w:val="en-US" w:eastAsia="zh-CN"/>
        </w:rPr>
        <w:t>六、其他材料</w:t>
      </w:r>
    </w:p>
    <w:p w14:paraId="2F3C1BB4">
      <w:pPr>
        <w:shd w:val="clear" w:color="auto" w:fill="FFFFFF"/>
        <w:spacing w:line="360" w:lineRule="auto"/>
        <w:ind w:firstLine="0" w:firstLineChars="0"/>
        <w:jc w:val="both"/>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投标人对照资格审查条件，自行提供其他相关资料（如有）</w:t>
      </w:r>
    </w:p>
    <w:p w14:paraId="2429147B">
      <w:pPr>
        <w:shd w:val="clear" w:color="auto" w:fill="FFFFFF"/>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注：对照资格审查条件， 由投标人自行提供相关证明。如证明或声明与实际不符，将被取消投标或中标资格，其投标保证金按规定予以处理。</w:t>
      </w:r>
    </w:p>
    <w:p w14:paraId="0EBFBFDE">
      <w:pPr>
        <w:spacing w:line="360" w:lineRule="auto"/>
        <w:rPr>
          <w:rFonts w:eastAsia="黑体"/>
          <w:b/>
          <w:bCs/>
          <w:color w:val="auto"/>
          <w:sz w:val="36"/>
          <w:szCs w:val="36"/>
          <w:highlight w:val="none"/>
        </w:rPr>
      </w:pPr>
    </w:p>
    <w:p w14:paraId="0DC50110">
      <w:pPr>
        <w:pStyle w:val="95"/>
        <w:rPr>
          <w:rFonts w:eastAsia="黑体"/>
          <w:b/>
          <w:bCs/>
          <w:color w:val="auto"/>
          <w:sz w:val="36"/>
          <w:szCs w:val="36"/>
          <w:highlight w:val="none"/>
        </w:rPr>
      </w:pPr>
    </w:p>
    <w:p w14:paraId="4DD240CC">
      <w:pPr>
        <w:pStyle w:val="95"/>
        <w:rPr>
          <w:rFonts w:eastAsia="黑体"/>
          <w:b/>
          <w:bCs/>
          <w:color w:val="auto"/>
          <w:sz w:val="36"/>
          <w:szCs w:val="36"/>
          <w:highlight w:val="none"/>
        </w:rPr>
      </w:pPr>
    </w:p>
    <w:p w14:paraId="157217B5">
      <w:pPr>
        <w:pStyle w:val="95"/>
        <w:rPr>
          <w:rFonts w:eastAsia="黑体"/>
          <w:b/>
          <w:bCs/>
          <w:color w:val="auto"/>
          <w:sz w:val="36"/>
          <w:szCs w:val="36"/>
          <w:highlight w:val="none"/>
        </w:rPr>
      </w:pPr>
    </w:p>
    <w:p w14:paraId="78983E10">
      <w:pPr>
        <w:pStyle w:val="95"/>
        <w:rPr>
          <w:rFonts w:eastAsia="黑体"/>
          <w:b/>
          <w:bCs/>
          <w:color w:val="auto"/>
          <w:sz w:val="36"/>
          <w:szCs w:val="36"/>
          <w:highlight w:val="none"/>
        </w:rPr>
      </w:pPr>
    </w:p>
    <w:p w14:paraId="2B1DA0F6">
      <w:pPr>
        <w:pStyle w:val="95"/>
        <w:rPr>
          <w:rFonts w:eastAsia="黑体"/>
          <w:b/>
          <w:bCs/>
          <w:color w:val="auto"/>
          <w:sz w:val="36"/>
          <w:szCs w:val="36"/>
          <w:highlight w:val="none"/>
        </w:rPr>
      </w:pPr>
    </w:p>
    <w:p w14:paraId="30A37EF3">
      <w:pPr>
        <w:pStyle w:val="95"/>
        <w:rPr>
          <w:rFonts w:eastAsia="黑体"/>
          <w:b/>
          <w:bCs/>
          <w:color w:val="auto"/>
          <w:sz w:val="36"/>
          <w:szCs w:val="36"/>
          <w:highlight w:val="none"/>
        </w:rPr>
      </w:pPr>
    </w:p>
    <w:p w14:paraId="307370E9">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14:paraId="316E31A6">
      <w:pPr>
        <w:pStyle w:val="74"/>
        <w:rPr>
          <w:rFonts w:hint="eastAsia" w:ascii="宋体" w:hAnsi="宋体" w:eastAsia="宋体" w:cs="宋体"/>
          <w:color w:val="auto"/>
          <w:sz w:val="21"/>
          <w:szCs w:val="21"/>
          <w:highlight w:val="none"/>
          <w:u w:val="single" w:color="auto"/>
        </w:rPr>
      </w:pPr>
    </w:p>
    <w:p w14:paraId="1BA18D93">
      <w:pPr>
        <w:rPr>
          <w:rFonts w:hint="eastAsia" w:ascii="宋体" w:hAnsi="宋体" w:eastAsia="宋体" w:cs="宋体"/>
          <w:color w:val="auto"/>
          <w:sz w:val="21"/>
          <w:szCs w:val="21"/>
          <w:highlight w:val="none"/>
          <w:u w:val="single" w:color="auto"/>
        </w:rPr>
      </w:pPr>
    </w:p>
    <w:p w14:paraId="23D4F5F3">
      <w:pPr>
        <w:tabs>
          <w:tab w:val="left" w:pos="3196"/>
        </w:tabs>
        <w:spacing w:before="88" w:line="480" w:lineRule="auto"/>
        <w:ind w:firstLine="965"/>
        <w:rPr>
          <w:rFonts w:hint="eastAsia" w:ascii="宋体" w:hAnsi="宋体" w:eastAsia="宋体" w:cs="宋体"/>
          <w:color w:val="auto"/>
          <w:sz w:val="21"/>
          <w:szCs w:val="21"/>
          <w:highlight w:val="none"/>
          <w:u w:val="single" w:color="auto"/>
        </w:rPr>
      </w:pPr>
    </w:p>
    <w:p w14:paraId="00724817">
      <w:pPr>
        <w:tabs>
          <w:tab w:val="left" w:pos="3196"/>
        </w:tabs>
        <w:spacing w:before="88" w:line="480" w:lineRule="auto"/>
        <w:ind w:firstLine="965"/>
        <w:rPr>
          <w:rFonts w:hint="eastAsia" w:ascii="宋体" w:hAnsi="宋体" w:eastAsia="宋体" w:cs="宋体"/>
          <w:color w:val="auto"/>
          <w:sz w:val="27"/>
          <w:szCs w:val="27"/>
          <w:highlight w:val="none"/>
        </w:rPr>
      </w:pPr>
      <w:r>
        <w:rPr>
          <w:rFonts w:hint="eastAsia" w:ascii="宋体" w:hAnsi="宋体" w:eastAsia="宋体" w:cs="宋体"/>
          <w:color w:val="auto"/>
          <w:sz w:val="21"/>
          <w:szCs w:val="21"/>
          <w:highlight w:val="none"/>
          <w:u w:val="single" w:color="auto"/>
        </w:rPr>
        <w:tab/>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pacing w:val="-19"/>
          <w:sz w:val="27"/>
          <w:szCs w:val="27"/>
          <w:highlight w:val="none"/>
        </w:rPr>
        <w:t>（招标项目名称）</w:t>
      </w:r>
    </w:p>
    <w:p w14:paraId="2FC20DCC">
      <w:pPr>
        <w:spacing w:line="476" w:lineRule="auto"/>
        <w:rPr>
          <w:rFonts w:hint="eastAsia" w:ascii="宋体" w:hAnsi="宋体" w:eastAsia="宋体" w:cs="宋体"/>
          <w:color w:val="auto"/>
          <w:sz w:val="21"/>
          <w:highlight w:val="none"/>
        </w:rPr>
      </w:pPr>
    </w:p>
    <w:p w14:paraId="0827B076">
      <w:pPr>
        <w:spacing w:before="146" w:line="183" w:lineRule="auto"/>
        <w:ind w:firstLine="0"/>
        <w:jc w:val="center"/>
        <w:outlineLvl w:val="1"/>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pPr>
      <w:bookmarkStart w:id="266" w:name="_Toc31014"/>
      <w:r>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t>投标文件</w:t>
      </w:r>
      <w:bookmarkEnd w:id="266"/>
    </w:p>
    <w:p w14:paraId="77DC4093">
      <w:pPr>
        <w:spacing w:before="146" w:line="183" w:lineRule="auto"/>
        <w:ind w:firstLine="0"/>
        <w:jc w:val="center"/>
        <w:outlineLvl w:val="1"/>
        <w:rPr>
          <w:rFonts w:hint="eastAsia" w:ascii="宋体" w:hAnsi="宋体" w:eastAsia="宋体" w:cs="宋体"/>
          <w:color w:val="auto"/>
          <w:spacing w:val="2"/>
          <w:sz w:val="45"/>
          <w:szCs w:val="45"/>
          <w:highlight w:val="none"/>
          <w14:textOutline w14:w="8106" w14:cap="flat" w14:cmpd="sng">
            <w14:solidFill>
              <w14:srgbClr w14:val="000000"/>
            </w14:solidFill>
            <w14:prstDash w14:val="solid"/>
            <w14:miter w14:val="0"/>
          </w14:textOutline>
        </w:rPr>
      </w:pPr>
    </w:p>
    <w:p w14:paraId="69BD8544">
      <w:pPr>
        <w:keepNext w:val="0"/>
        <w:keepLines w:val="0"/>
        <w:widowControl/>
        <w:suppressLineNumbers w:val="0"/>
        <w:jc w:val="center"/>
        <w:rPr>
          <w:color w:val="auto"/>
          <w:highlight w:val="none"/>
        </w:rPr>
      </w:pPr>
      <w:r>
        <w:rPr>
          <w:rFonts w:ascii="黑体" w:hAnsi="宋体" w:eastAsia="黑体" w:cs="黑体"/>
          <w:color w:val="auto"/>
          <w:kern w:val="0"/>
          <w:sz w:val="30"/>
          <w:szCs w:val="30"/>
          <w:highlight w:val="none"/>
          <w:lang w:val="en-US" w:eastAsia="zh-CN" w:bidi="ar"/>
        </w:rPr>
        <w:t>第二个信封 报价文件</w:t>
      </w:r>
    </w:p>
    <w:p w14:paraId="479D3C7B">
      <w:pPr>
        <w:spacing w:line="242" w:lineRule="auto"/>
        <w:rPr>
          <w:rFonts w:hint="eastAsia" w:ascii="宋体" w:hAnsi="宋体" w:eastAsia="宋体" w:cs="宋体"/>
          <w:color w:val="auto"/>
          <w:sz w:val="21"/>
          <w:highlight w:val="none"/>
        </w:rPr>
      </w:pPr>
    </w:p>
    <w:p w14:paraId="073026BB">
      <w:pPr>
        <w:spacing w:line="242" w:lineRule="auto"/>
        <w:rPr>
          <w:rFonts w:hint="eastAsia" w:ascii="宋体" w:hAnsi="宋体" w:eastAsia="宋体" w:cs="宋体"/>
          <w:color w:val="auto"/>
          <w:sz w:val="21"/>
          <w:highlight w:val="none"/>
        </w:rPr>
      </w:pPr>
    </w:p>
    <w:p w14:paraId="6801C153">
      <w:pPr>
        <w:spacing w:line="242" w:lineRule="auto"/>
        <w:rPr>
          <w:rFonts w:hint="eastAsia" w:ascii="宋体" w:hAnsi="宋体" w:eastAsia="宋体" w:cs="宋体"/>
          <w:color w:val="auto"/>
          <w:sz w:val="21"/>
          <w:highlight w:val="none"/>
        </w:rPr>
      </w:pPr>
    </w:p>
    <w:p w14:paraId="303A85B1">
      <w:pPr>
        <w:spacing w:line="242" w:lineRule="auto"/>
        <w:rPr>
          <w:rFonts w:hint="eastAsia" w:ascii="宋体" w:hAnsi="宋体" w:eastAsia="宋体" w:cs="宋体"/>
          <w:color w:val="auto"/>
          <w:sz w:val="21"/>
          <w:highlight w:val="none"/>
        </w:rPr>
      </w:pPr>
    </w:p>
    <w:p w14:paraId="46A46530">
      <w:pPr>
        <w:spacing w:line="242" w:lineRule="auto"/>
        <w:rPr>
          <w:rFonts w:hint="eastAsia" w:ascii="宋体" w:hAnsi="宋体" w:eastAsia="宋体" w:cs="宋体"/>
          <w:color w:val="auto"/>
          <w:sz w:val="21"/>
          <w:highlight w:val="none"/>
        </w:rPr>
      </w:pPr>
    </w:p>
    <w:p w14:paraId="717456AA">
      <w:pPr>
        <w:spacing w:line="242" w:lineRule="auto"/>
        <w:rPr>
          <w:rFonts w:hint="eastAsia" w:ascii="宋体" w:hAnsi="宋体" w:eastAsia="宋体" w:cs="宋体"/>
          <w:color w:val="auto"/>
          <w:sz w:val="21"/>
          <w:highlight w:val="none"/>
        </w:rPr>
      </w:pPr>
    </w:p>
    <w:p w14:paraId="27A2B478">
      <w:pPr>
        <w:spacing w:line="242" w:lineRule="auto"/>
        <w:rPr>
          <w:rFonts w:hint="eastAsia" w:ascii="宋体" w:hAnsi="宋体" w:eastAsia="宋体" w:cs="宋体"/>
          <w:color w:val="auto"/>
          <w:sz w:val="21"/>
          <w:highlight w:val="none"/>
        </w:rPr>
      </w:pPr>
    </w:p>
    <w:p w14:paraId="41C8DE6F">
      <w:pPr>
        <w:spacing w:line="242" w:lineRule="auto"/>
        <w:rPr>
          <w:rFonts w:hint="eastAsia" w:ascii="宋体" w:hAnsi="宋体" w:eastAsia="宋体" w:cs="宋体"/>
          <w:color w:val="auto"/>
          <w:sz w:val="21"/>
          <w:highlight w:val="none"/>
        </w:rPr>
      </w:pPr>
    </w:p>
    <w:p w14:paraId="6AED14A9">
      <w:pPr>
        <w:spacing w:line="242" w:lineRule="auto"/>
        <w:rPr>
          <w:rFonts w:hint="eastAsia" w:ascii="宋体" w:hAnsi="宋体" w:eastAsia="宋体" w:cs="宋体"/>
          <w:color w:val="auto"/>
          <w:sz w:val="21"/>
          <w:highlight w:val="none"/>
        </w:rPr>
      </w:pPr>
    </w:p>
    <w:p w14:paraId="1DB8FF1F">
      <w:pPr>
        <w:spacing w:line="242" w:lineRule="auto"/>
        <w:rPr>
          <w:rFonts w:hint="eastAsia" w:ascii="宋体" w:hAnsi="宋体" w:eastAsia="宋体" w:cs="宋体"/>
          <w:color w:val="auto"/>
          <w:sz w:val="21"/>
          <w:highlight w:val="none"/>
        </w:rPr>
      </w:pPr>
    </w:p>
    <w:p w14:paraId="6F9EF781">
      <w:pPr>
        <w:spacing w:line="243" w:lineRule="auto"/>
        <w:rPr>
          <w:rFonts w:hint="eastAsia" w:ascii="宋体" w:hAnsi="宋体" w:eastAsia="宋体" w:cs="宋体"/>
          <w:color w:val="auto"/>
          <w:sz w:val="21"/>
          <w:highlight w:val="none"/>
        </w:rPr>
      </w:pPr>
    </w:p>
    <w:p w14:paraId="2690176F">
      <w:pPr>
        <w:spacing w:line="243" w:lineRule="auto"/>
        <w:rPr>
          <w:rFonts w:hint="eastAsia" w:ascii="宋体" w:hAnsi="宋体" w:eastAsia="宋体" w:cs="宋体"/>
          <w:color w:val="auto"/>
          <w:sz w:val="21"/>
          <w:highlight w:val="none"/>
        </w:rPr>
      </w:pPr>
    </w:p>
    <w:p w14:paraId="17F6721B">
      <w:pPr>
        <w:spacing w:line="243" w:lineRule="auto"/>
        <w:rPr>
          <w:rFonts w:hint="eastAsia" w:ascii="宋体" w:hAnsi="宋体" w:eastAsia="宋体" w:cs="宋体"/>
          <w:color w:val="auto"/>
          <w:sz w:val="21"/>
          <w:highlight w:val="none"/>
        </w:rPr>
      </w:pPr>
    </w:p>
    <w:p w14:paraId="2C78D7CF">
      <w:pPr>
        <w:spacing w:line="243" w:lineRule="auto"/>
        <w:rPr>
          <w:rFonts w:hint="eastAsia" w:ascii="宋体" w:hAnsi="宋体" w:eastAsia="宋体" w:cs="宋体"/>
          <w:color w:val="auto"/>
          <w:sz w:val="21"/>
          <w:highlight w:val="none"/>
        </w:rPr>
      </w:pPr>
    </w:p>
    <w:p w14:paraId="36F569F3">
      <w:pPr>
        <w:spacing w:line="243" w:lineRule="auto"/>
        <w:rPr>
          <w:rFonts w:hint="eastAsia" w:ascii="宋体" w:hAnsi="宋体" w:eastAsia="宋体" w:cs="宋体"/>
          <w:color w:val="auto"/>
          <w:sz w:val="21"/>
          <w:highlight w:val="none"/>
        </w:rPr>
      </w:pPr>
    </w:p>
    <w:p w14:paraId="1821C204">
      <w:pPr>
        <w:spacing w:line="243" w:lineRule="auto"/>
        <w:rPr>
          <w:rFonts w:hint="eastAsia" w:ascii="宋体" w:hAnsi="宋体" w:eastAsia="宋体" w:cs="宋体"/>
          <w:color w:val="auto"/>
          <w:sz w:val="21"/>
          <w:highlight w:val="none"/>
        </w:rPr>
      </w:pPr>
    </w:p>
    <w:p w14:paraId="11BAB0A1">
      <w:pPr>
        <w:spacing w:line="243" w:lineRule="auto"/>
        <w:rPr>
          <w:rFonts w:hint="eastAsia" w:ascii="宋体" w:hAnsi="宋体" w:eastAsia="宋体" w:cs="宋体"/>
          <w:color w:val="auto"/>
          <w:sz w:val="21"/>
          <w:highlight w:val="none"/>
        </w:rPr>
      </w:pPr>
    </w:p>
    <w:p w14:paraId="5DB22DBC">
      <w:pPr>
        <w:spacing w:line="243" w:lineRule="auto"/>
        <w:rPr>
          <w:rFonts w:hint="eastAsia" w:ascii="宋体" w:hAnsi="宋体" w:eastAsia="宋体" w:cs="宋体"/>
          <w:color w:val="auto"/>
          <w:sz w:val="21"/>
          <w:highlight w:val="none"/>
        </w:rPr>
      </w:pPr>
    </w:p>
    <w:p w14:paraId="43E1DF12">
      <w:pPr>
        <w:tabs>
          <w:tab w:val="left" w:pos="3327"/>
        </w:tabs>
        <w:spacing w:before="88" w:line="480" w:lineRule="auto"/>
        <w:ind w:left="2018" w:right="797" w:hanging="1240"/>
        <w:jc w:val="center"/>
        <w:rPr>
          <w:rFonts w:hint="eastAsia" w:ascii="宋体" w:hAnsi="宋体" w:eastAsia="宋体" w:cs="宋体"/>
          <w:color w:val="auto"/>
          <w:spacing w:val="33"/>
          <w:sz w:val="27"/>
          <w:szCs w:val="27"/>
          <w:highlight w:val="none"/>
        </w:rPr>
      </w:pPr>
      <w:r>
        <w:rPr>
          <w:rFonts w:hint="eastAsia" w:ascii="宋体" w:hAnsi="宋体" w:eastAsia="宋体" w:cs="宋体"/>
          <w:color w:val="auto"/>
          <w:spacing w:val="-26"/>
          <w:w w:val="97"/>
          <w:sz w:val="27"/>
          <w:szCs w:val="27"/>
          <w:highlight w:val="none"/>
        </w:rPr>
        <w:t>投标人</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
          <w:sz w:val="27"/>
          <w:szCs w:val="27"/>
          <w:highlight w:val="none"/>
          <w:u w:val="single" w:color="auto"/>
        </w:rPr>
        <w:t xml:space="preserve">                                   </w:t>
      </w:r>
      <w:r>
        <w:rPr>
          <w:rFonts w:hint="eastAsia" w:ascii="宋体" w:hAnsi="宋体" w:eastAsia="宋体" w:cs="宋体"/>
          <w:color w:val="auto"/>
          <w:spacing w:val="-33"/>
          <w:sz w:val="27"/>
          <w:szCs w:val="27"/>
          <w:highlight w:val="none"/>
        </w:rPr>
        <w:t>（</w:t>
      </w:r>
      <w:r>
        <w:rPr>
          <w:rFonts w:hint="eastAsia" w:ascii="宋体" w:hAnsi="宋体" w:eastAsia="宋体" w:cs="宋体"/>
          <w:color w:val="auto"/>
          <w:spacing w:val="-26"/>
          <w:w w:val="97"/>
          <w:sz w:val="27"/>
          <w:szCs w:val="27"/>
          <w:highlight w:val="none"/>
        </w:rPr>
        <w:t>盖单位章）</w:t>
      </w:r>
    </w:p>
    <w:p w14:paraId="2024FEF6">
      <w:pPr>
        <w:tabs>
          <w:tab w:val="left" w:pos="3327"/>
        </w:tabs>
        <w:spacing w:before="88" w:line="480" w:lineRule="auto"/>
        <w:ind w:left="2018" w:right="797" w:hanging="1240"/>
        <w:jc w:val="center"/>
        <w:rPr>
          <w:rFonts w:hint="eastAsia" w:ascii="宋体" w:hAnsi="宋体" w:eastAsia="宋体" w:cs="宋体"/>
          <w:color w:val="auto"/>
          <w:sz w:val="27"/>
          <w:szCs w:val="27"/>
          <w:highlight w:val="none"/>
        </w:rPr>
      </w:pP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年</w:t>
      </w:r>
      <w:r>
        <w:rPr>
          <w:rFonts w:hint="eastAsia" w:ascii="宋体" w:hAnsi="宋体" w:eastAsia="宋体" w:cs="宋体"/>
          <w:color w:val="auto"/>
          <w:spacing w:val="11"/>
          <w:sz w:val="27"/>
          <w:szCs w:val="27"/>
          <w:highlight w:val="none"/>
          <w:u w:val="single" w:color="auto"/>
        </w:rPr>
        <w:t xml:space="preserve">     </w:t>
      </w:r>
      <w:r>
        <w:rPr>
          <w:rFonts w:hint="eastAsia" w:ascii="宋体" w:hAnsi="宋体" w:eastAsia="宋体" w:cs="宋体"/>
          <w:color w:val="auto"/>
          <w:spacing w:val="-8"/>
          <w:sz w:val="27"/>
          <w:szCs w:val="27"/>
          <w:highlight w:val="none"/>
        </w:rPr>
        <w:t>月</w:t>
      </w:r>
      <w:r>
        <w:rPr>
          <w:rFonts w:hint="eastAsia" w:ascii="宋体" w:hAnsi="宋体" w:eastAsia="宋体" w:cs="宋体"/>
          <w:color w:val="auto"/>
          <w:sz w:val="27"/>
          <w:szCs w:val="27"/>
          <w:highlight w:val="none"/>
          <w:u w:val="single" w:color="auto"/>
        </w:rPr>
        <w:t xml:space="preserve">      </w:t>
      </w:r>
      <w:r>
        <w:rPr>
          <w:rFonts w:hint="eastAsia" w:ascii="宋体" w:hAnsi="宋体" w:eastAsia="宋体" w:cs="宋体"/>
          <w:color w:val="auto"/>
          <w:spacing w:val="-8"/>
          <w:sz w:val="27"/>
          <w:szCs w:val="27"/>
          <w:highlight w:val="none"/>
        </w:rPr>
        <w:t>日</w:t>
      </w:r>
    </w:p>
    <w:p w14:paraId="4117AA59">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1C981A49">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24006C4A">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1F98E800">
      <w:pPr>
        <w:pStyle w:val="74"/>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174A2B80">
      <w:pP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51112316">
      <w:pPr>
        <w:pStyle w:val="74"/>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4D4F58A7">
      <w:pPr>
        <w:rPr>
          <w:color w:val="auto"/>
          <w:highlight w:val="none"/>
        </w:rPr>
      </w:pPr>
    </w:p>
    <w:p w14:paraId="111A5BF8">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33A918E3">
      <w:pPr>
        <w:spacing w:line="360" w:lineRule="auto"/>
        <w:jc w:val="center"/>
        <w:rPr>
          <w:rFonts w:ascii="宋体" w:hAnsi="宋体" w:eastAsia="宋体" w:cs="宋体"/>
          <w:color w:val="auto"/>
          <w:spacing w:val="14"/>
          <w:sz w:val="27"/>
          <w:szCs w:val="27"/>
          <w:highlight w:val="none"/>
          <w14:textOutline w14:w="4963" w14:cap="flat" w14:cmpd="sng">
            <w14:solidFill>
              <w14:srgbClr w14:val="000000"/>
            </w14:solidFill>
            <w14:prstDash w14:val="solid"/>
            <w14:miter w14:val="0"/>
          </w14:textOutline>
        </w:rPr>
      </w:pPr>
    </w:p>
    <w:p w14:paraId="4C22A291">
      <w:pPr>
        <w:spacing w:before="274" w:line="600" w:lineRule="auto"/>
        <w:jc w:val="center"/>
        <w:rPr>
          <w:rFonts w:hint="default" w:ascii="宋体" w:hAnsi="宋体" w:eastAsia="宋体" w:cs="宋体"/>
          <w:b/>
          <w:bCs/>
          <w:color w:val="auto"/>
          <w:spacing w:val="-9"/>
          <w:sz w:val="28"/>
          <w:szCs w:val="28"/>
          <w:highlight w:val="none"/>
          <w:lang w:val="en-US" w:eastAsia="zh-CN"/>
        </w:rPr>
      </w:pPr>
      <w:r>
        <w:rPr>
          <w:rFonts w:hint="eastAsia" w:ascii="宋体" w:hAnsi="宋体" w:eastAsia="宋体" w:cs="宋体"/>
          <w:b/>
          <w:bCs/>
          <w:color w:val="auto"/>
          <w:spacing w:val="-9"/>
          <w:sz w:val="28"/>
          <w:szCs w:val="28"/>
          <w:highlight w:val="none"/>
          <w:lang w:val="en-US" w:eastAsia="zh-CN"/>
        </w:rPr>
        <w:t>目   录</w:t>
      </w:r>
    </w:p>
    <w:p w14:paraId="1C8B984A">
      <w:pPr>
        <w:shd w:val="clear" w:color="auto" w:fill="FFFFFF"/>
        <w:spacing w:line="600" w:lineRule="auto"/>
        <w:ind w:firstLine="440" w:firstLineChars="200"/>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一、</w:t>
      </w:r>
      <w:r>
        <w:rPr>
          <w:rFonts w:hint="eastAsia" w:ascii="宋体" w:hAnsi="宋体" w:eastAsia="宋体" w:cs="宋体"/>
          <w:color w:val="auto"/>
          <w:sz w:val="22"/>
          <w:szCs w:val="22"/>
          <w:highlight w:val="none"/>
          <w:lang w:val="en-US" w:eastAsia="zh-CN"/>
        </w:rPr>
        <w:t>投标函</w:t>
      </w:r>
    </w:p>
    <w:p w14:paraId="7E8E0809">
      <w:pPr>
        <w:shd w:val="clear" w:color="auto" w:fill="FFFFFF"/>
        <w:spacing w:line="60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二</w:t>
      </w:r>
      <w:r>
        <w:rPr>
          <w:rFonts w:hint="eastAsia" w:ascii="宋体" w:hAnsi="宋体" w:eastAsia="宋体" w:cs="宋体"/>
          <w:color w:val="auto"/>
          <w:sz w:val="22"/>
          <w:szCs w:val="22"/>
          <w:highlight w:val="none"/>
          <w:lang w:val="en-US" w:eastAsia="zh-CN"/>
        </w:rPr>
        <w:t>、服务费用清单</w:t>
      </w:r>
    </w:p>
    <w:p w14:paraId="3FD694E8">
      <w:pPr>
        <w:shd w:val="clear" w:color="auto" w:fill="FFFFFF"/>
        <w:spacing w:line="600" w:lineRule="auto"/>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三、</w:t>
      </w:r>
      <w:r>
        <w:rPr>
          <w:rFonts w:hint="eastAsia" w:ascii="宋体" w:hAnsi="宋体" w:eastAsia="宋体" w:cs="宋体"/>
          <w:color w:val="auto"/>
          <w:sz w:val="22"/>
          <w:szCs w:val="22"/>
          <w:highlight w:val="none"/>
        </w:rPr>
        <w:t>其他资料</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如有</w:t>
      </w:r>
      <w:r>
        <w:rPr>
          <w:rFonts w:hint="eastAsia" w:ascii="宋体" w:hAnsi="宋体" w:eastAsia="宋体" w:cs="宋体"/>
          <w:color w:val="auto"/>
          <w:sz w:val="22"/>
          <w:szCs w:val="22"/>
          <w:highlight w:val="none"/>
          <w:lang w:eastAsia="zh-CN"/>
        </w:rPr>
        <w:t>）</w:t>
      </w:r>
    </w:p>
    <w:p w14:paraId="1E9E3D7B">
      <w:pPr>
        <w:widowControl/>
        <w:spacing w:line="360" w:lineRule="auto"/>
        <w:jc w:val="center"/>
        <w:rPr>
          <w:b/>
          <w:bCs/>
          <w:color w:val="auto"/>
          <w:sz w:val="24"/>
          <w:highlight w:val="none"/>
        </w:rPr>
      </w:pPr>
      <w:r>
        <w:rPr>
          <w:b/>
          <w:bCs/>
          <w:color w:val="auto"/>
          <w:sz w:val="24"/>
          <w:highlight w:val="none"/>
        </w:rPr>
        <w:br w:type="page"/>
      </w:r>
    </w:p>
    <w:p w14:paraId="0ED02CED">
      <w:pPr>
        <w:widowControl/>
        <w:spacing w:line="360" w:lineRule="auto"/>
        <w:jc w:val="center"/>
        <w:rPr>
          <w:rFonts w:eastAsia="黑体"/>
          <w:b/>
          <w:bCs/>
          <w:color w:val="auto"/>
          <w:sz w:val="32"/>
          <w:szCs w:val="32"/>
          <w:highlight w:val="none"/>
        </w:rPr>
      </w:pPr>
      <w:r>
        <w:rPr>
          <w:rFonts w:eastAsia="黑体"/>
          <w:b/>
          <w:bCs/>
          <w:color w:val="auto"/>
          <w:sz w:val="32"/>
          <w:szCs w:val="32"/>
          <w:highlight w:val="none"/>
        </w:rPr>
        <w:t>一、投标函</w:t>
      </w:r>
    </w:p>
    <w:p w14:paraId="68DF27A7">
      <w:pPr>
        <w:widowControl/>
        <w:spacing w:line="360" w:lineRule="auto"/>
        <w:jc w:val="center"/>
        <w:rPr>
          <w:rFonts w:eastAsia="黑体"/>
          <w:b/>
          <w:bCs/>
          <w:color w:val="auto"/>
          <w:sz w:val="32"/>
          <w:szCs w:val="32"/>
          <w:highlight w:val="none"/>
        </w:rPr>
      </w:pPr>
    </w:p>
    <w:p w14:paraId="098B021A">
      <w:pPr>
        <w:spacing w:line="360" w:lineRule="auto"/>
        <w:rPr>
          <w:color w:val="auto"/>
          <w:sz w:val="24"/>
          <w:highlight w:val="none"/>
          <w:u w:val="single"/>
        </w:rPr>
      </w:pPr>
      <w:r>
        <w:rPr>
          <w:rFonts w:hint="eastAsia"/>
          <w:color w:val="auto"/>
          <w:sz w:val="24"/>
          <w:highlight w:val="none"/>
          <w:u w:val="single"/>
          <w:lang w:val="en-US" w:eastAsia="zh-CN"/>
        </w:rPr>
        <w:t>安徽滁扬高速公路有限公司</w:t>
      </w:r>
      <w:r>
        <w:rPr>
          <w:color w:val="auto"/>
          <w:sz w:val="24"/>
          <w:highlight w:val="none"/>
          <w:u w:val="single"/>
        </w:rPr>
        <w:t>：</w:t>
      </w:r>
    </w:p>
    <w:p w14:paraId="0E64E3C0">
      <w:pPr>
        <w:spacing w:line="360" w:lineRule="auto"/>
        <w:ind w:firstLine="480" w:firstLineChars="200"/>
        <w:rPr>
          <w:color w:val="auto"/>
          <w:sz w:val="24"/>
          <w:highlight w:val="none"/>
        </w:rPr>
      </w:pPr>
      <w:r>
        <w:rPr>
          <w:color w:val="auto"/>
          <w:sz w:val="24"/>
          <w:highlight w:val="none"/>
        </w:rPr>
        <w:t>1、我方已仔细研究了</w:t>
      </w:r>
      <w:r>
        <w:rPr>
          <w:rFonts w:hint="eastAsia"/>
          <w:color w:val="auto"/>
          <w:sz w:val="24"/>
          <w:highlight w:val="none"/>
          <w:u w:val="single"/>
          <w:lang w:val="en-US" w:eastAsia="zh-CN"/>
        </w:rPr>
        <w:t xml:space="preserve">                              （招标项目名称、项目编号）</w:t>
      </w:r>
      <w:r>
        <w:rPr>
          <w:color w:val="auto"/>
          <w:sz w:val="24"/>
          <w:highlight w:val="none"/>
        </w:rPr>
        <w:t>招标文件的全部内容</w:t>
      </w:r>
      <w:r>
        <w:rPr>
          <w:rFonts w:hint="eastAsia" w:ascii="宋体" w:hAnsi="宋体" w:eastAsia="宋体" w:cs="宋体"/>
          <w:color w:val="auto"/>
          <w:kern w:val="0"/>
          <w:sz w:val="24"/>
          <w:szCs w:val="24"/>
          <w:highlight w:val="none"/>
          <w:lang w:val="en-US" w:eastAsia="zh-CN" w:bidi="ar"/>
        </w:rPr>
        <w:t>（含补遗书第</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号至第</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号）</w:t>
      </w:r>
      <w:r>
        <w:rPr>
          <w:color w:val="auto"/>
          <w:sz w:val="24"/>
          <w:highlight w:val="none"/>
        </w:rPr>
        <w:t>，在考察工程现场后，愿意以人民币（大写）</w:t>
      </w:r>
      <w:r>
        <w:rPr>
          <w:color w:val="auto"/>
          <w:sz w:val="24"/>
          <w:highlight w:val="none"/>
          <w:u w:val="single"/>
        </w:rPr>
        <w:t xml:space="preserve">            </w:t>
      </w:r>
      <w:r>
        <w:rPr>
          <w:color w:val="auto"/>
          <w:sz w:val="24"/>
          <w:highlight w:val="none"/>
        </w:rPr>
        <w:t>元（¥</w:t>
      </w:r>
      <w:r>
        <w:rPr>
          <w:color w:val="auto"/>
          <w:sz w:val="24"/>
          <w:highlight w:val="none"/>
          <w:u w:val="single"/>
        </w:rPr>
        <w:t xml:space="preserve">          </w:t>
      </w:r>
      <w:r>
        <w:rPr>
          <w:color w:val="auto"/>
          <w:sz w:val="24"/>
          <w:highlight w:val="none"/>
        </w:rPr>
        <w:t xml:space="preserve"> ）的投标总</w:t>
      </w:r>
      <w:r>
        <w:rPr>
          <w:rFonts w:ascii="Times New Roman" w:hAnsi="Times New Roman" w:eastAsia="宋体" w:cs="Times New Roman"/>
          <w:color w:val="auto"/>
          <w:sz w:val="24"/>
          <w:highlight w:val="none"/>
        </w:rPr>
        <w:t>报价</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或根据招标文件规定修正核实后确定的另一金额）</w:t>
      </w:r>
      <w:r>
        <w:rPr>
          <w:rFonts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val="en-US" w:eastAsia="zh-CN"/>
        </w:rPr>
        <w:t>按合同约定完成中心试验室试验检测工作</w:t>
      </w:r>
      <w:r>
        <w:rPr>
          <w:color w:val="auto"/>
          <w:sz w:val="24"/>
          <w:highlight w:val="none"/>
        </w:rPr>
        <w:t>。</w:t>
      </w:r>
    </w:p>
    <w:p w14:paraId="3479DFA2">
      <w:pPr>
        <w:spacing w:line="360" w:lineRule="auto"/>
        <w:ind w:firstLine="480" w:firstLineChars="200"/>
        <w:rPr>
          <w:color w:val="auto"/>
          <w:sz w:val="24"/>
          <w:highlight w:val="none"/>
        </w:rPr>
      </w:pPr>
      <w:r>
        <w:rPr>
          <w:color w:val="auto"/>
          <w:sz w:val="24"/>
          <w:highlight w:val="none"/>
        </w:rPr>
        <w:t>2、在合同协议书正式签署生效之前，本投标函连同你方的中标通知书将构成我们双方之间共同遵守的文件，对双方具有约束力。</w:t>
      </w:r>
    </w:p>
    <w:p w14:paraId="244F4370">
      <w:pPr>
        <w:spacing w:line="360" w:lineRule="auto"/>
        <w:ind w:firstLine="480" w:firstLineChars="200"/>
        <w:rPr>
          <w:color w:val="auto"/>
          <w:sz w:val="24"/>
          <w:highlight w:val="none"/>
        </w:rPr>
      </w:pPr>
      <w:r>
        <w:rPr>
          <w:rFonts w:hint="default"/>
          <w:color w:val="auto"/>
          <w:sz w:val="24"/>
          <w:highlight w:val="none"/>
          <w:lang w:val="en-US" w:eastAsia="zh-CN"/>
        </w:rPr>
        <w:t>3</w:t>
      </w:r>
      <w:r>
        <w:rPr>
          <w:rFonts w:hint="eastAsia"/>
          <w:color w:val="auto"/>
          <w:sz w:val="24"/>
          <w:highlight w:val="none"/>
          <w:lang w:val="en-US" w:eastAsia="zh-CN"/>
        </w:rPr>
        <w:t>、</w:t>
      </w:r>
      <w:r>
        <w:rPr>
          <w:rFonts w:hint="eastAsia"/>
          <w:color w:val="auto"/>
          <w:sz w:val="24"/>
          <w:highlight w:val="none"/>
          <w:u w:val="single"/>
          <w:lang w:val="en-US" w:eastAsia="zh-CN"/>
        </w:rPr>
        <w:t xml:space="preserve">                                        </w:t>
      </w:r>
      <w:r>
        <w:rPr>
          <w:rFonts w:hint="eastAsia"/>
          <w:color w:val="auto"/>
          <w:sz w:val="24"/>
          <w:highlight w:val="none"/>
          <w:lang w:val="en-US" w:eastAsia="zh-CN"/>
        </w:rPr>
        <w:t xml:space="preserve">（其他补充说明）。 </w:t>
      </w:r>
    </w:p>
    <w:p w14:paraId="71A9A686">
      <w:pPr>
        <w:spacing w:line="360" w:lineRule="auto"/>
        <w:ind w:firstLine="480" w:firstLineChars="200"/>
        <w:rPr>
          <w:color w:val="auto"/>
          <w:sz w:val="24"/>
          <w:highlight w:val="none"/>
        </w:rPr>
      </w:pPr>
    </w:p>
    <w:p w14:paraId="2611DB54">
      <w:pPr>
        <w:spacing w:line="360" w:lineRule="auto"/>
        <w:ind w:firstLine="480" w:firstLineChars="200"/>
        <w:rPr>
          <w:color w:val="auto"/>
          <w:sz w:val="24"/>
          <w:highlight w:val="none"/>
        </w:rPr>
      </w:pPr>
    </w:p>
    <w:p w14:paraId="657994B3">
      <w:pPr>
        <w:pStyle w:val="74"/>
        <w:ind w:firstLine="400"/>
        <w:rPr>
          <w:color w:val="auto"/>
          <w:highlight w:val="none"/>
        </w:rPr>
      </w:pPr>
    </w:p>
    <w:p w14:paraId="3D0194DB">
      <w:pPr>
        <w:pStyle w:val="74"/>
        <w:ind w:firstLine="400"/>
        <w:rPr>
          <w:color w:val="auto"/>
          <w:highlight w:val="none"/>
        </w:rPr>
      </w:pPr>
    </w:p>
    <w:p w14:paraId="7E3FE494">
      <w:pPr>
        <w:pStyle w:val="74"/>
        <w:ind w:firstLine="400"/>
        <w:rPr>
          <w:color w:val="auto"/>
          <w:highlight w:val="none"/>
        </w:rPr>
      </w:pPr>
    </w:p>
    <w:p w14:paraId="4C7FF8F7">
      <w:pPr>
        <w:pStyle w:val="74"/>
        <w:ind w:firstLine="400"/>
        <w:rPr>
          <w:color w:val="auto"/>
          <w:highlight w:val="none"/>
        </w:rPr>
      </w:pPr>
    </w:p>
    <w:p w14:paraId="07E3948A">
      <w:pPr>
        <w:spacing w:line="360" w:lineRule="auto"/>
        <w:ind w:firstLine="3675" w:firstLineChars="1750"/>
        <w:rPr>
          <w:color w:val="auto"/>
          <w:szCs w:val="21"/>
          <w:highlight w:val="none"/>
        </w:rPr>
      </w:pPr>
    </w:p>
    <w:p w14:paraId="737BE2F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14:paraId="67B207F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w:t>
      </w:r>
    </w:p>
    <w:p w14:paraId="177A74F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34C662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p>
    <w:p w14:paraId="481B038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14:paraId="4C021E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436EA88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r>
        <w:rPr>
          <w:rFonts w:hint="eastAsia" w:ascii="宋体" w:hAnsi="宋体" w:eastAsia="宋体" w:cs="宋体"/>
          <w:color w:val="auto"/>
          <w:sz w:val="24"/>
          <w:szCs w:val="24"/>
          <w:highlight w:val="none"/>
          <w:u w:val="single"/>
        </w:rPr>
        <w:t xml:space="preserve">                                 </w:t>
      </w:r>
    </w:p>
    <w:p w14:paraId="67977FA8">
      <w:pPr>
        <w:spacing w:line="360" w:lineRule="auto"/>
        <w:ind w:firstLine="6480" w:firstLineChars="2700"/>
        <w:rPr>
          <w:rFonts w:hint="eastAsia" w:ascii="宋体" w:hAnsi="宋体" w:eastAsia="宋体" w:cs="宋体"/>
          <w:color w:val="auto"/>
          <w:sz w:val="24"/>
          <w:szCs w:val="24"/>
          <w:highlight w:val="none"/>
          <w:u w:val="single"/>
        </w:rPr>
      </w:pPr>
    </w:p>
    <w:p w14:paraId="5CFEAAE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98988D5">
      <w:pPr>
        <w:spacing w:line="360" w:lineRule="auto"/>
        <w:ind w:firstLine="6480" w:firstLineChars="2700"/>
        <w:rPr>
          <w:rFonts w:hint="eastAsia" w:ascii="宋体" w:hAnsi="宋体" w:eastAsia="宋体" w:cs="宋体"/>
          <w:color w:val="auto"/>
          <w:sz w:val="24"/>
          <w:szCs w:val="24"/>
          <w:highlight w:val="none"/>
        </w:rPr>
      </w:pPr>
    </w:p>
    <w:p w14:paraId="4D1A5674">
      <w:pPr>
        <w:widowControl/>
        <w:spacing w:line="360" w:lineRule="auto"/>
        <w:jc w:val="center"/>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注：请将投标函中的报价准确的填入系统中唱标信息模块相应位置，如投标函中价格与唱标信息模块中价格不一致，以此投标函为准。</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br w:type="page"/>
      </w:r>
      <w:bookmarkStart w:id="267" w:name="_Toc152045795"/>
      <w:bookmarkStart w:id="268" w:name="_Toc179632815"/>
      <w:bookmarkStart w:id="269" w:name="_Toc152042584"/>
      <w:bookmarkStart w:id="270" w:name="_Toc144974863"/>
    </w:p>
    <w:p w14:paraId="0316E977">
      <w:pPr>
        <w:keepNext w:val="0"/>
        <w:keepLines w:val="0"/>
        <w:widowControl/>
        <w:suppressLineNumbers w:val="0"/>
        <w:jc w:val="center"/>
        <w:rPr>
          <w:color w:val="auto"/>
          <w:highlight w:val="none"/>
        </w:rPr>
      </w:pPr>
      <w:r>
        <w:rPr>
          <w:rFonts w:eastAsia="黑体"/>
          <w:b/>
          <w:bCs/>
          <w:color w:val="auto"/>
          <w:sz w:val="32"/>
          <w:szCs w:val="32"/>
          <w:highlight w:val="none"/>
        </w:rPr>
        <w:t>二、</w:t>
      </w:r>
      <w:r>
        <w:rPr>
          <w:rFonts w:ascii="黑体" w:hAnsi="宋体" w:eastAsia="黑体" w:cs="黑体"/>
          <w:color w:val="auto"/>
          <w:kern w:val="0"/>
          <w:sz w:val="30"/>
          <w:szCs w:val="30"/>
          <w:highlight w:val="none"/>
          <w:lang w:val="en-US" w:eastAsia="zh-CN" w:bidi="ar"/>
        </w:rPr>
        <w:t>服务费用清单</w:t>
      </w:r>
    </w:p>
    <w:bookmarkEnd w:id="267"/>
    <w:bookmarkEnd w:id="268"/>
    <w:bookmarkEnd w:id="269"/>
    <w:bookmarkEnd w:id="270"/>
    <w:p w14:paraId="2647A96D">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（一）报价清单说明</w:t>
      </w:r>
    </w:p>
    <w:p w14:paraId="4DDF3A42">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1、本报价表中各表项目和数量由投标人根据工程需要填写，除此之外，还应在每张报价表后附报价计算说明。如折旧费计算说明中应指出每种检测设施折旧寿命、折旧期、年折旧费等，使用、维修、管理费等计算说明中应指出每年各项费用情况、计算公式等。 </w:t>
      </w:r>
    </w:p>
    <w:p w14:paraId="74273D84">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2、检测人员配备数量应根据招标文件的要求、投标人编写的技术建议书并参考投标人以往检测工作经验填报。 </w:t>
      </w:r>
    </w:p>
    <w:p w14:paraId="71560ABB">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3、投标人必须配备检测所需的办公设施（含通信设施）、试验检测设施、交通设施、生活设施等。办公设施（含通信设施）、试验检测设施、交通设施、生活设施等应根据招标文件的要求、投标人编写的技术建议书并参考投标人以往检测工作经验配置。 </w:t>
      </w:r>
    </w:p>
    <w:p w14:paraId="28133CBF">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4、中心试验室的驻地设施及配备的设备，如交通、通信工具及燃料消耗、维护等均由投标人按规定列入投标报价中。 </w:t>
      </w:r>
    </w:p>
    <w:p w14:paraId="5F9AB48A">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5、投标人在填报检测服务费用时应综合考虑下列因素： </w:t>
      </w:r>
    </w:p>
    <w:p w14:paraId="0789E82B">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（1）检测人所提供的各级检测人员、试验检测仪器、车辆均应满足委托人在招标文件中提出的最低限度要求。 </w:t>
      </w:r>
    </w:p>
    <w:p w14:paraId="3B818E97">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（2）除合同条款第 8 条约定的变更情形和项目专用合同条款第 9.1.1 项约定的其他情形外，本检测合同的检测服务费用在合同实施期间一律不予调整。 </w:t>
      </w:r>
    </w:p>
    <w:p w14:paraId="37D4F2A9">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（3）如果投标人投入的设备不满足检测需要或投标人不具备检测能力，因而需要进行外委检测，所需的费用应考虑在各项综合报价中，委托人不单独支付。 </w:t>
      </w:r>
    </w:p>
    <w:p w14:paraId="15D88353">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6、投标人因完成本项目检测服务需计取的企业管理费及需缴纳的一切税费均有投标人承担，并包含在所报的单价或总额价内，委托人不单独支付。 </w:t>
      </w:r>
    </w:p>
    <w:p w14:paraId="5F1F233F">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7、投标人应认真填写报价清单中所列的检测服务费用各细目的单价和总额价。投标人没有填入单价或总额价的工程细目委托人将不予支付，并认为该细目的价款已包括在报价清单其他细目的单价或总额价中。 </w:t>
      </w:r>
    </w:p>
    <w:p w14:paraId="4A38E7F7">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8、在表 2“试验检测人员费用报价表”和表 6“中心试验室自备交通设施购置使用费报价表”后应附相应项目的单价分析表。 </w:t>
      </w:r>
    </w:p>
    <w:p w14:paraId="08D8C1D3">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 xml:space="preserve">9、投标人在表 2 中填报的各类检测人员的人月单价应包括检测人员的工资、加班费、生活伙食费、奖金及各种补贴等一切费用在内。若检测人员因履行正常检测服务而加班，委托人将不考虑另行支付检测人员的加班费用。投标报价中应考虑加班费。 </w:t>
      </w:r>
    </w:p>
    <w:p w14:paraId="1F3C15F2">
      <w:pPr>
        <w:keepNext w:val="0"/>
        <w:keepLines w:val="0"/>
        <w:widowControl/>
        <w:suppressLineNumbers w:val="0"/>
        <w:spacing w:before="157" w:beforeLines="50" w:after="157" w:afterLines="50"/>
        <w:jc w:val="left"/>
        <w:rPr>
          <w:rFonts w:hint="eastAsia" w:ascii="黑体" w:hAnsi="宋体" w:eastAsia="黑体" w:cs="黑体"/>
          <w:color w:val="auto"/>
          <w:kern w:val="0"/>
          <w:sz w:val="24"/>
          <w:szCs w:val="24"/>
          <w:highlight w:val="none"/>
          <w:lang w:val="en-US" w:eastAsia="zh-CN" w:bidi="ar"/>
        </w:rPr>
      </w:pPr>
      <w:r>
        <w:rPr>
          <w:rFonts w:hint="eastAsia" w:ascii="黑体" w:hAnsi="宋体" w:eastAsia="黑体" w:cs="黑体"/>
          <w:color w:val="auto"/>
          <w:kern w:val="0"/>
          <w:sz w:val="24"/>
          <w:szCs w:val="24"/>
          <w:highlight w:val="none"/>
          <w:lang w:val="en-US" w:eastAsia="zh-CN" w:bidi="ar"/>
        </w:rPr>
        <w:t>10、对于同一设施或物品，投标人不能重复填报检测服务费用，一经发现，委托人将有权从投标价中扣除多报的费用，投标人对此应予确认，否则，委托人有权取消其中标资格。</w:t>
      </w:r>
    </w:p>
    <w:p w14:paraId="5598DD05">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2E141458">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4241A558">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63D9A723">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0EFD63D0">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2A9F243B">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09A393B8">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693C2B4E">
      <w:pPr>
        <w:keepNext w:val="0"/>
        <w:keepLines w:val="0"/>
        <w:widowControl/>
        <w:suppressLineNumbers w:val="0"/>
        <w:spacing w:before="157" w:beforeLines="50" w:after="157" w:afterLines="50"/>
        <w:jc w:val="center"/>
        <w:rPr>
          <w:rFonts w:hint="eastAsia" w:ascii="黑体" w:hAnsi="宋体" w:eastAsia="黑体" w:cs="黑体"/>
          <w:color w:val="auto"/>
          <w:kern w:val="0"/>
          <w:sz w:val="24"/>
          <w:szCs w:val="24"/>
          <w:highlight w:val="none"/>
          <w:lang w:val="en-US" w:eastAsia="zh-CN" w:bidi="ar"/>
        </w:rPr>
      </w:pPr>
    </w:p>
    <w:p w14:paraId="04788176">
      <w:pPr>
        <w:keepNext w:val="0"/>
        <w:keepLines w:val="0"/>
        <w:widowControl/>
        <w:suppressLineNumbers w:val="0"/>
        <w:spacing w:before="157" w:beforeLines="50" w:after="157" w:afterLines="50"/>
        <w:jc w:val="center"/>
        <w:rPr>
          <w:rFonts w:hint="eastAsia" w:ascii="黑体" w:hAnsi="宋体" w:eastAsia="黑体" w:cs="黑体"/>
          <w:color w:val="auto"/>
          <w:kern w:val="0"/>
          <w:sz w:val="24"/>
          <w:highlight w:val="none"/>
          <w:lang w:bidi="ar"/>
        </w:rPr>
      </w:pPr>
      <w:r>
        <w:rPr>
          <w:rFonts w:hint="eastAsia" w:ascii="黑体" w:hAnsi="宋体" w:eastAsia="黑体" w:cs="黑体"/>
          <w:color w:val="auto"/>
          <w:kern w:val="0"/>
          <w:sz w:val="24"/>
          <w:szCs w:val="24"/>
          <w:highlight w:val="none"/>
          <w:lang w:val="en-US" w:eastAsia="zh-CN" w:bidi="ar"/>
        </w:rPr>
        <w:t>（二）服务费报价表</w:t>
      </w:r>
    </w:p>
    <w:p w14:paraId="4EBE60E9">
      <w:pPr>
        <w:spacing w:before="218" w:line="221" w:lineRule="auto"/>
        <w:ind w:left="2674"/>
        <w:rPr>
          <w:rFonts w:ascii="黑体" w:hAnsi="黑体" w:eastAsia="黑体" w:cs="黑体"/>
          <w:color w:val="auto"/>
          <w:sz w:val="28"/>
          <w:szCs w:val="28"/>
          <w:highlight w:val="none"/>
        </w:rPr>
      </w:pPr>
      <w:r>
        <w:rPr>
          <w:rFonts w:ascii="黑体" w:hAnsi="黑体" w:eastAsia="黑体" w:cs="黑体"/>
          <w:color w:val="auto"/>
          <w:spacing w:val="8"/>
          <w:sz w:val="28"/>
          <w:szCs w:val="28"/>
          <w:highlight w:val="none"/>
        </w:rPr>
        <w:t>表</w:t>
      </w:r>
      <w:r>
        <w:rPr>
          <w:rFonts w:ascii="黑体" w:hAnsi="黑体" w:eastAsia="黑体" w:cs="黑体"/>
          <w:color w:val="auto"/>
          <w:spacing w:val="7"/>
          <w:sz w:val="28"/>
          <w:szCs w:val="28"/>
          <w:highlight w:val="none"/>
        </w:rPr>
        <w:t xml:space="preserve"> </w:t>
      </w:r>
      <w:r>
        <w:rPr>
          <w:rFonts w:ascii="Times New Roman" w:hAnsi="Times New Roman" w:eastAsia="Times New Roman" w:cs="Times New Roman"/>
          <w:color w:val="auto"/>
          <w:spacing w:val="7"/>
          <w:sz w:val="28"/>
          <w:szCs w:val="28"/>
          <w:highlight w:val="none"/>
        </w:rPr>
        <w:t xml:space="preserve">1 </w:t>
      </w:r>
      <w:r>
        <w:rPr>
          <w:rFonts w:ascii="黑体" w:hAnsi="黑体" w:eastAsia="黑体" w:cs="黑体"/>
          <w:color w:val="auto"/>
          <w:spacing w:val="7"/>
          <w:sz w:val="28"/>
          <w:szCs w:val="28"/>
          <w:highlight w:val="none"/>
        </w:rPr>
        <w:t>试验检测费用报价汇总表</w:t>
      </w:r>
    </w:p>
    <w:p w14:paraId="404CF01E">
      <w:pPr>
        <w:rPr>
          <w:color w:val="auto"/>
          <w:highlight w:val="none"/>
        </w:rPr>
      </w:pPr>
    </w:p>
    <w:p w14:paraId="0A459C44">
      <w:pPr>
        <w:spacing w:line="207" w:lineRule="exact"/>
        <w:rPr>
          <w:color w:val="auto"/>
          <w:highlight w:val="none"/>
        </w:rPr>
      </w:pPr>
    </w:p>
    <w:tbl>
      <w:tblPr>
        <w:tblStyle w:val="650"/>
        <w:tblW w:w="9566" w:type="dxa"/>
        <w:tblInd w:w="1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52"/>
        <w:gridCol w:w="6478"/>
        <w:gridCol w:w="2136"/>
      </w:tblGrid>
      <w:tr w14:paraId="45574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3" w:hRule="atLeast"/>
        </w:trPr>
        <w:tc>
          <w:tcPr>
            <w:tcW w:w="952" w:type="dxa"/>
            <w:tcBorders>
              <w:top w:val="single" w:color="000000" w:sz="2" w:space="0"/>
              <w:bottom w:val="single" w:color="000000" w:sz="2" w:space="0"/>
            </w:tcBorders>
            <w:vAlign w:val="top"/>
          </w:tcPr>
          <w:p w14:paraId="436EFF0B">
            <w:pPr>
              <w:autoSpaceDE w:val="0"/>
              <w:autoSpaceDN w:val="0"/>
              <w:spacing w:before="314" w:line="221" w:lineRule="auto"/>
              <w:ind w:left="3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6478" w:type="dxa"/>
            <w:tcBorders>
              <w:top w:val="single" w:color="000000" w:sz="2" w:space="0"/>
              <w:bottom w:val="single" w:color="000000" w:sz="2" w:space="0"/>
            </w:tcBorders>
            <w:vAlign w:val="top"/>
          </w:tcPr>
          <w:p w14:paraId="467EB7FC">
            <w:pPr>
              <w:autoSpaceDE w:val="0"/>
              <w:autoSpaceDN w:val="0"/>
              <w:spacing w:before="314" w:line="220" w:lineRule="auto"/>
              <w:ind w:left="299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项</w:t>
            </w:r>
            <w:r>
              <w:rPr>
                <w:rFonts w:ascii="宋体" w:hAnsi="宋体" w:eastAsia="宋体" w:cs="宋体"/>
                <w:color w:val="auto"/>
                <w:spacing w:val="-3"/>
                <w:sz w:val="24"/>
                <w:szCs w:val="24"/>
                <w:highlight w:val="none"/>
              </w:rPr>
              <w:t>目</w:t>
            </w:r>
          </w:p>
        </w:tc>
        <w:tc>
          <w:tcPr>
            <w:tcW w:w="2136" w:type="dxa"/>
            <w:tcBorders>
              <w:top w:val="single" w:color="000000" w:sz="2" w:space="0"/>
              <w:bottom w:val="single" w:color="000000" w:sz="2" w:space="0"/>
            </w:tcBorders>
            <w:vAlign w:val="top"/>
          </w:tcPr>
          <w:p w14:paraId="0F40C03C">
            <w:pPr>
              <w:autoSpaceDE w:val="0"/>
              <w:autoSpaceDN w:val="0"/>
              <w:spacing w:before="313" w:line="220" w:lineRule="auto"/>
              <w:ind w:left="691"/>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金额(元</w:t>
            </w:r>
            <w:r>
              <w:rPr>
                <w:rFonts w:ascii="宋体" w:hAnsi="宋体" w:eastAsia="宋体" w:cs="宋体"/>
                <w:color w:val="auto"/>
                <w:spacing w:val="18"/>
                <w:sz w:val="24"/>
                <w:szCs w:val="24"/>
                <w:highlight w:val="none"/>
              </w:rPr>
              <w:t>)</w:t>
            </w:r>
          </w:p>
        </w:tc>
      </w:tr>
      <w:tr w14:paraId="51482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trPr>
        <w:tc>
          <w:tcPr>
            <w:tcW w:w="952" w:type="dxa"/>
            <w:tcBorders>
              <w:top w:val="single" w:color="000000" w:sz="2" w:space="0"/>
              <w:bottom w:val="single" w:color="000000" w:sz="2" w:space="0"/>
            </w:tcBorders>
            <w:vAlign w:val="top"/>
          </w:tcPr>
          <w:p w14:paraId="51F00174">
            <w:pPr>
              <w:autoSpaceDE w:val="0"/>
              <w:autoSpaceDN w:val="0"/>
              <w:spacing w:line="325" w:lineRule="auto"/>
              <w:rPr>
                <w:rFonts w:ascii="Arial"/>
                <w:color w:val="auto"/>
                <w:sz w:val="21"/>
                <w:highlight w:val="none"/>
              </w:rPr>
            </w:pPr>
          </w:p>
          <w:p w14:paraId="0294A0ED">
            <w:pPr>
              <w:autoSpaceDE w:val="0"/>
              <w:autoSpaceDN w:val="0"/>
              <w:spacing w:before="69" w:line="186" w:lineRule="auto"/>
              <w:ind w:left="4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6478" w:type="dxa"/>
            <w:tcBorders>
              <w:top w:val="single" w:color="000000" w:sz="2" w:space="0"/>
              <w:bottom w:val="single" w:color="000000" w:sz="2" w:space="0"/>
            </w:tcBorders>
            <w:vAlign w:val="top"/>
          </w:tcPr>
          <w:p w14:paraId="3F518CAD">
            <w:pPr>
              <w:autoSpaceDE w:val="0"/>
              <w:autoSpaceDN w:val="0"/>
              <w:spacing w:before="306" w:line="220" w:lineRule="auto"/>
              <w:ind w:left="1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试验检测人员</w:t>
            </w:r>
            <w:r>
              <w:rPr>
                <w:rFonts w:ascii="宋体" w:hAnsi="宋体" w:eastAsia="宋体" w:cs="宋体"/>
                <w:color w:val="auto"/>
                <w:sz w:val="24"/>
                <w:szCs w:val="24"/>
                <w:highlight w:val="none"/>
              </w:rPr>
              <w:t>费用</w:t>
            </w:r>
          </w:p>
        </w:tc>
        <w:tc>
          <w:tcPr>
            <w:tcW w:w="2136" w:type="dxa"/>
            <w:tcBorders>
              <w:top w:val="single" w:color="000000" w:sz="2" w:space="0"/>
              <w:bottom w:val="single" w:color="000000" w:sz="2" w:space="0"/>
            </w:tcBorders>
            <w:vAlign w:val="top"/>
          </w:tcPr>
          <w:p w14:paraId="786E86F2">
            <w:pPr>
              <w:autoSpaceDE w:val="0"/>
              <w:autoSpaceDN w:val="0"/>
              <w:rPr>
                <w:rFonts w:ascii="Arial"/>
                <w:color w:val="auto"/>
                <w:sz w:val="21"/>
                <w:highlight w:val="none"/>
              </w:rPr>
            </w:pPr>
          </w:p>
        </w:tc>
      </w:tr>
      <w:tr w14:paraId="5039A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952" w:type="dxa"/>
            <w:tcBorders>
              <w:top w:val="single" w:color="000000" w:sz="2" w:space="0"/>
              <w:bottom w:val="single" w:color="000000" w:sz="2" w:space="0"/>
            </w:tcBorders>
            <w:vAlign w:val="top"/>
          </w:tcPr>
          <w:p w14:paraId="3C985D7B">
            <w:pPr>
              <w:autoSpaceDE w:val="0"/>
              <w:autoSpaceDN w:val="0"/>
              <w:spacing w:line="251" w:lineRule="auto"/>
              <w:rPr>
                <w:rFonts w:ascii="Arial"/>
                <w:color w:val="auto"/>
                <w:sz w:val="21"/>
                <w:highlight w:val="none"/>
              </w:rPr>
            </w:pPr>
          </w:p>
          <w:p w14:paraId="18AD7111">
            <w:pPr>
              <w:autoSpaceDE w:val="0"/>
              <w:autoSpaceDN w:val="0"/>
              <w:spacing w:before="69" w:line="186" w:lineRule="auto"/>
              <w:ind w:left="41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6478" w:type="dxa"/>
            <w:tcBorders>
              <w:top w:val="single" w:color="000000" w:sz="2" w:space="0"/>
              <w:bottom w:val="single" w:color="000000" w:sz="2" w:space="0"/>
            </w:tcBorders>
            <w:vAlign w:val="top"/>
          </w:tcPr>
          <w:p w14:paraId="2C01F101">
            <w:pPr>
              <w:autoSpaceDE w:val="0"/>
              <w:autoSpaceDN w:val="0"/>
              <w:spacing w:line="302" w:lineRule="auto"/>
              <w:rPr>
                <w:rFonts w:ascii="Arial"/>
                <w:color w:val="auto"/>
                <w:sz w:val="21"/>
                <w:highlight w:val="none"/>
              </w:rPr>
            </w:pPr>
          </w:p>
          <w:p w14:paraId="1120B96E">
            <w:pPr>
              <w:autoSpaceDE w:val="0"/>
              <w:autoSpaceDN w:val="0"/>
              <w:spacing w:before="78" w:line="220" w:lineRule="auto"/>
              <w:ind w:left="1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中心试验室自备</w:t>
            </w:r>
            <w:r>
              <w:rPr>
                <w:rFonts w:ascii="宋体" w:hAnsi="宋体" w:eastAsia="宋体" w:cs="宋体"/>
                <w:color w:val="auto"/>
                <w:spacing w:val="-1"/>
                <w:sz w:val="24"/>
                <w:szCs w:val="24"/>
                <w:highlight w:val="none"/>
              </w:rPr>
              <w:t>办公设施购置使用费</w:t>
            </w:r>
          </w:p>
        </w:tc>
        <w:tc>
          <w:tcPr>
            <w:tcW w:w="2136" w:type="dxa"/>
            <w:tcBorders>
              <w:top w:val="single" w:color="000000" w:sz="2" w:space="0"/>
              <w:bottom w:val="single" w:color="000000" w:sz="2" w:space="0"/>
            </w:tcBorders>
            <w:vAlign w:val="top"/>
          </w:tcPr>
          <w:p w14:paraId="1D6B5899">
            <w:pPr>
              <w:autoSpaceDE w:val="0"/>
              <w:autoSpaceDN w:val="0"/>
              <w:rPr>
                <w:rFonts w:ascii="Arial"/>
                <w:color w:val="auto"/>
                <w:sz w:val="21"/>
                <w:highlight w:val="none"/>
              </w:rPr>
            </w:pPr>
          </w:p>
        </w:tc>
      </w:tr>
      <w:tr w14:paraId="0AFE1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952" w:type="dxa"/>
            <w:tcBorders>
              <w:top w:val="single" w:color="000000" w:sz="2" w:space="0"/>
              <w:bottom w:val="single" w:color="000000" w:sz="2" w:space="0"/>
            </w:tcBorders>
            <w:vAlign w:val="top"/>
          </w:tcPr>
          <w:p w14:paraId="7ED0D82F">
            <w:pPr>
              <w:autoSpaceDE w:val="0"/>
              <w:autoSpaceDN w:val="0"/>
              <w:spacing w:line="311" w:lineRule="auto"/>
              <w:rPr>
                <w:rFonts w:ascii="Arial"/>
                <w:color w:val="auto"/>
                <w:sz w:val="21"/>
                <w:highlight w:val="none"/>
              </w:rPr>
            </w:pPr>
          </w:p>
          <w:p w14:paraId="458B1191">
            <w:pPr>
              <w:autoSpaceDE w:val="0"/>
              <w:autoSpaceDN w:val="0"/>
              <w:spacing w:before="69" w:line="186" w:lineRule="auto"/>
              <w:ind w:left="41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6478" w:type="dxa"/>
            <w:tcBorders>
              <w:top w:val="single" w:color="000000" w:sz="2" w:space="0"/>
              <w:bottom w:val="single" w:color="000000" w:sz="2" w:space="0"/>
            </w:tcBorders>
            <w:vAlign w:val="top"/>
          </w:tcPr>
          <w:p w14:paraId="75ADF5A7">
            <w:pPr>
              <w:autoSpaceDE w:val="0"/>
              <w:autoSpaceDN w:val="0"/>
              <w:spacing w:before="307" w:line="220" w:lineRule="auto"/>
              <w:ind w:left="1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中心试验室</w:t>
            </w:r>
            <w:r>
              <w:rPr>
                <w:rFonts w:ascii="宋体" w:hAnsi="宋体" w:eastAsia="宋体" w:cs="宋体"/>
                <w:color w:val="auto"/>
                <w:spacing w:val="-1"/>
                <w:sz w:val="24"/>
                <w:szCs w:val="24"/>
                <w:highlight w:val="none"/>
              </w:rPr>
              <w:t>自备试验检测设备购置使用费</w:t>
            </w:r>
          </w:p>
        </w:tc>
        <w:tc>
          <w:tcPr>
            <w:tcW w:w="2136" w:type="dxa"/>
            <w:tcBorders>
              <w:top w:val="single" w:color="000000" w:sz="2" w:space="0"/>
              <w:bottom w:val="single" w:color="000000" w:sz="2" w:space="0"/>
            </w:tcBorders>
            <w:vAlign w:val="top"/>
          </w:tcPr>
          <w:p w14:paraId="7833713F">
            <w:pPr>
              <w:autoSpaceDE w:val="0"/>
              <w:autoSpaceDN w:val="0"/>
              <w:rPr>
                <w:rFonts w:ascii="Arial"/>
                <w:color w:val="auto"/>
                <w:sz w:val="21"/>
                <w:highlight w:val="none"/>
              </w:rPr>
            </w:pPr>
          </w:p>
        </w:tc>
      </w:tr>
      <w:tr w14:paraId="77B93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trPr>
        <w:tc>
          <w:tcPr>
            <w:tcW w:w="952" w:type="dxa"/>
            <w:tcBorders>
              <w:top w:val="single" w:color="000000" w:sz="2" w:space="0"/>
              <w:bottom w:val="single" w:color="000000" w:sz="2" w:space="0"/>
            </w:tcBorders>
            <w:vAlign w:val="top"/>
          </w:tcPr>
          <w:p w14:paraId="09B47E80">
            <w:pPr>
              <w:autoSpaceDE w:val="0"/>
              <w:autoSpaceDN w:val="0"/>
              <w:spacing w:line="327" w:lineRule="auto"/>
              <w:rPr>
                <w:rFonts w:ascii="Arial"/>
                <w:color w:val="auto"/>
                <w:sz w:val="21"/>
                <w:highlight w:val="none"/>
              </w:rPr>
            </w:pPr>
          </w:p>
          <w:p w14:paraId="2F5BF7DA">
            <w:pPr>
              <w:autoSpaceDE w:val="0"/>
              <w:autoSpaceDN w:val="0"/>
              <w:spacing w:before="69" w:line="186" w:lineRule="auto"/>
              <w:ind w:left="40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4</w:t>
            </w:r>
          </w:p>
        </w:tc>
        <w:tc>
          <w:tcPr>
            <w:tcW w:w="6478" w:type="dxa"/>
            <w:tcBorders>
              <w:top w:val="single" w:color="000000" w:sz="2" w:space="0"/>
              <w:bottom w:val="single" w:color="000000" w:sz="2" w:space="0"/>
            </w:tcBorders>
            <w:vAlign w:val="top"/>
          </w:tcPr>
          <w:p w14:paraId="67D3E995">
            <w:pPr>
              <w:autoSpaceDE w:val="0"/>
              <w:autoSpaceDN w:val="0"/>
              <w:spacing w:before="308" w:line="220" w:lineRule="auto"/>
              <w:ind w:left="1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中心试验室自备</w:t>
            </w:r>
            <w:r>
              <w:rPr>
                <w:rFonts w:ascii="宋体" w:hAnsi="宋体" w:eastAsia="宋体" w:cs="宋体"/>
                <w:color w:val="auto"/>
                <w:spacing w:val="-1"/>
                <w:sz w:val="24"/>
                <w:szCs w:val="24"/>
                <w:highlight w:val="none"/>
              </w:rPr>
              <w:t>生活设施购置使用费</w:t>
            </w:r>
          </w:p>
        </w:tc>
        <w:tc>
          <w:tcPr>
            <w:tcW w:w="2136" w:type="dxa"/>
            <w:tcBorders>
              <w:top w:val="single" w:color="000000" w:sz="2" w:space="0"/>
              <w:bottom w:val="single" w:color="000000" w:sz="2" w:space="0"/>
            </w:tcBorders>
            <w:vAlign w:val="top"/>
          </w:tcPr>
          <w:p w14:paraId="12C6F3D3">
            <w:pPr>
              <w:autoSpaceDE w:val="0"/>
              <w:autoSpaceDN w:val="0"/>
              <w:rPr>
                <w:rFonts w:ascii="Arial"/>
                <w:color w:val="auto"/>
                <w:sz w:val="21"/>
                <w:highlight w:val="none"/>
              </w:rPr>
            </w:pPr>
          </w:p>
        </w:tc>
      </w:tr>
      <w:tr w14:paraId="6EBF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952" w:type="dxa"/>
            <w:tcBorders>
              <w:top w:val="single" w:color="000000" w:sz="2" w:space="0"/>
              <w:bottom w:val="single" w:color="000000" w:sz="2" w:space="0"/>
            </w:tcBorders>
            <w:vAlign w:val="top"/>
          </w:tcPr>
          <w:p w14:paraId="5369FA9A">
            <w:pPr>
              <w:autoSpaceDE w:val="0"/>
              <w:autoSpaceDN w:val="0"/>
              <w:spacing w:line="315" w:lineRule="auto"/>
              <w:rPr>
                <w:rFonts w:ascii="Arial"/>
                <w:color w:val="auto"/>
                <w:sz w:val="21"/>
                <w:highlight w:val="none"/>
              </w:rPr>
            </w:pPr>
          </w:p>
          <w:p w14:paraId="41D01E1F">
            <w:pPr>
              <w:autoSpaceDE w:val="0"/>
              <w:autoSpaceDN w:val="0"/>
              <w:spacing w:before="69" w:line="183" w:lineRule="auto"/>
              <w:ind w:left="4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5</w:t>
            </w:r>
          </w:p>
        </w:tc>
        <w:tc>
          <w:tcPr>
            <w:tcW w:w="6478" w:type="dxa"/>
            <w:tcBorders>
              <w:top w:val="single" w:color="000000" w:sz="2" w:space="0"/>
              <w:bottom w:val="single" w:color="000000" w:sz="2" w:space="0"/>
            </w:tcBorders>
            <w:vAlign w:val="top"/>
          </w:tcPr>
          <w:p w14:paraId="31011035">
            <w:pPr>
              <w:autoSpaceDE w:val="0"/>
              <w:autoSpaceDN w:val="0"/>
              <w:spacing w:before="293" w:line="220" w:lineRule="auto"/>
              <w:ind w:left="1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中心试验室自备</w:t>
            </w:r>
            <w:r>
              <w:rPr>
                <w:rFonts w:ascii="宋体" w:hAnsi="宋体" w:eastAsia="宋体" w:cs="宋体"/>
                <w:color w:val="auto"/>
                <w:spacing w:val="-1"/>
                <w:sz w:val="24"/>
                <w:szCs w:val="24"/>
                <w:highlight w:val="none"/>
              </w:rPr>
              <w:t>交通设施购置使用费</w:t>
            </w:r>
          </w:p>
        </w:tc>
        <w:tc>
          <w:tcPr>
            <w:tcW w:w="2136" w:type="dxa"/>
            <w:tcBorders>
              <w:top w:val="single" w:color="000000" w:sz="2" w:space="0"/>
              <w:bottom w:val="single" w:color="000000" w:sz="2" w:space="0"/>
            </w:tcBorders>
            <w:vAlign w:val="top"/>
          </w:tcPr>
          <w:p w14:paraId="4FF700C8">
            <w:pPr>
              <w:autoSpaceDE w:val="0"/>
              <w:autoSpaceDN w:val="0"/>
              <w:rPr>
                <w:rFonts w:ascii="Arial"/>
                <w:color w:val="auto"/>
                <w:sz w:val="21"/>
                <w:highlight w:val="none"/>
              </w:rPr>
            </w:pPr>
          </w:p>
        </w:tc>
      </w:tr>
      <w:tr w14:paraId="2466C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52" w:type="dxa"/>
            <w:tcBorders>
              <w:top w:val="single" w:color="000000" w:sz="2" w:space="0"/>
              <w:bottom w:val="single" w:color="000000" w:sz="2" w:space="0"/>
            </w:tcBorders>
            <w:vAlign w:val="top"/>
          </w:tcPr>
          <w:p w14:paraId="044BE404">
            <w:pPr>
              <w:autoSpaceDE w:val="0"/>
              <w:autoSpaceDN w:val="0"/>
              <w:spacing w:before="188" w:line="186" w:lineRule="auto"/>
              <w:ind w:left="41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6</w:t>
            </w:r>
          </w:p>
        </w:tc>
        <w:tc>
          <w:tcPr>
            <w:tcW w:w="6478" w:type="dxa"/>
            <w:tcBorders>
              <w:top w:val="single" w:color="000000" w:sz="2" w:space="0"/>
              <w:bottom w:val="single" w:color="000000" w:sz="2" w:space="0"/>
            </w:tcBorders>
            <w:vAlign w:val="top"/>
          </w:tcPr>
          <w:p w14:paraId="64B9918E">
            <w:pPr>
              <w:autoSpaceDE w:val="0"/>
              <w:autoSpaceDN w:val="0"/>
              <w:spacing w:before="189" w:line="220" w:lineRule="auto"/>
              <w:ind w:left="10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试验检测资料</w:t>
            </w:r>
            <w:r>
              <w:rPr>
                <w:rFonts w:ascii="宋体" w:hAnsi="宋体" w:eastAsia="宋体" w:cs="宋体"/>
                <w:color w:val="auto"/>
                <w:sz w:val="24"/>
                <w:szCs w:val="24"/>
                <w:highlight w:val="none"/>
              </w:rPr>
              <w:t>费</w:t>
            </w:r>
          </w:p>
        </w:tc>
        <w:tc>
          <w:tcPr>
            <w:tcW w:w="2136" w:type="dxa"/>
            <w:tcBorders>
              <w:top w:val="single" w:color="000000" w:sz="2" w:space="0"/>
              <w:bottom w:val="single" w:color="000000" w:sz="2" w:space="0"/>
            </w:tcBorders>
            <w:vAlign w:val="top"/>
          </w:tcPr>
          <w:p w14:paraId="1F2DCE8B">
            <w:pPr>
              <w:autoSpaceDE w:val="0"/>
              <w:autoSpaceDN w:val="0"/>
              <w:rPr>
                <w:rFonts w:ascii="Arial"/>
                <w:color w:val="auto"/>
                <w:sz w:val="21"/>
                <w:highlight w:val="none"/>
              </w:rPr>
            </w:pPr>
          </w:p>
        </w:tc>
      </w:tr>
      <w:tr w14:paraId="7D20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52" w:type="dxa"/>
            <w:tcBorders>
              <w:top w:val="single" w:color="000000" w:sz="2" w:space="0"/>
              <w:bottom w:val="single" w:color="000000" w:sz="2" w:space="0"/>
            </w:tcBorders>
            <w:vAlign w:val="top"/>
          </w:tcPr>
          <w:p w14:paraId="300993A8">
            <w:pPr>
              <w:autoSpaceDE w:val="0"/>
              <w:autoSpaceDN w:val="0"/>
              <w:spacing w:before="188" w:line="186" w:lineRule="auto"/>
              <w:ind w:left="415"/>
              <w:rPr>
                <w:rFonts w:hint="eastAsia"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7</w:t>
            </w:r>
          </w:p>
        </w:tc>
        <w:tc>
          <w:tcPr>
            <w:tcW w:w="6478" w:type="dxa"/>
            <w:tcBorders>
              <w:top w:val="single" w:color="000000" w:sz="2" w:space="0"/>
              <w:bottom w:val="single" w:color="000000" w:sz="2" w:space="0"/>
            </w:tcBorders>
            <w:vAlign w:val="top"/>
          </w:tcPr>
          <w:p w14:paraId="38ACD4CF">
            <w:pPr>
              <w:autoSpaceDE w:val="0"/>
              <w:autoSpaceDN w:val="0"/>
              <w:spacing w:before="189" w:line="220" w:lineRule="auto"/>
              <w:ind w:left="108"/>
              <w:rPr>
                <w:rFonts w:hint="default" w:ascii="宋体" w:hAnsi="宋体" w:eastAsia="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专项检测费</w:t>
            </w:r>
          </w:p>
        </w:tc>
        <w:tc>
          <w:tcPr>
            <w:tcW w:w="2136" w:type="dxa"/>
            <w:tcBorders>
              <w:top w:val="single" w:color="000000" w:sz="2" w:space="0"/>
              <w:bottom w:val="single" w:color="000000" w:sz="2" w:space="0"/>
            </w:tcBorders>
            <w:vAlign w:val="top"/>
          </w:tcPr>
          <w:p w14:paraId="443A5497">
            <w:pPr>
              <w:autoSpaceDE w:val="0"/>
              <w:autoSpaceDN w:val="0"/>
              <w:rPr>
                <w:rFonts w:ascii="Arial"/>
                <w:color w:val="auto"/>
                <w:sz w:val="21"/>
                <w:highlight w:val="none"/>
              </w:rPr>
            </w:pPr>
          </w:p>
        </w:tc>
      </w:tr>
      <w:tr w14:paraId="39279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0" w:hRule="atLeast"/>
        </w:trPr>
        <w:tc>
          <w:tcPr>
            <w:tcW w:w="952" w:type="dxa"/>
            <w:tcBorders>
              <w:top w:val="single" w:color="000000" w:sz="2" w:space="0"/>
              <w:bottom w:val="single" w:color="000000" w:sz="2" w:space="0"/>
            </w:tcBorders>
            <w:vAlign w:val="top"/>
          </w:tcPr>
          <w:p w14:paraId="624CCC4F">
            <w:pPr>
              <w:autoSpaceDE w:val="0"/>
              <w:autoSpaceDN w:val="0"/>
              <w:spacing w:before="188" w:line="186" w:lineRule="auto"/>
              <w:ind w:left="415"/>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8</w:t>
            </w:r>
          </w:p>
        </w:tc>
        <w:tc>
          <w:tcPr>
            <w:tcW w:w="6478" w:type="dxa"/>
            <w:tcBorders>
              <w:top w:val="single" w:color="000000" w:sz="2" w:space="0"/>
              <w:bottom w:val="single" w:color="000000" w:sz="2" w:space="0"/>
            </w:tcBorders>
            <w:vAlign w:val="top"/>
          </w:tcPr>
          <w:p w14:paraId="56AA5D54">
            <w:pPr>
              <w:autoSpaceDE w:val="0"/>
              <w:autoSpaceDN w:val="0"/>
              <w:spacing w:before="189" w:line="220" w:lineRule="auto"/>
              <w:ind w:left="108"/>
              <w:rPr>
                <w:rFonts w:hint="eastAsia" w:ascii="宋体" w:hAnsi="宋体" w:cs="宋体"/>
                <w:color w:val="auto"/>
                <w:spacing w:val="-1"/>
                <w:sz w:val="24"/>
                <w:szCs w:val="24"/>
                <w:highlight w:val="none"/>
                <w:lang w:val="en-US" w:eastAsia="zh-CN"/>
              </w:rPr>
            </w:pPr>
            <w:r>
              <w:rPr>
                <w:rFonts w:hint="eastAsia" w:ascii="宋体" w:hAnsi="宋体" w:cs="宋体"/>
                <w:color w:val="auto"/>
                <w:spacing w:val="-1"/>
                <w:sz w:val="24"/>
                <w:szCs w:val="24"/>
                <w:highlight w:val="none"/>
                <w:lang w:val="en-US" w:eastAsia="zh-CN"/>
              </w:rPr>
              <w:t>各项费用合计 （8=1+2+3+4+5+6+7)</w:t>
            </w:r>
          </w:p>
        </w:tc>
        <w:tc>
          <w:tcPr>
            <w:tcW w:w="2136" w:type="dxa"/>
            <w:tcBorders>
              <w:top w:val="single" w:color="000000" w:sz="2" w:space="0"/>
              <w:bottom w:val="single" w:color="000000" w:sz="2" w:space="0"/>
            </w:tcBorders>
            <w:vAlign w:val="top"/>
          </w:tcPr>
          <w:p w14:paraId="32E0A5A3">
            <w:pPr>
              <w:autoSpaceDE w:val="0"/>
              <w:autoSpaceDN w:val="0"/>
              <w:rPr>
                <w:rFonts w:ascii="Arial"/>
                <w:color w:val="auto"/>
                <w:sz w:val="21"/>
                <w:highlight w:val="none"/>
              </w:rPr>
            </w:pPr>
          </w:p>
        </w:tc>
      </w:tr>
      <w:tr w14:paraId="35A5C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952" w:type="dxa"/>
            <w:tcBorders>
              <w:top w:val="single" w:color="000000" w:sz="2" w:space="0"/>
              <w:bottom w:val="single" w:color="000000" w:sz="2" w:space="0"/>
            </w:tcBorders>
            <w:vAlign w:val="top"/>
          </w:tcPr>
          <w:p w14:paraId="54F16992">
            <w:pPr>
              <w:autoSpaceDE w:val="0"/>
              <w:autoSpaceDN w:val="0"/>
              <w:spacing w:before="192" w:line="183" w:lineRule="auto"/>
              <w:ind w:left="414"/>
              <w:rPr>
                <w:rFonts w:hint="eastAsia" w:ascii="Times New Roman" w:hAnsi="Times New Roman" w:eastAsia="宋体" w:cs="Times New Roman"/>
                <w:color w:val="auto"/>
                <w:sz w:val="24"/>
                <w:szCs w:val="24"/>
                <w:highlight w:val="none"/>
                <w:lang w:eastAsia="zh-CN"/>
              </w:rPr>
            </w:pPr>
            <w:r>
              <w:rPr>
                <w:rFonts w:hint="eastAsia" w:eastAsia="宋体" w:cs="Times New Roman"/>
                <w:color w:val="auto"/>
                <w:sz w:val="24"/>
                <w:szCs w:val="24"/>
                <w:highlight w:val="none"/>
                <w:lang w:val="en-US" w:eastAsia="zh-CN"/>
              </w:rPr>
              <w:t>9</w:t>
            </w:r>
          </w:p>
        </w:tc>
        <w:tc>
          <w:tcPr>
            <w:tcW w:w="6478" w:type="dxa"/>
            <w:tcBorders>
              <w:top w:val="single" w:color="000000" w:sz="2" w:space="0"/>
              <w:bottom w:val="single" w:color="000000" w:sz="2" w:space="0"/>
            </w:tcBorders>
            <w:vAlign w:val="top"/>
          </w:tcPr>
          <w:p w14:paraId="09AE76DC">
            <w:pPr>
              <w:autoSpaceDE w:val="0"/>
              <w:autoSpaceDN w:val="0"/>
              <w:spacing w:before="175" w:line="220" w:lineRule="auto"/>
              <w:ind w:left="11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暂</w:t>
            </w:r>
            <w:r>
              <w:rPr>
                <w:rFonts w:ascii="宋体" w:hAnsi="宋体" w:eastAsia="宋体" w:cs="宋体"/>
                <w:color w:val="auto"/>
                <w:spacing w:val="12"/>
                <w:sz w:val="24"/>
                <w:szCs w:val="24"/>
                <w:highlight w:val="none"/>
              </w:rPr>
              <w:t>列金</w:t>
            </w:r>
          </w:p>
        </w:tc>
        <w:tc>
          <w:tcPr>
            <w:tcW w:w="2136" w:type="dxa"/>
            <w:tcBorders>
              <w:top w:val="single" w:color="000000" w:sz="2" w:space="0"/>
              <w:bottom w:val="single" w:color="000000" w:sz="2" w:space="0"/>
            </w:tcBorders>
            <w:vAlign w:val="center"/>
          </w:tcPr>
          <w:p w14:paraId="1B1A153B">
            <w:pPr>
              <w:autoSpaceDE w:val="0"/>
              <w:autoSpaceDN w:val="0"/>
              <w:jc w:val="center"/>
              <w:rPr>
                <w:rFonts w:hint="default" w:ascii="Arial" w:eastAsia="宋体"/>
                <w:color w:val="auto"/>
                <w:sz w:val="21"/>
                <w:highlight w:val="none"/>
                <w:lang w:val="en-US" w:eastAsia="zh-CN"/>
              </w:rPr>
            </w:pPr>
          </w:p>
        </w:tc>
      </w:tr>
      <w:tr w14:paraId="70985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952" w:type="dxa"/>
            <w:tcBorders>
              <w:top w:val="single" w:color="000000" w:sz="2" w:space="0"/>
              <w:bottom w:val="single" w:color="000000" w:sz="2" w:space="0"/>
            </w:tcBorders>
            <w:vAlign w:val="top"/>
          </w:tcPr>
          <w:p w14:paraId="152CBC90">
            <w:pPr>
              <w:autoSpaceDE w:val="0"/>
              <w:autoSpaceDN w:val="0"/>
              <w:spacing w:before="192" w:line="183" w:lineRule="auto"/>
              <w:ind w:left="414"/>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10</w:t>
            </w:r>
          </w:p>
        </w:tc>
        <w:tc>
          <w:tcPr>
            <w:tcW w:w="6478" w:type="dxa"/>
            <w:tcBorders>
              <w:top w:val="single" w:color="000000" w:sz="2" w:space="0"/>
              <w:bottom w:val="single" w:color="000000" w:sz="2" w:space="0"/>
            </w:tcBorders>
            <w:vAlign w:val="top"/>
          </w:tcPr>
          <w:p w14:paraId="46E746D4">
            <w:pPr>
              <w:autoSpaceDE w:val="0"/>
              <w:autoSpaceDN w:val="0"/>
              <w:spacing w:before="175" w:line="220" w:lineRule="auto"/>
              <w:ind w:left="116"/>
              <w:rPr>
                <w:rFonts w:hint="eastAsia" w:ascii="宋体" w:hAnsi="宋体" w:eastAsia="宋体" w:cs="宋体"/>
                <w:color w:val="auto"/>
                <w:spacing w:val="14"/>
                <w:sz w:val="24"/>
                <w:szCs w:val="24"/>
                <w:highlight w:val="none"/>
                <w:lang w:val="en-US" w:eastAsia="zh-CN"/>
              </w:rPr>
            </w:pPr>
            <w:r>
              <w:rPr>
                <w:rFonts w:hint="eastAsia" w:ascii="宋体" w:hAnsi="宋体" w:cs="宋体"/>
                <w:color w:val="auto"/>
                <w:spacing w:val="14"/>
                <w:sz w:val="24"/>
                <w:szCs w:val="24"/>
                <w:highlight w:val="none"/>
                <w:lang w:val="en-US" w:eastAsia="zh-CN"/>
              </w:rPr>
              <w:t>利润</w:t>
            </w:r>
          </w:p>
        </w:tc>
        <w:tc>
          <w:tcPr>
            <w:tcW w:w="2136" w:type="dxa"/>
            <w:tcBorders>
              <w:top w:val="single" w:color="000000" w:sz="2" w:space="0"/>
              <w:bottom w:val="single" w:color="000000" w:sz="2" w:space="0"/>
            </w:tcBorders>
            <w:vAlign w:val="center"/>
          </w:tcPr>
          <w:p w14:paraId="5E2FD370">
            <w:pPr>
              <w:autoSpaceDE w:val="0"/>
              <w:autoSpaceDN w:val="0"/>
              <w:jc w:val="center"/>
              <w:rPr>
                <w:rFonts w:hint="eastAsia" w:ascii="Arial"/>
                <w:color w:val="auto"/>
                <w:sz w:val="21"/>
                <w:highlight w:val="none"/>
                <w:lang w:val="en-US" w:eastAsia="zh-CN"/>
              </w:rPr>
            </w:pPr>
          </w:p>
        </w:tc>
      </w:tr>
      <w:tr w14:paraId="431F3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952" w:type="dxa"/>
            <w:tcBorders>
              <w:top w:val="single" w:color="000000" w:sz="2" w:space="0"/>
              <w:bottom w:val="single" w:color="000000" w:sz="2" w:space="0"/>
            </w:tcBorders>
            <w:vAlign w:val="top"/>
          </w:tcPr>
          <w:p w14:paraId="2DB454C3">
            <w:pPr>
              <w:autoSpaceDE w:val="0"/>
              <w:autoSpaceDN w:val="0"/>
              <w:spacing w:line="329" w:lineRule="auto"/>
              <w:rPr>
                <w:rFonts w:ascii="Arial"/>
                <w:color w:val="auto"/>
                <w:sz w:val="21"/>
                <w:highlight w:val="none"/>
              </w:rPr>
            </w:pPr>
          </w:p>
          <w:p w14:paraId="341FB7C2">
            <w:pPr>
              <w:autoSpaceDE w:val="0"/>
              <w:autoSpaceDN w:val="0"/>
              <w:spacing w:before="69" w:line="186" w:lineRule="auto"/>
              <w:ind w:left="420"/>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11</w:t>
            </w:r>
          </w:p>
        </w:tc>
        <w:tc>
          <w:tcPr>
            <w:tcW w:w="6478" w:type="dxa"/>
            <w:tcBorders>
              <w:top w:val="single" w:color="000000" w:sz="2" w:space="0"/>
              <w:bottom w:val="single" w:color="000000" w:sz="2" w:space="0"/>
            </w:tcBorders>
            <w:vAlign w:val="top"/>
          </w:tcPr>
          <w:p w14:paraId="58F81563">
            <w:pPr>
              <w:autoSpaceDE w:val="0"/>
              <w:autoSpaceDN w:val="0"/>
              <w:spacing w:before="311" w:line="218" w:lineRule="auto"/>
              <w:ind w:left="121"/>
              <w:rPr>
                <w:rFonts w:ascii="宋体" w:hAnsi="宋体" w:eastAsia="宋体" w:cs="宋体"/>
                <w:color w:val="auto"/>
                <w:sz w:val="24"/>
                <w:szCs w:val="24"/>
                <w:highlight w:val="none"/>
              </w:rPr>
            </w:pPr>
            <w:r>
              <w:rPr>
                <w:rFonts w:ascii="宋体" w:hAnsi="宋体" w:eastAsia="宋体" w:cs="宋体"/>
                <w:color w:val="auto"/>
                <w:sz w:val="24"/>
                <w:szCs w:val="24"/>
                <w:highlight w:val="none"/>
              </w:rPr>
              <w:t>报价合计 (</w:t>
            </w:r>
            <w:r>
              <w:rPr>
                <w:rFonts w:hint="eastAsia" w:eastAsia="宋体" w:cs="Times New Roman"/>
                <w:color w:val="auto"/>
                <w:sz w:val="24"/>
                <w:szCs w:val="24"/>
                <w:highlight w:val="none"/>
                <w:lang w:val="en-US" w:eastAsia="zh-CN"/>
              </w:rPr>
              <w:t>11=8+9+10</w:t>
            </w:r>
            <w:r>
              <w:rPr>
                <w:rFonts w:ascii="宋体" w:hAnsi="宋体" w:eastAsia="宋体" w:cs="宋体"/>
                <w:color w:val="auto"/>
                <w:sz w:val="24"/>
                <w:szCs w:val="24"/>
                <w:highlight w:val="none"/>
              </w:rPr>
              <w:t>)</w:t>
            </w:r>
          </w:p>
        </w:tc>
        <w:tc>
          <w:tcPr>
            <w:tcW w:w="2136" w:type="dxa"/>
            <w:tcBorders>
              <w:top w:val="single" w:color="000000" w:sz="2" w:space="0"/>
              <w:bottom w:val="single" w:color="000000" w:sz="2" w:space="0"/>
            </w:tcBorders>
            <w:vAlign w:val="top"/>
          </w:tcPr>
          <w:p w14:paraId="488A054F">
            <w:pPr>
              <w:autoSpaceDE w:val="0"/>
              <w:autoSpaceDN w:val="0"/>
              <w:rPr>
                <w:rFonts w:ascii="Arial"/>
                <w:color w:val="auto"/>
                <w:sz w:val="21"/>
                <w:highlight w:val="none"/>
              </w:rPr>
            </w:pPr>
          </w:p>
        </w:tc>
      </w:tr>
    </w:tbl>
    <w:p w14:paraId="7F1E431A">
      <w:pPr>
        <w:spacing w:line="246" w:lineRule="auto"/>
        <w:rPr>
          <w:rFonts w:ascii="Arial"/>
          <w:color w:val="auto"/>
          <w:sz w:val="21"/>
          <w:highlight w:val="none"/>
        </w:rPr>
      </w:pPr>
    </w:p>
    <w:p w14:paraId="05993C80">
      <w:pPr>
        <w:spacing w:line="246" w:lineRule="auto"/>
        <w:rPr>
          <w:rFonts w:ascii="Arial"/>
          <w:color w:val="auto"/>
          <w:sz w:val="21"/>
          <w:highlight w:val="none"/>
        </w:rPr>
      </w:pPr>
    </w:p>
    <w:p w14:paraId="3EA61D56">
      <w:pPr>
        <w:widowControl/>
        <w:spacing w:line="480" w:lineRule="auto"/>
        <w:jc w:val="center"/>
        <w:rPr>
          <w:rFonts w:hint="eastAsia" w:ascii="宋体" w:hAnsi="宋体" w:eastAsia="宋体" w:cs="宋体"/>
          <w:b w:val="0"/>
          <w:bCs w:val="0"/>
          <w:color w:val="auto"/>
          <w:sz w:val="22"/>
          <w:szCs w:val="22"/>
          <w:highlight w:val="none"/>
          <w:lang w:bidi="ar"/>
        </w:rPr>
      </w:pPr>
    </w:p>
    <w:p w14:paraId="462620C2">
      <w:pPr>
        <w:widowControl/>
        <w:spacing w:line="360" w:lineRule="auto"/>
        <w:jc w:val="center"/>
        <w:rPr>
          <w:rFonts w:eastAsia="黑体"/>
          <w:b/>
          <w:bCs/>
          <w:color w:val="auto"/>
          <w:sz w:val="32"/>
          <w:szCs w:val="32"/>
          <w:highlight w:val="none"/>
        </w:rPr>
      </w:pPr>
    </w:p>
    <w:p w14:paraId="3115DD95">
      <w:pPr>
        <w:pStyle w:val="74"/>
        <w:jc w:val="center"/>
        <w:rPr>
          <w:rFonts w:eastAsia="黑体"/>
          <w:b/>
          <w:bCs/>
          <w:color w:val="auto"/>
          <w:sz w:val="32"/>
          <w:szCs w:val="32"/>
          <w:highlight w:val="none"/>
        </w:rPr>
      </w:pPr>
    </w:p>
    <w:p w14:paraId="64FC753E">
      <w:pPr>
        <w:rPr>
          <w:rFonts w:eastAsia="黑体"/>
          <w:b/>
          <w:bCs/>
          <w:color w:val="auto"/>
          <w:sz w:val="32"/>
          <w:szCs w:val="32"/>
          <w:highlight w:val="none"/>
        </w:rPr>
      </w:pPr>
    </w:p>
    <w:p w14:paraId="6A354170">
      <w:pPr>
        <w:pStyle w:val="74"/>
        <w:rPr>
          <w:rFonts w:eastAsia="黑体"/>
          <w:b/>
          <w:bCs/>
          <w:color w:val="auto"/>
          <w:sz w:val="32"/>
          <w:szCs w:val="32"/>
          <w:highlight w:val="none"/>
        </w:rPr>
      </w:pPr>
    </w:p>
    <w:p w14:paraId="19AF07D0">
      <w:pPr>
        <w:rPr>
          <w:rFonts w:eastAsia="黑体"/>
          <w:b/>
          <w:bCs/>
          <w:color w:val="auto"/>
          <w:sz w:val="32"/>
          <w:szCs w:val="32"/>
          <w:highlight w:val="none"/>
        </w:rPr>
      </w:pPr>
    </w:p>
    <w:p w14:paraId="0B7DD9D4">
      <w:pPr>
        <w:pStyle w:val="74"/>
        <w:rPr>
          <w:rFonts w:eastAsia="黑体"/>
          <w:b/>
          <w:bCs/>
          <w:color w:val="auto"/>
          <w:sz w:val="32"/>
          <w:szCs w:val="32"/>
          <w:highlight w:val="none"/>
        </w:rPr>
      </w:pPr>
    </w:p>
    <w:p w14:paraId="7B9CBB2E">
      <w:pPr>
        <w:rPr>
          <w:rFonts w:eastAsia="黑体"/>
          <w:b/>
          <w:bCs/>
          <w:color w:val="auto"/>
          <w:sz w:val="32"/>
          <w:szCs w:val="32"/>
          <w:highlight w:val="none"/>
        </w:rPr>
      </w:pPr>
    </w:p>
    <w:p w14:paraId="21558DE7">
      <w:pPr>
        <w:pStyle w:val="74"/>
        <w:rPr>
          <w:rFonts w:eastAsia="黑体"/>
          <w:b/>
          <w:bCs/>
          <w:color w:val="auto"/>
          <w:sz w:val="32"/>
          <w:szCs w:val="32"/>
          <w:highlight w:val="none"/>
        </w:rPr>
      </w:pPr>
    </w:p>
    <w:p w14:paraId="227C4F13">
      <w:pPr>
        <w:rPr>
          <w:rFonts w:eastAsia="黑体"/>
          <w:b/>
          <w:bCs/>
          <w:color w:val="auto"/>
          <w:sz w:val="32"/>
          <w:szCs w:val="32"/>
          <w:highlight w:val="none"/>
        </w:rPr>
      </w:pPr>
    </w:p>
    <w:p w14:paraId="6B6BC66A">
      <w:pPr>
        <w:pStyle w:val="74"/>
        <w:rPr>
          <w:rFonts w:eastAsia="黑体"/>
          <w:b/>
          <w:bCs/>
          <w:color w:val="auto"/>
          <w:sz w:val="32"/>
          <w:szCs w:val="32"/>
          <w:highlight w:val="none"/>
        </w:rPr>
      </w:pPr>
    </w:p>
    <w:p w14:paraId="17ACD5DB">
      <w:pPr>
        <w:spacing w:before="91" w:line="221" w:lineRule="auto"/>
        <w:ind w:left="2989"/>
        <w:rPr>
          <w:rFonts w:ascii="黑体" w:hAnsi="黑体" w:eastAsia="黑体" w:cs="黑体"/>
          <w:color w:val="auto"/>
          <w:sz w:val="28"/>
          <w:szCs w:val="28"/>
          <w:highlight w:val="none"/>
        </w:rPr>
      </w:pPr>
      <w:r>
        <w:rPr>
          <w:rFonts w:ascii="黑体" w:hAnsi="黑体" w:eastAsia="黑体" w:cs="黑体"/>
          <w:color w:val="auto"/>
          <w:spacing w:val="12"/>
          <w:sz w:val="28"/>
          <w:szCs w:val="28"/>
          <w:highlight w:val="none"/>
        </w:rPr>
        <w:t>表</w:t>
      </w:r>
      <w:r>
        <w:rPr>
          <w:rFonts w:ascii="Times New Roman" w:hAnsi="Times New Roman" w:eastAsia="Times New Roman" w:cs="Times New Roman"/>
          <w:color w:val="auto"/>
          <w:spacing w:val="12"/>
          <w:sz w:val="28"/>
          <w:szCs w:val="28"/>
          <w:highlight w:val="none"/>
        </w:rPr>
        <w:t xml:space="preserve">2  </w:t>
      </w:r>
      <w:r>
        <w:rPr>
          <w:rFonts w:ascii="黑体" w:hAnsi="黑体" w:eastAsia="黑体" w:cs="黑体"/>
          <w:color w:val="auto"/>
          <w:spacing w:val="12"/>
          <w:sz w:val="28"/>
          <w:szCs w:val="28"/>
          <w:highlight w:val="none"/>
        </w:rPr>
        <w:t>试验检测人员费用报价</w:t>
      </w:r>
      <w:r>
        <w:rPr>
          <w:rFonts w:ascii="黑体" w:hAnsi="黑体" w:eastAsia="黑体" w:cs="黑体"/>
          <w:color w:val="auto"/>
          <w:spacing w:val="10"/>
          <w:sz w:val="28"/>
          <w:szCs w:val="28"/>
          <w:highlight w:val="none"/>
        </w:rPr>
        <w:t>表</w:t>
      </w:r>
    </w:p>
    <w:p w14:paraId="17B0CC26">
      <w:pPr>
        <w:rPr>
          <w:color w:val="auto"/>
          <w:highlight w:val="none"/>
        </w:rPr>
      </w:pPr>
    </w:p>
    <w:p w14:paraId="4A217454">
      <w:pPr>
        <w:spacing w:line="207" w:lineRule="exact"/>
        <w:rPr>
          <w:color w:val="auto"/>
          <w:highlight w:val="none"/>
        </w:rPr>
      </w:pPr>
    </w:p>
    <w:tbl>
      <w:tblPr>
        <w:tblStyle w:val="650"/>
        <w:tblW w:w="101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8"/>
        <w:gridCol w:w="2519"/>
        <w:gridCol w:w="1080"/>
        <w:gridCol w:w="2054"/>
        <w:gridCol w:w="1095"/>
        <w:gridCol w:w="1410"/>
        <w:gridCol w:w="1282"/>
      </w:tblGrid>
      <w:tr w14:paraId="14D7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698" w:type="dxa"/>
            <w:tcBorders>
              <w:top w:val="single" w:color="000000" w:sz="2" w:space="0"/>
              <w:bottom w:val="single" w:color="000000" w:sz="2" w:space="0"/>
            </w:tcBorders>
            <w:vAlign w:val="center"/>
          </w:tcPr>
          <w:p w14:paraId="28366E00">
            <w:pPr>
              <w:autoSpaceDE w:val="0"/>
              <w:autoSpaceDN w:val="0"/>
              <w:spacing w:before="299" w:line="221" w:lineRule="auto"/>
              <w:ind w:left="113"/>
              <w:jc w:val="center"/>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2519" w:type="dxa"/>
            <w:tcBorders>
              <w:top w:val="single" w:color="000000" w:sz="2" w:space="0"/>
              <w:bottom w:val="single" w:color="000000" w:sz="2" w:space="0"/>
            </w:tcBorders>
            <w:vAlign w:val="center"/>
          </w:tcPr>
          <w:p w14:paraId="22BA1B4A">
            <w:pPr>
              <w:autoSpaceDE w:val="0"/>
              <w:autoSpaceDN w:val="0"/>
              <w:spacing w:before="299" w:line="221" w:lineRule="auto"/>
              <w:ind w:left="0"/>
              <w:jc w:val="center"/>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w:t>
            </w:r>
            <w:r>
              <w:rPr>
                <w:rFonts w:ascii="宋体" w:hAnsi="宋体" w:eastAsia="宋体" w:cs="宋体"/>
                <w:color w:val="auto"/>
                <w:spacing w:val="-2"/>
                <w:sz w:val="24"/>
                <w:szCs w:val="24"/>
                <w:highlight w:val="none"/>
              </w:rPr>
              <w:t>员</w:t>
            </w:r>
          </w:p>
        </w:tc>
        <w:tc>
          <w:tcPr>
            <w:tcW w:w="1080" w:type="dxa"/>
            <w:tcBorders>
              <w:top w:val="single" w:color="000000" w:sz="2" w:space="0"/>
              <w:bottom w:val="single" w:color="000000" w:sz="2" w:space="0"/>
            </w:tcBorders>
            <w:vAlign w:val="center"/>
          </w:tcPr>
          <w:p w14:paraId="5620E1DD">
            <w:pPr>
              <w:autoSpaceDE w:val="0"/>
              <w:autoSpaceDN w:val="0"/>
              <w:spacing w:before="165" w:line="214" w:lineRule="auto"/>
              <w:ind w:left="0" w:right="106" w:firstLine="0"/>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施</w:t>
            </w:r>
            <w:r>
              <w:rPr>
                <w:rFonts w:ascii="宋体" w:hAnsi="宋体" w:eastAsia="宋体" w:cs="宋体"/>
                <w:color w:val="auto"/>
                <w:spacing w:val="-2"/>
                <w:sz w:val="24"/>
                <w:szCs w:val="24"/>
                <w:highlight w:val="none"/>
              </w:rPr>
              <w:t>工期</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数</w:t>
            </w:r>
            <w:r>
              <w:rPr>
                <w:rFonts w:ascii="宋体" w:hAnsi="宋体" w:eastAsia="宋体" w:cs="宋体"/>
                <w:color w:val="auto"/>
                <w:spacing w:val="-2"/>
                <w:sz w:val="24"/>
                <w:szCs w:val="24"/>
                <w:highlight w:val="none"/>
              </w:rPr>
              <w:t>量</w:t>
            </w:r>
            <w:r>
              <w:rPr>
                <w:rFonts w:hint="eastAsia" w:ascii="宋体" w:hAnsi="宋体" w:eastAsia="宋体" w:cs="宋体"/>
                <w:color w:val="auto"/>
                <w:spacing w:val="-2"/>
                <w:sz w:val="24"/>
                <w:szCs w:val="24"/>
                <w:highlight w:val="none"/>
                <w:lang w:val="en-US" w:eastAsia="zh-CN"/>
              </w:rPr>
              <w:t xml:space="preserve">（含准备期） </w:t>
            </w:r>
          </w:p>
        </w:tc>
        <w:tc>
          <w:tcPr>
            <w:tcW w:w="2054" w:type="dxa"/>
            <w:tcBorders>
              <w:top w:val="single" w:color="000000" w:sz="2" w:space="0"/>
              <w:bottom w:val="single" w:color="000000" w:sz="2" w:space="0"/>
            </w:tcBorders>
            <w:vAlign w:val="center"/>
          </w:tcPr>
          <w:p w14:paraId="00E94FF2">
            <w:pPr>
              <w:autoSpaceDE w:val="0"/>
              <w:autoSpaceDN w:val="0"/>
              <w:spacing w:before="165" w:line="214" w:lineRule="auto"/>
              <w:ind w:left="745" w:right="35" w:hanging="483"/>
              <w:jc w:val="center"/>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施</w:t>
            </w:r>
            <w:r>
              <w:rPr>
                <w:rFonts w:ascii="宋体" w:hAnsi="宋体" w:eastAsia="宋体" w:cs="宋体"/>
                <w:color w:val="auto"/>
                <w:spacing w:val="14"/>
                <w:sz w:val="24"/>
                <w:szCs w:val="24"/>
                <w:highlight w:val="none"/>
              </w:rPr>
              <w:t>工期单价(元</w:t>
            </w:r>
            <w:r>
              <w:rPr>
                <w:rFonts w:ascii="Times New Roman" w:hAnsi="Times New Roman" w:eastAsia="Times New Roman" w:cs="Times New Roman"/>
                <w:color w:val="auto"/>
                <w:spacing w:val="14"/>
                <w:sz w:val="24"/>
                <w:szCs w:val="24"/>
                <w:highlight w:val="none"/>
              </w:rPr>
              <w:t>/</w:t>
            </w:r>
            <w:r>
              <w:rPr>
                <w:rFonts w:ascii="宋体" w:hAnsi="宋体" w:eastAsia="宋体" w:cs="宋体"/>
                <w:color w:val="auto"/>
                <w:spacing w:val="3"/>
                <w:sz w:val="24"/>
                <w:szCs w:val="24"/>
                <w:highlight w:val="none"/>
              </w:rPr>
              <w:t>人</w:t>
            </w:r>
            <w:r>
              <w:rPr>
                <w:rFonts w:hint="eastAsia" w:eastAsia="宋体" w:cs="Times New Roman"/>
                <w:color w:val="auto"/>
                <w:spacing w:val="3"/>
                <w:sz w:val="24"/>
                <w:szCs w:val="24"/>
                <w:highlight w:val="none"/>
                <w:lang w:val="en-US" w:eastAsia="zh-CN"/>
              </w:rPr>
              <w:t>/</w:t>
            </w:r>
            <w:r>
              <w:rPr>
                <w:rFonts w:ascii="宋体" w:hAnsi="宋体" w:eastAsia="宋体" w:cs="宋体"/>
                <w:color w:val="auto"/>
                <w:spacing w:val="3"/>
                <w:sz w:val="24"/>
                <w:szCs w:val="24"/>
                <w:highlight w:val="none"/>
              </w:rPr>
              <w:t>月</w:t>
            </w:r>
            <w:r>
              <w:rPr>
                <w:rFonts w:ascii="宋体" w:hAnsi="宋体" w:eastAsia="宋体" w:cs="宋体"/>
                <w:color w:val="auto"/>
                <w:spacing w:val="2"/>
                <w:sz w:val="24"/>
                <w:szCs w:val="24"/>
                <w:highlight w:val="none"/>
              </w:rPr>
              <w:t>)</w:t>
            </w:r>
          </w:p>
        </w:tc>
        <w:tc>
          <w:tcPr>
            <w:tcW w:w="1095" w:type="dxa"/>
            <w:tcBorders>
              <w:top w:val="single" w:color="000000" w:sz="2" w:space="0"/>
              <w:bottom w:val="single" w:color="000000" w:sz="2" w:space="0"/>
            </w:tcBorders>
            <w:vAlign w:val="center"/>
          </w:tcPr>
          <w:p w14:paraId="6B7288D3">
            <w:pPr>
              <w:autoSpaceDE w:val="0"/>
              <w:autoSpaceDN w:val="0"/>
              <w:spacing w:before="163" w:line="220" w:lineRule="auto"/>
              <w:ind w:left="0"/>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冬</w:t>
            </w:r>
            <w:r>
              <w:rPr>
                <w:rFonts w:ascii="宋体" w:hAnsi="宋体" w:eastAsia="宋体" w:cs="宋体"/>
                <w:color w:val="auto"/>
                <w:spacing w:val="-3"/>
                <w:sz w:val="24"/>
                <w:szCs w:val="24"/>
                <w:highlight w:val="none"/>
              </w:rPr>
              <w:t>休期</w:t>
            </w:r>
            <w:r>
              <w:rPr>
                <w:rFonts w:ascii="宋体" w:hAnsi="宋体" w:eastAsia="宋体" w:cs="宋体"/>
                <w:color w:val="auto"/>
                <w:spacing w:val="-4"/>
                <w:sz w:val="24"/>
                <w:szCs w:val="24"/>
                <w:highlight w:val="none"/>
              </w:rPr>
              <w:t>数</w:t>
            </w:r>
            <w:r>
              <w:rPr>
                <w:rFonts w:ascii="宋体" w:hAnsi="宋体" w:eastAsia="宋体" w:cs="宋体"/>
                <w:color w:val="auto"/>
                <w:spacing w:val="-2"/>
                <w:sz w:val="24"/>
                <w:szCs w:val="24"/>
                <w:highlight w:val="none"/>
              </w:rPr>
              <w:t>量</w:t>
            </w:r>
            <w:r>
              <w:rPr>
                <w:rFonts w:hint="eastAsia" w:ascii="宋体" w:hAnsi="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缺陷责任期</w:t>
            </w:r>
            <w:r>
              <w:rPr>
                <w:rFonts w:hint="eastAsia" w:ascii="宋体" w:hAnsi="宋体" w:cs="宋体"/>
                <w:color w:val="auto"/>
                <w:spacing w:val="-2"/>
                <w:sz w:val="24"/>
                <w:szCs w:val="24"/>
                <w:highlight w:val="none"/>
                <w:lang w:eastAsia="zh-CN"/>
              </w:rPr>
              <w:t>）</w:t>
            </w:r>
          </w:p>
        </w:tc>
        <w:tc>
          <w:tcPr>
            <w:tcW w:w="1410" w:type="dxa"/>
            <w:tcBorders>
              <w:top w:val="single" w:color="000000" w:sz="2" w:space="0"/>
              <w:bottom w:val="single" w:color="000000" w:sz="2" w:space="0"/>
            </w:tcBorders>
            <w:vAlign w:val="center"/>
          </w:tcPr>
          <w:p w14:paraId="30E46EDF">
            <w:pPr>
              <w:tabs>
                <w:tab w:val="left" w:pos="574"/>
              </w:tabs>
              <w:autoSpaceDE w:val="0"/>
              <w:autoSpaceDN w:val="0"/>
              <w:spacing w:before="163" w:line="224" w:lineRule="auto"/>
              <w:ind w:left="0" w:right="84" w:firstLine="0"/>
              <w:jc w:val="center"/>
              <w:rPr>
                <w:rFonts w:ascii="Times New Roman" w:hAnsi="Times New Roman" w:eastAsia="Times New Roman" w:cs="Times New Roman"/>
                <w:color w:val="auto"/>
                <w:sz w:val="23"/>
                <w:szCs w:val="23"/>
                <w:highlight w:val="none"/>
              </w:rPr>
            </w:pPr>
            <w:r>
              <w:rPr>
                <w:rFonts w:ascii="宋体" w:hAnsi="宋体" w:eastAsia="宋体" w:cs="宋体"/>
                <w:color w:val="auto"/>
                <w:spacing w:val="16"/>
                <w:sz w:val="24"/>
                <w:szCs w:val="24"/>
                <w:highlight w:val="none"/>
              </w:rPr>
              <w:t>冬休期单价(元/</w:t>
            </w:r>
            <w:r>
              <w:rPr>
                <w:rFonts w:hint="eastAsia" w:ascii="宋体" w:hAnsi="宋体" w:eastAsia="宋体" w:cs="宋体"/>
                <w:color w:val="auto"/>
                <w:spacing w:val="16"/>
                <w:sz w:val="24"/>
                <w:szCs w:val="24"/>
                <w:highlight w:val="none"/>
                <w:lang w:val="en-US" w:eastAsia="zh-CN"/>
              </w:rPr>
              <w:t>人/月</w:t>
            </w:r>
            <w:r>
              <w:rPr>
                <w:rFonts w:ascii="宋体" w:hAnsi="宋体" w:eastAsia="宋体" w:cs="宋体"/>
                <w:color w:val="auto"/>
                <w:spacing w:val="16"/>
                <w:sz w:val="24"/>
                <w:szCs w:val="24"/>
                <w:highlight w:val="none"/>
              </w:rPr>
              <w:t>)</w:t>
            </w:r>
          </w:p>
        </w:tc>
        <w:tc>
          <w:tcPr>
            <w:tcW w:w="1282" w:type="dxa"/>
            <w:tcBorders>
              <w:top w:val="single" w:color="000000" w:sz="2" w:space="0"/>
              <w:bottom w:val="single" w:color="000000" w:sz="2" w:space="0"/>
            </w:tcBorders>
            <w:vAlign w:val="center"/>
          </w:tcPr>
          <w:p w14:paraId="4D48BFEF">
            <w:pPr>
              <w:autoSpaceDE w:val="0"/>
              <w:autoSpaceDN w:val="0"/>
              <w:spacing w:before="164" w:line="242" w:lineRule="auto"/>
              <w:ind w:left="0"/>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总金额</w:t>
            </w:r>
          </w:p>
          <w:p w14:paraId="772BC1EC">
            <w:pPr>
              <w:autoSpaceDE w:val="0"/>
              <w:autoSpaceDN w:val="0"/>
              <w:spacing w:line="186" w:lineRule="auto"/>
              <w:ind w:left="0"/>
              <w:jc w:val="center"/>
              <w:rPr>
                <w:rFonts w:ascii="宋体" w:hAnsi="宋体" w:eastAsia="宋体" w:cs="宋体"/>
                <w:color w:val="auto"/>
                <w:sz w:val="24"/>
                <w:szCs w:val="24"/>
                <w:highlight w:val="none"/>
              </w:rPr>
            </w:pPr>
            <w:r>
              <w:rPr>
                <w:rFonts w:ascii="宋体" w:hAnsi="宋体" w:eastAsia="宋体" w:cs="宋体"/>
                <w:color w:val="auto"/>
                <w:spacing w:val="31"/>
                <w:sz w:val="24"/>
                <w:szCs w:val="24"/>
                <w:highlight w:val="none"/>
              </w:rPr>
              <w:t>(</w:t>
            </w:r>
            <w:r>
              <w:rPr>
                <w:rFonts w:ascii="宋体" w:hAnsi="宋体" w:eastAsia="宋体" w:cs="宋体"/>
                <w:color w:val="auto"/>
                <w:spacing w:val="29"/>
                <w:sz w:val="24"/>
                <w:szCs w:val="24"/>
                <w:highlight w:val="none"/>
              </w:rPr>
              <w:t>元)</w:t>
            </w:r>
          </w:p>
        </w:tc>
      </w:tr>
      <w:tr w14:paraId="4EEF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698" w:type="dxa"/>
            <w:tcBorders>
              <w:top w:val="single" w:color="000000" w:sz="2" w:space="0"/>
              <w:bottom w:val="single" w:color="000000" w:sz="2" w:space="0"/>
            </w:tcBorders>
            <w:vAlign w:val="top"/>
          </w:tcPr>
          <w:p w14:paraId="0445A110">
            <w:pPr>
              <w:autoSpaceDE w:val="0"/>
              <w:autoSpaceDN w:val="0"/>
              <w:spacing w:line="296" w:lineRule="auto"/>
              <w:rPr>
                <w:rFonts w:ascii="Arial"/>
                <w:color w:val="auto"/>
                <w:sz w:val="21"/>
                <w:highlight w:val="none"/>
              </w:rPr>
            </w:pPr>
          </w:p>
          <w:p w14:paraId="27E9C751">
            <w:pPr>
              <w:autoSpaceDE w:val="0"/>
              <w:autoSpaceDN w:val="0"/>
              <w:spacing w:before="69" w:line="186" w:lineRule="auto"/>
              <w:ind w:left="31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2519" w:type="dxa"/>
            <w:tcBorders>
              <w:top w:val="single" w:color="000000" w:sz="2" w:space="0"/>
              <w:bottom w:val="single" w:color="000000" w:sz="2" w:space="0"/>
            </w:tcBorders>
            <w:vAlign w:val="center"/>
          </w:tcPr>
          <w:p w14:paraId="5045FE21">
            <w:pPr>
              <w:autoSpaceDE w:val="0"/>
              <w:autoSpaceDN w:val="0"/>
              <w:spacing w:before="158" w:line="214" w:lineRule="auto"/>
              <w:ind w:left="649" w:right="73" w:hanging="580"/>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中心</w:t>
            </w:r>
            <w:r>
              <w:rPr>
                <w:rFonts w:ascii="宋体" w:hAnsi="宋体" w:eastAsia="宋体" w:cs="宋体"/>
                <w:color w:val="auto"/>
                <w:spacing w:val="-4"/>
                <w:sz w:val="24"/>
                <w:szCs w:val="24"/>
                <w:highlight w:val="none"/>
              </w:rPr>
              <w:t>试</w:t>
            </w:r>
            <w:r>
              <w:rPr>
                <w:rFonts w:ascii="宋体" w:hAnsi="宋体" w:eastAsia="宋体" w:cs="宋体"/>
                <w:color w:val="auto"/>
                <w:spacing w:val="-3"/>
                <w:sz w:val="24"/>
                <w:szCs w:val="24"/>
                <w:highlight w:val="none"/>
              </w:rPr>
              <w:t>验室主任</w:t>
            </w:r>
          </w:p>
        </w:tc>
        <w:tc>
          <w:tcPr>
            <w:tcW w:w="1080" w:type="dxa"/>
            <w:tcBorders>
              <w:top w:val="single" w:color="000000" w:sz="2" w:space="0"/>
              <w:bottom w:val="single" w:color="000000" w:sz="2" w:space="0"/>
            </w:tcBorders>
            <w:vAlign w:val="top"/>
          </w:tcPr>
          <w:p w14:paraId="2C0A4FEC">
            <w:pPr>
              <w:autoSpaceDE w:val="0"/>
              <w:autoSpaceDN w:val="0"/>
              <w:rPr>
                <w:rFonts w:ascii="Arial"/>
                <w:color w:val="auto"/>
                <w:sz w:val="21"/>
                <w:highlight w:val="none"/>
              </w:rPr>
            </w:pPr>
          </w:p>
        </w:tc>
        <w:tc>
          <w:tcPr>
            <w:tcW w:w="2054" w:type="dxa"/>
            <w:tcBorders>
              <w:top w:val="single" w:color="000000" w:sz="2" w:space="0"/>
              <w:bottom w:val="single" w:color="000000" w:sz="2" w:space="0"/>
            </w:tcBorders>
            <w:vAlign w:val="top"/>
          </w:tcPr>
          <w:p w14:paraId="41170008">
            <w:pPr>
              <w:autoSpaceDE w:val="0"/>
              <w:autoSpaceDN w:val="0"/>
              <w:rPr>
                <w:rFonts w:ascii="Arial"/>
                <w:color w:val="auto"/>
                <w:sz w:val="21"/>
                <w:highlight w:val="none"/>
              </w:rPr>
            </w:pPr>
          </w:p>
        </w:tc>
        <w:tc>
          <w:tcPr>
            <w:tcW w:w="1095" w:type="dxa"/>
            <w:tcBorders>
              <w:top w:val="single" w:color="000000" w:sz="2" w:space="0"/>
              <w:bottom w:val="single" w:color="000000" w:sz="2" w:space="0"/>
            </w:tcBorders>
            <w:vAlign w:val="top"/>
          </w:tcPr>
          <w:p w14:paraId="5E2C802F">
            <w:pPr>
              <w:autoSpaceDE w:val="0"/>
              <w:autoSpaceDN w:val="0"/>
              <w:rPr>
                <w:rFonts w:ascii="Arial"/>
                <w:color w:val="auto"/>
                <w:sz w:val="21"/>
                <w:highlight w:val="none"/>
              </w:rPr>
            </w:pPr>
          </w:p>
        </w:tc>
        <w:tc>
          <w:tcPr>
            <w:tcW w:w="1410" w:type="dxa"/>
            <w:tcBorders>
              <w:top w:val="single" w:color="000000" w:sz="2" w:space="0"/>
              <w:bottom w:val="single" w:color="000000" w:sz="2" w:space="0"/>
            </w:tcBorders>
            <w:vAlign w:val="top"/>
          </w:tcPr>
          <w:p w14:paraId="4F33768A">
            <w:pPr>
              <w:autoSpaceDE w:val="0"/>
              <w:autoSpaceDN w:val="0"/>
              <w:rPr>
                <w:rFonts w:ascii="Arial"/>
                <w:color w:val="auto"/>
                <w:sz w:val="21"/>
                <w:highlight w:val="none"/>
              </w:rPr>
            </w:pPr>
          </w:p>
        </w:tc>
        <w:tc>
          <w:tcPr>
            <w:tcW w:w="1282" w:type="dxa"/>
            <w:tcBorders>
              <w:top w:val="single" w:color="000000" w:sz="2" w:space="0"/>
              <w:bottom w:val="single" w:color="000000" w:sz="2" w:space="0"/>
            </w:tcBorders>
            <w:vAlign w:val="top"/>
          </w:tcPr>
          <w:p w14:paraId="64ECE1E1">
            <w:pPr>
              <w:autoSpaceDE w:val="0"/>
              <w:autoSpaceDN w:val="0"/>
              <w:rPr>
                <w:rFonts w:ascii="Arial"/>
                <w:color w:val="auto"/>
                <w:sz w:val="21"/>
                <w:highlight w:val="none"/>
              </w:rPr>
            </w:pPr>
          </w:p>
        </w:tc>
      </w:tr>
      <w:tr w14:paraId="0B2BD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698" w:type="dxa"/>
            <w:tcBorders>
              <w:top w:val="single" w:color="000000" w:sz="2" w:space="0"/>
              <w:bottom w:val="single" w:color="000000" w:sz="2" w:space="0"/>
            </w:tcBorders>
            <w:vAlign w:val="top"/>
          </w:tcPr>
          <w:p w14:paraId="0CE1BDAA">
            <w:pPr>
              <w:autoSpaceDE w:val="0"/>
              <w:autoSpaceDN w:val="0"/>
              <w:spacing w:line="296" w:lineRule="auto"/>
              <w:rPr>
                <w:rFonts w:ascii="Arial"/>
                <w:color w:val="auto"/>
                <w:sz w:val="21"/>
                <w:highlight w:val="none"/>
              </w:rPr>
            </w:pPr>
          </w:p>
          <w:p w14:paraId="6540C889">
            <w:pPr>
              <w:autoSpaceDE w:val="0"/>
              <w:autoSpaceDN w:val="0"/>
              <w:spacing w:before="69" w:line="186" w:lineRule="auto"/>
              <w:ind w:left="29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2519" w:type="dxa"/>
            <w:tcBorders>
              <w:top w:val="single" w:color="000000" w:sz="2" w:space="0"/>
              <w:bottom w:val="single" w:color="000000" w:sz="2" w:space="0"/>
            </w:tcBorders>
            <w:vAlign w:val="top"/>
          </w:tcPr>
          <w:p w14:paraId="430D2073">
            <w:pPr>
              <w:autoSpaceDE w:val="0"/>
              <w:autoSpaceDN w:val="0"/>
              <w:spacing w:line="405" w:lineRule="auto"/>
              <w:rPr>
                <w:rFonts w:ascii="Arial"/>
                <w:color w:val="auto"/>
                <w:sz w:val="21"/>
                <w:highlight w:val="none"/>
              </w:rPr>
            </w:pPr>
          </w:p>
          <w:p w14:paraId="765D1396">
            <w:pPr>
              <w:autoSpaceDE w:val="0"/>
              <w:autoSpaceDN w:val="0"/>
              <w:spacing w:before="69" w:line="74" w:lineRule="exact"/>
              <w:ind w:left="1076"/>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4"/>
                <w:position w:val="1"/>
                <w:sz w:val="24"/>
                <w:szCs w:val="24"/>
                <w:highlight w:val="none"/>
              </w:rPr>
              <w:t>.</w:t>
            </w:r>
            <w:r>
              <w:rPr>
                <w:rFonts w:ascii="Times New Roman" w:hAnsi="Times New Roman" w:eastAsia="Times New Roman" w:cs="Times New Roman"/>
                <w:color w:val="auto"/>
                <w:spacing w:val="-3"/>
                <w:position w:val="1"/>
                <w:sz w:val="24"/>
                <w:szCs w:val="24"/>
                <w:highlight w:val="none"/>
              </w:rPr>
              <w:t>.</w:t>
            </w:r>
            <w:r>
              <w:rPr>
                <w:rFonts w:ascii="Times New Roman" w:hAnsi="Times New Roman" w:eastAsia="Times New Roman" w:cs="Times New Roman"/>
                <w:color w:val="auto"/>
                <w:spacing w:val="-2"/>
                <w:position w:val="1"/>
                <w:sz w:val="24"/>
                <w:szCs w:val="24"/>
                <w:highlight w:val="none"/>
              </w:rPr>
              <w:t>....</w:t>
            </w:r>
          </w:p>
        </w:tc>
        <w:tc>
          <w:tcPr>
            <w:tcW w:w="1080" w:type="dxa"/>
            <w:tcBorders>
              <w:top w:val="single" w:color="000000" w:sz="2" w:space="0"/>
              <w:bottom w:val="single" w:color="000000" w:sz="2" w:space="0"/>
            </w:tcBorders>
            <w:vAlign w:val="top"/>
          </w:tcPr>
          <w:p w14:paraId="287FE457">
            <w:pPr>
              <w:autoSpaceDE w:val="0"/>
              <w:autoSpaceDN w:val="0"/>
              <w:rPr>
                <w:rFonts w:ascii="Arial"/>
                <w:color w:val="auto"/>
                <w:sz w:val="21"/>
                <w:highlight w:val="none"/>
              </w:rPr>
            </w:pPr>
          </w:p>
        </w:tc>
        <w:tc>
          <w:tcPr>
            <w:tcW w:w="2054" w:type="dxa"/>
            <w:tcBorders>
              <w:top w:val="single" w:color="000000" w:sz="2" w:space="0"/>
              <w:bottom w:val="single" w:color="000000" w:sz="2" w:space="0"/>
            </w:tcBorders>
            <w:vAlign w:val="top"/>
          </w:tcPr>
          <w:p w14:paraId="7FBAEDF4">
            <w:pPr>
              <w:autoSpaceDE w:val="0"/>
              <w:autoSpaceDN w:val="0"/>
              <w:rPr>
                <w:rFonts w:ascii="Arial"/>
                <w:color w:val="auto"/>
                <w:sz w:val="21"/>
                <w:highlight w:val="none"/>
              </w:rPr>
            </w:pPr>
          </w:p>
        </w:tc>
        <w:tc>
          <w:tcPr>
            <w:tcW w:w="1095" w:type="dxa"/>
            <w:tcBorders>
              <w:top w:val="single" w:color="000000" w:sz="2" w:space="0"/>
              <w:bottom w:val="single" w:color="000000" w:sz="2" w:space="0"/>
            </w:tcBorders>
            <w:vAlign w:val="top"/>
          </w:tcPr>
          <w:p w14:paraId="21504C69">
            <w:pPr>
              <w:autoSpaceDE w:val="0"/>
              <w:autoSpaceDN w:val="0"/>
              <w:rPr>
                <w:rFonts w:ascii="Arial"/>
                <w:color w:val="auto"/>
                <w:sz w:val="21"/>
                <w:highlight w:val="none"/>
              </w:rPr>
            </w:pPr>
          </w:p>
        </w:tc>
        <w:tc>
          <w:tcPr>
            <w:tcW w:w="1410" w:type="dxa"/>
            <w:tcBorders>
              <w:top w:val="single" w:color="000000" w:sz="2" w:space="0"/>
              <w:bottom w:val="single" w:color="000000" w:sz="2" w:space="0"/>
            </w:tcBorders>
            <w:vAlign w:val="top"/>
          </w:tcPr>
          <w:p w14:paraId="2706567D">
            <w:pPr>
              <w:autoSpaceDE w:val="0"/>
              <w:autoSpaceDN w:val="0"/>
              <w:rPr>
                <w:rFonts w:ascii="Arial"/>
                <w:color w:val="auto"/>
                <w:sz w:val="21"/>
                <w:highlight w:val="none"/>
              </w:rPr>
            </w:pPr>
          </w:p>
        </w:tc>
        <w:tc>
          <w:tcPr>
            <w:tcW w:w="1282" w:type="dxa"/>
            <w:tcBorders>
              <w:top w:val="single" w:color="000000" w:sz="2" w:space="0"/>
              <w:bottom w:val="single" w:color="000000" w:sz="2" w:space="0"/>
            </w:tcBorders>
            <w:vAlign w:val="top"/>
          </w:tcPr>
          <w:p w14:paraId="3AA0F15C">
            <w:pPr>
              <w:autoSpaceDE w:val="0"/>
              <w:autoSpaceDN w:val="0"/>
              <w:rPr>
                <w:rFonts w:ascii="Arial"/>
                <w:color w:val="auto"/>
                <w:sz w:val="21"/>
                <w:highlight w:val="none"/>
              </w:rPr>
            </w:pPr>
          </w:p>
        </w:tc>
      </w:tr>
      <w:tr w14:paraId="37ED2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698" w:type="dxa"/>
            <w:tcBorders>
              <w:top w:val="single" w:color="000000" w:sz="2" w:space="0"/>
              <w:bottom w:val="single" w:color="000000" w:sz="2" w:space="0"/>
            </w:tcBorders>
            <w:vAlign w:val="top"/>
          </w:tcPr>
          <w:p w14:paraId="7279DF69">
            <w:pPr>
              <w:autoSpaceDE w:val="0"/>
              <w:autoSpaceDN w:val="0"/>
              <w:spacing w:line="297" w:lineRule="auto"/>
              <w:rPr>
                <w:rFonts w:ascii="Arial"/>
                <w:color w:val="auto"/>
                <w:sz w:val="21"/>
                <w:highlight w:val="none"/>
              </w:rPr>
            </w:pPr>
          </w:p>
          <w:p w14:paraId="11F1D6BD">
            <w:pPr>
              <w:autoSpaceDE w:val="0"/>
              <w:autoSpaceDN w:val="0"/>
              <w:spacing w:before="69" w:line="186" w:lineRule="auto"/>
              <w:ind w:left="29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2519" w:type="dxa"/>
            <w:tcBorders>
              <w:top w:val="single" w:color="000000" w:sz="2" w:space="0"/>
              <w:bottom w:val="single" w:color="000000" w:sz="2" w:space="0"/>
            </w:tcBorders>
            <w:vAlign w:val="top"/>
          </w:tcPr>
          <w:p w14:paraId="10C74054">
            <w:pPr>
              <w:autoSpaceDE w:val="0"/>
              <w:autoSpaceDN w:val="0"/>
              <w:spacing w:before="234" w:line="220" w:lineRule="auto"/>
              <w:ind w:left="29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11"/>
                <w:sz w:val="24"/>
                <w:szCs w:val="24"/>
                <w:highlight w:val="none"/>
              </w:rPr>
              <w:t>其他专业人员)</w:t>
            </w:r>
          </w:p>
        </w:tc>
        <w:tc>
          <w:tcPr>
            <w:tcW w:w="1080" w:type="dxa"/>
            <w:tcBorders>
              <w:top w:val="single" w:color="000000" w:sz="2" w:space="0"/>
              <w:bottom w:val="single" w:color="000000" w:sz="2" w:space="0"/>
            </w:tcBorders>
            <w:vAlign w:val="top"/>
          </w:tcPr>
          <w:p w14:paraId="0520E8F9">
            <w:pPr>
              <w:autoSpaceDE w:val="0"/>
              <w:autoSpaceDN w:val="0"/>
              <w:rPr>
                <w:rFonts w:ascii="Arial"/>
                <w:color w:val="auto"/>
                <w:sz w:val="21"/>
                <w:highlight w:val="none"/>
              </w:rPr>
            </w:pPr>
          </w:p>
        </w:tc>
        <w:tc>
          <w:tcPr>
            <w:tcW w:w="2054" w:type="dxa"/>
            <w:tcBorders>
              <w:top w:val="single" w:color="000000" w:sz="2" w:space="0"/>
              <w:bottom w:val="single" w:color="000000" w:sz="2" w:space="0"/>
            </w:tcBorders>
            <w:vAlign w:val="top"/>
          </w:tcPr>
          <w:p w14:paraId="2458035B">
            <w:pPr>
              <w:autoSpaceDE w:val="0"/>
              <w:autoSpaceDN w:val="0"/>
              <w:rPr>
                <w:rFonts w:ascii="Arial"/>
                <w:color w:val="auto"/>
                <w:sz w:val="21"/>
                <w:highlight w:val="none"/>
              </w:rPr>
            </w:pPr>
          </w:p>
        </w:tc>
        <w:tc>
          <w:tcPr>
            <w:tcW w:w="1095" w:type="dxa"/>
            <w:tcBorders>
              <w:top w:val="single" w:color="000000" w:sz="2" w:space="0"/>
              <w:bottom w:val="single" w:color="000000" w:sz="2" w:space="0"/>
            </w:tcBorders>
            <w:vAlign w:val="top"/>
          </w:tcPr>
          <w:p w14:paraId="62E08DE8">
            <w:pPr>
              <w:autoSpaceDE w:val="0"/>
              <w:autoSpaceDN w:val="0"/>
              <w:rPr>
                <w:rFonts w:ascii="Arial"/>
                <w:color w:val="auto"/>
                <w:sz w:val="21"/>
                <w:highlight w:val="none"/>
              </w:rPr>
            </w:pPr>
          </w:p>
        </w:tc>
        <w:tc>
          <w:tcPr>
            <w:tcW w:w="1410" w:type="dxa"/>
            <w:tcBorders>
              <w:top w:val="single" w:color="000000" w:sz="2" w:space="0"/>
              <w:bottom w:val="single" w:color="000000" w:sz="2" w:space="0"/>
            </w:tcBorders>
            <w:vAlign w:val="top"/>
          </w:tcPr>
          <w:p w14:paraId="742AC17A">
            <w:pPr>
              <w:autoSpaceDE w:val="0"/>
              <w:autoSpaceDN w:val="0"/>
              <w:rPr>
                <w:rFonts w:ascii="Arial"/>
                <w:color w:val="auto"/>
                <w:sz w:val="21"/>
                <w:highlight w:val="none"/>
              </w:rPr>
            </w:pPr>
          </w:p>
        </w:tc>
        <w:tc>
          <w:tcPr>
            <w:tcW w:w="1282" w:type="dxa"/>
            <w:tcBorders>
              <w:top w:val="single" w:color="000000" w:sz="2" w:space="0"/>
              <w:bottom w:val="single" w:color="000000" w:sz="2" w:space="0"/>
            </w:tcBorders>
            <w:vAlign w:val="top"/>
          </w:tcPr>
          <w:p w14:paraId="0070B063">
            <w:pPr>
              <w:autoSpaceDE w:val="0"/>
              <w:autoSpaceDN w:val="0"/>
              <w:rPr>
                <w:rFonts w:ascii="Arial"/>
                <w:color w:val="auto"/>
                <w:sz w:val="21"/>
                <w:highlight w:val="none"/>
              </w:rPr>
            </w:pPr>
          </w:p>
        </w:tc>
      </w:tr>
      <w:tr w14:paraId="36465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698" w:type="dxa"/>
            <w:tcBorders>
              <w:top w:val="single" w:color="000000" w:sz="2" w:space="0"/>
              <w:bottom w:val="single" w:color="000000" w:sz="2" w:space="0"/>
            </w:tcBorders>
            <w:vAlign w:val="top"/>
          </w:tcPr>
          <w:p w14:paraId="0321FBD9">
            <w:pPr>
              <w:autoSpaceDE w:val="0"/>
              <w:autoSpaceDN w:val="0"/>
              <w:spacing w:line="268" w:lineRule="auto"/>
              <w:rPr>
                <w:rFonts w:ascii="Arial"/>
                <w:color w:val="auto"/>
                <w:sz w:val="21"/>
                <w:highlight w:val="none"/>
              </w:rPr>
            </w:pPr>
          </w:p>
          <w:p w14:paraId="66036755">
            <w:pPr>
              <w:autoSpaceDE w:val="0"/>
              <w:autoSpaceDN w:val="0"/>
              <w:spacing w:before="69" w:line="186" w:lineRule="auto"/>
              <w:ind w:left="28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4</w:t>
            </w:r>
          </w:p>
        </w:tc>
        <w:tc>
          <w:tcPr>
            <w:tcW w:w="2519" w:type="dxa"/>
            <w:tcBorders>
              <w:top w:val="single" w:color="000000" w:sz="2" w:space="0"/>
              <w:bottom w:val="single" w:color="000000" w:sz="2" w:space="0"/>
            </w:tcBorders>
            <w:vAlign w:val="top"/>
          </w:tcPr>
          <w:p w14:paraId="443D3765">
            <w:pPr>
              <w:autoSpaceDE w:val="0"/>
              <w:autoSpaceDN w:val="0"/>
              <w:spacing w:line="277" w:lineRule="auto"/>
              <w:rPr>
                <w:rFonts w:ascii="Arial"/>
                <w:color w:val="auto"/>
                <w:sz w:val="21"/>
                <w:highlight w:val="none"/>
              </w:rPr>
            </w:pPr>
          </w:p>
          <w:p w14:paraId="31F5B54E">
            <w:pPr>
              <w:autoSpaceDE w:val="0"/>
              <w:autoSpaceDN w:val="0"/>
              <w:spacing w:before="69" w:line="160" w:lineRule="exact"/>
              <w:ind w:left="88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1"/>
                <w:position w:val="-1"/>
                <w:sz w:val="24"/>
                <w:szCs w:val="24"/>
                <w:highlight w:val="none"/>
              </w:rPr>
              <w:t>-</w:t>
            </w:r>
            <w:r>
              <w:rPr>
                <w:rFonts w:ascii="Times New Roman" w:hAnsi="Times New Roman" w:eastAsia="Times New Roman" w:cs="Times New Roman"/>
                <w:color w:val="auto"/>
                <w:spacing w:val="7"/>
                <w:position w:val="-1"/>
                <w:sz w:val="24"/>
                <w:szCs w:val="24"/>
                <w:highlight w:val="none"/>
              </w:rPr>
              <w:t>-------</w:t>
            </w:r>
          </w:p>
        </w:tc>
        <w:tc>
          <w:tcPr>
            <w:tcW w:w="1080" w:type="dxa"/>
            <w:tcBorders>
              <w:top w:val="single" w:color="000000" w:sz="2" w:space="0"/>
              <w:bottom w:val="single" w:color="000000" w:sz="2" w:space="0"/>
            </w:tcBorders>
            <w:vAlign w:val="top"/>
          </w:tcPr>
          <w:p w14:paraId="3463AB56">
            <w:pPr>
              <w:autoSpaceDE w:val="0"/>
              <w:autoSpaceDN w:val="0"/>
              <w:rPr>
                <w:rFonts w:ascii="Arial"/>
                <w:color w:val="auto"/>
                <w:sz w:val="21"/>
                <w:highlight w:val="none"/>
              </w:rPr>
            </w:pPr>
          </w:p>
        </w:tc>
        <w:tc>
          <w:tcPr>
            <w:tcW w:w="2054" w:type="dxa"/>
            <w:tcBorders>
              <w:top w:val="single" w:color="000000" w:sz="2" w:space="0"/>
              <w:bottom w:val="single" w:color="000000" w:sz="2" w:space="0"/>
            </w:tcBorders>
            <w:vAlign w:val="top"/>
          </w:tcPr>
          <w:p w14:paraId="21253582">
            <w:pPr>
              <w:autoSpaceDE w:val="0"/>
              <w:autoSpaceDN w:val="0"/>
              <w:rPr>
                <w:rFonts w:ascii="Arial"/>
                <w:color w:val="auto"/>
                <w:sz w:val="21"/>
                <w:highlight w:val="none"/>
              </w:rPr>
            </w:pPr>
          </w:p>
        </w:tc>
        <w:tc>
          <w:tcPr>
            <w:tcW w:w="1095" w:type="dxa"/>
            <w:tcBorders>
              <w:top w:val="single" w:color="000000" w:sz="2" w:space="0"/>
              <w:bottom w:val="single" w:color="000000" w:sz="2" w:space="0"/>
            </w:tcBorders>
            <w:vAlign w:val="top"/>
          </w:tcPr>
          <w:p w14:paraId="22C4E175">
            <w:pPr>
              <w:autoSpaceDE w:val="0"/>
              <w:autoSpaceDN w:val="0"/>
              <w:rPr>
                <w:rFonts w:ascii="Arial"/>
                <w:color w:val="auto"/>
                <w:sz w:val="21"/>
                <w:highlight w:val="none"/>
              </w:rPr>
            </w:pPr>
          </w:p>
        </w:tc>
        <w:tc>
          <w:tcPr>
            <w:tcW w:w="1410" w:type="dxa"/>
            <w:tcBorders>
              <w:top w:val="single" w:color="000000" w:sz="2" w:space="0"/>
              <w:bottom w:val="single" w:color="000000" w:sz="2" w:space="0"/>
            </w:tcBorders>
            <w:vAlign w:val="top"/>
          </w:tcPr>
          <w:p w14:paraId="74EF6FF1">
            <w:pPr>
              <w:autoSpaceDE w:val="0"/>
              <w:autoSpaceDN w:val="0"/>
              <w:rPr>
                <w:rFonts w:ascii="Arial"/>
                <w:color w:val="auto"/>
                <w:sz w:val="21"/>
                <w:highlight w:val="none"/>
              </w:rPr>
            </w:pPr>
          </w:p>
        </w:tc>
        <w:tc>
          <w:tcPr>
            <w:tcW w:w="1282" w:type="dxa"/>
            <w:tcBorders>
              <w:top w:val="single" w:color="000000" w:sz="2" w:space="0"/>
              <w:bottom w:val="single" w:color="000000" w:sz="2" w:space="0"/>
            </w:tcBorders>
            <w:vAlign w:val="top"/>
          </w:tcPr>
          <w:p w14:paraId="76308060">
            <w:pPr>
              <w:autoSpaceDE w:val="0"/>
              <w:autoSpaceDN w:val="0"/>
              <w:rPr>
                <w:rFonts w:ascii="Arial"/>
                <w:color w:val="auto"/>
                <w:sz w:val="21"/>
                <w:highlight w:val="none"/>
              </w:rPr>
            </w:pPr>
          </w:p>
        </w:tc>
      </w:tr>
      <w:tr w14:paraId="30A83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698" w:type="dxa"/>
            <w:tcBorders>
              <w:top w:val="single" w:color="000000" w:sz="2" w:space="0"/>
              <w:bottom w:val="single" w:color="000000" w:sz="2" w:space="0"/>
            </w:tcBorders>
            <w:vAlign w:val="top"/>
          </w:tcPr>
          <w:p w14:paraId="25FEA296">
            <w:pPr>
              <w:autoSpaceDE w:val="0"/>
              <w:autoSpaceDN w:val="0"/>
              <w:spacing w:line="376" w:lineRule="auto"/>
              <w:rPr>
                <w:rFonts w:ascii="Arial"/>
                <w:color w:val="auto"/>
                <w:sz w:val="21"/>
                <w:highlight w:val="none"/>
              </w:rPr>
            </w:pPr>
          </w:p>
          <w:p w14:paraId="4C74AE85">
            <w:pPr>
              <w:autoSpaceDE w:val="0"/>
              <w:autoSpaceDN w:val="0"/>
              <w:spacing w:before="69" w:line="183" w:lineRule="auto"/>
              <w:ind w:left="29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5</w:t>
            </w:r>
          </w:p>
        </w:tc>
        <w:tc>
          <w:tcPr>
            <w:tcW w:w="2519" w:type="dxa"/>
            <w:tcBorders>
              <w:top w:val="single" w:color="000000" w:sz="2" w:space="0"/>
              <w:bottom w:val="single" w:color="000000" w:sz="2" w:space="0"/>
            </w:tcBorders>
            <w:vAlign w:val="top"/>
          </w:tcPr>
          <w:p w14:paraId="318B1DBC">
            <w:pPr>
              <w:autoSpaceDE w:val="0"/>
              <w:autoSpaceDN w:val="0"/>
              <w:spacing w:line="367" w:lineRule="auto"/>
              <w:rPr>
                <w:rFonts w:ascii="Arial"/>
                <w:color w:val="auto"/>
                <w:sz w:val="21"/>
                <w:highlight w:val="none"/>
              </w:rPr>
            </w:pPr>
          </w:p>
          <w:p w14:paraId="0FF9A833">
            <w:pPr>
              <w:autoSpaceDE w:val="0"/>
              <w:autoSpaceDN w:val="0"/>
              <w:spacing w:before="69" w:line="160" w:lineRule="exact"/>
              <w:ind w:left="888"/>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pacing w:val="11"/>
                <w:position w:val="-1"/>
                <w:sz w:val="24"/>
                <w:szCs w:val="24"/>
                <w:highlight w:val="none"/>
              </w:rPr>
              <w:t>-</w:t>
            </w:r>
            <w:r>
              <w:rPr>
                <w:rFonts w:ascii="Times New Roman" w:hAnsi="Times New Roman" w:eastAsia="Times New Roman" w:cs="Times New Roman"/>
                <w:color w:val="auto"/>
                <w:spacing w:val="7"/>
                <w:position w:val="-1"/>
                <w:sz w:val="24"/>
                <w:szCs w:val="24"/>
                <w:highlight w:val="none"/>
              </w:rPr>
              <w:t>-------</w:t>
            </w:r>
          </w:p>
        </w:tc>
        <w:tc>
          <w:tcPr>
            <w:tcW w:w="1080" w:type="dxa"/>
            <w:tcBorders>
              <w:top w:val="single" w:color="000000" w:sz="2" w:space="0"/>
              <w:bottom w:val="single" w:color="000000" w:sz="2" w:space="0"/>
            </w:tcBorders>
            <w:vAlign w:val="top"/>
          </w:tcPr>
          <w:p w14:paraId="05F1454C">
            <w:pPr>
              <w:autoSpaceDE w:val="0"/>
              <w:autoSpaceDN w:val="0"/>
              <w:rPr>
                <w:rFonts w:ascii="Arial"/>
                <w:color w:val="auto"/>
                <w:sz w:val="21"/>
                <w:highlight w:val="none"/>
              </w:rPr>
            </w:pPr>
          </w:p>
        </w:tc>
        <w:tc>
          <w:tcPr>
            <w:tcW w:w="2054" w:type="dxa"/>
            <w:tcBorders>
              <w:top w:val="single" w:color="000000" w:sz="2" w:space="0"/>
              <w:bottom w:val="single" w:color="000000" w:sz="2" w:space="0"/>
            </w:tcBorders>
            <w:vAlign w:val="top"/>
          </w:tcPr>
          <w:p w14:paraId="17648F59">
            <w:pPr>
              <w:autoSpaceDE w:val="0"/>
              <w:autoSpaceDN w:val="0"/>
              <w:rPr>
                <w:rFonts w:ascii="Arial"/>
                <w:color w:val="auto"/>
                <w:sz w:val="21"/>
                <w:highlight w:val="none"/>
              </w:rPr>
            </w:pPr>
          </w:p>
        </w:tc>
        <w:tc>
          <w:tcPr>
            <w:tcW w:w="1095" w:type="dxa"/>
            <w:tcBorders>
              <w:top w:val="single" w:color="000000" w:sz="2" w:space="0"/>
              <w:bottom w:val="single" w:color="000000" w:sz="2" w:space="0"/>
            </w:tcBorders>
            <w:vAlign w:val="top"/>
          </w:tcPr>
          <w:p w14:paraId="0E013856">
            <w:pPr>
              <w:autoSpaceDE w:val="0"/>
              <w:autoSpaceDN w:val="0"/>
              <w:rPr>
                <w:rFonts w:ascii="Arial"/>
                <w:color w:val="auto"/>
                <w:sz w:val="21"/>
                <w:highlight w:val="none"/>
              </w:rPr>
            </w:pPr>
          </w:p>
        </w:tc>
        <w:tc>
          <w:tcPr>
            <w:tcW w:w="1410" w:type="dxa"/>
            <w:tcBorders>
              <w:top w:val="single" w:color="000000" w:sz="2" w:space="0"/>
              <w:bottom w:val="single" w:color="000000" w:sz="2" w:space="0"/>
            </w:tcBorders>
            <w:vAlign w:val="top"/>
          </w:tcPr>
          <w:p w14:paraId="264FB592">
            <w:pPr>
              <w:autoSpaceDE w:val="0"/>
              <w:autoSpaceDN w:val="0"/>
              <w:rPr>
                <w:rFonts w:ascii="Arial"/>
                <w:color w:val="auto"/>
                <w:sz w:val="21"/>
                <w:highlight w:val="none"/>
              </w:rPr>
            </w:pPr>
          </w:p>
        </w:tc>
        <w:tc>
          <w:tcPr>
            <w:tcW w:w="1282" w:type="dxa"/>
            <w:tcBorders>
              <w:top w:val="single" w:color="000000" w:sz="2" w:space="0"/>
              <w:bottom w:val="single" w:color="000000" w:sz="2" w:space="0"/>
            </w:tcBorders>
            <w:vAlign w:val="top"/>
          </w:tcPr>
          <w:p w14:paraId="04022011">
            <w:pPr>
              <w:autoSpaceDE w:val="0"/>
              <w:autoSpaceDN w:val="0"/>
              <w:rPr>
                <w:rFonts w:ascii="Arial"/>
                <w:color w:val="auto"/>
                <w:sz w:val="21"/>
                <w:highlight w:val="none"/>
              </w:rPr>
            </w:pPr>
          </w:p>
        </w:tc>
      </w:tr>
      <w:tr w14:paraId="02FF7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3217" w:type="dxa"/>
            <w:gridSpan w:val="2"/>
            <w:tcBorders>
              <w:top w:val="single" w:color="000000" w:sz="2" w:space="0"/>
              <w:bottom w:val="single" w:color="000000" w:sz="2" w:space="0"/>
            </w:tcBorders>
            <w:vAlign w:val="top"/>
          </w:tcPr>
          <w:p w14:paraId="2828DB7A">
            <w:pPr>
              <w:autoSpaceDE w:val="0"/>
              <w:autoSpaceDN w:val="0"/>
              <w:spacing w:line="351" w:lineRule="auto"/>
              <w:rPr>
                <w:rFonts w:ascii="Arial"/>
                <w:color w:val="auto"/>
                <w:sz w:val="21"/>
                <w:highlight w:val="none"/>
              </w:rPr>
            </w:pPr>
          </w:p>
          <w:p w14:paraId="73B0A488">
            <w:pPr>
              <w:autoSpaceDE w:val="0"/>
              <w:autoSpaceDN w:val="0"/>
              <w:spacing w:before="78" w:line="220" w:lineRule="auto"/>
              <w:ind w:left="5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合</w:t>
            </w:r>
            <w:r>
              <w:rPr>
                <w:rFonts w:ascii="宋体" w:hAnsi="宋体" w:eastAsia="宋体" w:cs="宋体"/>
                <w:color w:val="auto"/>
                <w:spacing w:val="5"/>
                <w:sz w:val="24"/>
                <w:szCs w:val="24"/>
                <w:highlight w:val="none"/>
              </w:rPr>
              <w:t xml:space="preserve">计(结转至表 </w:t>
            </w:r>
            <w:r>
              <w:rPr>
                <w:rFonts w:ascii="Times New Roman" w:hAnsi="Times New Roman" w:eastAsia="Times New Roman" w:cs="Times New Roman"/>
                <w:color w:val="auto"/>
                <w:spacing w:val="5"/>
                <w:sz w:val="24"/>
                <w:szCs w:val="24"/>
                <w:highlight w:val="none"/>
              </w:rPr>
              <w:t>1</w:t>
            </w:r>
            <w:r>
              <w:rPr>
                <w:rFonts w:ascii="宋体" w:hAnsi="宋体" w:eastAsia="宋体" w:cs="宋体"/>
                <w:color w:val="auto"/>
                <w:spacing w:val="5"/>
                <w:sz w:val="24"/>
                <w:szCs w:val="24"/>
                <w:highlight w:val="none"/>
              </w:rPr>
              <w:t>)</w:t>
            </w:r>
          </w:p>
        </w:tc>
        <w:tc>
          <w:tcPr>
            <w:tcW w:w="1080" w:type="dxa"/>
            <w:tcBorders>
              <w:top w:val="single" w:color="000000" w:sz="2" w:space="0"/>
              <w:bottom w:val="single" w:color="000000" w:sz="2" w:space="0"/>
            </w:tcBorders>
            <w:vAlign w:val="top"/>
          </w:tcPr>
          <w:p w14:paraId="106F5E49">
            <w:pPr>
              <w:autoSpaceDE w:val="0"/>
              <w:autoSpaceDN w:val="0"/>
              <w:rPr>
                <w:rFonts w:ascii="Arial"/>
                <w:color w:val="auto"/>
                <w:sz w:val="21"/>
                <w:highlight w:val="none"/>
              </w:rPr>
            </w:pPr>
          </w:p>
        </w:tc>
        <w:tc>
          <w:tcPr>
            <w:tcW w:w="2054" w:type="dxa"/>
            <w:tcBorders>
              <w:top w:val="single" w:color="000000" w:sz="2" w:space="0"/>
              <w:bottom w:val="single" w:color="000000" w:sz="2" w:space="0"/>
            </w:tcBorders>
            <w:vAlign w:val="top"/>
          </w:tcPr>
          <w:p w14:paraId="5C03D62E">
            <w:pPr>
              <w:autoSpaceDE w:val="0"/>
              <w:autoSpaceDN w:val="0"/>
              <w:rPr>
                <w:rFonts w:ascii="Arial"/>
                <w:color w:val="auto"/>
                <w:sz w:val="21"/>
                <w:highlight w:val="none"/>
              </w:rPr>
            </w:pPr>
          </w:p>
        </w:tc>
        <w:tc>
          <w:tcPr>
            <w:tcW w:w="1095" w:type="dxa"/>
            <w:tcBorders>
              <w:top w:val="single" w:color="000000" w:sz="2" w:space="0"/>
              <w:bottom w:val="single" w:color="000000" w:sz="2" w:space="0"/>
            </w:tcBorders>
            <w:vAlign w:val="top"/>
          </w:tcPr>
          <w:p w14:paraId="554762EA">
            <w:pPr>
              <w:autoSpaceDE w:val="0"/>
              <w:autoSpaceDN w:val="0"/>
              <w:rPr>
                <w:rFonts w:ascii="Arial"/>
                <w:color w:val="auto"/>
                <w:sz w:val="21"/>
                <w:highlight w:val="none"/>
              </w:rPr>
            </w:pPr>
          </w:p>
        </w:tc>
        <w:tc>
          <w:tcPr>
            <w:tcW w:w="1410" w:type="dxa"/>
            <w:tcBorders>
              <w:top w:val="single" w:color="000000" w:sz="2" w:space="0"/>
              <w:bottom w:val="single" w:color="000000" w:sz="2" w:space="0"/>
            </w:tcBorders>
            <w:vAlign w:val="top"/>
          </w:tcPr>
          <w:p w14:paraId="2DF1A271">
            <w:pPr>
              <w:autoSpaceDE w:val="0"/>
              <w:autoSpaceDN w:val="0"/>
              <w:rPr>
                <w:rFonts w:ascii="Arial"/>
                <w:color w:val="auto"/>
                <w:sz w:val="21"/>
                <w:highlight w:val="none"/>
              </w:rPr>
            </w:pPr>
          </w:p>
        </w:tc>
        <w:tc>
          <w:tcPr>
            <w:tcW w:w="1282" w:type="dxa"/>
            <w:tcBorders>
              <w:top w:val="single" w:color="000000" w:sz="2" w:space="0"/>
              <w:bottom w:val="single" w:color="000000" w:sz="2" w:space="0"/>
            </w:tcBorders>
            <w:vAlign w:val="top"/>
          </w:tcPr>
          <w:p w14:paraId="607F2930">
            <w:pPr>
              <w:autoSpaceDE w:val="0"/>
              <w:autoSpaceDN w:val="0"/>
              <w:rPr>
                <w:rFonts w:ascii="Arial"/>
                <w:color w:val="auto"/>
                <w:sz w:val="21"/>
                <w:highlight w:val="none"/>
              </w:rPr>
            </w:pPr>
          </w:p>
        </w:tc>
      </w:tr>
    </w:tbl>
    <w:p w14:paraId="60F19C6F">
      <w:pPr>
        <w:spacing w:line="255" w:lineRule="auto"/>
        <w:rPr>
          <w:rFonts w:ascii="Arial"/>
          <w:color w:val="auto"/>
          <w:sz w:val="21"/>
          <w:highlight w:val="none"/>
        </w:rPr>
      </w:pPr>
    </w:p>
    <w:p w14:paraId="1032FC35">
      <w:pPr>
        <w:spacing w:line="255" w:lineRule="auto"/>
        <w:rPr>
          <w:rFonts w:ascii="Arial"/>
          <w:color w:val="auto"/>
          <w:sz w:val="21"/>
          <w:highlight w:val="none"/>
        </w:rPr>
      </w:pPr>
    </w:p>
    <w:p w14:paraId="7129E7A1">
      <w:pPr>
        <w:spacing w:line="255" w:lineRule="auto"/>
        <w:rPr>
          <w:rFonts w:ascii="Arial"/>
          <w:color w:val="auto"/>
          <w:sz w:val="21"/>
          <w:highlight w:val="none"/>
        </w:rPr>
      </w:pPr>
    </w:p>
    <w:p w14:paraId="1E729FBD">
      <w:pPr>
        <w:rPr>
          <w:rFonts w:eastAsia="黑体"/>
          <w:b/>
          <w:bCs/>
          <w:color w:val="auto"/>
          <w:sz w:val="32"/>
          <w:szCs w:val="32"/>
          <w:highlight w:val="none"/>
        </w:rPr>
      </w:pPr>
    </w:p>
    <w:p w14:paraId="4703222E">
      <w:pPr>
        <w:pStyle w:val="74"/>
        <w:rPr>
          <w:rFonts w:eastAsia="黑体"/>
          <w:b/>
          <w:bCs/>
          <w:color w:val="auto"/>
          <w:sz w:val="32"/>
          <w:szCs w:val="32"/>
          <w:highlight w:val="none"/>
        </w:rPr>
      </w:pPr>
    </w:p>
    <w:p w14:paraId="2C90F587">
      <w:pPr>
        <w:rPr>
          <w:rFonts w:eastAsia="黑体"/>
          <w:b/>
          <w:bCs/>
          <w:color w:val="auto"/>
          <w:sz w:val="32"/>
          <w:szCs w:val="32"/>
          <w:highlight w:val="none"/>
        </w:rPr>
      </w:pPr>
    </w:p>
    <w:p w14:paraId="4C384A0C">
      <w:pPr>
        <w:pStyle w:val="74"/>
        <w:rPr>
          <w:rFonts w:eastAsia="黑体"/>
          <w:b/>
          <w:bCs/>
          <w:color w:val="auto"/>
          <w:sz w:val="32"/>
          <w:szCs w:val="32"/>
          <w:highlight w:val="none"/>
        </w:rPr>
      </w:pPr>
    </w:p>
    <w:p w14:paraId="6EE2D20C">
      <w:pPr>
        <w:rPr>
          <w:rFonts w:eastAsia="黑体"/>
          <w:b/>
          <w:bCs/>
          <w:color w:val="auto"/>
          <w:sz w:val="32"/>
          <w:szCs w:val="32"/>
          <w:highlight w:val="none"/>
        </w:rPr>
      </w:pPr>
    </w:p>
    <w:p w14:paraId="4C5F6B0E">
      <w:pPr>
        <w:pStyle w:val="74"/>
        <w:rPr>
          <w:rFonts w:eastAsia="黑体"/>
          <w:b/>
          <w:bCs/>
          <w:color w:val="auto"/>
          <w:sz w:val="32"/>
          <w:szCs w:val="32"/>
          <w:highlight w:val="none"/>
        </w:rPr>
      </w:pPr>
    </w:p>
    <w:p w14:paraId="2207F782">
      <w:pPr>
        <w:rPr>
          <w:rFonts w:eastAsia="黑体"/>
          <w:b/>
          <w:bCs/>
          <w:color w:val="auto"/>
          <w:sz w:val="32"/>
          <w:szCs w:val="32"/>
          <w:highlight w:val="none"/>
        </w:rPr>
      </w:pPr>
    </w:p>
    <w:p w14:paraId="04326AF3">
      <w:pPr>
        <w:pStyle w:val="74"/>
        <w:rPr>
          <w:rFonts w:eastAsia="黑体"/>
          <w:b/>
          <w:bCs/>
          <w:color w:val="auto"/>
          <w:sz w:val="32"/>
          <w:szCs w:val="32"/>
          <w:highlight w:val="none"/>
        </w:rPr>
      </w:pPr>
    </w:p>
    <w:p w14:paraId="07B6A093">
      <w:pPr>
        <w:rPr>
          <w:rFonts w:eastAsia="黑体"/>
          <w:b/>
          <w:bCs/>
          <w:color w:val="auto"/>
          <w:sz w:val="32"/>
          <w:szCs w:val="32"/>
          <w:highlight w:val="none"/>
        </w:rPr>
      </w:pPr>
    </w:p>
    <w:p w14:paraId="3ECA7F25">
      <w:pPr>
        <w:pStyle w:val="74"/>
        <w:rPr>
          <w:rFonts w:eastAsia="黑体"/>
          <w:b/>
          <w:bCs/>
          <w:color w:val="auto"/>
          <w:sz w:val="32"/>
          <w:szCs w:val="32"/>
          <w:highlight w:val="none"/>
        </w:rPr>
      </w:pPr>
    </w:p>
    <w:p w14:paraId="706BACB3">
      <w:pPr>
        <w:rPr>
          <w:rFonts w:eastAsia="黑体"/>
          <w:b/>
          <w:bCs/>
          <w:color w:val="auto"/>
          <w:sz w:val="32"/>
          <w:szCs w:val="32"/>
          <w:highlight w:val="none"/>
        </w:rPr>
      </w:pPr>
    </w:p>
    <w:p w14:paraId="14C27A55">
      <w:pPr>
        <w:pStyle w:val="74"/>
        <w:rPr>
          <w:rFonts w:eastAsia="黑体"/>
          <w:b/>
          <w:bCs/>
          <w:color w:val="auto"/>
          <w:sz w:val="32"/>
          <w:szCs w:val="32"/>
          <w:highlight w:val="none"/>
        </w:rPr>
      </w:pPr>
    </w:p>
    <w:p w14:paraId="63A27C22">
      <w:pPr>
        <w:rPr>
          <w:rFonts w:eastAsia="黑体"/>
          <w:b/>
          <w:bCs/>
          <w:color w:val="auto"/>
          <w:sz w:val="32"/>
          <w:szCs w:val="32"/>
          <w:highlight w:val="none"/>
        </w:rPr>
      </w:pPr>
    </w:p>
    <w:p w14:paraId="02FD0BD3">
      <w:pPr>
        <w:pStyle w:val="74"/>
        <w:rPr>
          <w:rFonts w:eastAsia="黑体"/>
          <w:b/>
          <w:bCs/>
          <w:color w:val="auto"/>
          <w:sz w:val="32"/>
          <w:szCs w:val="32"/>
          <w:highlight w:val="none"/>
        </w:rPr>
      </w:pPr>
    </w:p>
    <w:p w14:paraId="6EECA373">
      <w:pPr>
        <w:rPr>
          <w:color w:val="auto"/>
          <w:highlight w:val="none"/>
        </w:rPr>
      </w:pPr>
    </w:p>
    <w:p w14:paraId="37FEC2FA">
      <w:pPr>
        <w:rPr>
          <w:rFonts w:eastAsia="黑体"/>
          <w:b/>
          <w:bCs/>
          <w:color w:val="auto"/>
          <w:sz w:val="32"/>
          <w:szCs w:val="32"/>
          <w:highlight w:val="none"/>
        </w:rPr>
      </w:pPr>
    </w:p>
    <w:p w14:paraId="7C1F5CB4">
      <w:pPr>
        <w:spacing w:before="91" w:line="221" w:lineRule="auto"/>
        <w:ind w:left="0"/>
        <w:jc w:val="center"/>
        <w:rPr>
          <w:rFonts w:ascii="黑体" w:hAnsi="黑体" w:eastAsia="黑体" w:cs="黑体"/>
          <w:color w:val="auto"/>
          <w:sz w:val="28"/>
          <w:szCs w:val="28"/>
          <w:highlight w:val="none"/>
        </w:rPr>
      </w:pPr>
      <w:r>
        <w:rPr>
          <w:rFonts w:ascii="黑体" w:hAnsi="黑体" w:eastAsia="黑体" w:cs="黑体"/>
          <w:color w:val="auto"/>
          <w:spacing w:val="30"/>
          <w:sz w:val="28"/>
          <w:szCs w:val="28"/>
          <w:highlight w:val="none"/>
        </w:rPr>
        <w:t>表</w:t>
      </w:r>
      <w:r>
        <w:rPr>
          <w:rFonts w:ascii="Times New Roman" w:hAnsi="Times New Roman" w:eastAsia="Times New Roman" w:cs="Times New Roman"/>
          <w:color w:val="auto"/>
          <w:spacing w:val="19"/>
          <w:sz w:val="28"/>
          <w:szCs w:val="28"/>
          <w:highlight w:val="none"/>
        </w:rPr>
        <w:t>3</w:t>
      </w:r>
      <w:r>
        <w:rPr>
          <w:rFonts w:ascii="黑体" w:hAnsi="黑体" w:eastAsia="黑体" w:cs="黑体"/>
          <w:color w:val="auto"/>
          <w:spacing w:val="15"/>
          <w:sz w:val="28"/>
          <w:szCs w:val="28"/>
          <w:highlight w:val="none"/>
        </w:rPr>
        <w:t>中心试验室自备办公设施购置使用费报价表</w:t>
      </w:r>
    </w:p>
    <w:p w14:paraId="5E8ACD93">
      <w:pPr>
        <w:rPr>
          <w:color w:val="auto"/>
          <w:highlight w:val="none"/>
        </w:rPr>
      </w:pPr>
    </w:p>
    <w:p w14:paraId="024D7A21">
      <w:pPr>
        <w:spacing w:line="207" w:lineRule="exact"/>
        <w:rPr>
          <w:color w:val="auto"/>
          <w:highlight w:val="none"/>
        </w:rPr>
      </w:pPr>
    </w:p>
    <w:tbl>
      <w:tblPr>
        <w:tblStyle w:val="650"/>
        <w:tblW w:w="9671"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864"/>
        <w:gridCol w:w="1290"/>
        <w:gridCol w:w="2429"/>
        <w:gridCol w:w="2151"/>
      </w:tblGrid>
      <w:tr w14:paraId="19F2C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7" w:hRule="atLeast"/>
        </w:trPr>
        <w:tc>
          <w:tcPr>
            <w:tcW w:w="937" w:type="dxa"/>
            <w:tcBorders>
              <w:top w:val="single" w:color="000000" w:sz="2" w:space="0"/>
              <w:bottom w:val="single" w:color="000000" w:sz="2" w:space="0"/>
            </w:tcBorders>
            <w:vAlign w:val="top"/>
          </w:tcPr>
          <w:p w14:paraId="714164DD">
            <w:pPr>
              <w:autoSpaceDE w:val="0"/>
              <w:autoSpaceDN w:val="0"/>
              <w:spacing w:before="179" w:line="221" w:lineRule="auto"/>
              <w:ind w:left="23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2864" w:type="dxa"/>
            <w:tcBorders>
              <w:top w:val="single" w:color="000000" w:sz="2" w:space="0"/>
              <w:bottom w:val="single" w:color="000000" w:sz="2" w:space="0"/>
            </w:tcBorders>
            <w:vAlign w:val="top"/>
          </w:tcPr>
          <w:p w14:paraId="57D249F5">
            <w:pPr>
              <w:autoSpaceDE w:val="0"/>
              <w:autoSpaceDN w:val="0"/>
              <w:spacing w:before="179" w:line="221" w:lineRule="auto"/>
              <w:ind w:left="83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名称及型</w:t>
            </w:r>
            <w:r>
              <w:rPr>
                <w:rFonts w:ascii="宋体" w:hAnsi="宋体" w:eastAsia="宋体" w:cs="宋体"/>
                <w:color w:val="auto"/>
                <w:spacing w:val="-1"/>
                <w:sz w:val="24"/>
                <w:szCs w:val="24"/>
                <w:highlight w:val="none"/>
              </w:rPr>
              <w:t>号</w:t>
            </w:r>
          </w:p>
        </w:tc>
        <w:tc>
          <w:tcPr>
            <w:tcW w:w="1290" w:type="dxa"/>
            <w:tcBorders>
              <w:top w:val="single" w:color="000000" w:sz="2" w:space="0"/>
              <w:bottom w:val="single" w:color="000000" w:sz="2" w:space="0"/>
            </w:tcBorders>
            <w:vAlign w:val="top"/>
          </w:tcPr>
          <w:p w14:paraId="5AD4D744">
            <w:pPr>
              <w:autoSpaceDE w:val="0"/>
              <w:autoSpaceDN w:val="0"/>
              <w:spacing w:before="178" w:line="220" w:lineRule="auto"/>
              <w:ind w:left="4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数</w:t>
            </w:r>
            <w:r>
              <w:rPr>
                <w:rFonts w:ascii="宋体" w:hAnsi="宋体" w:eastAsia="宋体" w:cs="宋体"/>
                <w:color w:val="auto"/>
                <w:spacing w:val="-2"/>
                <w:sz w:val="24"/>
                <w:szCs w:val="24"/>
                <w:highlight w:val="none"/>
              </w:rPr>
              <w:t>量</w:t>
            </w:r>
          </w:p>
        </w:tc>
        <w:tc>
          <w:tcPr>
            <w:tcW w:w="2429" w:type="dxa"/>
            <w:tcBorders>
              <w:top w:val="single" w:color="000000" w:sz="2" w:space="0"/>
              <w:bottom w:val="single" w:color="000000" w:sz="2" w:space="0"/>
            </w:tcBorders>
            <w:vAlign w:val="top"/>
          </w:tcPr>
          <w:p w14:paraId="52B48C5B">
            <w:pPr>
              <w:autoSpaceDE w:val="0"/>
              <w:autoSpaceDN w:val="0"/>
              <w:spacing w:before="178" w:line="220" w:lineRule="auto"/>
              <w:ind w:left="627"/>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金额(元</w:t>
            </w:r>
            <w:r>
              <w:rPr>
                <w:rFonts w:ascii="宋体" w:hAnsi="宋体" w:eastAsia="宋体" w:cs="宋体"/>
                <w:color w:val="auto"/>
                <w:spacing w:val="18"/>
                <w:sz w:val="24"/>
                <w:szCs w:val="24"/>
                <w:highlight w:val="none"/>
              </w:rPr>
              <w:t>)</w:t>
            </w:r>
          </w:p>
        </w:tc>
        <w:tc>
          <w:tcPr>
            <w:tcW w:w="2151" w:type="dxa"/>
            <w:tcBorders>
              <w:top w:val="single" w:color="000000" w:sz="2" w:space="0"/>
              <w:bottom w:val="single" w:color="000000" w:sz="2" w:space="0"/>
            </w:tcBorders>
            <w:vAlign w:val="top"/>
          </w:tcPr>
          <w:p w14:paraId="10B53D08">
            <w:pPr>
              <w:autoSpaceDE w:val="0"/>
              <w:autoSpaceDN w:val="0"/>
              <w:spacing w:before="179" w:line="221" w:lineRule="auto"/>
              <w:ind w:left="85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w:t>
            </w:r>
          </w:p>
        </w:tc>
      </w:tr>
      <w:tr w14:paraId="0301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937" w:type="dxa"/>
            <w:tcBorders>
              <w:top w:val="single" w:color="000000" w:sz="2" w:space="0"/>
              <w:bottom w:val="single" w:color="000000" w:sz="2" w:space="0"/>
            </w:tcBorders>
            <w:vAlign w:val="top"/>
          </w:tcPr>
          <w:p w14:paraId="33B3924F">
            <w:pPr>
              <w:autoSpaceDE w:val="0"/>
              <w:autoSpaceDN w:val="0"/>
              <w:spacing w:before="262" w:line="186" w:lineRule="auto"/>
              <w:ind w:left="4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2864" w:type="dxa"/>
            <w:tcBorders>
              <w:top w:val="single" w:color="000000" w:sz="2" w:space="0"/>
              <w:bottom w:val="single" w:color="000000" w:sz="2" w:space="0"/>
            </w:tcBorders>
            <w:vAlign w:val="top"/>
          </w:tcPr>
          <w:p w14:paraId="14AA3E8D">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6C193AAC">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2E4DEAAC">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3B71CB1E">
            <w:pPr>
              <w:autoSpaceDE w:val="0"/>
              <w:autoSpaceDN w:val="0"/>
              <w:rPr>
                <w:rFonts w:ascii="Arial"/>
                <w:color w:val="auto"/>
                <w:sz w:val="21"/>
                <w:highlight w:val="none"/>
              </w:rPr>
            </w:pPr>
          </w:p>
        </w:tc>
      </w:tr>
      <w:tr w14:paraId="46777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937" w:type="dxa"/>
            <w:tcBorders>
              <w:top w:val="single" w:color="000000" w:sz="2" w:space="0"/>
              <w:bottom w:val="single" w:color="000000" w:sz="2" w:space="0"/>
            </w:tcBorders>
            <w:vAlign w:val="top"/>
          </w:tcPr>
          <w:p w14:paraId="1EFEA022">
            <w:pPr>
              <w:autoSpaceDE w:val="0"/>
              <w:autoSpaceDN w:val="0"/>
              <w:spacing w:before="277" w:line="186" w:lineRule="auto"/>
              <w:ind w:left="41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2864" w:type="dxa"/>
            <w:tcBorders>
              <w:top w:val="single" w:color="000000" w:sz="2" w:space="0"/>
              <w:bottom w:val="single" w:color="000000" w:sz="2" w:space="0"/>
            </w:tcBorders>
            <w:vAlign w:val="top"/>
          </w:tcPr>
          <w:p w14:paraId="1D44D9C3">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1B3819D8">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345F6472">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3E5617B4">
            <w:pPr>
              <w:autoSpaceDE w:val="0"/>
              <w:autoSpaceDN w:val="0"/>
              <w:rPr>
                <w:rFonts w:ascii="Arial"/>
                <w:color w:val="auto"/>
                <w:sz w:val="21"/>
                <w:highlight w:val="none"/>
              </w:rPr>
            </w:pPr>
          </w:p>
        </w:tc>
      </w:tr>
      <w:tr w14:paraId="6B64F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937" w:type="dxa"/>
            <w:tcBorders>
              <w:top w:val="single" w:color="000000" w:sz="2" w:space="0"/>
              <w:bottom w:val="single" w:color="000000" w:sz="2" w:space="0"/>
            </w:tcBorders>
            <w:vAlign w:val="top"/>
          </w:tcPr>
          <w:p w14:paraId="0DFD1771">
            <w:pPr>
              <w:autoSpaceDE w:val="0"/>
              <w:autoSpaceDN w:val="0"/>
              <w:spacing w:before="262" w:line="186" w:lineRule="auto"/>
              <w:ind w:left="41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2864" w:type="dxa"/>
            <w:tcBorders>
              <w:top w:val="single" w:color="000000" w:sz="2" w:space="0"/>
              <w:bottom w:val="single" w:color="000000" w:sz="2" w:space="0"/>
            </w:tcBorders>
            <w:vAlign w:val="top"/>
          </w:tcPr>
          <w:p w14:paraId="65A5011F">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02D3F982">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3AB88027">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487587DE">
            <w:pPr>
              <w:autoSpaceDE w:val="0"/>
              <w:autoSpaceDN w:val="0"/>
              <w:rPr>
                <w:rFonts w:ascii="Arial"/>
                <w:color w:val="auto"/>
                <w:sz w:val="21"/>
                <w:highlight w:val="none"/>
              </w:rPr>
            </w:pPr>
          </w:p>
        </w:tc>
      </w:tr>
      <w:tr w14:paraId="625C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937" w:type="dxa"/>
            <w:tcBorders>
              <w:top w:val="single" w:color="000000" w:sz="2" w:space="0"/>
              <w:bottom w:val="single" w:color="000000" w:sz="2" w:space="0"/>
            </w:tcBorders>
            <w:vAlign w:val="top"/>
          </w:tcPr>
          <w:p w14:paraId="618EF756">
            <w:pPr>
              <w:autoSpaceDE w:val="0"/>
              <w:autoSpaceDN w:val="0"/>
              <w:spacing w:before="278" w:line="186" w:lineRule="auto"/>
              <w:ind w:left="40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4</w:t>
            </w:r>
          </w:p>
        </w:tc>
        <w:tc>
          <w:tcPr>
            <w:tcW w:w="2864" w:type="dxa"/>
            <w:tcBorders>
              <w:top w:val="single" w:color="000000" w:sz="2" w:space="0"/>
              <w:bottom w:val="single" w:color="000000" w:sz="2" w:space="0"/>
            </w:tcBorders>
            <w:vAlign w:val="top"/>
          </w:tcPr>
          <w:p w14:paraId="60A2F4B5">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47D55B50">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68677016">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7ABFD20F">
            <w:pPr>
              <w:autoSpaceDE w:val="0"/>
              <w:autoSpaceDN w:val="0"/>
              <w:rPr>
                <w:rFonts w:ascii="Arial"/>
                <w:color w:val="auto"/>
                <w:sz w:val="21"/>
                <w:highlight w:val="none"/>
              </w:rPr>
            </w:pPr>
          </w:p>
        </w:tc>
      </w:tr>
      <w:tr w14:paraId="0CF7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937" w:type="dxa"/>
            <w:tcBorders>
              <w:top w:val="single" w:color="000000" w:sz="2" w:space="0"/>
              <w:bottom w:val="single" w:color="000000" w:sz="2" w:space="0"/>
            </w:tcBorders>
            <w:vAlign w:val="top"/>
          </w:tcPr>
          <w:p w14:paraId="72F6380B">
            <w:pPr>
              <w:autoSpaceDE w:val="0"/>
              <w:autoSpaceDN w:val="0"/>
              <w:spacing w:before="282" w:line="183" w:lineRule="auto"/>
              <w:ind w:left="4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5</w:t>
            </w:r>
          </w:p>
        </w:tc>
        <w:tc>
          <w:tcPr>
            <w:tcW w:w="2864" w:type="dxa"/>
            <w:tcBorders>
              <w:top w:val="single" w:color="000000" w:sz="2" w:space="0"/>
              <w:bottom w:val="single" w:color="000000" w:sz="2" w:space="0"/>
            </w:tcBorders>
            <w:vAlign w:val="top"/>
          </w:tcPr>
          <w:p w14:paraId="6237AE0E">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3E948A18">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39051DAF">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4E65D58F">
            <w:pPr>
              <w:autoSpaceDE w:val="0"/>
              <w:autoSpaceDN w:val="0"/>
              <w:rPr>
                <w:rFonts w:ascii="Arial"/>
                <w:color w:val="auto"/>
                <w:sz w:val="21"/>
                <w:highlight w:val="none"/>
              </w:rPr>
            </w:pPr>
          </w:p>
        </w:tc>
      </w:tr>
      <w:tr w14:paraId="67B90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937" w:type="dxa"/>
            <w:tcBorders>
              <w:top w:val="single" w:color="000000" w:sz="2" w:space="0"/>
              <w:bottom w:val="single" w:color="000000" w:sz="2" w:space="0"/>
            </w:tcBorders>
            <w:vAlign w:val="top"/>
          </w:tcPr>
          <w:p w14:paraId="3AE9CCBE">
            <w:pPr>
              <w:autoSpaceDE w:val="0"/>
              <w:autoSpaceDN w:val="0"/>
              <w:spacing w:before="279" w:line="186" w:lineRule="auto"/>
              <w:ind w:left="41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6</w:t>
            </w:r>
          </w:p>
        </w:tc>
        <w:tc>
          <w:tcPr>
            <w:tcW w:w="2864" w:type="dxa"/>
            <w:tcBorders>
              <w:top w:val="single" w:color="000000" w:sz="2" w:space="0"/>
              <w:bottom w:val="single" w:color="000000" w:sz="2" w:space="0"/>
            </w:tcBorders>
            <w:vAlign w:val="top"/>
          </w:tcPr>
          <w:p w14:paraId="61885987">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6CCC8E0F">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1571719D">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351338A7">
            <w:pPr>
              <w:autoSpaceDE w:val="0"/>
              <w:autoSpaceDN w:val="0"/>
              <w:rPr>
                <w:rFonts w:ascii="Arial"/>
                <w:color w:val="auto"/>
                <w:sz w:val="21"/>
                <w:highlight w:val="none"/>
              </w:rPr>
            </w:pPr>
          </w:p>
        </w:tc>
      </w:tr>
      <w:tr w14:paraId="641D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937" w:type="dxa"/>
            <w:tcBorders>
              <w:top w:val="single" w:color="000000" w:sz="2" w:space="0"/>
              <w:bottom w:val="single" w:color="000000" w:sz="2" w:space="0"/>
            </w:tcBorders>
            <w:vAlign w:val="top"/>
          </w:tcPr>
          <w:p w14:paraId="0CE091C1">
            <w:pPr>
              <w:autoSpaceDE w:val="0"/>
              <w:autoSpaceDN w:val="0"/>
              <w:spacing w:before="283" w:line="183" w:lineRule="auto"/>
              <w:ind w:left="414"/>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w:t>
            </w:r>
          </w:p>
        </w:tc>
        <w:tc>
          <w:tcPr>
            <w:tcW w:w="2864" w:type="dxa"/>
            <w:tcBorders>
              <w:top w:val="single" w:color="000000" w:sz="2" w:space="0"/>
              <w:bottom w:val="single" w:color="000000" w:sz="2" w:space="0"/>
            </w:tcBorders>
            <w:vAlign w:val="top"/>
          </w:tcPr>
          <w:p w14:paraId="7AAE9E3E">
            <w:pPr>
              <w:autoSpaceDE w:val="0"/>
              <w:autoSpaceDN w:val="0"/>
              <w:rPr>
                <w:rFonts w:ascii="Arial"/>
                <w:color w:val="auto"/>
                <w:sz w:val="21"/>
                <w:highlight w:val="none"/>
              </w:rPr>
            </w:pPr>
          </w:p>
        </w:tc>
        <w:tc>
          <w:tcPr>
            <w:tcW w:w="1290" w:type="dxa"/>
            <w:tcBorders>
              <w:top w:val="single" w:color="000000" w:sz="2" w:space="0"/>
              <w:bottom w:val="single" w:color="000000" w:sz="2" w:space="0"/>
            </w:tcBorders>
            <w:vAlign w:val="top"/>
          </w:tcPr>
          <w:p w14:paraId="2C31ADB0">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32EE85DF">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5F1DCC6B">
            <w:pPr>
              <w:autoSpaceDE w:val="0"/>
              <w:autoSpaceDN w:val="0"/>
              <w:rPr>
                <w:rFonts w:ascii="Arial"/>
                <w:color w:val="auto"/>
                <w:sz w:val="21"/>
                <w:highlight w:val="none"/>
              </w:rPr>
            </w:pPr>
          </w:p>
        </w:tc>
      </w:tr>
      <w:tr w14:paraId="1C20C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trPr>
        <w:tc>
          <w:tcPr>
            <w:tcW w:w="937" w:type="dxa"/>
            <w:tcBorders>
              <w:top w:val="single" w:color="000000" w:sz="2" w:space="0"/>
              <w:bottom w:val="single" w:color="000000" w:sz="2" w:space="0"/>
            </w:tcBorders>
            <w:vAlign w:val="top"/>
          </w:tcPr>
          <w:p w14:paraId="2F3CF820">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4EF2725F">
            <w:pPr>
              <w:autoSpaceDE w:val="0"/>
              <w:autoSpaceDN w:val="0"/>
              <w:spacing w:before="162" w:line="220" w:lineRule="auto"/>
              <w:ind w:left="74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其</w:t>
            </w:r>
            <w:r>
              <w:rPr>
                <w:rFonts w:ascii="宋体" w:hAnsi="宋体" w:eastAsia="宋体" w:cs="宋体"/>
                <w:color w:val="auto"/>
                <w:spacing w:val="-2"/>
                <w:sz w:val="24"/>
                <w:szCs w:val="24"/>
                <w:highlight w:val="none"/>
              </w:rPr>
              <w:t>他</w:t>
            </w:r>
          </w:p>
        </w:tc>
        <w:tc>
          <w:tcPr>
            <w:tcW w:w="1290" w:type="dxa"/>
            <w:tcBorders>
              <w:top w:val="single" w:color="000000" w:sz="2" w:space="0"/>
              <w:bottom w:val="single" w:color="000000" w:sz="2" w:space="0"/>
            </w:tcBorders>
            <w:vAlign w:val="top"/>
          </w:tcPr>
          <w:p w14:paraId="46DB3575">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45E6033E">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3F3839ED">
            <w:pPr>
              <w:autoSpaceDE w:val="0"/>
              <w:autoSpaceDN w:val="0"/>
              <w:rPr>
                <w:rFonts w:ascii="Arial"/>
                <w:color w:val="auto"/>
                <w:sz w:val="21"/>
                <w:highlight w:val="none"/>
              </w:rPr>
            </w:pPr>
          </w:p>
        </w:tc>
      </w:tr>
      <w:tr w14:paraId="60897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3" w:hRule="atLeast"/>
        </w:trPr>
        <w:tc>
          <w:tcPr>
            <w:tcW w:w="937" w:type="dxa"/>
            <w:tcBorders>
              <w:top w:val="single" w:color="000000" w:sz="2" w:space="0"/>
              <w:bottom w:val="single" w:color="000000" w:sz="2" w:space="0"/>
            </w:tcBorders>
            <w:vAlign w:val="top"/>
          </w:tcPr>
          <w:p w14:paraId="75C452B3">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5B57715F">
            <w:pPr>
              <w:autoSpaceDE w:val="0"/>
              <w:autoSpaceDN w:val="0"/>
              <w:spacing w:before="176" w:line="213" w:lineRule="auto"/>
              <w:ind w:left="49"/>
              <w:rPr>
                <w:rFonts w:ascii="Times New Roman" w:hAnsi="Times New Roman" w:eastAsia="Times New Roman" w:cs="Times New Roman"/>
                <w:color w:val="auto"/>
                <w:sz w:val="24"/>
                <w:szCs w:val="24"/>
                <w:highlight w:val="none"/>
              </w:rPr>
            </w:pPr>
            <w:r>
              <w:rPr>
                <w:rFonts w:ascii="宋体" w:hAnsi="宋体" w:eastAsia="宋体" w:cs="宋体"/>
                <w:color w:val="auto"/>
                <w:spacing w:val="-2"/>
                <w:sz w:val="24"/>
                <w:szCs w:val="24"/>
                <w:highlight w:val="none"/>
              </w:rPr>
              <w:t>合计</w:t>
            </w:r>
            <w:r>
              <w:rPr>
                <w:rFonts w:ascii="Times New Roman" w:hAnsi="Times New Roman" w:eastAsia="Times New Roman" w:cs="Times New Roman"/>
                <w:color w:val="auto"/>
                <w:spacing w:val="-2"/>
                <w:sz w:val="24"/>
                <w:szCs w:val="24"/>
                <w:highlight w:val="none"/>
              </w:rPr>
              <w:t>(</w:t>
            </w:r>
            <w:r>
              <w:rPr>
                <w:rFonts w:ascii="宋体" w:hAnsi="宋体" w:eastAsia="宋体" w:cs="宋体"/>
                <w:color w:val="auto"/>
                <w:spacing w:val="-2"/>
                <w:sz w:val="24"/>
                <w:szCs w:val="24"/>
                <w:highlight w:val="none"/>
              </w:rPr>
              <w:t>结</w:t>
            </w:r>
            <w:r>
              <w:rPr>
                <w:rFonts w:ascii="宋体" w:hAnsi="宋体" w:eastAsia="宋体" w:cs="宋体"/>
                <w:color w:val="auto"/>
                <w:spacing w:val="-1"/>
                <w:sz w:val="24"/>
                <w:szCs w:val="24"/>
                <w:highlight w:val="none"/>
              </w:rPr>
              <w:t>转至表</w:t>
            </w:r>
            <w:r>
              <w:rPr>
                <w:rFonts w:ascii="Times New Roman" w:hAnsi="Times New Roman" w:eastAsia="Times New Roman" w:cs="Times New Roman"/>
                <w:color w:val="auto"/>
                <w:spacing w:val="-1"/>
                <w:sz w:val="24"/>
                <w:szCs w:val="24"/>
                <w:highlight w:val="none"/>
              </w:rPr>
              <w:t>1)</w:t>
            </w:r>
          </w:p>
        </w:tc>
        <w:tc>
          <w:tcPr>
            <w:tcW w:w="1290" w:type="dxa"/>
            <w:tcBorders>
              <w:top w:val="single" w:color="000000" w:sz="2" w:space="0"/>
              <w:bottom w:val="single" w:color="000000" w:sz="2" w:space="0"/>
            </w:tcBorders>
            <w:vAlign w:val="top"/>
          </w:tcPr>
          <w:p w14:paraId="7B09B5F8">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4F37025C">
            <w:pPr>
              <w:autoSpaceDE w:val="0"/>
              <w:autoSpaceDN w:val="0"/>
              <w:rPr>
                <w:rFonts w:ascii="Arial"/>
                <w:color w:val="auto"/>
                <w:sz w:val="21"/>
                <w:highlight w:val="none"/>
              </w:rPr>
            </w:pPr>
          </w:p>
        </w:tc>
        <w:tc>
          <w:tcPr>
            <w:tcW w:w="2151" w:type="dxa"/>
            <w:tcBorders>
              <w:top w:val="single" w:color="000000" w:sz="2" w:space="0"/>
              <w:bottom w:val="single" w:color="000000" w:sz="2" w:space="0"/>
            </w:tcBorders>
            <w:vAlign w:val="top"/>
          </w:tcPr>
          <w:p w14:paraId="7F6BC55B">
            <w:pPr>
              <w:autoSpaceDE w:val="0"/>
              <w:autoSpaceDN w:val="0"/>
              <w:rPr>
                <w:rFonts w:ascii="Arial"/>
                <w:color w:val="auto"/>
                <w:sz w:val="21"/>
                <w:highlight w:val="none"/>
              </w:rPr>
            </w:pPr>
          </w:p>
        </w:tc>
      </w:tr>
    </w:tbl>
    <w:p w14:paraId="1CF95F87">
      <w:pPr>
        <w:spacing w:before="123" w:line="220" w:lineRule="auto"/>
        <w:ind w:left="3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说明：备注一栏中说明新购或利用</w:t>
      </w:r>
      <w:r>
        <w:rPr>
          <w:rFonts w:ascii="宋体" w:hAnsi="宋体" w:eastAsia="宋体" w:cs="宋体"/>
          <w:color w:val="auto"/>
          <w:spacing w:val="-1"/>
          <w:sz w:val="24"/>
          <w:szCs w:val="24"/>
          <w:highlight w:val="none"/>
        </w:rPr>
        <w:t>。</w:t>
      </w:r>
    </w:p>
    <w:p w14:paraId="01A11449">
      <w:pPr>
        <w:spacing w:line="249" w:lineRule="auto"/>
        <w:rPr>
          <w:rFonts w:ascii="Arial"/>
          <w:color w:val="auto"/>
          <w:sz w:val="21"/>
          <w:highlight w:val="none"/>
        </w:rPr>
      </w:pPr>
    </w:p>
    <w:p w14:paraId="41C864BD">
      <w:pPr>
        <w:spacing w:line="249" w:lineRule="auto"/>
        <w:rPr>
          <w:rFonts w:ascii="Arial"/>
          <w:color w:val="auto"/>
          <w:sz w:val="21"/>
          <w:highlight w:val="none"/>
        </w:rPr>
      </w:pPr>
    </w:p>
    <w:p w14:paraId="7C4639E5">
      <w:pPr>
        <w:pStyle w:val="74"/>
        <w:rPr>
          <w:rFonts w:ascii="Arial"/>
          <w:color w:val="auto"/>
          <w:sz w:val="21"/>
          <w:highlight w:val="none"/>
        </w:rPr>
      </w:pPr>
    </w:p>
    <w:p w14:paraId="1D432CA2">
      <w:pPr>
        <w:rPr>
          <w:rFonts w:ascii="Arial"/>
          <w:color w:val="auto"/>
          <w:sz w:val="21"/>
          <w:highlight w:val="none"/>
        </w:rPr>
      </w:pPr>
    </w:p>
    <w:p w14:paraId="276800D5">
      <w:pPr>
        <w:pStyle w:val="74"/>
        <w:rPr>
          <w:rFonts w:ascii="Arial"/>
          <w:color w:val="auto"/>
          <w:sz w:val="21"/>
          <w:highlight w:val="none"/>
        </w:rPr>
      </w:pPr>
    </w:p>
    <w:p w14:paraId="32955EFD">
      <w:pPr>
        <w:rPr>
          <w:rFonts w:ascii="Arial"/>
          <w:color w:val="auto"/>
          <w:sz w:val="21"/>
          <w:highlight w:val="none"/>
        </w:rPr>
      </w:pPr>
    </w:p>
    <w:p w14:paraId="4AEAEF11">
      <w:pPr>
        <w:pStyle w:val="74"/>
        <w:rPr>
          <w:rFonts w:ascii="Arial"/>
          <w:color w:val="auto"/>
          <w:sz w:val="21"/>
          <w:highlight w:val="none"/>
        </w:rPr>
      </w:pPr>
    </w:p>
    <w:p w14:paraId="68371AE8">
      <w:pPr>
        <w:rPr>
          <w:rFonts w:ascii="Arial"/>
          <w:color w:val="auto"/>
          <w:sz w:val="21"/>
          <w:highlight w:val="none"/>
        </w:rPr>
      </w:pPr>
    </w:p>
    <w:p w14:paraId="15D71408">
      <w:pPr>
        <w:pStyle w:val="74"/>
        <w:rPr>
          <w:rFonts w:ascii="Arial"/>
          <w:color w:val="auto"/>
          <w:sz w:val="21"/>
          <w:highlight w:val="none"/>
        </w:rPr>
      </w:pPr>
    </w:p>
    <w:p w14:paraId="00B6DB1F">
      <w:pPr>
        <w:rPr>
          <w:rFonts w:ascii="Arial"/>
          <w:color w:val="auto"/>
          <w:sz w:val="21"/>
          <w:highlight w:val="none"/>
        </w:rPr>
      </w:pPr>
    </w:p>
    <w:p w14:paraId="61EE03D4">
      <w:pPr>
        <w:pStyle w:val="74"/>
        <w:rPr>
          <w:rFonts w:ascii="Arial"/>
          <w:color w:val="auto"/>
          <w:sz w:val="21"/>
          <w:highlight w:val="none"/>
        </w:rPr>
      </w:pPr>
    </w:p>
    <w:p w14:paraId="50585489">
      <w:pPr>
        <w:rPr>
          <w:rFonts w:ascii="Arial"/>
          <w:color w:val="auto"/>
          <w:sz w:val="21"/>
          <w:highlight w:val="none"/>
        </w:rPr>
      </w:pPr>
    </w:p>
    <w:p w14:paraId="687E494D">
      <w:pPr>
        <w:pStyle w:val="74"/>
        <w:rPr>
          <w:rFonts w:ascii="Arial"/>
          <w:color w:val="auto"/>
          <w:sz w:val="21"/>
          <w:highlight w:val="none"/>
        </w:rPr>
      </w:pPr>
    </w:p>
    <w:p w14:paraId="143A8A36">
      <w:pPr>
        <w:rPr>
          <w:rFonts w:ascii="Arial"/>
          <w:color w:val="auto"/>
          <w:sz w:val="21"/>
          <w:highlight w:val="none"/>
        </w:rPr>
      </w:pPr>
    </w:p>
    <w:p w14:paraId="102DAF79">
      <w:pPr>
        <w:pStyle w:val="74"/>
        <w:rPr>
          <w:rFonts w:ascii="Arial"/>
          <w:color w:val="auto"/>
          <w:sz w:val="21"/>
          <w:highlight w:val="none"/>
        </w:rPr>
      </w:pPr>
    </w:p>
    <w:p w14:paraId="33F69325">
      <w:pPr>
        <w:rPr>
          <w:rFonts w:ascii="Arial"/>
          <w:color w:val="auto"/>
          <w:sz w:val="21"/>
          <w:highlight w:val="none"/>
        </w:rPr>
      </w:pPr>
    </w:p>
    <w:p w14:paraId="59EE8823">
      <w:pPr>
        <w:pStyle w:val="74"/>
        <w:rPr>
          <w:rFonts w:ascii="Arial"/>
          <w:color w:val="auto"/>
          <w:sz w:val="21"/>
          <w:highlight w:val="none"/>
        </w:rPr>
      </w:pPr>
    </w:p>
    <w:p w14:paraId="21D075B3">
      <w:pPr>
        <w:rPr>
          <w:rFonts w:ascii="Arial"/>
          <w:color w:val="auto"/>
          <w:sz w:val="21"/>
          <w:highlight w:val="none"/>
        </w:rPr>
      </w:pPr>
    </w:p>
    <w:p w14:paraId="321E4754">
      <w:pPr>
        <w:pStyle w:val="74"/>
        <w:rPr>
          <w:rFonts w:ascii="Arial"/>
          <w:color w:val="auto"/>
          <w:sz w:val="21"/>
          <w:highlight w:val="none"/>
        </w:rPr>
      </w:pPr>
    </w:p>
    <w:p w14:paraId="3A1427CA">
      <w:pPr>
        <w:rPr>
          <w:color w:val="auto"/>
          <w:highlight w:val="none"/>
        </w:rPr>
      </w:pPr>
    </w:p>
    <w:p w14:paraId="4E834FC2">
      <w:pPr>
        <w:spacing w:before="221" w:line="221" w:lineRule="auto"/>
        <w:ind w:left="1412"/>
        <w:rPr>
          <w:rFonts w:ascii="黑体" w:hAnsi="黑体" w:eastAsia="黑体" w:cs="黑体"/>
          <w:color w:val="auto"/>
          <w:sz w:val="28"/>
          <w:szCs w:val="28"/>
          <w:highlight w:val="none"/>
        </w:rPr>
      </w:pPr>
      <w:r>
        <w:rPr>
          <w:rFonts w:ascii="黑体" w:hAnsi="黑体" w:eastAsia="黑体" w:cs="黑体"/>
          <w:color w:val="auto"/>
          <w:spacing w:val="28"/>
          <w:sz w:val="28"/>
          <w:szCs w:val="28"/>
          <w:highlight w:val="none"/>
        </w:rPr>
        <w:t>表</w:t>
      </w:r>
      <w:r>
        <w:rPr>
          <w:rFonts w:ascii="Times New Roman" w:hAnsi="Times New Roman" w:eastAsia="Times New Roman" w:cs="Times New Roman"/>
          <w:color w:val="auto"/>
          <w:spacing w:val="21"/>
          <w:sz w:val="28"/>
          <w:szCs w:val="28"/>
          <w:highlight w:val="none"/>
        </w:rPr>
        <w:t>4</w:t>
      </w:r>
      <w:r>
        <w:rPr>
          <w:rFonts w:ascii="Times New Roman" w:hAnsi="Times New Roman" w:eastAsia="Times New Roman" w:cs="Times New Roman"/>
          <w:color w:val="auto"/>
          <w:spacing w:val="14"/>
          <w:sz w:val="28"/>
          <w:szCs w:val="28"/>
          <w:highlight w:val="none"/>
        </w:rPr>
        <w:t xml:space="preserve">  </w:t>
      </w:r>
      <w:r>
        <w:rPr>
          <w:rFonts w:ascii="黑体" w:hAnsi="黑体" w:eastAsia="黑体" w:cs="黑体"/>
          <w:color w:val="auto"/>
          <w:spacing w:val="14"/>
          <w:sz w:val="28"/>
          <w:szCs w:val="28"/>
          <w:highlight w:val="none"/>
        </w:rPr>
        <w:t>中心试验室自备试验检测设备购置使用费报价表</w:t>
      </w:r>
    </w:p>
    <w:p w14:paraId="2A436F43">
      <w:pPr>
        <w:rPr>
          <w:color w:val="auto"/>
          <w:highlight w:val="none"/>
        </w:rPr>
      </w:pPr>
    </w:p>
    <w:p w14:paraId="023668E3">
      <w:pPr>
        <w:spacing w:line="207" w:lineRule="exact"/>
        <w:rPr>
          <w:color w:val="auto"/>
          <w:highlight w:val="none"/>
        </w:rPr>
      </w:pPr>
    </w:p>
    <w:tbl>
      <w:tblPr>
        <w:tblStyle w:val="650"/>
        <w:tblW w:w="9656" w:type="dxa"/>
        <w:tblInd w:w="1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864"/>
        <w:gridCol w:w="1394"/>
        <w:gridCol w:w="1395"/>
        <w:gridCol w:w="1409"/>
        <w:gridCol w:w="1657"/>
      </w:tblGrid>
      <w:tr w14:paraId="16FF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2" w:hRule="atLeast"/>
        </w:trPr>
        <w:tc>
          <w:tcPr>
            <w:tcW w:w="937" w:type="dxa"/>
            <w:tcBorders>
              <w:top w:val="single" w:color="000000" w:sz="2" w:space="0"/>
              <w:bottom w:val="single" w:color="000000" w:sz="2" w:space="0"/>
            </w:tcBorders>
            <w:vAlign w:val="top"/>
          </w:tcPr>
          <w:p w14:paraId="7107E823">
            <w:pPr>
              <w:autoSpaceDE w:val="0"/>
              <w:autoSpaceDN w:val="0"/>
              <w:spacing w:line="324" w:lineRule="auto"/>
              <w:rPr>
                <w:rFonts w:ascii="Arial"/>
                <w:color w:val="auto"/>
                <w:sz w:val="21"/>
                <w:highlight w:val="none"/>
              </w:rPr>
            </w:pPr>
          </w:p>
          <w:p w14:paraId="74E55773">
            <w:pPr>
              <w:autoSpaceDE w:val="0"/>
              <w:autoSpaceDN w:val="0"/>
              <w:spacing w:before="78" w:line="221" w:lineRule="auto"/>
              <w:ind w:left="32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2864" w:type="dxa"/>
            <w:tcBorders>
              <w:top w:val="single" w:color="000000" w:sz="2" w:space="0"/>
              <w:bottom w:val="single" w:color="000000" w:sz="2" w:space="0"/>
            </w:tcBorders>
            <w:vAlign w:val="top"/>
          </w:tcPr>
          <w:p w14:paraId="75364F25">
            <w:pPr>
              <w:autoSpaceDE w:val="0"/>
              <w:autoSpaceDN w:val="0"/>
              <w:spacing w:line="324" w:lineRule="auto"/>
              <w:rPr>
                <w:rFonts w:ascii="Arial"/>
                <w:color w:val="auto"/>
                <w:sz w:val="21"/>
                <w:highlight w:val="none"/>
              </w:rPr>
            </w:pPr>
          </w:p>
          <w:p w14:paraId="6D72BA50">
            <w:pPr>
              <w:autoSpaceDE w:val="0"/>
              <w:autoSpaceDN w:val="0"/>
              <w:spacing w:before="78" w:line="221" w:lineRule="auto"/>
              <w:ind w:left="93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设</w:t>
            </w:r>
            <w:r>
              <w:rPr>
                <w:rFonts w:ascii="宋体" w:hAnsi="宋体" w:eastAsia="宋体" w:cs="宋体"/>
                <w:color w:val="auto"/>
                <w:spacing w:val="-2"/>
                <w:sz w:val="24"/>
                <w:szCs w:val="24"/>
                <w:highlight w:val="none"/>
              </w:rPr>
              <w:t>备名称</w:t>
            </w:r>
          </w:p>
        </w:tc>
        <w:tc>
          <w:tcPr>
            <w:tcW w:w="1394" w:type="dxa"/>
            <w:tcBorders>
              <w:top w:val="single" w:color="000000" w:sz="2" w:space="0"/>
              <w:bottom w:val="single" w:color="000000" w:sz="2" w:space="0"/>
            </w:tcBorders>
            <w:vAlign w:val="top"/>
          </w:tcPr>
          <w:p w14:paraId="330CCBFE">
            <w:pPr>
              <w:autoSpaceDE w:val="0"/>
              <w:autoSpaceDN w:val="0"/>
              <w:spacing w:line="324" w:lineRule="auto"/>
              <w:rPr>
                <w:rFonts w:ascii="Arial"/>
                <w:color w:val="auto"/>
                <w:sz w:val="21"/>
                <w:highlight w:val="none"/>
              </w:rPr>
            </w:pPr>
          </w:p>
          <w:p w14:paraId="0DBD707F">
            <w:pPr>
              <w:autoSpaceDE w:val="0"/>
              <w:autoSpaceDN w:val="0"/>
              <w:spacing w:before="78" w:line="221" w:lineRule="auto"/>
              <w:ind w:left="46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型</w:t>
            </w:r>
            <w:r>
              <w:rPr>
                <w:rFonts w:ascii="宋体" w:hAnsi="宋体" w:eastAsia="宋体" w:cs="宋体"/>
                <w:color w:val="auto"/>
                <w:spacing w:val="-4"/>
                <w:sz w:val="24"/>
                <w:szCs w:val="24"/>
                <w:highlight w:val="none"/>
              </w:rPr>
              <w:t>号</w:t>
            </w:r>
          </w:p>
        </w:tc>
        <w:tc>
          <w:tcPr>
            <w:tcW w:w="1395" w:type="dxa"/>
            <w:tcBorders>
              <w:top w:val="single" w:color="000000" w:sz="2" w:space="0"/>
              <w:bottom w:val="single" w:color="000000" w:sz="2" w:space="0"/>
            </w:tcBorders>
            <w:vAlign w:val="top"/>
          </w:tcPr>
          <w:p w14:paraId="2C818EF4">
            <w:pPr>
              <w:autoSpaceDE w:val="0"/>
              <w:autoSpaceDN w:val="0"/>
              <w:spacing w:line="323" w:lineRule="auto"/>
              <w:rPr>
                <w:rFonts w:ascii="Arial"/>
                <w:color w:val="auto"/>
                <w:sz w:val="21"/>
                <w:highlight w:val="none"/>
              </w:rPr>
            </w:pPr>
          </w:p>
          <w:p w14:paraId="73E67079">
            <w:pPr>
              <w:autoSpaceDE w:val="0"/>
              <w:autoSpaceDN w:val="0"/>
              <w:spacing w:before="78" w:line="220" w:lineRule="auto"/>
              <w:ind w:left="44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数</w:t>
            </w:r>
            <w:r>
              <w:rPr>
                <w:rFonts w:ascii="宋体" w:hAnsi="宋体" w:eastAsia="宋体" w:cs="宋体"/>
                <w:color w:val="auto"/>
                <w:spacing w:val="-2"/>
                <w:sz w:val="24"/>
                <w:szCs w:val="24"/>
                <w:highlight w:val="none"/>
              </w:rPr>
              <w:t>量</w:t>
            </w:r>
          </w:p>
        </w:tc>
        <w:tc>
          <w:tcPr>
            <w:tcW w:w="1409" w:type="dxa"/>
            <w:tcBorders>
              <w:top w:val="single" w:color="000000" w:sz="2" w:space="0"/>
              <w:bottom w:val="single" w:color="000000" w:sz="2" w:space="0"/>
            </w:tcBorders>
            <w:vAlign w:val="top"/>
          </w:tcPr>
          <w:p w14:paraId="0A5EC934">
            <w:pPr>
              <w:autoSpaceDE w:val="0"/>
              <w:autoSpaceDN w:val="0"/>
              <w:spacing w:line="323" w:lineRule="auto"/>
              <w:rPr>
                <w:rFonts w:ascii="Arial"/>
                <w:color w:val="auto"/>
                <w:sz w:val="21"/>
                <w:highlight w:val="none"/>
              </w:rPr>
            </w:pPr>
          </w:p>
          <w:p w14:paraId="249BCC1A">
            <w:pPr>
              <w:autoSpaceDE w:val="0"/>
              <w:autoSpaceDN w:val="0"/>
              <w:spacing w:before="78" w:line="220" w:lineRule="auto"/>
              <w:ind w:left="179"/>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金额(元</w:t>
            </w:r>
            <w:r>
              <w:rPr>
                <w:rFonts w:ascii="宋体" w:hAnsi="宋体" w:eastAsia="宋体" w:cs="宋体"/>
                <w:color w:val="auto"/>
                <w:spacing w:val="18"/>
                <w:sz w:val="24"/>
                <w:szCs w:val="24"/>
                <w:highlight w:val="none"/>
              </w:rPr>
              <w:t>)</w:t>
            </w:r>
          </w:p>
        </w:tc>
        <w:tc>
          <w:tcPr>
            <w:tcW w:w="1657" w:type="dxa"/>
            <w:tcBorders>
              <w:top w:val="single" w:color="000000" w:sz="2" w:space="0"/>
              <w:bottom w:val="single" w:color="000000" w:sz="2" w:space="0"/>
            </w:tcBorders>
            <w:vAlign w:val="top"/>
          </w:tcPr>
          <w:p w14:paraId="1F10E246">
            <w:pPr>
              <w:autoSpaceDE w:val="0"/>
              <w:autoSpaceDN w:val="0"/>
              <w:spacing w:line="324" w:lineRule="auto"/>
              <w:rPr>
                <w:rFonts w:ascii="Arial"/>
                <w:color w:val="auto"/>
                <w:sz w:val="21"/>
                <w:highlight w:val="none"/>
              </w:rPr>
            </w:pPr>
          </w:p>
          <w:p w14:paraId="246A274E">
            <w:pPr>
              <w:autoSpaceDE w:val="0"/>
              <w:autoSpaceDN w:val="0"/>
              <w:spacing w:before="78" w:line="221" w:lineRule="auto"/>
              <w:ind w:left="64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w:t>
            </w:r>
          </w:p>
        </w:tc>
      </w:tr>
      <w:tr w14:paraId="76349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937" w:type="dxa"/>
            <w:tcBorders>
              <w:top w:val="single" w:color="000000" w:sz="2" w:space="0"/>
              <w:bottom w:val="single" w:color="000000" w:sz="2" w:space="0"/>
            </w:tcBorders>
            <w:vAlign w:val="top"/>
          </w:tcPr>
          <w:p w14:paraId="10EF9C79">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367F0959">
            <w:pPr>
              <w:autoSpaceDE w:val="0"/>
              <w:autoSpaceDN w:val="0"/>
              <w:rPr>
                <w:rFonts w:ascii="Arial"/>
                <w:color w:val="auto"/>
                <w:sz w:val="21"/>
                <w:highlight w:val="none"/>
              </w:rPr>
            </w:pPr>
          </w:p>
        </w:tc>
        <w:tc>
          <w:tcPr>
            <w:tcW w:w="1394" w:type="dxa"/>
            <w:tcBorders>
              <w:top w:val="single" w:color="000000" w:sz="2" w:space="0"/>
              <w:bottom w:val="single" w:color="000000" w:sz="2" w:space="0"/>
            </w:tcBorders>
            <w:vAlign w:val="top"/>
          </w:tcPr>
          <w:p w14:paraId="5B27FD7A">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4530D79C">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641EF832">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406F73ED">
            <w:pPr>
              <w:autoSpaceDE w:val="0"/>
              <w:autoSpaceDN w:val="0"/>
              <w:rPr>
                <w:rFonts w:ascii="Arial"/>
                <w:color w:val="auto"/>
                <w:sz w:val="21"/>
                <w:highlight w:val="none"/>
              </w:rPr>
            </w:pPr>
          </w:p>
        </w:tc>
      </w:tr>
      <w:tr w14:paraId="2F9BE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937" w:type="dxa"/>
            <w:tcBorders>
              <w:top w:val="single" w:color="000000" w:sz="2" w:space="0"/>
              <w:bottom w:val="single" w:color="000000" w:sz="2" w:space="0"/>
            </w:tcBorders>
            <w:vAlign w:val="top"/>
          </w:tcPr>
          <w:p w14:paraId="38777317">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0C999AF8">
            <w:pPr>
              <w:autoSpaceDE w:val="0"/>
              <w:autoSpaceDN w:val="0"/>
              <w:rPr>
                <w:rFonts w:ascii="Arial"/>
                <w:color w:val="auto"/>
                <w:sz w:val="21"/>
                <w:highlight w:val="none"/>
              </w:rPr>
            </w:pPr>
          </w:p>
        </w:tc>
        <w:tc>
          <w:tcPr>
            <w:tcW w:w="1394" w:type="dxa"/>
            <w:tcBorders>
              <w:top w:val="single" w:color="000000" w:sz="2" w:space="0"/>
              <w:bottom w:val="single" w:color="000000" w:sz="2" w:space="0"/>
            </w:tcBorders>
            <w:vAlign w:val="top"/>
          </w:tcPr>
          <w:p w14:paraId="2BB9440A">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67C2AAEF">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06B9802E">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75B1EB9B">
            <w:pPr>
              <w:autoSpaceDE w:val="0"/>
              <w:autoSpaceDN w:val="0"/>
              <w:rPr>
                <w:rFonts w:ascii="Arial"/>
                <w:color w:val="auto"/>
                <w:sz w:val="21"/>
                <w:highlight w:val="none"/>
              </w:rPr>
            </w:pPr>
          </w:p>
        </w:tc>
      </w:tr>
      <w:tr w14:paraId="78CA9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937" w:type="dxa"/>
            <w:tcBorders>
              <w:top w:val="single" w:color="000000" w:sz="2" w:space="0"/>
              <w:bottom w:val="single" w:color="000000" w:sz="2" w:space="0"/>
            </w:tcBorders>
            <w:vAlign w:val="top"/>
          </w:tcPr>
          <w:p w14:paraId="73E1A7E0">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3819776B">
            <w:pPr>
              <w:autoSpaceDE w:val="0"/>
              <w:autoSpaceDN w:val="0"/>
              <w:rPr>
                <w:rFonts w:ascii="Arial"/>
                <w:color w:val="auto"/>
                <w:sz w:val="21"/>
                <w:highlight w:val="none"/>
              </w:rPr>
            </w:pPr>
          </w:p>
        </w:tc>
        <w:tc>
          <w:tcPr>
            <w:tcW w:w="1394" w:type="dxa"/>
            <w:tcBorders>
              <w:top w:val="single" w:color="000000" w:sz="2" w:space="0"/>
              <w:bottom w:val="single" w:color="000000" w:sz="2" w:space="0"/>
            </w:tcBorders>
            <w:vAlign w:val="top"/>
          </w:tcPr>
          <w:p w14:paraId="3FDDA55A">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6D09D19E">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6098F6DE">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54C812AC">
            <w:pPr>
              <w:autoSpaceDE w:val="0"/>
              <w:autoSpaceDN w:val="0"/>
              <w:rPr>
                <w:rFonts w:ascii="Arial"/>
                <w:color w:val="auto"/>
                <w:sz w:val="21"/>
                <w:highlight w:val="none"/>
              </w:rPr>
            </w:pPr>
          </w:p>
        </w:tc>
      </w:tr>
      <w:tr w14:paraId="4995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937" w:type="dxa"/>
            <w:tcBorders>
              <w:top w:val="single" w:color="000000" w:sz="2" w:space="0"/>
              <w:bottom w:val="single" w:color="000000" w:sz="2" w:space="0"/>
            </w:tcBorders>
            <w:vAlign w:val="top"/>
          </w:tcPr>
          <w:p w14:paraId="183299EC">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3E7C0160">
            <w:pPr>
              <w:autoSpaceDE w:val="0"/>
              <w:autoSpaceDN w:val="0"/>
              <w:rPr>
                <w:rFonts w:ascii="Arial"/>
                <w:color w:val="auto"/>
                <w:sz w:val="21"/>
                <w:highlight w:val="none"/>
              </w:rPr>
            </w:pPr>
          </w:p>
        </w:tc>
        <w:tc>
          <w:tcPr>
            <w:tcW w:w="1394" w:type="dxa"/>
            <w:tcBorders>
              <w:top w:val="single" w:color="000000" w:sz="2" w:space="0"/>
              <w:bottom w:val="single" w:color="000000" w:sz="2" w:space="0"/>
            </w:tcBorders>
            <w:vAlign w:val="top"/>
          </w:tcPr>
          <w:p w14:paraId="1EA505B8">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364E284A">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4AD28BAC">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4C058D6B">
            <w:pPr>
              <w:autoSpaceDE w:val="0"/>
              <w:autoSpaceDN w:val="0"/>
              <w:rPr>
                <w:rFonts w:ascii="Arial"/>
                <w:color w:val="auto"/>
                <w:sz w:val="21"/>
                <w:highlight w:val="none"/>
              </w:rPr>
            </w:pPr>
          </w:p>
        </w:tc>
      </w:tr>
      <w:tr w14:paraId="02E1F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937" w:type="dxa"/>
            <w:tcBorders>
              <w:top w:val="single" w:color="000000" w:sz="2" w:space="0"/>
              <w:bottom w:val="single" w:color="000000" w:sz="2" w:space="0"/>
            </w:tcBorders>
            <w:vAlign w:val="top"/>
          </w:tcPr>
          <w:p w14:paraId="6222A014">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1C9AACFD">
            <w:pPr>
              <w:autoSpaceDE w:val="0"/>
              <w:autoSpaceDN w:val="0"/>
              <w:rPr>
                <w:rFonts w:ascii="Arial"/>
                <w:color w:val="auto"/>
                <w:sz w:val="21"/>
                <w:highlight w:val="none"/>
              </w:rPr>
            </w:pPr>
          </w:p>
        </w:tc>
        <w:tc>
          <w:tcPr>
            <w:tcW w:w="1394" w:type="dxa"/>
            <w:tcBorders>
              <w:top w:val="single" w:color="000000" w:sz="2" w:space="0"/>
              <w:bottom w:val="single" w:color="000000" w:sz="2" w:space="0"/>
            </w:tcBorders>
            <w:vAlign w:val="top"/>
          </w:tcPr>
          <w:p w14:paraId="0D5B7A4A">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4F7A64CE">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253B35C8">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6420BFFC">
            <w:pPr>
              <w:autoSpaceDE w:val="0"/>
              <w:autoSpaceDN w:val="0"/>
              <w:rPr>
                <w:rFonts w:ascii="Arial"/>
                <w:color w:val="auto"/>
                <w:sz w:val="21"/>
                <w:highlight w:val="none"/>
              </w:rPr>
            </w:pPr>
          </w:p>
        </w:tc>
      </w:tr>
      <w:tr w14:paraId="1074E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5" w:hRule="atLeast"/>
        </w:trPr>
        <w:tc>
          <w:tcPr>
            <w:tcW w:w="937" w:type="dxa"/>
            <w:tcBorders>
              <w:top w:val="single" w:color="000000" w:sz="2" w:space="0"/>
              <w:bottom w:val="single" w:color="000000" w:sz="2" w:space="0"/>
            </w:tcBorders>
            <w:vAlign w:val="top"/>
          </w:tcPr>
          <w:p w14:paraId="2248A241">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27FE22C9">
            <w:pPr>
              <w:autoSpaceDE w:val="0"/>
              <w:autoSpaceDN w:val="0"/>
              <w:rPr>
                <w:rFonts w:ascii="Arial"/>
                <w:color w:val="auto"/>
                <w:sz w:val="21"/>
                <w:highlight w:val="none"/>
              </w:rPr>
            </w:pPr>
          </w:p>
        </w:tc>
        <w:tc>
          <w:tcPr>
            <w:tcW w:w="1394" w:type="dxa"/>
            <w:tcBorders>
              <w:top w:val="single" w:color="000000" w:sz="2" w:space="0"/>
              <w:bottom w:val="single" w:color="000000" w:sz="2" w:space="0"/>
            </w:tcBorders>
            <w:vAlign w:val="top"/>
          </w:tcPr>
          <w:p w14:paraId="76017012">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6EA4AE9F">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1F354324">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1E5048CB">
            <w:pPr>
              <w:autoSpaceDE w:val="0"/>
              <w:autoSpaceDN w:val="0"/>
              <w:rPr>
                <w:rFonts w:ascii="Arial"/>
                <w:color w:val="auto"/>
                <w:sz w:val="21"/>
                <w:highlight w:val="none"/>
              </w:rPr>
            </w:pPr>
          </w:p>
        </w:tc>
      </w:tr>
      <w:tr w14:paraId="7E781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0" w:hRule="atLeast"/>
        </w:trPr>
        <w:tc>
          <w:tcPr>
            <w:tcW w:w="937" w:type="dxa"/>
            <w:tcBorders>
              <w:top w:val="single" w:color="000000" w:sz="2" w:space="0"/>
              <w:bottom w:val="single" w:color="000000" w:sz="2" w:space="0"/>
            </w:tcBorders>
            <w:vAlign w:val="top"/>
          </w:tcPr>
          <w:p w14:paraId="54900207">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4C2AA752">
            <w:pPr>
              <w:autoSpaceDE w:val="0"/>
              <w:autoSpaceDN w:val="0"/>
              <w:spacing w:line="337" w:lineRule="auto"/>
              <w:rPr>
                <w:rFonts w:ascii="Arial"/>
                <w:color w:val="auto"/>
                <w:sz w:val="21"/>
                <w:highlight w:val="none"/>
              </w:rPr>
            </w:pPr>
          </w:p>
          <w:p w14:paraId="5995261C">
            <w:pPr>
              <w:autoSpaceDE w:val="0"/>
              <w:autoSpaceDN w:val="0"/>
              <w:spacing w:before="78" w:line="220" w:lineRule="auto"/>
              <w:ind w:left="10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其</w:t>
            </w:r>
            <w:r>
              <w:rPr>
                <w:rFonts w:ascii="宋体" w:hAnsi="宋体" w:eastAsia="宋体" w:cs="宋体"/>
                <w:color w:val="auto"/>
                <w:sz w:val="24"/>
                <w:szCs w:val="24"/>
                <w:highlight w:val="none"/>
              </w:rPr>
              <w:t xml:space="preserve">  他</w:t>
            </w:r>
          </w:p>
        </w:tc>
        <w:tc>
          <w:tcPr>
            <w:tcW w:w="1394" w:type="dxa"/>
            <w:tcBorders>
              <w:top w:val="single" w:color="000000" w:sz="2" w:space="0"/>
              <w:bottom w:val="single" w:color="000000" w:sz="2" w:space="0"/>
            </w:tcBorders>
            <w:vAlign w:val="top"/>
          </w:tcPr>
          <w:p w14:paraId="4F75DF2C">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4AD3F5AF">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3230A611">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6E84E962">
            <w:pPr>
              <w:autoSpaceDE w:val="0"/>
              <w:autoSpaceDN w:val="0"/>
              <w:rPr>
                <w:rFonts w:ascii="Arial"/>
                <w:color w:val="auto"/>
                <w:sz w:val="21"/>
                <w:highlight w:val="none"/>
              </w:rPr>
            </w:pPr>
          </w:p>
        </w:tc>
      </w:tr>
      <w:tr w14:paraId="04FF9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3" w:hRule="atLeast"/>
        </w:trPr>
        <w:tc>
          <w:tcPr>
            <w:tcW w:w="937" w:type="dxa"/>
            <w:tcBorders>
              <w:top w:val="single" w:color="000000" w:sz="2" w:space="0"/>
              <w:bottom w:val="single" w:color="000000" w:sz="2" w:space="0"/>
            </w:tcBorders>
            <w:vAlign w:val="top"/>
          </w:tcPr>
          <w:p w14:paraId="32C6DBD6">
            <w:pPr>
              <w:autoSpaceDE w:val="0"/>
              <w:autoSpaceDN w:val="0"/>
              <w:rPr>
                <w:rFonts w:ascii="Arial"/>
                <w:color w:val="auto"/>
                <w:sz w:val="21"/>
                <w:highlight w:val="none"/>
              </w:rPr>
            </w:pPr>
          </w:p>
        </w:tc>
        <w:tc>
          <w:tcPr>
            <w:tcW w:w="2864" w:type="dxa"/>
            <w:tcBorders>
              <w:top w:val="single" w:color="000000" w:sz="2" w:space="0"/>
              <w:bottom w:val="single" w:color="000000" w:sz="2" w:space="0"/>
            </w:tcBorders>
            <w:vAlign w:val="top"/>
          </w:tcPr>
          <w:p w14:paraId="6C7C697A">
            <w:pPr>
              <w:autoSpaceDE w:val="0"/>
              <w:autoSpaceDN w:val="0"/>
              <w:spacing w:line="306" w:lineRule="auto"/>
              <w:rPr>
                <w:rFonts w:ascii="Arial"/>
                <w:color w:val="auto"/>
                <w:sz w:val="21"/>
                <w:highlight w:val="none"/>
              </w:rPr>
            </w:pPr>
          </w:p>
          <w:p w14:paraId="19CDA998">
            <w:pPr>
              <w:autoSpaceDE w:val="0"/>
              <w:autoSpaceDN w:val="0"/>
              <w:spacing w:before="78" w:line="213" w:lineRule="auto"/>
              <w:ind w:left="560"/>
              <w:rPr>
                <w:rFonts w:ascii="Times New Roman" w:hAnsi="Times New Roman" w:eastAsia="Times New Roman" w:cs="Times New Roman"/>
                <w:color w:val="auto"/>
                <w:sz w:val="24"/>
                <w:szCs w:val="24"/>
                <w:highlight w:val="none"/>
              </w:rPr>
            </w:pPr>
            <w:r>
              <w:rPr>
                <w:rFonts w:ascii="宋体" w:hAnsi="宋体" w:eastAsia="宋体" w:cs="宋体"/>
                <w:color w:val="auto"/>
                <w:spacing w:val="-9"/>
                <w:sz w:val="24"/>
                <w:szCs w:val="24"/>
                <w:highlight w:val="none"/>
              </w:rPr>
              <w:t>合</w:t>
            </w:r>
            <w:r>
              <w:rPr>
                <w:rFonts w:ascii="宋体" w:hAnsi="宋体" w:eastAsia="宋体" w:cs="宋体"/>
                <w:color w:val="auto"/>
                <w:spacing w:val="-6"/>
                <w:sz w:val="24"/>
                <w:szCs w:val="24"/>
                <w:highlight w:val="none"/>
              </w:rPr>
              <w:t>计</w:t>
            </w:r>
            <w:r>
              <w:rPr>
                <w:rFonts w:ascii="Times New Roman" w:hAnsi="Times New Roman" w:eastAsia="Times New Roman" w:cs="Times New Roman"/>
                <w:color w:val="auto"/>
                <w:spacing w:val="-6"/>
                <w:sz w:val="24"/>
                <w:szCs w:val="24"/>
                <w:highlight w:val="none"/>
              </w:rPr>
              <w:t>(</w:t>
            </w:r>
            <w:r>
              <w:rPr>
                <w:rFonts w:ascii="宋体" w:hAnsi="宋体" w:eastAsia="宋体" w:cs="宋体"/>
                <w:color w:val="auto"/>
                <w:spacing w:val="-6"/>
                <w:sz w:val="24"/>
                <w:szCs w:val="24"/>
                <w:highlight w:val="none"/>
              </w:rPr>
              <w:t xml:space="preserve">结转至表 </w:t>
            </w:r>
            <w:r>
              <w:rPr>
                <w:rFonts w:ascii="Times New Roman" w:hAnsi="Times New Roman" w:eastAsia="Times New Roman" w:cs="Times New Roman"/>
                <w:color w:val="auto"/>
                <w:spacing w:val="-6"/>
                <w:sz w:val="24"/>
                <w:szCs w:val="24"/>
                <w:highlight w:val="none"/>
              </w:rPr>
              <w:t>1)</w:t>
            </w:r>
          </w:p>
        </w:tc>
        <w:tc>
          <w:tcPr>
            <w:tcW w:w="1394" w:type="dxa"/>
            <w:tcBorders>
              <w:top w:val="single" w:color="000000" w:sz="2" w:space="0"/>
              <w:bottom w:val="single" w:color="000000" w:sz="2" w:space="0"/>
            </w:tcBorders>
            <w:vAlign w:val="top"/>
          </w:tcPr>
          <w:p w14:paraId="0B3BCB26">
            <w:pPr>
              <w:autoSpaceDE w:val="0"/>
              <w:autoSpaceDN w:val="0"/>
              <w:rPr>
                <w:rFonts w:ascii="Arial"/>
                <w:color w:val="auto"/>
                <w:sz w:val="21"/>
                <w:highlight w:val="none"/>
              </w:rPr>
            </w:pPr>
          </w:p>
        </w:tc>
        <w:tc>
          <w:tcPr>
            <w:tcW w:w="1395" w:type="dxa"/>
            <w:tcBorders>
              <w:top w:val="single" w:color="000000" w:sz="2" w:space="0"/>
              <w:bottom w:val="single" w:color="000000" w:sz="2" w:space="0"/>
            </w:tcBorders>
            <w:vAlign w:val="top"/>
          </w:tcPr>
          <w:p w14:paraId="45F4B2CF">
            <w:pPr>
              <w:autoSpaceDE w:val="0"/>
              <w:autoSpaceDN w:val="0"/>
              <w:rPr>
                <w:rFonts w:ascii="Arial"/>
                <w:color w:val="auto"/>
                <w:sz w:val="21"/>
                <w:highlight w:val="none"/>
              </w:rPr>
            </w:pPr>
          </w:p>
        </w:tc>
        <w:tc>
          <w:tcPr>
            <w:tcW w:w="1409" w:type="dxa"/>
            <w:tcBorders>
              <w:top w:val="single" w:color="000000" w:sz="2" w:space="0"/>
              <w:bottom w:val="single" w:color="000000" w:sz="2" w:space="0"/>
            </w:tcBorders>
            <w:vAlign w:val="top"/>
          </w:tcPr>
          <w:p w14:paraId="2F9E284F">
            <w:pPr>
              <w:autoSpaceDE w:val="0"/>
              <w:autoSpaceDN w:val="0"/>
              <w:rPr>
                <w:rFonts w:ascii="Arial"/>
                <w:color w:val="auto"/>
                <w:sz w:val="21"/>
                <w:highlight w:val="none"/>
              </w:rPr>
            </w:pPr>
          </w:p>
        </w:tc>
        <w:tc>
          <w:tcPr>
            <w:tcW w:w="1657" w:type="dxa"/>
            <w:tcBorders>
              <w:top w:val="single" w:color="000000" w:sz="2" w:space="0"/>
              <w:bottom w:val="single" w:color="000000" w:sz="2" w:space="0"/>
            </w:tcBorders>
            <w:vAlign w:val="top"/>
          </w:tcPr>
          <w:p w14:paraId="78250F97">
            <w:pPr>
              <w:autoSpaceDE w:val="0"/>
              <w:autoSpaceDN w:val="0"/>
              <w:rPr>
                <w:rFonts w:ascii="Arial"/>
                <w:color w:val="auto"/>
                <w:sz w:val="21"/>
                <w:highlight w:val="none"/>
              </w:rPr>
            </w:pPr>
          </w:p>
        </w:tc>
      </w:tr>
    </w:tbl>
    <w:p w14:paraId="142FCBFC">
      <w:pPr>
        <w:spacing w:line="328" w:lineRule="auto"/>
        <w:rPr>
          <w:rFonts w:ascii="Arial"/>
          <w:color w:val="auto"/>
          <w:sz w:val="21"/>
          <w:highlight w:val="none"/>
        </w:rPr>
      </w:pPr>
    </w:p>
    <w:p w14:paraId="0A61565E">
      <w:pPr>
        <w:spacing w:before="78" w:line="220" w:lineRule="auto"/>
        <w:ind w:left="3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说明：备注一栏中说明新购或利用</w:t>
      </w:r>
      <w:r>
        <w:rPr>
          <w:rFonts w:ascii="宋体" w:hAnsi="宋体" w:eastAsia="宋体" w:cs="宋体"/>
          <w:color w:val="auto"/>
          <w:spacing w:val="-1"/>
          <w:sz w:val="24"/>
          <w:szCs w:val="24"/>
          <w:highlight w:val="none"/>
        </w:rPr>
        <w:t>。</w:t>
      </w:r>
    </w:p>
    <w:p w14:paraId="14E65C57">
      <w:pPr>
        <w:spacing w:before="91" w:line="221" w:lineRule="auto"/>
        <w:ind w:left="1788"/>
        <w:rPr>
          <w:rFonts w:ascii="黑体" w:hAnsi="黑体" w:eastAsia="黑体" w:cs="黑体"/>
          <w:color w:val="auto"/>
          <w:spacing w:val="15"/>
          <w:sz w:val="28"/>
          <w:szCs w:val="28"/>
          <w:highlight w:val="none"/>
        </w:rPr>
      </w:pPr>
    </w:p>
    <w:p w14:paraId="76EC5E63">
      <w:pPr>
        <w:spacing w:before="91" w:line="221" w:lineRule="auto"/>
        <w:ind w:left="1788"/>
        <w:rPr>
          <w:rFonts w:ascii="黑体" w:hAnsi="黑体" w:eastAsia="黑体" w:cs="黑体"/>
          <w:color w:val="auto"/>
          <w:spacing w:val="15"/>
          <w:sz w:val="28"/>
          <w:szCs w:val="28"/>
          <w:highlight w:val="none"/>
        </w:rPr>
      </w:pPr>
    </w:p>
    <w:p w14:paraId="7A5A68B0">
      <w:pPr>
        <w:spacing w:before="91" w:line="221" w:lineRule="auto"/>
        <w:ind w:left="1788"/>
        <w:rPr>
          <w:rFonts w:ascii="黑体" w:hAnsi="黑体" w:eastAsia="黑体" w:cs="黑体"/>
          <w:color w:val="auto"/>
          <w:spacing w:val="15"/>
          <w:sz w:val="28"/>
          <w:szCs w:val="28"/>
          <w:highlight w:val="none"/>
        </w:rPr>
      </w:pPr>
    </w:p>
    <w:p w14:paraId="324F02B9">
      <w:pPr>
        <w:spacing w:before="91" w:line="221" w:lineRule="auto"/>
        <w:ind w:left="1788"/>
        <w:rPr>
          <w:rFonts w:ascii="黑体" w:hAnsi="黑体" w:eastAsia="黑体" w:cs="黑体"/>
          <w:color w:val="auto"/>
          <w:spacing w:val="15"/>
          <w:sz w:val="28"/>
          <w:szCs w:val="28"/>
          <w:highlight w:val="none"/>
        </w:rPr>
      </w:pPr>
    </w:p>
    <w:p w14:paraId="6111ED46">
      <w:pPr>
        <w:spacing w:before="91" w:line="221" w:lineRule="auto"/>
        <w:ind w:left="1788"/>
        <w:rPr>
          <w:rFonts w:ascii="黑体" w:hAnsi="黑体" w:eastAsia="黑体" w:cs="黑体"/>
          <w:color w:val="auto"/>
          <w:spacing w:val="15"/>
          <w:sz w:val="28"/>
          <w:szCs w:val="28"/>
          <w:highlight w:val="none"/>
        </w:rPr>
      </w:pPr>
    </w:p>
    <w:p w14:paraId="32CAAF85">
      <w:pPr>
        <w:spacing w:before="91" w:line="221" w:lineRule="auto"/>
        <w:ind w:left="1788"/>
        <w:rPr>
          <w:rFonts w:ascii="黑体" w:hAnsi="黑体" w:eastAsia="黑体" w:cs="黑体"/>
          <w:color w:val="auto"/>
          <w:spacing w:val="15"/>
          <w:sz w:val="28"/>
          <w:szCs w:val="28"/>
          <w:highlight w:val="none"/>
        </w:rPr>
      </w:pPr>
    </w:p>
    <w:p w14:paraId="0B5B5CBA">
      <w:pPr>
        <w:spacing w:before="91" w:line="221" w:lineRule="auto"/>
        <w:ind w:left="1788"/>
        <w:rPr>
          <w:rFonts w:ascii="黑体" w:hAnsi="黑体" w:eastAsia="黑体" w:cs="黑体"/>
          <w:color w:val="auto"/>
          <w:spacing w:val="15"/>
          <w:sz w:val="28"/>
          <w:szCs w:val="28"/>
          <w:highlight w:val="none"/>
        </w:rPr>
      </w:pPr>
    </w:p>
    <w:p w14:paraId="182366A2">
      <w:pPr>
        <w:spacing w:before="91" w:line="221" w:lineRule="auto"/>
        <w:ind w:left="1788"/>
        <w:rPr>
          <w:rFonts w:ascii="黑体" w:hAnsi="黑体" w:eastAsia="黑体" w:cs="黑体"/>
          <w:color w:val="auto"/>
          <w:spacing w:val="15"/>
          <w:sz w:val="28"/>
          <w:szCs w:val="28"/>
          <w:highlight w:val="none"/>
        </w:rPr>
      </w:pPr>
    </w:p>
    <w:p w14:paraId="50719451">
      <w:pPr>
        <w:spacing w:before="91" w:line="221" w:lineRule="auto"/>
        <w:ind w:left="1788"/>
        <w:rPr>
          <w:rFonts w:ascii="黑体" w:hAnsi="黑体" w:eastAsia="黑体" w:cs="黑体"/>
          <w:color w:val="auto"/>
          <w:spacing w:val="15"/>
          <w:sz w:val="28"/>
          <w:szCs w:val="28"/>
          <w:highlight w:val="none"/>
        </w:rPr>
      </w:pPr>
    </w:p>
    <w:p w14:paraId="6E14CF04">
      <w:pPr>
        <w:spacing w:before="91" w:line="221" w:lineRule="auto"/>
        <w:ind w:left="1788"/>
        <w:rPr>
          <w:rFonts w:ascii="黑体" w:hAnsi="黑体" w:eastAsia="黑体" w:cs="黑体"/>
          <w:color w:val="auto"/>
          <w:spacing w:val="15"/>
          <w:sz w:val="28"/>
          <w:szCs w:val="28"/>
          <w:highlight w:val="none"/>
        </w:rPr>
      </w:pPr>
    </w:p>
    <w:p w14:paraId="5179029E">
      <w:pPr>
        <w:spacing w:before="91" w:line="221" w:lineRule="auto"/>
        <w:ind w:left="1788"/>
        <w:rPr>
          <w:rFonts w:ascii="黑体" w:hAnsi="黑体" w:eastAsia="黑体" w:cs="黑体"/>
          <w:color w:val="auto"/>
          <w:spacing w:val="15"/>
          <w:sz w:val="28"/>
          <w:szCs w:val="28"/>
          <w:highlight w:val="none"/>
        </w:rPr>
      </w:pPr>
    </w:p>
    <w:p w14:paraId="03CE3ACA">
      <w:pPr>
        <w:spacing w:before="91" w:line="221" w:lineRule="auto"/>
        <w:ind w:left="1788"/>
        <w:rPr>
          <w:rFonts w:ascii="黑体" w:hAnsi="黑体" w:eastAsia="黑体" w:cs="黑体"/>
          <w:color w:val="auto"/>
          <w:sz w:val="28"/>
          <w:szCs w:val="28"/>
          <w:highlight w:val="none"/>
        </w:rPr>
      </w:pPr>
      <w:r>
        <w:rPr>
          <w:rFonts w:ascii="黑体" w:hAnsi="黑体" w:eastAsia="黑体" w:cs="黑体"/>
          <w:color w:val="auto"/>
          <w:spacing w:val="15"/>
          <w:sz w:val="28"/>
          <w:szCs w:val="28"/>
          <w:highlight w:val="none"/>
        </w:rPr>
        <w:t>表</w:t>
      </w:r>
      <w:r>
        <w:rPr>
          <w:rFonts w:ascii="Times New Roman" w:hAnsi="Times New Roman" w:eastAsia="Times New Roman" w:cs="Times New Roman"/>
          <w:color w:val="auto"/>
          <w:spacing w:val="15"/>
          <w:sz w:val="28"/>
          <w:szCs w:val="28"/>
          <w:highlight w:val="none"/>
        </w:rPr>
        <w:t xml:space="preserve">5      </w:t>
      </w:r>
      <w:r>
        <w:rPr>
          <w:rFonts w:ascii="黑体" w:hAnsi="黑体" w:eastAsia="黑体" w:cs="黑体"/>
          <w:color w:val="auto"/>
          <w:spacing w:val="15"/>
          <w:sz w:val="28"/>
          <w:szCs w:val="28"/>
          <w:highlight w:val="none"/>
        </w:rPr>
        <w:t>中心试验室自备生活设施购置使用费报价</w:t>
      </w:r>
      <w:r>
        <w:rPr>
          <w:rFonts w:ascii="黑体" w:hAnsi="黑体" w:eastAsia="黑体" w:cs="黑体"/>
          <w:color w:val="auto"/>
          <w:spacing w:val="14"/>
          <w:sz w:val="28"/>
          <w:szCs w:val="28"/>
          <w:highlight w:val="none"/>
        </w:rPr>
        <w:t>表</w:t>
      </w:r>
    </w:p>
    <w:p w14:paraId="467A0B05">
      <w:pPr>
        <w:rPr>
          <w:color w:val="auto"/>
          <w:highlight w:val="none"/>
        </w:rPr>
      </w:pPr>
    </w:p>
    <w:p w14:paraId="733DECF0">
      <w:pPr>
        <w:spacing w:line="207" w:lineRule="exact"/>
        <w:rPr>
          <w:color w:val="auto"/>
          <w:highlight w:val="none"/>
        </w:rPr>
      </w:pPr>
    </w:p>
    <w:tbl>
      <w:tblPr>
        <w:tblStyle w:val="650"/>
        <w:tblW w:w="9626" w:type="dxa"/>
        <w:tblInd w:w="1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849"/>
        <w:gridCol w:w="1275"/>
        <w:gridCol w:w="2429"/>
        <w:gridCol w:w="2136"/>
      </w:tblGrid>
      <w:tr w14:paraId="4987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2" w:hRule="atLeast"/>
        </w:trPr>
        <w:tc>
          <w:tcPr>
            <w:tcW w:w="937" w:type="dxa"/>
            <w:tcBorders>
              <w:top w:val="single" w:color="000000" w:sz="2" w:space="0"/>
              <w:bottom w:val="single" w:color="000000" w:sz="2" w:space="0"/>
            </w:tcBorders>
            <w:vAlign w:val="top"/>
          </w:tcPr>
          <w:p w14:paraId="6CF24324">
            <w:pPr>
              <w:autoSpaceDE w:val="0"/>
              <w:autoSpaceDN w:val="0"/>
              <w:spacing w:line="294" w:lineRule="auto"/>
              <w:rPr>
                <w:rFonts w:ascii="Arial"/>
                <w:color w:val="auto"/>
                <w:sz w:val="21"/>
                <w:highlight w:val="none"/>
              </w:rPr>
            </w:pPr>
          </w:p>
          <w:p w14:paraId="2E1C498F">
            <w:pPr>
              <w:autoSpaceDE w:val="0"/>
              <w:autoSpaceDN w:val="0"/>
              <w:spacing w:before="78" w:line="221" w:lineRule="auto"/>
              <w:ind w:left="23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2849" w:type="dxa"/>
            <w:tcBorders>
              <w:top w:val="single" w:color="000000" w:sz="2" w:space="0"/>
              <w:bottom w:val="single" w:color="000000" w:sz="2" w:space="0"/>
            </w:tcBorders>
            <w:vAlign w:val="top"/>
          </w:tcPr>
          <w:p w14:paraId="45EF5E1D">
            <w:pPr>
              <w:autoSpaceDE w:val="0"/>
              <w:autoSpaceDN w:val="0"/>
              <w:spacing w:line="294" w:lineRule="auto"/>
              <w:rPr>
                <w:rFonts w:ascii="Arial"/>
                <w:color w:val="auto"/>
                <w:sz w:val="21"/>
                <w:highlight w:val="none"/>
              </w:rPr>
            </w:pPr>
          </w:p>
          <w:p w14:paraId="31AE4934">
            <w:pPr>
              <w:autoSpaceDE w:val="0"/>
              <w:autoSpaceDN w:val="0"/>
              <w:spacing w:before="78" w:line="221" w:lineRule="auto"/>
              <w:ind w:left="83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名称及型</w:t>
            </w:r>
            <w:r>
              <w:rPr>
                <w:rFonts w:ascii="宋体" w:hAnsi="宋体" w:eastAsia="宋体" w:cs="宋体"/>
                <w:color w:val="auto"/>
                <w:spacing w:val="-1"/>
                <w:sz w:val="24"/>
                <w:szCs w:val="24"/>
                <w:highlight w:val="none"/>
              </w:rPr>
              <w:t>号</w:t>
            </w:r>
          </w:p>
        </w:tc>
        <w:tc>
          <w:tcPr>
            <w:tcW w:w="1275" w:type="dxa"/>
            <w:tcBorders>
              <w:top w:val="single" w:color="000000" w:sz="2" w:space="0"/>
              <w:bottom w:val="single" w:color="000000" w:sz="2" w:space="0"/>
            </w:tcBorders>
            <w:vAlign w:val="top"/>
          </w:tcPr>
          <w:p w14:paraId="5D003EC2">
            <w:pPr>
              <w:autoSpaceDE w:val="0"/>
              <w:autoSpaceDN w:val="0"/>
              <w:spacing w:line="293" w:lineRule="auto"/>
              <w:rPr>
                <w:rFonts w:ascii="Arial"/>
                <w:color w:val="auto"/>
                <w:sz w:val="21"/>
                <w:highlight w:val="none"/>
              </w:rPr>
            </w:pPr>
          </w:p>
          <w:p w14:paraId="08F01DEA">
            <w:pPr>
              <w:autoSpaceDE w:val="0"/>
              <w:autoSpaceDN w:val="0"/>
              <w:spacing w:before="78" w:line="220" w:lineRule="auto"/>
              <w:ind w:left="4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数</w:t>
            </w:r>
            <w:r>
              <w:rPr>
                <w:rFonts w:ascii="宋体" w:hAnsi="宋体" w:eastAsia="宋体" w:cs="宋体"/>
                <w:color w:val="auto"/>
                <w:spacing w:val="-2"/>
                <w:sz w:val="24"/>
                <w:szCs w:val="24"/>
                <w:highlight w:val="none"/>
              </w:rPr>
              <w:t>量</w:t>
            </w:r>
          </w:p>
        </w:tc>
        <w:tc>
          <w:tcPr>
            <w:tcW w:w="2429" w:type="dxa"/>
            <w:tcBorders>
              <w:top w:val="single" w:color="000000" w:sz="2" w:space="0"/>
              <w:bottom w:val="single" w:color="000000" w:sz="2" w:space="0"/>
            </w:tcBorders>
            <w:vAlign w:val="top"/>
          </w:tcPr>
          <w:p w14:paraId="5033CE35">
            <w:pPr>
              <w:autoSpaceDE w:val="0"/>
              <w:autoSpaceDN w:val="0"/>
              <w:spacing w:line="293" w:lineRule="auto"/>
              <w:rPr>
                <w:rFonts w:ascii="Arial"/>
                <w:color w:val="auto"/>
                <w:sz w:val="21"/>
                <w:highlight w:val="none"/>
              </w:rPr>
            </w:pPr>
          </w:p>
          <w:p w14:paraId="384FAD6C">
            <w:pPr>
              <w:autoSpaceDE w:val="0"/>
              <w:autoSpaceDN w:val="0"/>
              <w:spacing w:before="78" w:line="220" w:lineRule="auto"/>
              <w:ind w:left="627"/>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金额(元</w:t>
            </w:r>
            <w:r>
              <w:rPr>
                <w:rFonts w:ascii="宋体" w:hAnsi="宋体" w:eastAsia="宋体" w:cs="宋体"/>
                <w:color w:val="auto"/>
                <w:spacing w:val="18"/>
                <w:sz w:val="24"/>
                <w:szCs w:val="24"/>
                <w:highlight w:val="none"/>
              </w:rPr>
              <w:t>)</w:t>
            </w:r>
          </w:p>
        </w:tc>
        <w:tc>
          <w:tcPr>
            <w:tcW w:w="2136" w:type="dxa"/>
            <w:tcBorders>
              <w:top w:val="single" w:color="000000" w:sz="2" w:space="0"/>
              <w:bottom w:val="single" w:color="000000" w:sz="2" w:space="0"/>
            </w:tcBorders>
            <w:vAlign w:val="top"/>
          </w:tcPr>
          <w:p w14:paraId="0103568D">
            <w:pPr>
              <w:autoSpaceDE w:val="0"/>
              <w:autoSpaceDN w:val="0"/>
              <w:spacing w:line="294" w:lineRule="auto"/>
              <w:rPr>
                <w:rFonts w:ascii="Arial"/>
                <w:color w:val="auto"/>
                <w:sz w:val="21"/>
                <w:highlight w:val="none"/>
              </w:rPr>
            </w:pPr>
          </w:p>
          <w:p w14:paraId="41C59F4D">
            <w:pPr>
              <w:autoSpaceDE w:val="0"/>
              <w:autoSpaceDN w:val="0"/>
              <w:spacing w:before="78" w:line="221" w:lineRule="auto"/>
              <w:ind w:left="8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w:t>
            </w:r>
          </w:p>
        </w:tc>
      </w:tr>
      <w:tr w14:paraId="3755F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937" w:type="dxa"/>
            <w:tcBorders>
              <w:top w:val="single" w:color="000000" w:sz="2" w:space="0"/>
              <w:bottom w:val="single" w:color="000000" w:sz="2" w:space="0"/>
            </w:tcBorders>
            <w:vAlign w:val="top"/>
          </w:tcPr>
          <w:p w14:paraId="2C14C4CB">
            <w:pPr>
              <w:autoSpaceDE w:val="0"/>
              <w:autoSpaceDN w:val="0"/>
              <w:spacing w:before="262" w:line="186" w:lineRule="auto"/>
              <w:ind w:left="43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2849" w:type="dxa"/>
            <w:tcBorders>
              <w:top w:val="single" w:color="000000" w:sz="2" w:space="0"/>
              <w:bottom w:val="single" w:color="000000" w:sz="2" w:space="0"/>
            </w:tcBorders>
            <w:vAlign w:val="top"/>
          </w:tcPr>
          <w:p w14:paraId="7862B476">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6EAFFEA9">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52C765EC">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4985118E">
            <w:pPr>
              <w:autoSpaceDE w:val="0"/>
              <w:autoSpaceDN w:val="0"/>
              <w:rPr>
                <w:rFonts w:ascii="Arial"/>
                <w:color w:val="auto"/>
                <w:sz w:val="21"/>
                <w:highlight w:val="none"/>
              </w:rPr>
            </w:pPr>
          </w:p>
        </w:tc>
      </w:tr>
      <w:tr w14:paraId="487DC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937" w:type="dxa"/>
            <w:tcBorders>
              <w:top w:val="single" w:color="000000" w:sz="2" w:space="0"/>
              <w:bottom w:val="single" w:color="000000" w:sz="2" w:space="0"/>
            </w:tcBorders>
            <w:vAlign w:val="top"/>
          </w:tcPr>
          <w:p w14:paraId="034C0807">
            <w:pPr>
              <w:autoSpaceDE w:val="0"/>
              <w:autoSpaceDN w:val="0"/>
              <w:spacing w:before="278" w:line="186" w:lineRule="auto"/>
              <w:ind w:left="41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2849" w:type="dxa"/>
            <w:tcBorders>
              <w:top w:val="single" w:color="000000" w:sz="2" w:space="0"/>
              <w:bottom w:val="single" w:color="000000" w:sz="2" w:space="0"/>
            </w:tcBorders>
            <w:vAlign w:val="top"/>
          </w:tcPr>
          <w:p w14:paraId="68037A9D">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7FD7F730">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5DC41B23">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740660C4">
            <w:pPr>
              <w:autoSpaceDE w:val="0"/>
              <w:autoSpaceDN w:val="0"/>
              <w:rPr>
                <w:rFonts w:ascii="Arial"/>
                <w:color w:val="auto"/>
                <w:sz w:val="21"/>
                <w:highlight w:val="none"/>
              </w:rPr>
            </w:pPr>
          </w:p>
        </w:tc>
      </w:tr>
      <w:tr w14:paraId="7A9C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937" w:type="dxa"/>
            <w:tcBorders>
              <w:top w:val="single" w:color="000000" w:sz="2" w:space="0"/>
              <w:bottom w:val="single" w:color="000000" w:sz="2" w:space="0"/>
            </w:tcBorders>
            <w:vAlign w:val="top"/>
          </w:tcPr>
          <w:p w14:paraId="37AA1FFB">
            <w:pPr>
              <w:autoSpaceDE w:val="0"/>
              <w:autoSpaceDN w:val="0"/>
              <w:spacing w:before="278" w:line="186" w:lineRule="auto"/>
              <w:ind w:left="41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2849" w:type="dxa"/>
            <w:tcBorders>
              <w:top w:val="single" w:color="000000" w:sz="2" w:space="0"/>
              <w:bottom w:val="single" w:color="000000" w:sz="2" w:space="0"/>
            </w:tcBorders>
            <w:vAlign w:val="top"/>
          </w:tcPr>
          <w:p w14:paraId="208BC0A7">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64AF3737">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0383AD47">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2B213C27">
            <w:pPr>
              <w:autoSpaceDE w:val="0"/>
              <w:autoSpaceDN w:val="0"/>
              <w:rPr>
                <w:rFonts w:ascii="Arial"/>
                <w:color w:val="auto"/>
                <w:sz w:val="21"/>
                <w:highlight w:val="none"/>
              </w:rPr>
            </w:pPr>
          </w:p>
        </w:tc>
      </w:tr>
      <w:tr w14:paraId="5DDF4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937" w:type="dxa"/>
            <w:tcBorders>
              <w:top w:val="single" w:color="000000" w:sz="2" w:space="0"/>
              <w:bottom w:val="single" w:color="000000" w:sz="2" w:space="0"/>
            </w:tcBorders>
            <w:vAlign w:val="top"/>
          </w:tcPr>
          <w:p w14:paraId="4C3CDE3C">
            <w:pPr>
              <w:autoSpaceDE w:val="0"/>
              <w:autoSpaceDN w:val="0"/>
              <w:spacing w:before="278" w:line="186" w:lineRule="auto"/>
              <w:ind w:left="40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4</w:t>
            </w:r>
          </w:p>
        </w:tc>
        <w:tc>
          <w:tcPr>
            <w:tcW w:w="2849" w:type="dxa"/>
            <w:tcBorders>
              <w:top w:val="single" w:color="000000" w:sz="2" w:space="0"/>
              <w:bottom w:val="single" w:color="000000" w:sz="2" w:space="0"/>
            </w:tcBorders>
            <w:vAlign w:val="top"/>
          </w:tcPr>
          <w:p w14:paraId="7BF4889B">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7B3A7547">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4F1AFE1B">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416F7158">
            <w:pPr>
              <w:autoSpaceDE w:val="0"/>
              <w:autoSpaceDN w:val="0"/>
              <w:rPr>
                <w:rFonts w:ascii="Arial"/>
                <w:color w:val="auto"/>
                <w:sz w:val="21"/>
                <w:highlight w:val="none"/>
              </w:rPr>
            </w:pPr>
          </w:p>
        </w:tc>
      </w:tr>
      <w:tr w14:paraId="6B53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937" w:type="dxa"/>
            <w:tcBorders>
              <w:top w:val="single" w:color="000000" w:sz="2" w:space="0"/>
              <w:bottom w:val="single" w:color="000000" w:sz="2" w:space="0"/>
            </w:tcBorders>
            <w:vAlign w:val="top"/>
          </w:tcPr>
          <w:p w14:paraId="687C24C0">
            <w:pPr>
              <w:autoSpaceDE w:val="0"/>
              <w:autoSpaceDN w:val="0"/>
              <w:spacing w:before="267" w:line="183" w:lineRule="auto"/>
              <w:ind w:left="41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5</w:t>
            </w:r>
          </w:p>
        </w:tc>
        <w:tc>
          <w:tcPr>
            <w:tcW w:w="2849" w:type="dxa"/>
            <w:tcBorders>
              <w:top w:val="single" w:color="000000" w:sz="2" w:space="0"/>
              <w:bottom w:val="single" w:color="000000" w:sz="2" w:space="0"/>
            </w:tcBorders>
            <w:vAlign w:val="top"/>
          </w:tcPr>
          <w:p w14:paraId="27FC2F6A">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560A637E">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2C4624C3">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2CB10E6D">
            <w:pPr>
              <w:autoSpaceDE w:val="0"/>
              <w:autoSpaceDN w:val="0"/>
              <w:rPr>
                <w:rFonts w:ascii="Arial"/>
                <w:color w:val="auto"/>
                <w:sz w:val="21"/>
                <w:highlight w:val="none"/>
              </w:rPr>
            </w:pPr>
          </w:p>
        </w:tc>
      </w:tr>
      <w:tr w14:paraId="21F1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937" w:type="dxa"/>
            <w:tcBorders>
              <w:top w:val="single" w:color="000000" w:sz="2" w:space="0"/>
              <w:bottom w:val="single" w:color="000000" w:sz="2" w:space="0"/>
            </w:tcBorders>
            <w:vAlign w:val="top"/>
          </w:tcPr>
          <w:p w14:paraId="56855FC9">
            <w:pPr>
              <w:autoSpaceDE w:val="0"/>
              <w:autoSpaceDN w:val="0"/>
              <w:spacing w:before="264" w:line="186" w:lineRule="auto"/>
              <w:ind w:left="41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6</w:t>
            </w:r>
          </w:p>
        </w:tc>
        <w:tc>
          <w:tcPr>
            <w:tcW w:w="2849" w:type="dxa"/>
            <w:tcBorders>
              <w:top w:val="single" w:color="000000" w:sz="2" w:space="0"/>
              <w:bottom w:val="single" w:color="000000" w:sz="2" w:space="0"/>
            </w:tcBorders>
            <w:vAlign w:val="top"/>
          </w:tcPr>
          <w:p w14:paraId="7AC7C03B">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5D130A72">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545DF665">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1E8F6880">
            <w:pPr>
              <w:autoSpaceDE w:val="0"/>
              <w:autoSpaceDN w:val="0"/>
              <w:rPr>
                <w:rFonts w:ascii="Arial"/>
                <w:color w:val="auto"/>
                <w:sz w:val="21"/>
                <w:highlight w:val="none"/>
              </w:rPr>
            </w:pPr>
          </w:p>
        </w:tc>
      </w:tr>
      <w:tr w14:paraId="1E138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937" w:type="dxa"/>
            <w:tcBorders>
              <w:top w:val="single" w:color="000000" w:sz="2" w:space="0"/>
              <w:bottom w:val="single" w:color="000000" w:sz="2" w:space="0"/>
            </w:tcBorders>
            <w:vAlign w:val="top"/>
          </w:tcPr>
          <w:p w14:paraId="7414169B">
            <w:pPr>
              <w:autoSpaceDE w:val="0"/>
              <w:autoSpaceDN w:val="0"/>
              <w:spacing w:before="283" w:line="183" w:lineRule="auto"/>
              <w:ind w:left="414"/>
              <w:rPr>
                <w:rFonts w:hint="default" w:ascii="Times New Roman" w:hAnsi="Times New Roman"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w:t>
            </w:r>
          </w:p>
        </w:tc>
        <w:tc>
          <w:tcPr>
            <w:tcW w:w="2849" w:type="dxa"/>
            <w:tcBorders>
              <w:top w:val="single" w:color="000000" w:sz="2" w:space="0"/>
              <w:bottom w:val="single" w:color="000000" w:sz="2" w:space="0"/>
            </w:tcBorders>
            <w:vAlign w:val="top"/>
          </w:tcPr>
          <w:p w14:paraId="50FCC6A7">
            <w:pPr>
              <w:autoSpaceDE w:val="0"/>
              <w:autoSpaceDN w:val="0"/>
              <w:rPr>
                <w:rFonts w:ascii="Arial"/>
                <w:color w:val="auto"/>
                <w:sz w:val="21"/>
                <w:highlight w:val="none"/>
              </w:rPr>
            </w:pPr>
          </w:p>
        </w:tc>
        <w:tc>
          <w:tcPr>
            <w:tcW w:w="1275" w:type="dxa"/>
            <w:tcBorders>
              <w:top w:val="single" w:color="000000" w:sz="2" w:space="0"/>
              <w:bottom w:val="single" w:color="000000" w:sz="2" w:space="0"/>
            </w:tcBorders>
            <w:vAlign w:val="top"/>
          </w:tcPr>
          <w:p w14:paraId="3EAD125E">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7CF3AD6D">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700ABF12">
            <w:pPr>
              <w:autoSpaceDE w:val="0"/>
              <w:autoSpaceDN w:val="0"/>
              <w:rPr>
                <w:rFonts w:ascii="Arial"/>
                <w:color w:val="auto"/>
                <w:sz w:val="21"/>
                <w:highlight w:val="none"/>
              </w:rPr>
            </w:pPr>
          </w:p>
        </w:tc>
      </w:tr>
      <w:tr w14:paraId="18BC0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937" w:type="dxa"/>
            <w:tcBorders>
              <w:top w:val="single" w:color="000000" w:sz="2" w:space="0"/>
              <w:bottom w:val="single" w:color="000000" w:sz="2" w:space="0"/>
            </w:tcBorders>
            <w:vAlign w:val="top"/>
          </w:tcPr>
          <w:p w14:paraId="255A4336">
            <w:pPr>
              <w:autoSpaceDE w:val="0"/>
              <w:autoSpaceDN w:val="0"/>
              <w:rPr>
                <w:rFonts w:ascii="Arial"/>
                <w:color w:val="auto"/>
                <w:sz w:val="21"/>
                <w:highlight w:val="none"/>
              </w:rPr>
            </w:pPr>
          </w:p>
        </w:tc>
        <w:tc>
          <w:tcPr>
            <w:tcW w:w="2849" w:type="dxa"/>
            <w:tcBorders>
              <w:top w:val="single" w:color="000000" w:sz="2" w:space="0"/>
              <w:bottom w:val="single" w:color="000000" w:sz="2" w:space="0"/>
            </w:tcBorders>
            <w:vAlign w:val="top"/>
          </w:tcPr>
          <w:p w14:paraId="1EFCD59A">
            <w:pPr>
              <w:autoSpaceDE w:val="0"/>
              <w:autoSpaceDN w:val="0"/>
              <w:spacing w:before="296" w:line="220" w:lineRule="auto"/>
              <w:ind w:left="137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其</w:t>
            </w:r>
            <w:r>
              <w:rPr>
                <w:rFonts w:ascii="宋体" w:hAnsi="宋体" w:eastAsia="宋体" w:cs="宋体"/>
                <w:color w:val="auto"/>
                <w:spacing w:val="-2"/>
                <w:sz w:val="24"/>
                <w:szCs w:val="24"/>
                <w:highlight w:val="none"/>
              </w:rPr>
              <w:t>他</w:t>
            </w:r>
          </w:p>
        </w:tc>
        <w:tc>
          <w:tcPr>
            <w:tcW w:w="1275" w:type="dxa"/>
            <w:tcBorders>
              <w:top w:val="single" w:color="000000" w:sz="2" w:space="0"/>
              <w:bottom w:val="single" w:color="000000" w:sz="2" w:space="0"/>
            </w:tcBorders>
            <w:vAlign w:val="top"/>
          </w:tcPr>
          <w:p w14:paraId="36EEC182">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13AA3E78">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504402E1">
            <w:pPr>
              <w:autoSpaceDE w:val="0"/>
              <w:autoSpaceDN w:val="0"/>
              <w:rPr>
                <w:rFonts w:ascii="Arial"/>
                <w:color w:val="auto"/>
                <w:sz w:val="21"/>
                <w:highlight w:val="none"/>
              </w:rPr>
            </w:pPr>
          </w:p>
        </w:tc>
      </w:tr>
      <w:tr w14:paraId="2499A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937" w:type="dxa"/>
            <w:tcBorders>
              <w:top w:val="single" w:color="000000" w:sz="2" w:space="0"/>
              <w:bottom w:val="single" w:color="000000" w:sz="2" w:space="0"/>
            </w:tcBorders>
            <w:vAlign w:val="top"/>
          </w:tcPr>
          <w:p w14:paraId="1200E788">
            <w:pPr>
              <w:autoSpaceDE w:val="0"/>
              <w:autoSpaceDN w:val="0"/>
              <w:rPr>
                <w:rFonts w:ascii="Arial"/>
                <w:color w:val="auto"/>
                <w:sz w:val="21"/>
                <w:highlight w:val="none"/>
              </w:rPr>
            </w:pPr>
          </w:p>
        </w:tc>
        <w:tc>
          <w:tcPr>
            <w:tcW w:w="2849" w:type="dxa"/>
            <w:tcBorders>
              <w:top w:val="single" w:color="000000" w:sz="2" w:space="0"/>
              <w:bottom w:val="single" w:color="000000" w:sz="2" w:space="0"/>
            </w:tcBorders>
            <w:vAlign w:val="top"/>
          </w:tcPr>
          <w:p w14:paraId="1ECF72AC">
            <w:pPr>
              <w:autoSpaceDE w:val="0"/>
              <w:autoSpaceDN w:val="0"/>
              <w:spacing w:before="296" w:line="213" w:lineRule="auto"/>
              <w:ind w:left="680"/>
              <w:rPr>
                <w:rFonts w:ascii="Times New Roman" w:hAnsi="Times New Roman" w:eastAsia="Times New Roman" w:cs="Times New Roman"/>
                <w:color w:val="auto"/>
                <w:sz w:val="24"/>
                <w:szCs w:val="24"/>
                <w:highlight w:val="none"/>
              </w:rPr>
            </w:pPr>
            <w:r>
              <w:rPr>
                <w:rFonts w:ascii="宋体" w:hAnsi="宋体" w:eastAsia="宋体" w:cs="宋体"/>
                <w:color w:val="auto"/>
                <w:spacing w:val="-2"/>
                <w:sz w:val="24"/>
                <w:szCs w:val="24"/>
                <w:highlight w:val="none"/>
              </w:rPr>
              <w:t>合计</w:t>
            </w:r>
            <w:r>
              <w:rPr>
                <w:rFonts w:ascii="Times New Roman" w:hAnsi="Times New Roman" w:eastAsia="Times New Roman" w:cs="Times New Roman"/>
                <w:color w:val="auto"/>
                <w:spacing w:val="-2"/>
                <w:sz w:val="24"/>
                <w:szCs w:val="24"/>
                <w:highlight w:val="none"/>
              </w:rPr>
              <w:t>(</w:t>
            </w:r>
            <w:r>
              <w:rPr>
                <w:rFonts w:ascii="宋体" w:hAnsi="宋体" w:eastAsia="宋体" w:cs="宋体"/>
                <w:color w:val="auto"/>
                <w:spacing w:val="-2"/>
                <w:sz w:val="24"/>
                <w:szCs w:val="24"/>
                <w:highlight w:val="none"/>
              </w:rPr>
              <w:t>结转</w:t>
            </w:r>
            <w:r>
              <w:rPr>
                <w:rFonts w:ascii="宋体" w:hAnsi="宋体" w:eastAsia="宋体" w:cs="宋体"/>
                <w:color w:val="auto"/>
                <w:spacing w:val="-1"/>
                <w:sz w:val="24"/>
                <w:szCs w:val="24"/>
                <w:highlight w:val="none"/>
              </w:rPr>
              <w:t>至表</w:t>
            </w:r>
            <w:r>
              <w:rPr>
                <w:rFonts w:ascii="Times New Roman" w:hAnsi="Times New Roman" w:eastAsia="Times New Roman" w:cs="Times New Roman"/>
                <w:color w:val="auto"/>
                <w:spacing w:val="-1"/>
                <w:sz w:val="24"/>
                <w:szCs w:val="24"/>
                <w:highlight w:val="none"/>
              </w:rPr>
              <w:t>1)</w:t>
            </w:r>
          </w:p>
        </w:tc>
        <w:tc>
          <w:tcPr>
            <w:tcW w:w="1275" w:type="dxa"/>
            <w:tcBorders>
              <w:top w:val="single" w:color="000000" w:sz="2" w:space="0"/>
              <w:bottom w:val="single" w:color="000000" w:sz="2" w:space="0"/>
            </w:tcBorders>
            <w:vAlign w:val="top"/>
          </w:tcPr>
          <w:p w14:paraId="778BF397">
            <w:pPr>
              <w:autoSpaceDE w:val="0"/>
              <w:autoSpaceDN w:val="0"/>
              <w:rPr>
                <w:rFonts w:ascii="Arial"/>
                <w:color w:val="auto"/>
                <w:sz w:val="21"/>
                <w:highlight w:val="none"/>
              </w:rPr>
            </w:pPr>
          </w:p>
        </w:tc>
        <w:tc>
          <w:tcPr>
            <w:tcW w:w="2429" w:type="dxa"/>
            <w:tcBorders>
              <w:top w:val="single" w:color="000000" w:sz="2" w:space="0"/>
              <w:bottom w:val="single" w:color="000000" w:sz="2" w:space="0"/>
            </w:tcBorders>
            <w:vAlign w:val="top"/>
          </w:tcPr>
          <w:p w14:paraId="5DDFE755">
            <w:pPr>
              <w:autoSpaceDE w:val="0"/>
              <w:autoSpaceDN w:val="0"/>
              <w:rPr>
                <w:rFonts w:ascii="Arial"/>
                <w:color w:val="auto"/>
                <w:sz w:val="21"/>
                <w:highlight w:val="none"/>
              </w:rPr>
            </w:pPr>
          </w:p>
        </w:tc>
        <w:tc>
          <w:tcPr>
            <w:tcW w:w="2136" w:type="dxa"/>
            <w:tcBorders>
              <w:top w:val="single" w:color="000000" w:sz="2" w:space="0"/>
              <w:bottom w:val="single" w:color="000000" w:sz="2" w:space="0"/>
            </w:tcBorders>
            <w:vAlign w:val="top"/>
          </w:tcPr>
          <w:p w14:paraId="252EDA70">
            <w:pPr>
              <w:autoSpaceDE w:val="0"/>
              <w:autoSpaceDN w:val="0"/>
              <w:rPr>
                <w:rFonts w:ascii="Arial"/>
                <w:color w:val="auto"/>
                <w:sz w:val="21"/>
                <w:highlight w:val="none"/>
              </w:rPr>
            </w:pPr>
          </w:p>
        </w:tc>
      </w:tr>
    </w:tbl>
    <w:p w14:paraId="520AA6F4">
      <w:pPr>
        <w:spacing w:line="283" w:lineRule="auto"/>
        <w:rPr>
          <w:rFonts w:ascii="Arial"/>
          <w:color w:val="auto"/>
          <w:sz w:val="21"/>
          <w:highlight w:val="none"/>
        </w:rPr>
      </w:pPr>
    </w:p>
    <w:p w14:paraId="5D1B0DFB">
      <w:pPr>
        <w:spacing w:before="78" w:line="220" w:lineRule="auto"/>
        <w:ind w:left="37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说明：备注一栏中说明新购或利用</w:t>
      </w:r>
      <w:r>
        <w:rPr>
          <w:rFonts w:ascii="宋体" w:hAnsi="宋体" w:eastAsia="宋体" w:cs="宋体"/>
          <w:color w:val="auto"/>
          <w:spacing w:val="-1"/>
          <w:sz w:val="24"/>
          <w:szCs w:val="24"/>
          <w:highlight w:val="none"/>
        </w:rPr>
        <w:t>。</w:t>
      </w:r>
    </w:p>
    <w:p w14:paraId="7617C6B9">
      <w:pPr>
        <w:spacing w:line="295" w:lineRule="auto"/>
        <w:rPr>
          <w:rFonts w:ascii="Arial"/>
          <w:color w:val="auto"/>
          <w:sz w:val="21"/>
          <w:highlight w:val="none"/>
        </w:rPr>
      </w:pPr>
    </w:p>
    <w:p w14:paraId="5DDD8FA8">
      <w:pPr>
        <w:spacing w:before="221" w:line="221" w:lineRule="auto"/>
        <w:ind w:left="1788"/>
        <w:rPr>
          <w:rFonts w:ascii="黑体" w:hAnsi="黑体" w:eastAsia="黑体" w:cs="黑体"/>
          <w:color w:val="auto"/>
          <w:spacing w:val="15"/>
          <w:sz w:val="28"/>
          <w:szCs w:val="28"/>
          <w:highlight w:val="none"/>
        </w:rPr>
      </w:pPr>
    </w:p>
    <w:p w14:paraId="6392D3BA">
      <w:pPr>
        <w:spacing w:before="221" w:line="221" w:lineRule="auto"/>
        <w:ind w:left="1788"/>
        <w:rPr>
          <w:rFonts w:ascii="黑体" w:hAnsi="黑体" w:eastAsia="黑体" w:cs="黑体"/>
          <w:color w:val="auto"/>
          <w:spacing w:val="15"/>
          <w:sz w:val="28"/>
          <w:szCs w:val="28"/>
          <w:highlight w:val="none"/>
        </w:rPr>
      </w:pPr>
    </w:p>
    <w:p w14:paraId="6026836D">
      <w:pPr>
        <w:spacing w:before="221" w:line="221" w:lineRule="auto"/>
        <w:ind w:left="1788"/>
        <w:rPr>
          <w:rFonts w:ascii="黑体" w:hAnsi="黑体" w:eastAsia="黑体" w:cs="黑体"/>
          <w:color w:val="auto"/>
          <w:spacing w:val="15"/>
          <w:sz w:val="28"/>
          <w:szCs w:val="28"/>
          <w:highlight w:val="none"/>
        </w:rPr>
      </w:pPr>
    </w:p>
    <w:p w14:paraId="5FAD636B">
      <w:pPr>
        <w:spacing w:before="221" w:line="221" w:lineRule="auto"/>
        <w:ind w:left="1788"/>
        <w:rPr>
          <w:rFonts w:ascii="黑体" w:hAnsi="黑体" w:eastAsia="黑体" w:cs="黑体"/>
          <w:color w:val="auto"/>
          <w:spacing w:val="15"/>
          <w:sz w:val="28"/>
          <w:szCs w:val="28"/>
          <w:highlight w:val="none"/>
        </w:rPr>
      </w:pPr>
    </w:p>
    <w:p w14:paraId="6D57873E">
      <w:pPr>
        <w:spacing w:before="221" w:line="221" w:lineRule="auto"/>
        <w:ind w:left="1788"/>
        <w:rPr>
          <w:rFonts w:ascii="黑体" w:hAnsi="黑体" w:eastAsia="黑体" w:cs="黑体"/>
          <w:color w:val="auto"/>
          <w:spacing w:val="15"/>
          <w:sz w:val="28"/>
          <w:szCs w:val="28"/>
          <w:highlight w:val="none"/>
        </w:rPr>
      </w:pPr>
    </w:p>
    <w:p w14:paraId="41B50E79">
      <w:pPr>
        <w:spacing w:before="221" w:line="221" w:lineRule="auto"/>
        <w:ind w:left="1788"/>
        <w:rPr>
          <w:rFonts w:ascii="黑体" w:hAnsi="黑体" w:eastAsia="黑体" w:cs="黑体"/>
          <w:color w:val="auto"/>
          <w:spacing w:val="15"/>
          <w:sz w:val="28"/>
          <w:szCs w:val="28"/>
          <w:highlight w:val="none"/>
        </w:rPr>
      </w:pPr>
    </w:p>
    <w:p w14:paraId="0B48911E">
      <w:pPr>
        <w:spacing w:before="221" w:line="221" w:lineRule="auto"/>
        <w:ind w:left="1788"/>
        <w:rPr>
          <w:rFonts w:ascii="黑体" w:hAnsi="黑体" w:eastAsia="黑体" w:cs="黑体"/>
          <w:color w:val="auto"/>
          <w:spacing w:val="15"/>
          <w:sz w:val="28"/>
          <w:szCs w:val="28"/>
          <w:highlight w:val="none"/>
        </w:rPr>
      </w:pPr>
    </w:p>
    <w:p w14:paraId="74C1B584">
      <w:pPr>
        <w:spacing w:before="221" w:line="221" w:lineRule="auto"/>
        <w:ind w:left="0"/>
        <w:jc w:val="center"/>
        <w:rPr>
          <w:rFonts w:ascii="黑体" w:hAnsi="黑体" w:eastAsia="黑体" w:cs="黑体"/>
          <w:color w:val="auto"/>
          <w:sz w:val="28"/>
          <w:szCs w:val="28"/>
          <w:highlight w:val="none"/>
        </w:rPr>
      </w:pPr>
      <w:r>
        <w:rPr>
          <w:rFonts w:ascii="黑体" w:hAnsi="黑体" w:eastAsia="黑体" w:cs="黑体"/>
          <w:color w:val="auto"/>
          <w:spacing w:val="15"/>
          <w:sz w:val="28"/>
          <w:szCs w:val="28"/>
          <w:highlight w:val="none"/>
        </w:rPr>
        <w:t>表</w:t>
      </w:r>
      <w:r>
        <w:rPr>
          <w:rFonts w:ascii="Times New Roman" w:hAnsi="Times New Roman" w:eastAsia="Times New Roman" w:cs="Times New Roman"/>
          <w:color w:val="auto"/>
          <w:spacing w:val="15"/>
          <w:sz w:val="28"/>
          <w:szCs w:val="28"/>
          <w:highlight w:val="none"/>
        </w:rPr>
        <w:t xml:space="preserve">6 </w:t>
      </w:r>
      <w:r>
        <w:rPr>
          <w:rFonts w:ascii="黑体" w:hAnsi="黑体" w:eastAsia="黑体" w:cs="黑体"/>
          <w:color w:val="auto"/>
          <w:spacing w:val="15"/>
          <w:sz w:val="28"/>
          <w:szCs w:val="28"/>
          <w:highlight w:val="none"/>
        </w:rPr>
        <w:t>中心试验室自备交通设施购置使用费报价</w:t>
      </w:r>
      <w:r>
        <w:rPr>
          <w:rFonts w:ascii="黑体" w:hAnsi="黑体" w:eastAsia="黑体" w:cs="黑体"/>
          <w:color w:val="auto"/>
          <w:spacing w:val="14"/>
          <w:sz w:val="28"/>
          <w:szCs w:val="28"/>
          <w:highlight w:val="none"/>
        </w:rPr>
        <w:t>表</w:t>
      </w:r>
    </w:p>
    <w:p w14:paraId="01F23A22">
      <w:pPr>
        <w:rPr>
          <w:color w:val="auto"/>
          <w:highlight w:val="none"/>
        </w:rPr>
      </w:pPr>
    </w:p>
    <w:p w14:paraId="71BE16D9">
      <w:pPr>
        <w:spacing w:line="207" w:lineRule="exact"/>
        <w:rPr>
          <w:color w:val="auto"/>
          <w:highlight w:val="none"/>
        </w:rPr>
      </w:pPr>
    </w:p>
    <w:tbl>
      <w:tblPr>
        <w:tblStyle w:val="650"/>
        <w:tblW w:w="9792"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7"/>
        <w:gridCol w:w="1768"/>
        <w:gridCol w:w="1531"/>
        <w:gridCol w:w="1620"/>
        <w:gridCol w:w="1350"/>
        <w:gridCol w:w="1424"/>
        <w:gridCol w:w="1342"/>
      </w:tblGrid>
      <w:tr w14:paraId="73502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trPr>
        <w:tc>
          <w:tcPr>
            <w:tcW w:w="757" w:type="dxa"/>
            <w:tcBorders>
              <w:top w:val="single" w:color="000000" w:sz="2" w:space="0"/>
              <w:bottom w:val="single" w:color="000000" w:sz="2" w:space="0"/>
            </w:tcBorders>
            <w:vAlign w:val="top"/>
          </w:tcPr>
          <w:p w14:paraId="3B8D7E4F">
            <w:pPr>
              <w:autoSpaceDE w:val="0"/>
              <w:autoSpaceDN w:val="0"/>
              <w:spacing w:line="354" w:lineRule="auto"/>
              <w:rPr>
                <w:rFonts w:ascii="Arial"/>
                <w:color w:val="auto"/>
                <w:sz w:val="21"/>
                <w:highlight w:val="none"/>
              </w:rPr>
            </w:pPr>
          </w:p>
          <w:p w14:paraId="6D2CC505">
            <w:pPr>
              <w:autoSpaceDE w:val="0"/>
              <w:autoSpaceDN w:val="0"/>
              <w:spacing w:before="78" w:line="221" w:lineRule="auto"/>
              <w:ind w:left="23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1768" w:type="dxa"/>
            <w:tcBorders>
              <w:top w:val="single" w:color="000000" w:sz="2" w:space="0"/>
              <w:bottom w:val="single" w:color="000000" w:sz="2" w:space="0"/>
            </w:tcBorders>
            <w:vAlign w:val="top"/>
          </w:tcPr>
          <w:p w14:paraId="3A4F880B">
            <w:pPr>
              <w:autoSpaceDE w:val="0"/>
              <w:autoSpaceDN w:val="0"/>
              <w:spacing w:line="354" w:lineRule="auto"/>
              <w:rPr>
                <w:rFonts w:ascii="Arial"/>
                <w:color w:val="auto"/>
                <w:sz w:val="21"/>
                <w:highlight w:val="none"/>
              </w:rPr>
            </w:pPr>
          </w:p>
          <w:p w14:paraId="2444BCF9">
            <w:pPr>
              <w:autoSpaceDE w:val="0"/>
              <w:autoSpaceDN w:val="0"/>
              <w:spacing w:before="78" w:line="221" w:lineRule="auto"/>
              <w:ind w:left="4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名称及型</w:t>
            </w:r>
            <w:r>
              <w:rPr>
                <w:rFonts w:ascii="宋体" w:hAnsi="宋体" w:eastAsia="宋体" w:cs="宋体"/>
                <w:color w:val="auto"/>
                <w:spacing w:val="-1"/>
                <w:sz w:val="24"/>
                <w:szCs w:val="24"/>
                <w:highlight w:val="none"/>
              </w:rPr>
              <w:t>号</w:t>
            </w:r>
          </w:p>
        </w:tc>
        <w:tc>
          <w:tcPr>
            <w:tcW w:w="1531" w:type="dxa"/>
            <w:tcBorders>
              <w:top w:val="single" w:color="000000" w:sz="2" w:space="0"/>
              <w:bottom w:val="single" w:color="000000" w:sz="2" w:space="0"/>
            </w:tcBorders>
            <w:vAlign w:val="top"/>
          </w:tcPr>
          <w:p w14:paraId="0C9F5584">
            <w:pPr>
              <w:autoSpaceDE w:val="0"/>
              <w:autoSpaceDN w:val="0"/>
              <w:spacing w:before="269" w:line="249" w:lineRule="auto"/>
              <w:ind w:left="411" w:right="1" w:hanging="360"/>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施工期</w:t>
            </w:r>
            <w:r>
              <w:rPr>
                <w:rFonts w:hint="eastAsia" w:ascii="宋体" w:hAnsi="宋体" w:eastAsia="宋体" w:cs="宋体"/>
                <w:color w:val="auto"/>
                <w:spacing w:val="-2"/>
                <w:sz w:val="24"/>
                <w:szCs w:val="24"/>
                <w:highlight w:val="none"/>
                <w:lang w:val="en-US" w:eastAsia="zh-CN"/>
              </w:rPr>
              <w:t>（含准备期）</w:t>
            </w:r>
            <w:r>
              <w:rPr>
                <w:rFonts w:ascii="宋体" w:hAnsi="宋体" w:eastAsia="宋体" w:cs="宋体"/>
                <w:color w:val="auto"/>
                <w:spacing w:val="-2"/>
                <w:sz w:val="24"/>
                <w:szCs w:val="24"/>
                <w:highlight w:val="none"/>
              </w:rPr>
              <w:t>数量</w:t>
            </w:r>
          </w:p>
        </w:tc>
        <w:tc>
          <w:tcPr>
            <w:tcW w:w="1620" w:type="dxa"/>
            <w:tcBorders>
              <w:top w:val="single" w:color="000000" w:sz="2" w:space="0"/>
              <w:bottom w:val="single" w:color="000000" w:sz="2" w:space="0"/>
            </w:tcBorders>
            <w:vAlign w:val="top"/>
          </w:tcPr>
          <w:p w14:paraId="74232B0D">
            <w:pPr>
              <w:autoSpaceDE w:val="0"/>
              <w:autoSpaceDN w:val="0"/>
              <w:spacing w:before="268" w:line="220" w:lineRule="auto"/>
              <w:ind w:left="2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施工期</w:t>
            </w:r>
            <w:r>
              <w:rPr>
                <w:rFonts w:ascii="宋体" w:hAnsi="宋体" w:eastAsia="宋体" w:cs="宋体"/>
                <w:color w:val="auto"/>
                <w:spacing w:val="-1"/>
                <w:sz w:val="24"/>
                <w:szCs w:val="24"/>
                <w:highlight w:val="none"/>
              </w:rPr>
              <w:t>金额</w:t>
            </w:r>
          </w:p>
          <w:p w14:paraId="0C38CED8">
            <w:pPr>
              <w:autoSpaceDE w:val="0"/>
              <w:autoSpaceDN w:val="0"/>
              <w:spacing w:before="15" w:line="220" w:lineRule="auto"/>
              <w:ind w:left="465"/>
              <w:rPr>
                <w:rFonts w:ascii="宋体" w:hAnsi="宋体" w:eastAsia="宋体" w:cs="宋体"/>
                <w:color w:val="auto"/>
                <w:sz w:val="24"/>
                <w:szCs w:val="24"/>
                <w:highlight w:val="none"/>
              </w:rPr>
            </w:pPr>
            <w:r>
              <w:rPr>
                <w:rFonts w:ascii="宋体" w:hAnsi="宋体" w:eastAsia="宋体" w:cs="宋体"/>
                <w:color w:val="auto"/>
                <w:spacing w:val="31"/>
                <w:sz w:val="24"/>
                <w:szCs w:val="24"/>
                <w:highlight w:val="none"/>
              </w:rPr>
              <w:t>(</w:t>
            </w:r>
            <w:r>
              <w:rPr>
                <w:rFonts w:ascii="宋体" w:hAnsi="宋体" w:eastAsia="宋体" w:cs="宋体"/>
                <w:color w:val="auto"/>
                <w:spacing w:val="29"/>
                <w:sz w:val="24"/>
                <w:szCs w:val="24"/>
                <w:highlight w:val="none"/>
              </w:rPr>
              <w:t>元)</w:t>
            </w:r>
          </w:p>
        </w:tc>
        <w:tc>
          <w:tcPr>
            <w:tcW w:w="1350" w:type="dxa"/>
            <w:tcBorders>
              <w:top w:val="single" w:color="000000" w:sz="2" w:space="0"/>
              <w:bottom w:val="single" w:color="000000" w:sz="2" w:space="0"/>
            </w:tcBorders>
            <w:vAlign w:val="top"/>
          </w:tcPr>
          <w:p w14:paraId="47A6DF21">
            <w:pPr>
              <w:autoSpaceDE w:val="0"/>
              <w:autoSpaceDN w:val="0"/>
              <w:spacing w:line="353" w:lineRule="auto"/>
              <w:rPr>
                <w:rFonts w:ascii="Arial"/>
                <w:color w:val="auto"/>
                <w:sz w:val="21"/>
                <w:highlight w:val="none"/>
              </w:rPr>
            </w:pPr>
          </w:p>
          <w:p w14:paraId="030558F3">
            <w:pPr>
              <w:autoSpaceDE w:val="0"/>
              <w:autoSpaceDN w:val="0"/>
              <w:spacing w:before="78" w:line="220" w:lineRule="auto"/>
              <w:ind w:left="9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冬休</w:t>
            </w:r>
            <w:r>
              <w:rPr>
                <w:rFonts w:ascii="宋体" w:hAnsi="宋体" w:eastAsia="宋体" w:cs="宋体"/>
                <w:color w:val="auto"/>
                <w:spacing w:val="-2"/>
                <w:sz w:val="24"/>
                <w:szCs w:val="24"/>
                <w:highlight w:val="none"/>
              </w:rPr>
              <w:t>期数量</w:t>
            </w:r>
          </w:p>
        </w:tc>
        <w:tc>
          <w:tcPr>
            <w:tcW w:w="1424" w:type="dxa"/>
            <w:tcBorders>
              <w:top w:val="single" w:color="000000" w:sz="2" w:space="0"/>
              <w:bottom w:val="single" w:color="000000" w:sz="2" w:space="0"/>
            </w:tcBorders>
            <w:vAlign w:val="top"/>
          </w:tcPr>
          <w:p w14:paraId="41D2D822">
            <w:pPr>
              <w:autoSpaceDE w:val="0"/>
              <w:autoSpaceDN w:val="0"/>
              <w:spacing w:before="268" w:line="220" w:lineRule="auto"/>
              <w:ind w:left="16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冬休</w:t>
            </w:r>
            <w:r>
              <w:rPr>
                <w:rFonts w:ascii="宋体" w:hAnsi="宋体" w:eastAsia="宋体" w:cs="宋体"/>
                <w:color w:val="auto"/>
                <w:spacing w:val="-2"/>
                <w:sz w:val="24"/>
                <w:szCs w:val="24"/>
                <w:highlight w:val="none"/>
              </w:rPr>
              <w:t>期金额</w:t>
            </w:r>
          </w:p>
          <w:p w14:paraId="610A6A24">
            <w:pPr>
              <w:autoSpaceDE w:val="0"/>
              <w:autoSpaceDN w:val="0"/>
              <w:spacing w:before="15" w:line="220" w:lineRule="auto"/>
              <w:ind w:left="409"/>
              <w:rPr>
                <w:rFonts w:ascii="宋体" w:hAnsi="宋体" w:eastAsia="宋体" w:cs="宋体"/>
                <w:color w:val="auto"/>
                <w:sz w:val="24"/>
                <w:szCs w:val="24"/>
                <w:highlight w:val="none"/>
              </w:rPr>
            </w:pPr>
            <w:r>
              <w:rPr>
                <w:rFonts w:ascii="宋体" w:hAnsi="宋体" w:eastAsia="宋体" w:cs="宋体"/>
                <w:color w:val="auto"/>
                <w:spacing w:val="31"/>
                <w:sz w:val="24"/>
                <w:szCs w:val="24"/>
                <w:highlight w:val="none"/>
              </w:rPr>
              <w:t>(</w:t>
            </w:r>
            <w:r>
              <w:rPr>
                <w:rFonts w:ascii="宋体" w:hAnsi="宋体" w:eastAsia="宋体" w:cs="宋体"/>
                <w:color w:val="auto"/>
                <w:spacing w:val="29"/>
                <w:sz w:val="24"/>
                <w:szCs w:val="24"/>
                <w:highlight w:val="none"/>
              </w:rPr>
              <w:t>元)</w:t>
            </w:r>
          </w:p>
        </w:tc>
        <w:tc>
          <w:tcPr>
            <w:tcW w:w="1342" w:type="dxa"/>
            <w:tcBorders>
              <w:top w:val="single" w:color="000000" w:sz="2" w:space="0"/>
              <w:bottom w:val="single" w:color="000000" w:sz="2" w:space="0"/>
            </w:tcBorders>
            <w:vAlign w:val="top"/>
          </w:tcPr>
          <w:p w14:paraId="0E393B47">
            <w:pPr>
              <w:autoSpaceDE w:val="0"/>
              <w:autoSpaceDN w:val="0"/>
              <w:spacing w:line="354" w:lineRule="auto"/>
              <w:rPr>
                <w:rFonts w:ascii="Arial"/>
                <w:color w:val="auto"/>
                <w:sz w:val="21"/>
                <w:highlight w:val="none"/>
              </w:rPr>
            </w:pPr>
          </w:p>
          <w:p w14:paraId="069522DC">
            <w:pPr>
              <w:autoSpaceDE w:val="0"/>
              <w:autoSpaceDN w:val="0"/>
              <w:spacing w:before="78" w:line="221" w:lineRule="auto"/>
              <w:ind w:left="49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备注</w:t>
            </w:r>
          </w:p>
        </w:tc>
      </w:tr>
      <w:tr w14:paraId="6367C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757" w:type="dxa"/>
            <w:tcBorders>
              <w:top w:val="single" w:color="000000" w:sz="2" w:space="0"/>
              <w:bottom w:val="single" w:color="000000" w:sz="2" w:space="0"/>
            </w:tcBorders>
            <w:vAlign w:val="top"/>
          </w:tcPr>
          <w:p w14:paraId="0349CB4B">
            <w:pPr>
              <w:autoSpaceDE w:val="0"/>
              <w:autoSpaceDN w:val="0"/>
              <w:spacing w:line="415" w:lineRule="auto"/>
              <w:rPr>
                <w:rFonts w:ascii="Arial"/>
                <w:color w:val="auto"/>
                <w:sz w:val="21"/>
                <w:highlight w:val="none"/>
              </w:rPr>
            </w:pPr>
          </w:p>
          <w:p w14:paraId="7E4A3976">
            <w:pPr>
              <w:autoSpaceDE w:val="0"/>
              <w:autoSpaceDN w:val="0"/>
              <w:spacing w:before="69" w:line="186" w:lineRule="auto"/>
              <w:ind w:left="343"/>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1</w:t>
            </w:r>
          </w:p>
        </w:tc>
        <w:tc>
          <w:tcPr>
            <w:tcW w:w="1768" w:type="dxa"/>
            <w:tcBorders>
              <w:top w:val="single" w:color="000000" w:sz="2" w:space="0"/>
              <w:bottom w:val="single" w:color="000000" w:sz="2" w:space="0"/>
            </w:tcBorders>
            <w:vAlign w:val="top"/>
          </w:tcPr>
          <w:p w14:paraId="0DDBD649">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4B1CE3FA">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36A427E1">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3FB7A814">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1F452AE2">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5381F7EB">
            <w:pPr>
              <w:autoSpaceDE w:val="0"/>
              <w:autoSpaceDN w:val="0"/>
              <w:rPr>
                <w:rFonts w:ascii="Arial"/>
                <w:color w:val="auto"/>
                <w:sz w:val="21"/>
                <w:highlight w:val="none"/>
              </w:rPr>
            </w:pPr>
          </w:p>
        </w:tc>
      </w:tr>
      <w:tr w14:paraId="75F18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757" w:type="dxa"/>
            <w:tcBorders>
              <w:top w:val="single" w:color="000000" w:sz="2" w:space="0"/>
              <w:bottom w:val="single" w:color="000000" w:sz="2" w:space="0"/>
            </w:tcBorders>
            <w:vAlign w:val="top"/>
          </w:tcPr>
          <w:p w14:paraId="395A6A09">
            <w:pPr>
              <w:autoSpaceDE w:val="0"/>
              <w:autoSpaceDN w:val="0"/>
              <w:spacing w:line="416" w:lineRule="auto"/>
              <w:rPr>
                <w:rFonts w:ascii="Arial"/>
                <w:color w:val="auto"/>
                <w:sz w:val="21"/>
                <w:highlight w:val="none"/>
              </w:rPr>
            </w:pPr>
          </w:p>
          <w:p w14:paraId="19E105BF">
            <w:pPr>
              <w:autoSpaceDE w:val="0"/>
              <w:autoSpaceDN w:val="0"/>
              <w:spacing w:before="69" w:line="186" w:lineRule="auto"/>
              <w:ind w:left="320"/>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2</w:t>
            </w:r>
          </w:p>
        </w:tc>
        <w:tc>
          <w:tcPr>
            <w:tcW w:w="1768" w:type="dxa"/>
            <w:tcBorders>
              <w:top w:val="single" w:color="000000" w:sz="2" w:space="0"/>
              <w:bottom w:val="single" w:color="000000" w:sz="2" w:space="0"/>
            </w:tcBorders>
            <w:vAlign w:val="top"/>
          </w:tcPr>
          <w:p w14:paraId="42C7EF91">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26B01DD8">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64DA0875">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160DFB8C">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6C6E7E6D">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711415F0">
            <w:pPr>
              <w:autoSpaceDE w:val="0"/>
              <w:autoSpaceDN w:val="0"/>
              <w:rPr>
                <w:rFonts w:ascii="Arial"/>
                <w:color w:val="auto"/>
                <w:sz w:val="21"/>
                <w:highlight w:val="none"/>
              </w:rPr>
            </w:pPr>
          </w:p>
        </w:tc>
      </w:tr>
      <w:tr w14:paraId="07910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757" w:type="dxa"/>
            <w:tcBorders>
              <w:top w:val="single" w:color="000000" w:sz="2" w:space="0"/>
              <w:bottom w:val="single" w:color="000000" w:sz="2" w:space="0"/>
            </w:tcBorders>
            <w:vAlign w:val="top"/>
          </w:tcPr>
          <w:p w14:paraId="5147BCB9">
            <w:pPr>
              <w:autoSpaceDE w:val="0"/>
              <w:autoSpaceDN w:val="0"/>
              <w:spacing w:line="417" w:lineRule="auto"/>
              <w:rPr>
                <w:rFonts w:ascii="Arial"/>
                <w:color w:val="auto"/>
                <w:sz w:val="21"/>
                <w:highlight w:val="none"/>
              </w:rPr>
            </w:pPr>
          </w:p>
          <w:p w14:paraId="19D13EAC">
            <w:pPr>
              <w:autoSpaceDE w:val="0"/>
              <w:autoSpaceDN w:val="0"/>
              <w:spacing w:before="69" w:line="186" w:lineRule="auto"/>
              <w:ind w:left="32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3</w:t>
            </w:r>
          </w:p>
        </w:tc>
        <w:tc>
          <w:tcPr>
            <w:tcW w:w="1768" w:type="dxa"/>
            <w:tcBorders>
              <w:top w:val="single" w:color="000000" w:sz="2" w:space="0"/>
              <w:bottom w:val="single" w:color="000000" w:sz="2" w:space="0"/>
            </w:tcBorders>
            <w:vAlign w:val="top"/>
          </w:tcPr>
          <w:p w14:paraId="53C0A260">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28A47575">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1E31E291">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30929289">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54A3720B">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252A287F">
            <w:pPr>
              <w:autoSpaceDE w:val="0"/>
              <w:autoSpaceDN w:val="0"/>
              <w:rPr>
                <w:rFonts w:ascii="Arial"/>
                <w:color w:val="auto"/>
                <w:sz w:val="21"/>
                <w:highlight w:val="none"/>
              </w:rPr>
            </w:pPr>
          </w:p>
        </w:tc>
      </w:tr>
      <w:tr w14:paraId="4049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757" w:type="dxa"/>
            <w:tcBorders>
              <w:top w:val="single" w:color="000000" w:sz="2" w:space="0"/>
              <w:bottom w:val="single" w:color="000000" w:sz="2" w:space="0"/>
            </w:tcBorders>
            <w:vAlign w:val="top"/>
          </w:tcPr>
          <w:p w14:paraId="40BF59BC">
            <w:pPr>
              <w:autoSpaceDE w:val="0"/>
              <w:autoSpaceDN w:val="0"/>
              <w:spacing w:line="433" w:lineRule="auto"/>
              <w:rPr>
                <w:rFonts w:ascii="Arial"/>
                <w:color w:val="auto"/>
                <w:sz w:val="21"/>
                <w:highlight w:val="none"/>
              </w:rPr>
            </w:pPr>
          </w:p>
          <w:p w14:paraId="7E65C7D2">
            <w:pPr>
              <w:autoSpaceDE w:val="0"/>
              <w:autoSpaceDN w:val="0"/>
              <w:spacing w:before="69" w:line="186" w:lineRule="auto"/>
              <w:ind w:left="319"/>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4</w:t>
            </w:r>
          </w:p>
        </w:tc>
        <w:tc>
          <w:tcPr>
            <w:tcW w:w="1768" w:type="dxa"/>
            <w:tcBorders>
              <w:top w:val="single" w:color="000000" w:sz="2" w:space="0"/>
              <w:bottom w:val="single" w:color="000000" w:sz="2" w:space="0"/>
            </w:tcBorders>
            <w:vAlign w:val="top"/>
          </w:tcPr>
          <w:p w14:paraId="634D1A83">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6808DF5B">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04ECABF1">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495078CE">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04200059">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05DDC219">
            <w:pPr>
              <w:autoSpaceDE w:val="0"/>
              <w:autoSpaceDN w:val="0"/>
              <w:rPr>
                <w:rFonts w:ascii="Arial"/>
                <w:color w:val="auto"/>
                <w:sz w:val="21"/>
                <w:highlight w:val="none"/>
              </w:rPr>
            </w:pPr>
          </w:p>
        </w:tc>
      </w:tr>
      <w:tr w14:paraId="2D08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57" w:type="dxa"/>
            <w:tcBorders>
              <w:top w:val="single" w:color="000000" w:sz="2" w:space="0"/>
              <w:bottom w:val="single" w:color="000000" w:sz="2" w:space="0"/>
            </w:tcBorders>
            <w:vAlign w:val="top"/>
          </w:tcPr>
          <w:p w14:paraId="28D01B93">
            <w:pPr>
              <w:autoSpaceDE w:val="0"/>
              <w:autoSpaceDN w:val="0"/>
              <w:spacing w:line="437" w:lineRule="auto"/>
              <w:rPr>
                <w:rFonts w:ascii="Arial"/>
                <w:color w:val="auto"/>
                <w:sz w:val="21"/>
                <w:highlight w:val="none"/>
              </w:rPr>
            </w:pPr>
          </w:p>
          <w:p w14:paraId="0E8F1831">
            <w:pPr>
              <w:autoSpaceDE w:val="0"/>
              <w:autoSpaceDN w:val="0"/>
              <w:spacing w:before="69" w:line="183" w:lineRule="auto"/>
              <w:ind w:left="327"/>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5</w:t>
            </w:r>
          </w:p>
        </w:tc>
        <w:tc>
          <w:tcPr>
            <w:tcW w:w="1768" w:type="dxa"/>
            <w:tcBorders>
              <w:top w:val="single" w:color="000000" w:sz="2" w:space="0"/>
              <w:bottom w:val="single" w:color="000000" w:sz="2" w:space="0"/>
            </w:tcBorders>
            <w:vAlign w:val="top"/>
          </w:tcPr>
          <w:p w14:paraId="552BEEC1">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64C52D20">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208C1F8D">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15392208">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0F636194">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775F61D3">
            <w:pPr>
              <w:autoSpaceDE w:val="0"/>
              <w:autoSpaceDN w:val="0"/>
              <w:rPr>
                <w:rFonts w:ascii="Arial"/>
                <w:color w:val="auto"/>
                <w:sz w:val="21"/>
                <w:highlight w:val="none"/>
              </w:rPr>
            </w:pPr>
          </w:p>
        </w:tc>
      </w:tr>
      <w:tr w14:paraId="7A886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5" w:hRule="atLeast"/>
        </w:trPr>
        <w:tc>
          <w:tcPr>
            <w:tcW w:w="757" w:type="dxa"/>
            <w:tcBorders>
              <w:top w:val="single" w:color="000000" w:sz="2" w:space="0"/>
              <w:bottom w:val="single" w:color="000000" w:sz="2" w:space="0"/>
            </w:tcBorders>
            <w:vAlign w:val="top"/>
          </w:tcPr>
          <w:p w14:paraId="1A067D7E">
            <w:pPr>
              <w:autoSpaceDE w:val="0"/>
              <w:autoSpaceDN w:val="0"/>
              <w:spacing w:line="433" w:lineRule="auto"/>
              <w:rPr>
                <w:rFonts w:ascii="Arial"/>
                <w:color w:val="auto"/>
                <w:sz w:val="21"/>
                <w:highlight w:val="none"/>
              </w:rPr>
            </w:pPr>
          </w:p>
          <w:p w14:paraId="38EF8A90">
            <w:pPr>
              <w:autoSpaceDE w:val="0"/>
              <w:autoSpaceDN w:val="0"/>
              <w:spacing w:before="69" w:line="186" w:lineRule="auto"/>
              <w:ind w:left="325"/>
              <w:rPr>
                <w:rFonts w:ascii="Times New Roman" w:hAnsi="Times New Roman" w:eastAsia="Times New Roman" w:cs="Times New Roman"/>
                <w:color w:val="auto"/>
                <w:sz w:val="24"/>
                <w:szCs w:val="24"/>
                <w:highlight w:val="none"/>
              </w:rPr>
            </w:pPr>
            <w:r>
              <w:rPr>
                <w:rFonts w:ascii="Times New Roman" w:hAnsi="Times New Roman" w:eastAsia="Times New Roman" w:cs="Times New Roman"/>
                <w:color w:val="auto"/>
                <w:sz w:val="24"/>
                <w:szCs w:val="24"/>
                <w:highlight w:val="none"/>
              </w:rPr>
              <w:t>6</w:t>
            </w:r>
          </w:p>
        </w:tc>
        <w:tc>
          <w:tcPr>
            <w:tcW w:w="1768" w:type="dxa"/>
            <w:tcBorders>
              <w:top w:val="single" w:color="000000" w:sz="2" w:space="0"/>
              <w:bottom w:val="single" w:color="000000" w:sz="2" w:space="0"/>
            </w:tcBorders>
            <w:vAlign w:val="top"/>
          </w:tcPr>
          <w:p w14:paraId="7C91EFDA">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5F00E275">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457180CA">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2CFC91C0">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741A5CB2">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2F34A86B">
            <w:pPr>
              <w:autoSpaceDE w:val="0"/>
              <w:autoSpaceDN w:val="0"/>
              <w:rPr>
                <w:rFonts w:ascii="Arial"/>
                <w:color w:val="auto"/>
                <w:sz w:val="21"/>
                <w:highlight w:val="none"/>
              </w:rPr>
            </w:pPr>
          </w:p>
        </w:tc>
      </w:tr>
      <w:tr w14:paraId="0C5F1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trPr>
        <w:tc>
          <w:tcPr>
            <w:tcW w:w="757" w:type="dxa"/>
            <w:tcBorders>
              <w:top w:val="single" w:color="000000" w:sz="2" w:space="0"/>
              <w:bottom w:val="single" w:color="000000" w:sz="2" w:space="0"/>
            </w:tcBorders>
            <w:vAlign w:val="top"/>
          </w:tcPr>
          <w:p w14:paraId="274F7B76">
            <w:pPr>
              <w:autoSpaceDE w:val="0"/>
              <w:autoSpaceDN w:val="0"/>
              <w:spacing w:line="250" w:lineRule="auto"/>
              <w:rPr>
                <w:rFonts w:ascii="Arial"/>
                <w:color w:val="auto"/>
                <w:sz w:val="21"/>
                <w:highlight w:val="none"/>
              </w:rPr>
            </w:pPr>
          </w:p>
          <w:p w14:paraId="2E6E0415">
            <w:pPr>
              <w:autoSpaceDE w:val="0"/>
              <w:autoSpaceDN w:val="0"/>
              <w:spacing w:before="98" w:line="185" w:lineRule="auto"/>
              <w:ind w:left="312"/>
              <w:rPr>
                <w:rFonts w:hint="default" w:ascii="Times New Roman" w:hAnsi="Times New Roman" w:eastAsia="宋体" w:cs="Times New Roman"/>
                <w:color w:val="auto"/>
                <w:sz w:val="34"/>
                <w:szCs w:val="34"/>
                <w:highlight w:val="none"/>
                <w:lang w:val="en-US" w:eastAsia="zh-CN"/>
              </w:rPr>
            </w:pPr>
            <w:r>
              <w:rPr>
                <w:rFonts w:hint="eastAsia" w:eastAsia="宋体" w:cs="Times New Roman"/>
                <w:color w:val="auto"/>
                <w:sz w:val="34"/>
                <w:szCs w:val="34"/>
                <w:highlight w:val="none"/>
                <w:lang w:val="en-US" w:eastAsia="zh-CN"/>
              </w:rPr>
              <w:t>....</w:t>
            </w:r>
          </w:p>
        </w:tc>
        <w:tc>
          <w:tcPr>
            <w:tcW w:w="1768" w:type="dxa"/>
            <w:tcBorders>
              <w:top w:val="single" w:color="000000" w:sz="2" w:space="0"/>
              <w:bottom w:val="single" w:color="000000" w:sz="2" w:space="0"/>
            </w:tcBorders>
            <w:vAlign w:val="top"/>
          </w:tcPr>
          <w:p w14:paraId="785A59DF">
            <w:pPr>
              <w:autoSpaceDE w:val="0"/>
              <w:autoSpaceDN w:val="0"/>
              <w:rPr>
                <w:rFonts w:ascii="Arial"/>
                <w:color w:val="auto"/>
                <w:sz w:val="21"/>
                <w:highlight w:val="none"/>
              </w:rPr>
            </w:pPr>
          </w:p>
        </w:tc>
        <w:tc>
          <w:tcPr>
            <w:tcW w:w="1531" w:type="dxa"/>
            <w:tcBorders>
              <w:top w:val="single" w:color="000000" w:sz="2" w:space="0"/>
              <w:bottom w:val="single" w:color="000000" w:sz="2" w:space="0"/>
            </w:tcBorders>
            <w:vAlign w:val="top"/>
          </w:tcPr>
          <w:p w14:paraId="4B071D91">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523E722B">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0A9CF272">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38DE8FBA">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1DB0AB06">
            <w:pPr>
              <w:autoSpaceDE w:val="0"/>
              <w:autoSpaceDN w:val="0"/>
              <w:rPr>
                <w:rFonts w:ascii="Arial"/>
                <w:color w:val="auto"/>
                <w:sz w:val="21"/>
                <w:highlight w:val="none"/>
              </w:rPr>
            </w:pPr>
          </w:p>
        </w:tc>
      </w:tr>
      <w:tr w14:paraId="75E80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8" w:hRule="atLeast"/>
        </w:trPr>
        <w:tc>
          <w:tcPr>
            <w:tcW w:w="757" w:type="dxa"/>
            <w:tcBorders>
              <w:top w:val="single" w:color="000000" w:sz="2" w:space="0"/>
              <w:bottom w:val="single" w:color="000000" w:sz="2" w:space="0"/>
            </w:tcBorders>
            <w:vAlign w:val="top"/>
          </w:tcPr>
          <w:p w14:paraId="70B1D6B8">
            <w:pPr>
              <w:autoSpaceDE w:val="0"/>
              <w:autoSpaceDN w:val="0"/>
              <w:spacing w:line="260" w:lineRule="auto"/>
              <w:rPr>
                <w:rFonts w:ascii="Arial"/>
                <w:color w:val="auto"/>
                <w:sz w:val="21"/>
                <w:highlight w:val="none"/>
              </w:rPr>
            </w:pPr>
          </w:p>
          <w:p w14:paraId="0B11FCE7">
            <w:pPr>
              <w:autoSpaceDE w:val="0"/>
              <w:autoSpaceDN w:val="0"/>
              <w:spacing w:before="98" w:line="188" w:lineRule="auto"/>
              <w:ind w:left="321"/>
              <w:rPr>
                <w:rFonts w:hint="eastAsia" w:ascii="Times New Roman" w:hAnsi="Times New Roman" w:eastAsia="宋体" w:cs="Times New Roman"/>
                <w:color w:val="auto"/>
                <w:sz w:val="34"/>
                <w:szCs w:val="34"/>
                <w:highlight w:val="none"/>
                <w:lang w:eastAsia="zh-CN"/>
              </w:rPr>
            </w:pPr>
            <w:r>
              <w:rPr>
                <w:rFonts w:hint="eastAsia" w:eastAsia="宋体" w:cs="Times New Roman"/>
                <w:color w:val="auto"/>
                <w:sz w:val="34"/>
                <w:szCs w:val="34"/>
                <w:highlight w:val="none"/>
                <w:lang w:val="en-US" w:eastAsia="zh-CN"/>
              </w:rPr>
              <w:t xml:space="preserve"> </w:t>
            </w:r>
          </w:p>
        </w:tc>
        <w:tc>
          <w:tcPr>
            <w:tcW w:w="1768" w:type="dxa"/>
            <w:tcBorders>
              <w:top w:val="single" w:color="000000" w:sz="2" w:space="0"/>
              <w:bottom w:val="single" w:color="000000" w:sz="2" w:space="0"/>
            </w:tcBorders>
            <w:vAlign w:val="top"/>
          </w:tcPr>
          <w:p w14:paraId="285F9032">
            <w:pPr>
              <w:autoSpaceDE w:val="0"/>
              <w:autoSpaceDN w:val="0"/>
              <w:spacing w:line="351" w:lineRule="auto"/>
              <w:rPr>
                <w:rFonts w:ascii="Arial"/>
                <w:color w:val="auto"/>
                <w:sz w:val="21"/>
                <w:highlight w:val="none"/>
              </w:rPr>
            </w:pPr>
          </w:p>
          <w:p w14:paraId="4C239D68">
            <w:pPr>
              <w:autoSpaceDE w:val="0"/>
              <w:autoSpaceDN w:val="0"/>
              <w:spacing w:before="78" w:line="213" w:lineRule="auto"/>
              <w:ind w:left="244"/>
              <w:rPr>
                <w:rFonts w:ascii="Times New Roman" w:hAnsi="Times New Roman" w:eastAsia="Times New Roman" w:cs="Times New Roman"/>
                <w:color w:val="auto"/>
                <w:sz w:val="24"/>
                <w:szCs w:val="24"/>
                <w:highlight w:val="none"/>
              </w:rPr>
            </w:pPr>
            <w:r>
              <w:rPr>
                <w:rFonts w:ascii="宋体" w:hAnsi="宋体" w:eastAsia="宋体" w:cs="宋体"/>
                <w:color w:val="auto"/>
                <w:spacing w:val="-8"/>
                <w:sz w:val="24"/>
                <w:szCs w:val="24"/>
                <w:highlight w:val="none"/>
              </w:rPr>
              <w:t>合</w:t>
            </w:r>
            <w:r>
              <w:rPr>
                <w:rFonts w:ascii="宋体" w:hAnsi="宋体" w:eastAsia="宋体" w:cs="宋体"/>
                <w:color w:val="auto"/>
                <w:spacing w:val="-6"/>
                <w:sz w:val="24"/>
                <w:szCs w:val="24"/>
                <w:highlight w:val="none"/>
              </w:rPr>
              <w:t>计</w:t>
            </w:r>
            <w:r>
              <w:rPr>
                <w:rFonts w:ascii="Times New Roman" w:hAnsi="Times New Roman" w:eastAsia="Times New Roman" w:cs="Times New Roman"/>
                <w:color w:val="auto"/>
                <w:spacing w:val="-6"/>
                <w:sz w:val="24"/>
                <w:szCs w:val="24"/>
                <w:highlight w:val="none"/>
              </w:rPr>
              <w:t>(</w:t>
            </w:r>
            <w:r>
              <w:rPr>
                <w:rFonts w:ascii="宋体" w:hAnsi="宋体" w:eastAsia="宋体" w:cs="宋体"/>
                <w:color w:val="auto"/>
                <w:spacing w:val="-6"/>
                <w:sz w:val="24"/>
                <w:szCs w:val="24"/>
                <w:highlight w:val="none"/>
              </w:rPr>
              <w:t xml:space="preserve">结转至表 </w:t>
            </w:r>
            <w:r>
              <w:rPr>
                <w:rFonts w:ascii="Times New Roman" w:hAnsi="Times New Roman" w:eastAsia="Times New Roman" w:cs="Times New Roman"/>
                <w:color w:val="auto"/>
                <w:spacing w:val="-6"/>
                <w:sz w:val="24"/>
                <w:szCs w:val="24"/>
                <w:highlight w:val="none"/>
              </w:rPr>
              <w:t>1)</w:t>
            </w:r>
          </w:p>
        </w:tc>
        <w:tc>
          <w:tcPr>
            <w:tcW w:w="1531" w:type="dxa"/>
            <w:tcBorders>
              <w:top w:val="single" w:color="000000" w:sz="2" w:space="0"/>
              <w:bottom w:val="single" w:color="000000" w:sz="2" w:space="0"/>
            </w:tcBorders>
            <w:vAlign w:val="top"/>
          </w:tcPr>
          <w:p w14:paraId="06F2B69E">
            <w:pPr>
              <w:autoSpaceDE w:val="0"/>
              <w:autoSpaceDN w:val="0"/>
              <w:rPr>
                <w:rFonts w:ascii="Arial"/>
                <w:color w:val="auto"/>
                <w:sz w:val="21"/>
                <w:highlight w:val="none"/>
              </w:rPr>
            </w:pPr>
          </w:p>
        </w:tc>
        <w:tc>
          <w:tcPr>
            <w:tcW w:w="1620" w:type="dxa"/>
            <w:tcBorders>
              <w:top w:val="single" w:color="000000" w:sz="2" w:space="0"/>
              <w:bottom w:val="single" w:color="000000" w:sz="2" w:space="0"/>
            </w:tcBorders>
            <w:vAlign w:val="top"/>
          </w:tcPr>
          <w:p w14:paraId="3F178E4B">
            <w:pPr>
              <w:autoSpaceDE w:val="0"/>
              <w:autoSpaceDN w:val="0"/>
              <w:rPr>
                <w:rFonts w:ascii="Arial"/>
                <w:color w:val="auto"/>
                <w:sz w:val="21"/>
                <w:highlight w:val="none"/>
              </w:rPr>
            </w:pPr>
          </w:p>
        </w:tc>
        <w:tc>
          <w:tcPr>
            <w:tcW w:w="1350" w:type="dxa"/>
            <w:tcBorders>
              <w:top w:val="single" w:color="000000" w:sz="2" w:space="0"/>
              <w:bottom w:val="single" w:color="000000" w:sz="2" w:space="0"/>
            </w:tcBorders>
            <w:vAlign w:val="top"/>
          </w:tcPr>
          <w:p w14:paraId="4B3D5938">
            <w:pPr>
              <w:autoSpaceDE w:val="0"/>
              <w:autoSpaceDN w:val="0"/>
              <w:rPr>
                <w:rFonts w:ascii="Arial"/>
                <w:color w:val="auto"/>
                <w:sz w:val="21"/>
                <w:highlight w:val="none"/>
              </w:rPr>
            </w:pPr>
          </w:p>
        </w:tc>
        <w:tc>
          <w:tcPr>
            <w:tcW w:w="1424" w:type="dxa"/>
            <w:tcBorders>
              <w:top w:val="single" w:color="000000" w:sz="2" w:space="0"/>
              <w:bottom w:val="single" w:color="000000" w:sz="2" w:space="0"/>
            </w:tcBorders>
            <w:vAlign w:val="top"/>
          </w:tcPr>
          <w:p w14:paraId="460AB3A8">
            <w:pPr>
              <w:autoSpaceDE w:val="0"/>
              <w:autoSpaceDN w:val="0"/>
              <w:rPr>
                <w:rFonts w:ascii="Arial"/>
                <w:color w:val="auto"/>
                <w:sz w:val="21"/>
                <w:highlight w:val="none"/>
              </w:rPr>
            </w:pPr>
          </w:p>
        </w:tc>
        <w:tc>
          <w:tcPr>
            <w:tcW w:w="1342" w:type="dxa"/>
            <w:tcBorders>
              <w:top w:val="single" w:color="000000" w:sz="2" w:space="0"/>
              <w:bottom w:val="single" w:color="000000" w:sz="2" w:space="0"/>
            </w:tcBorders>
            <w:vAlign w:val="top"/>
          </w:tcPr>
          <w:p w14:paraId="05590BBF">
            <w:pPr>
              <w:autoSpaceDE w:val="0"/>
              <w:autoSpaceDN w:val="0"/>
              <w:rPr>
                <w:rFonts w:ascii="Arial"/>
                <w:color w:val="auto"/>
                <w:sz w:val="21"/>
                <w:highlight w:val="none"/>
              </w:rPr>
            </w:pPr>
          </w:p>
        </w:tc>
      </w:tr>
    </w:tbl>
    <w:p w14:paraId="0810BCED">
      <w:pPr>
        <w:spacing w:line="269" w:lineRule="auto"/>
        <w:rPr>
          <w:rFonts w:ascii="Arial"/>
          <w:color w:val="auto"/>
          <w:sz w:val="21"/>
          <w:highlight w:val="none"/>
        </w:rPr>
      </w:pPr>
    </w:p>
    <w:p w14:paraId="63560420">
      <w:pPr>
        <w:spacing w:line="270" w:lineRule="auto"/>
        <w:rPr>
          <w:rFonts w:ascii="Arial"/>
          <w:color w:val="auto"/>
          <w:sz w:val="21"/>
          <w:highlight w:val="none"/>
        </w:rPr>
      </w:pPr>
    </w:p>
    <w:p w14:paraId="744C653F">
      <w:pPr>
        <w:pStyle w:val="74"/>
        <w:rPr>
          <w:rFonts w:eastAsia="黑体"/>
          <w:b w:val="0"/>
          <w:bCs w:val="0"/>
          <w:color w:val="auto"/>
          <w:sz w:val="32"/>
          <w:szCs w:val="32"/>
          <w:highlight w:val="none"/>
        </w:rPr>
      </w:pPr>
    </w:p>
    <w:p w14:paraId="5D49C093">
      <w:pPr>
        <w:rPr>
          <w:rFonts w:eastAsia="黑体"/>
          <w:b w:val="0"/>
          <w:bCs w:val="0"/>
          <w:color w:val="auto"/>
          <w:sz w:val="32"/>
          <w:szCs w:val="32"/>
          <w:highlight w:val="none"/>
        </w:rPr>
      </w:pPr>
    </w:p>
    <w:p w14:paraId="0CCB12FF">
      <w:pPr>
        <w:pStyle w:val="74"/>
        <w:rPr>
          <w:rFonts w:eastAsia="黑体"/>
          <w:b w:val="0"/>
          <w:bCs w:val="0"/>
          <w:color w:val="auto"/>
          <w:sz w:val="32"/>
          <w:szCs w:val="32"/>
          <w:highlight w:val="none"/>
        </w:rPr>
      </w:pPr>
    </w:p>
    <w:p w14:paraId="498F2C72">
      <w:pPr>
        <w:rPr>
          <w:rFonts w:eastAsia="黑体"/>
          <w:b w:val="0"/>
          <w:bCs w:val="0"/>
          <w:color w:val="auto"/>
          <w:sz w:val="32"/>
          <w:szCs w:val="32"/>
          <w:highlight w:val="none"/>
        </w:rPr>
      </w:pPr>
    </w:p>
    <w:p w14:paraId="0EC58B5C">
      <w:pPr>
        <w:pStyle w:val="74"/>
        <w:rPr>
          <w:rFonts w:eastAsia="黑体"/>
          <w:b w:val="0"/>
          <w:bCs w:val="0"/>
          <w:color w:val="auto"/>
          <w:sz w:val="32"/>
          <w:szCs w:val="32"/>
          <w:highlight w:val="none"/>
        </w:rPr>
      </w:pPr>
    </w:p>
    <w:p w14:paraId="641BFA6F">
      <w:pPr>
        <w:rPr>
          <w:rFonts w:eastAsia="黑体"/>
          <w:b w:val="0"/>
          <w:bCs w:val="0"/>
          <w:color w:val="auto"/>
          <w:sz w:val="32"/>
          <w:szCs w:val="32"/>
          <w:highlight w:val="none"/>
        </w:rPr>
      </w:pPr>
    </w:p>
    <w:p w14:paraId="5AF01328">
      <w:pPr>
        <w:pStyle w:val="74"/>
        <w:rPr>
          <w:rFonts w:eastAsia="黑体"/>
          <w:b w:val="0"/>
          <w:bCs w:val="0"/>
          <w:color w:val="auto"/>
          <w:sz w:val="32"/>
          <w:szCs w:val="32"/>
          <w:highlight w:val="none"/>
        </w:rPr>
        <w:sectPr>
          <w:footerReference r:id="rId9" w:type="default"/>
          <w:footnotePr>
            <w:numFmt w:val="decimalEnclosedCircleChinese"/>
            <w:numRestart w:val="eachPage"/>
          </w:footnotePr>
          <w:pgSz w:w="11906" w:h="16838"/>
          <w:pgMar w:top="1134" w:right="1134" w:bottom="1134" w:left="1134" w:header="851" w:footer="992" w:gutter="0"/>
          <w:pgNumType w:fmt="decimal"/>
          <w:cols w:space="720" w:num="1"/>
          <w:docGrid w:linePitch="312" w:charSpace="0"/>
        </w:sectPr>
      </w:pPr>
    </w:p>
    <w:p w14:paraId="1755EB7D">
      <w:pPr>
        <w:rPr>
          <w:color w:val="auto"/>
          <w:highlight w:val="none"/>
        </w:rPr>
      </w:pPr>
    </w:p>
    <w:p w14:paraId="0360A01D">
      <w:pPr>
        <w:rPr>
          <w:rFonts w:eastAsia="黑体"/>
          <w:b w:val="0"/>
          <w:bCs w:val="0"/>
          <w:color w:val="auto"/>
          <w:sz w:val="32"/>
          <w:szCs w:val="32"/>
          <w:highlight w:val="none"/>
        </w:rPr>
      </w:pPr>
      <w:r>
        <w:rPr>
          <w:rFonts w:ascii="黑体" w:hAnsi="黑体" w:eastAsia="黑体" w:cs="黑体"/>
          <w:color w:val="auto"/>
          <w:spacing w:val="13"/>
          <w:sz w:val="28"/>
          <w:szCs w:val="28"/>
          <w:highlight w:val="none"/>
        </w:rPr>
        <w:t>表</w:t>
      </w:r>
      <w:r>
        <w:rPr>
          <w:rFonts w:ascii="Times New Roman" w:hAnsi="Times New Roman" w:eastAsia="Times New Roman" w:cs="Times New Roman"/>
          <w:color w:val="auto"/>
          <w:spacing w:val="12"/>
          <w:sz w:val="28"/>
          <w:szCs w:val="28"/>
          <w:highlight w:val="none"/>
        </w:rPr>
        <w:t>7</w:t>
      </w:r>
      <w:r>
        <w:rPr>
          <w:rFonts w:hint="eastAsia" w:ascii="Times New Roman" w:hAnsi="Times New Roman" w:eastAsia="宋体" w:cs="Times New Roman"/>
          <w:color w:val="auto"/>
          <w:spacing w:val="12"/>
          <w:sz w:val="28"/>
          <w:szCs w:val="28"/>
          <w:highlight w:val="none"/>
          <w:lang w:val="en-US" w:eastAsia="zh-CN"/>
        </w:rPr>
        <w:t xml:space="preserve">       </w:t>
      </w:r>
      <w:r>
        <w:rPr>
          <w:rFonts w:ascii="黑体" w:hAnsi="黑体" w:eastAsia="黑体" w:cs="黑体"/>
          <w:color w:val="auto"/>
          <w:spacing w:val="12"/>
          <w:sz w:val="28"/>
          <w:szCs w:val="28"/>
          <w:highlight w:val="none"/>
        </w:rPr>
        <w:t>试验检测人员工作计划安排表</w:t>
      </w:r>
    </w:p>
    <w:p w14:paraId="530A09D6">
      <w:pPr>
        <w:pStyle w:val="74"/>
        <w:rPr>
          <w:rFonts w:eastAsia="黑体"/>
          <w:b w:val="0"/>
          <w:bCs w:val="0"/>
          <w:color w:val="auto"/>
          <w:sz w:val="32"/>
          <w:szCs w:val="32"/>
          <w:highlight w:val="none"/>
        </w:rPr>
      </w:pPr>
    </w:p>
    <w:tbl>
      <w:tblPr>
        <w:tblStyle w:val="650"/>
        <w:tblW w:w="146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575"/>
        <w:gridCol w:w="975"/>
        <w:gridCol w:w="624"/>
        <w:gridCol w:w="624"/>
        <w:gridCol w:w="624"/>
        <w:gridCol w:w="624"/>
        <w:gridCol w:w="624"/>
        <w:gridCol w:w="624"/>
        <w:gridCol w:w="624"/>
        <w:gridCol w:w="624"/>
        <w:gridCol w:w="624"/>
        <w:gridCol w:w="624"/>
        <w:gridCol w:w="624"/>
        <w:gridCol w:w="633"/>
        <w:gridCol w:w="1280"/>
        <w:gridCol w:w="1110"/>
        <w:gridCol w:w="1320"/>
      </w:tblGrid>
      <w:tr w14:paraId="5DA29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47" w:type="dxa"/>
            <w:vMerge w:val="restart"/>
            <w:tcBorders>
              <w:left w:val="single" w:color="000000" w:sz="6" w:space="0"/>
              <w:bottom w:val="nil"/>
              <w:right w:val="single" w:color="000000" w:sz="6" w:space="0"/>
            </w:tcBorders>
            <w:vAlign w:val="top"/>
          </w:tcPr>
          <w:p w14:paraId="6EBC9BC5">
            <w:pPr>
              <w:autoSpaceDE w:val="0"/>
              <w:autoSpaceDN w:val="0"/>
              <w:spacing w:before="220" w:line="221" w:lineRule="auto"/>
              <w:ind w:left="3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序号</w:t>
            </w:r>
          </w:p>
        </w:tc>
        <w:tc>
          <w:tcPr>
            <w:tcW w:w="1575" w:type="dxa"/>
            <w:vMerge w:val="restart"/>
            <w:tcBorders>
              <w:left w:val="single" w:color="000000" w:sz="6" w:space="0"/>
              <w:bottom w:val="nil"/>
              <w:right w:val="single" w:color="000000" w:sz="6" w:space="0"/>
            </w:tcBorders>
            <w:vAlign w:val="top"/>
          </w:tcPr>
          <w:p w14:paraId="2FE7AE96">
            <w:pPr>
              <w:autoSpaceDE w:val="0"/>
              <w:autoSpaceDN w:val="0"/>
              <w:spacing w:before="219" w:line="220" w:lineRule="auto"/>
              <w:ind w:left="70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职</w:t>
            </w:r>
            <w:r>
              <w:rPr>
                <w:rFonts w:ascii="宋体" w:hAnsi="宋体" w:eastAsia="宋体" w:cs="宋体"/>
                <w:color w:val="auto"/>
                <w:spacing w:val="-2"/>
                <w:sz w:val="21"/>
                <w:szCs w:val="21"/>
                <w:highlight w:val="none"/>
              </w:rPr>
              <w:t>务</w:t>
            </w:r>
          </w:p>
        </w:tc>
        <w:tc>
          <w:tcPr>
            <w:tcW w:w="975" w:type="dxa"/>
            <w:vMerge w:val="restart"/>
            <w:tcBorders>
              <w:left w:val="single" w:color="000000" w:sz="6" w:space="0"/>
              <w:bottom w:val="nil"/>
              <w:right w:val="single" w:color="000000" w:sz="6" w:space="0"/>
            </w:tcBorders>
            <w:vAlign w:val="top"/>
          </w:tcPr>
          <w:p w14:paraId="157F5E83">
            <w:pPr>
              <w:autoSpaceDE w:val="0"/>
              <w:autoSpaceDN w:val="0"/>
              <w:spacing w:before="99" w:line="221" w:lineRule="auto"/>
              <w:ind w:left="7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驻场时</w:t>
            </w:r>
            <w:r>
              <w:rPr>
                <w:rFonts w:ascii="宋体" w:hAnsi="宋体" w:eastAsia="宋体" w:cs="宋体"/>
                <w:color w:val="auto"/>
                <w:spacing w:val="-1"/>
                <w:sz w:val="21"/>
                <w:szCs w:val="21"/>
                <w:highlight w:val="none"/>
              </w:rPr>
              <w:t>间</w:t>
            </w:r>
          </w:p>
          <w:p w14:paraId="3174E5D4">
            <w:pPr>
              <w:autoSpaceDE w:val="0"/>
              <w:autoSpaceDN w:val="0"/>
              <w:spacing w:before="18" w:line="220" w:lineRule="auto"/>
              <w:ind w:left="189"/>
              <w:rPr>
                <w:rFonts w:ascii="宋体" w:hAnsi="宋体" w:eastAsia="宋体" w:cs="宋体"/>
                <w:color w:val="auto"/>
                <w:sz w:val="21"/>
                <w:szCs w:val="21"/>
                <w:highlight w:val="none"/>
              </w:rPr>
            </w:pPr>
            <w:r>
              <w:rPr>
                <w:rFonts w:ascii="宋体" w:hAnsi="宋体" w:eastAsia="宋体" w:cs="宋体"/>
                <w:color w:val="auto"/>
                <w:spacing w:val="27"/>
                <w:sz w:val="21"/>
                <w:szCs w:val="21"/>
                <w:highlight w:val="none"/>
              </w:rPr>
              <w:t>(</w:t>
            </w:r>
            <w:r>
              <w:rPr>
                <w:rFonts w:ascii="宋体" w:hAnsi="宋体" w:eastAsia="宋体" w:cs="宋体"/>
                <w:color w:val="auto"/>
                <w:spacing w:val="25"/>
                <w:sz w:val="21"/>
                <w:szCs w:val="21"/>
                <w:highlight w:val="none"/>
              </w:rPr>
              <w:t>月)</w:t>
            </w:r>
          </w:p>
        </w:tc>
        <w:tc>
          <w:tcPr>
            <w:tcW w:w="8777" w:type="dxa"/>
            <w:gridSpan w:val="13"/>
            <w:tcBorders>
              <w:left w:val="single" w:color="000000" w:sz="6" w:space="0"/>
              <w:right w:val="single" w:color="000000" w:sz="6" w:space="0"/>
            </w:tcBorders>
            <w:vAlign w:val="top"/>
          </w:tcPr>
          <w:p w14:paraId="582FB720">
            <w:pPr>
              <w:autoSpaceDE w:val="0"/>
              <w:autoSpaceDN w:val="0"/>
              <w:spacing w:before="54" w:line="220" w:lineRule="auto"/>
              <w:ind w:left="31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试</w:t>
            </w:r>
            <w:r>
              <w:rPr>
                <w:rFonts w:ascii="宋体" w:hAnsi="宋体" w:eastAsia="宋体" w:cs="宋体"/>
                <w:color w:val="auto"/>
                <w:spacing w:val="8"/>
                <w:sz w:val="21"/>
                <w:szCs w:val="21"/>
                <w:highlight w:val="none"/>
              </w:rPr>
              <w:t>验</w:t>
            </w:r>
            <w:r>
              <w:rPr>
                <w:rFonts w:ascii="宋体" w:hAnsi="宋体" w:eastAsia="宋体" w:cs="宋体"/>
                <w:color w:val="auto"/>
                <w:spacing w:val="5"/>
                <w:sz w:val="21"/>
                <w:szCs w:val="21"/>
                <w:highlight w:val="none"/>
              </w:rPr>
              <w:t>检测人员投入安排(共个月)</w:t>
            </w:r>
          </w:p>
        </w:tc>
        <w:tc>
          <w:tcPr>
            <w:tcW w:w="1110" w:type="dxa"/>
            <w:vMerge w:val="restart"/>
            <w:tcBorders>
              <w:left w:val="single" w:color="000000" w:sz="6" w:space="0"/>
              <w:bottom w:val="nil"/>
              <w:right w:val="single" w:color="000000" w:sz="6" w:space="0"/>
            </w:tcBorders>
            <w:vAlign w:val="top"/>
          </w:tcPr>
          <w:p w14:paraId="60131491">
            <w:pPr>
              <w:autoSpaceDE w:val="0"/>
              <w:autoSpaceDN w:val="0"/>
              <w:spacing w:before="220" w:line="221" w:lineRule="auto"/>
              <w:ind w:left="2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w:t>
            </w:r>
            <w:r>
              <w:rPr>
                <w:rFonts w:ascii="宋体" w:hAnsi="宋体" w:eastAsia="宋体" w:cs="宋体"/>
                <w:color w:val="auto"/>
                <w:spacing w:val="-2"/>
                <w:sz w:val="21"/>
                <w:szCs w:val="21"/>
                <w:highlight w:val="none"/>
              </w:rPr>
              <w:t>计</w:t>
            </w:r>
          </w:p>
        </w:tc>
        <w:tc>
          <w:tcPr>
            <w:tcW w:w="1320" w:type="dxa"/>
            <w:vMerge w:val="restart"/>
            <w:tcBorders>
              <w:left w:val="single" w:color="000000" w:sz="6" w:space="0"/>
              <w:bottom w:val="nil"/>
              <w:right w:val="single" w:color="000000" w:sz="6" w:space="0"/>
            </w:tcBorders>
            <w:vAlign w:val="top"/>
          </w:tcPr>
          <w:p w14:paraId="26F9E810">
            <w:pPr>
              <w:autoSpaceDE w:val="0"/>
              <w:autoSpaceDN w:val="0"/>
              <w:spacing w:before="220" w:line="221" w:lineRule="auto"/>
              <w:ind w:left="58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备</w:t>
            </w:r>
            <w:r>
              <w:rPr>
                <w:rFonts w:ascii="宋体" w:hAnsi="宋体" w:eastAsia="宋体" w:cs="宋体"/>
                <w:color w:val="auto"/>
                <w:spacing w:val="-2"/>
                <w:sz w:val="21"/>
                <w:szCs w:val="21"/>
                <w:highlight w:val="none"/>
              </w:rPr>
              <w:t>注</w:t>
            </w:r>
          </w:p>
        </w:tc>
      </w:tr>
      <w:tr w14:paraId="602F5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47" w:type="dxa"/>
            <w:vMerge w:val="continue"/>
            <w:tcBorders>
              <w:top w:val="nil"/>
              <w:left w:val="single" w:color="000000" w:sz="6" w:space="0"/>
              <w:right w:val="single" w:color="000000" w:sz="6" w:space="0"/>
            </w:tcBorders>
            <w:vAlign w:val="top"/>
          </w:tcPr>
          <w:p w14:paraId="5C3C7E19">
            <w:pPr>
              <w:autoSpaceDE w:val="0"/>
              <w:autoSpaceDN w:val="0"/>
              <w:rPr>
                <w:rFonts w:ascii="Arial"/>
                <w:color w:val="auto"/>
                <w:sz w:val="21"/>
                <w:highlight w:val="none"/>
              </w:rPr>
            </w:pPr>
          </w:p>
        </w:tc>
        <w:tc>
          <w:tcPr>
            <w:tcW w:w="1575" w:type="dxa"/>
            <w:vMerge w:val="continue"/>
            <w:tcBorders>
              <w:top w:val="nil"/>
              <w:left w:val="single" w:color="000000" w:sz="6" w:space="0"/>
              <w:right w:val="single" w:color="000000" w:sz="6" w:space="0"/>
            </w:tcBorders>
            <w:vAlign w:val="top"/>
          </w:tcPr>
          <w:p w14:paraId="35588116">
            <w:pPr>
              <w:autoSpaceDE w:val="0"/>
              <w:autoSpaceDN w:val="0"/>
              <w:rPr>
                <w:rFonts w:ascii="Arial"/>
                <w:color w:val="auto"/>
                <w:sz w:val="21"/>
                <w:highlight w:val="none"/>
              </w:rPr>
            </w:pPr>
          </w:p>
        </w:tc>
        <w:tc>
          <w:tcPr>
            <w:tcW w:w="975" w:type="dxa"/>
            <w:vMerge w:val="continue"/>
            <w:tcBorders>
              <w:top w:val="nil"/>
              <w:left w:val="single" w:color="000000" w:sz="6" w:space="0"/>
              <w:right w:val="single" w:color="000000" w:sz="6" w:space="0"/>
            </w:tcBorders>
            <w:vAlign w:val="top"/>
          </w:tcPr>
          <w:p w14:paraId="5C74DEA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4B5F1EF">
            <w:pPr>
              <w:autoSpaceDE w:val="0"/>
              <w:autoSpaceDN w:val="0"/>
              <w:spacing w:before="85" w:line="187" w:lineRule="auto"/>
              <w:ind w:left="26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624" w:type="dxa"/>
            <w:tcBorders>
              <w:left w:val="single" w:color="000000" w:sz="6" w:space="0"/>
              <w:right w:val="single" w:color="000000" w:sz="6" w:space="0"/>
            </w:tcBorders>
            <w:vAlign w:val="top"/>
          </w:tcPr>
          <w:p w14:paraId="79161C71">
            <w:pPr>
              <w:autoSpaceDE w:val="0"/>
              <w:autoSpaceDN w:val="0"/>
              <w:spacing w:before="85" w:line="187" w:lineRule="auto"/>
              <w:ind w:left="30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624" w:type="dxa"/>
            <w:tcBorders>
              <w:left w:val="single" w:color="000000" w:sz="6" w:space="0"/>
              <w:right w:val="single" w:color="000000" w:sz="6" w:space="0"/>
            </w:tcBorders>
            <w:vAlign w:val="top"/>
          </w:tcPr>
          <w:p w14:paraId="02735D39">
            <w:pPr>
              <w:autoSpaceDE w:val="0"/>
              <w:autoSpaceDN w:val="0"/>
              <w:spacing w:before="86" w:line="186" w:lineRule="auto"/>
              <w:ind w:left="2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624" w:type="dxa"/>
            <w:tcBorders>
              <w:left w:val="single" w:color="000000" w:sz="6" w:space="0"/>
              <w:right w:val="single" w:color="000000" w:sz="6" w:space="0"/>
            </w:tcBorders>
            <w:vAlign w:val="top"/>
          </w:tcPr>
          <w:p w14:paraId="154FB1C2">
            <w:pPr>
              <w:autoSpaceDE w:val="0"/>
              <w:autoSpaceDN w:val="0"/>
              <w:spacing w:before="85" w:line="187" w:lineRule="auto"/>
              <w:ind w:left="241"/>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624" w:type="dxa"/>
            <w:tcBorders>
              <w:left w:val="single" w:color="000000" w:sz="6" w:space="0"/>
              <w:right w:val="single" w:color="000000" w:sz="6" w:space="0"/>
            </w:tcBorders>
            <w:vAlign w:val="top"/>
          </w:tcPr>
          <w:p w14:paraId="7DBB6C95">
            <w:pPr>
              <w:autoSpaceDE w:val="0"/>
              <w:autoSpaceDN w:val="0"/>
              <w:spacing w:before="89" w:line="183" w:lineRule="auto"/>
              <w:ind w:left="249"/>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624" w:type="dxa"/>
            <w:tcBorders>
              <w:left w:val="single" w:color="000000" w:sz="6" w:space="0"/>
              <w:right w:val="single" w:color="000000" w:sz="6" w:space="0"/>
            </w:tcBorders>
            <w:vAlign w:val="top"/>
          </w:tcPr>
          <w:p w14:paraId="68434475">
            <w:pPr>
              <w:autoSpaceDE w:val="0"/>
              <w:autoSpaceDN w:val="0"/>
              <w:spacing w:before="86" w:line="186" w:lineRule="auto"/>
              <w:ind w:left="248"/>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624" w:type="dxa"/>
            <w:tcBorders>
              <w:left w:val="single" w:color="000000" w:sz="6" w:space="0"/>
              <w:right w:val="single" w:color="000000" w:sz="6" w:space="0"/>
            </w:tcBorders>
            <w:vAlign w:val="top"/>
          </w:tcPr>
          <w:p w14:paraId="73E4BFE6">
            <w:pPr>
              <w:autoSpaceDE w:val="0"/>
              <w:autoSpaceDN w:val="0"/>
              <w:spacing w:before="88" w:line="184" w:lineRule="auto"/>
              <w:ind w:left="24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7</w:t>
            </w:r>
          </w:p>
        </w:tc>
        <w:tc>
          <w:tcPr>
            <w:tcW w:w="624" w:type="dxa"/>
            <w:tcBorders>
              <w:left w:val="single" w:color="000000" w:sz="6" w:space="0"/>
              <w:right w:val="single" w:color="000000" w:sz="6" w:space="0"/>
            </w:tcBorders>
            <w:vAlign w:val="top"/>
          </w:tcPr>
          <w:p w14:paraId="24B3E0C9">
            <w:pPr>
              <w:autoSpaceDE w:val="0"/>
              <w:autoSpaceDN w:val="0"/>
              <w:spacing w:before="86" w:line="186" w:lineRule="auto"/>
              <w:ind w:left="25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8</w:t>
            </w:r>
          </w:p>
        </w:tc>
        <w:tc>
          <w:tcPr>
            <w:tcW w:w="624" w:type="dxa"/>
            <w:tcBorders>
              <w:left w:val="single" w:color="000000" w:sz="6" w:space="0"/>
              <w:right w:val="single" w:color="000000" w:sz="4" w:space="0"/>
            </w:tcBorders>
            <w:vAlign w:val="top"/>
          </w:tcPr>
          <w:p w14:paraId="596D206C">
            <w:pPr>
              <w:autoSpaceDE w:val="0"/>
              <w:autoSpaceDN w:val="0"/>
              <w:spacing w:before="86" w:line="186" w:lineRule="auto"/>
              <w:ind w:left="250"/>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9</w:t>
            </w:r>
          </w:p>
        </w:tc>
        <w:tc>
          <w:tcPr>
            <w:tcW w:w="624" w:type="dxa"/>
            <w:tcBorders>
              <w:left w:val="single" w:color="000000" w:sz="4" w:space="0"/>
              <w:right w:val="single" w:color="000000" w:sz="6" w:space="0"/>
            </w:tcBorders>
            <w:vAlign w:val="top"/>
          </w:tcPr>
          <w:p w14:paraId="7AFB3EE2">
            <w:pPr>
              <w:autoSpaceDE w:val="0"/>
              <w:autoSpaceDN w:val="0"/>
              <w:spacing w:before="86" w:line="186" w:lineRule="auto"/>
              <w:ind w:left="254"/>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6"/>
                <w:sz w:val="21"/>
                <w:szCs w:val="21"/>
                <w:highlight w:val="none"/>
              </w:rPr>
              <w:t>0</w:t>
            </w:r>
          </w:p>
        </w:tc>
        <w:tc>
          <w:tcPr>
            <w:tcW w:w="624" w:type="dxa"/>
            <w:tcBorders>
              <w:left w:val="single" w:color="000000" w:sz="6" w:space="0"/>
              <w:right w:val="single" w:color="000000" w:sz="6" w:space="0"/>
            </w:tcBorders>
            <w:vAlign w:val="top"/>
          </w:tcPr>
          <w:p w14:paraId="566B6573">
            <w:pPr>
              <w:autoSpaceDE w:val="0"/>
              <w:autoSpaceDN w:val="0"/>
              <w:spacing w:before="85" w:line="187" w:lineRule="auto"/>
              <w:ind w:left="207"/>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0"/>
                <w:sz w:val="21"/>
                <w:szCs w:val="21"/>
                <w:highlight w:val="none"/>
              </w:rPr>
              <w:t>11</w:t>
            </w:r>
          </w:p>
        </w:tc>
        <w:tc>
          <w:tcPr>
            <w:tcW w:w="633" w:type="dxa"/>
            <w:tcBorders>
              <w:left w:val="single" w:color="000000" w:sz="6" w:space="0"/>
              <w:right w:val="single" w:color="000000" w:sz="6" w:space="0"/>
            </w:tcBorders>
            <w:vAlign w:val="top"/>
          </w:tcPr>
          <w:p w14:paraId="09356ACE">
            <w:pPr>
              <w:autoSpaceDE w:val="0"/>
              <w:autoSpaceDN w:val="0"/>
              <w:spacing w:before="85"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3"/>
                <w:sz w:val="21"/>
                <w:szCs w:val="21"/>
                <w:highlight w:val="none"/>
              </w:rPr>
              <w:t>1</w:t>
            </w:r>
            <w:r>
              <w:rPr>
                <w:rFonts w:ascii="Times New Roman" w:hAnsi="Times New Roman" w:eastAsia="Times New Roman" w:cs="Times New Roman"/>
                <w:color w:val="auto"/>
                <w:spacing w:val="-12"/>
                <w:sz w:val="21"/>
                <w:szCs w:val="21"/>
                <w:highlight w:val="none"/>
              </w:rPr>
              <w:t>2</w:t>
            </w:r>
          </w:p>
        </w:tc>
        <w:tc>
          <w:tcPr>
            <w:tcW w:w="1280" w:type="dxa"/>
            <w:tcBorders>
              <w:left w:val="single" w:color="000000" w:sz="6" w:space="0"/>
              <w:right w:val="single" w:color="000000" w:sz="6" w:space="0"/>
            </w:tcBorders>
            <w:vAlign w:val="top"/>
          </w:tcPr>
          <w:p w14:paraId="1CD3E9B6">
            <w:pPr>
              <w:autoSpaceDE w:val="0"/>
              <w:autoSpaceDN w:val="0"/>
              <w:spacing w:before="207" w:line="66" w:lineRule="exact"/>
              <w:ind w:left="493"/>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position w:val="1"/>
                <w:sz w:val="21"/>
                <w:szCs w:val="21"/>
                <w:highlight w:val="none"/>
              </w:rPr>
              <w:t>…</w:t>
            </w:r>
          </w:p>
        </w:tc>
        <w:tc>
          <w:tcPr>
            <w:tcW w:w="1110" w:type="dxa"/>
            <w:vMerge w:val="continue"/>
            <w:tcBorders>
              <w:top w:val="nil"/>
              <w:left w:val="single" w:color="000000" w:sz="6" w:space="0"/>
              <w:right w:val="single" w:color="000000" w:sz="6" w:space="0"/>
            </w:tcBorders>
            <w:vAlign w:val="top"/>
          </w:tcPr>
          <w:p w14:paraId="0FB6C92B">
            <w:pPr>
              <w:autoSpaceDE w:val="0"/>
              <w:autoSpaceDN w:val="0"/>
              <w:rPr>
                <w:rFonts w:ascii="Arial"/>
                <w:color w:val="auto"/>
                <w:sz w:val="21"/>
                <w:highlight w:val="none"/>
              </w:rPr>
            </w:pPr>
          </w:p>
        </w:tc>
        <w:tc>
          <w:tcPr>
            <w:tcW w:w="1320" w:type="dxa"/>
            <w:vMerge w:val="continue"/>
            <w:tcBorders>
              <w:top w:val="nil"/>
              <w:left w:val="single" w:color="000000" w:sz="6" w:space="0"/>
              <w:right w:val="single" w:color="000000" w:sz="6" w:space="0"/>
            </w:tcBorders>
            <w:vAlign w:val="top"/>
          </w:tcPr>
          <w:p w14:paraId="0DBBF16D">
            <w:pPr>
              <w:autoSpaceDE w:val="0"/>
              <w:autoSpaceDN w:val="0"/>
              <w:rPr>
                <w:rFonts w:ascii="Arial"/>
                <w:color w:val="auto"/>
                <w:sz w:val="21"/>
                <w:highlight w:val="none"/>
              </w:rPr>
            </w:pPr>
          </w:p>
        </w:tc>
      </w:tr>
      <w:tr w14:paraId="4EA22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847" w:type="dxa"/>
            <w:tcBorders>
              <w:left w:val="single" w:color="000000" w:sz="6" w:space="0"/>
              <w:right w:val="single" w:color="000000" w:sz="6" w:space="0"/>
            </w:tcBorders>
            <w:vAlign w:val="center"/>
          </w:tcPr>
          <w:p w14:paraId="09E8E742">
            <w:pPr>
              <w:autoSpaceDE w:val="0"/>
              <w:autoSpaceDN w:val="0"/>
              <w:spacing w:before="60"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1</w:t>
            </w:r>
          </w:p>
        </w:tc>
        <w:tc>
          <w:tcPr>
            <w:tcW w:w="1575" w:type="dxa"/>
            <w:tcBorders>
              <w:left w:val="single" w:color="000000" w:sz="6" w:space="0"/>
              <w:right w:val="single" w:color="000000" w:sz="6" w:space="0"/>
            </w:tcBorders>
            <w:vAlign w:val="center"/>
          </w:tcPr>
          <w:p w14:paraId="04259186">
            <w:pPr>
              <w:autoSpaceDE w:val="0"/>
              <w:autoSpaceDN w:val="0"/>
              <w:spacing w:before="107" w:line="221" w:lineRule="auto"/>
              <w:ind w:left="0" w:right="0" w:firstLine="0"/>
              <w:jc w:val="center"/>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中心试验室</w:t>
            </w:r>
            <w:r>
              <w:rPr>
                <w:rFonts w:ascii="宋体" w:hAnsi="宋体" w:eastAsia="宋体" w:cs="宋体"/>
                <w:color w:val="auto"/>
                <w:spacing w:val="-3"/>
                <w:sz w:val="21"/>
                <w:szCs w:val="21"/>
                <w:highlight w:val="none"/>
              </w:rPr>
              <w:t>主</w:t>
            </w:r>
            <w:r>
              <w:rPr>
                <w:rFonts w:ascii="宋体" w:hAnsi="宋体" w:eastAsia="宋体" w:cs="宋体"/>
                <w:color w:val="auto"/>
                <w:spacing w:val="-5"/>
                <w:sz w:val="21"/>
                <w:szCs w:val="21"/>
                <w:highlight w:val="none"/>
              </w:rPr>
              <w:t>任</w:t>
            </w:r>
          </w:p>
        </w:tc>
        <w:tc>
          <w:tcPr>
            <w:tcW w:w="975" w:type="dxa"/>
            <w:tcBorders>
              <w:left w:val="single" w:color="000000" w:sz="6" w:space="0"/>
              <w:right w:val="single" w:color="000000" w:sz="6" w:space="0"/>
            </w:tcBorders>
            <w:vAlign w:val="top"/>
          </w:tcPr>
          <w:p w14:paraId="6357CA9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DE2C77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621396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46BE33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7A850A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280370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C6D77D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A21B51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906FC30">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7F341C74">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2574CA5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1F0D842">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61E5951D">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010744A1">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06E5A40D">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25E32599">
            <w:pPr>
              <w:autoSpaceDE w:val="0"/>
              <w:autoSpaceDN w:val="0"/>
              <w:rPr>
                <w:rFonts w:ascii="Arial"/>
                <w:color w:val="auto"/>
                <w:sz w:val="21"/>
                <w:highlight w:val="none"/>
              </w:rPr>
            </w:pPr>
          </w:p>
        </w:tc>
      </w:tr>
      <w:tr w14:paraId="768579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47" w:type="dxa"/>
            <w:tcBorders>
              <w:left w:val="single" w:color="000000" w:sz="6" w:space="0"/>
              <w:right w:val="single" w:color="000000" w:sz="6" w:space="0"/>
            </w:tcBorders>
            <w:vAlign w:val="center"/>
          </w:tcPr>
          <w:p w14:paraId="297101D1">
            <w:pPr>
              <w:autoSpaceDE w:val="0"/>
              <w:autoSpaceDN w:val="0"/>
              <w:spacing w:before="86"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2</w:t>
            </w:r>
          </w:p>
        </w:tc>
        <w:tc>
          <w:tcPr>
            <w:tcW w:w="1575" w:type="dxa"/>
            <w:tcBorders>
              <w:left w:val="single" w:color="000000" w:sz="6" w:space="0"/>
              <w:right w:val="single" w:color="000000" w:sz="6" w:space="0"/>
            </w:tcBorders>
            <w:vAlign w:val="center"/>
          </w:tcPr>
          <w:p w14:paraId="2424F696">
            <w:pPr>
              <w:autoSpaceDE w:val="0"/>
              <w:autoSpaceDN w:val="0"/>
              <w:spacing w:before="209" w:line="65" w:lineRule="exact"/>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6"/>
                <w:position w:val="1"/>
                <w:sz w:val="21"/>
                <w:szCs w:val="21"/>
                <w:highlight w:val="none"/>
              </w:rPr>
              <w:t>.</w:t>
            </w:r>
            <w:r>
              <w:rPr>
                <w:rFonts w:ascii="Times New Roman" w:hAnsi="Times New Roman" w:eastAsia="Times New Roman" w:cs="Times New Roman"/>
                <w:color w:val="auto"/>
                <w:spacing w:val="4"/>
                <w:position w:val="1"/>
                <w:sz w:val="21"/>
                <w:szCs w:val="21"/>
                <w:highlight w:val="none"/>
              </w:rPr>
              <w:t>.</w:t>
            </w:r>
            <w:r>
              <w:rPr>
                <w:rFonts w:ascii="Times New Roman" w:hAnsi="Times New Roman" w:eastAsia="Times New Roman" w:cs="Times New Roman"/>
                <w:color w:val="auto"/>
                <w:spacing w:val="3"/>
                <w:position w:val="1"/>
                <w:sz w:val="21"/>
                <w:szCs w:val="21"/>
                <w:highlight w:val="none"/>
              </w:rPr>
              <w:t>....</w:t>
            </w:r>
          </w:p>
        </w:tc>
        <w:tc>
          <w:tcPr>
            <w:tcW w:w="975" w:type="dxa"/>
            <w:tcBorders>
              <w:left w:val="single" w:color="000000" w:sz="6" w:space="0"/>
              <w:right w:val="single" w:color="000000" w:sz="6" w:space="0"/>
            </w:tcBorders>
            <w:vAlign w:val="top"/>
          </w:tcPr>
          <w:p w14:paraId="31223CA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D56B76C">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C577B3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D8A0A5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5053B6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FB6BE5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F61CD4C">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F09F32C">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8FFE40B">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20DB1192">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6F122D9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E9CED02">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01AF9CB9">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292BD7FF">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63948030">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76221945">
            <w:pPr>
              <w:autoSpaceDE w:val="0"/>
              <w:autoSpaceDN w:val="0"/>
              <w:rPr>
                <w:rFonts w:ascii="Arial"/>
                <w:color w:val="auto"/>
                <w:sz w:val="21"/>
                <w:highlight w:val="none"/>
              </w:rPr>
            </w:pPr>
          </w:p>
        </w:tc>
      </w:tr>
      <w:tr w14:paraId="792E3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753B3F47">
            <w:pPr>
              <w:autoSpaceDE w:val="0"/>
              <w:autoSpaceDN w:val="0"/>
              <w:spacing w:before="102"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3</w:t>
            </w:r>
          </w:p>
        </w:tc>
        <w:tc>
          <w:tcPr>
            <w:tcW w:w="1575" w:type="dxa"/>
            <w:tcBorders>
              <w:left w:val="single" w:color="000000" w:sz="6" w:space="0"/>
              <w:right w:val="single" w:color="000000" w:sz="6" w:space="0"/>
            </w:tcBorders>
            <w:vAlign w:val="center"/>
          </w:tcPr>
          <w:p w14:paraId="4129403D">
            <w:pPr>
              <w:autoSpaceDE w:val="0"/>
              <w:autoSpaceDN w:val="0"/>
              <w:spacing w:before="32" w:line="221" w:lineRule="auto"/>
              <w:ind w:left="22"/>
              <w:jc w:val="center"/>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其他专业人</w:t>
            </w:r>
            <w:r>
              <w:rPr>
                <w:rFonts w:ascii="宋体" w:hAnsi="宋体" w:eastAsia="宋体" w:cs="宋体"/>
                <w:color w:val="auto"/>
                <w:spacing w:val="8"/>
                <w:sz w:val="21"/>
                <w:szCs w:val="21"/>
                <w:highlight w:val="none"/>
              </w:rPr>
              <w:t>员</w:t>
            </w:r>
          </w:p>
        </w:tc>
        <w:tc>
          <w:tcPr>
            <w:tcW w:w="975" w:type="dxa"/>
            <w:tcBorders>
              <w:left w:val="single" w:color="000000" w:sz="6" w:space="0"/>
              <w:right w:val="single" w:color="000000" w:sz="6" w:space="0"/>
            </w:tcBorders>
            <w:vAlign w:val="top"/>
          </w:tcPr>
          <w:p w14:paraId="27D873D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45AE26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B71E79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150149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3A213D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C7832A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E9DE08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16EE7C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BB69536">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6126CBF1">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12B3583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DA8F79B">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538A99D8">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27C06735">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4412AC2A">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750E38A8">
            <w:pPr>
              <w:autoSpaceDE w:val="0"/>
              <w:autoSpaceDN w:val="0"/>
              <w:rPr>
                <w:rFonts w:ascii="Arial"/>
                <w:color w:val="auto"/>
                <w:sz w:val="21"/>
                <w:highlight w:val="none"/>
              </w:rPr>
            </w:pPr>
          </w:p>
        </w:tc>
      </w:tr>
      <w:tr w14:paraId="224BA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47" w:type="dxa"/>
            <w:tcBorders>
              <w:left w:val="single" w:color="000000" w:sz="6" w:space="0"/>
              <w:right w:val="single" w:color="000000" w:sz="6" w:space="0"/>
            </w:tcBorders>
            <w:vAlign w:val="center"/>
          </w:tcPr>
          <w:p w14:paraId="224094D9">
            <w:pPr>
              <w:autoSpaceDE w:val="0"/>
              <w:autoSpaceDN w:val="0"/>
              <w:spacing w:before="86"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4</w:t>
            </w:r>
          </w:p>
        </w:tc>
        <w:tc>
          <w:tcPr>
            <w:tcW w:w="1575" w:type="dxa"/>
            <w:tcBorders>
              <w:left w:val="single" w:color="000000" w:sz="6" w:space="0"/>
              <w:right w:val="single" w:color="000000" w:sz="6" w:space="0"/>
            </w:tcBorders>
            <w:vAlign w:val="center"/>
          </w:tcPr>
          <w:p w14:paraId="522B2FFD">
            <w:pPr>
              <w:autoSpaceDE w:val="0"/>
              <w:autoSpaceDN w:val="0"/>
              <w:spacing w:line="136" w:lineRule="exact"/>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5"/>
                <w:position w:val="-1"/>
                <w:sz w:val="21"/>
                <w:szCs w:val="21"/>
                <w:highlight w:val="none"/>
              </w:rPr>
              <w:t>-</w:t>
            </w:r>
            <w:r>
              <w:rPr>
                <w:rFonts w:ascii="Times New Roman" w:hAnsi="Times New Roman" w:eastAsia="Times New Roman" w:cs="Times New Roman"/>
                <w:color w:val="auto"/>
                <w:spacing w:val="3"/>
                <w:position w:val="-1"/>
                <w:sz w:val="21"/>
                <w:szCs w:val="21"/>
                <w:highlight w:val="none"/>
              </w:rPr>
              <w:t>-------</w:t>
            </w:r>
          </w:p>
        </w:tc>
        <w:tc>
          <w:tcPr>
            <w:tcW w:w="975" w:type="dxa"/>
            <w:tcBorders>
              <w:left w:val="single" w:color="000000" w:sz="6" w:space="0"/>
              <w:right w:val="single" w:color="000000" w:sz="6" w:space="0"/>
            </w:tcBorders>
            <w:vAlign w:val="top"/>
          </w:tcPr>
          <w:p w14:paraId="797724C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B531C8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DB0FD9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5D742E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1A2956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F8FB29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6958F7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AB9C3B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0B09DD3">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1EDB7779">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5671C2E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AA54140">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0BA01000">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6AD3B416">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0055A0DB">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420A142F">
            <w:pPr>
              <w:autoSpaceDE w:val="0"/>
              <w:autoSpaceDN w:val="0"/>
              <w:rPr>
                <w:rFonts w:ascii="Arial"/>
                <w:color w:val="auto"/>
                <w:sz w:val="21"/>
                <w:highlight w:val="none"/>
              </w:rPr>
            </w:pPr>
          </w:p>
        </w:tc>
      </w:tr>
      <w:tr w14:paraId="28426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02033D90">
            <w:pPr>
              <w:autoSpaceDE w:val="0"/>
              <w:autoSpaceDN w:val="0"/>
              <w:spacing w:before="104" w:line="183"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5</w:t>
            </w:r>
          </w:p>
        </w:tc>
        <w:tc>
          <w:tcPr>
            <w:tcW w:w="1575" w:type="dxa"/>
            <w:tcBorders>
              <w:left w:val="single" w:color="000000" w:sz="6" w:space="0"/>
              <w:right w:val="single" w:color="000000" w:sz="6" w:space="0"/>
            </w:tcBorders>
            <w:vAlign w:val="center"/>
          </w:tcPr>
          <w:p w14:paraId="6226336C">
            <w:pPr>
              <w:autoSpaceDE w:val="0"/>
              <w:autoSpaceDN w:val="0"/>
              <w:spacing w:before="188" w:line="140" w:lineRule="exact"/>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5"/>
                <w:position w:val="-1"/>
                <w:sz w:val="21"/>
                <w:szCs w:val="21"/>
                <w:highlight w:val="none"/>
              </w:rPr>
              <w:t>-</w:t>
            </w:r>
            <w:r>
              <w:rPr>
                <w:rFonts w:ascii="Times New Roman" w:hAnsi="Times New Roman" w:eastAsia="Times New Roman" w:cs="Times New Roman"/>
                <w:color w:val="auto"/>
                <w:spacing w:val="3"/>
                <w:position w:val="-1"/>
                <w:sz w:val="21"/>
                <w:szCs w:val="21"/>
                <w:highlight w:val="none"/>
              </w:rPr>
              <w:t>-------</w:t>
            </w:r>
          </w:p>
        </w:tc>
        <w:tc>
          <w:tcPr>
            <w:tcW w:w="975" w:type="dxa"/>
            <w:tcBorders>
              <w:left w:val="single" w:color="000000" w:sz="6" w:space="0"/>
              <w:right w:val="single" w:color="000000" w:sz="6" w:space="0"/>
            </w:tcBorders>
            <w:vAlign w:val="top"/>
          </w:tcPr>
          <w:p w14:paraId="4ACEA85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5FA5CB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1200A5A">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BA76D7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29D7EF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32B296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1957D4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7DE545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65AAF04">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287BA98B">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7F4BF1C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92D475A">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3A7074A6">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51FC90BF">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4EC350FE">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3AE6E784">
            <w:pPr>
              <w:autoSpaceDE w:val="0"/>
              <w:autoSpaceDN w:val="0"/>
              <w:rPr>
                <w:rFonts w:ascii="Arial"/>
                <w:color w:val="auto"/>
                <w:sz w:val="21"/>
                <w:highlight w:val="none"/>
              </w:rPr>
            </w:pPr>
          </w:p>
        </w:tc>
      </w:tr>
      <w:tr w14:paraId="2B0F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47" w:type="dxa"/>
            <w:tcBorders>
              <w:left w:val="single" w:color="000000" w:sz="6" w:space="0"/>
              <w:right w:val="single" w:color="000000" w:sz="6" w:space="0"/>
            </w:tcBorders>
            <w:vAlign w:val="center"/>
          </w:tcPr>
          <w:p w14:paraId="6DD1F719">
            <w:pPr>
              <w:autoSpaceDE w:val="0"/>
              <w:autoSpaceDN w:val="0"/>
              <w:spacing w:before="87"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6</w:t>
            </w:r>
          </w:p>
        </w:tc>
        <w:tc>
          <w:tcPr>
            <w:tcW w:w="1575" w:type="dxa"/>
            <w:tcBorders>
              <w:left w:val="single" w:color="000000" w:sz="6" w:space="0"/>
              <w:right w:val="single" w:color="000000" w:sz="6" w:space="0"/>
            </w:tcBorders>
            <w:vAlign w:val="center"/>
          </w:tcPr>
          <w:p w14:paraId="657A073B">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1EB7641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123B02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708141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9F4221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40958C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FA4527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1767AE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CBE63B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43C797C">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67CCCBF6">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17D6F5C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1D65C14">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6B3283B5">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449826A5">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24718EFA">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452DA60A">
            <w:pPr>
              <w:autoSpaceDE w:val="0"/>
              <w:autoSpaceDN w:val="0"/>
              <w:rPr>
                <w:rFonts w:ascii="Arial"/>
                <w:color w:val="auto"/>
                <w:sz w:val="21"/>
                <w:highlight w:val="none"/>
              </w:rPr>
            </w:pPr>
          </w:p>
        </w:tc>
      </w:tr>
      <w:tr w14:paraId="45EF2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0E6E3198">
            <w:pPr>
              <w:autoSpaceDE w:val="0"/>
              <w:autoSpaceDN w:val="0"/>
              <w:spacing w:before="89" w:line="184"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7</w:t>
            </w:r>
          </w:p>
        </w:tc>
        <w:tc>
          <w:tcPr>
            <w:tcW w:w="1575" w:type="dxa"/>
            <w:tcBorders>
              <w:left w:val="single" w:color="000000" w:sz="6" w:space="0"/>
              <w:right w:val="single" w:color="000000" w:sz="6" w:space="0"/>
            </w:tcBorders>
            <w:vAlign w:val="center"/>
          </w:tcPr>
          <w:p w14:paraId="28F18EA8">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6B54ABB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94E4B5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EE0FC0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2CDBFC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CD3923A">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86C2EF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B04234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7B87B1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2E60E59">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0E2950E2">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7163A19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7924DE9">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1C936A53">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758F7B07">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742EADDC">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60198F45">
            <w:pPr>
              <w:autoSpaceDE w:val="0"/>
              <w:autoSpaceDN w:val="0"/>
              <w:rPr>
                <w:rFonts w:ascii="Arial"/>
                <w:color w:val="auto"/>
                <w:sz w:val="21"/>
                <w:highlight w:val="none"/>
              </w:rPr>
            </w:pPr>
          </w:p>
        </w:tc>
      </w:tr>
      <w:tr w14:paraId="30DCA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47" w:type="dxa"/>
            <w:tcBorders>
              <w:left w:val="single" w:color="000000" w:sz="6" w:space="0"/>
              <w:right w:val="single" w:color="000000" w:sz="6" w:space="0"/>
            </w:tcBorders>
            <w:vAlign w:val="center"/>
          </w:tcPr>
          <w:p w14:paraId="3A135F8B">
            <w:pPr>
              <w:autoSpaceDE w:val="0"/>
              <w:autoSpaceDN w:val="0"/>
              <w:spacing w:before="73"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8</w:t>
            </w:r>
          </w:p>
        </w:tc>
        <w:tc>
          <w:tcPr>
            <w:tcW w:w="1575" w:type="dxa"/>
            <w:tcBorders>
              <w:left w:val="single" w:color="000000" w:sz="6" w:space="0"/>
              <w:right w:val="single" w:color="000000" w:sz="6" w:space="0"/>
            </w:tcBorders>
            <w:vAlign w:val="center"/>
          </w:tcPr>
          <w:p w14:paraId="07D88CC8">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79BE783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E702E3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6F2602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745514C">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E72B67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74B888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A5D6E5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C87099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DFC364A">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4BA69EAD">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2814F74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42EF67E">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082A5F22">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637E2950">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7459E0C3">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785F031D">
            <w:pPr>
              <w:autoSpaceDE w:val="0"/>
              <w:autoSpaceDN w:val="0"/>
              <w:rPr>
                <w:rFonts w:ascii="Arial"/>
                <w:color w:val="auto"/>
                <w:sz w:val="21"/>
                <w:highlight w:val="none"/>
              </w:rPr>
            </w:pPr>
          </w:p>
        </w:tc>
      </w:tr>
      <w:tr w14:paraId="67966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7221519D">
            <w:pPr>
              <w:autoSpaceDE w:val="0"/>
              <w:autoSpaceDN w:val="0"/>
              <w:spacing w:before="88"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z w:val="21"/>
                <w:szCs w:val="21"/>
                <w:highlight w:val="none"/>
              </w:rPr>
              <w:t>9</w:t>
            </w:r>
          </w:p>
        </w:tc>
        <w:tc>
          <w:tcPr>
            <w:tcW w:w="1575" w:type="dxa"/>
            <w:tcBorders>
              <w:left w:val="single" w:color="000000" w:sz="6" w:space="0"/>
              <w:right w:val="single" w:color="000000" w:sz="6" w:space="0"/>
            </w:tcBorders>
            <w:vAlign w:val="center"/>
          </w:tcPr>
          <w:p w14:paraId="17536801">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64C8689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B751F7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DB877D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71F241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7D990C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A2C1BB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DC2B9F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FD9D10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73D6AEA">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6C4FC69F">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02789BF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891955E">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2C357D70">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09344C46">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0920C290">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1D0D8F8B">
            <w:pPr>
              <w:autoSpaceDE w:val="0"/>
              <w:autoSpaceDN w:val="0"/>
              <w:rPr>
                <w:rFonts w:ascii="Arial"/>
                <w:color w:val="auto"/>
                <w:sz w:val="21"/>
                <w:highlight w:val="none"/>
              </w:rPr>
            </w:pPr>
          </w:p>
        </w:tc>
      </w:tr>
      <w:tr w14:paraId="5B87A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47" w:type="dxa"/>
            <w:tcBorders>
              <w:left w:val="single" w:color="000000" w:sz="6" w:space="0"/>
              <w:right w:val="single" w:color="000000" w:sz="6" w:space="0"/>
            </w:tcBorders>
            <w:vAlign w:val="center"/>
          </w:tcPr>
          <w:p w14:paraId="7441FCB0">
            <w:pPr>
              <w:autoSpaceDE w:val="0"/>
              <w:autoSpaceDN w:val="0"/>
              <w:spacing w:before="74"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6"/>
                <w:sz w:val="21"/>
                <w:szCs w:val="21"/>
                <w:highlight w:val="none"/>
              </w:rPr>
              <w:t>0</w:t>
            </w:r>
          </w:p>
        </w:tc>
        <w:tc>
          <w:tcPr>
            <w:tcW w:w="1575" w:type="dxa"/>
            <w:tcBorders>
              <w:left w:val="single" w:color="000000" w:sz="6" w:space="0"/>
              <w:right w:val="single" w:color="000000" w:sz="6" w:space="0"/>
            </w:tcBorders>
            <w:vAlign w:val="center"/>
          </w:tcPr>
          <w:p w14:paraId="2B6075EA">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16B0192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42D860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93CC92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C202D9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A634C1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1E4A1D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1DCC0C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B9284B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980D581">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173A8350">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748DE5E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B80E84C">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62A2A529">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13C62798">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4EE9E69D">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17D56FC7">
            <w:pPr>
              <w:autoSpaceDE w:val="0"/>
              <w:autoSpaceDN w:val="0"/>
              <w:rPr>
                <w:rFonts w:ascii="Arial"/>
                <w:color w:val="auto"/>
                <w:sz w:val="21"/>
                <w:highlight w:val="none"/>
              </w:rPr>
            </w:pPr>
          </w:p>
        </w:tc>
      </w:tr>
      <w:tr w14:paraId="79BAA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21FE45D7">
            <w:pPr>
              <w:autoSpaceDE w:val="0"/>
              <w:autoSpaceDN w:val="0"/>
              <w:spacing w:before="88"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10"/>
                <w:sz w:val="21"/>
                <w:szCs w:val="21"/>
                <w:highlight w:val="none"/>
              </w:rPr>
              <w:t>11</w:t>
            </w:r>
          </w:p>
        </w:tc>
        <w:tc>
          <w:tcPr>
            <w:tcW w:w="1575" w:type="dxa"/>
            <w:tcBorders>
              <w:left w:val="single" w:color="000000" w:sz="6" w:space="0"/>
              <w:right w:val="single" w:color="000000" w:sz="6" w:space="0"/>
            </w:tcBorders>
            <w:vAlign w:val="center"/>
          </w:tcPr>
          <w:p w14:paraId="7F5C7897">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3247783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882F5B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084D3B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00A7C4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919DC0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C4382D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C45CCE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3E071C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E0C57EB">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0CE150F2">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259352D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363D261">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06B43459">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438FBC95">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078B4EB3">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3ED7CDF0">
            <w:pPr>
              <w:autoSpaceDE w:val="0"/>
              <w:autoSpaceDN w:val="0"/>
              <w:rPr>
                <w:rFonts w:ascii="Arial"/>
                <w:color w:val="auto"/>
                <w:sz w:val="21"/>
                <w:highlight w:val="none"/>
              </w:rPr>
            </w:pPr>
          </w:p>
        </w:tc>
      </w:tr>
      <w:tr w14:paraId="13F46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47" w:type="dxa"/>
            <w:tcBorders>
              <w:left w:val="single" w:color="000000" w:sz="6" w:space="0"/>
              <w:right w:val="single" w:color="000000" w:sz="6" w:space="0"/>
            </w:tcBorders>
            <w:vAlign w:val="center"/>
          </w:tcPr>
          <w:p w14:paraId="72C09E82">
            <w:pPr>
              <w:autoSpaceDE w:val="0"/>
              <w:autoSpaceDN w:val="0"/>
              <w:spacing w:before="73"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6"/>
                <w:sz w:val="21"/>
                <w:szCs w:val="21"/>
                <w:highlight w:val="none"/>
              </w:rPr>
              <w:t>2</w:t>
            </w:r>
          </w:p>
        </w:tc>
        <w:tc>
          <w:tcPr>
            <w:tcW w:w="1575" w:type="dxa"/>
            <w:tcBorders>
              <w:left w:val="single" w:color="000000" w:sz="6" w:space="0"/>
              <w:right w:val="single" w:color="000000" w:sz="6" w:space="0"/>
            </w:tcBorders>
            <w:vAlign w:val="center"/>
          </w:tcPr>
          <w:p w14:paraId="773436BB">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517471F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E1FCC3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7AF6EA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BC83E9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6B324F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2ABFD2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7AC99D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B5D431F">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2B44D39">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12B74D1B">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7DE118C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1922CDE">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4CEB686A">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57C071D5">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34A90D20">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01423FC2">
            <w:pPr>
              <w:autoSpaceDE w:val="0"/>
              <w:autoSpaceDN w:val="0"/>
              <w:rPr>
                <w:rFonts w:ascii="Arial"/>
                <w:color w:val="auto"/>
                <w:sz w:val="21"/>
                <w:highlight w:val="none"/>
              </w:rPr>
            </w:pPr>
          </w:p>
        </w:tc>
      </w:tr>
      <w:tr w14:paraId="1A114D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47AF49F3">
            <w:pPr>
              <w:autoSpaceDE w:val="0"/>
              <w:autoSpaceDN w:val="0"/>
              <w:spacing w:before="90"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6"/>
                <w:sz w:val="21"/>
                <w:szCs w:val="21"/>
                <w:highlight w:val="none"/>
              </w:rPr>
              <w:t>3</w:t>
            </w:r>
          </w:p>
        </w:tc>
        <w:tc>
          <w:tcPr>
            <w:tcW w:w="1575" w:type="dxa"/>
            <w:tcBorders>
              <w:left w:val="single" w:color="000000" w:sz="6" w:space="0"/>
              <w:right w:val="single" w:color="000000" w:sz="6" w:space="0"/>
            </w:tcBorders>
            <w:vAlign w:val="center"/>
          </w:tcPr>
          <w:p w14:paraId="59440F13">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58DD77D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0F98ED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79CEFEF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6C8E44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171408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1D8A48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E75490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5B84AE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DE75545">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3C7A07DE">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766078A2">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D54EDD5">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440E560C">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00460D90">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6C9D5396">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4F0677CA">
            <w:pPr>
              <w:autoSpaceDE w:val="0"/>
              <w:autoSpaceDN w:val="0"/>
              <w:rPr>
                <w:rFonts w:ascii="Arial"/>
                <w:color w:val="auto"/>
                <w:sz w:val="21"/>
                <w:highlight w:val="none"/>
              </w:rPr>
            </w:pPr>
          </w:p>
        </w:tc>
      </w:tr>
      <w:tr w14:paraId="2FD0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47" w:type="dxa"/>
            <w:tcBorders>
              <w:left w:val="single" w:color="000000" w:sz="6" w:space="0"/>
              <w:right w:val="single" w:color="000000" w:sz="6" w:space="0"/>
            </w:tcBorders>
            <w:vAlign w:val="center"/>
          </w:tcPr>
          <w:p w14:paraId="536EA891">
            <w:pPr>
              <w:autoSpaceDE w:val="0"/>
              <w:autoSpaceDN w:val="0"/>
              <w:spacing w:before="74" w:line="187"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6"/>
                <w:sz w:val="21"/>
                <w:szCs w:val="21"/>
                <w:highlight w:val="none"/>
              </w:rPr>
              <w:t>4</w:t>
            </w:r>
          </w:p>
        </w:tc>
        <w:tc>
          <w:tcPr>
            <w:tcW w:w="1575" w:type="dxa"/>
            <w:tcBorders>
              <w:left w:val="single" w:color="000000" w:sz="6" w:space="0"/>
              <w:right w:val="single" w:color="000000" w:sz="6" w:space="0"/>
            </w:tcBorders>
            <w:vAlign w:val="center"/>
          </w:tcPr>
          <w:p w14:paraId="3A1DC9BF">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3A6F935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AF8B34D">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6A650C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347F07A">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F615DC6">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4190FCA">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5D75E4E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62EF8C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30A82DA">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5CAF74FA">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43CB5B05">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5B744BA">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3477DD95">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3D3EC9CF">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61C1C161">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322EDA6F">
            <w:pPr>
              <w:autoSpaceDE w:val="0"/>
              <w:autoSpaceDN w:val="0"/>
              <w:rPr>
                <w:rFonts w:ascii="Arial"/>
                <w:color w:val="auto"/>
                <w:sz w:val="21"/>
                <w:highlight w:val="none"/>
              </w:rPr>
            </w:pPr>
          </w:p>
        </w:tc>
      </w:tr>
      <w:tr w14:paraId="7006FC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47" w:type="dxa"/>
            <w:tcBorders>
              <w:left w:val="single" w:color="000000" w:sz="6" w:space="0"/>
              <w:right w:val="single" w:color="000000" w:sz="6" w:space="0"/>
            </w:tcBorders>
            <w:vAlign w:val="center"/>
          </w:tcPr>
          <w:p w14:paraId="49D888A7">
            <w:pPr>
              <w:autoSpaceDE w:val="0"/>
              <w:autoSpaceDN w:val="0"/>
              <w:spacing w:before="91" w:line="186" w:lineRule="auto"/>
              <w:ind w:left="0"/>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spacing w:val="-7"/>
                <w:sz w:val="21"/>
                <w:szCs w:val="21"/>
                <w:highlight w:val="none"/>
              </w:rPr>
              <w:t>1</w:t>
            </w:r>
            <w:r>
              <w:rPr>
                <w:rFonts w:ascii="Times New Roman" w:hAnsi="Times New Roman" w:eastAsia="Times New Roman" w:cs="Times New Roman"/>
                <w:color w:val="auto"/>
                <w:spacing w:val="-6"/>
                <w:sz w:val="21"/>
                <w:szCs w:val="21"/>
                <w:highlight w:val="none"/>
              </w:rPr>
              <w:t>5</w:t>
            </w:r>
          </w:p>
        </w:tc>
        <w:tc>
          <w:tcPr>
            <w:tcW w:w="1575" w:type="dxa"/>
            <w:tcBorders>
              <w:left w:val="single" w:color="000000" w:sz="6" w:space="0"/>
              <w:right w:val="single" w:color="000000" w:sz="6" w:space="0"/>
            </w:tcBorders>
            <w:vAlign w:val="center"/>
          </w:tcPr>
          <w:p w14:paraId="4F87F349">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591A51F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52A7B17">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AFFFFBA">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BD379A9">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7DF5C1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513123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1082E6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0C27821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2485D58">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16D7D64A">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08BD6E5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FB6405B">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72871A21">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65B25C95">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22B45F6B">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7EC299E6">
            <w:pPr>
              <w:autoSpaceDE w:val="0"/>
              <w:autoSpaceDN w:val="0"/>
              <w:rPr>
                <w:rFonts w:ascii="Arial"/>
                <w:color w:val="auto"/>
                <w:sz w:val="21"/>
                <w:highlight w:val="none"/>
              </w:rPr>
            </w:pPr>
          </w:p>
        </w:tc>
      </w:tr>
      <w:tr w14:paraId="095BCB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847" w:type="dxa"/>
            <w:tcBorders>
              <w:left w:val="single" w:color="000000" w:sz="6" w:space="0"/>
              <w:right w:val="single" w:color="000000" w:sz="6" w:space="0"/>
            </w:tcBorders>
            <w:vAlign w:val="center"/>
          </w:tcPr>
          <w:p w14:paraId="1D57BFC0">
            <w:pPr>
              <w:autoSpaceDE w:val="0"/>
              <w:autoSpaceDN w:val="0"/>
              <w:spacing w:before="198" w:line="65" w:lineRule="exact"/>
              <w:ind w:left="338"/>
              <w:jc w:val="center"/>
              <w:rPr>
                <w:rFonts w:ascii="Times New Roman" w:hAnsi="Times New Roman" w:eastAsia="Times New Roman" w:cs="Times New Roman"/>
                <w:color w:val="auto"/>
                <w:sz w:val="21"/>
                <w:szCs w:val="21"/>
                <w:highlight w:val="none"/>
              </w:rPr>
            </w:pPr>
            <w:r>
              <w:rPr>
                <w:rFonts w:ascii="Times New Roman" w:hAnsi="Times New Roman" w:eastAsia="Times New Roman" w:cs="Times New Roman"/>
                <w:color w:val="auto"/>
                <w:position w:val="1"/>
                <w:sz w:val="21"/>
                <w:szCs w:val="21"/>
                <w:highlight w:val="none"/>
              </w:rPr>
              <w:t>…</w:t>
            </w:r>
          </w:p>
        </w:tc>
        <w:tc>
          <w:tcPr>
            <w:tcW w:w="1575" w:type="dxa"/>
            <w:tcBorders>
              <w:left w:val="single" w:color="000000" w:sz="6" w:space="0"/>
              <w:right w:val="single" w:color="000000" w:sz="6" w:space="0"/>
            </w:tcBorders>
            <w:vAlign w:val="center"/>
          </w:tcPr>
          <w:p w14:paraId="0156532B">
            <w:pPr>
              <w:autoSpaceDE w:val="0"/>
              <w:autoSpaceDN w:val="0"/>
              <w:jc w:val="center"/>
              <w:rPr>
                <w:rFonts w:ascii="Arial"/>
                <w:color w:val="auto"/>
                <w:sz w:val="21"/>
                <w:highlight w:val="none"/>
              </w:rPr>
            </w:pPr>
          </w:p>
        </w:tc>
        <w:tc>
          <w:tcPr>
            <w:tcW w:w="975" w:type="dxa"/>
            <w:tcBorders>
              <w:left w:val="single" w:color="000000" w:sz="6" w:space="0"/>
              <w:right w:val="single" w:color="000000" w:sz="6" w:space="0"/>
            </w:tcBorders>
            <w:vAlign w:val="top"/>
          </w:tcPr>
          <w:p w14:paraId="55BBD89A">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BD9F171">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14BAA64">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6FF6E03">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3DDD3CC8">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634A4CFE">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857BBA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168DED1B">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4D6C13C5">
            <w:pPr>
              <w:autoSpaceDE w:val="0"/>
              <w:autoSpaceDN w:val="0"/>
              <w:rPr>
                <w:rFonts w:ascii="Arial"/>
                <w:color w:val="auto"/>
                <w:sz w:val="21"/>
                <w:highlight w:val="none"/>
              </w:rPr>
            </w:pPr>
          </w:p>
        </w:tc>
        <w:tc>
          <w:tcPr>
            <w:tcW w:w="624" w:type="dxa"/>
            <w:tcBorders>
              <w:left w:val="single" w:color="000000" w:sz="6" w:space="0"/>
              <w:right w:val="single" w:color="000000" w:sz="4" w:space="0"/>
            </w:tcBorders>
            <w:vAlign w:val="top"/>
          </w:tcPr>
          <w:p w14:paraId="58E825E7">
            <w:pPr>
              <w:autoSpaceDE w:val="0"/>
              <w:autoSpaceDN w:val="0"/>
              <w:rPr>
                <w:rFonts w:ascii="Arial"/>
                <w:color w:val="auto"/>
                <w:sz w:val="21"/>
                <w:highlight w:val="none"/>
              </w:rPr>
            </w:pPr>
          </w:p>
        </w:tc>
        <w:tc>
          <w:tcPr>
            <w:tcW w:w="624" w:type="dxa"/>
            <w:tcBorders>
              <w:left w:val="single" w:color="000000" w:sz="4" w:space="0"/>
              <w:right w:val="single" w:color="000000" w:sz="6" w:space="0"/>
            </w:tcBorders>
            <w:vAlign w:val="top"/>
          </w:tcPr>
          <w:p w14:paraId="642E3270">
            <w:pPr>
              <w:autoSpaceDE w:val="0"/>
              <w:autoSpaceDN w:val="0"/>
              <w:rPr>
                <w:rFonts w:ascii="Arial"/>
                <w:color w:val="auto"/>
                <w:sz w:val="21"/>
                <w:highlight w:val="none"/>
              </w:rPr>
            </w:pPr>
          </w:p>
        </w:tc>
        <w:tc>
          <w:tcPr>
            <w:tcW w:w="624" w:type="dxa"/>
            <w:tcBorders>
              <w:left w:val="single" w:color="000000" w:sz="6" w:space="0"/>
              <w:right w:val="single" w:color="000000" w:sz="6" w:space="0"/>
            </w:tcBorders>
            <w:vAlign w:val="top"/>
          </w:tcPr>
          <w:p w14:paraId="2045242B">
            <w:pPr>
              <w:autoSpaceDE w:val="0"/>
              <w:autoSpaceDN w:val="0"/>
              <w:rPr>
                <w:rFonts w:ascii="Arial"/>
                <w:color w:val="auto"/>
                <w:sz w:val="21"/>
                <w:highlight w:val="none"/>
              </w:rPr>
            </w:pPr>
          </w:p>
        </w:tc>
        <w:tc>
          <w:tcPr>
            <w:tcW w:w="633" w:type="dxa"/>
            <w:tcBorders>
              <w:left w:val="single" w:color="000000" w:sz="6" w:space="0"/>
              <w:right w:val="single" w:color="000000" w:sz="6" w:space="0"/>
            </w:tcBorders>
            <w:vAlign w:val="top"/>
          </w:tcPr>
          <w:p w14:paraId="4944E3DB">
            <w:pPr>
              <w:autoSpaceDE w:val="0"/>
              <w:autoSpaceDN w:val="0"/>
              <w:rPr>
                <w:rFonts w:ascii="Arial"/>
                <w:color w:val="auto"/>
                <w:sz w:val="21"/>
                <w:highlight w:val="none"/>
              </w:rPr>
            </w:pPr>
          </w:p>
        </w:tc>
        <w:tc>
          <w:tcPr>
            <w:tcW w:w="1280" w:type="dxa"/>
            <w:tcBorders>
              <w:left w:val="single" w:color="000000" w:sz="6" w:space="0"/>
              <w:right w:val="single" w:color="000000" w:sz="6" w:space="0"/>
            </w:tcBorders>
            <w:vAlign w:val="top"/>
          </w:tcPr>
          <w:p w14:paraId="17E225CF">
            <w:pPr>
              <w:autoSpaceDE w:val="0"/>
              <w:autoSpaceDN w:val="0"/>
              <w:rPr>
                <w:rFonts w:ascii="Arial"/>
                <w:color w:val="auto"/>
                <w:sz w:val="21"/>
                <w:highlight w:val="none"/>
              </w:rPr>
            </w:pPr>
          </w:p>
        </w:tc>
        <w:tc>
          <w:tcPr>
            <w:tcW w:w="1110" w:type="dxa"/>
            <w:tcBorders>
              <w:left w:val="single" w:color="000000" w:sz="6" w:space="0"/>
              <w:right w:val="single" w:color="000000" w:sz="6" w:space="0"/>
            </w:tcBorders>
            <w:vAlign w:val="top"/>
          </w:tcPr>
          <w:p w14:paraId="4888FFE3">
            <w:pPr>
              <w:autoSpaceDE w:val="0"/>
              <w:autoSpaceDN w:val="0"/>
              <w:rPr>
                <w:rFonts w:ascii="Arial"/>
                <w:color w:val="auto"/>
                <w:sz w:val="21"/>
                <w:highlight w:val="none"/>
              </w:rPr>
            </w:pPr>
          </w:p>
        </w:tc>
        <w:tc>
          <w:tcPr>
            <w:tcW w:w="1320" w:type="dxa"/>
            <w:tcBorders>
              <w:left w:val="single" w:color="000000" w:sz="6" w:space="0"/>
              <w:right w:val="single" w:color="000000" w:sz="6" w:space="0"/>
            </w:tcBorders>
            <w:vAlign w:val="top"/>
          </w:tcPr>
          <w:p w14:paraId="659E6BD8">
            <w:pPr>
              <w:autoSpaceDE w:val="0"/>
              <w:autoSpaceDN w:val="0"/>
              <w:rPr>
                <w:rFonts w:ascii="Arial"/>
                <w:color w:val="auto"/>
                <w:sz w:val="21"/>
                <w:highlight w:val="none"/>
              </w:rPr>
            </w:pPr>
          </w:p>
        </w:tc>
      </w:tr>
    </w:tbl>
    <w:p w14:paraId="0861EEF9">
      <w:pPr>
        <w:rPr>
          <w:color w:val="auto"/>
          <w:highlight w:val="none"/>
        </w:rPr>
      </w:pPr>
    </w:p>
    <w:p w14:paraId="1B3374D3">
      <w:pPr>
        <w:pStyle w:val="74"/>
        <w:rPr>
          <w:color w:val="auto"/>
          <w:highlight w:val="none"/>
        </w:rPr>
      </w:pPr>
    </w:p>
    <w:p w14:paraId="7AEE0099">
      <w:pPr>
        <w:spacing w:before="78" w:line="220" w:lineRule="auto"/>
        <w:ind w:left="42"/>
        <w:rPr>
          <w:rFonts w:ascii="Times New Roman" w:hAnsi="Times New Roman" w:eastAsia="Times New Roman" w:cs="Times New Roman"/>
          <w:color w:val="auto"/>
          <w:sz w:val="24"/>
          <w:szCs w:val="24"/>
          <w:highlight w:val="none"/>
        </w:rPr>
      </w:pPr>
      <w:r>
        <w:rPr>
          <w:rFonts w:ascii="宋体" w:hAnsi="宋体" w:eastAsia="宋体" w:cs="宋体"/>
          <w:color w:val="auto"/>
          <w:spacing w:val="-18"/>
          <w:sz w:val="24"/>
          <w:szCs w:val="24"/>
          <w:highlight w:val="none"/>
        </w:rPr>
        <w:t>说明：按</w:t>
      </w:r>
      <w:r>
        <w:rPr>
          <w:rFonts w:ascii="宋体" w:hAnsi="宋体" w:eastAsia="宋体" w:cs="宋体"/>
          <w:color w:val="auto"/>
          <w:spacing w:val="-11"/>
          <w:sz w:val="24"/>
          <w:szCs w:val="24"/>
          <w:highlight w:val="none"/>
        </w:rPr>
        <w:t>照</w:t>
      </w:r>
      <w:r>
        <w:rPr>
          <w:rFonts w:ascii="宋体" w:hAnsi="宋体" w:eastAsia="宋体" w:cs="宋体"/>
          <w:color w:val="auto"/>
          <w:spacing w:val="-9"/>
          <w:sz w:val="24"/>
          <w:szCs w:val="24"/>
          <w:highlight w:val="none"/>
        </w:rPr>
        <w:t>拟投入本工程试验检测人员的计划在岗安排据实填报。在岗时间为： 进场时间为当月第一日； 在岗表示为：</w:t>
      </w:r>
      <w:r>
        <w:rPr>
          <w:rFonts w:ascii="Times New Roman" w:hAnsi="Times New Roman" w:eastAsia="Times New Roman" w:cs="Times New Roman"/>
          <w:color w:val="auto"/>
          <w:spacing w:val="-9"/>
          <w:sz w:val="24"/>
          <w:szCs w:val="24"/>
          <w:highlight w:val="none"/>
        </w:rPr>
        <w:t>“—</w:t>
      </w:r>
    </w:p>
    <w:p w14:paraId="4D9D33EC">
      <w:pPr>
        <w:rPr>
          <w:color w:val="auto"/>
          <w:highlight w:val="none"/>
        </w:rPr>
      </w:pPr>
    </w:p>
    <w:p w14:paraId="574F56A9">
      <w:pPr>
        <w:rPr>
          <w:color w:val="auto"/>
          <w:highlight w:val="none"/>
        </w:rPr>
      </w:pPr>
    </w:p>
    <w:p w14:paraId="329C836D">
      <w:pPr>
        <w:rPr>
          <w:color w:val="auto"/>
          <w:highlight w:val="none"/>
        </w:rPr>
      </w:pPr>
    </w:p>
    <w:p w14:paraId="607B72B4">
      <w:pPr>
        <w:rPr>
          <w:color w:val="auto"/>
          <w:highlight w:val="none"/>
        </w:rPr>
      </w:pPr>
    </w:p>
    <w:p w14:paraId="50F11E6F">
      <w:pPr>
        <w:jc w:val="center"/>
        <w:rPr>
          <w:rFonts w:hint="eastAsia" w:eastAsia="宋体"/>
          <w:b/>
          <w:bCs/>
          <w:color w:val="auto"/>
          <w:sz w:val="28"/>
          <w:szCs w:val="28"/>
          <w:highlight w:val="none"/>
          <w:lang w:eastAsia="zh-CN"/>
        </w:rPr>
      </w:pPr>
      <w:r>
        <w:rPr>
          <w:rFonts w:hint="eastAsia"/>
          <w:b/>
          <w:color w:val="auto"/>
          <w:sz w:val="28"/>
          <w:szCs w:val="28"/>
          <w:highlight w:val="none"/>
        </w:rPr>
        <w:t>表8专项检测报价表</w:t>
      </w:r>
    </w:p>
    <w:tbl>
      <w:tblPr>
        <w:tblStyle w:val="75"/>
        <w:tblW w:w="14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711"/>
        <w:gridCol w:w="1390"/>
        <w:gridCol w:w="2400"/>
        <w:gridCol w:w="921"/>
        <w:gridCol w:w="1132"/>
        <w:gridCol w:w="996"/>
        <w:gridCol w:w="900"/>
        <w:gridCol w:w="4172"/>
      </w:tblGrid>
      <w:tr w14:paraId="6C70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74" w:type="dxa"/>
            <w:shd w:val="clear" w:color="auto" w:fill="auto"/>
            <w:vAlign w:val="center"/>
          </w:tcPr>
          <w:p w14:paraId="1596CA0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项次</w:t>
            </w:r>
          </w:p>
        </w:tc>
        <w:tc>
          <w:tcPr>
            <w:tcW w:w="1711" w:type="dxa"/>
            <w:shd w:val="clear" w:color="auto" w:fill="auto"/>
            <w:vAlign w:val="center"/>
          </w:tcPr>
          <w:p w14:paraId="61EDE636">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名称</w:t>
            </w:r>
          </w:p>
        </w:tc>
        <w:tc>
          <w:tcPr>
            <w:tcW w:w="3790" w:type="dxa"/>
            <w:gridSpan w:val="2"/>
            <w:shd w:val="clear" w:color="auto" w:fill="auto"/>
            <w:vAlign w:val="center"/>
          </w:tcPr>
          <w:p w14:paraId="65DEB855">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检测项目</w:t>
            </w:r>
          </w:p>
        </w:tc>
        <w:tc>
          <w:tcPr>
            <w:tcW w:w="921" w:type="dxa"/>
            <w:vAlign w:val="center"/>
          </w:tcPr>
          <w:p w14:paraId="0A5680F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132" w:type="dxa"/>
            <w:shd w:val="clear" w:color="auto" w:fill="auto"/>
            <w:vAlign w:val="center"/>
          </w:tcPr>
          <w:p w14:paraId="41F3AD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检测数量</w:t>
            </w:r>
          </w:p>
        </w:tc>
        <w:tc>
          <w:tcPr>
            <w:tcW w:w="996" w:type="dxa"/>
            <w:shd w:val="clear" w:color="auto" w:fill="auto"/>
            <w:vAlign w:val="center"/>
          </w:tcPr>
          <w:p w14:paraId="6546005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900" w:type="dxa"/>
            <w:vAlign w:val="center"/>
          </w:tcPr>
          <w:p w14:paraId="2207CE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合价（元）</w:t>
            </w:r>
          </w:p>
        </w:tc>
        <w:tc>
          <w:tcPr>
            <w:tcW w:w="4172" w:type="dxa"/>
            <w:shd w:val="clear" w:color="auto" w:fill="auto"/>
            <w:vAlign w:val="center"/>
          </w:tcPr>
          <w:p w14:paraId="59B1DDB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备注（检测频率）</w:t>
            </w:r>
          </w:p>
        </w:tc>
      </w:tr>
      <w:tr w14:paraId="27EB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4" w:type="dxa"/>
            <w:shd w:val="clear" w:color="auto" w:fill="auto"/>
            <w:vAlign w:val="center"/>
          </w:tcPr>
          <w:p w14:paraId="3DBF3E6C">
            <w:pPr>
              <w:widowControl/>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p>
        </w:tc>
        <w:tc>
          <w:tcPr>
            <w:tcW w:w="1711" w:type="dxa"/>
            <w:shd w:val="clear" w:color="auto" w:fill="auto"/>
            <w:vAlign w:val="center"/>
          </w:tcPr>
          <w:p w14:paraId="6DDB55E6">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灰土路基</w:t>
            </w:r>
          </w:p>
        </w:tc>
        <w:tc>
          <w:tcPr>
            <w:tcW w:w="3790" w:type="dxa"/>
            <w:gridSpan w:val="2"/>
            <w:shd w:val="clear" w:color="auto" w:fill="auto"/>
            <w:vAlign w:val="center"/>
          </w:tcPr>
          <w:p w14:paraId="6BD3D5A8">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取芯</w:t>
            </w:r>
          </w:p>
        </w:tc>
        <w:tc>
          <w:tcPr>
            <w:tcW w:w="921" w:type="dxa"/>
            <w:vAlign w:val="center"/>
          </w:tcPr>
          <w:p w14:paraId="1A71C279">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1132" w:type="dxa"/>
            <w:shd w:val="clear" w:color="auto" w:fill="auto"/>
            <w:vAlign w:val="center"/>
          </w:tcPr>
          <w:p w14:paraId="4E82B580">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996" w:type="dxa"/>
            <w:shd w:val="clear" w:color="auto" w:fill="auto"/>
            <w:vAlign w:val="center"/>
          </w:tcPr>
          <w:p w14:paraId="76DCDF31">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0D759FD8">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72B8ED23">
            <w:pPr>
              <w:keepNext w:val="0"/>
              <w:keepLines w:val="0"/>
              <w:widowControl/>
              <w:suppressLineNumbers w:val="0"/>
              <w:spacing w:line="360" w:lineRule="exact"/>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每两公里取1处，含芯样压实度、无侧限抗压强度检测。</w:t>
            </w:r>
          </w:p>
        </w:tc>
      </w:tr>
      <w:tr w14:paraId="2C8C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74" w:type="dxa"/>
            <w:vMerge w:val="restart"/>
            <w:shd w:val="clear" w:color="auto" w:fill="auto"/>
            <w:vAlign w:val="center"/>
          </w:tcPr>
          <w:p w14:paraId="73F21C0F">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p>
        </w:tc>
        <w:tc>
          <w:tcPr>
            <w:tcW w:w="1711" w:type="dxa"/>
            <w:vMerge w:val="restart"/>
            <w:shd w:val="clear" w:color="auto" w:fill="auto"/>
            <w:vAlign w:val="center"/>
          </w:tcPr>
          <w:p w14:paraId="53B30653">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台背回填</w:t>
            </w:r>
          </w:p>
        </w:tc>
        <w:tc>
          <w:tcPr>
            <w:tcW w:w="3790" w:type="dxa"/>
            <w:gridSpan w:val="2"/>
            <w:shd w:val="clear" w:color="auto" w:fill="auto"/>
            <w:vAlign w:val="center"/>
          </w:tcPr>
          <w:p w14:paraId="1A13CFDF">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取芯</w:t>
            </w:r>
          </w:p>
        </w:tc>
        <w:tc>
          <w:tcPr>
            <w:tcW w:w="921" w:type="dxa"/>
            <w:vAlign w:val="center"/>
          </w:tcPr>
          <w:p w14:paraId="7A226BA5">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处</w:t>
            </w:r>
          </w:p>
        </w:tc>
        <w:tc>
          <w:tcPr>
            <w:tcW w:w="1132" w:type="dxa"/>
            <w:shd w:val="clear" w:color="auto" w:fill="auto"/>
            <w:vAlign w:val="center"/>
          </w:tcPr>
          <w:p w14:paraId="5295FCAE">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996" w:type="dxa"/>
            <w:shd w:val="clear" w:color="auto" w:fill="auto"/>
            <w:vAlign w:val="center"/>
          </w:tcPr>
          <w:p w14:paraId="05C94468">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5342CA65">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7E3954C9">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按总数20%频率抽查，每个台背取1处，含芯样无侧限抗压强度检测。</w:t>
            </w:r>
          </w:p>
        </w:tc>
      </w:tr>
      <w:tr w14:paraId="6FE3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74" w:type="dxa"/>
            <w:vMerge w:val="continue"/>
            <w:shd w:val="clear" w:color="auto" w:fill="auto"/>
            <w:vAlign w:val="center"/>
          </w:tcPr>
          <w:p w14:paraId="22D6951E">
            <w:pPr>
              <w:widowControl/>
              <w:spacing w:line="360" w:lineRule="exact"/>
              <w:jc w:val="center"/>
              <w:rPr>
                <w:rFonts w:hint="eastAsia" w:ascii="宋体" w:hAnsi="宋体" w:eastAsia="宋体" w:cs="宋体"/>
                <w:color w:val="auto"/>
                <w:kern w:val="0"/>
                <w:sz w:val="24"/>
                <w:szCs w:val="24"/>
                <w:highlight w:val="none"/>
              </w:rPr>
            </w:pPr>
          </w:p>
        </w:tc>
        <w:tc>
          <w:tcPr>
            <w:tcW w:w="1711" w:type="dxa"/>
            <w:vMerge w:val="continue"/>
            <w:shd w:val="clear" w:color="auto" w:fill="auto"/>
            <w:vAlign w:val="center"/>
          </w:tcPr>
          <w:p w14:paraId="06C53649">
            <w:pPr>
              <w:widowControl/>
              <w:spacing w:line="360" w:lineRule="exact"/>
              <w:jc w:val="center"/>
              <w:rPr>
                <w:rFonts w:hint="eastAsia" w:ascii="宋体" w:hAnsi="宋体" w:eastAsia="宋体" w:cs="宋体"/>
                <w:color w:val="auto"/>
                <w:kern w:val="0"/>
                <w:sz w:val="24"/>
                <w:szCs w:val="24"/>
                <w:highlight w:val="none"/>
              </w:rPr>
            </w:pPr>
          </w:p>
        </w:tc>
        <w:tc>
          <w:tcPr>
            <w:tcW w:w="3790" w:type="dxa"/>
            <w:gridSpan w:val="2"/>
            <w:shd w:val="clear" w:color="auto" w:fill="auto"/>
            <w:vAlign w:val="center"/>
          </w:tcPr>
          <w:p w14:paraId="193385EF">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压实度</w:t>
            </w:r>
          </w:p>
        </w:tc>
        <w:tc>
          <w:tcPr>
            <w:tcW w:w="921" w:type="dxa"/>
            <w:vAlign w:val="center"/>
          </w:tcPr>
          <w:p w14:paraId="27AFE5FF">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点</w:t>
            </w:r>
          </w:p>
        </w:tc>
        <w:tc>
          <w:tcPr>
            <w:tcW w:w="1132" w:type="dxa"/>
            <w:shd w:val="clear" w:color="auto" w:fill="auto"/>
            <w:vAlign w:val="center"/>
          </w:tcPr>
          <w:p w14:paraId="285E6B7E">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996" w:type="dxa"/>
            <w:shd w:val="clear" w:color="auto" w:fill="auto"/>
            <w:vAlign w:val="center"/>
          </w:tcPr>
          <w:p w14:paraId="0D874499">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7018F303">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19932063">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按总数20%频率抽查，每个台背取1处，每处不少于6点。</w:t>
            </w:r>
          </w:p>
        </w:tc>
      </w:tr>
      <w:tr w14:paraId="2D11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4" w:type="dxa"/>
            <w:vMerge w:val="restart"/>
            <w:shd w:val="clear" w:color="auto" w:fill="auto"/>
            <w:vAlign w:val="center"/>
          </w:tcPr>
          <w:p w14:paraId="42EFFCB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p>
        </w:tc>
        <w:tc>
          <w:tcPr>
            <w:tcW w:w="1711" w:type="dxa"/>
            <w:vMerge w:val="restart"/>
            <w:shd w:val="clear" w:color="auto" w:fill="auto"/>
            <w:vAlign w:val="center"/>
          </w:tcPr>
          <w:p w14:paraId="50C9ABE9">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桥梁桩基</w:t>
            </w:r>
          </w:p>
        </w:tc>
        <w:tc>
          <w:tcPr>
            <w:tcW w:w="1390" w:type="dxa"/>
            <w:vMerge w:val="restart"/>
            <w:shd w:val="clear" w:color="auto" w:fill="auto"/>
            <w:vAlign w:val="center"/>
          </w:tcPr>
          <w:p w14:paraId="38D921E6">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桩身完整性</w:t>
            </w:r>
          </w:p>
        </w:tc>
        <w:tc>
          <w:tcPr>
            <w:tcW w:w="2400" w:type="dxa"/>
            <w:shd w:val="clear" w:color="auto" w:fill="auto"/>
            <w:vAlign w:val="center"/>
          </w:tcPr>
          <w:p w14:paraId="5086B6A7">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3管</w:t>
            </w:r>
          </w:p>
        </w:tc>
        <w:tc>
          <w:tcPr>
            <w:tcW w:w="921" w:type="dxa"/>
            <w:vAlign w:val="center"/>
          </w:tcPr>
          <w:p w14:paraId="0D4AA49A">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w:t>
            </w:r>
          </w:p>
        </w:tc>
        <w:tc>
          <w:tcPr>
            <w:tcW w:w="1132" w:type="dxa"/>
            <w:shd w:val="clear" w:color="auto" w:fill="auto"/>
            <w:vAlign w:val="center"/>
          </w:tcPr>
          <w:p w14:paraId="70880D60">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996" w:type="dxa"/>
            <w:shd w:val="clear" w:color="auto" w:fill="auto"/>
            <w:vAlign w:val="center"/>
          </w:tcPr>
          <w:p w14:paraId="4C6B3CCC">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465B387A">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3F175D76">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按施工单位自检频率抽检20%。</w:t>
            </w:r>
          </w:p>
        </w:tc>
      </w:tr>
      <w:tr w14:paraId="5709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74" w:type="dxa"/>
            <w:vMerge w:val="continue"/>
            <w:shd w:val="clear" w:color="auto" w:fill="auto"/>
            <w:vAlign w:val="center"/>
          </w:tcPr>
          <w:p w14:paraId="66310025">
            <w:pPr>
              <w:widowControl/>
              <w:spacing w:line="360" w:lineRule="exact"/>
              <w:jc w:val="center"/>
              <w:rPr>
                <w:rFonts w:hint="eastAsia" w:ascii="宋体" w:hAnsi="宋体" w:eastAsia="宋体" w:cs="宋体"/>
                <w:color w:val="auto"/>
                <w:kern w:val="0"/>
                <w:sz w:val="24"/>
                <w:szCs w:val="24"/>
                <w:highlight w:val="none"/>
              </w:rPr>
            </w:pPr>
          </w:p>
        </w:tc>
        <w:tc>
          <w:tcPr>
            <w:tcW w:w="1711" w:type="dxa"/>
            <w:vMerge w:val="continue"/>
            <w:shd w:val="clear" w:color="auto" w:fill="auto"/>
            <w:vAlign w:val="center"/>
          </w:tcPr>
          <w:p w14:paraId="59FAB6B4">
            <w:pPr>
              <w:widowControl/>
              <w:spacing w:line="360" w:lineRule="exact"/>
              <w:jc w:val="center"/>
              <w:rPr>
                <w:rFonts w:hint="eastAsia" w:ascii="宋体" w:hAnsi="宋体" w:eastAsia="宋体" w:cs="宋体"/>
                <w:color w:val="auto"/>
                <w:kern w:val="0"/>
                <w:sz w:val="24"/>
                <w:szCs w:val="24"/>
                <w:highlight w:val="none"/>
              </w:rPr>
            </w:pPr>
          </w:p>
        </w:tc>
        <w:tc>
          <w:tcPr>
            <w:tcW w:w="1390" w:type="dxa"/>
            <w:vMerge w:val="continue"/>
            <w:shd w:val="clear" w:color="auto" w:fill="auto"/>
            <w:vAlign w:val="center"/>
          </w:tcPr>
          <w:p w14:paraId="124B5E6E">
            <w:pPr>
              <w:widowControl/>
              <w:spacing w:line="360" w:lineRule="exact"/>
              <w:jc w:val="center"/>
              <w:rPr>
                <w:rFonts w:hint="eastAsia" w:ascii="宋体" w:hAnsi="宋体" w:eastAsia="宋体" w:cs="宋体"/>
                <w:color w:val="auto"/>
                <w:kern w:val="0"/>
                <w:sz w:val="24"/>
                <w:szCs w:val="24"/>
                <w:highlight w:val="none"/>
              </w:rPr>
            </w:pPr>
          </w:p>
        </w:tc>
        <w:tc>
          <w:tcPr>
            <w:tcW w:w="2400" w:type="dxa"/>
            <w:shd w:val="clear" w:color="auto" w:fill="auto"/>
            <w:vAlign w:val="center"/>
          </w:tcPr>
          <w:p w14:paraId="3E317904">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4管</w:t>
            </w:r>
          </w:p>
        </w:tc>
        <w:tc>
          <w:tcPr>
            <w:tcW w:w="921" w:type="dxa"/>
            <w:vAlign w:val="center"/>
          </w:tcPr>
          <w:p w14:paraId="65661EB2">
            <w:pPr>
              <w:widowControl/>
              <w:spacing w:line="360" w:lineRule="exact"/>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根</w:t>
            </w:r>
          </w:p>
        </w:tc>
        <w:tc>
          <w:tcPr>
            <w:tcW w:w="1132" w:type="dxa"/>
            <w:shd w:val="clear" w:color="auto" w:fill="auto"/>
            <w:vAlign w:val="center"/>
          </w:tcPr>
          <w:p w14:paraId="2097F979">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996" w:type="dxa"/>
            <w:shd w:val="clear" w:color="auto" w:fill="auto"/>
            <w:vAlign w:val="center"/>
          </w:tcPr>
          <w:p w14:paraId="477D8F8F">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06701566">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71AB139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按施工单位自检频率抽检20%。</w:t>
            </w:r>
          </w:p>
        </w:tc>
      </w:tr>
      <w:tr w14:paraId="05CA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74" w:type="dxa"/>
            <w:vMerge w:val="continue"/>
            <w:shd w:val="clear" w:color="auto" w:fill="auto"/>
            <w:vAlign w:val="center"/>
          </w:tcPr>
          <w:p w14:paraId="0B7EC8FF">
            <w:pPr>
              <w:widowControl/>
              <w:spacing w:line="360" w:lineRule="exact"/>
              <w:jc w:val="center"/>
              <w:rPr>
                <w:rFonts w:hint="eastAsia" w:ascii="宋体" w:hAnsi="宋体" w:eastAsia="宋体" w:cs="宋体"/>
                <w:color w:val="auto"/>
                <w:kern w:val="0"/>
                <w:sz w:val="24"/>
                <w:szCs w:val="24"/>
                <w:highlight w:val="none"/>
              </w:rPr>
            </w:pPr>
          </w:p>
        </w:tc>
        <w:tc>
          <w:tcPr>
            <w:tcW w:w="1711" w:type="dxa"/>
            <w:vMerge w:val="continue"/>
            <w:shd w:val="clear" w:color="auto" w:fill="auto"/>
            <w:vAlign w:val="center"/>
          </w:tcPr>
          <w:p w14:paraId="4567C372">
            <w:pPr>
              <w:widowControl/>
              <w:spacing w:line="360" w:lineRule="exact"/>
              <w:jc w:val="center"/>
              <w:rPr>
                <w:rFonts w:hint="eastAsia" w:ascii="宋体" w:hAnsi="宋体" w:eastAsia="宋体" w:cs="宋体"/>
                <w:color w:val="auto"/>
                <w:kern w:val="0"/>
                <w:sz w:val="24"/>
                <w:szCs w:val="24"/>
                <w:highlight w:val="none"/>
              </w:rPr>
            </w:pPr>
          </w:p>
        </w:tc>
        <w:tc>
          <w:tcPr>
            <w:tcW w:w="3790" w:type="dxa"/>
            <w:gridSpan w:val="2"/>
            <w:shd w:val="clear" w:color="auto" w:fill="auto"/>
            <w:vAlign w:val="center"/>
          </w:tcPr>
          <w:p w14:paraId="39D4A226">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取芯检测</w:t>
            </w:r>
          </w:p>
        </w:tc>
        <w:tc>
          <w:tcPr>
            <w:tcW w:w="921" w:type="dxa"/>
            <w:vAlign w:val="center"/>
          </w:tcPr>
          <w:p w14:paraId="761304DE">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延米</w:t>
            </w:r>
          </w:p>
        </w:tc>
        <w:tc>
          <w:tcPr>
            <w:tcW w:w="1132" w:type="dxa"/>
            <w:shd w:val="clear" w:color="auto" w:fill="auto"/>
            <w:vAlign w:val="center"/>
          </w:tcPr>
          <w:p w14:paraId="21A9E46D">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996" w:type="dxa"/>
            <w:shd w:val="clear" w:color="auto" w:fill="auto"/>
            <w:vAlign w:val="center"/>
          </w:tcPr>
          <w:p w14:paraId="2FC660A1">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24BA6D4D">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49636E71">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按总桩数的0.2%抽查，含桩长、桩体强度检测等。</w:t>
            </w:r>
          </w:p>
        </w:tc>
      </w:tr>
      <w:tr w14:paraId="1441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74" w:type="dxa"/>
            <w:vMerge w:val="restart"/>
            <w:shd w:val="clear" w:color="auto" w:fill="auto"/>
            <w:vAlign w:val="center"/>
          </w:tcPr>
          <w:p w14:paraId="003937DD">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p>
        </w:tc>
        <w:tc>
          <w:tcPr>
            <w:tcW w:w="1711" w:type="dxa"/>
            <w:vMerge w:val="restart"/>
            <w:shd w:val="clear" w:color="auto" w:fill="auto"/>
            <w:vAlign w:val="center"/>
          </w:tcPr>
          <w:p w14:paraId="2A4FE69F">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桥梁结构锚下有效预应力</w:t>
            </w:r>
          </w:p>
        </w:tc>
        <w:tc>
          <w:tcPr>
            <w:tcW w:w="3790" w:type="dxa"/>
            <w:gridSpan w:val="2"/>
            <w:shd w:val="clear" w:color="auto" w:fill="auto"/>
            <w:vAlign w:val="center"/>
          </w:tcPr>
          <w:p w14:paraId="176FA060">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预制梁预应力筋</w:t>
            </w:r>
          </w:p>
        </w:tc>
        <w:tc>
          <w:tcPr>
            <w:tcW w:w="921" w:type="dxa"/>
            <w:vAlign w:val="center"/>
          </w:tcPr>
          <w:p w14:paraId="1B29B128">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束</w:t>
            </w:r>
          </w:p>
        </w:tc>
        <w:tc>
          <w:tcPr>
            <w:tcW w:w="1132" w:type="dxa"/>
            <w:shd w:val="clear" w:color="auto" w:fill="auto"/>
            <w:vAlign w:val="center"/>
          </w:tcPr>
          <w:p w14:paraId="1864A35D">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996" w:type="dxa"/>
            <w:shd w:val="clear" w:color="auto" w:fill="auto"/>
            <w:vAlign w:val="center"/>
          </w:tcPr>
          <w:p w14:paraId="7A13AA1A">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18C59011">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3551FA5E">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抽检频率不少于2%，不少于3束。</w:t>
            </w:r>
          </w:p>
        </w:tc>
      </w:tr>
      <w:tr w14:paraId="565B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4" w:type="dxa"/>
            <w:vMerge w:val="continue"/>
            <w:shd w:val="clear" w:color="auto" w:fill="auto"/>
            <w:vAlign w:val="center"/>
          </w:tcPr>
          <w:p w14:paraId="2E8E9E22">
            <w:pPr>
              <w:widowControl/>
              <w:spacing w:line="360" w:lineRule="exact"/>
              <w:jc w:val="center"/>
              <w:rPr>
                <w:rFonts w:hint="eastAsia" w:ascii="宋体" w:hAnsi="宋体" w:eastAsia="宋体" w:cs="宋体"/>
                <w:color w:val="auto"/>
                <w:kern w:val="0"/>
                <w:sz w:val="24"/>
                <w:szCs w:val="24"/>
                <w:highlight w:val="none"/>
              </w:rPr>
            </w:pPr>
          </w:p>
        </w:tc>
        <w:tc>
          <w:tcPr>
            <w:tcW w:w="1711" w:type="dxa"/>
            <w:vMerge w:val="continue"/>
            <w:shd w:val="clear" w:color="auto" w:fill="auto"/>
            <w:vAlign w:val="center"/>
          </w:tcPr>
          <w:p w14:paraId="5762C061">
            <w:pPr>
              <w:widowControl/>
              <w:spacing w:line="360" w:lineRule="exact"/>
              <w:jc w:val="center"/>
              <w:rPr>
                <w:rFonts w:hint="eastAsia" w:ascii="宋体" w:hAnsi="宋体" w:eastAsia="宋体" w:cs="宋体"/>
                <w:color w:val="auto"/>
                <w:kern w:val="0"/>
                <w:sz w:val="24"/>
                <w:szCs w:val="24"/>
                <w:highlight w:val="none"/>
              </w:rPr>
            </w:pPr>
          </w:p>
        </w:tc>
        <w:tc>
          <w:tcPr>
            <w:tcW w:w="3790" w:type="dxa"/>
            <w:gridSpan w:val="2"/>
            <w:shd w:val="clear" w:color="auto" w:fill="auto"/>
            <w:vAlign w:val="center"/>
          </w:tcPr>
          <w:p w14:paraId="549C6615">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现浇结构预应力筋</w:t>
            </w:r>
          </w:p>
        </w:tc>
        <w:tc>
          <w:tcPr>
            <w:tcW w:w="921" w:type="dxa"/>
            <w:vAlign w:val="center"/>
          </w:tcPr>
          <w:p w14:paraId="39FA42D3">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束</w:t>
            </w:r>
          </w:p>
        </w:tc>
        <w:tc>
          <w:tcPr>
            <w:tcW w:w="1132" w:type="dxa"/>
            <w:shd w:val="clear" w:color="auto" w:fill="auto"/>
            <w:vAlign w:val="center"/>
          </w:tcPr>
          <w:p w14:paraId="308B204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996" w:type="dxa"/>
            <w:shd w:val="clear" w:color="auto" w:fill="auto"/>
            <w:vAlign w:val="center"/>
          </w:tcPr>
          <w:p w14:paraId="6B413D2E">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1967224F">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526A12A3">
            <w:pPr>
              <w:keepNext w:val="0"/>
              <w:keepLines w:val="0"/>
              <w:widowControl/>
              <w:suppressLineNumbers w:val="0"/>
              <w:spacing w:line="36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抽检频率不少于3%，不少于3束。</w:t>
            </w:r>
          </w:p>
        </w:tc>
      </w:tr>
      <w:tr w14:paraId="0662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4" w:type="dxa"/>
            <w:vMerge w:val="continue"/>
            <w:shd w:val="clear" w:color="auto" w:fill="auto"/>
            <w:vAlign w:val="center"/>
          </w:tcPr>
          <w:p w14:paraId="3E7E0AD6">
            <w:pPr>
              <w:widowControl/>
              <w:spacing w:line="360" w:lineRule="exact"/>
              <w:jc w:val="center"/>
              <w:rPr>
                <w:rFonts w:hint="eastAsia" w:ascii="宋体" w:hAnsi="宋体" w:eastAsia="宋体" w:cs="宋体"/>
                <w:color w:val="auto"/>
                <w:kern w:val="0"/>
                <w:sz w:val="24"/>
                <w:szCs w:val="24"/>
                <w:highlight w:val="none"/>
              </w:rPr>
            </w:pPr>
          </w:p>
        </w:tc>
        <w:tc>
          <w:tcPr>
            <w:tcW w:w="1711" w:type="dxa"/>
            <w:vMerge w:val="continue"/>
            <w:shd w:val="clear" w:color="auto" w:fill="auto"/>
            <w:vAlign w:val="center"/>
          </w:tcPr>
          <w:p w14:paraId="1F4422E9">
            <w:pPr>
              <w:widowControl/>
              <w:spacing w:line="360" w:lineRule="exact"/>
              <w:jc w:val="center"/>
              <w:rPr>
                <w:rFonts w:hint="eastAsia" w:ascii="宋体" w:hAnsi="宋体" w:eastAsia="宋体" w:cs="宋体"/>
                <w:color w:val="auto"/>
                <w:kern w:val="0"/>
                <w:sz w:val="24"/>
                <w:szCs w:val="24"/>
                <w:highlight w:val="none"/>
              </w:rPr>
            </w:pPr>
          </w:p>
        </w:tc>
        <w:tc>
          <w:tcPr>
            <w:tcW w:w="3790" w:type="dxa"/>
            <w:gridSpan w:val="2"/>
            <w:shd w:val="clear" w:color="auto" w:fill="auto"/>
            <w:vAlign w:val="center"/>
          </w:tcPr>
          <w:p w14:paraId="1C31074F">
            <w:pPr>
              <w:keepNext w:val="0"/>
              <w:keepLines w:val="0"/>
              <w:widowControl/>
              <w:suppressLineNumbers w:val="0"/>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rPr>
              <w:t>原材检测</w:t>
            </w:r>
          </w:p>
        </w:tc>
        <w:tc>
          <w:tcPr>
            <w:tcW w:w="921" w:type="dxa"/>
            <w:vAlign w:val="center"/>
          </w:tcPr>
          <w:p w14:paraId="122B59A9">
            <w:pPr>
              <w:keepNext w:val="0"/>
              <w:keepLines w:val="0"/>
              <w:widowControl/>
              <w:suppressLineNumbers w:val="0"/>
              <w:spacing w:line="360" w:lineRule="exact"/>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组</w:t>
            </w:r>
          </w:p>
        </w:tc>
        <w:tc>
          <w:tcPr>
            <w:tcW w:w="1132" w:type="dxa"/>
            <w:shd w:val="clear" w:color="auto" w:fill="auto"/>
            <w:vAlign w:val="center"/>
          </w:tcPr>
          <w:p w14:paraId="126E6D27">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996" w:type="dxa"/>
            <w:shd w:val="clear" w:color="auto" w:fill="auto"/>
            <w:vAlign w:val="center"/>
          </w:tcPr>
          <w:p w14:paraId="04780527">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3CAB1BDF">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3C77FCD4">
            <w:pPr>
              <w:widowControl/>
              <w:spacing w:line="360" w:lineRule="exact"/>
              <w:jc w:val="center"/>
              <w:rPr>
                <w:rFonts w:hint="eastAsia" w:ascii="宋体" w:hAnsi="宋体" w:eastAsia="宋体" w:cs="宋体"/>
                <w:color w:val="auto"/>
                <w:kern w:val="0"/>
                <w:sz w:val="24"/>
                <w:szCs w:val="24"/>
                <w:highlight w:val="none"/>
              </w:rPr>
            </w:pPr>
          </w:p>
        </w:tc>
      </w:tr>
      <w:tr w14:paraId="1ED5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74" w:type="dxa"/>
            <w:shd w:val="clear" w:color="auto" w:fill="auto"/>
            <w:vAlign w:val="center"/>
          </w:tcPr>
          <w:p w14:paraId="69ED74B3">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p>
        </w:tc>
        <w:tc>
          <w:tcPr>
            <w:tcW w:w="1711" w:type="dxa"/>
            <w:shd w:val="clear" w:color="auto" w:fill="auto"/>
            <w:vAlign w:val="center"/>
          </w:tcPr>
          <w:p w14:paraId="1366CE14">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桥梁支座安装</w:t>
            </w:r>
          </w:p>
        </w:tc>
        <w:tc>
          <w:tcPr>
            <w:tcW w:w="3790" w:type="dxa"/>
            <w:gridSpan w:val="2"/>
            <w:shd w:val="clear" w:color="auto" w:fill="auto"/>
            <w:vAlign w:val="center"/>
          </w:tcPr>
          <w:p w14:paraId="0A7BFE36">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支座安装质量、外观</w:t>
            </w:r>
          </w:p>
        </w:tc>
        <w:tc>
          <w:tcPr>
            <w:tcW w:w="921" w:type="dxa"/>
            <w:vAlign w:val="center"/>
          </w:tcPr>
          <w:p w14:paraId="2EC80AB8">
            <w:pPr>
              <w:widowControl/>
              <w:spacing w:line="3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个</w:t>
            </w:r>
          </w:p>
        </w:tc>
        <w:tc>
          <w:tcPr>
            <w:tcW w:w="1132" w:type="dxa"/>
            <w:shd w:val="clear" w:color="auto" w:fill="auto"/>
            <w:vAlign w:val="center"/>
          </w:tcPr>
          <w:p w14:paraId="747CDA4A">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2"/>
                <w:szCs w:val="22"/>
                <w:highlight w:val="none"/>
                <w:u w:val="none"/>
                <w:lang w:val="en-US" w:eastAsia="zh-CN" w:bidi="ar"/>
              </w:rPr>
              <w:t>330</w:t>
            </w:r>
          </w:p>
        </w:tc>
        <w:tc>
          <w:tcPr>
            <w:tcW w:w="996" w:type="dxa"/>
            <w:shd w:val="clear" w:color="auto" w:fill="auto"/>
            <w:vAlign w:val="center"/>
          </w:tcPr>
          <w:p w14:paraId="03C76656">
            <w:pPr>
              <w:widowControl/>
              <w:spacing w:line="360" w:lineRule="exact"/>
              <w:jc w:val="center"/>
              <w:rPr>
                <w:rFonts w:hint="eastAsia" w:ascii="宋体" w:hAnsi="宋体" w:eastAsia="宋体" w:cs="宋体"/>
                <w:color w:val="auto"/>
                <w:kern w:val="0"/>
                <w:sz w:val="24"/>
                <w:szCs w:val="24"/>
                <w:highlight w:val="none"/>
              </w:rPr>
            </w:pPr>
          </w:p>
        </w:tc>
        <w:tc>
          <w:tcPr>
            <w:tcW w:w="900" w:type="dxa"/>
            <w:vAlign w:val="center"/>
          </w:tcPr>
          <w:p w14:paraId="0863395D">
            <w:pPr>
              <w:widowControl/>
              <w:spacing w:line="360" w:lineRule="exact"/>
              <w:jc w:val="center"/>
              <w:rPr>
                <w:rFonts w:hint="eastAsia" w:ascii="宋体" w:hAnsi="宋体" w:eastAsia="宋体" w:cs="宋体"/>
                <w:color w:val="auto"/>
                <w:kern w:val="0"/>
                <w:sz w:val="24"/>
                <w:szCs w:val="24"/>
                <w:highlight w:val="none"/>
              </w:rPr>
            </w:pPr>
          </w:p>
        </w:tc>
        <w:tc>
          <w:tcPr>
            <w:tcW w:w="4172" w:type="dxa"/>
            <w:shd w:val="clear" w:color="auto" w:fill="auto"/>
            <w:vAlign w:val="center"/>
          </w:tcPr>
          <w:p w14:paraId="0D7BC2D8">
            <w:pPr>
              <w:widowControl/>
              <w:spacing w:line="3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按总数20%频率抽查</w:t>
            </w:r>
          </w:p>
        </w:tc>
      </w:tr>
      <w:tr w14:paraId="2177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74" w:type="dxa"/>
            <w:shd w:val="clear" w:color="auto" w:fill="auto"/>
            <w:vAlign w:val="center"/>
          </w:tcPr>
          <w:p w14:paraId="2A556BCB">
            <w:pPr>
              <w:widowControl/>
              <w:jc w:val="center"/>
              <w:rPr>
                <w:rFonts w:ascii="宋体" w:hAnsi="宋体" w:cs="宋体"/>
                <w:color w:val="auto"/>
                <w:kern w:val="0"/>
                <w:szCs w:val="21"/>
                <w:highlight w:val="none"/>
              </w:rPr>
            </w:pPr>
          </w:p>
        </w:tc>
        <w:tc>
          <w:tcPr>
            <w:tcW w:w="1711" w:type="dxa"/>
            <w:shd w:val="clear" w:color="auto" w:fill="auto"/>
            <w:vAlign w:val="center"/>
          </w:tcPr>
          <w:p w14:paraId="0F69DF22">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w:t>
            </w:r>
          </w:p>
        </w:tc>
        <w:tc>
          <w:tcPr>
            <w:tcW w:w="3790" w:type="dxa"/>
            <w:gridSpan w:val="2"/>
            <w:shd w:val="clear" w:color="auto" w:fill="auto"/>
            <w:vAlign w:val="center"/>
          </w:tcPr>
          <w:p w14:paraId="2330FFEA">
            <w:pPr>
              <w:widowControl/>
              <w:jc w:val="center"/>
              <w:rPr>
                <w:rFonts w:ascii="宋体" w:hAnsi="宋体" w:cs="宋体"/>
                <w:color w:val="auto"/>
                <w:kern w:val="0"/>
                <w:szCs w:val="21"/>
                <w:highlight w:val="none"/>
              </w:rPr>
            </w:pPr>
          </w:p>
        </w:tc>
        <w:tc>
          <w:tcPr>
            <w:tcW w:w="921" w:type="dxa"/>
            <w:vAlign w:val="center"/>
          </w:tcPr>
          <w:p w14:paraId="5987F25F">
            <w:pPr>
              <w:widowControl/>
              <w:jc w:val="center"/>
              <w:rPr>
                <w:rFonts w:ascii="宋体" w:hAnsi="宋体" w:cs="宋体"/>
                <w:color w:val="auto"/>
                <w:kern w:val="0"/>
                <w:szCs w:val="21"/>
                <w:highlight w:val="none"/>
              </w:rPr>
            </w:pPr>
          </w:p>
        </w:tc>
        <w:tc>
          <w:tcPr>
            <w:tcW w:w="1132" w:type="dxa"/>
            <w:shd w:val="clear" w:color="auto" w:fill="auto"/>
            <w:vAlign w:val="center"/>
          </w:tcPr>
          <w:p w14:paraId="0838CE3B">
            <w:pPr>
              <w:widowControl/>
              <w:jc w:val="center"/>
              <w:rPr>
                <w:rFonts w:ascii="宋体" w:hAnsi="宋体" w:cs="宋体"/>
                <w:color w:val="auto"/>
                <w:kern w:val="0"/>
                <w:szCs w:val="21"/>
                <w:highlight w:val="none"/>
              </w:rPr>
            </w:pPr>
          </w:p>
        </w:tc>
        <w:tc>
          <w:tcPr>
            <w:tcW w:w="996" w:type="dxa"/>
            <w:shd w:val="clear" w:color="auto" w:fill="auto"/>
            <w:vAlign w:val="center"/>
          </w:tcPr>
          <w:p w14:paraId="1F0F50E5">
            <w:pPr>
              <w:widowControl/>
              <w:jc w:val="center"/>
              <w:rPr>
                <w:rFonts w:ascii="宋体" w:hAnsi="宋体" w:cs="宋体"/>
                <w:color w:val="auto"/>
                <w:kern w:val="0"/>
                <w:szCs w:val="21"/>
                <w:highlight w:val="none"/>
              </w:rPr>
            </w:pPr>
          </w:p>
        </w:tc>
        <w:tc>
          <w:tcPr>
            <w:tcW w:w="900" w:type="dxa"/>
            <w:vAlign w:val="center"/>
          </w:tcPr>
          <w:p w14:paraId="097B7023">
            <w:pPr>
              <w:widowControl/>
              <w:jc w:val="center"/>
              <w:rPr>
                <w:rFonts w:ascii="宋体" w:hAnsi="宋体" w:cs="宋体"/>
                <w:color w:val="auto"/>
                <w:kern w:val="0"/>
                <w:szCs w:val="21"/>
                <w:highlight w:val="none"/>
              </w:rPr>
            </w:pPr>
          </w:p>
        </w:tc>
        <w:tc>
          <w:tcPr>
            <w:tcW w:w="4172" w:type="dxa"/>
            <w:shd w:val="clear" w:color="auto" w:fill="auto"/>
            <w:vAlign w:val="center"/>
          </w:tcPr>
          <w:p w14:paraId="66A46C73">
            <w:pPr>
              <w:widowControl/>
              <w:jc w:val="center"/>
              <w:rPr>
                <w:rFonts w:ascii="宋体" w:hAnsi="宋体" w:cs="宋体"/>
                <w:color w:val="auto"/>
                <w:kern w:val="0"/>
                <w:szCs w:val="21"/>
                <w:highlight w:val="none"/>
              </w:rPr>
            </w:pPr>
          </w:p>
        </w:tc>
      </w:tr>
      <w:tr w14:paraId="3645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74" w:type="dxa"/>
            <w:shd w:val="clear" w:color="auto" w:fill="auto"/>
            <w:vAlign w:val="center"/>
          </w:tcPr>
          <w:p w14:paraId="6E9142E9">
            <w:pPr>
              <w:widowControl/>
              <w:jc w:val="center"/>
              <w:rPr>
                <w:rFonts w:ascii="宋体" w:hAnsi="宋体" w:cs="宋体"/>
                <w:color w:val="auto"/>
                <w:kern w:val="0"/>
                <w:szCs w:val="21"/>
                <w:highlight w:val="none"/>
              </w:rPr>
            </w:pPr>
            <w:r>
              <w:rPr>
                <w:color w:val="auto"/>
                <w:highlight w:val="none"/>
              </w:rPr>
              <w:t>备注</w:t>
            </w:r>
          </w:p>
        </w:tc>
        <w:tc>
          <w:tcPr>
            <w:tcW w:w="13622" w:type="dxa"/>
            <w:gridSpan w:val="8"/>
            <w:shd w:val="clear" w:color="auto" w:fill="auto"/>
            <w:vAlign w:val="center"/>
          </w:tcPr>
          <w:p w14:paraId="10FA118D">
            <w:pPr>
              <w:keepNext w:val="0"/>
              <w:keepLines w:val="0"/>
              <w:widowControl/>
              <w:suppressLineNumbers w:val="0"/>
              <w:jc w:val="left"/>
              <w:rPr>
                <w:rFonts w:hint="eastAsia" w:ascii="宋体" w:hAnsi="宋体" w:eastAsia="宋体" w:cs="宋体"/>
                <w:b/>
                <w:bCs/>
                <w:color w:val="auto"/>
                <w:kern w:val="0"/>
                <w:sz w:val="21"/>
                <w:szCs w:val="21"/>
                <w:highlight w:val="none"/>
                <w:lang w:val="en-US" w:eastAsia="zh-CN" w:bidi="ar"/>
              </w:rPr>
            </w:pPr>
            <w:r>
              <w:rPr>
                <w:rFonts w:hint="eastAsia" w:ascii="宋体" w:hAnsi="宋体" w:cs="宋体"/>
                <w:b/>
                <w:bCs/>
                <w:color w:val="auto"/>
                <w:kern w:val="0"/>
                <w:sz w:val="21"/>
                <w:szCs w:val="21"/>
                <w:highlight w:val="none"/>
                <w:lang w:val="en-US" w:eastAsia="zh-CN" w:bidi="ar"/>
              </w:rPr>
              <w:t>1、</w:t>
            </w:r>
            <w:r>
              <w:rPr>
                <w:rFonts w:hint="eastAsia" w:ascii="宋体" w:hAnsi="宋体" w:eastAsia="宋体" w:cs="宋体"/>
                <w:b/>
                <w:bCs/>
                <w:color w:val="auto"/>
                <w:kern w:val="0"/>
                <w:sz w:val="21"/>
                <w:szCs w:val="21"/>
                <w:highlight w:val="none"/>
                <w:lang w:val="en-US" w:eastAsia="zh-CN" w:bidi="ar"/>
              </w:rPr>
              <w:t>本专项检测为国家相关规定和规范外的委托人可能要求的增项检测，投标人进行单项报价，检测数量为暂定，实际数量以委托人要求为准，所有检测频率须满足现行规范、设计图纸（含变更）、委托人提出的检测要求等，投标人需充分考虑可能增加的检测数量（频率），费用</w:t>
            </w:r>
            <w:bookmarkStart w:id="271" w:name="_GoBack"/>
            <w:bookmarkEnd w:id="271"/>
            <w:r>
              <w:rPr>
                <w:rFonts w:hint="eastAsia" w:ascii="宋体" w:hAnsi="宋体" w:eastAsia="宋体" w:cs="宋体"/>
                <w:b/>
                <w:bCs/>
                <w:color w:val="auto"/>
                <w:kern w:val="0"/>
                <w:sz w:val="21"/>
                <w:szCs w:val="21"/>
                <w:highlight w:val="none"/>
                <w:lang w:val="en-US" w:eastAsia="zh-CN" w:bidi="ar"/>
              </w:rPr>
              <w:t>不予调整。</w:t>
            </w:r>
          </w:p>
          <w:p w14:paraId="03E108A0">
            <w:pPr>
              <w:keepNext w:val="0"/>
              <w:keepLines w:val="0"/>
              <w:widowControl/>
              <w:suppressLineNumbers w:val="0"/>
              <w:jc w:val="left"/>
              <w:rPr>
                <w:rFonts w:hint="eastAsia" w:ascii="宋体" w:hAnsi="宋体" w:cs="宋体"/>
                <w:b/>
                <w:bCs/>
                <w:color w:val="auto"/>
                <w:kern w:val="0"/>
                <w:szCs w:val="21"/>
                <w:highlight w:val="none"/>
                <w:lang w:bidi="ar"/>
              </w:rPr>
            </w:pPr>
            <w:r>
              <w:rPr>
                <w:rFonts w:hint="eastAsia" w:ascii="宋体" w:hAnsi="宋体" w:eastAsia="宋体" w:cs="宋体"/>
                <w:b/>
                <w:bCs/>
                <w:color w:val="auto"/>
                <w:kern w:val="0"/>
                <w:sz w:val="21"/>
                <w:szCs w:val="21"/>
                <w:highlight w:val="none"/>
                <w:lang w:val="en-US" w:eastAsia="zh-CN" w:bidi="ar"/>
              </w:rPr>
              <w:t xml:space="preserve">2、检测结果共享。 </w:t>
            </w:r>
          </w:p>
          <w:p w14:paraId="0FA53E60">
            <w:pPr>
              <w:keepNext w:val="0"/>
              <w:keepLines w:val="0"/>
              <w:widowControl/>
              <w:suppressLineNumbers w:val="0"/>
              <w:jc w:val="left"/>
              <w:rPr>
                <w:rFonts w:hint="eastAsia" w:ascii="宋体" w:hAnsi="宋体" w:cs="宋体"/>
                <w:b/>
                <w:bCs/>
                <w:color w:val="auto"/>
                <w:kern w:val="0"/>
                <w:szCs w:val="21"/>
                <w:highlight w:val="none"/>
                <w:lang w:bidi="ar"/>
              </w:rPr>
            </w:pPr>
            <w:r>
              <w:rPr>
                <w:rFonts w:hint="eastAsia" w:ascii="宋体" w:hAnsi="宋体" w:eastAsia="宋体" w:cs="宋体"/>
                <w:b/>
                <w:bCs/>
                <w:color w:val="auto"/>
                <w:kern w:val="0"/>
                <w:sz w:val="21"/>
                <w:szCs w:val="21"/>
                <w:highlight w:val="none"/>
                <w:lang w:val="en-US" w:eastAsia="zh-CN" w:bidi="ar"/>
              </w:rPr>
              <w:t xml:space="preserve">3、如出现以下情形，发包人有权增加检测频率且投标人提供相应的技术服务，发生的费用由投标人承担，不另行支付：①工程质量出现缺陷；②发包人对工程质量有疑问。 </w:t>
            </w:r>
          </w:p>
          <w:p w14:paraId="41C283F5">
            <w:pPr>
              <w:widowControl/>
              <w:jc w:val="left"/>
              <w:rPr>
                <w:rFonts w:ascii="宋体" w:hAnsi="宋体" w:cs="宋体"/>
                <w:color w:val="auto"/>
                <w:kern w:val="0"/>
                <w:szCs w:val="21"/>
                <w:highlight w:val="none"/>
              </w:rPr>
            </w:pPr>
            <w:r>
              <w:rPr>
                <w:rFonts w:hint="eastAsia" w:ascii="宋体" w:hAnsi="宋体" w:eastAsia="宋体" w:cs="宋体"/>
                <w:b/>
                <w:bCs/>
                <w:color w:val="auto"/>
                <w:kern w:val="0"/>
                <w:sz w:val="21"/>
                <w:szCs w:val="21"/>
                <w:highlight w:val="none"/>
                <w:lang w:val="en-US" w:eastAsia="zh-CN" w:bidi="ar"/>
              </w:rPr>
              <w:t>4、缺陷责任期内的检测服务内容包含在综合单价内，不另行支付。</w:t>
            </w:r>
          </w:p>
        </w:tc>
      </w:tr>
    </w:tbl>
    <w:p w14:paraId="0713BE9A">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p>
    <w:p w14:paraId="370E1190">
      <w:pPr>
        <w:keepNext w:val="0"/>
        <w:keepLines w:val="0"/>
        <w:widowControl/>
        <w:suppressLineNumbers w:val="0"/>
        <w:ind w:firstLine="840" w:firstLineChars="400"/>
        <w:jc w:val="left"/>
        <w:rPr>
          <w:color w:val="auto"/>
          <w:highlight w:val="none"/>
          <w:lang w:val="en-US" w:eastAsia="zh-CN"/>
        </w:rPr>
      </w:pPr>
      <w:r>
        <w:rPr>
          <w:rFonts w:hint="eastAsia" w:ascii="宋体" w:hAnsi="宋体" w:eastAsia="宋体" w:cs="宋体"/>
          <w:color w:val="auto"/>
          <w:kern w:val="0"/>
          <w:sz w:val="21"/>
          <w:szCs w:val="21"/>
          <w:highlight w:val="none"/>
          <w:lang w:val="en-US" w:eastAsia="zh-CN" w:bidi="ar"/>
        </w:rPr>
        <w:t>投标人：</w:t>
      </w:r>
      <w:r>
        <w:rPr>
          <w:rFonts w:hint="eastAsia" w:ascii="宋体" w:hAnsi="宋体" w:eastAsia="宋体" w:cs="宋体"/>
          <w:color w:val="auto"/>
          <w:kern w:val="0"/>
          <w:sz w:val="21"/>
          <w:szCs w:val="21"/>
          <w:highlight w:val="none"/>
          <w:u w:val="single"/>
          <w:lang w:val="en-US" w:eastAsia="zh-CN" w:bidi="ar"/>
        </w:rPr>
        <w:t xml:space="preserve">           （公章）</w:t>
      </w:r>
      <w:r>
        <w:rPr>
          <w:rFonts w:hint="default" w:ascii="Times New Roman" w:hAnsi="Times New Roman" w:eastAsia="宋体" w:cs="Times New Roman"/>
          <w:color w:val="auto"/>
          <w:kern w:val="0"/>
          <w:sz w:val="21"/>
          <w:szCs w:val="21"/>
          <w:highlight w:val="none"/>
          <w:u w:val="none"/>
          <w:lang w:val="en-US" w:eastAsia="zh-CN" w:bidi="ar"/>
        </w:rPr>
        <w:t xml:space="preserve"> </w:t>
      </w:r>
      <w:r>
        <w:rPr>
          <w:rFonts w:hint="eastAsia" w:ascii="Times New Roman" w:hAnsi="Times New Roman" w:eastAsia="宋体" w:cs="Times New Roman"/>
          <w:color w:val="auto"/>
          <w:kern w:val="0"/>
          <w:sz w:val="21"/>
          <w:szCs w:val="21"/>
          <w:highlight w:val="none"/>
          <w:u w:val="none"/>
          <w:lang w:val="en-US" w:eastAsia="zh-CN" w:bidi="ar"/>
        </w:rPr>
        <w:t xml:space="preserve">      </w:t>
      </w:r>
      <w:r>
        <w:rPr>
          <w:rFonts w:hint="eastAsia" w:ascii="宋体" w:hAnsi="宋体" w:eastAsia="宋体" w:cs="宋体"/>
          <w:color w:val="auto"/>
          <w:kern w:val="0"/>
          <w:sz w:val="21"/>
          <w:szCs w:val="21"/>
          <w:highlight w:val="none"/>
          <w:lang w:val="en-US" w:eastAsia="zh-CN" w:bidi="ar"/>
        </w:rPr>
        <w:t>法定代表人或其委托代理人：</w:t>
      </w:r>
      <w:r>
        <w:rPr>
          <w:rFonts w:hint="eastAsia" w:ascii="宋体" w:hAnsi="宋体" w:eastAsia="宋体" w:cs="宋体"/>
          <w:color w:val="auto"/>
          <w:kern w:val="0"/>
          <w:sz w:val="21"/>
          <w:szCs w:val="21"/>
          <w:highlight w:val="none"/>
          <w:u w:val="single"/>
          <w:lang w:val="en-US" w:eastAsia="zh-CN" w:bidi="ar"/>
        </w:rPr>
        <w:t xml:space="preserve">                （签字）</w:t>
      </w:r>
      <w:bookmarkEnd w:id="242"/>
    </w:p>
    <w:sectPr>
      <w:footnotePr>
        <w:numFmt w:val="decimalEnclosedCircleChinese"/>
        <w:numRestart w:val="eachPage"/>
      </w:footnotePr>
      <w:pgSz w:w="16838" w:h="11906" w:orient="landscape"/>
      <w:pgMar w:top="1134" w:right="1134" w:bottom="1020" w:left="113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ngsanaUPC">
    <w:altName w:val="Microsoft Sans Serif"/>
    <w:panose1 w:val="00000000000000000000"/>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Times New Roman Bold">
    <w:altName w:val="Times New Roman"/>
    <w:panose1 w:val="02020803070505020304"/>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文鼎CS书宋二">
    <w:altName w:val="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文鼎大标宋简">
    <w:altName w:val="宋体"/>
    <w:panose1 w:val="00000000000000000000"/>
    <w:charset w:val="86"/>
    <w:family w:val="auto"/>
    <w:pitch w:val="default"/>
    <w:sig w:usb0="00000000" w:usb1="00000000" w:usb2="00000010" w:usb3="00000000" w:csb0="00040000" w:csb1="00000000"/>
  </w:font>
  <w:font w:name="方正粗宋简体">
    <w:altName w:val="宋体"/>
    <w:panose1 w:val="00000000000000000000"/>
    <w:charset w:val="86"/>
    <w:family w:val="script"/>
    <w:pitch w:val="default"/>
    <w:sig w:usb0="00000000" w:usb1="00000000" w:usb2="00000000" w:usb3="00000000" w:csb0="00040000" w:csb1="00000000"/>
  </w:font>
  <w:font w:name="MingLiUfalt">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Plotter">
    <w:altName w:val="Courier New"/>
    <w:panose1 w:val="00000000000000000000"/>
    <w:charset w:val="00"/>
    <w:family w:val="roman"/>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FD4C">
    <w:pPr>
      <w:pStyle w:val="49"/>
      <w:jc w:val="right"/>
    </w:pPr>
  </w:p>
  <w:p w14:paraId="153627C1">
    <w:pPr>
      <w:pStyle w:val="4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5C7D">
    <w:pPr>
      <w:pStyle w:val="4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3CD33">
                          <w:pPr>
                            <w:pStyle w:val="4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73CD33">
                    <w:pPr>
                      <w:pStyle w:val="4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29AB">
    <w:pPr>
      <w:pStyle w:val="4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F3818D">
                          <w:pPr>
                            <w:pStyle w:val="49"/>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FF3818D">
                    <w:pPr>
                      <w:pStyle w:val="49"/>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9411">
    <w:pPr>
      <w:pStyle w:val="4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08EB5">
                          <w:pPr>
                            <w:pStyle w:val="49"/>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8408EB5">
                    <w:pPr>
                      <w:pStyle w:val="49"/>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14:paraId="2435CE5F">
      <w:pPr>
        <w:keepNext w:val="0"/>
        <w:keepLines w:val="0"/>
        <w:widowControl/>
        <w:suppressLineNumbers w:val="0"/>
        <w:jc w:val="left"/>
      </w:pPr>
      <w:r>
        <w:t xml:space="preserve"> </w:t>
      </w:r>
      <w:r>
        <w:rPr>
          <w:rFonts w:hint="eastAsia" w:ascii="宋体" w:hAnsi="宋体" w:eastAsia="宋体" w:cs="宋体"/>
          <w:color w:val="000000"/>
          <w:kern w:val="0"/>
          <w:sz w:val="18"/>
          <w:szCs w:val="18"/>
          <w:lang w:val="en-US" w:eastAsia="zh-CN" w:bidi="ar"/>
        </w:rPr>
        <w:t xml:space="preserve">① 投标保证金不得超过招标标段估算价的 </w:t>
      </w:r>
      <w:r>
        <w:rPr>
          <w:rFonts w:hint="default" w:ascii="Times New Roman" w:hAnsi="Times New Roman" w:eastAsia="宋体" w:cs="Times New Roman"/>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，招标人应据此测算出具体金额。</w:t>
      </w:r>
    </w:p>
    <w:p w14:paraId="5DB5197D">
      <w:pPr>
        <w:pStyle w:val="57"/>
        <w:snapToGrid w:val="0"/>
      </w:pPr>
    </w:p>
  </w:footnote>
  <w:footnote w:id="1">
    <w:p w14:paraId="7B165267">
      <w:pPr>
        <w:pStyle w:val="57"/>
        <w:snapToGrid w:val="0"/>
      </w:pPr>
      <w:r>
        <w:rPr>
          <w:rStyle w:val="92"/>
        </w:rPr>
        <w:footnoteRef/>
      </w:r>
      <w:r>
        <w:t xml:space="preserve"> </w:t>
      </w:r>
      <w:r>
        <w:rPr>
          <w:rFonts w:hint="eastAsia"/>
          <w:lang w:val="en-US" w:eastAsia="zh-CN"/>
        </w:rPr>
        <w:t>评标办法前附表</w:t>
      </w:r>
      <w:r>
        <w:rPr>
          <w:rFonts w:hint="default"/>
          <w:lang w:val="en-US" w:eastAsia="zh-CN"/>
        </w:rPr>
        <w:t>”</w:t>
      </w:r>
      <w:r>
        <w:rPr>
          <w:rFonts w:hint="eastAsia"/>
          <w:lang w:val="en-US" w:eastAsia="zh-CN"/>
        </w:rPr>
        <w:t>用于明确评标的方法、因素、标准和程序。招标人应根据招标项目具体特点和实际需要，详细列明全部评审因素、标准，没有列明的因素和标准不得作为评标的依据。</w:t>
      </w:r>
    </w:p>
    <w:p w14:paraId="41829941">
      <w:pPr>
        <w:pStyle w:val="57"/>
        <w:snapToGrid w:val="0"/>
      </w:pPr>
    </w:p>
  </w:footnote>
  <w:footnote w:id="2">
    <w:p w14:paraId="6004C799">
      <w:pPr>
        <w:keepNext w:val="0"/>
        <w:keepLines w:val="0"/>
        <w:widowControl/>
        <w:suppressLineNumbers w:val="0"/>
        <w:jc w:val="left"/>
      </w:pPr>
      <w:r>
        <w:rPr>
          <w:rStyle w:val="92"/>
        </w:rPr>
        <w:footnoteRef/>
      </w:r>
      <w:r>
        <w:t xml:space="preserve"> </w:t>
      </w:r>
      <w:r>
        <w:rPr>
          <w:rFonts w:hint="eastAsia" w:ascii="宋体" w:hAnsi="宋体" w:eastAsia="宋体" w:cs="宋体"/>
          <w:color w:val="000000"/>
          <w:kern w:val="0"/>
          <w:sz w:val="18"/>
          <w:szCs w:val="18"/>
          <w:lang w:val="en-US" w:eastAsia="zh-CN" w:bidi="ar"/>
        </w:rPr>
        <w:t xml:space="preserve">如本项目招标由投标人按照招标人提供的书面工程量清单填写本合同各工程子目的单价、合价和总额价，则评标委员会按照本章第 </w:t>
      </w:r>
      <w:r>
        <w:rPr>
          <w:rFonts w:hint="default" w:ascii="Times New Roman" w:hAnsi="Times New Roman" w:eastAsia="宋体" w:cs="Times New Roman"/>
          <w:color w:val="000000"/>
          <w:kern w:val="0"/>
          <w:sz w:val="18"/>
          <w:szCs w:val="18"/>
          <w:lang w:val="en-US" w:eastAsia="zh-CN" w:bidi="ar"/>
        </w:rPr>
        <w:t xml:space="preserve">3.4.2 </w:t>
      </w:r>
      <w:r>
        <w:rPr>
          <w:rFonts w:hint="eastAsia" w:ascii="宋体" w:hAnsi="宋体" w:eastAsia="宋体" w:cs="宋体"/>
          <w:color w:val="000000"/>
          <w:kern w:val="0"/>
          <w:sz w:val="18"/>
          <w:szCs w:val="18"/>
          <w:lang w:val="en-US" w:eastAsia="zh-CN" w:bidi="ar"/>
        </w:rPr>
        <w:t xml:space="preserve">项和第 </w:t>
      </w:r>
      <w:r>
        <w:rPr>
          <w:rFonts w:hint="default" w:ascii="Times New Roman" w:hAnsi="Times New Roman" w:eastAsia="宋体" w:cs="Times New Roman"/>
          <w:color w:val="000000"/>
          <w:kern w:val="0"/>
          <w:sz w:val="18"/>
          <w:szCs w:val="18"/>
          <w:lang w:val="en-US" w:eastAsia="zh-CN" w:bidi="ar"/>
        </w:rPr>
        <w:t xml:space="preserve">3.4.3 </w:t>
      </w:r>
      <w:r>
        <w:rPr>
          <w:rFonts w:hint="eastAsia" w:ascii="宋体" w:hAnsi="宋体" w:eastAsia="宋体" w:cs="宋体"/>
          <w:color w:val="000000"/>
          <w:kern w:val="0"/>
          <w:sz w:val="18"/>
          <w:szCs w:val="18"/>
          <w:lang w:val="en-US" w:eastAsia="zh-CN" w:bidi="ar"/>
        </w:rPr>
        <w:t xml:space="preserve">项的规定对投标人的投标报价进行修正。如本项目招标由投标人按照招标人提供的工程量固化清单电子文件填写工程量清单，无须按照本章第 </w:t>
      </w:r>
      <w:r>
        <w:rPr>
          <w:rFonts w:hint="default" w:ascii="Times New Roman" w:hAnsi="Times New Roman" w:eastAsia="宋体" w:cs="Times New Roman"/>
          <w:color w:val="000000"/>
          <w:kern w:val="0"/>
          <w:sz w:val="18"/>
          <w:szCs w:val="18"/>
          <w:lang w:val="en-US" w:eastAsia="zh-CN" w:bidi="ar"/>
        </w:rPr>
        <w:t xml:space="preserve">3.4.2 </w:t>
      </w:r>
      <w:r>
        <w:rPr>
          <w:rFonts w:hint="eastAsia" w:ascii="宋体" w:hAnsi="宋体" w:eastAsia="宋体" w:cs="宋体"/>
          <w:color w:val="000000"/>
          <w:kern w:val="0"/>
          <w:sz w:val="18"/>
          <w:szCs w:val="18"/>
          <w:lang w:val="en-US" w:eastAsia="zh-CN" w:bidi="ar"/>
        </w:rPr>
        <w:t xml:space="preserve">项和第 </w:t>
      </w:r>
      <w:r>
        <w:rPr>
          <w:rFonts w:hint="default" w:ascii="Times New Roman" w:hAnsi="Times New Roman" w:eastAsia="宋体" w:cs="Times New Roman"/>
          <w:color w:val="000000"/>
          <w:kern w:val="0"/>
          <w:sz w:val="18"/>
          <w:szCs w:val="18"/>
          <w:lang w:val="en-US" w:eastAsia="zh-CN" w:bidi="ar"/>
        </w:rPr>
        <w:t xml:space="preserve">3.4.3 </w:t>
      </w:r>
      <w:r>
        <w:rPr>
          <w:rFonts w:hint="eastAsia" w:ascii="宋体" w:hAnsi="宋体" w:eastAsia="宋体" w:cs="宋体"/>
          <w:color w:val="000000"/>
          <w:kern w:val="0"/>
          <w:sz w:val="18"/>
          <w:szCs w:val="18"/>
          <w:lang w:val="en-US" w:eastAsia="zh-CN" w:bidi="ar"/>
        </w:rPr>
        <w:t xml:space="preserve">项的规定对投标报价进行修正，第 </w:t>
      </w:r>
      <w:r>
        <w:rPr>
          <w:rFonts w:hint="default" w:ascii="Times New Roman" w:hAnsi="Times New Roman" w:eastAsia="宋体" w:cs="Times New Roman"/>
          <w:color w:val="000000"/>
          <w:kern w:val="0"/>
          <w:sz w:val="18"/>
          <w:szCs w:val="18"/>
          <w:lang w:val="en-US" w:eastAsia="zh-CN" w:bidi="ar"/>
        </w:rPr>
        <w:t xml:space="preserve">3.4.2 </w:t>
      </w:r>
      <w:r>
        <w:rPr>
          <w:rFonts w:hint="eastAsia" w:ascii="宋体" w:hAnsi="宋体" w:eastAsia="宋体" w:cs="宋体"/>
          <w:color w:val="000000"/>
          <w:kern w:val="0"/>
          <w:sz w:val="18"/>
          <w:szCs w:val="18"/>
          <w:lang w:val="en-US" w:eastAsia="zh-CN" w:bidi="ar"/>
        </w:rPr>
        <w:t xml:space="preserve">项至第 </w:t>
      </w:r>
      <w:r>
        <w:rPr>
          <w:rFonts w:hint="default" w:ascii="Times New Roman" w:hAnsi="Times New Roman" w:eastAsia="宋体" w:cs="Times New Roman"/>
          <w:color w:val="000000"/>
          <w:kern w:val="0"/>
          <w:sz w:val="18"/>
          <w:szCs w:val="18"/>
          <w:lang w:val="en-US" w:eastAsia="zh-CN" w:bidi="ar"/>
        </w:rPr>
        <w:t xml:space="preserve">3.4.4 </w:t>
      </w:r>
      <w:r>
        <w:rPr>
          <w:rFonts w:hint="eastAsia" w:ascii="宋体" w:hAnsi="宋体" w:eastAsia="宋体" w:cs="宋体"/>
          <w:color w:val="000000"/>
          <w:kern w:val="0"/>
          <w:sz w:val="18"/>
          <w:szCs w:val="18"/>
          <w:lang w:val="en-US" w:eastAsia="zh-CN" w:bidi="ar"/>
        </w:rPr>
        <w:t>项内容不适用。</w:t>
      </w:r>
    </w:p>
    <w:p w14:paraId="33F4BBCC">
      <w:pPr>
        <w:pStyle w:val="57"/>
        <w:snapToGrid w:val="0"/>
      </w:pPr>
    </w:p>
  </w:footnote>
  <w:footnote w:id="3">
    <w:p w14:paraId="021E3103">
      <w:pPr>
        <w:keepNext w:val="0"/>
        <w:keepLines w:val="0"/>
        <w:widowControl/>
        <w:suppressLineNumbers w:val="0"/>
        <w:jc w:val="left"/>
      </w:pPr>
      <w:r>
        <w:rPr>
          <w:rStyle w:val="92"/>
        </w:rPr>
        <w:footnoteRef/>
      </w:r>
      <w:r>
        <w:t xml:space="preserve"> </w:t>
      </w:r>
      <w:r>
        <w:rPr>
          <w:rFonts w:hint="eastAsia" w:ascii="宋体" w:hAnsi="宋体" w:cs="宋体"/>
          <w:color w:val="000000"/>
          <w:kern w:val="0"/>
          <w:sz w:val="18"/>
          <w:szCs w:val="18"/>
          <w:lang w:val="en-US" w:eastAsia="zh-CN" w:bidi="ar"/>
        </w:rPr>
        <w:t>合同通用、专用条款</w:t>
      </w:r>
      <w:r>
        <w:rPr>
          <w:rFonts w:hint="eastAsia" w:ascii="宋体" w:hAnsi="宋体" w:eastAsia="宋体" w:cs="宋体"/>
          <w:color w:val="000000"/>
          <w:kern w:val="0"/>
          <w:sz w:val="18"/>
          <w:szCs w:val="18"/>
          <w:lang w:val="en-US" w:eastAsia="zh-CN" w:bidi="ar"/>
        </w:rPr>
        <w:t>内容参照《公路工程标准施工监理招标文件（</w:t>
      </w:r>
      <w:r>
        <w:rPr>
          <w:rFonts w:ascii="Calibri" w:hAnsi="Calibri" w:eastAsia="宋体" w:cs="Calibri"/>
          <w:color w:val="000000"/>
          <w:kern w:val="0"/>
          <w:sz w:val="18"/>
          <w:szCs w:val="18"/>
          <w:lang w:val="en-US" w:eastAsia="zh-CN" w:bidi="ar"/>
        </w:rPr>
        <w:t xml:space="preserve">2018 </w:t>
      </w:r>
      <w:r>
        <w:rPr>
          <w:rFonts w:hint="eastAsia" w:ascii="宋体" w:hAnsi="宋体" w:eastAsia="宋体" w:cs="宋体"/>
          <w:color w:val="000000"/>
          <w:kern w:val="0"/>
          <w:sz w:val="18"/>
          <w:szCs w:val="18"/>
          <w:lang w:val="en-US" w:eastAsia="zh-CN" w:bidi="ar"/>
        </w:rPr>
        <w:t xml:space="preserve">年版）》的合同通用、专用，对监理单位和监理人员相关要求和约定适用于试验检测人和检测人员。 </w:t>
      </w:r>
    </w:p>
    <w:p w14:paraId="522AB5AA">
      <w:pPr>
        <w:pStyle w:val="57"/>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91B69">
    <w:pPr>
      <w:pBdr>
        <w:bottom w:val="single" w:color="auto" w:sz="4" w:space="0"/>
      </w:pBdr>
      <w:rPr>
        <w:rFonts w:hint="eastAsia" w:ascii="宋体" w:hAnsi="宋体" w:eastAsia="宋体" w:cs="宋体"/>
        <w:b w:val="0"/>
        <w:bCs w:val="0"/>
        <w:color w:val="auto"/>
        <w:sz w:val="18"/>
        <w:szCs w:val="18"/>
        <w:highlight w:val="none"/>
        <w:u w:val="none"/>
        <w:lang w:val="en-US"/>
      </w:rPr>
    </w:pPr>
    <w:r>
      <w:rPr>
        <w:rFonts w:hint="eastAsia" w:ascii="宋体" w:hAnsi="宋体" w:eastAsia="宋体" w:cs="宋体"/>
        <w:color w:val="auto"/>
        <w:kern w:val="0"/>
        <w:sz w:val="18"/>
        <w:szCs w:val="18"/>
        <w:lang w:val="en-US" w:eastAsia="zh-CN"/>
      </w:rPr>
      <w:t xml:space="preserve">盱眙至明光高速公路安徽段项目中心试验室                                             </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 xml:space="preserve"> </w:t>
    </w:r>
    <w:r>
      <w:rPr>
        <w:rFonts w:hint="eastAsia" w:ascii="宋体" w:hAnsi="宋体" w:eastAsia="宋体" w:cs="宋体"/>
        <w:b w:val="0"/>
        <w:bCs w:val="0"/>
        <w:color w:val="auto"/>
        <w:kern w:val="2"/>
        <w:sz w:val="18"/>
        <w:szCs w:val="18"/>
        <w:highlight w:val="none"/>
        <w:u w:val="none"/>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F841">
    <w:pPr>
      <w:pBdr>
        <w:bottom w:val="single" w:color="auto" w:sz="4" w:space="0"/>
      </w:pBdr>
      <w:rPr>
        <w:rFonts w:hint="eastAsia" w:ascii="宋体" w:hAnsi="宋体" w:eastAsia="宋体" w:cs="宋体"/>
        <w:sz w:val="18"/>
        <w:szCs w:val="18"/>
        <w:u w:val="double"/>
        <w:lang w:val="en-US"/>
      </w:rPr>
    </w:pPr>
    <w:r>
      <w:rPr>
        <w:rFonts w:hint="eastAsia" w:ascii="宋体" w:hAnsi="宋体" w:eastAsia="宋体" w:cs="宋体"/>
        <w:kern w:val="0"/>
        <w:sz w:val="18"/>
        <w:szCs w:val="18"/>
        <w:lang w:val="en-US" w:eastAsia="zh-CN"/>
      </w:rPr>
      <w:t>盱眙至明光高速公路安徽段项目中心试验室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C5D49"/>
    <w:multiLevelType w:val="singleLevel"/>
    <w:tmpl w:val="90FC5D49"/>
    <w:lvl w:ilvl="0" w:tentative="0">
      <w:start w:val="1"/>
      <w:numFmt w:val="chineseCounting"/>
      <w:suff w:val="nothing"/>
      <w:lvlText w:val="%1、"/>
      <w:lvlJc w:val="left"/>
      <w:rPr>
        <w:rFonts w:hint="eastAsia"/>
      </w:rPr>
    </w:lvl>
  </w:abstractNum>
  <w:abstractNum w:abstractNumId="1">
    <w:nsid w:val="9EE9B0CC"/>
    <w:multiLevelType w:val="singleLevel"/>
    <w:tmpl w:val="9EE9B0CC"/>
    <w:lvl w:ilvl="0" w:tentative="0">
      <w:start w:val="1"/>
      <w:numFmt w:val="decimal"/>
      <w:suff w:val="nothing"/>
      <w:lvlText w:val="%1．"/>
      <w:lvlJc w:val="left"/>
    </w:lvl>
  </w:abstractNum>
  <w:abstractNum w:abstractNumId="2">
    <w:nsid w:val="58922709"/>
    <w:multiLevelType w:val="singleLevel"/>
    <w:tmpl w:val="5892270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numFmt w:val="decimalEnclosedCircleChinese"/>
    <w:numRestart w:val="eachPage"/>
    <w:footnote w:id="8"/>
    <w:footnote w:id="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MDNjMmIyODczM2YwMGZkZTNjYWY1NjIxZTY5YjcifQ=="/>
  </w:docVars>
  <w:rsids>
    <w:rsidRoot w:val="00172A27"/>
    <w:rsid w:val="00000346"/>
    <w:rsid w:val="00000555"/>
    <w:rsid w:val="00000D48"/>
    <w:rsid w:val="00001122"/>
    <w:rsid w:val="00001F63"/>
    <w:rsid w:val="00002160"/>
    <w:rsid w:val="00002B05"/>
    <w:rsid w:val="00002D42"/>
    <w:rsid w:val="00002D47"/>
    <w:rsid w:val="00002E73"/>
    <w:rsid w:val="000035E0"/>
    <w:rsid w:val="0000380C"/>
    <w:rsid w:val="000060D5"/>
    <w:rsid w:val="00006E3A"/>
    <w:rsid w:val="00007709"/>
    <w:rsid w:val="00007B02"/>
    <w:rsid w:val="00010DB7"/>
    <w:rsid w:val="00010F85"/>
    <w:rsid w:val="0001229B"/>
    <w:rsid w:val="0001300E"/>
    <w:rsid w:val="000138AB"/>
    <w:rsid w:val="00013B19"/>
    <w:rsid w:val="00014337"/>
    <w:rsid w:val="000156E1"/>
    <w:rsid w:val="00015D0B"/>
    <w:rsid w:val="000163D5"/>
    <w:rsid w:val="000164BB"/>
    <w:rsid w:val="0001667F"/>
    <w:rsid w:val="00016D1B"/>
    <w:rsid w:val="00016DA5"/>
    <w:rsid w:val="00017B3A"/>
    <w:rsid w:val="00021CF8"/>
    <w:rsid w:val="0002293B"/>
    <w:rsid w:val="00023704"/>
    <w:rsid w:val="00024286"/>
    <w:rsid w:val="000249EB"/>
    <w:rsid w:val="00024F5C"/>
    <w:rsid w:val="0002528F"/>
    <w:rsid w:val="0002537A"/>
    <w:rsid w:val="00025492"/>
    <w:rsid w:val="00025542"/>
    <w:rsid w:val="00026B78"/>
    <w:rsid w:val="00030726"/>
    <w:rsid w:val="00030955"/>
    <w:rsid w:val="000317CF"/>
    <w:rsid w:val="00031C82"/>
    <w:rsid w:val="00031D5C"/>
    <w:rsid w:val="00031E0F"/>
    <w:rsid w:val="00033887"/>
    <w:rsid w:val="000349F5"/>
    <w:rsid w:val="00034CD4"/>
    <w:rsid w:val="00035322"/>
    <w:rsid w:val="00035BB6"/>
    <w:rsid w:val="0003600A"/>
    <w:rsid w:val="00036AF3"/>
    <w:rsid w:val="000370A3"/>
    <w:rsid w:val="00037360"/>
    <w:rsid w:val="0003784B"/>
    <w:rsid w:val="00037BD1"/>
    <w:rsid w:val="000401D7"/>
    <w:rsid w:val="00040C9B"/>
    <w:rsid w:val="00041794"/>
    <w:rsid w:val="00041A88"/>
    <w:rsid w:val="00041B1F"/>
    <w:rsid w:val="000425AF"/>
    <w:rsid w:val="000429EA"/>
    <w:rsid w:val="00042A4D"/>
    <w:rsid w:val="00043B3D"/>
    <w:rsid w:val="00044CBA"/>
    <w:rsid w:val="00045F55"/>
    <w:rsid w:val="0004633C"/>
    <w:rsid w:val="00046972"/>
    <w:rsid w:val="00047421"/>
    <w:rsid w:val="00047475"/>
    <w:rsid w:val="000479C9"/>
    <w:rsid w:val="0005038D"/>
    <w:rsid w:val="00050DBE"/>
    <w:rsid w:val="0005147C"/>
    <w:rsid w:val="00051F1D"/>
    <w:rsid w:val="00052823"/>
    <w:rsid w:val="00052BA9"/>
    <w:rsid w:val="0005351F"/>
    <w:rsid w:val="0005411B"/>
    <w:rsid w:val="000549EC"/>
    <w:rsid w:val="00055850"/>
    <w:rsid w:val="00055FB1"/>
    <w:rsid w:val="000560C6"/>
    <w:rsid w:val="00056344"/>
    <w:rsid w:val="00056D61"/>
    <w:rsid w:val="000576CB"/>
    <w:rsid w:val="000579ED"/>
    <w:rsid w:val="000609D5"/>
    <w:rsid w:val="00060F0C"/>
    <w:rsid w:val="00061308"/>
    <w:rsid w:val="000625D1"/>
    <w:rsid w:val="0006260C"/>
    <w:rsid w:val="00062882"/>
    <w:rsid w:val="00063133"/>
    <w:rsid w:val="000631D1"/>
    <w:rsid w:val="00064426"/>
    <w:rsid w:val="000648C1"/>
    <w:rsid w:val="00064AC8"/>
    <w:rsid w:val="000652DA"/>
    <w:rsid w:val="0006554D"/>
    <w:rsid w:val="00065E9A"/>
    <w:rsid w:val="00066DC3"/>
    <w:rsid w:val="00067E5E"/>
    <w:rsid w:val="000708F4"/>
    <w:rsid w:val="00072808"/>
    <w:rsid w:val="00072C0C"/>
    <w:rsid w:val="00072F21"/>
    <w:rsid w:val="00073034"/>
    <w:rsid w:val="000733CA"/>
    <w:rsid w:val="00073AAA"/>
    <w:rsid w:val="0007485E"/>
    <w:rsid w:val="00074B1A"/>
    <w:rsid w:val="00075413"/>
    <w:rsid w:val="00076CDA"/>
    <w:rsid w:val="000802F2"/>
    <w:rsid w:val="00080599"/>
    <w:rsid w:val="00080662"/>
    <w:rsid w:val="000806C5"/>
    <w:rsid w:val="00080823"/>
    <w:rsid w:val="00081018"/>
    <w:rsid w:val="000819ED"/>
    <w:rsid w:val="00081EA0"/>
    <w:rsid w:val="00083BBF"/>
    <w:rsid w:val="00083C67"/>
    <w:rsid w:val="000845C5"/>
    <w:rsid w:val="00085BB7"/>
    <w:rsid w:val="00086259"/>
    <w:rsid w:val="0008727D"/>
    <w:rsid w:val="000872E4"/>
    <w:rsid w:val="000876CF"/>
    <w:rsid w:val="000876DA"/>
    <w:rsid w:val="00087E35"/>
    <w:rsid w:val="00090BA7"/>
    <w:rsid w:val="00090C33"/>
    <w:rsid w:val="00092697"/>
    <w:rsid w:val="000926AE"/>
    <w:rsid w:val="000926FD"/>
    <w:rsid w:val="000928C3"/>
    <w:rsid w:val="00093F29"/>
    <w:rsid w:val="00094DFC"/>
    <w:rsid w:val="00094F90"/>
    <w:rsid w:val="000958B3"/>
    <w:rsid w:val="000960C8"/>
    <w:rsid w:val="00096565"/>
    <w:rsid w:val="00096816"/>
    <w:rsid w:val="00096A9F"/>
    <w:rsid w:val="00097AC0"/>
    <w:rsid w:val="00097C8F"/>
    <w:rsid w:val="000A0537"/>
    <w:rsid w:val="000A12CA"/>
    <w:rsid w:val="000A1A4E"/>
    <w:rsid w:val="000A1F6B"/>
    <w:rsid w:val="000A22FD"/>
    <w:rsid w:val="000A2D73"/>
    <w:rsid w:val="000A2DB7"/>
    <w:rsid w:val="000A2EB7"/>
    <w:rsid w:val="000A318A"/>
    <w:rsid w:val="000A334A"/>
    <w:rsid w:val="000A4784"/>
    <w:rsid w:val="000A5076"/>
    <w:rsid w:val="000A58AB"/>
    <w:rsid w:val="000A6A47"/>
    <w:rsid w:val="000A73E3"/>
    <w:rsid w:val="000B0B1B"/>
    <w:rsid w:val="000B13C1"/>
    <w:rsid w:val="000B2A8A"/>
    <w:rsid w:val="000B2DD8"/>
    <w:rsid w:val="000B2F2F"/>
    <w:rsid w:val="000B3475"/>
    <w:rsid w:val="000B36A3"/>
    <w:rsid w:val="000B3708"/>
    <w:rsid w:val="000B3A11"/>
    <w:rsid w:val="000B58C3"/>
    <w:rsid w:val="000B61F7"/>
    <w:rsid w:val="000B62D9"/>
    <w:rsid w:val="000B79FC"/>
    <w:rsid w:val="000B7D71"/>
    <w:rsid w:val="000C0498"/>
    <w:rsid w:val="000C0B1E"/>
    <w:rsid w:val="000C1050"/>
    <w:rsid w:val="000C16F9"/>
    <w:rsid w:val="000C180C"/>
    <w:rsid w:val="000C190A"/>
    <w:rsid w:val="000C197B"/>
    <w:rsid w:val="000C21DD"/>
    <w:rsid w:val="000C28CF"/>
    <w:rsid w:val="000C37B2"/>
    <w:rsid w:val="000C418F"/>
    <w:rsid w:val="000C453D"/>
    <w:rsid w:val="000C47FE"/>
    <w:rsid w:val="000C59F0"/>
    <w:rsid w:val="000C6942"/>
    <w:rsid w:val="000C6F6A"/>
    <w:rsid w:val="000C79C3"/>
    <w:rsid w:val="000C7DD0"/>
    <w:rsid w:val="000D08A3"/>
    <w:rsid w:val="000D0A2A"/>
    <w:rsid w:val="000D1733"/>
    <w:rsid w:val="000D1818"/>
    <w:rsid w:val="000D235E"/>
    <w:rsid w:val="000D272E"/>
    <w:rsid w:val="000D40AD"/>
    <w:rsid w:val="000D41A3"/>
    <w:rsid w:val="000D45B7"/>
    <w:rsid w:val="000D494F"/>
    <w:rsid w:val="000D4AF9"/>
    <w:rsid w:val="000D6AD6"/>
    <w:rsid w:val="000D6C12"/>
    <w:rsid w:val="000D7009"/>
    <w:rsid w:val="000D71BC"/>
    <w:rsid w:val="000D723B"/>
    <w:rsid w:val="000D7E48"/>
    <w:rsid w:val="000E0D35"/>
    <w:rsid w:val="000E17BA"/>
    <w:rsid w:val="000E1FF5"/>
    <w:rsid w:val="000E205F"/>
    <w:rsid w:val="000E32F9"/>
    <w:rsid w:val="000E3BD1"/>
    <w:rsid w:val="000E437E"/>
    <w:rsid w:val="000E553A"/>
    <w:rsid w:val="000E5628"/>
    <w:rsid w:val="000E56B0"/>
    <w:rsid w:val="000E56C6"/>
    <w:rsid w:val="000E5B65"/>
    <w:rsid w:val="000E62E4"/>
    <w:rsid w:val="000E642B"/>
    <w:rsid w:val="000E7194"/>
    <w:rsid w:val="000E73B1"/>
    <w:rsid w:val="000E7939"/>
    <w:rsid w:val="000E7BBE"/>
    <w:rsid w:val="000E7EEB"/>
    <w:rsid w:val="000F0635"/>
    <w:rsid w:val="000F065A"/>
    <w:rsid w:val="000F08A8"/>
    <w:rsid w:val="000F142D"/>
    <w:rsid w:val="000F1C3D"/>
    <w:rsid w:val="000F30B2"/>
    <w:rsid w:val="000F3B0B"/>
    <w:rsid w:val="000F4570"/>
    <w:rsid w:val="000F4799"/>
    <w:rsid w:val="000F51C0"/>
    <w:rsid w:val="000F51F9"/>
    <w:rsid w:val="000F5E30"/>
    <w:rsid w:val="000F7271"/>
    <w:rsid w:val="000F7FD4"/>
    <w:rsid w:val="0010026B"/>
    <w:rsid w:val="00100358"/>
    <w:rsid w:val="00100853"/>
    <w:rsid w:val="00101562"/>
    <w:rsid w:val="00101AFB"/>
    <w:rsid w:val="00103194"/>
    <w:rsid w:val="001037B7"/>
    <w:rsid w:val="001038F3"/>
    <w:rsid w:val="00103DE2"/>
    <w:rsid w:val="00103FEA"/>
    <w:rsid w:val="00104A91"/>
    <w:rsid w:val="00105255"/>
    <w:rsid w:val="00105BD6"/>
    <w:rsid w:val="001060F0"/>
    <w:rsid w:val="0010622C"/>
    <w:rsid w:val="00106806"/>
    <w:rsid w:val="00106AA0"/>
    <w:rsid w:val="001108F9"/>
    <w:rsid w:val="001110C2"/>
    <w:rsid w:val="0011332A"/>
    <w:rsid w:val="00113392"/>
    <w:rsid w:val="0011386B"/>
    <w:rsid w:val="0011417A"/>
    <w:rsid w:val="001149C5"/>
    <w:rsid w:val="001155A8"/>
    <w:rsid w:val="00115955"/>
    <w:rsid w:val="00115BDA"/>
    <w:rsid w:val="0011613C"/>
    <w:rsid w:val="0011728D"/>
    <w:rsid w:val="0011788F"/>
    <w:rsid w:val="00117972"/>
    <w:rsid w:val="00120EC2"/>
    <w:rsid w:val="00121543"/>
    <w:rsid w:val="0012248C"/>
    <w:rsid w:val="00122780"/>
    <w:rsid w:val="00122D8D"/>
    <w:rsid w:val="001238C3"/>
    <w:rsid w:val="00123AFA"/>
    <w:rsid w:val="00123FDD"/>
    <w:rsid w:val="00125FD3"/>
    <w:rsid w:val="001273ED"/>
    <w:rsid w:val="00127D12"/>
    <w:rsid w:val="00127DF4"/>
    <w:rsid w:val="0013108A"/>
    <w:rsid w:val="00131171"/>
    <w:rsid w:val="00131435"/>
    <w:rsid w:val="001316EC"/>
    <w:rsid w:val="001319BE"/>
    <w:rsid w:val="00131A3A"/>
    <w:rsid w:val="001320FA"/>
    <w:rsid w:val="001322A8"/>
    <w:rsid w:val="0013275B"/>
    <w:rsid w:val="00132CE7"/>
    <w:rsid w:val="001333E8"/>
    <w:rsid w:val="0013357F"/>
    <w:rsid w:val="001338D6"/>
    <w:rsid w:val="00133E64"/>
    <w:rsid w:val="00133E91"/>
    <w:rsid w:val="00134549"/>
    <w:rsid w:val="0013535A"/>
    <w:rsid w:val="00135C0B"/>
    <w:rsid w:val="00135DE1"/>
    <w:rsid w:val="00135E23"/>
    <w:rsid w:val="00136584"/>
    <w:rsid w:val="001365E9"/>
    <w:rsid w:val="001368D9"/>
    <w:rsid w:val="00136F67"/>
    <w:rsid w:val="0013734D"/>
    <w:rsid w:val="001373DA"/>
    <w:rsid w:val="00140CA0"/>
    <w:rsid w:val="00140D21"/>
    <w:rsid w:val="00140ED3"/>
    <w:rsid w:val="00141518"/>
    <w:rsid w:val="00141A54"/>
    <w:rsid w:val="00141CC0"/>
    <w:rsid w:val="00142024"/>
    <w:rsid w:val="00142FD8"/>
    <w:rsid w:val="00143A0F"/>
    <w:rsid w:val="00144245"/>
    <w:rsid w:val="00144B24"/>
    <w:rsid w:val="00145290"/>
    <w:rsid w:val="00145291"/>
    <w:rsid w:val="00145861"/>
    <w:rsid w:val="001460DF"/>
    <w:rsid w:val="00146F2D"/>
    <w:rsid w:val="001471D4"/>
    <w:rsid w:val="00147266"/>
    <w:rsid w:val="00147348"/>
    <w:rsid w:val="001476B7"/>
    <w:rsid w:val="00147829"/>
    <w:rsid w:val="00147F5B"/>
    <w:rsid w:val="00151650"/>
    <w:rsid w:val="00151D9C"/>
    <w:rsid w:val="00152473"/>
    <w:rsid w:val="0015248A"/>
    <w:rsid w:val="00153109"/>
    <w:rsid w:val="001536FC"/>
    <w:rsid w:val="00153806"/>
    <w:rsid w:val="001538A0"/>
    <w:rsid w:val="001543DA"/>
    <w:rsid w:val="00154E17"/>
    <w:rsid w:val="00154EB7"/>
    <w:rsid w:val="001550AA"/>
    <w:rsid w:val="001568E4"/>
    <w:rsid w:val="00156E80"/>
    <w:rsid w:val="00156EDD"/>
    <w:rsid w:val="00157EF3"/>
    <w:rsid w:val="001602A2"/>
    <w:rsid w:val="0016294F"/>
    <w:rsid w:val="00162EC4"/>
    <w:rsid w:val="001642E1"/>
    <w:rsid w:val="00164356"/>
    <w:rsid w:val="00164D83"/>
    <w:rsid w:val="001659B7"/>
    <w:rsid w:val="001676AB"/>
    <w:rsid w:val="0017087A"/>
    <w:rsid w:val="00170B04"/>
    <w:rsid w:val="00171BD2"/>
    <w:rsid w:val="00172347"/>
    <w:rsid w:val="00172559"/>
    <w:rsid w:val="00172A27"/>
    <w:rsid w:val="001737E6"/>
    <w:rsid w:val="0017447A"/>
    <w:rsid w:val="00174997"/>
    <w:rsid w:val="00174B7C"/>
    <w:rsid w:val="0017510C"/>
    <w:rsid w:val="0017563D"/>
    <w:rsid w:val="00175D88"/>
    <w:rsid w:val="00176118"/>
    <w:rsid w:val="001764E6"/>
    <w:rsid w:val="00176F1F"/>
    <w:rsid w:val="001770C2"/>
    <w:rsid w:val="00177138"/>
    <w:rsid w:val="00177C93"/>
    <w:rsid w:val="00180632"/>
    <w:rsid w:val="001809BC"/>
    <w:rsid w:val="00180C9B"/>
    <w:rsid w:val="001817FA"/>
    <w:rsid w:val="00182128"/>
    <w:rsid w:val="001822BB"/>
    <w:rsid w:val="001822FB"/>
    <w:rsid w:val="0018274C"/>
    <w:rsid w:val="00182D94"/>
    <w:rsid w:val="00182E8C"/>
    <w:rsid w:val="00183643"/>
    <w:rsid w:val="001845CE"/>
    <w:rsid w:val="00184636"/>
    <w:rsid w:val="00184B60"/>
    <w:rsid w:val="00185226"/>
    <w:rsid w:val="00185698"/>
    <w:rsid w:val="00185793"/>
    <w:rsid w:val="00185ACB"/>
    <w:rsid w:val="00185B28"/>
    <w:rsid w:val="00185BE2"/>
    <w:rsid w:val="001866C7"/>
    <w:rsid w:val="001868FA"/>
    <w:rsid w:val="001869D6"/>
    <w:rsid w:val="0018730D"/>
    <w:rsid w:val="00187573"/>
    <w:rsid w:val="0018789F"/>
    <w:rsid w:val="001879AA"/>
    <w:rsid w:val="00190A1B"/>
    <w:rsid w:val="00190B39"/>
    <w:rsid w:val="001914DB"/>
    <w:rsid w:val="00191EF0"/>
    <w:rsid w:val="00192329"/>
    <w:rsid w:val="00193DE3"/>
    <w:rsid w:val="00194A8C"/>
    <w:rsid w:val="00195335"/>
    <w:rsid w:val="00195695"/>
    <w:rsid w:val="00195879"/>
    <w:rsid w:val="001969F4"/>
    <w:rsid w:val="00196BF6"/>
    <w:rsid w:val="00197654"/>
    <w:rsid w:val="001979F7"/>
    <w:rsid w:val="00197BA2"/>
    <w:rsid w:val="001A07E2"/>
    <w:rsid w:val="001A0BDD"/>
    <w:rsid w:val="001A1123"/>
    <w:rsid w:val="001A1AD9"/>
    <w:rsid w:val="001A2182"/>
    <w:rsid w:val="001A2DEA"/>
    <w:rsid w:val="001A333D"/>
    <w:rsid w:val="001A3B51"/>
    <w:rsid w:val="001A43CA"/>
    <w:rsid w:val="001A49D9"/>
    <w:rsid w:val="001A4D9A"/>
    <w:rsid w:val="001A4FEB"/>
    <w:rsid w:val="001A5272"/>
    <w:rsid w:val="001A6D20"/>
    <w:rsid w:val="001A7BF1"/>
    <w:rsid w:val="001A7EBA"/>
    <w:rsid w:val="001B0BDE"/>
    <w:rsid w:val="001B0CAF"/>
    <w:rsid w:val="001B1F6C"/>
    <w:rsid w:val="001B2510"/>
    <w:rsid w:val="001B3590"/>
    <w:rsid w:val="001B4A62"/>
    <w:rsid w:val="001B55E8"/>
    <w:rsid w:val="001B5A13"/>
    <w:rsid w:val="001B5A74"/>
    <w:rsid w:val="001B5E62"/>
    <w:rsid w:val="001B746B"/>
    <w:rsid w:val="001B7863"/>
    <w:rsid w:val="001B7B61"/>
    <w:rsid w:val="001C0B34"/>
    <w:rsid w:val="001C19AF"/>
    <w:rsid w:val="001C19F4"/>
    <w:rsid w:val="001C25BF"/>
    <w:rsid w:val="001C2C50"/>
    <w:rsid w:val="001C2CFE"/>
    <w:rsid w:val="001C31FC"/>
    <w:rsid w:val="001C320B"/>
    <w:rsid w:val="001C34E0"/>
    <w:rsid w:val="001C3997"/>
    <w:rsid w:val="001C3B33"/>
    <w:rsid w:val="001C3B39"/>
    <w:rsid w:val="001C5359"/>
    <w:rsid w:val="001C596F"/>
    <w:rsid w:val="001C7476"/>
    <w:rsid w:val="001C78AE"/>
    <w:rsid w:val="001D0575"/>
    <w:rsid w:val="001D29D3"/>
    <w:rsid w:val="001D2CAE"/>
    <w:rsid w:val="001D350D"/>
    <w:rsid w:val="001D443D"/>
    <w:rsid w:val="001D50C0"/>
    <w:rsid w:val="001D5779"/>
    <w:rsid w:val="001D61CF"/>
    <w:rsid w:val="001D6A34"/>
    <w:rsid w:val="001D6D89"/>
    <w:rsid w:val="001D72A7"/>
    <w:rsid w:val="001E05A8"/>
    <w:rsid w:val="001E05FD"/>
    <w:rsid w:val="001E1010"/>
    <w:rsid w:val="001E1330"/>
    <w:rsid w:val="001E1565"/>
    <w:rsid w:val="001E19B7"/>
    <w:rsid w:val="001E31B8"/>
    <w:rsid w:val="001E596C"/>
    <w:rsid w:val="001E6023"/>
    <w:rsid w:val="001E640B"/>
    <w:rsid w:val="001E6A4D"/>
    <w:rsid w:val="001E78C6"/>
    <w:rsid w:val="001F0276"/>
    <w:rsid w:val="001F02BE"/>
    <w:rsid w:val="001F2E49"/>
    <w:rsid w:val="001F36EF"/>
    <w:rsid w:val="001F4043"/>
    <w:rsid w:val="001F4426"/>
    <w:rsid w:val="001F4EEC"/>
    <w:rsid w:val="001F52A6"/>
    <w:rsid w:val="001F5994"/>
    <w:rsid w:val="001F59CB"/>
    <w:rsid w:val="001F6B78"/>
    <w:rsid w:val="001F6CD4"/>
    <w:rsid w:val="001F6EEA"/>
    <w:rsid w:val="001F77DE"/>
    <w:rsid w:val="002002D0"/>
    <w:rsid w:val="0020078B"/>
    <w:rsid w:val="002009F1"/>
    <w:rsid w:val="00201C7A"/>
    <w:rsid w:val="00201FB3"/>
    <w:rsid w:val="002026A2"/>
    <w:rsid w:val="002026AC"/>
    <w:rsid w:val="00202E4D"/>
    <w:rsid w:val="002034A9"/>
    <w:rsid w:val="00203601"/>
    <w:rsid w:val="00203FCB"/>
    <w:rsid w:val="002042F5"/>
    <w:rsid w:val="00204388"/>
    <w:rsid w:val="00204448"/>
    <w:rsid w:val="00205223"/>
    <w:rsid w:val="00205275"/>
    <w:rsid w:val="002053E6"/>
    <w:rsid w:val="00205992"/>
    <w:rsid w:val="00206F76"/>
    <w:rsid w:val="00206FCF"/>
    <w:rsid w:val="00207086"/>
    <w:rsid w:val="00207330"/>
    <w:rsid w:val="00207666"/>
    <w:rsid w:val="002077DB"/>
    <w:rsid w:val="00210282"/>
    <w:rsid w:val="002115CD"/>
    <w:rsid w:val="00211BEA"/>
    <w:rsid w:val="00211C9F"/>
    <w:rsid w:val="002123D8"/>
    <w:rsid w:val="00212703"/>
    <w:rsid w:val="0021285E"/>
    <w:rsid w:val="0021297A"/>
    <w:rsid w:val="002129AC"/>
    <w:rsid w:val="00212EFE"/>
    <w:rsid w:val="00213970"/>
    <w:rsid w:val="00213B41"/>
    <w:rsid w:val="00214768"/>
    <w:rsid w:val="00215135"/>
    <w:rsid w:val="002153CC"/>
    <w:rsid w:val="00215BFD"/>
    <w:rsid w:val="00216258"/>
    <w:rsid w:val="0021648C"/>
    <w:rsid w:val="00216A90"/>
    <w:rsid w:val="0021720F"/>
    <w:rsid w:val="00221535"/>
    <w:rsid w:val="00221F3B"/>
    <w:rsid w:val="0022251A"/>
    <w:rsid w:val="00222D9E"/>
    <w:rsid w:val="00223150"/>
    <w:rsid w:val="0022395F"/>
    <w:rsid w:val="00224D86"/>
    <w:rsid w:val="00225439"/>
    <w:rsid w:val="00226616"/>
    <w:rsid w:val="00230082"/>
    <w:rsid w:val="0023101D"/>
    <w:rsid w:val="0023111B"/>
    <w:rsid w:val="002318BF"/>
    <w:rsid w:val="00231E59"/>
    <w:rsid w:val="00231E70"/>
    <w:rsid w:val="00232696"/>
    <w:rsid w:val="00232DA0"/>
    <w:rsid w:val="002335BA"/>
    <w:rsid w:val="0023366E"/>
    <w:rsid w:val="00234489"/>
    <w:rsid w:val="00234560"/>
    <w:rsid w:val="0023468E"/>
    <w:rsid w:val="00235FE8"/>
    <w:rsid w:val="0023694F"/>
    <w:rsid w:val="002371E2"/>
    <w:rsid w:val="002403BF"/>
    <w:rsid w:val="00240DC8"/>
    <w:rsid w:val="00241652"/>
    <w:rsid w:val="0024186F"/>
    <w:rsid w:val="00241E46"/>
    <w:rsid w:val="002424C1"/>
    <w:rsid w:val="0024274E"/>
    <w:rsid w:val="002433FD"/>
    <w:rsid w:val="002434DA"/>
    <w:rsid w:val="00243640"/>
    <w:rsid w:val="0024406A"/>
    <w:rsid w:val="00244328"/>
    <w:rsid w:val="00245049"/>
    <w:rsid w:val="00245964"/>
    <w:rsid w:val="00246207"/>
    <w:rsid w:val="00246632"/>
    <w:rsid w:val="00246A5A"/>
    <w:rsid w:val="00246CF8"/>
    <w:rsid w:val="002471BA"/>
    <w:rsid w:val="00247757"/>
    <w:rsid w:val="00247A08"/>
    <w:rsid w:val="00247E15"/>
    <w:rsid w:val="002501FF"/>
    <w:rsid w:val="0025072F"/>
    <w:rsid w:val="00250DB0"/>
    <w:rsid w:val="00250EFE"/>
    <w:rsid w:val="00251F92"/>
    <w:rsid w:val="002528D9"/>
    <w:rsid w:val="002531D8"/>
    <w:rsid w:val="00253559"/>
    <w:rsid w:val="00255606"/>
    <w:rsid w:val="0025789A"/>
    <w:rsid w:val="00257AF7"/>
    <w:rsid w:val="002601B0"/>
    <w:rsid w:val="00261D35"/>
    <w:rsid w:val="00262188"/>
    <w:rsid w:val="00263732"/>
    <w:rsid w:val="00264CB9"/>
    <w:rsid w:val="002656D5"/>
    <w:rsid w:val="00266010"/>
    <w:rsid w:val="002663CB"/>
    <w:rsid w:val="002668C7"/>
    <w:rsid w:val="00270B0E"/>
    <w:rsid w:val="00270D53"/>
    <w:rsid w:val="00270FC6"/>
    <w:rsid w:val="00272B85"/>
    <w:rsid w:val="00272C6B"/>
    <w:rsid w:val="002732B9"/>
    <w:rsid w:val="002738B2"/>
    <w:rsid w:val="00273F0A"/>
    <w:rsid w:val="002742C7"/>
    <w:rsid w:val="002745B4"/>
    <w:rsid w:val="0027480A"/>
    <w:rsid w:val="00275B3B"/>
    <w:rsid w:val="00276F07"/>
    <w:rsid w:val="0027704A"/>
    <w:rsid w:val="00277F33"/>
    <w:rsid w:val="002800D0"/>
    <w:rsid w:val="002802C1"/>
    <w:rsid w:val="00280375"/>
    <w:rsid w:val="00280A88"/>
    <w:rsid w:val="0028118D"/>
    <w:rsid w:val="002817EF"/>
    <w:rsid w:val="002819DB"/>
    <w:rsid w:val="002823F3"/>
    <w:rsid w:val="002825B2"/>
    <w:rsid w:val="0028282A"/>
    <w:rsid w:val="002829E2"/>
    <w:rsid w:val="00283C06"/>
    <w:rsid w:val="00283CDB"/>
    <w:rsid w:val="002846CD"/>
    <w:rsid w:val="00284706"/>
    <w:rsid w:val="00285A5C"/>
    <w:rsid w:val="00285B50"/>
    <w:rsid w:val="00286F5A"/>
    <w:rsid w:val="0028730B"/>
    <w:rsid w:val="00287518"/>
    <w:rsid w:val="00287C42"/>
    <w:rsid w:val="00290C36"/>
    <w:rsid w:val="0029123D"/>
    <w:rsid w:val="00294A2E"/>
    <w:rsid w:val="00296260"/>
    <w:rsid w:val="002968B9"/>
    <w:rsid w:val="00296E37"/>
    <w:rsid w:val="002A0151"/>
    <w:rsid w:val="002A0734"/>
    <w:rsid w:val="002A12E1"/>
    <w:rsid w:val="002A19DF"/>
    <w:rsid w:val="002A2DE6"/>
    <w:rsid w:val="002A30DB"/>
    <w:rsid w:val="002A36D9"/>
    <w:rsid w:val="002A47E3"/>
    <w:rsid w:val="002A5083"/>
    <w:rsid w:val="002A523C"/>
    <w:rsid w:val="002A6167"/>
    <w:rsid w:val="002A6179"/>
    <w:rsid w:val="002A682B"/>
    <w:rsid w:val="002A6DCA"/>
    <w:rsid w:val="002A75FF"/>
    <w:rsid w:val="002A775A"/>
    <w:rsid w:val="002A79B0"/>
    <w:rsid w:val="002B0A79"/>
    <w:rsid w:val="002B16F6"/>
    <w:rsid w:val="002B1AD4"/>
    <w:rsid w:val="002B1EBA"/>
    <w:rsid w:val="002B24F0"/>
    <w:rsid w:val="002B25D2"/>
    <w:rsid w:val="002B2D56"/>
    <w:rsid w:val="002B2FDF"/>
    <w:rsid w:val="002B35BF"/>
    <w:rsid w:val="002B3CB6"/>
    <w:rsid w:val="002B4066"/>
    <w:rsid w:val="002B55B8"/>
    <w:rsid w:val="002B55F1"/>
    <w:rsid w:val="002B5A4A"/>
    <w:rsid w:val="002B6358"/>
    <w:rsid w:val="002B709A"/>
    <w:rsid w:val="002B7209"/>
    <w:rsid w:val="002B7293"/>
    <w:rsid w:val="002B77AB"/>
    <w:rsid w:val="002B7E82"/>
    <w:rsid w:val="002C0562"/>
    <w:rsid w:val="002C21FA"/>
    <w:rsid w:val="002C25EC"/>
    <w:rsid w:val="002C375B"/>
    <w:rsid w:val="002C385E"/>
    <w:rsid w:val="002C3D53"/>
    <w:rsid w:val="002C4002"/>
    <w:rsid w:val="002C4AD9"/>
    <w:rsid w:val="002C4E7C"/>
    <w:rsid w:val="002C5FB0"/>
    <w:rsid w:val="002C624D"/>
    <w:rsid w:val="002C632C"/>
    <w:rsid w:val="002C6415"/>
    <w:rsid w:val="002C7E52"/>
    <w:rsid w:val="002D1A3A"/>
    <w:rsid w:val="002D1D93"/>
    <w:rsid w:val="002D2A7C"/>
    <w:rsid w:val="002D35BE"/>
    <w:rsid w:val="002D386C"/>
    <w:rsid w:val="002D38F9"/>
    <w:rsid w:val="002D440D"/>
    <w:rsid w:val="002D4EDF"/>
    <w:rsid w:val="002D5601"/>
    <w:rsid w:val="002D6AFD"/>
    <w:rsid w:val="002D754B"/>
    <w:rsid w:val="002D7A62"/>
    <w:rsid w:val="002D7E5B"/>
    <w:rsid w:val="002E029E"/>
    <w:rsid w:val="002E161E"/>
    <w:rsid w:val="002E162A"/>
    <w:rsid w:val="002E215F"/>
    <w:rsid w:val="002E2B90"/>
    <w:rsid w:val="002E49D0"/>
    <w:rsid w:val="002E5631"/>
    <w:rsid w:val="002E5BC9"/>
    <w:rsid w:val="002E6A29"/>
    <w:rsid w:val="002E7353"/>
    <w:rsid w:val="002E7420"/>
    <w:rsid w:val="002F1EDC"/>
    <w:rsid w:val="002F2089"/>
    <w:rsid w:val="002F20D9"/>
    <w:rsid w:val="002F20FE"/>
    <w:rsid w:val="002F2104"/>
    <w:rsid w:val="002F339B"/>
    <w:rsid w:val="002F3A26"/>
    <w:rsid w:val="002F3D0B"/>
    <w:rsid w:val="002F3D83"/>
    <w:rsid w:val="002F4E07"/>
    <w:rsid w:val="002F54B8"/>
    <w:rsid w:val="002F567A"/>
    <w:rsid w:val="002F5D28"/>
    <w:rsid w:val="002F6B2A"/>
    <w:rsid w:val="002F6DAF"/>
    <w:rsid w:val="002F71E8"/>
    <w:rsid w:val="002F7422"/>
    <w:rsid w:val="002F74D8"/>
    <w:rsid w:val="00300176"/>
    <w:rsid w:val="00300549"/>
    <w:rsid w:val="00300ACD"/>
    <w:rsid w:val="00300FC7"/>
    <w:rsid w:val="0030229D"/>
    <w:rsid w:val="00302BB1"/>
    <w:rsid w:val="003031CC"/>
    <w:rsid w:val="00303383"/>
    <w:rsid w:val="003036E2"/>
    <w:rsid w:val="0030386B"/>
    <w:rsid w:val="003040C8"/>
    <w:rsid w:val="00304824"/>
    <w:rsid w:val="0030495F"/>
    <w:rsid w:val="003055C6"/>
    <w:rsid w:val="00305CB5"/>
    <w:rsid w:val="0030626E"/>
    <w:rsid w:val="003066A5"/>
    <w:rsid w:val="0030705C"/>
    <w:rsid w:val="00307844"/>
    <w:rsid w:val="003105DA"/>
    <w:rsid w:val="00310D0F"/>
    <w:rsid w:val="00310E28"/>
    <w:rsid w:val="00310FDD"/>
    <w:rsid w:val="0031146A"/>
    <w:rsid w:val="00311D0B"/>
    <w:rsid w:val="00311E45"/>
    <w:rsid w:val="0031224E"/>
    <w:rsid w:val="00312887"/>
    <w:rsid w:val="00312A8C"/>
    <w:rsid w:val="00312D15"/>
    <w:rsid w:val="00312E86"/>
    <w:rsid w:val="003142D3"/>
    <w:rsid w:val="00314D8C"/>
    <w:rsid w:val="003154B1"/>
    <w:rsid w:val="00316355"/>
    <w:rsid w:val="003166DD"/>
    <w:rsid w:val="00317209"/>
    <w:rsid w:val="0031773E"/>
    <w:rsid w:val="00317D3A"/>
    <w:rsid w:val="00320389"/>
    <w:rsid w:val="00320A74"/>
    <w:rsid w:val="00321030"/>
    <w:rsid w:val="00321521"/>
    <w:rsid w:val="00321C66"/>
    <w:rsid w:val="00322D57"/>
    <w:rsid w:val="003231D4"/>
    <w:rsid w:val="00323272"/>
    <w:rsid w:val="00323986"/>
    <w:rsid w:val="00324071"/>
    <w:rsid w:val="003251E5"/>
    <w:rsid w:val="003252A4"/>
    <w:rsid w:val="003256A4"/>
    <w:rsid w:val="003258F2"/>
    <w:rsid w:val="003263B6"/>
    <w:rsid w:val="00326591"/>
    <w:rsid w:val="003265C8"/>
    <w:rsid w:val="0032693C"/>
    <w:rsid w:val="00326DAC"/>
    <w:rsid w:val="0032706F"/>
    <w:rsid w:val="00327C26"/>
    <w:rsid w:val="003320E4"/>
    <w:rsid w:val="003321E4"/>
    <w:rsid w:val="00332210"/>
    <w:rsid w:val="003327E0"/>
    <w:rsid w:val="00333803"/>
    <w:rsid w:val="003339F5"/>
    <w:rsid w:val="00334A58"/>
    <w:rsid w:val="00334B60"/>
    <w:rsid w:val="00334E74"/>
    <w:rsid w:val="00335A62"/>
    <w:rsid w:val="00335E6A"/>
    <w:rsid w:val="003365E9"/>
    <w:rsid w:val="003369D5"/>
    <w:rsid w:val="003370EA"/>
    <w:rsid w:val="003371C9"/>
    <w:rsid w:val="00340BF7"/>
    <w:rsid w:val="00341461"/>
    <w:rsid w:val="0034152D"/>
    <w:rsid w:val="00342CFC"/>
    <w:rsid w:val="0034394B"/>
    <w:rsid w:val="0034403D"/>
    <w:rsid w:val="00344077"/>
    <w:rsid w:val="003444D8"/>
    <w:rsid w:val="00344ACE"/>
    <w:rsid w:val="00344DCB"/>
    <w:rsid w:val="003460A8"/>
    <w:rsid w:val="003466BB"/>
    <w:rsid w:val="003475FF"/>
    <w:rsid w:val="00347722"/>
    <w:rsid w:val="003478A8"/>
    <w:rsid w:val="00347AAA"/>
    <w:rsid w:val="00350534"/>
    <w:rsid w:val="00350EA9"/>
    <w:rsid w:val="00352453"/>
    <w:rsid w:val="00352A55"/>
    <w:rsid w:val="0035308D"/>
    <w:rsid w:val="003534DD"/>
    <w:rsid w:val="00354ABC"/>
    <w:rsid w:val="00354AC2"/>
    <w:rsid w:val="003554F8"/>
    <w:rsid w:val="00355F87"/>
    <w:rsid w:val="00356213"/>
    <w:rsid w:val="00356361"/>
    <w:rsid w:val="00356780"/>
    <w:rsid w:val="00356907"/>
    <w:rsid w:val="0035713D"/>
    <w:rsid w:val="003603A7"/>
    <w:rsid w:val="003607C8"/>
    <w:rsid w:val="00360DBE"/>
    <w:rsid w:val="0036184F"/>
    <w:rsid w:val="00362447"/>
    <w:rsid w:val="0036351F"/>
    <w:rsid w:val="003649C6"/>
    <w:rsid w:val="0036592A"/>
    <w:rsid w:val="00365CB5"/>
    <w:rsid w:val="00365CD5"/>
    <w:rsid w:val="00365E42"/>
    <w:rsid w:val="0036649C"/>
    <w:rsid w:val="00366751"/>
    <w:rsid w:val="003669F9"/>
    <w:rsid w:val="00366AAD"/>
    <w:rsid w:val="00366AEE"/>
    <w:rsid w:val="00366D0F"/>
    <w:rsid w:val="00367382"/>
    <w:rsid w:val="0036783C"/>
    <w:rsid w:val="00367D5D"/>
    <w:rsid w:val="003702DF"/>
    <w:rsid w:val="0037038A"/>
    <w:rsid w:val="003722BE"/>
    <w:rsid w:val="00372599"/>
    <w:rsid w:val="003725B4"/>
    <w:rsid w:val="00372D2A"/>
    <w:rsid w:val="0037321D"/>
    <w:rsid w:val="00373703"/>
    <w:rsid w:val="00374734"/>
    <w:rsid w:val="00374AD3"/>
    <w:rsid w:val="00375016"/>
    <w:rsid w:val="003757B7"/>
    <w:rsid w:val="00376196"/>
    <w:rsid w:val="00376A76"/>
    <w:rsid w:val="00376C7C"/>
    <w:rsid w:val="00376F1F"/>
    <w:rsid w:val="003770EA"/>
    <w:rsid w:val="0037799B"/>
    <w:rsid w:val="00380325"/>
    <w:rsid w:val="00380EA5"/>
    <w:rsid w:val="0038158B"/>
    <w:rsid w:val="00381632"/>
    <w:rsid w:val="00381F62"/>
    <w:rsid w:val="00382831"/>
    <w:rsid w:val="00382D5A"/>
    <w:rsid w:val="00383190"/>
    <w:rsid w:val="00386070"/>
    <w:rsid w:val="0038652F"/>
    <w:rsid w:val="00387D32"/>
    <w:rsid w:val="00390455"/>
    <w:rsid w:val="0039060E"/>
    <w:rsid w:val="0039244F"/>
    <w:rsid w:val="00393A92"/>
    <w:rsid w:val="00393CD8"/>
    <w:rsid w:val="00394E62"/>
    <w:rsid w:val="00395317"/>
    <w:rsid w:val="003964DA"/>
    <w:rsid w:val="003968F0"/>
    <w:rsid w:val="00397008"/>
    <w:rsid w:val="003A17FB"/>
    <w:rsid w:val="003A255E"/>
    <w:rsid w:val="003A2D7A"/>
    <w:rsid w:val="003A32CB"/>
    <w:rsid w:val="003A57DF"/>
    <w:rsid w:val="003A5F51"/>
    <w:rsid w:val="003A6AE3"/>
    <w:rsid w:val="003A6C3D"/>
    <w:rsid w:val="003B0A34"/>
    <w:rsid w:val="003B0BA5"/>
    <w:rsid w:val="003B16CC"/>
    <w:rsid w:val="003B1E4F"/>
    <w:rsid w:val="003B3015"/>
    <w:rsid w:val="003B319E"/>
    <w:rsid w:val="003B48E2"/>
    <w:rsid w:val="003B51FA"/>
    <w:rsid w:val="003B5235"/>
    <w:rsid w:val="003B5BA6"/>
    <w:rsid w:val="003B6B34"/>
    <w:rsid w:val="003B7139"/>
    <w:rsid w:val="003B7523"/>
    <w:rsid w:val="003B788C"/>
    <w:rsid w:val="003C02FF"/>
    <w:rsid w:val="003C06D3"/>
    <w:rsid w:val="003C1A1A"/>
    <w:rsid w:val="003C1A6E"/>
    <w:rsid w:val="003C276D"/>
    <w:rsid w:val="003C3688"/>
    <w:rsid w:val="003C3AED"/>
    <w:rsid w:val="003C4C08"/>
    <w:rsid w:val="003C5185"/>
    <w:rsid w:val="003C5DE3"/>
    <w:rsid w:val="003C6B26"/>
    <w:rsid w:val="003C724A"/>
    <w:rsid w:val="003C7A25"/>
    <w:rsid w:val="003D0A41"/>
    <w:rsid w:val="003D1708"/>
    <w:rsid w:val="003D2D81"/>
    <w:rsid w:val="003D2F9B"/>
    <w:rsid w:val="003D303F"/>
    <w:rsid w:val="003D3D30"/>
    <w:rsid w:val="003D46BC"/>
    <w:rsid w:val="003D50B0"/>
    <w:rsid w:val="003D5268"/>
    <w:rsid w:val="003D59D5"/>
    <w:rsid w:val="003D5A49"/>
    <w:rsid w:val="003D5D34"/>
    <w:rsid w:val="003D5F83"/>
    <w:rsid w:val="003D668C"/>
    <w:rsid w:val="003D6A72"/>
    <w:rsid w:val="003D6C00"/>
    <w:rsid w:val="003D7906"/>
    <w:rsid w:val="003E00BE"/>
    <w:rsid w:val="003E00DD"/>
    <w:rsid w:val="003E05F1"/>
    <w:rsid w:val="003E1765"/>
    <w:rsid w:val="003E253A"/>
    <w:rsid w:val="003E2793"/>
    <w:rsid w:val="003E2AA9"/>
    <w:rsid w:val="003E47C5"/>
    <w:rsid w:val="003E4B15"/>
    <w:rsid w:val="003E4CE1"/>
    <w:rsid w:val="003E4D38"/>
    <w:rsid w:val="003E4EB7"/>
    <w:rsid w:val="003E572A"/>
    <w:rsid w:val="003E58B5"/>
    <w:rsid w:val="003E5959"/>
    <w:rsid w:val="003E5D09"/>
    <w:rsid w:val="003E5E6E"/>
    <w:rsid w:val="003E680F"/>
    <w:rsid w:val="003E6C09"/>
    <w:rsid w:val="003E7CC1"/>
    <w:rsid w:val="003E7E62"/>
    <w:rsid w:val="003F0250"/>
    <w:rsid w:val="003F02F7"/>
    <w:rsid w:val="003F0930"/>
    <w:rsid w:val="003F22EC"/>
    <w:rsid w:val="003F3CD7"/>
    <w:rsid w:val="003F3F9F"/>
    <w:rsid w:val="003F4259"/>
    <w:rsid w:val="003F450C"/>
    <w:rsid w:val="003F46C4"/>
    <w:rsid w:val="003F4BF6"/>
    <w:rsid w:val="003F4CE4"/>
    <w:rsid w:val="003F4F49"/>
    <w:rsid w:val="003F5EB7"/>
    <w:rsid w:val="003F62F1"/>
    <w:rsid w:val="003F734E"/>
    <w:rsid w:val="003F7C2A"/>
    <w:rsid w:val="003F7D61"/>
    <w:rsid w:val="004001A0"/>
    <w:rsid w:val="00401210"/>
    <w:rsid w:val="0040197B"/>
    <w:rsid w:val="00401F40"/>
    <w:rsid w:val="00402440"/>
    <w:rsid w:val="004024DC"/>
    <w:rsid w:val="004038DB"/>
    <w:rsid w:val="00403C9A"/>
    <w:rsid w:val="004040FC"/>
    <w:rsid w:val="00404716"/>
    <w:rsid w:val="00404B07"/>
    <w:rsid w:val="00405F33"/>
    <w:rsid w:val="00405FFF"/>
    <w:rsid w:val="004062B3"/>
    <w:rsid w:val="00406594"/>
    <w:rsid w:val="00406D3A"/>
    <w:rsid w:val="00406DB5"/>
    <w:rsid w:val="00406DC9"/>
    <w:rsid w:val="00407336"/>
    <w:rsid w:val="00407F55"/>
    <w:rsid w:val="00410B25"/>
    <w:rsid w:val="00411127"/>
    <w:rsid w:val="004121A1"/>
    <w:rsid w:val="00412B4D"/>
    <w:rsid w:val="00412C20"/>
    <w:rsid w:val="00413137"/>
    <w:rsid w:val="00413CCF"/>
    <w:rsid w:val="004144F8"/>
    <w:rsid w:val="00414A9B"/>
    <w:rsid w:val="00414EB0"/>
    <w:rsid w:val="00414F23"/>
    <w:rsid w:val="004151E7"/>
    <w:rsid w:val="00415896"/>
    <w:rsid w:val="004158F6"/>
    <w:rsid w:val="0041617F"/>
    <w:rsid w:val="0041655A"/>
    <w:rsid w:val="004172E1"/>
    <w:rsid w:val="0041740C"/>
    <w:rsid w:val="00417F43"/>
    <w:rsid w:val="0042030A"/>
    <w:rsid w:val="00421445"/>
    <w:rsid w:val="00421629"/>
    <w:rsid w:val="0042192B"/>
    <w:rsid w:val="004227F4"/>
    <w:rsid w:val="00423547"/>
    <w:rsid w:val="00423ACB"/>
    <w:rsid w:val="00423FA0"/>
    <w:rsid w:val="00424DA4"/>
    <w:rsid w:val="00425BC5"/>
    <w:rsid w:val="00426665"/>
    <w:rsid w:val="00427D06"/>
    <w:rsid w:val="00427F93"/>
    <w:rsid w:val="00427FD1"/>
    <w:rsid w:val="004303CD"/>
    <w:rsid w:val="00431A29"/>
    <w:rsid w:val="00431C42"/>
    <w:rsid w:val="00433E18"/>
    <w:rsid w:val="00434674"/>
    <w:rsid w:val="00434C29"/>
    <w:rsid w:val="00434E51"/>
    <w:rsid w:val="0043520E"/>
    <w:rsid w:val="0043531A"/>
    <w:rsid w:val="004361F7"/>
    <w:rsid w:val="00436336"/>
    <w:rsid w:val="004363EA"/>
    <w:rsid w:val="00436FAF"/>
    <w:rsid w:val="00440597"/>
    <w:rsid w:val="004413E2"/>
    <w:rsid w:val="00441862"/>
    <w:rsid w:val="0044193C"/>
    <w:rsid w:val="0044287E"/>
    <w:rsid w:val="004428A8"/>
    <w:rsid w:val="00442B64"/>
    <w:rsid w:val="004432F1"/>
    <w:rsid w:val="00444128"/>
    <w:rsid w:val="004448CC"/>
    <w:rsid w:val="00444F49"/>
    <w:rsid w:val="00445068"/>
    <w:rsid w:val="0044515D"/>
    <w:rsid w:val="004451D8"/>
    <w:rsid w:val="00445472"/>
    <w:rsid w:val="00446697"/>
    <w:rsid w:val="00446EA2"/>
    <w:rsid w:val="0044720A"/>
    <w:rsid w:val="00447DD0"/>
    <w:rsid w:val="004504E7"/>
    <w:rsid w:val="0045137A"/>
    <w:rsid w:val="004519F2"/>
    <w:rsid w:val="00452968"/>
    <w:rsid w:val="00452CBE"/>
    <w:rsid w:val="004532BB"/>
    <w:rsid w:val="004534D5"/>
    <w:rsid w:val="00453981"/>
    <w:rsid w:val="004546C8"/>
    <w:rsid w:val="00454CAA"/>
    <w:rsid w:val="004552C4"/>
    <w:rsid w:val="00456437"/>
    <w:rsid w:val="00456A32"/>
    <w:rsid w:val="0045733F"/>
    <w:rsid w:val="00457470"/>
    <w:rsid w:val="00457BCE"/>
    <w:rsid w:val="00460165"/>
    <w:rsid w:val="00460362"/>
    <w:rsid w:val="00460D0B"/>
    <w:rsid w:val="00461527"/>
    <w:rsid w:val="00461764"/>
    <w:rsid w:val="00462330"/>
    <w:rsid w:val="00462A97"/>
    <w:rsid w:val="00462CB7"/>
    <w:rsid w:val="004632D3"/>
    <w:rsid w:val="00463E2C"/>
    <w:rsid w:val="00464047"/>
    <w:rsid w:val="0046452A"/>
    <w:rsid w:val="00464C27"/>
    <w:rsid w:val="004650B8"/>
    <w:rsid w:val="00465654"/>
    <w:rsid w:val="0046614B"/>
    <w:rsid w:val="00466E2C"/>
    <w:rsid w:val="004674F6"/>
    <w:rsid w:val="00467F2B"/>
    <w:rsid w:val="0047091C"/>
    <w:rsid w:val="00470B1F"/>
    <w:rsid w:val="004710E0"/>
    <w:rsid w:val="004712EA"/>
    <w:rsid w:val="004715B6"/>
    <w:rsid w:val="00471B50"/>
    <w:rsid w:val="00471D22"/>
    <w:rsid w:val="00472361"/>
    <w:rsid w:val="00472381"/>
    <w:rsid w:val="00472D64"/>
    <w:rsid w:val="00473F0E"/>
    <w:rsid w:val="00473F70"/>
    <w:rsid w:val="00473FE5"/>
    <w:rsid w:val="00474320"/>
    <w:rsid w:val="0047436A"/>
    <w:rsid w:val="00474B44"/>
    <w:rsid w:val="00475485"/>
    <w:rsid w:val="004754E2"/>
    <w:rsid w:val="0047576C"/>
    <w:rsid w:val="0047579B"/>
    <w:rsid w:val="00475EE2"/>
    <w:rsid w:val="00476073"/>
    <w:rsid w:val="00476B2F"/>
    <w:rsid w:val="00477424"/>
    <w:rsid w:val="004803D4"/>
    <w:rsid w:val="004805E9"/>
    <w:rsid w:val="00480AE0"/>
    <w:rsid w:val="00481A59"/>
    <w:rsid w:val="004825E5"/>
    <w:rsid w:val="00482ABF"/>
    <w:rsid w:val="00483A33"/>
    <w:rsid w:val="004846C8"/>
    <w:rsid w:val="00484DB4"/>
    <w:rsid w:val="0048606C"/>
    <w:rsid w:val="0048684A"/>
    <w:rsid w:val="00487765"/>
    <w:rsid w:val="00487996"/>
    <w:rsid w:val="00491A2D"/>
    <w:rsid w:val="0049245E"/>
    <w:rsid w:val="00492F17"/>
    <w:rsid w:val="0049470D"/>
    <w:rsid w:val="00494E4A"/>
    <w:rsid w:val="004950DF"/>
    <w:rsid w:val="00495AA8"/>
    <w:rsid w:val="004961CF"/>
    <w:rsid w:val="00496909"/>
    <w:rsid w:val="00497502"/>
    <w:rsid w:val="004A06F2"/>
    <w:rsid w:val="004A22BA"/>
    <w:rsid w:val="004A2493"/>
    <w:rsid w:val="004A267D"/>
    <w:rsid w:val="004A48A4"/>
    <w:rsid w:val="004A4E2D"/>
    <w:rsid w:val="004A4E79"/>
    <w:rsid w:val="004A4F18"/>
    <w:rsid w:val="004A523B"/>
    <w:rsid w:val="004A60C3"/>
    <w:rsid w:val="004A65D1"/>
    <w:rsid w:val="004A6C96"/>
    <w:rsid w:val="004A6DAB"/>
    <w:rsid w:val="004A73BC"/>
    <w:rsid w:val="004A7588"/>
    <w:rsid w:val="004A7A16"/>
    <w:rsid w:val="004B0DA9"/>
    <w:rsid w:val="004B10A3"/>
    <w:rsid w:val="004B137E"/>
    <w:rsid w:val="004B1CAD"/>
    <w:rsid w:val="004B2588"/>
    <w:rsid w:val="004B2C92"/>
    <w:rsid w:val="004B34DB"/>
    <w:rsid w:val="004B35FD"/>
    <w:rsid w:val="004B43EA"/>
    <w:rsid w:val="004B61D9"/>
    <w:rsid w:val="004B7057"/>
    <w:rsid w:val="004B71EF"/>
    <w:rsid w:val="004B7942"/>
    <w:rsid w:val="004C0D1D"/>
    <w:rsid w:val="004C121E"/>
    <w:rsid w:val="004C1C8B"/>
    <w:rsid w:val="004C31BE"/>
    <w:rsid w:val="004C32D7"/>
    <w:rsid w:val="004C33BA"/>
    <w:rsid w:val="004C36AD"/>
    <w:rsid w:val="004C4CF8"/>
    <w:rsid w:val="004C5326"/>
    <w:rsid w:val="004C590D"/>
    <w:rsid w:val="004C5B21"/>
    <w:rsid w:val="004C5DE4"/>
    <w:rsid w:val="004C6309"/>
    <w:rsid w:val="004C7460"/>
    <w:rsid w:val="004D02AC"/>
    <w:rsid w:val="004D0921"/>
    <w:rsid w:val="004D1BE2"/>
    <w:rsid w:val="004D1EA7"/>
    <w:rsid w:val="004D2181"/>
    <w:rsid w:val="004D283C"/>
    <w:rsid w:val="004D3910"/>
    <w:rsid w:val="004D3BA8"/>
    <w:rsid w:val="004D4372"/>
    <w:rsid w:val="004D63CD"/>
    <w:rsid w:val="004D6A4F"/>
    <w:rsid w:val="004D6BC4"/>
    <w:rsid w:val="004D745D"/>
    <w:rsid w:val="004D7D82"/>
    <w:rsid w:val="004E0246"/>
    <w:rsid w:val="004E0E5A"/>
    <w:rsid w:val="004E1329"/>
    <w:rsid w:val="004E2FCC"/>
    <w:rsid w:val="004E2FF2"/>
    <w:rsid w:val="004E338E"/>
    <w:rsid w:val="004E33B0"/>
    <w:rsid w:val="004E37D0"/>
    <w:rsid w:val="004E386A"/>
    <w:rsid w:val="004E3C1D"/>
    <w:rsid w:val="004E3E3E"/>
    <w:rsid w:val="004E3EE1"/>
    <w:rsid w:val="004E5546"/>
    <w:rsid w:val="004E61F3"/>
    <w:rsid w:val="004E6536"/>
    <w:rsid w:val="004E6A5E"/>
    <w:rsid w:val="004E7239"/>
    <w:rsid w:val="004E7E8C"/>
    <w:rsid w:val="004F0AFE"/>
    <w:rsid w:val="004F1897"/>
    <w:rsid w:val="004F1CE1"/>
    <w:rsid w:val="004F2006"/>
    <w:rsid w:val="004F20C5"/>
    <w:rsid w:val="004F2759"/>
    <w:rsid w:val="004F2E65"/>
    <w:rsid w:val="004F3364"/>
    <w:rsid w:val="004F3B31"/>
    <w:rsid w:val="004F3B89"/>
    <w:rsid w:val="004F40D2"/>
    <w:rsid w:val="004F4674"/>
    <w:rsid w:val="004F48A7"/>
    <w:rsid w:val="004F524E"/>
    <w:rsid w:val="004F65E5"/>
    <w:rsid w:val="004F6A83"/>
    <w:rsid w:val="004F6DFB"/>
    <w:rsid w:val="004F739B"/>
    <w:rsid w:val="004F76BA"/>
    <w:rsid w:val="004F7D52"/>
    <w:rsid w:val="004F7E42"/>
    <w:rsid w:val="005016B4"/>
    <w:rsid w:val="00502658"/>
    <w:rsid w:val="00502B90"/>
    <w:rsid w:val="0050340D"/>
    <w:rsid w:val="0050357F"/>
    <w:rsid w:val="00503BAF"/>
    <w:rsid w:val="005040BB"/>
    <w:rsid w:val="00504446"/>
    <w:rsid w:val="005049EC"/>
    <w:rsid w:val="005067DB"/>
    <w:rsid w:val="00506C68"/>
    <w:rsid w:val="00507B52"/>
    <w:rsid w:val="0051088B"/>
    <w:rsid w:val="00510D87"/>
    <w:rsid w:val="005119EF"/>
    <w:rsid w:val="005123E6"/>
    <w:rsid w:val="0051273B"/>
    <w:rsid w:val="0051292B"/>
    <w:rsid w:val="0051389E"/>
    <w:rsid w:val="0051392E"/>
    <w:rsid w:val="00513D41"/>
    <w:rsid w:val="00513DC5"/>
    <w:rsid w:val="00513ECF"/>
    <w:rsid w:val="00514CCC"/>
    <w:rsid w:val="00515CA0"/>
    <w:rsid w:val="00515F7A"/>
    <w:rsid w:val="005162D6"/>
    <w:rsid w:val="0051643B"/>
    <w:rsid w:val="005172D3"/>
    <w:rsid w:val="00520825"/>
    <w:rsid w:val="00521009"/>
    <w:rsid w:val="00521049"/>
    <w:rsid w:val="00521056"/>
    <w:rsid w:val="005215B1"/>
    <w:rsid w:val="00521F33"/>
    <w:rsid w:val="00522208"/>
    <w:rsid w:val="005224A2"/>
    <w:rsid w:val="0052364A"/>
    <w:rsid w:val="00523790"/>
    <w:rsid w:val="00524D50"/>
    <w:rsid w:val="0052507D"/>
    <w:rsid w:val="00525732"/>
    <w:rsid w:val="005262C3"/>
    <w:rsid w:val="005267C0"/>
    <w:rsid w:val="00526D3D"/>
    <w:rsid w:val="00527915"/>
    <w:rsid w:val="00527F44"/>
    <w:rsid w:val="00530615"/>
    <w:rsid w:val="00530C97"/>
    <w:rsid w:val="00531A6B"/>
    <w:rsid w:val="00531B88"/>
    <w:rsid w:val="005332F6"/>
    <w:rsid w:val="005339C8"/>
    <w:rsid w:val="00535B31"/>
    <w:rsid w:val="005361ED"/>
    <w:rsid w:val="00536CE4"/>
    <w:rsid w:val="0053765A"/>
    <w:rsid w:val="0053782E"/>
    <w:rsid w:val="0054054E"/>
    <w:rsid w:val="0054111B"/>
    <w:rsid w:val="00541601"/>
    <w:rsid w:val="00541B84"/>
    <w:rsid w:val="0054248B"/>
    <w:rsid w:val="00542B35"/>
    <w:rsid w:val="00545381"/>
    <w:rsid w:val="00545733"/>
    <w:rsid w:val="00546B73"/>
    <w:rsid w:val="005474CA"/>
    <w:rsid w:val="005475A7"/>
    <w:rsid w:val="00547B12"/>
    <w:rsid w:val="00547B8F"/>
    <w:rsid w:val="005508EC"/>
    <w:rsid w:val="00550BB2"/>
    <w:rsid w:val="00550D45"/>
    <w:rsid w:val="00551775"/>
    <w:rsid w:val="00552187"/>
    <w:rsid w:val="00552BAA"/>
    <w:rsid w:val="00552C73"/>
    <w:rsid w:val="005536DC"/>
    <w:rsid w:val="00553742"/>
    <w:rsid w:val="0055441A"/>
    <w:rsid w:val="00554460"/>
    <w:rsid w:val="005545C9"/>
    <w:rsid w:val="00554B7D"/>
    <w:rsid w:val="00554F9C"/>
    <w:rsid w:val="0055503F"/>
    <w:rsid w:val="00555253"/>
    <w:rsid w:val="005553C7"/>
    <w:rsid w:val="00555761"/>
    <w:rsid w:val="00555A28"/>
    <w:rsid w:val="00555D45"/>
    <w:rsid w:val="005563D2"/>
    <w:rsid w:val="00557C50"/>
    <w:rsid w:val="00557FBC"/>
    <w:rsid w:val="00560628"/>
    <w:rsid w:val="0056062E"/>
    <w:rsid w:val="00560A06"/>
    <w:rsid w:val="00561617"/>
    <w:rsid w:val="00562FF4"/>
    <w:rsid w:val="005638E2"/>
    <w:rsid w:val="005657B6"/>
    <w:rsid w:val="00565E12"/>
    <w:rsid w:val="00566057"/>
    <w:rsid w:val="0056614A"/>
    <w:rsid w:val="00567A5D"/>
    <w:rsid w:val="005705C1"/>
    <w:rsid w:val="0057088B"/>
    <w:rsid w:val="00570968"/>
    <w:rsid w:val="0057219A"/>
    <w:rsid w:val="00572584"/>
    <w:rsid w:val="00572DFA"/>
    <w:rsid w:val="00572F6E"/>
    <w:rsid w:val="00573220"/>
    <w:rsid w:val="005737B6"/>
    <w:rsid w:val="00573E23"/>
    <w:rsid w:val="00573E60"/>
    <w:rsid w:val="005748E4"/>
    <w:rsid w:val="005751CB"/>
    <w:rsid w:val="005770EF"/>
    <w:rsid w:val="0057752E"/>
    <w:rsid w:val="005800C2"/>
    <w:rsid w:val="00580334"/>
    <w:rsid w:val="005805E0"/>
    <w:rsid w:val="0058235A"/>
    <w:rsid w:val="00582652"/>
    <w:rsid w:val="005828EE"/>
    <w:rsid w:val="00582D77"/>
    <w:rsid w:val="00583396"/>
    <w:rsid w:val="0058414F"/>
    <w:rsid w:val="005848EC"/>
    <w:rsid w:val="00584B5A"/>
    <w:rsid w:val="00585C2B"/>
    <w:rsid w:val="00586BB8"/>
    <w:rsid w:val="00586DA4"/>
    <w:rsid w:val="00586EF5"/>
    <w:rsid w:val="00587998"/>
    <w:rsid w:val="00591321"/>
    <w:rsid w:val="00591327"/>
    <w:rsid w:val="00591598"/>
    <w:rsid w:val="0059214E"/>
    <w:rsid w:val="00592A41"/>
    <w:rsid w:val="00592F4F"/>
    <w:rsid w:val="00594035"/>
    <w:rsid w:val="00594B67"/>
    <w:rsid w:val="00594C07"/>
    <w:rsid w:val="0059545A"/>
    <w:rsid w:val="0059558F"/>
    <w:rsid w:val="00595667"/>
    <w:rsid w:val="00595CA7"/>
    <w:rsid w:val="0059606B"/>
    <w:rsid w:val="00596734"/>
    <w:rsid w:val="00596DD4"/>
    <w:rsid w:val="00597655"/>
    <w:rsid w:val="00597832"/>
    <w:rsid w:val="005A0016"/>
    <w:rsid w:val="005A0E22"/>
    <w:rsid w:val="005A17B1"/>
    <w:rsid w:val="005A208F"/>
    <w:rsid w:val="005A24AA"/>
    <w:rsid w:val="005A257B"/>
    <w:rsid w:val="005A2C07"/>
    <w:rsid w:val="005A3CE4"/>
    <w:rsid w:val="005A4F0D"/>
    <w:rsid w:val="005A5179"/>
    <w:rsid w:val="005A5840"/>
    <w:rsid w:val="005A5996"/>
    <w:rsid w:val="005A5BE2"/>
    <w:rsid w:val="005A5CBB"/>
    <w:rsid w:val="005A5DAC"/>
    <w:rsid w:val="005A685A"/>
    <w:rsid w:val="005A6CFD"/>
    <w:rsid w:val="005A6E41"/>
    <w:rsid w:val="005A6E81"/>
    <w:rsid w:val="005A7EF2"/>
    <w:rsid w:val="005B00B7"/>
    <w:rsid w:val="005B055A"/>
    <w:rsid w:val="005B06B8"/>
    <w:rsid w:val="005B110E"/>
    <w:rsid w:val="005B1DF7"/>
    <w:rsid w:val="005B2A56"/>
    <w:rsid w:val="005B3747"/>
    <w:rsid w:val="005B4F0B"/>
    <w:rsid w:val="005B5802"/>
    <w:rsid w:val="005B5F74"/>
    <w:rsid w:val="005B6731"/>
    <w:rsid w:val="005B6AF1"/>
    <w:rsid w:val="005B6B83"/>
    <w:rsid w:val="005B78FE"/>
    <w:rsid w:val="005B7E7B"/>
    <w:rsid w:val="005C027D"/>
    <w:rsid w:val="005C0CBF"/>
    <w:rsid w:val="005C17A7"/>
    <w:rsid w:val="005C1B44"/>
    <w:rsid w:val="005C1B8D"/>
    <w:rsid w:val="005C2DC6"/>
    <w:rsid w:val="005C4AAA"/>
    <w:rsid w:val="005C4B3A"/>
    <w:rsid w:val="005C520A"/>
    <w:rsid w:val="005C5A22"/>
    <w:rsid w:val="005C5A7E"/>
    <w:rsid w:val="005C5BD9"/>
    <w:rsid w:val="005C5CD4"/>
    <w:rsid w:val="005C5E24"/>
    <w:rsid w:val="005C6483"/>
    <w:rsid w:val="005C68FB"/>
    <w:rsid w:val="005C6A2C"/>
    <w:rsid w:val="005C7B0A"/>
    <w:rsid w:val="005D20AC"/>
    <w:rsid w:val="005D23E0"/>
    <w:rsid w:val="005D25D0"/>
    <w:rsid w:val="005D3572"/>
    <w:rsid w:val="005D39E1"/>
    <w:rsid w:val="005D4046"/>
    <w:rsid w:val="005D479C"/>
    <w:rsid w:val="005D4DC9"/>
    <w:rsid w:val="005D5B68"/>
    <w:rsid w:val="005D5F5A"/>
    <w:rsid w:val="005D6647"/>
    <w:rsid w:val="005D6E27"/>
    <w:rsid w:val="005D717D"/>
    <w:rsid w:val="005D726F"/>
    <w:rsid w:val="005D7A0A"/>
    <w:rsid w:val="005E05C0"/>
    <w:rsid w:val="005E2F6D"/>
    <w:rsid w:val="005E2F97"/>
    <w:rsid w:val="005E3FBE"/>
    <w:rsid w:val="005E5052"/>
    <w:rsid w:val="005E589C"/>
    <w:rsid w:val="005E6D98"/>
    <w:rsid w:val="005E7A2F"/>
    <w:rsid w:val="005E7D8C"/>
    <w:rsid w:val="005F11B1"/>
    <w:rsid w:val="005F1505"/>
    <w:rsid w:val="005F1A98"/>
    <w:rsid w:val="005F1E74"/>
    <w:rsid w:val="005F24B3"/>
    <w:rsid w:val="005F2542"/>
    <w:rsid w:val="005F2697"/>
    <w:rsid w:val="005F345D"/>
    <w:rsid w:val="005F4A60"/>
    <w:rsid w:val="005F525F"/>
    <w:rsid w:val="005F5B38"/>
    <w:rsid w:val="005F5D08"/>
    <w:rsid w:val="005F64C5"/>
    <w:rsid w:val="005F6ADC"/>
    <w:rsid w:val="005F6E65"/>
    <w:rsid w:val="005F71AA"/>
    <w:rsid w:val="005F7A36"/>
    <w:rsid w:val="005F7C0E"/>
    <w:rsid w:val="005F7E22"/>
    <w:rsid w:val="006008F9"/>
    <w:rsid w:val="00600949"/>
    <w:rsid w:val="0060095F"/>
    <w:rsid w:val="00600BB1"/>
    <w:rsid w:val="00600E72"/>
    <w:rsid w:val="00601F76"/>
    <w:rsid w:val="006030B0"/>
    <w:rsid w:val="006043FD"/>
    <w:rsid w:val="00604CAB"/>
    <w:rsid w:val="006055F0"/>
    <w:rsid w:val="0060588B"/>
    <w:rsid w:val="00605CE4"/>
    <w:rsid w:val="00606879"/>
    <w:rsid w:val="00606A42"/>
    <w:rsid w:val="0060736D"/>
    <w:rsid w:val="00607DD1"/>
    <w:rsid w:val="00607FB0"/>
    <w:rsid w:val="006117EB"/>
    <w:rsid w:val="00611ED5"/>
    <w:rsid w:val="006126C9"/>
    <w:rsid w:val="006127F5"/>
    <w:rsid w:val="00612940"/>
    <w:rsid w:val="0061296C"/>
    <w:rsid w:val="00612BC2"/>
    <w:rsid w:val="00614E88"/>
    <w:rsid w:val="00615094"/>
    <w:rsid w:val="006164D6"/>
    <w:rsid w:val="00617C84"/>
    <w:rsid w:val="00620113"/>
    <w:rsid w:val="00621701"/>
    <w:rsid w:val="00622122"/>
    <w:rsid w:val="00622F4C"/>
    <w:rsid w:val="00623489"/>
    <w:rsid w:val="006241EF"/>
    <w:rsid w:val="006242FB"/>
    <w:rsid w:val="00624CF1"/>
    <w:rsid w:val="00624F05"/>
    <w:rsid w:val="00625547"/>
    <w:rsid w:val="0062557A"/>
    <w:rsid w:val="00625B17"/>
    <w:rsid w:val="00625DE6"/>
    <w:rsid w:val="00626530"/>
    <w:rsid w:val="00627135"/>
    <w:rsid w:val="0062727A"/>
    <w:rsid w:val="00627AA1"/>
    <w:rsid w:val="0063133D"/>
    <w:rsid w:val="006319E1"/>
    <w:rsid w:val="00632EE3"/>
    <w:rsid w:val="0063305D"/>
    <w:rsid w:val="00633AFC"/>
    <w:rsid w:val="00633F9B"/>
    <w:rsid w:val="0063411C"/>
    <w:rsid w:val="00635694"/>
    <w:rsid w:val="00635CB4"/>
    <w:rsid w:val="00635EDC"/>
    <w:rsid w:val="006368BE"/>
    <w:rsid w:val="006369E5"/>
    <w:rsid w:val="00636EF5"/>
    <w:rsid w:val="00636F61"/>
    <w:rsid w:val="00641CFB"/>
    <w:rsid w:val="00641D9C"/>
    <w:rsid w:val="00642944"/>
    <w:rsid w:val="0064376A"/>
    <w:rsid w:val="00643D9C"/>
    <w:rsid w:val="0064492D"/>
    <w:rsid w:val="00644C34"/>
    <w:rsid w:val="00644D81"/>
    <w:rsid w:val="00644E7E"/>
    <w:rsid w:val="0064535C"/>
    <w:rsid w:val="0064601B"/>
    <w:rsid w:val="0064611F"/>
    <w:rsid w:val="006468B7"/>
    <w:rsid w:val="006475EF"/>
    <w:rsid w:val="006508A1"/>
    <w:rsid w:val="00652CF4"/>
    <w:rsid w:val="00654199"/>
    <w:rsid w:val="0065467B"/>
    <w:rsid w:val="00654BE9"/>
    <w:rsid w:val="00654C3B"/>
    <w:rsid w:val="00655092"/>
    <w:rsid w:val="006570C2"/>
    <w:rsid w:val="00657391"/>
    <w:rsid w:val="00660857"/>
    <w:rsid w:val="00660859"/>
    <w:rsid w:val="00661573"/>
    <w:rsid w:val="00661894"/>
    <w:rsid w:val="00662267"/>
    <w:rsid w:val="006627F0"/>
    <w:rsid w:val="00662C34"/>
    <w:rsid w:val="006638A3"/>
    <w:rsid w:val="006638F7"/>
    <w:rsid w:val="006645F9"/>
    <w:rsid w:val="00664FC7"/>
    <w:rsid w:val="00664FDC"/>
    <w:rsid w:val="00665BF1"/>
    <w:rsid w:val="006707D1"/>
    <w:rsid w:val="00670A15"/>
    <w:rsid w:val="00670D1D"/>
    <w:rsid w:val="00670DCD"/>
    <w:rsid w:val="00671184"/>
    <w:rsid w:val="00671316"/>
    <w:rsid w:val="00672B02"/>
    <w:rsid w:val="00672D4B"/>
    <w:rsid w:val="0067306C"/>
    <w:rsid w:val="00673254"/>
    <w:rsid w:val="00673C0C"/>
    <w:rsid w:val="006743D2"/>
    <w:rsid w:val="00674737"/>
    <w:rsid w:val="00674843"/>
    <w:rsid w:val="00674AD7"/>
    <w:rsid w:val="00674CB7"/>
    <w:rsid w:val="00674FA9"/>
    <w:rsid w:val="0067561C"/>
    <w:rsid w:val="00675916"/>
    <w:rsid w:val="00675E16"/>
    <w:rsid w:val="0067661B"/>
    <w:rsid w:val="00676D94"/>
    <w:rsid w:val="00676F8C"/>
    <w:rsid w:val="00677740"/>
    <w:rsid w:val="00677FB3"/>
    <w:rsid w:val="0068060A"/>
    <w:rsid w:val="006808B9"/>
    <w:rsid w:val="00680CD6"/>
    <w:rsid w:val="00680DD8"/>
    <w:rsid w:val="006810D2"/>
    <w:rsid w:val="00681AC3"/>
    <w:rsid w:val="00682999"/>
    <w:rsid w:val="00682B7E"/>
    <w:rsid w:val="00682D31"/>
    <w:rsid w:val="00683D92"/>
    <w:rsid w:val="00684338"/>
    <w:rsid w:val="00684564"/>
    <w:rsid w:val="00684CC9"/>
    <w:rsid w:val="0068539F"/>
    <w:rsid w:val="006855BD"/>
    <w:rsid w:val="006862C8"/>
    <w:rsid w:val="0068665A"/>
    <w:rsid w:val="00686E86"/>
    <w:rsid w:val="0068751B"/>
    <w:rsid w:val="00690D4F"/>
    <w:rsid w:val="006915B6"/>
    <w:rsid w:val="00692706"/>
    <w:rsid w:val="00692735"/>
    <w:rsid w:val="00692B0B"/>
    <w:rsid w:val="006935FE"/>
    <w:rsid w:val="006937A2"/>
    <w:rsid w:val="00697B0E"/>
    <w:rsid w:val="006A0852"/>
    <w:rsid w:val="006A154F"/>
    <w:rsid w:val="006A2464"/>
    <w:rsid w:val="006A27B6"/>
    <w:rsid w:val="006A2C5D"/>
    <w:rsid w:val="006A2C67"/>
    <w:rsid w:val="006A2F81"/>
    <w:rsid w:val="006A38E8"/>
    <w:rsid w:val="006A3C6F"/>
    <w:rsid w:val="006A3D1A"/>
    <w:rsid w:val="006A44F0"/>
    <w:rsid w:val="006A6014"/>
    <w:rsid w:val="006A662B"/>
    <w:rsid w:val="006A6BC4"/>
    <w:rsid w:val="006A769D"/>
    <w:rsid w:val="006B0E47"/>
    <w:rsid w:val="006B1A6E"/>
    <w:rsid w:val="006B1E26"/>
    <w:rsid w:val="006B3019"/>
    <w:rsid w:val="006B31F5"/>
    <w:rsid w:val="006B36C2"/>
    <w:rsid w:val="006B36FB"/>
    <w:rsid w:val="006B3B24"/>
    <w:rsid w:val="006B4231"/>
    <w:rsid w:val="006B4824"/>
    <w:rsid w:val="006B4D6A"/>
    <w:rsid w:val="006B4E12"/>
    <w:rsid w:val="006B5011"/>
    <w:rsid w:val="006B6E95"/>
    <w:rsid w:val="006B78FE"/>
    <w:rsid w:val="006B7BCF"/>
    <w:rsid w:val="006B7DAB"/>
    <w:rsid w:val="006C131E"/>
    <w:rsid w:val="006C279B"/>
    <w:rsid w:val="006C365F"/>
    <w:rsid w:val="006C3914"/>
    <w:rsid w:val="006C3FF9"/>
    <w:rsid w:val="006C4FE6"/>
    <w:rsid w:val="006C578A"/>
    <w:rsid w:val="006C69E9"/>
    <w:rsid w:val="006C78A9"/>
    <w:rsid w:val="006C7CEC"/>
    <w:rsid w:val="006D17BB"/>
    <w:rsid w:val="006D22E9"/>
    <w:rsid w:val="006D252A"/>
    <w:rsid w:val="006D2AED"/>
    <w:rsid w:val="006D3097"/>
    <w:rsid w:val="006D4980"/>
    <w:rsid w:val="006D4D0F"/>
    <w:rsid w:val="006D5041"/>
    <w:rsid w:val="006D52F8"/>
    <w:rsid w:val="006D589F"/>
    <w:rsid w:val="006D5AB6"/>
    <w:rsid w:val="006D5BEF"/>
    <w:rsid w:val="006D5FC8"/>
    <w:rsid w:val="006D65E6"/>
    <w:rsid w:val="006D69B5"/>
    <w:rsid w:val="006D6A36"/>
    <w:rsid w:val="006D6B83"/>
    <w:rsid w:val="006D6FF1"/>
    <w:rsid w:val="006D73FC"/>
    <w:rsid w:val="006D787A"/>
    <w:rsid w:val="006E07E5"/>
    <w:rsid w:val="006E0858"/>
    <w:rsid w:val="006E0937"/>
    <w:rsid w:val="006E0A66"/>
    <w:rsid w:val="006E1094"/>
    <w:rsid w:val="006E1E70"/>
    <w:rsid w:val="006E2B5F"/>
    <w:rsid w:val="006E2C85"/>
    <w:rsid w:val="006E3418"/>
    <w:rsid w:val="006E379D"/>
    <w:rsid w:val="006E3A08"/>
    <w:rsid w:val="006E57B7"/>
    <w:rsid w:val="006E5BD9"/>
    <w:rsid w:val="006E6399"/>
    <w:rsid w:val="006E6BB7"/>
    <w:rsid w:val="006E6C6C"/>
    <w:rsid w:val="006E6EEA"/>
    <w:rsid w:val="006E7060"/>
    <w:rsid w:val="006E7530"/>
    <w:rsid w:val="006E7AC2"/>
    <w:rsid w:val="006F0565"/>
    <w:rsid w:val="006F211C"/>
    <w:rsid w:val="006F28C7"/>
    <w:rsid w:val="006F2AC9"/>
    <w:rsid w:val="006F2C6F"/>
    <w:rsid w:val="006F2D9C"/>
    <w:rsid w:val="006F37A7"/>
    <w:rsid w:val="006F44C0"/>
    <w:rsid w:val="006F5B86"/>
    <w:rsid w:val="006F5E05"/>
    <w:rsid w:val="006F73D7"/>
    <w:rsid w:val="006F7604"/>
    <w:rsid w:val="006F760C"/>
    <w:rsid w:val="006F7B1E"/>
    <w:rsid w:val="0070005B"/>
    <w:rsid w:val="00700A08"/>
    <w:rsid w:val="007019C6"/>
    <w:rsid w:val="00702E64"/>
    <w:rsid w:val="0070313B"/>
    <w:rsid w:val="00703391"/>
    <w:rsid w:val="0070348C"/>
    <w:rsid w:val="00704B46"/>
    <w:rsid w:val="00704DE0"/>
    <w:rsid w:val="00704FF2"/>
    <w:rsid w:val="00705BB5"/>
    <w:rsid w:val="0070729F"/>
    <w:rsid w:val="0070760D"/>
    <w:rsid w:val="0071018D"/>
    <w:rsid w:val="00710D36"/>
    <w:rsid w:val="00710E24"/>
    <w:rsid w:val="007117F7"/>
    <w:rsid w:val="00711FB7"/>
    <w:rsid w:val="007148AF"/>
    <w:rsid w:val="00714FD9"/>
    <w:rsid w:val="00715BA8"/>
    <w:rsid w:val="00716335"/>
    <w:rsid w:val="00716EBD"/>
    <w:rsid w:val="0071763E"/>
    <w:rsid w:val="00717DEC"/>
    <w:rsid w:val="00717ED8"/>
    <w:rsid w:val="00717EFA"/>
    <w:rsid w:val="007211D7"/>
    <w:rsid w:val="007219F2"/>
    <w:rsid w:val="007229CA"/>
    <w:rsid w:val="00722F1D"/>
    <w:rsid w:val="007231A2"/>
    <w:rsid w:val="00723D78"/>
    <w:rsid w:val="00723EDF"/>
    <w:rsid w:val="0072413F"/>
    <w:rsid w:val="0072516F"/>
    <w:rsid w:val="007251F8"/>
    <w:rsid w:val="0072573A"/>
    <w:rsid w:val="007271DB"/>
    <w:rsid w:val="0072781F"/>
    <w:rsid w:val="00727D68"/>
    <w:rsid w:val="00727E61"/>
    <w:rsid w:val="00727F0A"/>
    <w:rsid w:val="007306BF"/>
    <w:rsid w:val="00730A20"/>
    <w:rsid w:val="00730A39"/>
    <w:rsid w:val="00730F8C"/>
    <w:rsid w:val="00731F0A"/>
    <w:rsid w:val="00732FA1"/>
    <w:rsid w:val="00732FCB"/>
    <w:rsid w:val="007333B6"/>
    <w:rsid w:val="00734491"/>
    <w:rsid w:val="00734F02"/>
    <w:rsid w:val="00735AEA"/>
    <w:rsid w:val="00736AA0"/>
    <w:rsid w:val="0073730C"/>
    <w:rsid w:val="0073741C"/>
    <w:rsid w:val="007400F8"/>
    <w:rsid w:val="00741303"/>
    <w:rsid w:val="00742CFE"/>
    <w:rsid w:val="007441DC"/>
    <w:rsid w:val="007444B2"/>
    <w:rsid w:val="00744A0C"/>
    <w:rsid w:val="00744A60"/>
    <w:rsid w:val="00744A76"/>
    <w:rsid w:val="0074539D"/>
    <w:rsid w:val="00745537"/>
    <w:rsid w:val="0074564D"/>
    <w:rsid w:val="007457A0"/>
    <w:rsid w:val="0074587F"/>
    <w:rsid w:val="00745A6D"/>
    <w:rsid w:val="00747B2A"/>
    <w:rsid w:val="00750005"/>
    <w:rsid w:val="00750CDD"/>
    <w:rsid w:val="00750EF3"/>
    <w:rsid w:val="00751283"/>
    <w:rsid w:val="00751642"/>
    <w:rsid w:val="007517D2"/>
    <w:rsid w:val="00751887"/>
    <w:rsid w:val="007518CD"/>
    <w:rsid w:val="007523C0"/>
    <w:rsid w:val="007524BB"/>
    <w:rsid w:val="00752BB8"/>
    <w:rsid w:val="007533FC"/>
    <w:rsid w:val="00753433"/>
    <w:rsid w:val="00753D46"/>
    <w:rsid w:val="00753DD0"/>
    <w:rsid w:val="00754D06"/>
    <w:rsid w:val="0075513E"/>
    <w:rsid w:val="007553B4"/>
    <w:rsid w:val="00755D80"/>
    <w:rsid w:val="00755E6B"/>
    <w:rsid w:val="0075624E"/>
    <w:rsid w:val="00756CE1"/>
    <w:rsid w:val="00756F42"/>
    <w:rsid w:val="007579BD"/>
    <w:rsid w:val="00757DFB"/>
    <w:rsid w:val="00760610"/>
    <w:rsid w:val="00760CE5"/>
    <w:rsid w:val="00760EEF"/>
    <w:rsid w:val="00762895"/>
    <w:rsid w:val="00763633"/>
    <w:rsid w:val="007639C6"/>
    <w:rsid w:val="00763D4B"/>
    <w:rsid w:val="00764632"/>
    <w:rsid w:val="007647F9"/>
    <w:rsid w:val="007649DF"/>
    <w:rsid w:val="00764B10"/>
    <w:rsid w:val="00764D65"/>
    <w:rsid w:val="00765374"/>
    <w:rsid w:val="00765E62"/>
    <w:rsid w:val="00766208"/>
    <w:rsid w:val="0076697D"/>
    <w:rsid w:val="0076699D"/>
    <w:rsid w:val="0076737D"/>
    <w:rsid w:val="007677B1"/>
    <w:rsid w:val="007702E1"/>
    <w:rsid w:val="007706A5"/>
    <w:rsid w:val="00770DCA"/>
    <w:rsid w:val="00772859"/>
    <w:rsid w:val="00772C23"/>
    <w:rsid w:val="00773E59"/>
    <w:rsid w:val="007746E9"/>
    <w:rsid w:val="00774DC8"/>
    <w:rsid w:val="00774E12"/>
    <w:rsid w:val="00775086"/>
    <w:rsid w:val="00775535"/>
    <w:rsid w:val="007757F1"/>
    <w:rsid w:val="007759C1"/>
    <w:rsid w:val="00776401"/>
    <w:rsid w:val="00776484"/>
    <w:rsid w:val="0077677A"/>
    <w:rsid w:val="00777C26"/>
    <w:rsid w:val="00777FBC"/>
    <w:rsid w:val="0078043E"/>
    <w:rsid w:val="007805DB"/>
    <w:rsid w:val="00780DA1"/>
    <w:rsid w:val="007810E0"/>
    <w:rsid w:val="007815AD"/>
    <w:rsid w:val="00781849"/>
    <w:rsid w:val="00781912"/>
    <w:rsid w:val="0078294A"/>
    <w:rsid w:val="00782B36"/>
    <w:rsid w:val="00782E77"/>
    <w:rsid w:val="0078375F"/>
    <w:rsid w:val="007846A2"/>
    <w:rsid w:val="007846DF"/>
    <w:rsid w:val="007849CC"/>
    <w:rsid w:val="00784DBE"/>
    <w:rsid w:val="00785816"/>
    <w:rsid w:val="0078584E"/>
    <w:rsid w:val="00785AE8"/>
    <w:rsid w:val="00786EC2"/>
    <w:rsid w:val="00787182"/>
    <w:rsid w:val="00787B58"/>
    <w:rsid w:val="0079095F"/>
    <w:rsid w:val="00790CEA"/>
    <w:rsid w:val="007911AE"/>
    <w:rsid w:val="00791BE0"/>
    <w:rsid w:val="00791CEF"/>
    <w:rsid w:val="00792475"/>
    <w:rsid w:val="00792CA7"/>
    <w:rsid w:val="007935AB"/>
    <w:rsid w:val="00794969"/>
    <w:rsid w:val="0079505E"/>
    <w:rsid w:val="00795DED"/>
    <w:rsid w:val="007966C3"/>
    <w:rsid w:val="00796CED"/>
    <w:rsid w:val="0079762C"/>
    <w:rsid w:val="00797D83"/>
    <w:rsid w:val="007A05C9"/>
    <w:rsid w:val="007A08CE"/>
    <w:rsid w:val="007A0BD6"/>
    <w:rsid w:val="007A2358"/>
    <w:rsid w:val="007A2F12"/>
    <w:rsid w:val="007A33E0"/>
    <w:rsid w:val="007A4B0F"/>
    <w:rsid w:val="007A4BC7"/>
    <w:rsid w:val="007A4D15"/>
    <w:rsid w:val="007A52D4"/>
    <w:rsid w:val="007A5387"/>
    <w:rsid w:val="007A6582"/>
    <w:rsid w:val="007A6FC8"/>
    <w:rsid w:val="007B0E12"/>
    <w:rsid w:val="007B11DC"/>
    <w:rsid w:val="007B1644"/>
    <w:rsid w:val="007B16F9"/>
    <w:rsid w:val="007B18BE"/>
    <w:rsid w:val="007B19E1"/>
    <w:rsid w:val="007B3CAB"/>
    <w:rsid w:val="007B492C"/>
    <w:rsid w:val="007B579A"/>
    <w:rsid w:val="007B622F"/>
    <w:rsid w:val="007B646F"/>
    <w:rsid w:val="007B6F93"/>
    <w:rsid w:val="007B7A29"/>
    <w:rsid w:val="007B7EBB"/>
    <w:rsid w:val="007C069C"/>
    <w:rsid w:val="007C0CFA"/>
    <w:rsid w:val="007C0F7D"/>
    <w:rsid w:val="007C1888"/>
    <w:rsid w:val="007C1955"/>
    <w:rsid w:val="007C307E"/>
    <w:rsid w:val="007C3094"/>
    <w:rsid w:val="007C353D"/>
    <w:rsid w:val="007C392E"/>
    <w:rsid w:val="007C4510"/>
    <w:rsid w:val="007C4EA7"/>
    <w:rsid w:val="007C54C3"/>
    <w:rsid w:val="007C5E4A"/>
    <w:rsid w:val="007C5FFB"/>
    <w:rsid w:val="007C7446"/>
    <w:rsid w:val="007C7700"/>
    <w:rsid w:val="007C7841"/>
    <w:rsid w:val="007C7F65"/>
    <w:rsid w:val="007D0FFB"/>
    <w:rsid w:val="007D100D"/>
    <w:rsid w:val="007D1862"/>
    <w:rsid w:val="007D18F3"/>
    <w:rsid w:val="007D1AF3"/>
    <w:rsid w:val="007D24EE"/>
    <w:rsid w:val="007D2CFE"/>
    <w:rsid w:val="007D3188"/>
    <w:rsid w:val="007D66F2"/>
    <w:rsid w:val="007D6E06"/>
    <w:rsid w:val="007D7908"/>
    <w:rsid w:val="007D7E79"/>
    <w:rsid w:val="007E00BB"/>
    <w:rsid w:val="007E0DAD"/>
    <w:rsid w:val="007E1094"/>
    <w:rsid w:val="007E119B"/>
    <w:rsid w:val="007E12BA"/>
    <w:rsid w:val="007E2010"/>
    <w:rsid w:val="007E2109"/>
    <w:rsid w:val="007E2FBF"/>
    <w:rsid w:val="007E3067"/>
    <w:rsid w:val="007E3655"/>
    <w:rsid w:val="007E483C"/>
    <w:rsid w:val="007E5125"/>
    <w:rsid w:val="007E623B"/>
    <w:rsid w:val="007E64A1"/>
    <w:rsid w:val="007E6858"/>
    <w:rsid w:val="007E7102"/>
    <w:rsid w:val="007E7ADB"/>
    <w:rsid w:val="007E7DAD"/>
    <w:rsid w:val="007E7F29"/>
    <w:rsid w:val="007F04B0"/>
    <w:rsid w:val="007F09B4"/>
    <w:rsid w:val="007F12DC"/>
    <w:rsid w:val="007F2009"/>
    <w:rsid w:val="007F29F1"/>
    <w:rsid w:val="007F2D70"/>
    <w:rsid w:val="007F39A5"/>
    <w:rsid w:val="007F448C"/>
    <w:rsid w:val="007F49EB"/>
    <w:rsid w:val="007F4AF1"/>
    <w:rsid w:val="007F58BD"/>
    <w:rsid w:val="007F7FE6"/>
    <w:rsid w:val="008009CB"/>
    <w:rsid w:val="00801348"/>
    <w:rsid w:val="00801D0A"/>
    <w:rsid w:val="00801EB5"/>
    <w:rsid w:val="00801F92"/>
    <w:rsid w:val="00802EE2"/>
    <w:rsid w:val="00802FAF"/>
    <w:rsid w:val="00803C62"/>
    <w:rsid w:val="0080404E"/>
    <w:rsid w:val="00804A5A"/>
    <w:rsid w:val="00804BA4"/>
    <w:rsid w:val="008056B0"/>
    <w:rsid w:val="00805CAB"/>
    <w:rsid w:val="00805F09"/>
    <w:rsid w:val="00805F27"/>
    <w:rsid w:val="008062C3"/>
    <w:rsid w:val="0080697C"/>
    <w:rsid w:val="00807317"/>
    <w:rsid w:val="00807B54"/>
    <w:rsid w:val="00807BB3"/>
    <w:rsid w:val="00807C69"/>
    <w:rsid w:val="008100F2"/>
    <w:rsid w:val="008101FE"/>
    <w:rsid w:val="00810A2F"/>
    <w:rsid w:val="00810E1C"/>
    <w:rsid w:val="0081306C"/>
    <w:rsid w:val="00813202"/>
    <w:rsid w:val="0081331E"/>
    <w:rsid w:val="00813A5D"/>
    <w:rsid w:val="00814307"/>
    <w:rsid w:val="00814616"/>
    <w:rsid w:val="008146E3"/>
    <w:rsid w:val="008149CF"/>
    <w:rsid w:val="0081545A"/>
    <w:rsid w:val="008157E9"/>
    <w:rsid w:val="008158C0"/>
    <w:rsid w:val="00815E31"/>
    <w:rsid w:val="00815EB2"/>
    <w:rsid w:val="00816155"/>
    <w:rsid w:val="00816D2E"/>
    <w:rsid w:val="00817DC4"/>
    <w:rsid w:val="00823049"/>
    <w:rsid w:val="00823DCD"/>
    <w:rsid w:val="00823E64"/>
    <w:rsid w:val="00823E95"/>
    <w:rsid w:val="00824106"/>
    <w:rsid w:val="00824159"/>
    <w:rsid w:val="00824A10"/>
    <w:rsid w:val="00824B85"/>
    <w:rsid w:val="00824F7E"/>
    <w:rsid w:val="008253D5"/>
    <w:rsid w:val="00825B76"/>
    <w:rsid w:val="00826CCF"/>
    <w:rsid w:val="0082779D"/>
    <w:rsid w:val="00827CF5"/>
    <w:rsid w:val="00831335"/>
    <w:rsid w:val="00831479"/>
    <w:rsid w:val="00831DBA"/>
    <w:rsid w:val="0083362D"/>
    <w:rsid w:val="00833757"/>
    <w:rsid w:val="00833AB9"/>
    <w:rsid w:val="00833F99"/>
    <w:rsid w:val="0083450F"/>
    <w:rsid w:val="00835654"/>
    <w:rsid w:val="008366A2"/>
    <w:rsid w:val="00836A78"/>
    <w:rsid w:val="0084046E"/>
    <w:rsid w:val="0084053F"/>
    <w:rsid w:val="00840915"/>
    <w:rsid w:val="00842B5D"/>
    <w:rsid w:val="00842E6A"/>
    <w:rsid w:val="00842F45"/>
    <w:rsid w:val="00843276"/>
    <w:rsid w:val="0084355F"/>
    <w:rsid w:val="00843B50"/>
    <w:rsid w:val="00844123"/>
    <w:rsid w:val="0084463E"/>
    <w:rsid w:val="00844780"/>
    <w:rsid w:val="00844972"/>
    <w:rsid w:val="00844BA1"/>
    <w:rsid w:val="0084568B"/>
    <w:rsid w:val="00846131"/>
    <w:rsid w:val="00846487"/>
    <w:rsid w:val="008464BC"/>
    <w:rsid w:val="00847033"/>
    <w:rsid w:val="00847C86"/>
    <w:rsid w:val="0085001A"/>
    <w:rsid w:val="0085038E"/>
    <w:rsid w:val="00850747"/>
    <w:rsid w:val="0085196A"/>
    <w:rsid w:val="00851D01"/>
    <w:rsid w:val="00851EBB"/>
    <w:rsid w:val="00852B27"/>
    <w:rsid w:val="00853E5D"/>
    <w:rsid w:val="0085472B"/>
    <w:rsid w:val="0085532B"/>
    <w:rsid w:val="0085563F"/>
    <w:rsid w:val="008566CE"/>
    <w:rsid w:val="00856B4F"/>
    <w:rsid w:val="008575E1"/>
    <w:rsid w:val="00857E6C"/>
    <w:rsid w:val="00857F66"/>
    <w:rsid w:val="00861EF3"/>
    <w:rsid w:val="008625C5"/>
    <w:rsid w:val="008629B5"/>
    <w:rsid w:val="00863842"/>
    <w:rsid w:val="008640BC"/>
    <w:rsid w:val="0086417B"/>
    <w:rsid w:val="00864315"/>
    <w:rsid w:val="00864B60"/>
    <w:rsid w:val="0086545C"/>
    <w:rsid w:val="008655C1"/>
    <w:rsid w:val="008667A8"/>
    <w:rsid w:val="008677F7"/>
    <w:rsid w:val="00867B2E"/>
    <w:rsid w:val="00867F3A"/>
    <w:rsid w:val="0087013F"/>
    <w:rsid w:val="00870410"/>
    <w:rsid w:val="00870438"/>
    <w:rsid w:val="008707D2"/>
    <w:rsid w:val="00870950"/>
    <w:rsid w:val="008717AF"/>
    <w:rsid w:val="008728CB"/>
    <w:rsid w:val="00872D23"/>
    <w:rsid w:val="00872F62"/>
    <w:rsid w:val="008734F2"/>
    <w:rsid w:val="0087364E"/>
    <w:rsid w:val="00874804"/>
    <w:rsid w:val="00874A53"/>
    <w:rsid w:val="00875226"/>
    <w:rsid w:val="0087562F"/>
    <w:rsid w:val="00876434"/>
    <w:rsid w:val="00876AE6"/>
    <w:rsid w:val="00876CE7"/>
    <w:rsid w:val="00877328"/>
    <w:rsid w:val="008803FE"/>
    <w:rsid w:val="0088099B"/>
    <w:rsid w:val="00880E3F"/>
    <w:rsid w:val="00882313"/>
    <w:rsid w:val="00882A02"/>
    <w:rsid w:val="00883015"/>
    <w:rsid w:val="008832E7"/>
    <w:rsid w:val="00883E3F"/>
    <w:rsid w:val="00883FFD"/>
    <w:rsid w:val="008843C0"/>
    <w:rsid w:val="00885D82"/>
    <w:rsid w:val="00886A1D"/>
    <w:rsid w:val="00886F57"/>
    <w:rsid w:val="0089185E"/>
    <w:rsid w:val="008921FD"/>
    <w:rsid w:val="00892F3B"/>
    <w:rsid w:val="00893A66"/>
    <w:rsid w:val="00895465"/>
    <w:rsid w:val="008955D6"/>
    <w:rsid w:val="00895841"/>
    <w:rsid w:val="00895F90"/>
    <w:rsid w:val="008968C5"/>
    <w:rsid w:val="00897072"/>
    <w:rsid w:val="00897201"/>
    <w:rsid w:val="00897514"/>
    <w:rsid w:val="008975A9"/>
    <w:rsid w:val="00897B26"/>
    <w:rsid w:val="008A006C"/>
    <w:rsid w:val="008A0141"/>
    <w:rsid w:val="008A01C6"/>
    <w:rsid w:val="008A2F3F"/>
    <w:rsid w:val="008A337B"/>
    <w:rsid w:val="008A37BE"/>
    <w:rsid w:val="008A3A56"/>
    <w:rsid w:val="008A3AD2"/>
    <w:rsid w:val="008A4904"/>
    <w:rsid w:val="008A4CCA"/>
    <w:rsid w:val="008A4DC8"/>
    <w:rsid w:val="008A6A83"/>
    <w:rsid w:val="008A7113"/>
    <w:rsid w:val="008A759C"/>
    <w:rsid w:val="008A7FAE"/>
    <w:rsid w:val="008B03A4"/>
    <w:rsid w:val="008B0929"/>
    <w:rsid w:val="008B093D"/>
    <w:rsid w:val="008B09E8"/>
    <w:rsid w:val="008B10F9"/>
    <w:rsid w:val="008B199C"/>
    <w:rsid w:val="008B1CD5"/>
    <w:rsid w:val="008B2A93"/>
    <w:rsid w:val="008B2D63"/>
    <w:rsid w:val="008B4290"/>
    <w:rsid w:val="008B4ADB"/>
    <w:rsid w:val="008B4DA1"/>
    <w:rsid w:val="008B6133"/>
    <w:rsid w:val="008B6C48"/>
    <w:rsid w:val="008B6F5B"/>
    <w:rsid w:val="008B732A"/>
    <w:rsid w:val="008C1D3A"/>
    <w:rsid w:val="008C1FA4"/>
    <w:rsid w:val="008C476D"/>
    <w:rsid w:val="008C4CD7"/>
    <w:rsid w:val="008C60C6"/>
    <w:rsid w:val="008C6664"/>
    <w:rsid w:val="008C6C17"/>
    <w:rsid w:val="008C709E"/>
    <w:rsid w:val="008C7338"/>
    <w:rsid w:val="008D128C"/>
    <w:rsid w:val="008D1811"/>
    <w:rsid w:val="008D2C12"/>
    <w:rsid w:val="008D40A2"/>
    <w:rsid w:val="008D4947"/>
    <w:rsid w:val="008D4D40"/>
    <w:rsid w:val="008D5259"/>
    <w:rsid w:val="008D5E87"/>
    <w:rsid w:val="008D6945"/>
    <w:rsid w:val="008D6C31"/>
    <w:rsid w:val="008D740B"/>
    <w:rsid w:val="008D7AC5"/>
    <w:rsid w:val="008E124B"/>
    <w:rsid w:val="008E1A4F"/>
    <w:rsid w:val="008E200D"/>
    <w:rsid w:val="008E2BA5"/>
    <w:rsid w:val="008E3155"/>
    <w:rsid w:val="008E3303"/>
    <w:rsid w:val="008E3988"/>
    <w:rsid w:val="008E443B"/>
    <w:rsid w:val="008E444C"/>
    <w:rsid w:val="008E46A9"/>
    <w:rsid w:val="008E4A36"/>
    <w:rsid w:val="008E5609"/>
    <w:rsid w:val="008E5D41"/>
    <w:rsid w:val="008E5DC9"/>
    <w:rsid w:val="008E62AB"/>
    <w:rsid w:val="008E6E81"/>
    <w:rsid w:val="008E7985"/>
    <w:rsid w:val="008F0188"/>
    <w:rsid w:val="008F0395"/>
    <w:rsid w:val="008F210B"/>
    <w:rsid w:val="008F25B2"/>
    <w:rsid w:val="008F25F2"/>
    <w:rsid w:val="008F2622"/>
    <w:rsid w:val="008F2A63"/>
    <w:rsid w:val="008F3084"/>
    <w:rsid w:val="008F3434"/>
    <w:rsid w:val="008F4483"/>
    <w:rsid w:val="008F4813"/>
    <w:rsid w:val="008F4BE9"/>
    <w:rsid w:val="008F5721"/>
    <w:rsid w:val="008F5D9D"/>
    <w:rsid w:val="008F65B8"/>
    <w:rsid w:val="008F757F"/>
    <w:rsid w:val="009001BC"/>
    <w:rsid w:val="00900F2B"/>
    <w:rsid w:val="00901FBE"/>
    <w:rsid w:val="009022CF"/>
    <w:rsid w:val="0090286B"/>
    <w:rsid w:val="00902AA3"/>
    <w:rsid w:val="009035BC"/>
    <w:rsid w:val="0090376B"/>
    <w:rsid w:val="00904429"/>
    <w:rsid w:val="009047A1"/>
    <w:rsid w:val="009049A1"/>
    <w:rsid w:val="009056E9"/>
    <w:rsid w:val="00906083"/>
    <w:rsid w:val="0090638D"/>
    <w:rsid w:val="00906964"/>
    <w:rsid w:val="00907A21"/>
    <w:rsid w:val="00907EC6"/>
    <w:rsid w:val="009102E4"/>
    <w:rsid w:val="00910CB2"/>
    <w:rsid w:val="00912592"/>
    <w:rsid w:val="00912B41"/>
    <w:rsid w:val="00914407"/>
    <w:rsid w:val="0091452E"/>
    <w:rsid w:val="0091481D"/>
    <w:rsid w:val="00914B4A"/>
    <w:rsid w:val="00915725"/>
    <w:rsid w:val="009159BE"/>
    <w:rsid w:val="00916BBC"/>
    <w:rsid w:val="00917019"/>
    <w:rsid w:val="009173B1"/>
    <w:rsid w:val="00920338"/>
    <w:rsid w:val="00920A6A"/>
    <w:rsid w:val="00920A8F"/>
    <w:rsid w:val="009217C3"/>
    <w:rsid w:val="009221EC"/>
    <w:rsid w:val="00922765"/>
    <w:rsid w:val="0092359F"/>
    <w:rsid w:val="009243AF"/>
    <w:rsid w:val="00924CA2"/>
    <w:rsid w:val="009257C5"/>
    <w:rsid w:val="00925800"/>
    <w:rsid w:val="00925B63"/>
    <w:rsid w:val="00925BDE"/>
    <w:rsid w:val="00926B2A"/>
    <w:rsid w:val="009270C0"/>
    <w:rsid w:val="009275DB"/>
    <w:rsid w:val="0092792D"/>
    <w:rsid w:val="00930287"/>
    <w:rsid w:val="009307CF"/>
    <w:rsid w:val="0093094B"/>
    <w:rsid w:val="00930CA2"/>
    <w:rsid w:val="009311E0"/>
    <w:rsid w:val="00932D93"/>
    <w:rsid w:val="00932DDE"/>
    <w:rsid w:val="00932F65"/>
    <w:rsid w:val="0093382A"/>
    <w:rsid w:val="009339E1"/>
    <w:rsid w:val="00933ADB"/>
    <w:rsid w:val="00936E62"/>
    <w:rsid w:val="0093710D"/>
    <w:rsid w:val="00937695"/>
    <w:rsid w:val="009377B5"/>
    <w:rsid w:val="00937EE2"/>
    <w:rsid w:val="00937FD6"/>
    <w:rsid w:val="009408FD"/>
    <w:rsid w:val="00941404"/>
    <w:rsid w:val="009418E1"/>
    <w:rsid w:val="00941C42"/>
    <w:rsid w:val="009450FF"/>
    <w:rsid w:val="00945E1D"/>
    <w:rsid w:val="00946615"/>
    <w:rsid w:val="00946A7A"/>
    <w:rsid w:val="00946D88"/>
    <w:rsid w:val="00947C1E"/>
    <w:rsid w:val="00947CF6"/>
    <w:rsid w:val="00950D3D"/>
    <w:rsid w:val="0095111A"/>
    <w:rsid w:val="00951730"/>
    <w:rsid w:val="00951787"/>
    <w:rsid w:val="009518A1"/>
    <w:rsid w:val="00951F5B"/>
    <w:rsid w:val="00952035"/>
    <w:rsid w:val="00952A1F"/>
    <w:rsid w:val="00953D58"/>
    <w:rsid w:val="0095441C"/>
    <w:rsid w:val="009546B7"/>
    <w:rsid w:val="00954EAA"/>
    <w:rsid w:val="00956766"/>
    <w:rsid w:val="009570F0"/>
    <w:rsid w:val="009577E2"/>
    <w:rsid w:val="00957965"/>
    <w:rsid w:val="00960DDD"/>
    <w:rsid w:val="009622F7"/>
    <w:rsid w:val="00962445"/>
    <w:rsid w:val="00962C60"/>
    <w:rsid w:val="00962F60"/>
    <w:rsid w:val="009632FB"/>
    <w:rsid w:val="00963B87"/>
    <w:rsid w:val="00963CBF"/>
    <w:rsid w:val="009653B7"/>
    <w:rsid w:val="0096575E"/>
    <w:rsid w:val="00966554"/>
    <w:rsid w:val="00966EEF"/>
    <w:rsid w:val="009677F7"/>
    <w:rsid w:val="00967B83"/>
    <w:rsid w:val="00967D33"/>
    <w:rsid w:val="00967FBB"/>
    <w:rsid w:val="009702E7"/>
    <w:rsid w:val="009703DE"/>
    <w:rsid w:val="00970639"/>
    <w:rsid w:val="00971FA8"/>
    <w:rsid w:val="00972250"/>
    <w:rsid w:val="009729BB"/>
    <w:rsid w:val="00973CE8"/>
    <w:rsid w:val="009741C1"/>
    <w:rsid w:val="00974D24"/>
    <w:rsid w:val="0097555B"/>
    <w:rsid w:val="0097555E"/>
    <w:rsid w:val="009760CF"/>
    <w:rsid w:val="00976FD4"/>
    <w:rsid w:val="00977389"/>
    <w:rsid w:val="00980680"/>
    <w:rsid w:val="00980CEC"/>
    <w:rsid w:val="00980F7F"/>
    <w:rsid w:val="00981AFB"/>
    <w:rsid w:val="00981C6C"/>
    <w:rsid w:val="0098247F"/>
    <w:rsid w:val="00984B3A"/>
    <w:rsid w:val="00984E50"/>
    <w:rsid w:val="00985AAA"/>
    <w:rsid w:val="009866B4"/>
    <w:rsid w:val="00986758"/>
    <w:rsid w:val="00986B93"/>
    <w:rsid w:val="00987575"/>
    <w:rsid w:val="00987AB0"/>
    <w:rsid w:val="00990005"/>
    <w:rsid w:val="00990382"/>
    <w:rsid w:val="009906AE"/>
    <w:rsid w:val="00990EDD"/>
    <w:rsid w:val="00991210"/>
    <w:rsid w:val="00991374"/>
    <w:rsid w:val="00991A70"/>
    <w:rsid w:val="0099220F"/>
    <w:rsid w:val="009933E8"/>
    <w:rsid w:val="0099395F"/>
    <w:rsid w:val="00993B67"/>
    <w:rsid w:val="009941EC"/>
    <w:rsid w:val="00995060"/>
    <w:rsid w:val="00995AF2"/>
    <w:rsid w:val="00996F95"/>
    <w:rsid w:val="00997451"/>
    <w:rsid w:val="00997A88"/>
    <w:rsid w:val="009A0196"/>
    <w:rsid w:val="009A21D9"/>
    <w:rsid w:val="009A2959"/>
    <w:rsid w:val="009A38CE"/>
    <w:rsid w:val="009A4151"/>
    <w:rsid w:val="009A497F"/>
    <w:rsid w:val="009A56DF"/>
    <w:rsid w:val="009A62D9"/>
    <w:rsid w:val="009A6A98"/>
    <w:rsid w:val="009A6F95"/>
    <w:rsid w:val="009A7DF6"/>
    <w:rsid w:val="009B09BE"/>
    <w:rsid w:val="009B0E99"/>
    <w:rsid w:val="009B40D1"/>
    <w:rsid w:val="009B4576"/>
    <w:rsid w:val="009B49E4"/>
    <w:rsid w:val="009B5581"/>
    <w:rsid w:val="009B5A7F"/>
    <w:rsid w:val="009B62E5"/>
    <w:rsid w:val="009B63A7"/>
    <w:rsid w:val="009B6A2A"/>
    <w:rsid w:val="009B7018"/>
    <w:rsid w:val="009B73F8"/>
    <w:rsid w:val="009B7764"/>
    <w:rsid w:val="009C049F"/>
    <w:rsid w:val="009C08E4"/>
    <w:rsid w:val="009C0E95"/>
    <w:rsid w:val="009C0ED6"/>
    <w:rsid w:val="009C1006"/>
    <w:rsid w:val="009C11FC"/>
    <w:rsid w:val="009C1436"/>
    <w:rsid w:val="009C31CC"/>
    <w:rsid w:val="009C3559"/>
    <w:rsid w:val="009C3E44"/>
    <w:rsid w:val="009C5CD1"/>
    <w:rsid w:val="009C5EDB"/>
    <w:rsid w:val="009C5F26"/>
    <w:rsid w:val="009C60B1"/>
    <w:rsid w:val="009C7437"/>
    <w:rsid w:val="009C7F1D"/>
    <w:rsid w:val="009D013C"/>
    <w:rsid w:val="009D0FD4"/>
    <w:rsid w:val="009D10E7"/>
    <w:rsid w:val="009D1751"/>
    <w:rsid w:val="009D1A3B"/>
    <w:rsid w:val="009D3029"/>
    <w:rsid w:val="009D31FB"/>
    <w:rsid w:val="009D40BE"/>
    <w:rsid w:val="009D4E3E"/>
    <w:rsid w:val="009D523F"/>
    <w:rsid w:val="009D573C"/>
    <w:rsid w:val="009D5B08"/>
    <w:rsid w:val="009D5B29"/>
    <w:rsid w:val="009D5C5D"/>
    <w:rsid w:val="009D5E6C"/>
    <w:rsid w:val="009D6492"/>
    <w:rsid w:val="009D73E2"/>
    <w:rsid w:val="009D7719"/>
    <w:rsid w:val="009D798C"/>
    <w:rsid w:val="009D7DE8"/>
    <w:rsid w:val="009E0FB8"/>
    <w:rsid w:val="009E13DB"/>
    <w:rsid w:val="009E1414"/>
    <w:rsid w:val="009E17EB"/>
    <w:rsid w:val="009E1FFA"/>
    <w:rsid w:val="009E21FF"/>
    <w:rsid w:val="009E23F8"/>
    <w:rsid w:val="009E24BD"/>
    <w:rsid w:val="009E3301"/>
    <w:rsid w:val="009E37ED"/>
    <w:rsid w:val="009E4E97"/>
    <w:rsid w:val="009E527C"/>
    <w:rsid w:val="009E55FD"/>
    <w:rsid w:val="009E567C"/>
    <w:rsid w:val="009E7271"/>
    <w:rsid w:val="009F00EC"/>
    <w:rsid w:val="009F09FA"/>
    <w:rsid w:val="009F0B8A"/>
    <w:rsid w:val="009F1E51"/>
    <w:rsid w:val="009F2E1E"/>
    <w:rsid w:val="009F4003"/>
    <w:rsid w:val="009F4F92"/>
    <w:rsid w:val="009F5EF5"/>
    <w:rsid w:val="009F6494"/>
    <w:rsid w:val="009F663B"/>
    <w:rsid w:val="009F6CCF"/>
    <w:rsid w:val="009F7483"/>
    <w:rsid w:val="009F7AEE"/>
    <w:rsid w:val="009F7D77"/>
    <w:rsid w:val="00A013F8"/>
    <w:rsid w:val="00A01C63"/>
    <w:rsid w:val="00A02636"/>
    <w:rsid w:val="00A02CFC"/>
    <w:rsid w:val="00A03919"/>
    <w:rsid w:val="00A058C4"/>
    <w:rsid w:val="00A0591B"/>
    <w:rsid w:val="00A05B60"/>
    <w:rsid w:val="00A0625D"/>
    <w:rsid w:val="00A0646C"/>
    <w:rsid w:val="00A070A2"/>
    <w:rsid w:val="00A0723C"/>
    <w:rsid w:val="00A07325"/>
    <w:rsid w:val="00A074D1"/>
    <w:rsid w:val="00A1077E"/>
    <w:rsid w:val="00A10895"/>
    <w:rsid w:val="00A1127B"/>
    <w:rsid w:val="00A112ED"/>
    <w:rsid w:val="00A11707"/>
    <w:rsid w:val="00A11E19"/>
    <w:rsid w:val="00A13F1D"/>
    <w:rsid w:val="00A14256"/>
    <w:rsid w:val="00A16070"/>
    <w:rsid w:val="00A168BC"/>
    <w:rsid w:val="00A16E90"/>
    <w:rsid w:val="00A172C6"/>
    <w:rsid w:val="00A176EF"/>
    <w:rsid w:val="00A17B4C"/>
    <w:rsid w:val="00A2053D"/>
    <w:rsid w:val="00A2077A"/>
    <w:rsid w:val="00A20BC9"/>
    <w:rsid w:val="00A20F50"/>
    <w:rsid w:val="00A2108D"/>
    <w:rsid w:val="00A2162E"/>
    <w:rsid w:val="00A21FCA"/>
    <w:rsid w:val="00A222E4"/>
    <w:rsid w:val="00A237E7"/>
    <w:rsid w:val="00A24482"/>
    <w:rsid w:val="00A24789"/>
    <w:rsid w:val="00A24A4B"/>
    <w:rsid w:val="00A25BEA"/>
    <w:rsid w:val="00A25FDC"/>
    <w:rsid w:val="00A263DF"/>
    <w:rsid w:val="00A3078D"/>
    <w:rsid w:val="00A30DB7"/>
    <w:rsid w:val="00A316C2"/>
    <w:rsid w:val="00A3242B"/>
    <w:rsid w:val="00A3272A"/>
    <w:rsid w:val="00A327AA"/>
    <w:rsid w:val="00A350AC"/>
    <w:rsid w:val="00A35BC9"/>
    <w:rsid w:val="00A35DC6"/>
    <w:rsid w:val="00A36396"/>
    <w:rsid w:val="00A3715E"/>
    <w:rsid w:val="00A3749E"/>
    <w:rsid w:val="00A37A2B"/>
    <w:rsid w:val="00A37CB3"/>
    <w:rsid w:val="00A40958"/>
    <w:rsid w:val="00A4117E"/>
    <w:rsid w:val="00A41197"/>
    <w:rsid w:val="00A41BD4"/>
    <w:rsid w:val="00A425CC"/>
    <w:rsid w:val="00A43750"/>
    <w:rsid w:val="00A4427C"/>
    <w:rsid w:val="00A44B96"/>
    <w:rsid w:val="00A46D34"/>
    <w:rsid w:val="00A470AA"/>
    <w:rsid w:val="00A47A82"/>
    <w:rsid w:val="00A5003E"/>
    <w:rsid w:val="00A504EB"/>
    <w:rsid w:val="00A50B7C"/>
    <w:rsid w:val="00A5129A"/>
    <w:rsid w:val="00A5176C"/>
    <w:rsid w:val="00A53259"/>
    <w:rsid w:val="00A53E6B"/>
    <w:rsid w:val="00A53F0E"/>
    <w:rsid w:val="00A54898"/>
    <w:rsid w:val="00A551EC"/>
    <w:rsid w:val="00A567E2"/>
    <w:rsid w:val="00A56D7E"/>
    <w:rsid w:val="00A60842"/>
    <w:rsid w:val="00A6088E"/>
    <w:rsid w:val="00A60CEA"/>
    <w:rsid w:val="00A60DA5"/>
    <w:rsid w:val="00A61806"/>
    <w:rsid w:val="00A619A2"/>
    <w:rsid w:val="00A62678"/>
    <w:rsid w:val="00A62D4F"/>
    <w:rsid w:val="00A632A3"/>
    <w:rsid w:val="00A6333E"/>
    <w:rsid w:val="00A639E7"/>
    <w:rsid w:val="00A63E2B"/>
    <w:rsid w:val="00A657A6"/>
    <w:rsid w:val="00A66449"/>
    <w:rsid w:val="00A66DD5"/>
    <w:rsid w:val="00A67121"/>
    <w:rsid w:val="00A67397"/>
    <w:rsid w:val="00A7059B"/>
    <w:rsid w:val="00A70AF3"/>
    <w:rsid w:val="00A70B38"/>
    <w:rsid w:val="00A71267"/>
    <w:rsid w:val="00A718EC"/>
    <w:rsid w:val="00A71BE6"/>
    <w:rsid w:val="00A71C16"/>
    <w:rsid w:val="00A7219F"/>
    <w:rsid w:val="00A72416"/>
    <w:rsid w:val="00A72E8D"/>
    <w:rsid w:val="00A73553"/>
    <w:rsid w:val="00A73716"/>
    <w:rsid w:val="00A73A2B"/>
    <w:rsid w:val="00A73BAF"/>
    <w:rsid w:val="00A74670"/>
    <w:rsid w:val="00A74B9B"/>
    <w:rsid w:val="00A75026"/>
    <w:rsid w:val="00A75563"/>
    <w:rsid w:val="00A756D3"/>
    <w:rsid w:val="00A7610D"/>
    <w:rsid w:val="00A7648D"/>
    <w:rsid w:val="00A776B4"/>
    <w:rsid w:val="00A77C19"/>
    <w:rsid w:val="00A800A0"/>
    <w:rsid w:val="00A80211"/>
    <w:rsid w:val="00A80688"/>
    <w:rsid w:val="00A809DF"/>
    <w:rsid w:val="00A818BD"/>
    <w:rsid w:val="00A82205"/>
    <w:rsid w:val="00A8230D"/>
    <w:rsid w:val="00A82814"/>
    <w:rsid w:val="00A82F79"/>
    <w:rsid w:val="00A83326"/>
    <w:rsid w:val="00A8347A"/>
    <w:rsid w:val="00A8397D"/>
    <w:rsid w:val="00A83DDD"/>
    <w:rsid w:val="00A842A6"/>
    <w:rsid w:val="00A84490"/>
    <w:rsid w:val="00A848B9"/>
    <w:rsid w:val="00A85147"/>
    <w:rsid w:val="00A85E78"/>
    <w:rsid w:val="00A865DD"/>
    <w:rsid w:val="00A86C2E"/>
    <w:rsid w:val="00A86D7E"/>
    <w:rsid w:val="00A8718F"/>
    <w:rsid w:val="00A8720C"/>
    <w:rsid w:val="00A905FA"/>
    <w:rsid w:val="00A91E21"/>
    <w:rsid w:val="00A91ED9"/>
    <w:rsid w:val="00A92D57"/>
    <w:rsid w:val="00A953AE"/>
    <w:rsid w:val="00A956BD"/>
    <w:rsid w:val="00A95AFC"/>
    <w:rsid w:val="00A95EA3"/>
    <w:rsid w:val="00A95F59"/>
    <w:rsid w:val="00A96D07"/>
    <w:rsid w:val="00A96E32"/>
    <w:rsid w:val="00A9735F"/>
    <w:rsid w:val="00AA16CE"/>
    <w:rsid w:val="00AA1B68"/>
    <w:rsid w:val="00AA21C2"/>
    <w:rsid w:val="00AA2492"/>
    <w:rsid w:val="00AA2B5C"/>
    <w:rsid w:val="00AA2CFC"/>
    <w:rsid w:val="00AA32C6"/>
    <w:rsid w:val="00AA3470"/>
    <w:rsid w:val="00AA3699"/>
    <w:rsid w:val="00AA4630"/>
    <w:rsid w:val="00AA48B8"/>
    <w:rsid w:val="00AA5760"/>
    <w:rsid w:val="00AA69FD"/>
    <w:rsid w:val="00AA6C84"/>
    <w:rsid w:val="00AA73C3"/>
    <w:rsid w:val="00AA75EC"/>
    <w:rsid w:val="00AA7BF0"/>
    <w:rsid w:val="00AA7C85"/>
    <w:rsid w:val="00AB0173"/>
    <w:rsid w:val="00AB056F"/>
    <w:rsid w:val="00AB0611"/>
    <w:rsid w:val="00AB06FC"/>
    <w:rsid w:val="00AB1158"/>
    <w:rsid w:val="00AB175F"/>
    <w:rsid w:val="00AB2C18"/>
    <w:rsid w:val="00AB37F4"/>
    <w:rsid w:val="00AB3D0E"/>
    <w:rsid w:val="00AB548B"/>
    <w:rsid w:val="00AB5A28"/>
    <w:rsid w:val="00AB65E4"/>
    <w:rsid w:val="00AB6968"/>
    <w:rsid w:val="00AB6E73"/>
    <w:rsid w:val="00AB6F03"/>
    <w:rsid w:val="00AB6FC5"/>
    <w:rsid w:val="00AB7132"/>
    <w:rsid w:val="00AC0299"/>
    <w:rsid w:val="00AC14AA"/>
    <w:rsid w:val="00AC1CA7"/>
    <w:rsid w:val="00AC1D96"/>
    <w:rsid w:val="00AC1EDB"/>
    <w:rsid w:val="00AC26BC"/>
    <w:rsid w:val="00AC2B30"/>
    <w:rsid w:val="00AC39A6"/>
    <w:rsid w:val="00AC429F"/>
    <w:rsid w:val="00AC4D54"/>
    <w:rsid w:val="00AC4EC7"/>
    <w:rsid w:val="00AC5401"/>
    <w:rsid w:val="00AC5546"/>
    <w:rsid w:val="00AC7DFC"/>
    <w:rsid w:val="00AD1F67"/>
    <w:rsid w:val="00AD2BA7"/>
    <w:rsid w:val="00AD4039"/>
    <w:rsid w:val="00AD512A"/>
    <w:rsid w:val="00AD5664"/>
    <w:rsid w:val="00AD58F0"/>
    <w:rsid w:val="00AD5D3F"/>
    <w:rsid w:val="00AD6094"/>
    <w:rsid w:val="00AD75B7"/>
    <w:rsid w:val="00AE01FC"/>
    <w:rsid w:val="00AE03FA"/>
    <w:rsid w:val="00AE05AB"/>
    <w:rsid w:val="00AE0CE8"/>
    <w:rsid w:val="00AE1A9D"/>
    <w:rsid w:val="00AE1C55"/>
    <w:rsid w:val="00AE1DF0"/>
    <w:rsid w:val="00AE2111"/>
    <w:rsid w:val="00AE255D"/>
    <w:rsid w:val="00AE2E3F"/>
    <w:rsid w:val="00AE420D"/>
    <w:rsid w:val="00AE4652"/>
    <w:rsid w:val="00AE49F2"/>
    <w:rsid w:val="00AE4C32"/>
    <w:rsid w:val="00AE4C33"/>
    <w:rsid w:val="00AE5AB0"/>
    <w:rsid w:val="00AE6683"/>
    <w:rsid w:val="00AE6966"/>
    <w:rsid w:val="00AE7A36"/>
    <w:rsid w:val="00AE7B53"/>
    <w:rsid w:val="00AF01CA"/>
    <w:rsid w:val="00AF0D68"/>
    <w:rsid w:val="00AF14EE"/>
    <w:rsid w:val="00AF18CD"/>
    <w:rsid w:val="00AF22B4"/>
    <w:rsid w:val="00AF370A"/>
    <w:rsid w:val="00AF3836"/>
    <w:rsid w:val="00AF3962"/>
    <w:rsid w:val="00AF4453"/>
    <w:rsid w:val="00AF471F"/>
    <w:rsid w:val="00AF48CF"/>
    <w:rsid w:val="00AF51A1"/>
    <w:rsid w:val="00AF547E"/>
    <w:rsid w:val="00AF5534"/>
    <w:rsid w:val="00AF573B"/>
    <w:rsid w:val="00AF5A20"/>
    <w:rsid w:val="00AF5CD8"/>
    <w:rsid w:val="00AF6893"/>
    <w:rsid w:val="00AF689E"/>
    <w:rsid w:val="00AF7C05"/>
    <w:rsid w:val="00B00177"/>
    <w:rsid w:val="00B002FE"/>
    <w:rsid w:val="00B00300"/>
    <w:rsid w:val="00B008F6"/>
    <w:rsid w:val="00B00A8D"/>
    <w:rsid w:val="00B00BDF"/>
    <w:rsid w:val="00B02022"/>
    <w:rsid w:val="00B03633"/>
    <w:rsid w:val="00B039AC"/>
    <w:rsid w:val="00B0437D"/>
    <w:rsid w:val="00B045D7"/>
    <w:rsid w:val="00B0645C"/>
    <w:rsid w:val="00B07DE1"/>
    <w:rsid w:val="00B10A49"/>
    <w:rsid w:val="00B10E00"/>
    <w:rsid w:val="00B1103A"/>
    <w:rsid w:val="00B117B7"/>
    <w:rsid w:val="00B129F1"/>
    <w:rsid w:val="00B12EE2"/>
    <w:rsid w:val="00B13A43"/>
    <w:rsid w:val="00B14D7B"/>
    <w:rsid w:val="00B15A2C"/>
    <w:rsid w:val="00B15BFF"/>
    <w:rsid w:val="00B1621A"/>
    <w:rsid w:val="00B16D5E"/>
    <w:rsid w:val="00B16FA8"/>
    <w:rsid w:val="00B17661"/>
    <w:rsid w:val="00B200D8"/>
    <w:rsid w:val="00B2036A"/>
    <w:rsid w:val="00B20CBC"/>
    <w:rsid w:val="00B22CAB"/>
    <w:rsid w:val="00B23F51"/>
    <w:rsid w:val="00B23F57"/>
    <w:rsid w:val="00B24132"/>
    <w:rsid w:val="00B2419C"/>
    <w:rsid w:val="00B245B5"/>
    <w:rsid w:val="00B25DA4"/>
    <w:rsid w:val="00B26189"/>
    <w:rsid w:val="00B27341"/>
    <w:rsid w:val="00B30019"/>
    <w:rsid w:val="00B3065D"/>
    <w:rsid w:val="00B3097A"/>
    <w:rsid w:val="00B30C6A"/>
    <w:rsid w:val="00B30CBD"/>
    <w:rsid w:val="00B31279"/>
    <w:rsid w:val="00B320E6"/>
    <w:rsid w:val="00B32520"/>
    <w:rsid w:val="00B32AA3"/>
    <w:rsid w:val="00B3378D"/>
    <w:rsid w:val="00B33A80"/>
    <w:rsid w:val="00B33F8C"/>
    <w:rsid w:val="00B34159"/>
    <w:rsid w:val="00B3448E"/>
    <w:rsid w:val="00B35814"/>
    <w:rsid w:val="00B35CF7"/>
    <w:rsid w:val="00B375BC"/>
    <w:rsid w:val="00B40336"/>
    <w:rsid w:val="00B40634"/>
    <w:rsid w:val="00B40C00"/>
    <w:rsid w:val="00B41CD5"/>
    <w:rsid w:val="00B41E81"/>
    <w:rsid w:val="00B42781"/>
    <w:rsid w:val="00B4383E"/>
    <w:rsid w:val="00B43EB5"/>
    <w:rsid w:val="00B447ED"/>
    <w:rsid w:val="00B44F37"/>
    <w:rsid w:val="00B4515F"/>
    <w:rsid w:val="00B45C4B"/>
    <w:rsid w:val="00B50046"/>
    <w:rsid w:val="00B50BA6"/>
    <w:rsid w:val="00B51F15"/>
    <w:rsid w:val="00B52450"/>
    <w:rsid w:val="00B52EC1"/>
    <w:rsid w:val="00B53738"/>
    <w:rsid w:val="00B54982"/>
    <w:rsid w:val="00B54C45"/>
    <w:rsid w:val="00B55796"/>
    <w:rsid w:val="00B560F0"/>
    <w:rsid w:val="00B562F3"/>
    <w:rsid w:val="00B565CD"/>
    <w:rsid w:val="00B568DE"/>
    <w:rsid w:val="00B56B5D"/>
    <w:rsid w:val="00B57124"/>
    <w:rsid w:val="00B57BA9"/>
    <w:rsid w:val="00B60E58"/>
    <w:rsid w:val="00B60EC5"/>
    <w:rsid w:val="00B61D17"/>
    <w:rsid w:val="00B62EF1"/>
    <w:rsid w:val="00B6451C"/>
    <w:rsid w:val="00B65266"/>
    <w:rsid w:val="00B664D4"/>
    <w:rsid w:val="00B6660C"/>
    <w:rsid w:val="00B66E53"/>
    <w:rsid w:val="00B67054"/>
    <w:rsid w:val="00B70D37"/>
    <w:rsid w:val="00B70E52"/>
    <w:rsid w:val="00B7101F"/>
    <w:rsid w:val="00B7131C"/>
    <w:rsid w:val="00B71849"/>
    <w:rsid w:val="00B71D97"/>
    <w:rsid w:val="00B722E3"/>
    <w:rsid w:val="00B72F43"/>
    <w:rsid w:val="00B734B9"/>
    <w:rsid w:val="00B73A62"/>
    <w:rsid w:val="00B744CA"/>
    <w:rsid w:val="00B747E1"/>
    <w:rsid w:val="00B75036"/>
    <w:rsid w:val="00B75E7A"/>
    <w:rsid w:val="00B764D7"/>
    <w:rsid w:val="00B768D8"/>
    <w:rsid w:val="00B76A91"/>
    <w:rsid w:val="00B76BC7"/>
    <w:rsid w:val="00B76E39"/>
    <w:rsid w:val="00B77F4C"/>
    <w:rsid w:val="00B800F5"/>
    <w:rsid w:val="00B822B3"/>
    <w:rsid w:val="00B82359"/>
    <w:rsid w:val="00B82653"/>
    <w:rsid w:val="00B82EFE"/>
    <w:rsid w:val="00B836D4"/>
    <w:rsid w:val="00B83BEB"/>
    <w:rsid w:val="00B8485C"/>
    <w:rsid w:val="00B84E60"/>
    <w:rsid w:val="00B85D4C"/>
    <w:rsid w:val="00B85FA0"/>
    <w:rsid w:val="00B87729"/>
    <w:rsid w:val="00B87B23"/>
    <w:rsid w:val="00B90619"/>
    <w:rsid w:val="00B91717"/>
    <w:rsid w:val="00B91FA5"/>
    <w:rsid w:val="00B925F6"/>
    <w:rsid w:val="00B934E9"/>
    <w:rsid w:val="00B93C37"/>
    <w:rsid w:val="00B93E02"/>
    <w:rsid w:val="00B95B45"/>
    <w:rsid w:val="00B95B92"/>
    <w:rsid w:val="00B963D5"/>
    <w:rsid w:val="00B96C0D"/>
    <w:rsid w:val="00B96CA3"/>
    <w:rsid w:val="00B97EEA"/>
    <w:rsid w:val="00BA01C6"/>
    <w:rsid w:val="00BA0FC0"/>
    <w:rsid w:val="00BA17E7"/>
    <w:rsid w:val="00BA45D6"/>
    <w:rsid w:val="00BA5563"/>
    <w:rsid w:val="00BA6171"/>
    <w:rsid w:val="00BA6B06"/>
    <w:rsid w:val="00BA7CA7"/>
    <w:rsid w:val="00BB012B"/>
    <w:rsid w:val="00BB0C00"/>
    <w:rsid w:val="00BB15BF"/>
    <w:rsid w:val="00BB181A"/>
    <w:rsid w:val="00BB1E17"/>
    <w:rsid w:val="00BB2493"/>
    <w:rsid w:val="00BB24A4"/>
    <w:rsid w:val="00BB24E8"/>
    <w:rsid w:val="00BB2563"/>
    <w:rsid w:val="00BB283A"/>
    <w:rsid w:val="00BB2E5A"/>
    <w:rsid w:val="00BB32CA"/>
    <w:rsid w:val="00BB3487"/>
    <w:rsid w:val="00BB3544"/>
    <w:rsid w:val="00BB3587"/>
    <w:rsid w:val="00BB3D15"/>
    <w:rsid w:val="00BB3F0A"/>
    <w:rsid w:val="00BB4005"/>
    <w:rsid w:val="00BB460C"/>
    <w:rsid w:val="00BB4F48"/>
    <w:rsid w:val="00BB5034"/>
    <w:rsid w:val="00BB51B6"/>
    <w:rsid w:val="00BB53B1"/>
    <w:rsid w:val="00BB5579"/>
    <w:rsid w:val="00BB57A0"/>
    <w:rsid w:val="00BB5CE7"/>
    <w:rsid w:val="00BB759B"/>
    <w:rsid w:val="00BB7825"/>
    <w:rsid w:val="00BB7FBF"/>
    <w:rsid w:val="00BC12BF"/>
    <w:rsid w:val="00BC1A06"/>
    <w:rsid w:val="00BC2D1E"/>
    <w:rsid w:val="00BC2D33"/>
    <w:rsid w:val="00BC2ED0"/>
    <w:rsid w:val="00BC3336"/>
    <w:rsid w:val="00BC3BF9"/>
    <w:rsid w:val="00BC4B2C"/>
    <w:rsid w:val="00BC4D1C"/>
    <w:rsid w:val="00BC53AE"/>
    <w:rsid w:val="00BC6185"/>
    <w:rsid w:val="00BC6557"/>
    <w:rsid w:val="00BC7037"/>
    <w:rsid w:val="00BC7B8B"/>
    <w:rsid w:val="00BC7E33"/>
    <w:rsid w:val="00BD065F"/>
    <w:rsid w:val="00BD18EF"/>
    <w:rsid w:val="00BD2D31"/>
    <w:rsid w:val="00BD2F7E"/>
    <w:rsid w:val="00BD2FED"/>
    <w:rsid w:val="00BD309B"/>
    <w:rsid w:val="00BD3440"/>
    <w:rsid w:val="00BD4031"/>
    <w:rsid w:val="00BD4C03"/>
    <w:rsid w:val="00BD56E1"/>
    <w:rsid w:val="00BD5AC6"/>
    <w:rsid w:val="00BD64F7"/>
    <w:rsid w:val="00BD6A81"/>
    <w:rsid w:val="00BE0019"/>
    <w:rsid w:val="00BE2128"/>
    <w:rsid w:val="00BE2519"/>
    <w:rsid w:val="00BE254B"/>
    <w:rsid w:val="00BE25BD"/>
    <w:rsid w:val="00BE2E8E"/>
    <w:rsid w:val="00BE4193"/>
    <w:rsid w:val="00BE43E3"/>
    <w:rsid w:val="00BE4518"/>
    <w:rsid w:val="00BE5F74"/>
    <w:rsid w:val="00BE66F9"/>
    <w:rsid w:val="00BE72C8"/>
    <w:rsid w:val="00BE7642"/>
    <w:rsid w:val="00BF0DBC"/>
    <w:rsid w:val="00BF1349"/>
    <w:rsid w:val="00BF1C24"/>
    <w:rsid w:val="00BF25D1"/>
    <w:rsid w:val="00BF36DF"/>
    <w:rsid w:val="00BF391E"/>
    <w:rsid w:val="00BF3DDE"/>
    <w:rsid w:val="00BF57F4"/>
    <w:rsid w:val="00BF5B0D"/>
    <w:rsid w:val="00BF5B89"/>
    <w:rsid w:val="00BF5BA1"/>
    <w:rsid w:val="00BF5D54"/>
    <w:rsid w:val="00BF5D9A"/>
    <w:rsid w:val="00BF65B1"/>
    <w:rsid w:val="00BF6D0D"/>
    <w:rsid w:val="00BF6EB0"/>
    <w:rsid w:val="00BF73D4"/>
    <w:rsid w:val="00C0029B"/>
    <w:rsid w:val="00C0095B"/>
    <w:rsid w:val="00C0146B"/>
    <w:rsid w:val="00C0292C"/>
    <w:rsid w:val="00C02EC3"/>
    <w:rsid w:val="00C03C51"/>
    <w:rsid w:val="00C0425E"/>
    <w:rsid w:val="00C045A0"/>
    <w:rsid w:val="00C05067"/>
    <w:rsid w:val="00C06320"/>
    <w:rsid w:val="00C06994"/>
    <w:rsid w:val="00C06CCE"/>
    <w:rsid w:val="00C07374"/>
    <w:rsid w:val="00C1013C"/>
    <w:rsid w:val="00C10705"/>
    <w:rsid w:val="00C117A2"/>
    <w:rsid w:val="00C11A44"/>
    <w:rsid w:val="00C11C2E"/>
    <w:rsid w:val="00C12272"/>
    <w:rsid w:val="00C12A80"/>
    <w:rsid w:val="00C12C5F"/>
    <w:rsid w:val="00C140AB"/>
    <w:rsid w:val="00C14F0D"/>
    <w:rsid w:val="00C14FBD"/>
    <w:rsid w:val="00C156FA"/>
    <w:rsid w:val="00C158AE"/>
    <w:rsid w:val="00C15C15"/>
    <w:rsid w:val="00C1631E"/>
    <w:rsid w:val="00C16543"/>
    <w:rsid w:val="00C173A7"/>
    <w:rsid w:val="00C174AB"/>
    <w:rsid w:val="00C174E0"/>
    <w:rsid w:val="00C204B3"/>
    <w:rsid w:val="00C206D4"/>
    <w:rsid w:val="00C207C5"/>
    <w:rsid w:val="00C218FA"/>
    <w:rsid w:val="00C22953"/>
    <w:rsid w:val="00C23A8E"/>
    <w:rsid w:val="00C23B51"/>
    <w:rsid w:val="00C2421A"/>
    <w:rsid w:val="00C24E78"/>
    <w:rsid w:val="00C24FAC"/>
    <w:rsid w:val="00C257BD"/>
    <w:rsid w:val="00C258A6"/>
    <w:rsid w:val="00C25B33"/>
    <w:rsid w:val="00C26269"/>
    <w:rsid w:val="00C26E83"/>
    <w:rsid w:val="00C26F06"/>
    <w:rsid w:val="00C27CB6"/>
    <w:rsid w:val="00C302DB"/>
    <w:rsid w:val="00C3036E"/>
    <w:rsid w:val="00C32516"/>
    <w:rsid w:val="00C3376B"/>
    <w:rsid w:val="00C34022"/>
    <w:rsid w:val="00C34936"/>
    <w:rsid w:val="00C34BD6"/>
    <w:rsid w:val="00C34FE1"/>
    <w:rsid w:val="00C35578"/>
    <w:rsid w:val="00C35A5F"/>
    <w:rsid w:val="00C36063"/>
    <w:rsid w:val="00C3651D"/>
    <w:rsid w:val="00C36E00"/>
    <w:rsid w:val="00C37713"/>
    <w:rsid w:val="00C40336"/>
    <w:rsid w:val="00C4109B"/>
    <w:rsid w:val="00C410A2"/>
    <w:rsid w:val="00C41824"/>
    <w:rsid w:val="00C42C1D"/>
    <w:rsid w:val="00C4353A"/>
    <w:rsid w:val="00C435D1"/>
    <w:rsid w:val="00C448F3"/>
    <w:rsid w:val="00C44921"/>
    <w:rsid w:val="00C46FD8"/>
    <w:rsid w:val="00C47380"/>
    <w:rsid w:val="00C47684"/>
    <w:rsid w:val="00C500DD"/>
    <w:rsid w:val="00C50444"/>
    <w:rsid w:val="00C50E5A"/>
    <w:rsid w:val="00C5132F"/>
    <w:rsid w:val="00C513C3"/>
    <w:rsid w:val="00C518EA"/>
    <w:rsid w:val="00C51C28"/>
    <w:rsid w:val="00C51C70"/>
    <w:rsid w:val="00C51CC8"/>
    <w:rsid w:val="00C52402"/>
    <w:rsid w:val="00C5247D"/>
    <w:rsid w:val="00C552A6"/>
    <w:rsid w:val="00C557DA"/>
    <w:rsid w:val="00C5599F"/>
    <w:rsid w:val="00C567D3"/>
    <w:rsid w:val="00C606F9"/>
    <w:rsid w:val="00C60ED1"/>
    <w:rsid w:val="00C61146"/>
    <w:rsid w:val="00C62350"/>
    <w:rsid w:val="00C62C53"/>
    <w:rsid w:val="00C63357"/>
    <w:rsid w:val="00C634A3"/>
    <w:rsid w:val="00C63519"/>
    <w:rsid w:val="00C63890"/>
    <w:rsid w:val="00C638BE"/>
    <w:rsid w:val="00C63E40"/>
    <w:rsid w:val="00C644B2"/>
    <w:rsid w:val="00C65926"/>
    <w:rsid w:val="00C65F32"/>
    <w:rsid w:val="00C66D2B"/>
    <w:rsid w:val="00C66DF6"/>
    <w:rsid w:val="00C70370"/>
    <w:rsid w:val="00C71085"/>
    <w:rsid w:val="00C71954"/>
    <w:rsid w:val="00C71E73"/>
    <w:rsid w:val="00C720C4"/>
    <w:rsid w:val="00C73C49"/>
    <w:rsid w:val="00C74D89"/>
    <w:rsid w:val="00C75024"/>
    <w:rsid w:val="00C75415"/>
    <w:rsid w:val="00C75CBB"/>
    <w:rsid w:val="00C765B3"/>
    <w:rsid w:val="00C76ADF"/>
    <w:rsid w:val="00C77146"/>
    <w:rsid w:val="00C7742B"/>
    <w:rsid w:val="00C776C2"/>
    <w:rsid w:val="00C81575"/>
    <w:rsid w:val="00C81B7D"/>
    <w:rsid w:val="00C82624"/>
    <w:rsid w:val="00C82D71"/>
    <w:rsid w:val="00C82E6D"/>
    <w:rsid w:val="00C83284"/>
    <w:rsid w:val="00C837A2"/>
    <w:rsid w:val="00C844F9"/>
    <w:rsid w:val="00C8479B"/>
    <w:rsid w:val="00C853A1"/>
    <w:rsid w:val="00C85BA8"/>
    <w:rsid w:val="00C865BA"/>
    <w:rsid w:val="00C867F3"/>
    <w:rsid w:val="00C873C6"/>
    <w:rsid w:val="00C87A39"/>
    <w:rsid w:val="00C87E6F"/>
    <w:rsid w:val="00C901B6"/>
    <w:rsid w:val="00C90938"/>
    <w:rsid w:val="00C90964"/>
    <w:rsid w:val="00C9205F"/>
    <w:rsid w:val="00C92451"/>
    <w:rsid w:val="00C94817"/>
    <w:rsid w:val="00C95009"/>
    <w:rsid w:val="00C951AA"/>
    <w:rsid w:val="00C956FD"/>
    <w:rsid w:val="00C95A80"/>
    <w:rsid w:val="00C96772"/>
    <w:rsid w:val="00C96FC0"/>
    <w:rsid w:val="00C97D2C"/>
    <w:rsid w:val="00CA0882"/>
    <w:rsid w:val="00CA11B1"/>
    <w:rsid w:val="00CA15D4"/>
    <w:rsid w:val="00CA2A71"/>
    <w:rsid w:val="00CA2EE9"/>
    <w:rsid w:val="00CA340B"/>
    <w:rsid w:val="00CA3D49"/>
    <w:rsid w:val="00CA4564"/>
    <w:rsid w:val="00CA516D"/>
    <w:rsid w:val="00CA6321"/>
    <w:rsid w:val="00CA6456"/>
    <w:rsid w:val="00CA69C4"/>
    <w:rsid w:val="00CA6B83"/>
    <w:rsid w:val="00CA7334"/>
    <w:rsid w:val="00CA77DA"/>
    <w:rsid w:val="00CA7D4E"/>
    <w:rsid w:val="00CB072B"/>
    <w:rsid w:val="00CB1F23"/>
    <w:rsid w:val="00CB24A6"/>
    <w:rsid w:val="00CB2911"/>
    <w:rsid w:val="00CB2C26"/>
    <w:rsid w:val="00CB2CFD"/>
    <w:rsid w:val="00CB2F9A"/>
    <w:rsid w:val="00CB3140"/>
    <w:rsid w:val="00CB31D9"/>
    <w:rsid w:val="00CB4561"/>
    <w:rsid w:val="00CB47FA"/>
    <w:rsid w:val="00CB4FEC"/>
    <w:rsid w:val="00CB5547"/>
    <w:rsid w:val="00CB6438"/>
    <w:rsid w:val="00CB6C9D"/>
    <w:rsid w:val="00CB7139"/>
    <w:rsid w:val="00CB7298"/>
    <w:rsid w:val="00CB7770"/>
    <w:rsid w:val="00CB7FAC"/>
    <w:rsid w:val="00CC0429"/>
    <w:rsid w:val="00CC0C2C"/>
    <w:rsid w:val="00CC0D6B"/>
    <w:rsid w:val="00CC0F3E"/>
    <w:rsid w:val="00CC11C5"/>
    <w:rsid w:val="00CC1523"/>
    <w:rsid w:val="00CC1D35"/>
    <w:rsid w:val="00CC29C3"/>
    <w:rsid w:val="00CC2F7D"/>
    <w:rsid w:val="00CC3B0C"/>
    <w:rsid w:val="00CC4604"/>
    <w:rsid w:val="00CC60B9"/>
    <w:rsid w:val="00CC637E"/>
    <w:rsid w:val="00CC6567"/>
    <w:rsid w:val="00CC69F2"/>
    <w:rsid w:val="00CC6B7B"/>
    <w:rsid w:val="00CC6E85"/>
    <w:rsid w:val="00CD0DD3"/>
    <w:rsid w:val="00CD1275"/>
    <w:rsid w:val="00CD1677"/>
    <w:rsid w:val="00CD1D37"/>
    <w:rsid w:val="00CD2155"/>
    <w:rsid w:val="00CD35A4"/>
    <w:rsid w:val="00CD38B4"/>
    <w:rsid w:val="00CD48C6"/>
    <w:rsid w:val="00CD5FA1"/>
    <w:rsid w:val="00CD6240"/>
    <w:rsid w:val="00CD6901"/>
    <w:rsid w:val="00CD7C16"/>
    <w:rsid w:val="00CD7F3E"/>
    <w:rsid w:val="00CE0361"/>
    <w:rsid w:val="00CE07C8"/>
    <w:rsid w:val="00CE1235"/>
    <w:rsid w:val="00CE181C"/>
    <w:rsid w:val="00CE1942"/>
    <w:rsid w:val="00CE19EB"/>
    <w:rsid w:val="00CE1E5F"/>
    <w:rsid w:val="00CE1F5E"/>
    <w:rsid w:val="00CE1FD4"/>
    <w:rsid w:val="00CE24E5"/>
    <w:rsid w:val="00CE2E79"/>
    <w:rsid w:val="00CE3953"/>
    <w:rsid w:val="00CE3B4E"/>
    <w:rsid w:val="00CE450C"/>
    <w:rsid w:val="00CE4889"/>
    <w:rsid w:val="00CE4CB7"/>
    <w:rsid w:val="00CE5079"/>
    <w:rsid w:val="00CE5B7E"/>
    <w:rsid w:val="00CE6050"/>
    <w:rsid w:val="00CE6654"/>
    <w:rsid w:val="00CE6C03"/>
    <w:rsid w:val="00CE745A"/>
    <w:rsid w:val="00CE7A2A"/>
    <w:rsid w:val="00CF012F"/>
    <w:rsid w:val="00CF05F1"/>
    <w:rsid w:val="00CF0964"/>
    <w:rsid w:val="00CF0CE8"/>
    <w:rsid w:val="00CF0D63"/>
    <w:rsid w:val="00CF1000"/>
    <w:rsid w:val="00CF1FB3"/>
    <w:rsid w:val="00CF20C5"/>
    <w:rsid w:val="00CF2EB3"/>
    <w:rsid w:val="00CF4293"/>
    <w:rsid w:val="00CF4AA1"/>
    <w:rsid w:val="00CF4D40"/>
    <w:rsid w:val="00CF5074"/>
    <w:rsid w:val="00CF5376"/>
    <w:rsid w:val="00CF653E"/>
    <w:rsid w:val="00CF7576"/>
    <w:rsid w:val="00CF767B"/>
    <w:rsid w:val="00D00323"/>
    <w:rsid w:val="00D00367"/>
    <w:rsid w:val="00D00C59"/>
    <w:rsid w:val="00D02F19"/>
    <w:rsid w:val="00D0310B"/>
    <w:rsid w:val="00D03403"/>
    <w:rsid w:val="00D03C08"/>
    <w:rsid w:val="00D03D76"/>
    <w:rsid w:val="00D04AEF"/>
    <w:rsid w:val="00D0622B"/>
    <w:rsid w:val="00D067E2"/>
    <w:rsid w:val="00D0742F"/>
    <w:rsid w:val="00D07C2A"/>
    <w:rsid w:val="00D10399"/>
    <w:rsid w:val="00D11460"/>
    <w:rsid w:val="00D1153F"/>
    <w:rsid w:val="00D115C3"/>
    <w:rsid w:val="00D11742"/>
    <w:rsid w:val="00D13351"/>
    <w:rsid w:val="00D14C53"/>
    <w:rsid w:val="00D14CF5"/>
    <w:rsid w:val="00D14DDE"/>
    <w:rsid w:val="00D153E8"/>
    <w:rsid w:val="00D15EB2"/>
    <w:rsid w:val="00D164ED"/>
    <w:rsid w:val="00D16C2C"/>
    <w:rsid w:val="00D20B55"/>
    <w:rsid w:val="00D20DAD"/>
    <w:rsid w:val="00D22B52"/>
    <w:rsid w:val="00D22D29"/>
    <w:rsid w:val="00D22D98"/>
    <w:rsid w:val="00D22E4E"/>
    <w:rsid w:val="00D23719"/>
    <w:rsid w:val="00D243F4"/>
    <w:rsid w:val="00D24C22"/>
    <w:rsid w:val="00D251D4"/>
    <w:rsid w:val="00D25E72"/>
    <w:rsid w:val="00D27813"/>
    <w:rsid w:val="00D27B90"/>
    <w:rsid w:val="00D30896"/>
    <w:rsid w:val="00D30DB6"/>
    <w:rsid w:val="00D321C0"/>
    <w:rsid w:val="00D322D7"/>
    <w:rsid w:val="00D324A1"/>
    <w:rsid w:val="00D3276C"/>
    <w:rsid w:val="00D328A2"/>
    <w:rsid w:val="00D339BE"/>
    <w:rsid w:val="00D33C63"/>
    <w:rsid w:val="00D33DD3"/>
    <w:rsid w:val="00D351B9"/>
    <w:rsid w:val="00D356A0"/>
    <w:rsid w:val="00D35885"/>
    <w:rsid w:val="00D361FD"/>
    <w:rsid w:val="00D3747B"/>
    <w:rsid w:val="00D40357"/>
    <w:rsid w:val="00D409A2"/>
    <w:rsid w:val="00D40CFC"/>
    <w:rsid w:val="00D417B3"/>
    <w:rsid w:val="00D42A2A"/>
    <w:rsid w:val="00D42C0B"/>
    <w:rsid w:val="00D438BB"/>
    <w:rsid w:val="00D43E46"/>
    <w:rsid w:val="00D447AD"/>
    <w:rsid w:val="00D44AB5"/>
    <w:rsid w:val="00D44BA6"/>
    <w:rsid w:val="00D44CF0"/>
    <w:rsid w:val="00D4517C"/>
    <w:rsid w:val="00D45457"/>
    <w:rsid w:val="00D456FC"/>
    <w:rsid w:val="00D45921"/>
    <w:rsid w:val="00D472A1"/>
    <w:rsid w:val="00D507D2"/>
    <w:rsid w:val="00D50C14"/>
    <w:rsid w:val="00D50F7E"/>
    <w:rsid w:val="00D51ED2"/>
    <w:rsid w:val="00D51F50"/>
    <w:rsid w:val="00D5271F"/>
    <w:rsid w:val="00D53304"/>
    <w:rsid w:val="00D53320"/>
    <w:rsid w:val="00D533ED"/>
    <w:rsid w:val="00D535FC"/>
    <w:rsid w:val="00D536CC"/>
    <w:rsid w:val="00D53AC0"/>
    <w:rsid w:val="00D5440F"/>
    <w:rsid w:val="00D54602"/>
    <w:rsid w:val="00D54A4F"/>
    <w:rsid w:val="00D55BD9"/>
    <w:rsid w:val="00D60872"/>
    <w:rsid w:val="00D61051"/>
    <w:rsid w:val="00D616DA"/>
    <w:rsid w:val="00D640FC"/>
    <w:rsid w:val="00D65134"/>
    <w:rsid w:val="00D65178"/>
    <w:rsid w:val="00D666CF"/>
    <w:rsid w:val="00D66B54"/>
    <w:rsid w:val="00D6717D"/>
    <w:rsid w:val="00D672EC"/>
    <w:rsid w:val="00D677CA"/>
    <w:rsid w:val="00D67E02"/>
    <w:rsid w:val="00D70091"/>
    <w:rsid w:val="00D700E0"/>
    <w:rsid w:val="00D7022A"/>
    <w:rsid w:val="00D706FB"/>
    <w:rsid w:val="00D71144"/>
    <w:rsid w:val="00D711B4"/>
    <w:rsid w:val="00D712F6"/>
    <w:rsid w:val="00D72093"/>
    <w:rsid w:val="00D720E8"/>
    <w:rsid w:val="00D72885"/>
    <w:rsid w:val="00D73DB2"/>
    <w:rsid w:val="00D7442D"/>
    <w:rsid w:val="00D745A4"/>
    <w:rsid w:val="00D7513F"/>
    <w:rsid w:val="00D751B6"/>
    <w:rsid w:val="00D76104"/>
    <w:rsid w:val="00D7722F"/>
    <w:rsid w:val="00D773FC"/>
    <w:rsid w:val="00D776C4"/>
    <w:rsid w:val="00D77944"/>
    <w:rsid w:val="00D80499"/>
    <w:rsid w:val="00D80F8C"/>
    <w:rsid w:val="00D8159B"/>
    <w:rsid w:val="00D81645"/>
    <w:rsid w:val="00D8189D"/>
    <w:rsid w:val="00D81D27"/>
    <w:rsid w:val="00D8250F"/>
    <w:rsid w:val="00D82EF8"/>
    <w:rsid w:val="00D830B1"/>
    <w:rsid w:val="00D83418"/>
    <w:rsid w:val="00D86BD2"/>
    <w:rsid w:val="00D871BF"/>
    <w:rsid w:val="00D87337"/>
    <w:rsid w:val="00D874D4"/>
    <w:rsid w:val="00D87553"/>
    <w:rsid w:val="00D877C9"/>
    <w:rsid w:val="00D8780A"/>
    <w:rsid w:val="00D879DC"/>
    <w:rsid w:val="00D87BC6"/>
    <w:rsid w:val="00D90944"/>
    <w:rsid w:val="00D909CB"/>
    <w:rsid w:val="00D90D5C"/>
    <w:rsid w:val="00D9206A"/>
    <w:rsid w:val="00D92122"/>
    <w:rsid w:val="00D92519"/>
    <w:rsid w:val="00D9285C"/>
    <w:rsid w:val="00D92B18"/>
    <w:rsid w:val="00D92DB5"/>
    <w:rsid w:val="00D943F8"/>
    <w:rsid w:val="00D958DA"/>
    <w:rsid w:val="00D95CD6"/>
    <w:rsid w:val="00D96529"/>
    <w:rsid w:val="00D97BD8"/>
    <w:rsid w:val="00D97E19"/>
    <w:rsid w:val="00DA0460"/>
    <w:rsid w:val="00DA1880"/>
    <w:rsid w:val="00DA1EC5"/>
    <w:rsid w:val="00DA2D00"/>
    <w:rsid w:val="00DA2F29"/>
    <w:rsid w:val="00DA328C"/>
    <w:rsid w:val="00DA3AF0"/>
    <w:rsid w:val="00DA3D74"/>
    <w:rsid w:val="00DA3E72"/>
    <w:rsid w:val="00DA40AF"/>
    <w:rsid w:val="00DA42DE"/>
    <w:rsid w:val="00DA47A4"/>
    <w:rsid w:val="00DA4943"/>
    <w:rsid w:val="00DA4953"/>
    <w:rsid w:val="00DA4A6D"/>
    <w:rsid w:val="00DA5C08"/>
    <w:rsid w:val="00DA6799"/>
    <w:rsid w:val="00DA692A"/>
    <w:rsid w:val="00DA6C3E"/>
    <w:rsid w:val="00DA70B8"/>
    <w:rsid w:val="00DA7F88"/>
    <w:rsid w:val="00DB02F7"/>
    <w:rsid w:val="00DB1B24"/>
    <w:rsid w:val="00DB2221"/>
    <w:rsid w:val="00DB2DCB"/>
    <w:rsid w:val="00DB3286"/>
    <w:rsid w:val="00DB34F3"/>
    <w:rsid w:val="00DB406C"/>
    <w:rsid w:val="00DB4135"/>
    <w:rsid w:val="00DB4BDE"/>
    <w:rsid w:val="00DB4FB5"/>
    <w:rsid w:val="00DB5FB9"/>
    <w:rsid w:val="00DB6BB6"/>
    <w:rsid w:val="00DB6C62"/>
    <w:rsid w:val="00DB6D0E"/>
    <w:rsid w:val="00DB6F4A"/>
    <w:rsid w:val="00DB7D39"/>
    <w:rsid w:val="00DC0637"/>
    <w:rsid w:val="00DC08EE"/>
    <w:rsid w:val="00DC0A59"/>
    <w:rsid w:val="00DC101C"/>
    <w:rsid w:val="00DC1406"/>
    <w:rsid w:val="00DC1D6E"/>
    <w:rsid w:val="00DC2709"/>
    <w:rsid w:val="00DC2957"/>
    <w:rsid w:val="00DC2F55"/>
    <w:rsid w:val="00DC43B4"/>
    <w:rsid w:val="00DC463D"/>
    <w:rsid w:val="00DC46A3"/>
    <w:rsid w:val="00DC4968"/>
    <w:rsid w:val="00DC4AFD"/>
    <w:rsid w:val="00DC4BC0"/>
    <w:rsid w:val="00DC4DD5"/>
    <w:rsid w:val="00DC4DDA"/>
    <w:rsid w:val="00DC5545"/>
    <w:rsid w:val="00DC5784"/>
    <w:rsid w:val="00DC6366"/>
    <w:rsid w:val="00DC7F53"/>
    <w:rsid w:val="00DD001B"/>
    <w:rsid w:val="00DD068A"/>
    <w:rsid w:val="00DD1A34"/>
    <w:rsid w:val="00DD1B10"/>
    <w:rsid w:val="00DD1CE8"/>
    <w:rsid w:val="00DD1E59"/>
    <w:rsid w:val="00DD2AD9"/>
    <w:rsid w:val="00DD2BA4"/>
    <w:rsid w:val="00DD2DCD"/>
    <w:rsid w:val="00DD3B78"/>
    <w:rsid w:val="00DD429F"/>
    <w:rsid w:val="00DD4386"/>
    <w:rsid w:val="00DD4EDE"/>
    <w:rsid w:val="00DD55ED"/>
    <w:rsid w:val="00DD5704"/>
    <w:rsid w:val="00DD5B59"/>
    <w:rsid w:val="00DD6335"/>
    <w:rsid w:val="00DD721A"/>
    <w:rsid w:val="00DD75B4"/>
    <w:rsid w:val="00DD7720"/>
    <w:rsid w:val="00DD7B0B"/>
    <w:rsid w:val="00DD7FB8"/>
    <w:rsid w:val="00DE1575"/>
    <w:rsid w:val="00DE1F55"/>
    <w:rsid w:val="00DE2903"/>
    <w:rsid w:val="00DE2D24"/>
    <w:rsid w:val="00DE310D"/>
    <w:rsid w:val="00DE67EF"/>
    <w:rsid w:val="00DE716C"/>
    <w:rsid w:val="00DE76FB"/>
    <w:rsid w:val="00DE79DF"/>
    <w:rsid w:val="00DE7F75"/>
    <w:rsid w:val="00DF00DF"/>
    <w:rsid w:val="00DF03F5"/>
    <w:rsid w:val="00DF1AF2"/>
    <w:rsid w:val="00DF200A"/>
    <w:rsid w:val="00DF2909"/>
    <w:rsid w:val="00DF2A4B"/>
    <w:rsid w:val="00DF3366"/>
    <w:rsid w:val="00DF4254"/>
    <w:rsid w:val="00DF439B"/>
    <w:rsid w:val="00DF553C"/>
    <w:rsid w:val="00DF7552"/>
    <w:rsid w:val="00E005B8"/>
    <w:rsid w:val="00E00A64"/>
    <w:rsid w:val="00E00C0E"/>
    <w:rsid w:val="00E011F2"/>
    <w:rsid w:val="00E014A6"/>
    <w:rsid w:val="00E016AC"/>
    <w:rsid w:val="00E01A13"/>
    <w:rsid w:val="00E02016"/>
    <w:rsid w:val="00E03EDA"/>
    <w:rsid w:val="00E045C4"/>
    <w:rsid w:val="00E04E6A"/>
    <w:rsid w:val="00E0542C"/>
    <w:rsid w:val="00E06729"/>
    <w:rsid w:val="00E06C12"/>
    <w:rsid w:val="00E073DA"/>
    <w:rsid w:val="00E07BFE"/>
    <w:rsid w:val="00E07F44"/>
    <w:rsid w:val="00E10F76"/>
    <w:rsid w:val="00E11032"/>
    <w:rsid w:val="00E11B71"/>
    <w:rsid w:val="00E1374F"/>
    <w:rsid w:val="00E13DEA"/>
    <w:rsid w:val="00E140EE"/>
    <w:rsid w:val="00E143CC"/>
    <w:rsid w:val="00E14B02"/>
    <w:rsid w:val="00E14C41"/>
    <w:rsid w:val="00E1584B"/>
    <w:rsid w:val="00E16234"/>
    <w:rsid w:val="00E16CC1"/>
    <w:rsid w:val="00E179E1"/>
    <w:rsid w:val="00E20CA9"/>
    <w:rsid w:val="00E20D12"/>
    <w:rsid w:val="00E21672"/>
    <w:rsid w:val="00E21C2E"/>
    <w:rsid w:val="00E222FA"/>
    <w:rsid w:val="00E22474"/>
    <w:rsid w:val="00E23C34"/>
    <w:rsid w:val="00E24067"/>
    <w:rsid w:val="00E247C7"/>
    <w:rsid w:val="00E24D19"/>
    <w:rsid w:val="00E25B54"/>
    <w:rsid w:val="00E25BEF"/>
    <w:rsid w:val="00E260F4"/>
    <w:rsid w:val="00E26A86"/>
    <w:rsid w:val="00E26CF9"/>
    <w:rsid w:val="00E27925"/>
    <w:rsid w:val="00E27999"/>
    <w:rsid w:val="00E304FF"/>
    <w:rsid w:val="00E30692"/>
    <w:rsid w:val="00E30A11"/>
    <w:rsid w:val="00E30C93"/>
    <w:rsid w:val="00E31156"/>
    <w:rsid w:val="00E3140C"/>
    <w:rsid w:val="00E315E3"/>
    <w:rsid w:val="00E31E15"/>
    <w:rsid w:val="00E32853"/>
    <w:rsid w:val="00E328CB"/>
    <w:rsid w:val="00E32DB0"/>
    <w:rsid w:val="00E33057"/>
    <w:rsid w:val="00E35AC0"/>
    <w:rsid w:val="00E37110"/>
    <w:rsid w:val="00E372EB"/>
    <w:rsid w:val="00E37304"/>
    <w:rsid w:val="00E37625"/>
    <w:rsid w:val="00E3785C"/>
    <w:rsid w:val="00E37DEF"/>
    <w:rsid w:val="00E4124E"/>
    <w:rsid w:val="00E418E5"/>
    <w:rsid w:val="00E41B47"/>
    <w:rsid w:val="00E425E1"/>
    <w:rsid w:val="00E42B8E"/>
    <w:rsid w:val="00E42EBC"/>
    <w:rsid w:val="00E4307F"/>
    <w:rsid w:val="00E433E9"/>
    <w:rsid w:val="00E4387C"/>
    <w:rsid w:val="00E44314"/>
    <w:rsid w:val="00E44CF9"/>
    <w:rsid w:val="00E4522B"/>
    <w:rsid w:val="00E46870"/>
    <w:rsid w:val="00E46AFF"/>
    <w:rsid w:val="00E46BE9"/>
    <w:rsid w:val="00E46E2F"/>
    <w:rsid w:val="00E46E58"/>
    <w:rsid w:val="00E50CED"/>
    <w:rsid w:val="00E50F3A"/>
    <w:rsid w:val="00E511F5"/>
    <w:rsid w:val="00E51274"/>
    <w:rsid w:val="00E51486"/>
    <w:rsid w:val="00E5200C"/>
    <w:rsid w:val="00E5344E"/>
    <w:rsid w:val="00E53455"/>
    <w:rsid w:val="00E535E1"/>
    <w:rsid w:val="00E53667"/>
    <w:rsid w:val="00E53A48"/>
    <w:rsid w:val="00E5412E"/>
    <w:rsid w:val="00E5432F"/>
    <w:rsid w:val="00E54633"/>
    <w:rsid w:val="00E54DED"/>
    <w:rsid w:val="00E55831"/>
    <w:rsid w:val="00E559AC"/>
    <w:rsid w:val="00E5681D"/>
    <w:rsid w:val="00E56D19"/>
    <w:rsid w:val="00E56E38"/>
    <w:rsid w:val="00E57354"/>
    <w:rsid w:val="00E577A7"/>
    <w:rsid w:val="00E578D4"/>
    <w:rsid w:val="00E5798B"/>
    <w:rsid w:val="00E57A32"/>
    <w:rsid w:val="00E602AF"/>
    <w:rsid w:val="00E6036A"/>
    <w:rsid w:val="00E60C45"/>
    <w:rsid w:val="00E62587"/>
    <w:rsid w:val="00E62B24"/>
    <w:rsid w:val="00E62F58"/>
    <w:rsid w:val="00E63245"/>
    <w:rsid w:val="00E634B0"/>
    <w:rsid w:val="00E63CFB"/>
    <w:rsid w:val="00E64A1F"/>
    <w:rsid w:val="00E64F1B"/>
    <w:rsid w:val="00E65C26"/>
    <w:rsid w:val="00E67282"/>
    <w:rsid w:val="00E672FA"/>
    <w:rsid w:val="00E70997"/>
    <w:rsid w:val="00E71D97"/>
    <w:rsid w:val="00E72F68"/>
    <w:rsid w:val="00E7333D"/>
    <w:rsid w:val="00E73EC9"/>
    <w:rsid w:val="00E740AF"/>
    <w:rsid w:val="00E74657"/>
    <w:rsid w:val="00E74DC4"/>
    <w:rsid w:val="00E75269"/>
    <w:rsid w:val="00E756D6"/>
    <w:rsid w:val="00E7584F"/>
    <w:rsid w:val="00E76035"/>
    <w:rsid w:val="00E760EC"/>
    <w:rsid w:val="00E764BB"/>
    <w:rsid w:val="00E76FEB"/>
    <w:rsid w:val="00E77998"/>
    <w:rsid w:val="00E8181A"/>
    <w:rsid w:val="00E81A2A"/>
    <w:rsid w:val="00E82165"/>
    <w:rsid w:val="00E822F7"/>
    <w:rsid w:val="00E82910"/>
    <w:rsid w:val="00E837AA"/>
    <w:rsid w:val="00E84251"/>
    <w:rsid w:val="00E84C38"/>
    <w:rsid w:val="00E85173"/>
    <w:rsid w:val="00E851EF"/>
    <w:rsid w:val="00E85582"/>
    <w:rsid w:val="00E8589B"/>
    <w:rsid w:val="00E85A6C"/>
    <w:rsid w:val="00E85C6C"/>
    <w:rsid w:val="00E85DB6"/>
    <w:rsid w:val="00E867DF"/>
    <w:rsid w:val="00E86EFF"/>
    <w:rsid w:val="00E86F4D"/>
    <w:rsid w:val="00E90321"/>
    <w:rsid w:val="00E90C5B"/>
    <w:rsid w:val="00E90DCF"/>
    <w:rsid w:val="00E91703"/>
    <w:rsid w:val="00E92237"/>
    <w:rsid w:val="00E9273F"/>
    <w:rsid w:val="00E92748"/>
    <w:rsid w:val="00E929BF"/>
    <w:rsid w:val="00E93311"/>
    <w:rsid w:val="00E9365C"/>
    <w:rsid w:val="00E93668"/>
    <w:rsid w:val="00E93D66"/>
    <w:rsid w:val="00E9795F"/>
    <w:rsid w:val="00EA1668"/>
    <w:rsid w:val="00EA2E69"/>
    <w:rsid w:val="00EA3328"/>
    <w:rsid w:val="00EA344D"/>
    <w:rsid w:val="00EA3843"/>
    <w:rsid w:val="00EA39D0"/>
    <w:rsid w:val="00EA3D1A"/>
    <w:rsid w:val="00EA4314"/>
    <w:rsid w:val="00EA4560"/>
    <w:rsid w:val="00EA4627"/>
    <w:rsid w:val="00EA4ABF"/>
    <w:rsid w:val="00EA4D3D"/>
    <w:rsid w:val="00EA4FD8"/>
    <w:rsid w:val="00EA5341"/>
    <w:rsid w:val="00EA5B03"/>
    <w:rsid w:val="00EA5DF0"/>
    <w:rsid w:val="00EA60B0"/>
    <w:rsid w:val="00EA68DD"/>
    <w:rsid w:val="00EA6BE3"/>
    <w:rsid w:val="00EA6EE1"/>
    <w:rsid w:val="00EA79A7"/>
    <w:rsid w:val="00EA7AC3"/>
    <w:rsid w:val="00EB0125"/>
    <w:rsid w:val="00EB0E6B"/>
    <w:rsid w:val="00EB0F63"/>
    <w:rsid w:val="00EB0FA9"/>
    <w:rsid w:val="00EB14D7"/>
    <w:rsid w:val="00EB1606"/>
    <w:rsid w:val="00EB1C7B"/>
    <w:rsid w:val="00EB1E25"/>
    <w:rsid w:val="00EB281C"/>
    <w:rsid w:val="00EB3A0B"/>
    <w:rsid w:val="00EB5FDA"/>
    <w:rsid w:val="00EB620D"/>
    <w:rsid w:val="00EB6248"/>
    <w:rsid w:val="00EB699E"/>
    <w:rsid w:val="00EB6D8B"/>
    <w:rsid w:val="00EB730F"/>
    <w:rsid w:val="00EB7AFC"/>
    <w:rsid w:val="00EC0DE6"/>
    <w:rsid w:val="00EC11B1"/>
    <w:rsid w:val="00EC1291"/>
    <w:rsid w:val="00EC15B2"/>
    <w:rsid w:val="00EC36A7"/>
    <w:rsid w:val="00EC4368"/>
    <w:rsid w:val="00EC471F"/>
    <w:rsid w:val="00EC55A0"/>
    <w:rsid w:val="00EC658A"/>
    <w:rsid w:val="00EC6DD0"/>
    <w:rsid w:val="00EC7266"/>
    <w:rsid w:val="00EC74F1"/>
    <w:rsid w:val="00EC7826"/>
    <w:rsid w:val="00EC797F"/>
    <w:rsid w:val="00ED1434"/>
    <w:rsid w:val="00ED1836"/>
    <w:rsid w:val="00ED1899"/>
    <w:rsid w:val="00ED1CCA"/>
    <w:rsid w:val="00ED2106"/>
    <w:rsid w:val="00ED29F0"/>
    <w:rsid w:val="00ED2ED2"/>
    <w:rsid w:val="00ED49DD"/>
    <w:rsid w:val="00ED5182"/>
    <w:rsid w:val="00ED5211"/>
    <w:rsid w:val="00ED6234"/>
    <w:rsid w:val="00ED67F9"/>
    <w:rsid w:val="00ED6A97"/>
    <w:rsid w:val="00ED6AE2"/>
    <w:rsid w:val="00ED7E6C"/>
    <w:rsid w:val="00EE06FA"/>
    <w:rsid w:val="00EE0896"/>
    <w:rsid w:val="00EE0994"/>
    <w:rsid w:val="00EE0CBB"/>
    <w:rsid w:val="00EE0EE8"/>
    <w:rsid w:val="00EE1717"/>
    <w:rsid w:val="00EE23BE"/>
    <w:rsid w:val="00EE2666"/>
    <w:rsid w:val="00EE2840"/>
    <w:rsid w:val="00EE2CFB"/>
    <w:rsid w:val="00EE3273"/>
    <w:rsid w:val="00EE3534"/>
    <w:rsid w:val="00EE355B"/>
    <w:rsid w:val="00EE3ACD"/>
    <w:rsid w:val="00EE3BC8"/>
    <w:rsid w:val="00EE3D83"/>
    <w:rsid w:val="00EE4AAC"/>
    <w:rsid w:val="00EE57F6"/>
    <w:rsid w:val="00EE5BDC"/>
    <w:rsid w:val="00EE63BC"/>
    <w:rsid w:val="00EE71C9"/>
    <w:rsid w:val="00EE74AF"/>
    <w:rsid w:val="00EE7F36"/>
    <w:rsid w:val="00EF0DAC"/>
    <w:rsid w:val="00EF0ED8"/>
    <w:rsid w:val="00EF1E11"/>
    <w:rsid w:val="00EF2579"/>
    <w:rsid w:val="00EF338F"/>
    <w:rsid w:val="00EF4050"/>
    <w:rsid w:val="00EF407C"/>
    <w:rsid w:val="00EF4660"/>
    <w:rsid w:val="00EF4A3D"/>
    <w:rsid w:val="00EF4ECA"/>
    <w:rsid w:val="00EF5CAA"/>
    <w:rsid w:val="00EF6610"/>
    <w:rsid w:val="00EF67AB"/>
    <w:rsid w:val="00EF6ADA"/>
    <w:rsid w:val="00EF6C26"/>
    <w:rsid w:val="00EF7784"/>
    <w:rsid w:val="00F012CA"/>
    <w:rsid w:val="00F0206F"/>
    <w:rsid w:val="00F0284F"/>
    <w:rsid w:val="00F02CBE"/>
    <w:rsid w:val="00F0315D"/>
    <w:rsid w:val="00F03AC0"/>
    <w:rsid w:val="00F03E4C"/>
    <w:rsid w:val="00F041CE"/>
    <w:rsid w:val="00F04ECD"/>
    <w:rsid w:val="00F050F4"/>
    <w:rsid w:val="00F05177"/>
    <w:rsid w:val="00F05F61"/>
    <w:rsid w:val="00F07652"/>
    <w:rsid w:val="00F07A79"/>
    <w:rsid w:val="00F101A7"/>
    <w:rsid w:val="00F115D7"/>
    <w:rsid w:val="00F123ED"/>
    <w:rsid w:val="00F1288F"/>
    <w:rsid w:val="00F12F7E"/>
    <w:rsid w:val="00F13480"/>
    <w:rsid w:val="00F135ED"/>
    <w:rsid w:val="00F14DCB"/>
    <w:rsid w:val="00F14EF2"/>
    <w:rsid w:val="00F1584C"/>
    <w:rsid w:val="00F1669A"/>
    <w:rsid w:val="00F1794E"/>
    <w:rsid w:val="00F17B3B"/>
    <w:rsid w:val="00F17DCA"/>
    <w:rsid w:val="00F202B5"/>
    <w:rsid w:val="00F204D8"/>
    <w:rsid w:val="00F208D6"/>
    <w:rsid w:val="00F21927"/>
    <w:rsid w:val="00F223A2"/>
    <w:rsid w:val="00F22662"/>
    <w:rsid w:val="00F2284F"/>
    <w:rsid w:val="00F231D9"/>
    <w:rsid w:val="00F23BCF"/>
    <w:rsid w:val="00F23E6C"/>
    <w:rsid w:val="00F2409F"/>
    <w:rsid w:val="00F24358"/>
    <w:rsid w:val="00F25940"/>
    <w:rsid w:val="00F27378"/>
    <w:rsid w:val="00F277B1"/>
    <w:rsid w:val="00F309EA"/>
    <w:rsid w:val="00F31142"/>
    <w:rsid w:val="00F312EB"/>
    <w:rsid w:val="00F3178D"/>
    <w:rsid w:val="00F321A6"/>
    <w:rsid w:val="00F32B54"/>
    <w:rsid w:val="00F333C3"/>
    <w:rsid w:val="00F336B3"/>
    <w:rsid w:val="00F33835"/>
    <w:rsid w:val="00F33AB8"/>
    <w:rsid w:val="00F3400B"/>
    <w:rsid w:val="00F34278"/>
    <w:rsid w:val="00F34532"/>
    <w:rsid w:val="00F34CA3"/>
    <w:rsid w:val="00F359B1"/>
    <w:rsid w:val="00F35E0F"/>
    <w:rsid w:val="00F35F90"/>
    <w:rsid w:val="00F3625D"/>
    <w:rsid w:val="00F36D8A"/>
    <w:rsid w:val="00F37244"/>
    <w:rsid w:val="00F37817"/>
    <w:rsid w:val="00F37909"/>
    <w:rsid w:val="00F40058"/>
    <w:rsid w:val="00F404D7"/>
    <w:rsid w:val="00F40506"/>
    <w:rsid w:val="00F406A9"/>
    <w:rsid w:val="00F40833"/>
    <w:rsid w:val="00F418A8"/>
    <w:rsid w:val="00F421E6"/>
    <w:rsid w:val="00F42496"/>
    <w:rsid w:val="00F433B9"/>
    <w:rsid w:val="00F435F2"/>
    <w:rsid w:val="00F43E55"/>
    <w:rsid w:val="00F43EC9"/>
    <w:rsid w:val="00F43FBA"/>
    <w:rsid w:val="00F4423F"/>
    <w:rsid w:val="00F4432F"/>
    <w:rsid w:val="00F4452B"/>
    <w:rsid w:val="00F45561"/>
    <w:rsid w:val="00F45A2F"/>
    <w:rsid w:val="00F45E10"/>
    <w:rsid w:val="00F46302"/>
    <w:rsid w:val="00F46970"/>
    <w:rsid w:val="00F46EAC"/>
    <w:rsid w:val="00F477D0"/>
    <w:rsid w:val="00F502E3"/>
    <w:rsid w:val="00F51550"/>
    <w:rsid w:val="00F524B0"/>
    <w:rsid w:val="00F5260A"/>
    <w:rsid w:val="00F529EB"/>
    <w:rsid w:val="00F52EF5"/>
    <w:rsid w:val="00F53074"/>
    <w:rsid w:val="00F5389D"/>
    <w:rsid w:val="00F53FB3"/>
    <w:rsid w:val="00F541A0"/>
    <w:rsid w:val="00F54857"/>
    <w:rsid w:val="00F54F63"/>
    <w:rsid w:val="00F55ABA"/>
    <w:rsid w:val="00F55D2D"/>
    <w:rsid w:val="00F560A5"/>
    <w:rsid w:val="00F562B9"/>
    <w:rsid w:val="00F56BB0"/>
    <w:rsid w:val="00F57EFA"/>
    <w:rsid w:val="00F6070D"/>
    <w:rsid w:val="00F60857"/>
    <w:rsid w:val="00F60C8F"/>
    <w:rsid w:val="00F6221D"/>
    <w:rsid w:val="00F6225C"/>
    <w:rsid w:val="00F6242A"/>
    <w:rsid w:val="00F63D6C"/>
    <w:rsid w:val="00F648D8"/>
    <w:rsid w:val="00F65538"/>
    <w:rsid w:val="00F65D7A"/>
    <w:rsid w:val="00F673B6"/>
    <w:rsid w:val="00F71769"/>
    <w:rsid w:val="00F71790"/>
    <w:rsid w:val="00F71EFB"/>
    <w:rsid w:val="00F723A2"/>
    <w:rsid w:val="00F72790"/>
    <w:rsid w:val="00F72AE4"/>
    <w:rsid w:val="00F737AF"/>
    <w:rsid w:val="00F7381A"/>
    <w:rsid w:val="00F753CB"/>
    <w:rsid w:val="00F75B55"/>
    <w:rsid w:val="00F75C52"/>
    <w:rsid w:val="00F76276"/>
    <w:rsid w:val="00F76552"/>
    <w:rsid w:val="00F768A7"/>
    <w:rsid w:val="00F76CEE"/>
    <w:rsid w:val="00F77174"/>
    <w:rsid w:val="00F77500"/>
    <w:rsid w:val="00F77C36"/>
    <w:rsid w:val="00F805FD"/>
    <w:rsid w:val="00F8157F"/>
    <w:rsid w:val="00F81AE8"/>
    <w:rsid w:val="00F822EE"/>
    <w:rsid w:val="00F83759"/>
    <w:rsid w:val="00F84562"/>
    <w:rsid w:val="00F849FA"/>
    <w:rsid w:val="00F85A74"/>
    <w:rsid w:val="00F85DF3"/>
    <w:rsid w:val="00F863C9"/>
    <w:rsid w:val="00F919B9"/>
    <w:rsid w:val="00F91BF3"/>
    <w:rsid w:val="00F92066"/>
    <w:rsid w:val="00F9263E"/>
    <w:rsid w:val="00F93445"/>
    <w:rsid w:val="00F93703"/>
    <w:rsid w:val="00F940F7"/>
    <w:rsid w:val="00F94366"/>
    <w:rsid w:val="00F95224"/>
    <w:rsid w:val="00F95F4E"/>
    <w:rsid w:val="00F964B8"/>
    <w:rsid w:val="00F968A7"/>
    <w:rsid w:val="00F96CB3"/>
    <w:rsid w:val="00F9744A"/>
    <w:rsid w:val="00F9774D"/>
    <w:rsid w:val="00F97826"/>
    <w:rsid w:val="00FA0180"/>
    <w:rsid w:val="00FA055C"/>
    <w:rsid w:val="00FA0D55"/>
    <w:rsid w:val="00FA1E76"/>
    <w:rsid w:val="00FA2C76"/>
    <w:rsid w:val="00FA37D1"/>
    <w:rsid w:val="00FA37DB"/>
    <w:rsid w:val="00FA4DE3"/>
    <w:rsid w:val="00FA4E86"/>
    <w:rsid w:val="00FA618D"/>
    <w:rsid w:val="00FB0795"/>
    <w:rsid w:val="00FB1978"/>
    <w:rsid w:val="00FB1BB8"/>
    <w:rsid w:val="00FB27A0"/>
    <w:rsid w:val="00FB39DF"/>
    <w:rsid w:val="00FB4486"/>
    <w:rsid w:val="00FB4BBF"/>
    <w:rsid w:val="00FB5ACA"/>
    <w:rsid w:val="00FB62F7"/>
    <w:rsid w:val="00FB6B1C"/>
    <w:rsid w:val="00FB6D23"/>
    <w:rsid w:val="00FB7DAA"/>
    <w:rsid w:val="00FB7FD2"/>
    <w:rsid w:val="00FC04F4"/>
    <w:rsid w:val="00FC06F3"/>
    <w:rsid w:val="00FC227C"/>
    <w:rsid w:val="00FC254E"/>
    <w:rsid w:val="00FC2841"/>
    <w:rsid w:val="00FC29BB"/>
    <w:rsid w:val="00FC2FCD"/>
    <w:rsid w:val="00FC3216"/>
    <w:rsid w:val="00FC3F10"/>
    <w:rsid w:val="00FC5366"/>
    <w:rsid w:val="00FC5399"/>
    <w:rsid w:val="00FC53D4"/>
    <w:rsid w:val="00FC5523"/>
    <w:rsid w:val="00FC5C13"/>
    <w:rsid w:val="00FC63CE"/>
    <w:rsid w:val="00FC783C"/>
    <w:rsid w:val="00FC78C6"/>
    <w:rsid w:val="00FC791A"/>
    <w:rsid w:val="00FD01F2"/>
    <w:rsid w:val="00FD0F74"/>
    <w:rsid w:val="00FD110B"/>
    <w:rsid w:val="00FD1347"/>
    <w:rsid w:val="00FD1688"/>
    <w:rsid w:val="00FD1C10"/>
    <w:rsid w:val="00FD1C79"/>
    <w:rsid w:val="00FD252F"/>
    <w:rsid w:val="00FD30BF"/>
    <w:rsid w:val="00FD3936"/>
    <w:rsid w:val="00FD3D96"/>
    <w:rsid w:val="00FD41DA"/>
    <w:rsid w:val="00FD4470"/>
    <w:rsid w:val="00FD4AD6"/>
    <w:rsid w:val="00FD4E63"/>
    <w:rsid w:val="00FD50B8"/>
    <w:rsid w:val="00FD549F"/>
    <w:rsid w:val="00FD61AC"/>
    <w:rsid w:val="00FD6372"/>
    <w:rsid w:val="00FD7006"/>
    <w:rsid w:val="00FD717A"/>
    <w:rsid w:val="00FD7C65"/>
    <w:rsid w:val="00FE02B3"/>
    <w:rsid w:val="00FE102C"/>
    <w:rsid w:val="00FE157B"/>
    <w:rsid w:val="00FE2D94"/>
    <w:rsid w:val="00FE4851"/>
    <w:rsid w:val="00FE573A"/>
    <w:rsid w:val="00FE7495"/>
    <w:rsid w:val="00FE7B42"/>
    <w:rsid w:val="00FF0331"/>
    <w:rsid w:val="00FF073F"/>
    <w:rsid w:val="00FF10A3"/>
    <w:rsid w:val="00FF16B7"/>
    <w:rsid w:val="00FF16C0"/>
    <w:rsid w:val="00FF316F"/>
    <w:rsid w:val="00FF3D67"/>
    <w:rsid w:val="00FF3F6C"/>
    <w:rsid w:val="00FF5B2D"/>
    <w:rsid w:val="00FF627C"/>
    <w:rsid w:val="00FF62A9"/>
    <w:rsid w:val="00FF6D35"/>
    <w:rsid w:val="00FF7811"/>
    <w:rsid w:val="01054E64"/>
    <w:rsid w:val="011803DB"/>
    <w:rsid w:val="013722FE"/>
    <w:rsid w:val="014519BE"/>
    <w:rsid w:val="01484834"/>
    <w:rsid w:val="014D56C4"/>
    <w:rsid w:val="01560809"/>
    <w:rsid w:val="018C4F4D"/>
    <w:rsid w:val="01972389"/>
    <w:rsid w:val="01A82ED0"/>
    <w:rsid w:val="01B65678"/>
    <w:rsid w:val="01BA5D7F"/>
    <w:rsid w:val="01CD263D"/>
    <w:rsid w:val="01D21C9D"/>
    <w:rsid w:val="01F9754F"/>
    <w:rsid w:val="02030D53"/>
    <w:rsid w:val="020675A8"/>
    <w:rsid w:val="020B2D4C"/>
    <w:rsid w:val="020F62FC"/>
    <w:rsid w:val="021A71CD"/>
    <w:rsid w:val="022C33A4"/>
    <w:rsid w:val="022C4A5A"/>
    <w:rsid w:val="02317AF5"/>
    <w:rsid w:val="02321336"/>
    <w:rsid w:val="023D39DA"/>
    <w:rsid w:val="024D655C"/>
    <w:rsid w:val="0259714F"/>
    <w:rsid w:val="027142DF"/>
    <w:rsid w:val="02742786"/>
    <w:rsid w:val="02883BE4"/>
    <w:rsid w:val="02B46865"/>
    <w:rsid w:val="02C348CF"/>
    <w:rsid w:val="02E66F83"/>
    <w:rsid w:val="03005379"/>
    <w:rsid w:val="030157A5"/>
    <w:rsid w:val="031968F1"/>
    <w:rsid w:val="03260357"/>
    <w:rsid w:val="032A3B2D"/>
    <w:rsid w:val="03394F93"/>
    <w:rsid w:val="033D1C0E"/>
    <w:rsid w:val="038632F1"/>
    <w:rsid w:val="03886B2B"/>
    <w:rsid w:val="038D2107"/>
    <w:rsid w:val="03B47AF2"/>
    <w:rsid w:val="03B9671B"/>
    <w:rsid w:val="03C87B21"/>
    <w:rsid w:val="03DF1FFD"/>
    <w:rsid w:val="03E428A3"/>
    <w:rsid w:val="04112327"/>
    <w:rsid w:val="0419296A"/>
    <w:rsid w:val="04247287"/>
    <w:rsid w:val="0435023A"/>
    <w:rsid w:val="044E5822"/>
    <w:rsid w:val="04661ADF"/>
    <w:rsid w:val="046766F1"/>
    <w:rsid w:val="046A7DC8"/>
    <w:rsid w:val="04AD16CE"/>
    <w:rsid w:val="04B02215"/>
    <w:rsid w:val="04B06831"/>
    <w:rsid w:val="04B27E71"/>
    <w:rsid w:val="04BE05AB"/>
    <w:rsid w:val="04BF379C"/>
    <w:rsid w:val="04DA6349"/>
    <w:rsid w:val="04DB0CCA"/>
    <w:rsid w:val="050203ED"/>
    <w:rsid w:val="05061161"/>
    <w:rsid w:val="050A7D28"/>
    <w:rsid w:val="05133EE2"/>
    <w:rsid w:val="05171BF2"/>
    <w:rsid w:val="05240C70"/>
    <w:rsid w:val="052812B5"/>
    <w:rsid w:val="052D1426"/>
    <w:rsid w:val="05377559"/>
    <w:rsid w:val="054B4F52"/>
    <w:rsid w:val="055826FA"/>
    <w:rsid w:val="055C7C67"/>
    <w:rsid w:val="05655227"/>
    <w:rsid w:val="05667605"/>
    <w:rsid w:val="05690442"/>
    <w:rsid w:val="05720A3D"/>
    <w:rsid w:val="0577161D"/>
    <w:rsid w:val="05832C77"/>
    <w:rsid w:val="058514E9"/>
    <w:rsid w:val="0592738F"/>
    <w:rsid w:val="059C6F14"/>
    <w:rsid w:val="059F5426"/>
    <w:rsid w:val="05B04AD3"/>
    <w:rsid w:val="05C26E1B"/>
    <w:rsid w:val="05D650F8"/>
    <w:rsid w:val="05E572EB"/>
    <w:rsid w:val="05ED6A4B"/>
    <w:rsid w:val="05F94CB2"/>
    <w:rsid w:val="062C6FCA"/>
    <w:rsid w:val="062F7F5D"/>
    <w:rsid w:val="0637653C"/>
    <w:rsid w:val="065C032D"/>
    <w:rsid w:val="066E7DC1"/>
    <w:rsid w:val="06752B37"/>
    <w:rsid w:val="067C705E"/>
    <w:rsid w:val="067C71B6"/>
    <w:rsid w:val="0696353A"/>
    <w:rsid w:val="06A83EC6"/>
    <w:rsid w:val="06D47BDC"/>
    <w:rsid w:val="06E64057"/>
    <w:rsid w:val="06E87644"/>
    <w:rsid w:val="06F706AE"/>
    <w:rsid w:val="06F90600"/>
    <w:rsid w:val="06FE14BE"/>
    <w:rsid w:val="070D1553"/>
    <w:rsid w:val="070F53B6"/>
    <w:rsid w:val="071A4FFB"/>
    <w:rsid w:val="071D7B79"/>
    <w:rsid w:val="072E5965"/>
    <w:rsid w:val="073E706F"/>
    <w:rsid w:val="073F25A6"/>
    <w:rsid w:val="07421DAF"/>
    <w:rsid w:val="074B4A77"/>
    <w:rsid w:val="074E3331"/>
    <w:rsid w:val="076C586C"/>
    <w:rsid w:val="077C5254"/>
    <w:rsid w:val="07844081"/>
    <w:rsid w:val="078E24A4"/>
    <w:rsid w:val="078E3D55"/>
    <w:rsid w:val="079337A0"/>
    <w:rsid w:val="07AE100D"/>
    <w:rsid w:val="07BA019E"/>
    <w:rsid w:val="07DA2BD4"/>
    <w:rsid w:val="07E76065"/>
    <w:rsid w:val="07EE2DE4"/>
    <w:rsid w:val="07F47D15"/>
    <w:rsid w:val="081468CF"/>
    <w:rsid w:val="083041B5"/>
    <w:rsid w:val="083A6616"/>
    <w:rsid w:val="085E2D6E"/>
    <w:rsid w:val="08797756"/>
    <w:rsid w:val="08B30A5A"/>
    <w:rsid w:val="08BF7D0F"/>
    <w:rsid w:val="08F778D0"/>
    <w:rsid w:val="0910702D"/>
    <w:rsid w:val="09155413"/>
    <w:rsid w:val="093A51CF"/>
    <w:rsid w:val="09580B41"/>
    <w:rsid w:val="09662F32"/>
    <w:rsid w:val="09697493"/>
    <w:rsid w:val="0985329C"/>
    <w:rsid w:val="09867DF8"/>
    <w:rsid w:val="09881116"/>
    <w:rsid w:val="09B02155"/>
    <w:rsid w:val="09C74ABC"/>
    <w:rsid w:val="09CB3D2C"/>
    <w:rsid w:val="09CB5D26"/>
    <w:rsid w:val="09D5383D"/>
    <w:rsid w:val="09DE47A5"/>
    <w:rsid w:val="09E62234"/>
    <w:rsid w:val="09ED1BA5"/>
    <w:rsid w:val="09F568C8"/>
    <w:rsid w:val="09F744D1"/>
    <w:rsid w:val="0A02327C"/>
    <w:rsid w:val="0A0C2525"/>
    <w:rsid w:val="0A114A30"/>
    <w:rsid w:val="0A31757F"/>
    <w:rsid w:val="0A331A9D"/>
    <w:rsid w:val="0A397B9B"/>
    <w:rsid w:val="0A58669B"/>
    <w:rsid w:val="0A6B3D6A"/>
    <w:rsid w:val="0A7E08E0"/>
    <w:rsid w:val="0A9A7D33"/>
    <w:rsid w:val="0AB02A0A"/>
    <w:rsid w:val="0AB66979"/>
    <w:rsid w:val="0AB849CD"/>
    <w:rsid w:val="0ABF65E6"/>
    <w:rsid w:val="0AC57CD7"/>
    <w:rsid w:val="0AC60A69"/>
    <w:rsid w:val="0AD26365"/>
    <w:rsid w:val="0B113216"/>
    <w:rsid w:val="0B1A7CC0"/>
    <w:rsid w:val="0B252261"/>
    <w:rsid w:val="0B2B14D1"/>
    <w:rsid w:val="0B3E6A48"/>
    <w:rsid w:val="0B43509A"/>
    <w:rsid w:val="0B76768F"/>
    <w:rsid w:val="0B7B6D64"/>
    <w:rsid w:val="0B8968F2"/>
    <w:rsid w:val="0B915857"/>
    <w:rsid w:val="0B9B0A88"/>
    <w:rsid w:val="0BAA416B"/>
    <w:rsid w:val="0BD1008E"/>
    <w:rsid w:val="0BD710E1"/>
    <w:rsid w:val="0BE626D9"/>
    <w:rsid w:val="0BF32F26"/>
    <w:rsid w:val="0BF474E5"/>
    <w:rsid w:val="0C1B0D5A"/>
    <w:rsid w:val="0C28597F"/>
    <w:rsid w:val="0C50278E"/>
    <w:rsid w:val="0C5F4CEC"/>
    <w:rsid w:val="0C674F63"/>
    <w:rsid w:val="0C746232"/>
    <w:rsid w:val="0C7F4F4D"/>
    <w:rsid w:val="0CB9477F"/>
    <w:rsid w:val="0CCD6CDD"/>
    <w:rsid w:val="0CE6432A"/>
    <w:rsid w:val="0D0A213F"/>
    <w:rsid w:val="0D47397A"/>
    <w:rsid w:val="0D571E56"/>
    <w:rsid w:val="0D751028"/>
    <w:rsid w:val="0D770357"/>
    <w:rsid w:val="0D852D3B"/>
    <w:rsid w:val="0D9D273D"/>
    <w:rsid w:val="0DA46E0F"/>
    <w:rsid w:val="0DB37F81"/>
    <w:rsid w:val="0DB94E78"/>
    <w:rsid w:val="0DBE4962"/>
    <w:rsid w:val="0DDA3816"/>
    <w:rsid w:val="0E000E08"/>
    <w:rsid w:val="0E0675BD"/>
    <w:rsid w:val="0E091CC5"/>
    <w:rsid w:val="0E0C7A12"/>
    <w:rsid w:val="0E1C0F1E"/>
    <w:rsid w:val="0E200B4B"/>
    <w:rsid w:val="0E207AAB"/>
    <w:rsid w:val="0E467D65"/>
    <w:rsid w:val="0E480699"/>
    <w:rsid w:val="0E5D4182"/>
    <w:rsid w:val="0E66234B"/>
    <w:rsid w:val="0E732416"/>
    <w:rsid w:val="0E7D0B59"/>
    <w:rsid w:val="0E856D31"/>
    <w:rsid w:val="0E875DC9"/>
    <w:rsid w:val="0ED55FBF"/>
    <w:rsid w:val="0EED4850"/>
    <w:rsid w:val="0EF5587C"/>
    <w:rsid w:val="0F0F7338"/>
    <w:rsid w:val="0F147B8D"/>
    <w:rsid w:val="0F210A77"/>
    <w:rsid w:val="0F3E7D3F"/>
    <w:rsid w:val="0F3F7CE3"/>
    <w:rsid w:val="0F5F7CC8"/>
    <w:rsid w:val="0F716B2E"/>
    <w:rsid w:val="0F7D6EEB"/>
    <w:rsid w:val="0F84348B"/>
    <w:rsid w:val="0F8C1196"/>
    <w:rsid w:val="0F8E75DC"/>
    <w:rsid w:val="0FA4258C"/>
    <w:rsid w:val="0FAE062F"/>
    <w:rsid w:val="0FBC3373"/>
    <w:rsid w:val="0FD12100"/>
    <w:rsid w:val="0FE75DC4"/>
    <w:rsid w:val="0FED1014"/>
    <w:rsid w:val="0FF4029A"/>
    <w:rsid w:val="10171283"/>
    <w:rsid w:val="10393AA2"/>
    <w:rsid w:val="10484C4D"/>
    <w:rsid w:val="105913BC"/>
    <w:rsid w:val="107754F1"/>
    <w:rsid w:val="10780F0C"/>
    <w:rsid w:val="1088348B"/>
    <w:rsid w:val="109B7011"/>
    <w:rsid w:val="10CB300A"/>
    <w:rsid w:val="10ED0A22"/>
    <w:rsid w:val="111C17F5"/>
    <w:rsid w:val="11220973"/>
    <w:rsid w:val="11260356"/>
    <w:rsid w:val="1129144B"/>
    <w:rsid w:val="113C13C3"/>
    <w:rsid w:val="114059F4"/>
    <w:rsid w:val="11475F78"/>
    <w:rsid w:val="114E2C89"/>
    <w:rsid w:val="11500A4D"/>
    <w:rsid w:val="1172234C"/>
    <w:rsid w:val="1173645A"/>
    <w:rsid w:val="118A7697"/>
    <w:rsid w:val="118C628C"/>
    <w:rsid w:val="119119A3"/>
    <w:rsid w:val="11AD39EA"/>
    <w:rsid w:val="11AD6338"/>
    <w:rsid w:val="11C25A26"/>
    <w:rsid w:val="11CC0B47"/>
    <w:rsid w:val="11E972B5"/>
    <w:rsid w:val="11F03C86"/>
    <w:rsid w:val="11F177BE"/>
    <w:rsid w:val="11FE3A9B"/>
    <w:rsid w:val="1206076E"/>
    <w:rsid w:val="123A6BAA"/>
    <w:rsid w:val="123E2431"/>
    <w:rsid w:val="1240494D"/>
    <w:rsid w:val="127C7AE3"/>
    <w:rsid w:val="12A15A4C"/>
    <w:rsid w:val="12B71DAD"/>
    <w:rsid w:val="12C45C20"/>
    <w:rsid w:val="12D76496"/>
    <w:rsid w:val="13017741"/>
    <w:rsid w:val="130D4367"/>
    <w:rsid w:val="13112DE2"/>
    <w:rsid w:val="13170748"/>
    <w:rsid w:val="131A6EBC"/>
    <w:rsid w:val="1370767F"/>
    <w:rsid w:val="137C4AA5"/>
    <w:rsid w:val="13806BE2"/>
    <w:rsid w:val="13994160"/>
    <w:rsid w:val="139D4281"/>
    <w:rsid w:val="13A97204"/>
    <w:rsid w:val="13BB07DA"/>
    <w:rsid w:val="13C114B2"/>
    <w:rsid w:val="13CD1279"/>
    <w:rsid w:val="13E87ABD"/>
    <w:rsid w:val="140563B1"/>
    <w:rsid w:val="141B7890"/>
    <w:rsid w:val="14282BB6"/>
    <w:rsid w:val="14285379"/>
    <w:rsid w:val="142A32EE"/>
    <w:rsid w:val="143B168C"/>
    <w:rsid w:val="14426B06"/>
    <w:rsid w:val="1449166A"/>
    <w:rsid w:val="14523528"/>
    <w:rsid w:val="1456206B"/>
    <w:rsid w:val="14706BA3"/>
    <w:rsid w:val="14742A9A"/>
    <w:rsid w:val="14771457"/>
    <w:rsid w:val="148B578A"/>
    <w:rsid w:val="14A72A09"/>
    <w:rsid w:val="15105623"/>
    <w:rsid w:val="15135DF9"/>
    <w:rsid w:val="1531411D"/>
    <w:rsid w:val="153C1AAC"/>
    <w:rsid w:val="15451DDD"/>
    <w:rsid w:val="154B4550"/>
    <w:rsid w:val="154D633B"/>
    <w:rsid w:val="15715AD9"/>
    <w:rsid w:val="15786932"/>
    <w:rsid w:val="157E5E85"/>
    <w:rsid w:val="15905716"/>
    <w:rsid w:val="159D00C0"/>
    <w:rsid w:val="159E75A2"/>
    <w:rsid w:val="15A81E38"/>
    <w:rsid w:val="15BC7C42"/>
    <w:rsid w:val="15C32C82"/>
    <w:rsid w:val="15CC6039"/>
    <w:rsid w:val="15D679CA"/>
    <w:rsid w:val="15ED42FB"/>
    <w:rsid w:val="160617F6"/>
    <w:rsid w:val="160E3F10"/>
    <w:rsid w:val="162D7FD3"/>
    <w:rsid w:val="16592705"/>
    <w:rsid w:val="16764CE5"/>
    <w:rsid w:val="167D2456"/>
    <w:rsid w:val="16955A14"/>
    <w:rsid w:val="16AF57A9"/>
    <w:rsid w:val="16B13C7F"/>
    <w:rsid w:val="16B13D95"/>
    <w:rsid w:val="16CA5473"/>
    <w:rsid w:val="16D3405E"/>
    <w:rsid w:val="16D81AE8"/>
    <w:rsid w:val="16DB0807"/>
    <w:rsid w:val="17005114"/>
    <w:rsid w:val="170A5AD6"/>
    <w:rsid w:val="171676B0"/>
    <w:rsid w:val="1741541D"/>
    <w:rsid w:val="175E3A04"/>
    <w:rsid w:val="17686C10"/>
    <w:rsid w:val="17691F0D"/>
    <w:rsid w:val="176C4BCB"/>
    <w:rsid w:val="178C6C88"/>
    <w:rsid w:val="17920422"/>
    <w:rsid w:val="1793470B"/>
    <w:rsid w:val="17A0154D"/>
    <w:rsid w:val="17B66A5B"/>
    <w:rsid w:val="17C31370"/>
    <w:rsid w:val="17D903E0"/>
    <w:rsid w:val="17EE6E35"/>
    <w:rsid w:val="17FF5CE2"/>
    <w:rsid w:val="1801521E"/>
    <w:rsid w:val="180533A6"/>
    <w:rsid w:val="180D74F3"/>
    <w:rsid w:val="1821737C"/>
    <w:rsid w:val="183A28F8"/>
    <w:rsid w:val="1881524D"/>
    <w:rsid w:val="18826F91"/>
    <w:rsid w:val="189B6E1B"/>
    <w:rsid w:val="18A657ED"/>
    <w:rsid w:val="18BF320E"/>
    <w:rsid w:val="18DE3D7D"/>
    <w:rsid w:val="18ED350B"/>
    <w:rsid w:val="19090BFE"/>
    <w:rsid w:val="192A6556"/>
    <w:rsid w:val="19351B70"/>
    <w:rsid w:val="195746B2"/>
    <w:rsid w:val="19724B57"/>
    <w:rsid w:val="1976432A"/>
    <w:rsid w:val="1985070D"/>
    <w:rsid w:val="199168CD"/>
    <w:rsid w:val="19977400"/>
    <w:rsid w:val="19AB73B3"/>
    <w:rsid w:val="19B144CB"/>
    <w:rsid w:val="19D77386"/>
    <w:rsid w:val="19E80FCE"/>
    <w:rsid w:val="19EE6571"/>
    <w:rsid w:val="1A0D7DDA"/>
    <w:rsid w:val="1A304D57"/>
    <w:rsid w:val="1A3B0898"/>
    <w:rsid w:val="1A457347"/>
    <w:rsid w:val="1A511393"/>
    <w:rsid w:val="1A771230"/>
    <w:rsid w:val="1A777D65"/>
    <w:rsid w:val="1A8F6ADF"/>
    <w:rsid w:val="1AAA402B"/>
    <w:rsid w:val="1ACC19B0"/>
    <w:rsid w:val="1AD05E52"/>
    <w:rsid w:val="1AD61106"/>
    <w:rsid w:val="1AE62C8B"/>
    <w:rsid w:val="1AF30C2C"/>
    <w:rsid w:val="1B0174EA"/>
    <w:rsid w:val="1B1569DE"/>
    <w:rsid w:val="1B195FA3"/>
    <w:rsid w:val="1B1D497E"/>
    <w:rsid w:val="1B3915F2"/>
    <w:rsid w:val="1B3B5448"/>
    <w:rsid w:val="1B3D25C4"/>
    <w:rsid w:val="1B49162B"/>
    <w:rsid w:val="1B587A71"/>
    <w:rsid w:val="1B661DAC"/>
    <w:rsid w:val="1BC90FA3"/>
    <w:rsid w:val="1BCC292D"/>
    <w:rsid w:val="1BCC7E23"/>
    <w:rsid w:val="1BE87070"/>
    <w:rsid w:val="1BF142E9"/>
    <w:rsid w:val="1C127F5D"/>
    <w:rsid w:val="1C132F45"/>
    <w:rsid w:val="1C1945A6"/>
    <w:rsid w:val="1C1A11CF"/>
    <w:rsid w:val="1C2362A5"/>
    <w:rsid w:val="1C30714B"/>
    <w:rsid w:val="1C567854"/>
    <w:rsid w:val="1C576033"/>
    <w:rsid w:val="1C600B63"/>
    <w:rsid w:val="1C676787"/>
    <w:rsid w:val="1C77461B"/>
    <w:rsid w:val="1C7856F0"/>
    <w:rsid w:val="1C7B6A6A"/>
    <w:rsid w:val="1C9C4B24"/>
    <w:rsid w:val="1C9D6D2E"/>
    <w:rsid w:val="1CA44C9D"/>
    <w:rsid w:val="1CC01183"/>
    <w:rsid w:val="1CC33281"/>
    <w:rsid w:val="1CE10B27"/>
    <w:rsid w:val="1CEA680C"/>
    <w:rsid w:val="1CFF051F"/>
    <w:rsid w:val="1D1B65CD"/>
    <w:rsid w:val="1D47168D"/>
    <w:rsid w:val="1D5B7FF4"/>
    <w:rsid w:val="1D5C4AAB"/>
    <w:rsid w:val="1D7F3F4E"/>
    <w:rsid w:val="1D87266F"/>
    <w:rsid w:val="1D8B05A9"/>
    <w:rsid w:val="1DDA6176"/>
    <w:rsid w:val="1DEE218E"/>
    <w:rsid w:val="1DF8579A"/>
    <w:rsid w:val="1E033A0E"/>
    <w:rsid w:val="1E0B7EE0"/>
    <w:rsid w:val="1E2D5D6C"/>
    <w:rsid w:val="1E2E4850"/>
    <w:rsid w:val="1E3308BE"/>
    <w:rsid w:val="1E4F78F6"/>
    <w:rsid w:val="1E591798"/>
    <w:rsid w:val="1E6A3DAD"/>
    <w:rsid w:val="1E6A589E"/>
    <w:rsid w:val="1E897630"/>
    <w:rsid w:val="1E8C3364"/>
    <w:rsid w:val="1E9E6939"/>
    <w:rsid w:val="1EA41A6D"/>
    <w:rsid w:val="1EC514F5"/>
    <w:rsid w:val="1EC975DB"/>
    <w:rsid w:val="1ED13628"/>
    <w:rsid w:val="1ED705EB"/>
    <w:rsid w:val="1EE55A03"/>
    <w:rsid w:val="1EF20FB2"/>
    <w:rsid w:val="1EFA1250"/>
    <w:rsid w:val="1F041F6B"/>
    <w:rsid w:val="1F2541DC"/>
    <w:rsid w:val="1F3F6952"/>
    <w:rsid w:val="1F57567D"/>
    <w:rsid w:val="1F5B380B"/>
    <w:rsid w:val="1F811446"/>
    <w:rsid w:val="1F9053C6"/>
    <w:rsid w:val="1F9154DB"/>
    <w:rsid w:val="1F942742"/>
    <w:rsid w:val="1FC41259"/>
    <w:rsid w:val="1FC600DA"/>
    <w:rsid w:val="1FE87F35"/>
    <w:rsid w:val="1FF23B18"/>
    <w:rsid w:val="1FF802B1"/>
    <w:rsid w:val="20074ACB"/>
    <w:rsid w:val="2031436A"/>
    <w:rsid w:val="20426FF7"/>
    <w:rsid w:val="2044057C"/>
    <w:rsid w:val="205F2D27"/>
    <w:rsid w:val="2061291B"/>
    <w:rsid w:val="2061687A"/>
    <w:rsid w:val="20752F99"/>
    <w:rsid w:val="208A5934"/>
    <w:rsid w:val="20943560"/>
    <w:rsid w:val="20AC5183"/>
    <w:rsid w:val="20B16352"/>
    <w:rsid w:val="20B46395"/>
    <w:rsid w:val="20C36CB8"/>
    <w:rsid w:val="20D26B7F"/>
    <w:rsid w:val="20E112BB"/>
    <w:rsid w:val="20F10835"/>
    <w:rsid w:val="20F14180"/>
    <w:rsid w:val="20FD4E15"/>
    <w:rsid w:val="21034340"/>
    <w:rsid w:val="2123460C"/>
    <w:rsid w:val="212B37C1"/>
    <w:rsid w:val="213C22E6"/>
    <w:rsid w:val="214E2649"/>
    <w:rsid w:val="214E3EFF"/>
    <w:rsid w:val="215C7858"/>
    <w:rsid w:val="216875F2"/>
    <w:rsid w:val="218F7782"/>
    <w:rsid w:val="219456CA"/>
    <w:rsid w:val="2196727F"/>
    <w:rsid w:val="219B18D4"/>
    <w:rsid w:val="219C0995"/>
    <w:rsid w:val="21AE4866"/>
    <w:rsid w:val="21AF31E2"/>
    <w:rsid w:val="21B4351F"/>
    <w:rsid w:val="21BC1035"/>
    <w:rsid w:val="21C0536B"/>
    <w:rsid w:val="21CF4C56"/>
    <w:rsid w:val="21D23E73"/>
    <w:rsid w:val="21E27E87"/>
    <w:rsid w:val="21FA4A12"/>
    <w:rsid w:val="22194F03"/>
    <w:rsid w:val="22365294"/>
    <w:rsid w:val="224A024D"/>
    <w:rsid w:val="22515D7C"/>
    <w:rsid w:val="225F01F3"/>
    <w:rsid w:val="226577AA"/>
    <w:rsid w:val="226E7940"/>
    <w:rsid w:val="22913E5A"/>
    <w:rsid w:val="22AC55F1"/>
    <w:rsid w:val="22BD0539"/>
    <w:rsid w:val="22BD4572"/>
    <w:rsid w:val="22C26C81"/>
    <w:rsid w:val="22C3140D"/>
    <w:rsid w:val="22C6643B"/>
    <w:rsid w:val="22CD6626"/>
    <w:rsid w:val="22DD4148"/>
    <w:rsid w:val="22DE5FED"/>
    <w:rsid w:val="22F0064C"/>
    <w:rsid w:val="22F028ED"/>
    <w:rsid w:val="22F622C2"/>
    <w:rsid w:val="22FE204E"/>
    <w:rsid w:val="22FE643E"/>
    <w:rsid w:val="2307166D"/>
    <w:rsid w:val="230C720B"/>
    <w:rsid w:val="231B4E4E"/>
    <w:rsid w:val="23382CC5"/>
    <w:rsid w:val="233D1E4D"/>
    <w:rsid w:val="234E1EFF"/>
    <w:rsid w:val="23582CDC"/>
    <w:rsid w:val="23594A80"/>
    <w:rsid w:val="235C0F22"/>
    <w:rsid w:val="235C4615"/>
    <w:rsid w:val="235D6D64"/>
    <w:rsid w:val="235E3A5A"/>
    <w:rsid w:val="23677978"/>
    <w:rsid w:val="237F35D9"/>
    <w:rsid w:val="23820A5F"/>
    <w:rsid w:val="2385369A"/>
    <w:rsid w:val="23853E82"/>
    <w:rsid w:val="239801E7"/>
    <w:rsid w:val="23A128E5"/>
    <w:rsid w:val="23AD4C0C"/>
    <w:rsid w:val="23B36B0C"/>
    <w:rsid w:val="23BB06BB"/>
    <w:rsid w:val="23BE5E67"/>
    <w:rsid w:val="23D90D7C"/>
    <w:rsid w:val="23DE158C"/>
    <w:rsid w:val="23FC2E7F"/>
    <w:rsid w:val="240750AB"/>
    <w:rsid w:val="240F060F"/>
    <w:rsid w:val="241254BD"/>
    <w:rsid w:val="243D4BAE"/>
    <w:rsid w:val="246A4299"/>
    <w:rsid w:val="247633F3"/>
    <w:rsid w:val="247D49B7"/>
    <w:rsid w:val="2482662A"/>
    <w:rsid w:val="2484675A"/>
    <w:rsid w:val="24B92686"/>
    <w:rsid w:val="250738BD"/>
    <w:rsid w:val="25226C5D"/>
    <w:rsid w:val="255B792D"/>
    <w:rsid w:val="255F1B8A"/>
    <w:rsid w:val="25871E1F"/>
    <w:rsid w:val="2587546B"/>
    <w:rsid w:val="25993EBE"/>
    <w:rsid w:val="25A32C8A"/>
    <w:rsid w:val="25B078BC"/>
    <w:rsid w:val="25C45BD2"/>
    <w:rsid w:val="25C71482"/>
    <w:rsid w:val="25D372CA"/>
    <w:rsid w:val="25D81C4B"/>
    <w:rsid w:val="25D971F3"/>
    <w:rsid w:val="25EF45B9"/>
    <w:rsid w:val="25FA0DAA"/>
    <w:rsid w:val="25FA3DC1"/>
    <w:rsid w:val="262F3073"/>
    <w:rsid w:val="26311555"/>
    <w:rsid w:val="26373E07"/>
    <w:rsid w:val="263D2167"/>
    <w:rsid w:val="26436930"/>
    <w:rsid w:val="26461C5D"/>
    <w:rsid w:val="26725670"/>
    <w:rsid w:val="2679565D"/>
    <w:rsid w:val="269B600C"/>
    <w:rsid w:val="269E17F6"/>
    <w:rsid w:val="269F2294"/>
    <w:rsid w:val="26AA2A7F"/>
    <w:rsid w:val="26B2126B"/>
    <w:rsid w:val="26B506F9"/>
    <w:rsid w:val="26CE7BBE"/>
    <w:rsid w:val="26D34C1E"/>
    <w:rsid w:val="26E16E2D"/>
    <w:rsid w:val="27173BCC"/>
    <w:rsid w:val="273A2AAB"/>
    <w:rsid w:val="273D0B66"/>
    <w:rsid w:val="27487E29"/>
    <w:rsid w:val="27660A4F"/>
    <w:rsid w:val="277D0F63"/>
    <w:rsid w:val="27824F48"/>
    <w:rsid w:val="27877858"/>
    <w:rsid w:val="278A3720"/>
    <w:rsid w:val="279E68D2"/>
    <w:rsid w:val="27A45873"/>
    <w:rsid w:val="27B3592B"/>
    <w:rsid w:val="27BE0A2F"/>
    <w:rsid w:val="27C462E4"/>
    <w:rsid w:val="27CD2E22"/>
    <w:rsid w:val="27D34A40"/>
    <w:rsid w:val="27DD57CE"/>
    <w:rsid w:val="27F51DD1"/>
    <w:rsid w:val="27F901B9"/>
    <w:rsid w:val="280732CE"/>
    <w:rsid w:val="2814504A"/>
    <w:rsid w:val="281B3D81"/>
    <w:rsid w:val="282B7AFC"/>
    <w:rsid w:val="28747D9F"/>
    <w:rsid w:val="287F16AF"/>
    <w:rsid w:val="288B3042"/>
    <w:rsid w:val="28BB2026"/>
    <w:rsid w:val="28BF5BDD"/>
    <w:rsid w:val="28D440B7"/>
    <w:rsid w:val="28D55855"/>
    <w:rsid w:val="28D8141B"/>
    <w:rsid w:val="28DD2A27"/>
    <w:rsid w:val="28E06748"/>
    <w:rsid w:val="28E81942"/>
    <w:rsid w:val="28E83D3C"/>
    <w:rsid w:val="28ED22ED"/>
    <w:rsid w:val="28EF6879"/>
    <w:rsid w:val="28F050A7"/>
    <w:rsid w:val="28FD57FE"/>
    <w:rsid w:val="290A57FB"/>
    <w:rsid w:val="290C1CCF"/>
    <w:rsid w:val="29122165"/>
    <w:rsid w:val="2955097D"/>
    <w:rsid w:val="29603638"/>
    <w:rsid w:val="296E3964"/>
    <w:rsid w:val="297D2AFF"/>
    <w:rsid w:val="29BF56FC"/>
    <w:rsid w:val="29C26A5D"/>
    <w:rsid w:val="29C41CAB"/>
    <w:rsid w:val="29C54A01"/>
    <w:rsid w:val="29CC0C8A"/>
    <w:rsid w:val="29DA35D1"/>
    <w:rsid w:val="29EC6DA4"/>
    <w:rsid w:val="2A1F6E4A"/>
    <w:rsid w:val="2A2A7CEF"/>
    <w:rsid w:val="2A421FC0"/>
    <w:rsid w:val="2A5368FD"/>
    <w:rsid w:val="2A604109"/>
    <w:rsid w:val="2A997B35"/>
    <w:rsid w:val="2A9B27E3"/>
    <w:rsid w:val="2A9E7B6E"/>
    <w:rsid w:val="2AAC169D"/>
    <w:rsid w:val="2AAD6A2B"/>
    <w:rsid w:val="2ABE7D8E"/>
    <w:rsid w:val="2AEE2D07"/>
    <w:rsid w:val="2AEE623F"/>
    <w:rsid w:val="2AFB6893"/>
    <w:rsid w:val="2B0743E2"/>
    <w:rsid w:val="2B0F2137"/>
    <w:rsid w:val="2B171A64"/>
    <w:rsid w:val="2B1832DD"/>
    <w:rsid w:val="2B414834"/>
    <w:rsid w:val="2B866F50"/>
    <w:rsid w:val="2B982F3F"/>
    <w:rsid w:val="2B993458"/>
    <w:rsid w:val="2B9D095E"/>
    <w:rsid w:val="2BAF21D5"/>
    <w:rsid w:val="2BBC489F"/>
    <w:rsid w:val="2BE97E1D"/>
    <w:rsid w:val="2BF85601"/>
    <w:rsid w:val="2C005C77"/>
    <w:rsid w:val="2C31192D"/>
    <w:rsid w:val="2C3B0D7E"/>
    <w:rsid w:val="2C3C348A"/>
    <w:rsid w:val="2C3E6E7F"/>
    <w:rsid w:val="2C4A3E6E"/>
    <w:rsid w:val="2C525B05"/>
    <w:rsid w:val="2C6B0DAF"/>
    <w:rsid w:val="2C7D0D09"/>
    <w:rsid w:val="2C8E78F8"/>
    <w:rsid w:val="2CB74649"/>
    <w:rsid w:val="2CBF03CA"/>
    <w:rsid w:val="2CCB74D2"/>
    <w:rsid w:val="2CD20266"/>
    <w:rsid w:val="2CD63174"/>
    <w:rsid w:val="2CDA3A10"/>
    <w:rsid w:val="2CE30931"/>
    <w:rsid w:val="2D080D70"/>
    <w:rsid w:val="2D112B97"/>
    <w:rsid w:val="2D115B36"/>
    <w:rsid w:val="2D121548"/>
    <w:rsid w:val="2D1A0D03"/>
    <w:rsid w:val="2D1A688D"/>
    <w:rsid w:val="2D1B1530"/>
    <w:rsid w:val="2D3C2B6D"/>
    <w:rsid w:val="2D402B10"/>
    <w:rsid w:val="2D48789E"/>
    <w:rsid w:val="2D5A471C"/>
    <w:rsid w:val="2D6D6280"/>
    <w:rsid w:val="2D761549"/>
    <w:rsid w:val="2D8D694F"/>
    <w:rsid w:val="2D9307C8"/>
    <w:rsid w:val="2DBE2616"/>
    <w:rsid w:val="2DD874AA"/>
    <w:rsid w:val="2E057E8F"/>
    <w:rsid w:val="2E091BFE"/>
    <w:rsid w:val="2E2252C8"/>
    <w:rsid w:val="2E542C94"/>
    <w:rsid w:val="2E62582E"/>
    <w:rsid w:val="2E690493"/>
    <w:rsid w:val="2E7C21EE"/>
    <w:rsid w:val="2E7F48F5"/>
    <w:rsid w:val="2EA63495"/>
    <w:rsid w:val="2ED41A17"/>
    <w:rsid w:val="2EE6782B"/>
    <w:rsid w:val="2EF60ADD"/>
    <w:rsid w:val="2EFC75DC"/>
    <w:rsid w:val="2F27399A"/>
    <w:rsid w:val="2F3460D8"/>
    <w:rsid w:val="2F3E3EDF"/>
    <w:rsid w:val="2F4909C0"/>
    <w:rsid w:val="2F4943EC"/>
    <w:rsid w:val="2F4C077D"/>
    <w:rsid w:val="2F61490B"/>
    <w:rsid w:val="2F684691"/>
    <w:rsid w:val="2F781983"/>
    <w:rsid w:val="2F7C38B0"/>
    <w:rsid w:val="2FA539B8"/>
    <w:rsid w:val="2FB53456"/>
    <w:rsid w:val="2FC52833"/>
    <w:rsid w:val="2FC63973"/>
    <w:rsid w:val="2FD3027F"/>
    <w:rsid w:val="2FDB4D3B"/>
    <w:rsid w:val="2FE446C5"/>
    <w:rsid w:val="2FE85D22"/>
    <w:rsid w:val="2FE97C70"/>
    <w:rsid w:val="2FED60B6"/>
    <w:rsid w:val="2FEE2C6D"/>
    <w:rsid w:val="30052A9D"/>
    <w:rsid w:val="300D0D35"/>
    <w:rsid w:val="300F2064"/>
    <w:rsid w:val="302E64F9"/>
    <w:rsid w:val="30373166"/>
    <w:rsid w:val="303A435C"/>
    <w:rsid w:val="304C0CDA"/>
    <w:rsid w:val="307E2FBF"/>
    <w:rsid w:val="30885AF8"/>
    <w:rsid w:val="309470E7"/>
    <w:rsid w:val="30B9072E"/>
    <w:rsid w:val="30BA198F"/>
    <w:rsid w:val="30BE24BA"/>
    <w:rsid w:val="30DE023D"/>
    <w:rsid w:val="30EB54AE"/>
    <w:rsid w:val="31023347"/>
    <w:rsid w:val="31215B5B"/>
    <w:rsid w:val="31345D36"/>
    <w:rsid w:val="315658FD"/>
    <w:rsid w:val="316B680A"/>
    <w:rsid w:val="317D55AE"/>
    <w:rsid w:val="318E16E6"/>
    <w:rsid w:val="31A532DF"/>
    <w:rsid w:val="31B30C0B"/>
    <w:rsid w:val="31BC555D"/>
    <w:rsid w:val="31C4533E"/>
    <w:rsid w:val="31D15DD0"/>
    <w:rsid w:val="31E42E39"/>
    <w:rsid w:val="32137E4D"/>
    <w:rsid w:val="3214296D"/>
    <w:rsid w:val="32212FBB"/>
    <w:rsid w:val="32277CC9"/>
    <w:rsid w:val="322837D5"/>
    <w:rsid w:val="32360A6F"/>
    <w:rsid w:val="32536313"/>
    <w:rsid w:val="32536EC6"/>
    <w:rsid w:val="328F5632"/>
    <w:rsid w:val="32927883"/>
    <w:rsid w:val="32951A2B"/>
    <w:rsid w:val="32974201"/>
    <w:rsid w:val="329A1597"/>
    <w:rsid w:val="329B3BD9"/>
    <w:rsid w:val="32B90AE5"/>
    <w:rsid w:val="32D63922"/>
    <w:rsid w:val="32E0152C"/>
    <w:rsid w:val="32EA5463"/>
    <w:rsid w:val="33050E07"/>
    <w:rsid w:val="33174A26"/>
    <w:rsid w:val="331B3320"/>
    <w:rsid w:val="33227E4E"/>
    <w:rsid w:val="33480077"/>
    <w:rsid w:val="335E4A02"/>
    <w:rsid w:val="336672BD"/>
    <w:rsid w:val="337537DB"/>
    <w:rsid w:val="33833B10"/>
    <w:rsid w:val="338F46EF"/>
    <w:rsid w:val="33917913"/>
    <w:rsid w:val="33A543A0"/>
    <w:rsid w:val="33BE747A"/>
    <w:rsid w:val="33C427EC"/>
    <w:rsid w:val="33CC61C7"/>
    <w:rsid w:val="33D33117"/>
    <w:rsid w:val="34041551"/>
    <w:rsid w:val="342C1687"/>
    <w:rsid w:val="343556D4"/>
    <w:rsid w:val="3449288C"/>
    <w:rsid w:val="34515B94"/>
    <w:rsid w:val="345C4862"/>
    <w:rsid w:val="347A5098"/>
    <w:rsid w:val="349456DD"/>
    <w:rsid w:val="34A60548"/>
    <w:rsid w:val="34AF7795"/>
    <w:rsid w:val="34B43ACC"/>
    <w:rsid w:val="34B91EA9"/>
    <w:rsid w:val="34C0362F"/>
    <w:rsid w:val="34C121FD"/>
    <w:rsid w:val="34DA7AE0"/>
    <w:rsid w:val="34E04107"/>
    <w:rsid w:val="34E1623F"/>
    <w:rsid w:val="34F27D98"/>
    <w:rsid w:val="34F5576D"/>
    <w:rsid w:val="34F82523"/>
    <w:rsid w:val="34FD22B9"/>
    <w:rsid w:val="352B2E15"/>
    <w:rsid w:val="353E0D08"/>
    <w:rsid w:val="355A1A63"/>
    <w:rsid w:val="35632F4A"/>
    <w:rsid w:val="356D49EF"/>
    <w:rsid w:val="35735BFE"/>
    <w:rsid w:val="359037AF"/>
    <w:rsid w:val="35920F11"/>
    <w:rsid w:val="359858DE"/>
    <w:rsid w:val="35A52EB1"/>
    <w:rsid w:val="35AD39AB"/>
    <w:rsid w:val="35B2016C"/>
    <w:rsid w:val="35B266FA"/>
    <w:rsid w:val="35C07353"/>
    <w:rsid w:val="35D04F04"/>
    <w:rsid w:val="35DC6208"/>
    <w:rsid w:val="35E02882"/>
    <w:rsid w:val="35E736DD"/>
    <w:rsid w:val="35F11DC2"/>
    <w:rsid w:val="35F37703"/>
    <w:rsid w:val="361703B3"/>
    <w:rsid w:val="36263CFB"/>
    <w:rsid w:val="362B2D6A"/>
    <w:rsid w:val="362E3A7F"/>
    <w:rsid w:val="3643778A"/>
    <w:rsid w:val="3644032A"/>
    <w:rsid w:val="36545AE3"/>
    <w:rsid w:val="36683EE3"/>
    <w:rsid w:val="366E50C1"/>
    <w:rsid w:val="36755382"/>
    <w:rsid w:val="36756DA8"/>
    <w:rsid w:val="3677490F"/>
    <w:rsid w:val="367D59A2"/>
    <w:rsid w:val="36983FCB"/>
    <w:rsid w:val="36B533C3"/>
    <w:rsid w:val="36B81E8F"/>
    <w:rsid w:val="36BC01A7"/>
    <w:rsid w:val="36BC1EEE"/>
    <w:rsid w:val="36FE7E97"/>
    <w:rsid w:val="370B3C16"/>
    <w:rsid w:val="370F4E54"/>
    <w:rsid w:val="371D1765"/>
    <w:rsid w:val="3720609D"/>
    <w:rsid w:val="37270196"/>
    <w:rsid w:val="37387479"/>
    <w:rsid w:val="37415FF0"/>
    <w:rsid w:val="375032ED"/>
    <w:rsid w:val="375201D1"/>
    <w:rsid w:val="378D1270"/>
    <w:rsid w:val="378F6E55"/>
    <w:rsid w:val="379F2844"/>
    <w:rsid w:val="37C24520"/>
    <w:rsid w:val="37D05112"/>
    <w:rsid w:val="37D33788"/>
    <w:rsid w:val="37E43EAD"/>
    <w:rsid w:val="37E76E65"/>
    <w:rsid w:val="38124165"/>
    <w:rsid w:val="38124CA9"/>
    <w:rsid w:val="382F4D41"/>
    <w:rsid w:val="383E293E"/>
    <w:rsid w:val="38464D2C"/>
    <w:rsid w:val="384C29E4"/>
    <w:rsid w:val="385F26FD"/>
    <w:rsid w:val="38615E6A"/>
    <w:rsid w:val="388B36B9"/>
    <w:rsid w:val="388C36FB"/>
    <w:rsid w:val="389C1538"/>
    <w:rsid w:val="38AE7EDB"/>
    <w:rsid w:val="38B7458C"/>
    <w:rsid w:val="38BC47E3"/>
    <w:rsid w:val="38C42475"/>
    <w:rsid w:val="38CC3DB6"/>
    <w:rsid w:val="38D95BA2"/>
    <w:rsid w:val="38DC4EC7"/>
    <w:rsid w:val="38E61858"/>
    <w:rsid w:val="38E80463"/>
    <w:rsid w:val="38FC44F7"/>
    <w:rsid w:val="390C029B"/>
    <w:rsid w:val="39100A84"/>
    <w:rsid w:val="393474C9"/>
    <w:rsid w:val="39471407"/>
    <w:rsid w:val="3954728F"/>
    <w:rsid w:val="395C7CED"/>
    <w:rsid w:val="3969072E"/>
    <w:rsid w:val="3970003B"/>
    <w:rsid w:val="398E01B0"/>
    <w:rsid w:val="398F006F"/>
    <w:rsid w:val="399E3002"/>
    <w:rsid w:val="39BE04A2"/>
    <w:rsid w:val="39DE1473"/>
    <w:rsid w:val="39EF0A9A"/>
    <w:rsid w:val="39F234C0"/>
    <w:rsid w:val="3A02682E"/>
    <w:rsid w:val="3A220A10"/>
    <w:rsid w:val="3A4319CB"/>
    <w:rsid w:val="3A514D1F"/>
    <w:rsid w:val="3A5605D3"/>
    <w:rsid w:val="3A5879FD"/>
    <w:rsid w:val="3A65595B"/>
    <w:rsid w:val="3A773EDD"/>
    <w:rsid w:val="3A7E52C6"/>
    <w:rsid w:val="3A8F49BA"/>
    <w:rsid w:val="3A98369E"/>
    <w:rsid w:val="3A9D1C12"/>
    <w:rsid w:val="3AA01581"/>
    <w:rsid w:val="3AA24F0A"/>
    <w:rsid w:val="3AA30DB0"/>
    <w:rsid w:val="3AB671F0"/>
    <w:rsid w:val="3ACD3C73"/>
    <w:rsid w:val="3ACD458E"/>
    <w:rsid w:val="3AE51C97"/>
    <w:rsid w:val="3AEA117A"/>
    <w:rsid w:val="3AF937F9"/>
    <w:rsid w:val="3B0105FA"/>
    <w:rsid w:val="3B025E16"/>
    <w:rsid w:val="3B0C7333"/>
    <w:rsid w:val="3B21551B"/>
    <w:rsid w:val="3B3D0251"/>
    <w:rsid w:val="3B442BBA"/>
    <w:rsid w:val="3B5411BB"/>
    <w:rsid w:val="3B543AD6"/>
    <w:rsid w:val="3B7368B2"/>
    <w:rsid w:val="3B8B374C"/>
    <w:rsid w:val="3B9A6262"/>
    <w:rsid w:val="3BB73DBB"/>
    <w:rsid w:val="3BC602A2"/>
    <w:rsid w:val="3BC63695"/>
    <w:rsid w:val="3BE93669"/>
    <w:rsid w:val="3BFF69B5"/>
    <w:rsid w:val="3C1160B4"/>
    <w:rsid w:val="3C6762B0"/>
    <w:rsid w:val="3C68313F"/>
    <w:rsid w:val="3C6F3621"/>
    <w:rsid w:val="3C8253C0"/>
    <w:rsid w:val="3CB267A5"/>
    <w:rsid w:val="3CC00400"/>
    <w:rsid w:val="3CCC636B"/>
    <w:rsid w:val="3CF55213"/>
    <w:rsid w:val="3D133F83"/>
    <w:rsid w:val="3D1C666F"/>
    <w:rsid w:val="3D212E44"/>
    <w:rsid w:val="3D242ED7"/>
    <w:rsid w:val="3D262608"/>
    <w:rsid w:val="3D275994"/>
    <w:rsid w:val="3D2C2CCD"/>
    <w:rsid w:val="3D312903"/>
    <w:rsid w:val="3D353130"/>
    <w:rsid w:val="3D4B39F3"/>
    <w:rsid w:val="3D5A19AF"/>
    <w:rsid w:val="3D7D2F44"/>
    <w:rsid w:val="3D7E10D0"/>
    <w:rsid w:val="3D7F382F"/>
    <w:rsid w:val="3D915F19"/>
    <w:rsid w:val="3D9848AA"/>
    <w:rsid w:val="3D9A1C9A"/>
    <w:rsid w:val="3DAD1727"/>
    <w:rsid w:val="3DC009B6"/>
    <w:rsid w:val="3DC16603"/>
    <w:rsid w:val="3DC45C4C"/>
    <w:rsid w:val="3DD07BE6"/>
    <w:rsid w:val="3DD63DCC"/>
    <w:rsid w:val="3DE35F7D"/>
    <w:rsid w:val="3DE60C48"/>
    <w:rsid w:val="3DF76D7E"/>
    <w:rsid w:val="3E0B36F3"/>
    <w:rsid w:val="3E1F60DF"/>
    <w:rsid w:val="3E3B7D29"/>
    <w:rsid w:val="3E3F1926"/>
    <w:rsid w:val="3E63579D"/>
    <w:rsid w:val="3E6A4F17"/>
    <w:rsid w:val="3E703777"/>
    <w:rsid w:val="3EB662C5"/>
    <w:rsid w:val="3EB96337"/>
    <w:rsid w:val="3EC70BE5"/>
    <w:rsid w:val="3ED74133"/>
    <w:rsid w:val="3EE75D92"/>
    <w:rsid w:val="3EFC0455"/>
    <w:rsid w:val="3F071786"/>
    <w:rsid w:val="3F2157BC"/>
    <w:rsid w:val="3F331ABA"/>
    <w:rsid w:val="3F4471DB"/>
    <w:rsid w:val="3F452E85"/>
    <w:rsid w:val="3F4A756B"/>
    <w:rsid w:val="3F505602"/>
    <w:rsid w:val="3F5F6B56"/>
    <w:rsid w:val="3F645C96"/>
    <w:rsid w:val="3F780243"/>
    <w:rsid w:val="3F797E1E"/>
    <w:rsid w:val="3F9C5420"/>
    <w:rsid w:val="3FA55895"/>
    <w:rsid w:val="3FAA33E4"/>
    <w:rsid w:val="3FB03589"/>
    <w:rsid w:val="3FB8196B"/>
    <w:rsid w:val="3FDB2C3E"/>
    <w:rsid w:val="3FDC466F"/>
    <w:rsid w:val="3FE65532"/>
    <w:rsid w:val="3FE91A81"/>
    <w:rsid w:val="3FEE1431"/>
    <w:rsid w:val="3FF80939"/>
    <w:rsid w:val="3FF95091"/>
    <w:rsid w:val="400C2575"/>
    <w:rsid w:val="40110667"/>
    <w:rsid w:val="402D53C3"/>
    <w:rsid w:val="403274D0"/>
    <w:rsid w:val="403963D5"/>
    <w:rsid w:val="403B6E09"/>
    <w:rsid w:val="404F06A8"/>
    <w:rsid w:val="40526C1F"/>
    <w:rsid w:val="406E00C4"/>
    <w:rsid w:val="407A2EFB"/>
    <w:rsid w:val="408C1872"/>
    <w:rsid w:val="408F3AA1"/>
    <w:rsid w:val="40934367"/>
    <w:rsid w:val="409A2762"/>
    <w:rsid w:val="40A47872"/>
    <w:rsid w:val="40B262F2"/>
    <w:rsid w:val="40B34D04"/>
    <w:rsid w:val="40BF5B61"/>
    <w:rsid w:val="40CA5B55"/>
    <w:rsid w:val="40E0682D"/>
    <w:rsid w:val="40E262A2"/>
    <w:rsid w:val="40EB1798"/>
    <w:rsid w:val="40F45444"/>
    <w:rsid w:val="41007514"/>
    <w:rsid w:val="41043597"/>
    <w:rsid w:val="41105304"/>
    <w:rsid w:val="41114EBB"/>
    <w:rsid w:val="41186163"/>
    <w:rsid w:val="412B05C8"/>
    <w:rsid w:val="41616F65"/>
    <w:rsid w:val="41782062"/>
    <w:rsid w:val="417D62D7"/>
    <w:rsid w:val="41B95FCE"/>
    <w:rsid w:val="41BC7466"/>
    <w:rsid w:val="41D2275F"/>
    <w:rsid w:val="41DB44F6"/>
    <w:rsid w:val="41DD3E06"/>
    <w:rsid w:val="41E33F54"/>
    <w:rsid w:val="41E8676E"/>
    <w:rsid w:val="41ED29A4"/>
    <w:rsid w:val="41F77A25"/>
    <w:rsid w:val="423B5310"/>
    <w:rsid w:val="424351D2"/>
    <w:rsid w:val="424527B1"/>
    <w:rsid w:val="425F768F"/>
    <w:rsid w:val="42734495"/>
    <w:rsid w:val="428D72E2"/>
    <w:rsid w:val="429424EC"/>
    <w:rsid w:val="42A428EC"/>
    <w:rsid w:val="42B11B6F"/>
    <w:rsid w:val="42CB59B9"/>
    <w:rsid w:val="42CF108C"/>
    <w:rsid w:val="42DF7BE3"/>
    <w:rsid w:val="42E364EC"/>
    <w:rsid w:val="43104E14"/>
    <w:rsid w:val="43255BAD"/>
    <w:rsid w:val="4337538E"/>
    <w:rsid w:val="4346241A"/>
    <w:rsid w:val="434C6DD8"/>
    <w:rsid w:val="43507075"/>
    <w:rsid w:val="435F2833"/>
    <w:rsid w:val="436759BF"/>
    <w:rsid w:val="436E4B40"/>
    <w:rsid w:val="43724912"/>
    <w:rsid w:val="437B1D72"/>
    <w:rsid w:val="437E62F0"/>
    <w:rsid w:val="438E3040"/>
    <w:rsid w:val="43964CFE"/>
    <w:rsid w:val="43A05B80"/>
    <w:rsid w:val="43B2425A"/>
    <w:rsid w:val="43D51472"/>
    <w:rsid w:val="43F123FE"/>
    <w:rsid w:val="43FC3773"/>
    <w:rsid w:val="4404608A"/>
    <w:rsid w:val="441064B2"/>
    <w:rsid w:val="441F2D2F"/>
    <w:rsid w:val="443477F0"/>
    <w:rsid w:val="444D5DA3"/>
    <w:rsid w:val="444E50A6"/>
    <w:rsid w:val="44506C8E"/>
    <w:rsid w:val="44531B51"/>
    <w:rsid w:val="44602B8E"/>
    <w:rsid w:val="44655301"/>
    <w:rsid w:val="449738D3"/>
    <w:rsid w:val="449C6311"/>
    <w:rsid w:val="44AD69EF"/>
    <w:rsid w:val="44B02648"/>
    <w:rsid w:val="44C50F33"/>
    <w:rsid w:val="44C82C4F"/>
    <w:rsid w:val="44C87AE7"/>
    <w:rsid w:val="44CA3369"/>
    <w:rsid w:val="44D77347"/>
    <w:rsid w:val="44EB7C43"/>
    <w:rsid w:val="44F275B3"/>
    <w:rsid w:val="450B1CC7"/>
    <w:rsid w:val="451849C5"/>
    <w:rsid w:val="451B06AF"/>
    <w:rsid w:val="45511585"/>
    <w:rsid w:val="455D0873"/>
    <w:rsid w:val="456F5BF8"/>
    <w:rsid w:val="45835E2E"/>
    <w:rsid w:val="45853C6F"/>
    <w:rsid w:val="459B3248"/>
    <w:rsid w:val="45B00908"/>
    <w:rsid w:val="45B871F7"/>
    <w:rsid w:val="45BC63D7"/>
    <w:rsid w:val="45D239A0"/>
    <w:rsid w:val="45E52B07"/>
    <w:rsid w:val="460E7E36"/>
    <w:rsid w:val="460F1C3F"/>
    <w:rsid w:val="460F44F0"/>
    <w:rsid w:val="46244422"/>
    <w:rsid w:val="4629034A"/>
    <w:rsid w:val="46363971"/>
    <w:rsid w:val="463D39F2"/>
    <w:rsid w:val="4645206F"/>
    <w:rsid w:val="465B72E1"/>
    <w:rsid w:val="46694A69"/>
    <w:rsid w:val="46833A2D"/>
    <w:rsid w:val="46A06D74"/>
    <w:rsid w:val="46B758D3"/>
    <w:rsid w:val="46EC7E5E"/>
    <w:rsid w:val="46ED4F68"/>
    <w:rsid w:val="46F37F8A"/>
    <w:rsid w:val="470938E2"/>
    <w:rsid w:val="470C5D8A"/>
    <w:rsid w:val="471929D3"/>
    <w:rsid w:val="4719514F"/>
    <w:rsid w:val="471C1E7F"/>
    <w:rsid w:val="472D6E53"/>
    <w:rsid w:val="47440010"/>
    <w:rsid w:val="47514C03"/>
    <w:rsid w:val="47526249"/>
    <w:rsid w:val="47C672B5"/>
    <w:rsid w:val="47D43D2A"/>
    <w:rsid w:val="47D71816"/>
    <w:rsid w:val="47E821F7"/>
    <w:rsid w:val="48155504"/>
    <w:rsid w:val="482376DD"/>
    <w:rsid w:val="48297C3C"/>
    <w:rsid w:val="482E4625"/>
    <w:rsid w:val="482F4A17"/>
    <w:rsid w:val="483616DA"/>
    <w:rsid w:val="48413314"/>
    <w:rsid w:val="4851594C"/>
    <w:rsid w:val="48600031"/>
    <w:rsid w:val="486D7332"/>
    <w:rsid w:val="48717459"/>
    <w:rsid w:val="48767D31"/>
    <w:rsid w:val="48A25E50"/>
    <w:rsid w:val="48AE7AFA"/>
    <w:rsid w:val="48B25D55"/>
    <w:rsid w:val="48B64E67"/>
    <w:rsid w:val="48BB4E55"/>
    <w:rsid w:val="48BE5079"/>
    <w:rsid w:val="48C4265D"/>
    <w:rsid w:val="48C6568D"/>
    <w:rsid w:val="48D2148F"/>
    <w:rsid w:val="49163BF4"/>
    <w:rsid w:val="491B75D3"/>
    <w:rsid w:val="496406AC"/>
    <w:rsid w:val="496650BE"/>
    <w:rsid w:val="49702853"/>
    <w:rsid w:val="497213FA"/>
    <w:rsid w:val="497D6664"/>
    <w:rsid w:val="49844625"/>
    <w:rsid w:val="498E20A3"/>
    <w:rsid w:val="49BD07A8"/>
    <w:rsid w:val="49C60F5D"/>
    <w:rsid w:val="49D13710"/>
    <w:rsid w:val="49E542F1"/>
    <w:rsid w:val="49F90DF5"/>
    <w:rsid w:val="49FF584C"/>
    <w:rsid w:val="4A041E7A"/>
    <w:rsid w:val="4A052B6B"/>
    <w:rsid w:val="4A1C74C4"/>
    <w:rsid w:val="4A1F40F9"/>
    <w:rsid w:val="4A2C4CEE"/>
    <w:rsid w:val="4A4D35AE"/>
    <w:rsid w:val="4A525144"/>
    <w:rsid w:val="4A606C7A"/>
    <w:rsid w:val="4A640064"/>
    <w:rsid w:val="4A6832EA"/>
    <w:rsid w:val="4A696EEA"/>
    <w:rsid w:val="4A6E11A0"/>
    <w:rsid w:val="4A854691"/>
    <w:rsid w:val="4AA15160"/>
    <w:rsid w:val="4AB13F69"/>
    <w:rsid w:val="4AB32EC6"/>
    <w:rsid w:val="4ABF2DB0"/>
    <w:rsid w:val="4AC4417C"/>
    <w:rsid w:val="4AC60BBB"/>
    <w:rsid w:val="4ACC788F"/>
    <w:rsid w:val="4AD037E8"/>
    <w:rsid w:val="4AD57732"/>
    <w:rsid w:val="4AD678C0"/>
    <w:rsid w:val="4AE07D0D"/>
    <w:rsid w:val="4AE603C3"/>
    <w:rsid w:val="4AF44D07"/>
    <w:rsid w:val="4AFB1ADE"/>
    <w:rsid w:val="4AFB2754"/>
    <w:rsid w:val="4B0B7720"/>
    <w:rsid w:val="4B187185"/>
    <w:rsid w:val="4B1D71C1"/>
    <w:rsid w:val="4B40514A"/>
    <w:rsid w:val="4B461FF4"/>
    <w:rsid w:val="4B5B1AD2"/>
    <w:rsid w:val="4B68044B"/>
    <w:rsid w:val="4B6D66EA"/>
    <w:rsid w:val="4B72592C"/>
    <w:rsid w:val="4B74157C"/>
    <w:rsid w:val="4B864FD7"/>
    <w:rsid w:val="4B8C0D1C"/>
    <w:rsid w:val="4B955170"/>
    <w:rsid w:val="4BAB230B"/>
    <w:rsid w:val="4BBD3D97"/>
    <w:rsid w:val="4BCE4E41"/>
    <w:rsid w:val="4BD60681"/>
    <w:rsid w:val="4BE77DF0"/>
    <w:rsid w:val="4BE80C09"/>
    <w:rsid w:val="4BEF57BF"/>
    <w:rsid w:val="4BFA7446"/>
    <w:rsid w:val="4C035838"/>
    <w:rsid w:val="4C0A421C"/>
    <w:rsid w:val="4C0C1532"/>
    <w:rsid w:val="4C0F6BE4"/>
    <w:rsid w:val="4C205F26"/>
    <w:rsid w:val="4C3D2B3D"/>
    <w:rsid w:val="4C432D1E"/>
    <w:rsid w:val="4C5808F9"/>
    <w:rsid w:val="4C635852"/>
    <w:rsid w:val="4C6F4EA7"/>
    <w:rsid w:val="4C71526A"/>
    <w:rsid w:val="4C821B97"/>
    <w:rsid w:val="4C9759B9"/>
    <w:rsid w:val="4C9F2FB4"/>
    <w:rsid w:val="4CA40B29"/>
    <w:rsid w:val="4CC93B4F"/>
    <w:rsid w:val="4CDA310A"/>
    <w:rsid w:val="4CF04FD5"/>
    <w:rsid w:val="4D0D1161"/>
    <w:rsid w:val="4D227832"/>
    <w:rsid w:val="4D275B6D"/>
    <w:rsid w:val="4D4C76DB"/>
    <w:rsid w:val="4D685E90"/>
    <w:rsid w:val="4D7D0414"/>
    <w:rsid w:val="4D8B1875"/>
    <w:rsid w:val="4D9955DA"/>
    <w:rsid w:val="4DA77BB1"/>
    <w:rsid w:val="4DB03033"/>
    <w:rsid w:val="4DBF69D8"/>
    <w:rsid w:val="4DC15FF1"/>
    <w:rsid w:val="4DC329E5"/>
    <w:rsid w:val="4DED5D78"/>
    <w:rsid w:val="4E02062B"/>
    <w:rsid w:val="4E0C3F18"/>
    <w:rsid w:val="4E1868A4"/>
    <w:rsid w:val="4E1C7C11"/>
    <w:rsid w:val="4E302636"/>
    <w:rsid w:val="4E336DD2"/>
    <w:rsid w:val="4E4B307B"/>
    <w:rsid w:val="4E4D6394"/>
    <w:rsid w:val="4E5C35BB"/>
    <w:rsid w:val="4E6E1610"/>
    <w:rsid w:val="4E7045B8"/>
    <w:rsid w:val="4E7418D9"/>
    <w:rsid w:val="4E76628F"/>
    <w:rsid w:val="4E773CF8"/>
    <w:rsid w:val="4E821C8A"/>
    <w:rsid w:val="4E92573F"/>
    <w:rsid w:val="4EB467AC"/>
    <w:rsid w:val="4EBA5381"/>
    <w:rsid w:val="4ED33CD4"/>
    <w:rsid w:val="4EEF633A"/>
    <w:rsid w:val="4EFD01E0"/>
    <w:rsid w:val="4F0B3F31"/>
    <w:rsid w:val="4F0C254E"/>
    <w:rsid w:val="4F0D2462"/>
    <w:rsid w:val="4F0E1CAB"/>
    <w:rsid w:val="4F236812"/>
    <w:rsid w:val="4F255903"/>
    <w:rsid w:val="4F2E40D4"/>
    <w:rsid w:val="4F397988"/>
    <w:rsid w:val="4F3B4F5F"/>
    <w:rsid w:val="4F3E7218"/>
    <w:rsid w:val="4F5368C9"/>
    <w:rsid w:val="4F663B92"/>
    <w:rsid w:val="4F765C59"/>
    <w:rsid w:val="4F7D2092"/>
    <w:rsid w:val="4F895CB7"/>
    <w:rsid w:val="4F8D7F02"/>
    <w:rsid w:val="4F9749B1"/>
    <w:rsid w:val="4F9E0980"/>
    <w:rsid w:val="4FA2336E"/>
    <w:rsid w:val="4FBC08F3"/>
    <w:rsid w:val="4FEE1C01"/>
    <w:rsid w:val="50013AF7"/>
    <w:rsid w:val="501E5C88"/>
    <w:rsid w:val="5020763A"/>
    <w:rsid w:val="50220FE0"/>
    <w:rsid w:val="502D32F5"/>
    <w:rsid w:val="503D1BF7"/>
    <w:rsid w:val="505A47E6"/>
    <w:rsid w:val="505B19B4"/>
    <w:rsid w:val="5077227B"/>
    <w:rsid w:val="508519C0"/>
    <w:rsid w:val="50A8054F"/>
    <w:rsid w:val="50A847B0"/>
    <w:rsid w:val="50B80F0C"/>
    <w:rsid w:val="50D04869"/>
    <w:rsid w:val="50E56ABA"/>
    <w:rsid w:val="50F82467"/>
    <w:rsid w:val="50FD39C6"/>
    <w:rsid w:val="510D1229"/>
    <w:rsid w:val="51250338"/>
    <w:rsid w:val="51356054"/>
    <w:rsid w:val="516141D6"/>
    <w:rsid w:val="5169206D"/>
    <w:rsid w:val="51747E85"/>
    <w:rsid w:val="51772B48"/>
    <w:rsid w:val="517B0509"/>
    <w:rsid w:val="51AB2DFD"/>
    <w:rsid w:val="51B37C35"/>
    <w:rsid w:val="51C837EC"/>
    <w:rsid w:val="51D302BE"/>
    <w:rsid w:val="520D64E0"/>
    <w:rsid w:val="52121BB5"/>
    <w:rsid w:val="52232B8B"/>
    <w:rsid w:val="523C2D22"/>
    <w:rsid w:val="52543750"/>
    <w:rsid w:val="52655DBB"/>
    <w:rsid w:val="527B22FA"/>
    <w:rsid w:val="528C15BE"/>
    <w:rsid w:val="52A23755"/>
    <w:rsid w:val="52B50C00"/>
    <w:rsid w:val="52BF69EB"/>
    <w:rsid w:val="52EC7022"/>
    <w:rsid w:val="52F57263"/>
    <w:rsid w:val="53051C89"/>
    <w:rsid w:val="531272E6"/>
    <w:rsid w:val="531F350E"/>
    <w:rsid w:val="53395DD6"/>
    <w:rsid w:val="533F7877"/>
    <w:rsid w:val="53746FDC"/>
    <w:rsid w:val="537A7D65"/>
    <w:rsid w:val="538145A6"/>
    <w:rsid w:val="53843840"/>
    <w:rsid w:val="538D0BF2"/>
    <w:rsid w:val="53B417A7"/>
    <w:rsid w:val="53C00196"/>
    <w:rsid w:val="53C35E6F"/>
    <w:rsid w:val="53EC4CF6"/>
    <w:rsid w:val="53F806A5"/>
    <w:rsid w:val="54154F3A"/>
    <w:rsid w:val="541C3161"/>
    <w:rsid w:val="542303C5"/>
    <w:rsid w:val="54584A43"/>
    <w:rsid w:val="5458693E"/>
    <w:rsid w:val="547032F2"/>
    <w:rsid w:val="54A1315D"/>
    <w:rsid w:val="54A44298"/>
    <w:rsid w:val="54A74CC8"/>
    <w:rsid w:val="54B41BB8"/>
    <w:rsid w:val="54C21AE8"/>
    <w:rsid w:val="54E6079D"/>
    <w:rsid w:val="54E71C93"/>
    <w:rsid w:val="54F96688"/>
    <w:rsid w:val="550B68F8"/>
    <w:rsid w:val="551D4427"/>
    <w:rsid w:val="552A1DFF"/>
    <w:rsid w:val="552A5363"/>
    <w:rsid w:val="554662A4"/>
    <w:rsid w:val="555100AB"/>
    <w:rsid w:val="55777920"/>
    <w:rsid w:val="55975A0B"/>
    <w:rsid w:val="55B87563"/>
    <w:rsid w:val="55C01078"/>
    <w:rsid w:val="55C52ABC"/>
    <w:rsid w:val="55C5519D"/>
    <w:rsid w:val="55D134BF"/>
    <w:rsid w:val="55D47988"/>
    <w:rsid w:val="55E45308"/>
    <w:rsid w:val="55E554BC"/>
    <w:rsid w:val="55F674EC"/>
    <w:rsid w:val="561906A6"/>
    <w:rsid w:val="56275D08"/>
    <w:rsid w:val="564378F7"/>
    <w:rsid w:val="5692054C"/>
    <w:rsid w:val="5699263B"/>
    <w:rsid w:val="56AF69C3"/>
    <w:rsid w:val="56CA34A9"/>
    <w:rsid w:val="56E03B3A"/>
    <w:rsid w:val="56ED29FD"/>
    <w:rsid w:val="56F95FA8"/>
    <w:rsid w:val="57004F7C"/>
    <w:rsid w:val="57047328"/>
    <w:rsid w:val="57113D07"/>
    <w:rsid w:val="57426824"/>
    <w:rsid w:val="57447811"/>
    <w:rsid w:val="57462F42"/>
    <w:rsid w:val="57475CD0"/>
    <w:rsid w:val="574D3995"/>
    <w:rsid w:val="57607615"/>
    <w:rsid w:val="57764ADE"/>
    <w:rsid w:val="57790827"/>
    <w:rsid w:val="57865B94"/>
    <w:rsid w:val="57997CFB"/>
    <w:rsid w:val="579E25DD"/>
    <w:rsid w:val="57B004E3"/>
    <w:rsid w:val="57C5420D"/>
    <w:rsid w:val="57C60E1A"/>
    <w:rsid w:val="57CC4A33"/>
    <w:rsid w:val="57D03441"/>
    <w:rsid w:val="57E3699A"/>
    <w:rsid w:val="57F15AFB"/>
    <w:rsid w:val="57F4664B"/>
    <w:rsid w:val="57FF0418"/>
    <w:rsid w:val="58013188"/>
    <w:rsid w:val="580D449B"/>
    <w:rsid w:val="581443B9"/>
    <w:rsid w:val="58327382"/>
    <w:rsid w:val="587042CE"/>
    <w:rsid w:val="588056C1"/>
    <w:rsid w:val="58866CB2"/>
    <w:rsid w:val="58970FED"/>
    <w:rsid w:val="58A42F47"/>
    <w:rsid w:val="58D6064E"/>
    <w:rsid w:val="58DF6A00"/>
    <w:rsid w:val="59030803"/>
    <w:rsid w:val="59102846"/>
    <w:rsid w:val="59436B19"/>
    <w:rsid w:val="595D68E0"/>
    <w:rsid w:val="596D6EF0"/>
    <w:rsid w:val="598271F6"/>
    <w:rsid w:val="598637E1"/>
    <w:rsid w:val="598F3205"/>
    <w:rsid w:val="599A5EDC"/>
    <w:rsid w:val="599B7582"/>
    <w:rsid w:val="59A761E6"/>
    <w:rsid w:val="59BB0476"/>
    <w:rsid w:val="59C04A12"/>
    <w:rsid w:val="59C23B06"/>
    <w:rsid w:val="59C977A8"/>
    <w:rsid w:val="59EC4604"/>
    <w:rsid w:val="59FD7509"/>
    <w:rsid w:val="5A1C47D0"/>
    <w:rsid w:val="5A1F4085"/>
    <w:rsid w:val="5A34637B"/>
    <w:rsid w:val="5A38576E"/>
    <w:rsid w:val="5A4A14BA"/>
    <w:rsid w:val="5A4A6365"/>
    <w:rsid w:val="5A4F1470"/>
    <w:rsid w:val="5A6858D4"/>
    <w:rsid w:val="5A6F30C0"/>
    <w:rsid w:val="5A7372E7"/>
    <w:rsid w:val="5A743A8E"/>
    <w:rsid w:val="5A8E3746"/>
    <w:rsid w:val="5ABF12B7"/>
    <w:rsid w:val="5AC920AD"/>
    <w:rsid w:val="5ACB56DF"/>
    <w:rsid w:val="5ACD4C2D"/>
    <w:rsid w:val="5ADE4C7A"/>
    <w:rsid w:val="5AE708C4"/>
    <w:rsid w:val="5AEE77FF"/>
    <w:rsid w:val="5B194E40"/>
    <w:rsid w:val="5B30176B"/>
    <w:rsid w:val="5B397FBF"/>
    <w:rsid w:val="5B3D07DF"/>
    <w:rsid w:val="5B513D1A"/>
    <w:rsid w:val="5B5D5F3A"/>
    <w:rsid w:val="5B6D3527"/>
    <w:rsid w:val="5B6F06C5"/>
    <w:rsid w:val="5B7E5A2A"/>
    <w:rsid w:val="5BAA23E8"/>
    <w:rsid w:val="5BD4650A"/>
    <w:rsid w:val="5BF44417"/>
    <w:rsid w:val="5BF51D65"/>
    <w:rsid w:val="5C0C6D49"/>
    <w:rsid w:val="5C1E3AF1"/>
    <w:rsid w:val="5C223CE4"/>
    <w:rsid w:val="5C3009C8"/>
    <w:rsid w:val="5C355550"/>
    <w:rsid w:val="5C457121"/>
    <w:rsid w:val="5C48662B"/>
    <w:rsid w:val="5C531232"/>
    <w:rsid w:val="5C6F456F"/>
    <w:rsid w:val="5C716E5F"/>
    <w:rsid w:val="5C8B3F62"/>
    <w:rsid w:val="5C8D0302"/>
    <w:rsid w:val="5C9F481F"/>
    <w:rsid w:val="5CBD0820"/>
    <w:rsid w:val="5CFA7502"/>
    <w:rsid w:val="5D3131F6"/>
    <w:rsid w:val="5D593101"/>
    <w:rsid w:val="5D68157F"/>
    <w:rsid w:val="5D6823DC"/>
    <w:rsid w:val="5DAF6C6A"/>
    <w:rsid w:val="5DB27BC2"/>
    <w:rsid w:val="5DC01954"/>
    <w:rsid w:val="5DDC0844"/>
    <w:rsid w:val="5DEC60D3"/>
    <w:rsid w:val="5DF0272A"/>
    <w:rsid w:val="5DF460B6"/>
    <w:rsid w:val="5E001CBB"/>
    <w:rsid w:val="5E013EBD"/>
    <w:rsid w:val="5E223E66"/>
    <w:rsid w:val="5E266927"/>
    <w:rsid w:val="5E2744F2"/>
    <w:rsid w:val="5E291CAB"/>
    <w:rsid w:val="5E2D1950"/>
    <w:rsid w:val="5E3C46FD"/>
    <w:rsid w:val="5E635732"/>
    <w:rsid w:val="5E800744"/>
    <w:rsid w:val="5E885FA6"/>
    <w:rsid w:val="5E897FCF"/>
    <w:rsid w:val="5E8C663C"/>
    <w:rsid w:val="5E985C93"/>
    <w:rsid w:val="5EDD1633"/>
    <w:rsid w:val="5EDD16A7"/>
    <w:rsid w:val="5EED3533"/>
    <w:rsid w:val="5EF90900"/>
    <w:rsid w:val="5F0C6C49"/>
    <w:rsid w:val="5F2E7E85"/>
    <w:rsid w:val="5F2F67AA"/>
    <w:rsid w:val="5F3307AA"/>
    <w:rsid w:val="5F681F2B"/>
    <w:rsid w:val="5F9E2841"/>
    <w:rsid w:val="5FA67E5A"/>
    <w:rsid w:val="5FBB406B"/>
    <w:rsid w:val="5FD74C3C"/>
    <w:rsid w:val="5FDB2953"/>
    <w:rsid w:val="5FED078A"/>
    <w:rsid w:val="5FF11F12"/>
    <w:rsid w:val="5FF2053F"/>
    <w:rsid w:val="6011196C"/>
    <w:rsid w:val="601761B9"/>
    <w:rsid w:val="601B4E99"/>
    <w:rsid w:val="6038487A"/>
    <w:rsid w:val="60535228"/>
    <w:rsid w:val="605F50AF"/>
    <w:rsid w:val="6065769F"/>
    <w:rsid w:val="607109AE"/>
    <w:rsid w:val="60876038"/>
    <w:rsid w:val="60937359"/>
    <w:rsid w:val="60A7654A"/>
    <w:rsid w:val="60A81824"/>
    <w:rsid w:val="60E42469"/>
    <w:rsid w:val="6111126F"/>
    <w:rsid w:val="61157995"/>
    <w:rsid w:val="6117309D"/>
    <w:rsid w:val="611C3D61"/>
    <w:rsid w:val="6121732C"/>
    <w:rsid w:val="612674A8"/>
    <w:rsid w:val="61562B7C"/>
    <w:rsid w:val="61567215"/>
    <w:rsid w:val="616652D0"/>
    <w:rsid w:val="617242F0"/>
    <w:rsid w:val="61733CF0"/>
    <w:rsid w:val="61833A98"/>
    <w:rsid w:val="61994C8A"/>
    <w:rsid w:val="61AC2AA2"/>
    <w:rsid w:val="61B51D54"/>
    <w:rsid w:val="61C24C5C"/>
    <w:rsid w:val="61C24EFD"/>
    <w:rsid w:val="61C819D5"/>
    <w:rsid w:val="61D240F0"/>
    <w:rsid w:val="61D4654C"/>
    <w:rsid w:val="61ED0836"/>
    <w:rsid w:val="6213791D"/>
    <w:rsid w:val="621764D0"/>
    <w:rsid w:val="622F7695"/>
    <w:rsid w:val="62326812"/>
    <w:rsid w:val="62605BDD"/>
    <w:rsid w:val="626E43D5"/>
    <w:rsid w:val="62751A04"/>
    <w:rsid w:val="628B735D"/>
    <w:rsid w:val="628F3AA4"/>
    <w:rsid w:val="62917DCA"/>
    <w:rsid w:val="62A92018"/>
    <w:rsid w:val="62AF0FB9"/>
    <w:rsid w:val="62F11E19"/>
    <w:rsid w:val="62FC3918"/>
    <w:rsid w:val="63110688"/>
    <w:rsid w:val="63163A81"/>
    <w:rsid w:val="632A2873"/>
    <w:rsid w:val="632D5C2C"/>
    <w:rsid w:val="633D08D0"/>
    <w:rsid w:val="636A0A85"/>
    <w:rsid w:val="6373401F"/>
    <w:rsid w:val="63915323"/>
    <w:rsid w:val="63930C9F"/>
    <w:rsid w:val="63B251A0"/>
    <w:rsid w:val="63B4324D"/>
    <w:rsid w:val="63C5509F"/>
    <w:rsid w:val="63C93685"/>
    <w:rsid w:val="63D160B3"/>
    <w:rsid w:val="63D9278D"/>
    <w:rsid w:val="63E26CA8"/>
    <w:rsid w:val="63E87C68"/>
    <w:rsid w:val="64300DA5"/>
    <w:rsid w:val="64301AB8"/>
    <w:rsid w:val="64461672"/>
    <w:rsid w:val="64524ACC"/>
    <w:rsid w:val="646A5CE8"/>
    <w:rsid w:val="64816B03"/>
    <w:rsid w:val="649F1CA8"/>
    <w:rsid w:val="64C23534"/>
    <w:rsid w:val="64C37B8B"/>
    <w:rsid w:val="64E65E98"/>
    <w:rsid w:val="64F2019F"/>
    <w:rsid w:val="64FE555E"/>
    <w:rsid w:val="65010A6A"/>
    <w:rsid w:val="650D5CDA"/>
    <w:rsid w:val="65111351"/>
    <w:rsid w:val="65111CE0"/>
    <w:rsid w:val="65142133"/>
    <w:rsid w:val="65170532"/>
    <w:rsid w:val="65210678"/>
    <w:rsid w:val="652E1C0D"/>
    <w:rsid w:val="655552EE"/>
    <w:rsid w:val="6591077A"/>
    <w:rsid w:val="65A004D4"/>
    <w:rsid w:val="65B56DBC"/>
    <w:rsid w:val="65C51581"/>
    <w:rsid w:val="65CE2D91"/>
    <w:rsid w:val="65D57664"/>
    <w:rsid w:val="65E3072F"/>
    <w:rsid w:val="660202F6"/>
    <w:rsid w:val="661068D3"/>
    <w:rsid w:val="66343E15"/>
    <w:rsid w:val="665B26BD"/>
    <w:rsid w:val="665E4847"/>
    <w:rsid w:val="666300FA"/>
    <w:rsid w:val="667548EF"/>
    <w:rsid w:val="667B4E5E"/>
    <w:rsid w:val="66A27570"/>
    <w:rsid w:val="66A358FC"/>
    <w:rsid w:val="66A370BD"/>
    <w:rsid w:val="66B91C9C"/>
    <w:rsid w:val="66D5295B"/>
    <w:rsid w:val="66DA7DC0"/>
    <w:rsid w:val="66EF7148"/>
    <w:rsid w:val="66FA3B54"/>
    <w:rsid w:val="67063032"/>
    <w:rsid w:val="6716579D"/>
    <w:rsid w:val="671E55D6"/>
    <w:rsid w:val="67307885"/>
    <w:rsid w:val="674D3B24"/>
    <w:rsid w:val="67530428"/>
    <w:rsid w:val="67680E44"/>
    <w:rsid w:val="6775478A"/>
    <w:rsid w:val="679B468E"/>
    <w:rsid w:val="679D53EE"/>
    <w:rsid w:val="67B46C1E"/>
    <w:rsid w:val="67BF51A2"/>
    <w:rsid w:val="67DE121F"/>
    <w:rsid w:val="67E86379"/>
    <w:rsid w:val="67FE2867"/>
    <w:rsid w:val="6810534F"/>
    <w:rsid w:val="6816088E"/>
    <w:rsid w:val="683F080D"/>
    <w:rsid w:val="68404207"/>
    <w:rsid w:val="684E4739"/>
    <w:rsid w:val="684E5F51"/>
    <w:rsid w:val="685C76BD"/>
    <w:rsid w:val="68644622"/>
    <w:rsid w:val="686E64E2"/>
    <w:rsid w:val="68794910"/>
    <w:rsid w:val="688B17DE"/>
    <w:rsid w:val="68BB47A9"/>
    <w:rsid w:val="68BB7930"/>
    <w:rsid w:val="68C8782F"/>
    <w:rsid w:val="68E34F27"/>
    <w:rsid w:val="69044BA8"/>
    <w:rsid w:val="690E0417"/>
    <w:rsid w:val="69384080"/>
    <w:rsid w:val="69527F50"/>
    <w:rsid w:val="695701FE"/>
    <w:rsid w:val="69696D4A"/>
    <w:rsid w:val="696A76A4"/>
    <w:rsid w:val="696E2689"/>
    <w:rsid w:val="697573C8"/>
    <w:rsid w:val="697D0919"/>
    <w:rsid w:val="69883438"/>
    <w:rsid w:val="6998161E"/>
    <w:rsid w:val="69C719E5"/>
    <w:rsid w:val="69ED26BE"/>
    <w:rsid w:val="69EE0724"/>
    <w:rsid w:val="6A01466F"/>
    <w:rsid w:val="6A0812B3"/>
    <w:rsid w:val="6A1071DA"/>
    <w:rsid w:val="6A2A1574"/>
    <w:rsid w:val="6A2C44BF"/>
    <w:rsid w:val="6A332086"/>
    <w:rsid w:val="6A5E1051"/>
    <w:rsid w:val="6A6634FD"/>
    <w:rsid w:val="6A756850"/>
    <w:rsid w:val="6A7A7B87"/>
    <w:rsid w:val="6A7B7875"/>
    <w:rsid w:val="6AEF7048"/>
    <w:rsid w:val="6B2316B7"/>
    <w:rsid w:val="6B232DB4"/>
    <w:rsid w:val="6B2D55F0"/>
    <w:rsid w:val="6B381A52"/>
    <w:rsid w:val="6B3D2EE9"/>
    <w:rsid w:val="6B481705"/>
    <w:rsid w:val="6B527FBB"/>
    <w:rsid w:val="6B611359"/>
    <w:rsid w:val="6B8634AA"/>
    <w:rsid w:val="6BAB34F2"/>
    <w:rsid w:val="6BC34F9E"/>
    <w:rsid w:val="6BDD357F"/>
    <w:rsid w:val="6BE810E2"/>
    <w:rsid w:val="6C050AF7"/>
    <w:rsid w:val="6C171A21"/>
    <w:rsid w:val="6C19377E"/>
    <w:rsid w:val="6C1D7A9D"/>
    <w:rsid w:val="6C313BE4"/>
    <w:rsid w:val="6C3B7DF9"/>
    <w:rsid w:val="6C5D0B62"/>
    <w:rsid w:val="6C5F1FB2"/>
    <w:rsid w:val="6C63687A"/>
    <w:rsid w:val="6C676CEB"/>
    <w:rsid w:val="6C7473E4"/>
    <w:rsid w:val="6C7562C2"/>
    <w:rsid w:val="6C7F397D"/>
    <w:rsid w:val="6C8A3D0D"/>
    <w:rsid w:val="6C95093C"/>
    <w:rsid w:val="6C9A7644"/>
    <w:rsid w:val="6CA23667"/>
    <w:rsid w:val="6CAC6C71"/>
    <w:rsid w:val="6CAF7FCA"/>
    <w:rsid w:val="6CB30AE5"/>
    <w:rsid w:val="6CCC7F46"/>
    <w:rsid w:val="6CCD23F8"/>
    <w:rsid w:val="6CD56718"/>
    <w:rsid w:val="6CDD5ECB"/>
    <w:rsid w:val="6CFA5210"/>
    <w:rsid w:val="6D0F5486"/>
    <w:rsid w:val="6D2A25C0"/>
    <w:rsid w:val="6D3233C2"/>
    <w:rsid w:val="6D3B5327"/>
    <w:rsid w:val="6D457779"/>
    <w:rsid w:val="6D4F4D3B"/>
    <w:rsid w:val="6D502525"/>
    <w:rsid w:val="6D516B3F"/>
    <w:rsid w:val="6D5629B5"/>
    <w:rsid w:val="6D5C355F"/>
    <w:rsid w:val="6D5E2B28"/>
    <w:rsid w:val="6D5E70B1"/>
    <w:rsid w:val="6D6E6C94"/>
    <w:rsid w:val="6D767DF8"/>
    <w:rsid w:val="6D84168C"/>
    <w:rsid w:val="6D963A58"/>
    <w:rsid w:val="6DB329CC"/>
    <w:rsid w:val="6DDD1AFD"/>
    <w:rsid w:val="6DE70477"/>
    <w:rsid w:val="6DF54D16"/>
    <w:rsid w:val="6DF67503"/>
    <w:rsid w:val="6E292877"/>
    <w:rsid w:val="6E364991"/>
    <w:rsid w:val="6E3B4FFE"/>
    <w:rsid w:val="6E4B2921"/>
    <w:rsid w:val="6E5B7130"/>
    <w:rsid w:val="6E616A3E"/>
    <w:rsid w:val="6E6E781C"/>
    <w:rsid w:val="6E7F02A1"/>
    <w:rsid w:val="6E86357C"/>
    <w:rsid w:val="6E90673A"/>
    <w:rsid w:val="6E990B86"/>
    <w:rsid w:val="6EA94D51"/>
    <w:rsid w:val="6EAC4ADC"/>
    <w:rsid w:val="6EBB79A1"/>
    <w:rsid w:val="6EC07C1A"/>
    <w:rsid w:val="6ED02CDA"/>
    <w:rsid w:val="6ED1315A"/>
    <w:rsid w:val="6EDA3B53"/>
    <w:rsid w:val="6EE23AF8"/>
    <w:rsid w:val="6EF20F51"/>
    <w:rsid w:val="6F0C7E4C"/>
    <w:rsid w:val="6F1952B3"/>
    <w:rsid w:val="6F501ED8"/>
    <w:rsid w:val="6F5425E2"/>
    <w:rsid w:val="6F577454"/>
    <w:rsid w:val="6F606891"/>
    <w:rsid w:val="6F6442D3"/>
    <w:rsid w:val="6F706904"/>
    <w:rsid w:val="6F730190"/>
    <w:rsid w:val="6F815A1C"/>
    <w:rsid w:val="6FA267CD"/>
    <w:rsid w:val="6FA84E4B"/>
    <w:rsid w:val="6FAA7562"/>
    <w:rsid w:val="6FB35A5F"/>
    <w:rsid w:val="6FBA1F99"/>
    <w:rsid w:val="6FC52945"/>
    <w:rsid w:val="6FE2753C"/>
    <w:rsid w:val="6FE87F82"/>
    <w:rsid w:val="6FEE5083"/>
    <w:rsid w:val="6FF14E0A"/>
    <w:rsid w:val="6FFA4D46"/>
    <w:rsid w:val="6FFC291E"/>
    <w:rsid w:val="6FFE7BB2"/>
    <w:rsid w:val="700A30F6"/>
    <w:rsid w:val="701B6B38"/>
    <w:rsid w:val="702659D7"/>
    <w:rsid w:val="703A5D7B"/>
    <w:rsid w:val="7046040F"/>
    <w:rsid w:val="7061489C"/>
    <w:rsid w:val="70704779"/>
    <w:rsid w:val="7071426D"/>
    <w:rsid w:val="707B5F7B"/>
    <w:rsid w:val="70881821"/>
    <w:rsid w:val="709B1B80"/>
    <w:rsid w:val="709C0BFD"/>
    <w:rsid w:val="70B91E3C"/>
    <w:rsid w:val="70BA1484"/>
    <w:rsid w:val="70D27FC9"/>
    <w:rsid w:val="70DF5D30"/>
    <w:rsid w:val="70EC5DDE"/>
    <w:rsid w:val="70FB18E1"/>
    <w:rsid w:val="71064291"/>
    <w:rsid w:val="71074572"/>
    <w:rsid w:val="710C4980"/>
    <w:rsid w:val="711A6DEF"/>
    <w:rsid w:val="711E7742"/>
    <w:rsid w:val="71223A19"/>
    <w:rsid w:val="712874C6"/>
    <w:rsid w:val="7130762C"/>
    <w:rsid w:val="71311246"/>
    <w:rsid w:val="713436F5"/>
    <w:rsid w:val="715556DF"/>
    <w:rsid w:val="7164512F"/>
    <w:rsid w:val="716F2F2F"/>
    <w:rsid w:val="719059DA"/>
    <w:rsid w:val="71947935"/>
    <w:rsid w:val="71950901"/>
    <w:rsid w:val="71A264F2"/>
    <w:rsid w:val="71B22B91"/>
    <w:rsid w:val="71B6450F"/>
    <w:rsid w:val="71C06FF8"/>
    <w:rsid w:val="71D063A0"/>
    <w:rsid w:val="71EF79E6"/>
    <w:rsid w:val="71F2186E"/>
    <w:rsid w:val="72241E08"/>
    <w:rsid w:val="72267A23"/>
    <w:rsid w:val="72303302"/>
    <w:rsid w:val="72331589"/>
    <w:rsid w:val="72565258"/>
    <w:rsid w:val="725947A5"/>
    <w:rsid w:val="726C3BF3"/>
    <w:rsid w:val="726E5D2A"/>
    <w:rsid w:val="726F6550"/>
    <w:rsid w:val="7279350A"/>
    <w:rsid w:val="72860B42"/>
    <w:rsid w:val="729402D8"/>
    <w:rsid w:val="72A122BC"/>
    <w:rsid w:val="72A669F0"/>
    <w:rsid w:val="72DD0D86"/>
    <w:rsid w:val="72ED594F"/>
    <w:rsid w:val="72F964AE"/>
    <w:rsid w:val="730A7C7F"/>
    <w:rsid w:val="730B55A1"/>
    <w:rsid w:val="73296BA9"/>
    <w:rsid w:val="732C3CA7"/>
    <w:rsid w:val="73364827"/>
    <w:rsid w:val="73494995"/>
    <w:rsid w:val="734E61A9"/>
    <w:rsid w:val="734E79FE"/>
    <w:rsid w:val="735465E8"/>
    <w:rsid w:val="735876C3"/>
    <w:rsid w:val="73616105"/>
    <w:rsid w:val="736579DC"/>
    <w:rsid w:val="736E7148"/>
    <w:rsid w:val="73740F7D"/>
    <w:rsid w:val="73773832"/>
    <w:rsid w:val="7394723B"/>
    <w:rsid w:val="739C1192"/>
    <w:rsid w:val="739E05C9"/>
    <w:rsid w:val="73A104CB"/>
    <w:rsid w:val="73A4470A"/>
    <w:rsid w:val="73AF0483"/>
    <w:rsid w:val="73C831A7"/>
    <w:rsid w:val="73C85DAD"/>
    <w:rsid w:val="73EF18BE"/>
    <w:rsid w:val="73F45D8F"/>
    <w:rsid w:val="740C3954"/>
    <w:rsid w:val="741909A3"/>
    <w:rsid w:val="741E2BA1"/>
    <w:rsid w:val="74280BFF"/>
    <w:rsid w:val="7445360E"/>
    <w:rsid w:val="744A79EB"/>
    <w:rsid w:val="746051D2"/>
    <w:rsid w:val="7477752E"/>
    <w:rsid w:val="74931901"/>
    <w:rsid w:val="749530B9"/>
    <w:rsid w:val="74AF69E1"/>
    <w:rsid w:val="74BB6F57"/>
    <w:rsid w:val="74CB3CE9"/>
    <w:rsid w:val="74D605EE"/>
    <w:rsid w:val="74DC4D3A"/>
    <w:rsid w:val="74DD5BD2"/>
    <w:rsid w:val="74EC5920"/>
    <w:rsid w:val="74FC1B6D"/>
    <w:rsid w:val="75237349"/>
    <w:rsid w:val="75475CD9"/>
    <w:rsid w:val="754D241E"/>
    <w:rsid w:val="7558788B"/>
    <w:rsid w:val="756A5DAC"/>
    <w:rsid w:val="759275FC"/>
    <w:rsid w:val="75A301F8"/>
    <w:rsid w:val="75A30CE6"/>
    <w:rsid w:val="75B93FF3"/>
    <w:rsid w:val="75E03454"/>
    <w:rsid w:val="75EC07FB"/>
    <w:rsid w:val="75F901E7"/>
    <w:rsid w:val="760C57E7"/>
    <w:rsid w:val="76300DF1"/>
    <w:rsid w:val="76371ADC"/>
    <w:rsid w:val="763B6AA7"/>
    <w:rsid w:val="76436D6B"/>
    <w:rsid w:val="76503E7F"/>
    <w:rsid w:val="766B10E2"/>
    <w:rsid w:val="768E71E5"/>
    <w:rsid w:val="769468C5"/>
    <w:rsid w:val="76976277"/>
    <w:rsid w:val="769963F1"/>
    <w:rsid w:val="76D76D8D"/>
    <w:rsid w:val="76DF06C5"/>
    <w:rsid w:val="77077CDA"/>
    <w:rsid w:val="770B56CF"/>
    <w:rsid w:val="770C6A76"/>
    <w:rsid w:val="77210608"/>
    <w:rsid w:val="77250A29"/>
    <w:rsid w:val="772B7B55"/>
    <w:rsid w:val="774F6069"/>
    <w:rsid w:val="77783996"/>
    <w:rsid w:val="77A54ECD"/>
    <w:rsid w:val="77A836BD"/>
    <w:rsid w:val="77D4717D"/>
    <w:rsid w:val="77E41416"/>
    <w:rsid w:val="77EC6AD7"/>
    <w:rsid w:val="780C56BB"/>
    <w:rsid w:val="781F445B"/>
    <w:rsid w:val="7829639C"/>
    <w:rsid w:val="782D5EEB"/>
    <w:rsid w:val="78322545"/>
    <w:rsid w:val="78335430"/>
    <w:rsid w:val="78575B17"/>
    <w:rsid w:val="78716819"/>
    <w:rsid w:val="78817ECE"/>
    <w:rsid w:val="78906DBA"/>
    <w:rsid w:val="7893462E"/>
    <w:rsid w:val="789E4D63"/>
    <w:rsid w:val="78B26F62"/>
    <w:rsid w:val="78BA4327"/>
    <w:rsid w:val="78CE2393"/>
    <w:rsid w:val="78DD07EB"/>
    <w:rsid w:val="78E4379E"/>
    <w:rsid w:val="78F86174"/>
    <w:rsid w:val="79143132"/>
    <w:rsid w:val="7919086C"/>
    <w:rsid w:val="792A0021"/>
    <w:rsid w:val="7931090D"/>
    <w:rsid w:val="79355A1E"/>
    <w:rsid w:val="793660CC"/>
    <w:rsid w:val="79381D15"/>
    <w:rsid w:val="794039B4"/>
    <w:rsid w:val="79434CFF"/>
    <w:rsid w:val="79443BB1"/>
    <w:rsid w:val="796D6E52"/>
    <w:rsid w:val="79754363"/>
    <w:rsid w:val="7986273F"/>
    <w:rsid w:val="798843A8"/>
    <w:rsid w:val="799D6B5A"/>
    <w:rsid w:val="799F09A9"/>
    <w:rsid w:val="79AE557F"/>
    <w:rsid w:val="79AF4AD1"/>
    <w:rsid w:val="79BF5215"/>
    <w:rsid w:val="79C318FE"/>
    <w:rsid w:val="79C82692"/>
    <w:rsid w:val="79CA570D"/>
    <w:rsid w:val="79CE261B"/>
    <w:rsid w:val="79D525DF"/>
    <w:rsid w:val="79DD144C"/>
    <w:rsid w:val="79DF4732"/>
    <w:rsid w:val="79E2494D"/>
    <w:rsid w:val="79E923F1"/>
    <w:rsid w:val="79F34C49"/>
    <w:rsid w:val="7A0D5D5C"/>
    <w:rsid w:val="7A162C58"/>
    <w:rsid w:val="7A246AFC"/>
    <w:rsid w:val="7A42619F"/>
    <w:rsid w:val="7A837A3B"/>
    <w:rsid w:val="7A9C163B"/>
    <w:rsid w:val="7AA50292"/>
    <w:rsid w:val="7AA8061A"/>
    <w:rsid w:val="7AC26039"/>
    <w:rsid w:val="7B0175EA"/>
    <w:rsid w:val="7B276870"/>
    <w:rsid w:val="7B2E55BA"/>
    <w:rsid w:val="7B315F48"/>
    <w:rsid w:val="7B3E6B40"/>
    <w:rsid w:val="7B452308"/>
    <w:rsid w:val="7B5B56DD"/>
    <w:rsid w:val="7B6A75F2"/>
    <w:rsid w:val="7B6C181F"/>
    <w:rsid w:val="7B7A35FD"/>
    <w:rsid w:val="7B9F3EA8"/>
    <w:rsid w:val="7BAE48DF"/>
    <w:rsid w:val="7BB6655D"/>
    <w:rsid w:val="7BC41A70"/>
    <w:rsid w:val="7BC87003"/>
    <w:rsid w:val="7BE05958"/>
    <w:rsid w:val="7BF902CC"/>
    <w:rsid w:val="7BFB1333"/>
    <w:rsid w:val="7C0F0D0C"/>
    <w:rsid w:val="7C0F42C5"/>
    <w:rsid w:val="7C13425D"/>
    <w:rsid w:val="7C331CB0"/>
    <w:rsid w:val="7C336C44"/>
    <w:rsid w:val="7C3A5CC0"/>
    <w:rsid w:val="7C3B250D"/>
    <w:rsid w:val="7C3F3E26"/>
    <w:rsid w:val="7C4A4CBE"/>
    <w:rsid w:val="7C5F616F"/>
    <w:rsid w:val="7C61622F"/>
    <w:rsid w:val="7C7614D7"/>
    <w:rsid w:val="7C7B2BE3"/>
    <w:rsid w:val="7CA9367D"/>
    <w:rsid w:val="7CA945CF"/>
    <w:rsid w:val="7CB437D3"/>
    <w:rsid w:val="7CCF6743"/>
    <w:rsid w:val="7CE00FE6"/>
    <w:rsid w:val="7CE2023F"/>
    <w:rsid w:val="7CE4255E"/>
    <w:rsid w:val="7CE72215"/>
    <w:rsid w:val="7D255E9E"/>
    <w:rsid w:val="7D3266B5"/>
    <w:rsid w:val="7D451F05"/>
    <w:rsid w:val="7D5630E0"/>
    <w:rsid w:val="7D612E88"/>
    <w:rsid w:val="7DAB7243"/>
    <w:rsid w:val="7DB739E2"/>
    <w:rsid w:val="7DB82133"/>
    <w:rsid w:val="7E0110FF"/>
    <w:rsid w:val="7E016890"/>
    <w:rsid w:val="7E063017"/>
    <w:rsid w:val="7E140320"/>
    <w:rsid w:val="7E1668A0"/>
    <w:rsid w:val="7E1D492A"/>
    <w:rsid w:val="7E20467A"/>
    <w:rsid w:val="7E215319"/>
    <w:rsid w:val="7E5401AF"/>
    <w:rsid w:val="7E554AFB"/>
    <w:rsid w:val="7E604466"/>
    <w:rsid w:val="7E6513C3"/>
    <w:rsid w:val="7E7D5458"/>
    <w:rsid w:val="7EA169C8"/>
    <w:rsid w:val="7EA2587D"/>
    <w:rsid w:val="7EB620D5"/>
    <w:rsid w:val="7ECF37A9"/>
    <w:rsid w:val="7ED05BB4"/>
    <w:rsid w:val="7EDA196C"/>
    <w:rsid w:val="7F144A30"/>
    <w:rsid w:val="7F1D5D61"/>
    <w:rsid w:val="7F2A6BFA"/>
    <w:rsid w:val="7F2B7BF8"/>
    <w:rsid w:val="7F31087E"/>
    <w:rsid w:val="7F6866CD"/>
    <w:rsid w:val="7F6C2BDC"/>
    <w:rsid w:val="7F732881"/>
    <w:rsid w:val="7F7D4A31"/>
    <w:rsid w:val="7F830289"/>
    <w:rsid w:val="7F9042D2"/>
    <w:rsid w:val="7F944B3F"/>
    <w:rsid w:val="7F965F69"/>
    <w:rsid w:val="7F9709E3"/>
    <w:rsid w:val="7F991D39"/>
    <w:rsid w:val="7FAD0CC0"/>
    <w:rsid w:val="7FD63AA5"/>
    <w:rsid w:val="7FE82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semiHidden="0" w:name="Balloon Text"/>
    <w:lsdException w:qFormat="1" w:unhideWhenUsed="0" w:uiPriority="99" w:semiHidden="0" w:name="Table Grid"/>
    <w:lsdException w:uiPriority="0"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9"/>
    <w:qFormat/>
    <w:uiPriority w:val="0"/>
    <w:pPr>
      <w:keepNext/>
      <w:keepLines/>
      <w:spacing w:before="100" w:beforeAutospacing="1" w:line="360" w:lineRule="auto"/>
      <w:outlineLvl w:val="0"/>
    </w:pPr>
    <w:rPr>
      <w:b/>
      <w:bCs/>
      <w:kern w:val="44"/>
      <w:sz w:val="44"/>
      <w:szCs w:val="44"/>
    </w:rPr>
  </w:style>
  <w:style w:type="paragraph" w:styleId="3">
    <w:name w:val="heading 2"/>
    <w:basedOn w:val="1"/>
    <w:next w:val="1"/>
    <w:link w:val="161"/>
    <w:autoRedefine/>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113"/>
    <w:qFormat/>
    <w:uiPriority w:val="0"/>
    <w:pPr>
      <w:keepNext/>
      <w:keepLines/>
      <w:spacing w:before="260" w:after="100" w:afterAutospacing="1"/>
      <w:outlineLvl w:val="2"/>
    </w:pPr>
    <w:rPr>
      <w:b/>
      <w:bCs/>
      <w:kern w:val="0"/>
      <w:szCs w:val="32"/>
    </w:rPr>
  </w:style>
  <w:style w:type="paragraph" w:styleId="5">
    <w:name w:val="heading 4"/>
    <w:basedOn w:val="1"/>
    <w:next w:val="1"/>
    <w:link w:val="229"/>
    <w:qFormat/>
    <w:uiPriority w:val="0"/>
    <w:pPr>
      <w:keepNext/>
      <w:keepLines/>
      <w:spacing w:before="100" w:beforeAutospacing="1" w:after="100" w:afterAutospacing="1" w:line="360" w:lineRule="auto"/>
      <w:outlineLvl w:val="3"/>
    </w:pPr>
    <w:rPr>
      <w:rFonts w:ascii="Cambria" w:hAnsi="Cambria"/>
      <w:b/>
      <w:bCs/>
      <w:kern w:val="0"/>
      <w:szCs w:val="28"/>
    </w:rPr>
  </w:style>
  <w:style w:type="paragraph" w:styleId="6">
    <w:name w:val="heading 5"/>
    <w:basedOn w:val="1"/>
    <w:next w:val="1"/>
    <w:link w:val="190"/>
    <w:autoRedefine/>
    <w:qFormat/>
    <w:uiPriority w:val="0"/>
    <w:pPr>
      <w:keepNext/>
      <w:keepLines/>
      <w:spacing w:before="100" w:beforeAutospacing="1" w:line="360" w:lineRule="auto"/>
      <w:outlineLvl w:val="4"/>
    </w:pPr>
    <w:rPr>
      <w:bCs/>
      <w:kern w:val="0"/>
      <w:szCs w:val="28"/>
    </w:rPr>
  </w:style>
  <w:style w:type="paragraph" w:styleId="7">
    <w:name w:val="heading 6"/>
    <w:basedOn w:val="1"/>
    <w:next w:val="1"/>
    <w:link w:val="202"/>
    <w:autoRedefine/>
    <w:qFormat/>
    <w:uiPriority w:val="0"/>
    <w:pPr>
      <w:keepNext/>
      <w:keepLines/>
      <w:widowControl/>
      <w:tabs>
        <w:tab w:val="left" w:pos="1440"/>
      </w:tabs>
      <w:spacing w:before="240" w:after="64" w:line="320" w:lineRule="auto"/>
      <w:ind w:left="1152" w:hanging="1152"/>
      <w:jc w:val="left"/>
      <w:outlineLvl w:val="5"/>
    </w:pPr>
    <w:rPr>
      <w:rFonts w:ascii="Cambria" w:hAnsi="Cambria"/>
      <w:b/>
      <w:bCs/>
      <w:kern w:val="0"/>
      <w:sz w:val="24"/>
    </w:rPr>
  </w:style>
  <w:style w:type="paragraph" w:styleId="8">
    <w:name w:val="heading 7"/>
    <w:basedOn w:val="1"/>
    <w:next w:val="1"/>
    <w:link w:val="247"/>
    <w:autoRedefine/>
    <w:qFormat/>
    <w:uiPriority w:val="0"/>
    <w:pPr>
      <w:keepNext/>
      <w:keepLines/>
      <w:widowControl/>
      <w:tabs>
        <w:tab w:val="left" w:pos="2520"/>
      </w:tabs>
      <w:spacing w:before="240" w:after="64" w:line="320" w:lineRule="auto"/>
      <w:ind w:left="1296" w:hanging="1296"/>
      <w:jc w:val="left"/>
      <w:outlineLvl w:val="6"/>
    </w:pPr>
    <w:rPr>
      <w:b/>
      <w:kern w:val="0"/>
      <w:sz w:val="24"/>
      <w:szCs w:val="20"/>
    </w:rPr>
  </w:style>
  <w:style w:type="paragraph" w:styleId="9">
    <w:name w:val="heading 8"/>
    <w:basedOn w:val="1"/>
    <w:next w:val="1"/>
    <w:link w:val="277"/>
    <w:autoRedefine/>
    <w:qFormat/>
    <w:uiPriority w:val="0"/>
    <w:pPr>
      <w:keepNext/>
      <w:keepLines/>
      <w:widowControl/>
      <w:tabs>
        <w:tab w:val="left" w:pos="1440"/>
      </w:tabs>
      <w:spacing w:before="240" w:after="64" w:line="320" w:lineRule="auto"/>
      <w:ind w:left="1440" w:hanging="1440"/>
      <w:jc w:val="left"/>
      <w:outlineLvl w:val="7"/>
    </w:pPr>
    <w:rPr>
      <w:rFonts w:ascii="Cambria" w:hAnsi="Cambria"/>
      <w:kern w:val="0"/>
      <w:sz w:val="24"/>
    </w:rPr>
  </w:style>
  <w:style w:type="paragraph" w:styleId="10">
    <w:name w:val="heading 9"/>
    <w:basedOn w:val="1"/>
    <w:next w:val="1"/>
    <w:link w:val="137"/>
    <w:autoRedefine/>
    <w:qFormat/>
    <w:uiPriority w:val="0"/>
    <w:pPr>
      <w:keepNext/>
      <w:keepLines/>
      <w:widowControl/>
      <w:tabs>
        <w:tab w:val="left" w:pos="1584"/>
      </w:tabs>
      <w:spacing w:before="240" w:after="64" w:line="320" w:lineRule="auto"/>
      <w:ind w:left="1584" w:hanging="1584"/>
      <w:jc w:val="left"/>
      <w:outlineLvl w:val="8"/>
    </w:pPr>
    <w:rPr>
      <w:rFonts w:ascii="Cambria" w:hAnsi="Cambria"/>
      <w:kern w:val="0"/>
      <w:sz w:val="20"/>
      <w:szCs w:val="21"/>
    </w:rPr>
  </w:style>
  <w:style w:type="character" w:default="1" w:styleId="77">
    <w:name w:val="Default Paragraph Font"/>
    <w:autoRedefine/>
    <w:semiHidden/>
    <w:unhideWhenUsed/>
    <w:qFormat/>
    <w:uiPriority w:val="1"/>
  </w:style>
  <w:style w:type="table" w:default="1" w:styleId="7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spacing w:line="360" w:lineRule="auto"/>
      <w:ind w:left="100" w:leftChars="400" w:hanging="200" w:hangingChars="200"/>
    </w:pPr>
    <w:rPr>
      <w:szCs w:val="20"/>
    </w:rPr>
  </w:style>
  <w:style w:type="paragraph" w:styleId="12">
    <w:name w:val="toc 7"/>
    <w:basedOn w:val="1"/>
    <w:next w:val="1"/>
    <w:autoRedefine/>
    <w:qFormat/>
    <w:uiPriority w:val="39"/>
    <w:pPr>
      <w:ind w:left="1260"/>
      <w:jc w:val="left"/>
    </w:pPr>
    <w:rPr>
      <w:rFonts w:ascii="Calibri" w:hAnsi="Calibri" w:cs="Calibri"/>
      <w:sz w:val="18"/>
      <w:szCs w:val="18"/>
    </w:rPr>
  </w:style>
  <w:style w:type="paragraph" w:styleId="13">
    <w:name w:val="List Number 2"/>
    <w:basedOn w:val="1"/>
    <w:autoRedefine/>
    <w:qFormat/>
    <w:uiPriority w:val="0"/>
    <w:pPr>
      <w:tabs>
        <w:tab w:val="left" w:pos="780"/>
      </w:tabs>
      <w:spacing w:line="360" w:lineRule="auto"/>
      <w:ind w:left="200" w:leftChars="200" w:hanging="200" w:hangingChars="200"/>
    </w:pPr>
    <w:rPr>
      <w:szCs w:val="20"/>
    </w:rPr>
  </w:style>
  <w:style w:type="paragraph" w:styleId="14">
    <w:name w:val="Note Heading"/>
    <w:basedOn w:val="1"/>
    <w:next w:val="1"/>
    <w:link w:val="250"/>
    <w:autoRedefine/>
    <w:qFormat/>
    <w:uiPriority w:val="0"/>
    <w:pPr>
      <w:spacing w:line="360" w:lineRule="auto"/>
      <w:ind w:firstLine="200" w:firstLineChars="200"/>
      <w:jc w:val="center"/>
    </w:pPr>
    <w:rPr>
      <w:szCs w:val="20"/>
    </w:rPr>
  </w:style>
  <w:style w:type="paragraph" w:styleId="15">
    <w:name w:val="List Bullet 4"/>
    <w:basedOn w:val="1"/>
    <w:autoRedefine/>
    <w:qFormat/>
    <w:uiPriority w:val="0"/>
    <w:pPr>
      <w:tabs>
        <w:tab w:val="left" w:pos="1620"/>
      </w:tabs>
      <w:ind w:left="1620" w:leftChars="600" w:hanging="360" w:hangingChars="200"/>
    </w:pPr>
  </w:style>
  <w:style w:type="paragraph" w:styleId="16">
    <w:name w:val="E-mail Signature"/>
    <w:basedOn w:val="1"/>
    <w:link w:val="176"/>
    <w:autoRedefine/>
    <w:qFormat/>
    <w:uiPriority w:val="0"/>
    <w:pPr>
      <w:spacing w:line="360" w:lineRule="auto"/>
      <w:ind w:firstLine="200" w:firstLineChars="200"/>
    </w:pPr>
    <w:rPr>
      <w:szCs w:val="20"/>
    </w:rPr>
  </w:style>
  <w:style w:type="paragraph" w:styleId="17">
    <w:name w:val="List Number"/>
    <w:basedOn w:val="1"/>
    <w:autoRedefine/>
    <w:qFormat/>
    <w:uiPriority w:val="0"/>
    <w:pPr>
      <w:tabs>
        <w:tab w:val="left" w:pos="360"/>
      </w:tabs>
      <w:spacing w:line="360" w:lineRule="auto"/>
      <w:ind w:left="360" w:hanging="200" w:hangingChars="200"/>
    </w:pPr>
    <w:rPr>
      <w:szCs w:val="20"/>
    </w:rPr>
  </w:style>
  <w:style w:type="paragraph" w:styleId="18">
    <w:name w:val="Normal Indent"/>
    <w:basedOn w:val="1"/>
    <w:autoRedefine/>
    <w:qFormat/>
    <w:uiPriority w:val="0"/>
    <w:pPr>
      <w:ind w:firstLine="420" w:firstLineChars="200"/>
    </w:pPr>
  </w:style>
  <w:style w:type="paragraph" w:styleId="19">
    <w:name w:val="caption"/>
    <w:basedOn w:val="1"/>
    <w:next w:val="1"/>
    <w:autoRedefine/>
    <w:qFormat/>
    <w:locked/>
    <w:uiPriority w:val="0"/>
    <w:rPr>
      <w:rFonts w:ascii="Arial" w:hAnsi="Arial" w:eastAsia="黑体" w:cs="Arial"/>
      <w:sz w:val="20"/>
      <w:szCs w:val="20"/>
    </w:rPr>
  </w:style>
  <w:style w:type="paragraph" w:styleId="20">
    <w:name w:val="List Bullet"/>
    <w:basedOn w:val="1"/>
    <w:autoRedefine/>
    <w:qFormat/>
    <w:uiPriority w:val="0"/>
    <w:pPr>
      <w:tabs>
        <w:tab w:val="left" w:pos="360"/>
      </w:tabs>
      <w:ind w:left="360" w:hanging="360" w:hangingChars="200"/>
    </w:pPr>
  </w:style>
  <w:style w:type="paragraph" w:styleId="21">
    <w:name w:val="envelope address"/>
    <w:basedOn w:val="1"/>
    <w:autoRedefine/>
    <w:qFormat/>
    <w:uiPriority w:val="0"/>
    <w:pPr>
      <w:snapToGrid w:val="0"/>
      <w:spacing w:line="360" w:lineRule="auto"/>
      <w:ind w:left="100" w:leftChars="1400" w:firstLine="200" w:firstLineChars="200"/>
    </w:pPr>
    <w:rPr>
      <w:rFonts w:ascii="Arial" w:hAnsi="Arial" w:cs="Arial"/>
      <w:sz w:val="24"/>
    </w:rPr>
  </w:style>
  <w:style w:type="paragraph" w:styleId="22">
    <w:name w:val="Document Map"/>
    <w:basedOn w:val="1"/>
    <w:link w:val="175"/>
    <w:autoRedefine/>
    <w:qFormat/>
    <w:uiPriority w:val="0"/>
    <w:rPr>
      <w:rFonts w:ascii="宋体"/>
      <w:sz w:val="18"/>
      <w:szCs w:val="20"/>
    </w:rPr>
  </w:style>
  <w:style w:type="paragraph" w:styleId="23">
    <w:name w:val="annotation text"/>
    <w:basedOn w:val="1"/>
    <w:link w:val="203"/>
    <w:qFormat/>
    <w:uiPriority w:val="0"/>
    <w:pPr>
      <w:jc w:val="left"/>
    </w:pPr>
    <w:rPr>
      <w:kern w:val="0"/>
      <w:sz w:val="20"/>
    </w:rPr>
  </w:style>
  <w:style w:type="paragraph" w:styleId="24">
    <w:name w:val="Salutation"/>
    <w:basedOn w:val="1"/>
    <w:next w:val="1"/>
    <w:link w:val="356"/>
    <w:autoRedefine/>
    <w:qFormat/>
    <w:uiPriority w:val="0"/>
    <w:pPr>
      <w:spacing w:line="400" w:lineRule="atLeast"/>
    </w:pPr>
    <w:rPr>
      <w:b/>
      <w:sz w:val="24"/>
      <w:szCs w:val="20"/>
    </w:rPr>
  </w:style>
  <w:style w:type="paragraph" w:styleId="25">
    <w:name w:val="Body Text 3"/>
    <w:basedOn w:val="1"/>
    <w:link w:val="165"/>
    <w:autoRedefine/>
    <w:qFormat/>
    <w:uiPriority w:val="0"/>
    <w:rPr>
      <w:rFonts w:ascii="宋体"/>
      <w:sz w:val="24"/>
      <w:szCs w:val="20"/>
    </w:rPr>
  </w:style>
  <w:style w:type="paragraph" w:styleId="26">
    <w:name w:val="Closing"/>
    <w:basedOn w:val="1"/>
    <w:link w:val="160"/>
    <w:autoRedefine/>
    <w:qFormat/>
    <w:uiPriority w:val="0"/>
    <w:pPr>
      <w:spacing w:line="360" w:lineRule="auto"/>
      <w:ind w:left="100" w:leftChars="2100" w:firstLine="200" w:firstLineChars="200"/>
    </w:pPr>
    <w:rPr>
      <w:szCs w:val="20"/>
    </w:rPr>
  </w:style>
  <w:style w:type="paragraph" w:styleId="27">
    <w:name w:val="List Bullet 3"/>
    <w:basedOn w:val="1"/>
    <w:autoRedefine/>
    <w:qFormat/>
    <w:uiPriority w:val="0"/>
    <w:pPr>
      <w:tabs>
        <w:tab w:val="left" w:pos="1200"/>
      </w:tabs>
      <w:ind w:left="1200" w:leftChars="400" w:hanging="360" w:hangingChars="200"/>
    </w:pPr>
  </w:style>
  <w:style w:type="paragraph" w:styleId="28">
    <w:name w:val="Body Text"/>
    <w:basedOn w:val="1"/>
    <w:link w:val="303"/>
    <w:autoRedefine/>
    <w:qFormat/>
    <w:uiPriority w:val="0"/>
    <w:pPr>
      <w:spacing w:after="120"/>
    </w:pPr>
    <w:rPr>
      <w:kern w:val="0"/>
      <w:sz w:val="20"/>
    </w:rPr>
  </w:style>
  <w:style w:type="paragraph" w:styleId="29">
    <w:name w:val="Body Text Indent"/>
    <w:basedOn w:val="1"/>
    <w:next w:val="30"/>
    <w:link w:val="254"/>
    <w:qFormat/>
    <w:uiPriority w:val="0"/>
    <w:pPr>
      <w:spacing w:after="120"/>
      <w:ind w:left="420" w:leftChars="200"/>
    </w:pPr>
    <w:rPr>
      <w:kern w:val="0"/>
      <w:sz w:val="20"/>
    </w:rPr>
  </w:style>
  <w:style w:type="paragraph" w:styleId="30">
    <w:name w:val="envelope return"/>
    <w:basedOn w:val="1"/>
    <w:next w:val="31"/>
    <w:autoRedefine/>
    <w:qFormat/>
    <w:uiPriority w:val="0"/>
    <w:pPr>
      <w:snapToGrid w:val="0"/>
      <w:spacing w:line="360" w:lineRule="auto"/>
      <w:ind w:firstLine="200" w:firstLineChars="200"/>
    </w:pPr>
    <w:rPr>
      <w:rFonts w:ascii="Arial" w:hAnsi="Arial" w:cs="Arial"/>
      <w:szCs w:val="20"/>
    </w:rPr>
  </w:style>
  <w:style w:type="paragraph" w:styleId="31">
    <w:name w:val="Title"/>
    <w:basedOn w:val="1"/>
    <w:next w:val="1"/>
    <w:link w:val="281"/>
    <w:autoRedefine/>
    <w:qFormat/>
    <w:uiPriority w:val="0"/>
    <w:pPr>
      <w:adjustRightInd w:val="0"/>
      <w:spacing w:before="240" w:after="60" w:line="420" w:lineRule="atLeast"/>
      <w:jc w:val="center"/>
      <w:textAlignment w:val="baseline"/>
      <w:outlineLvl w:val="0"/>
    </w:pPr>
    <w:rPr>
      <w:rFonts w:ascii="Cambria" w:hAnsi="Cambria"/>
      <w:b/>
      <w:bCs/>
      <w:kern w:val="0"/>
      <w:sz w:val="32"/>
      <w:szCs w:val="32"/>
    </w:rPr>
  </w:style>
  <w:style w:type="paragraph" w:styleId="32">
    <w:name w:val="List Number 3"/>
    <w:basedOn w:val="1"/>
    <w:autoRedefine/>
    <w:qFormat/>
    <w:uiPriority w:val="0"/>
    <w:pPr>
      <w:tabs>
        <w:tab w:val="left" w:pos="1200"/>
      </w:tabs>
      <w:spacing w:line="360" w:lineRule="auto"/>
      <w:ind w:left="400" w:leftChars="400" w:hanging="200" w:hangingChars="200"/>
    </w:pPr>
    <w:rPr>
      <w:szCs w:val="20"/>
    </w:rPr>
  </w:style>
  <w:style w:type="paragraph" w:styleId="33">
    <w:name w:val="List 2"/>
    <w:basedOn w:val="1"/>
    <w:autoRedefine/>
    <w:qFormat/>
    <w:uiPriority w:val="0"/>
    <w:pPr>
      <w:ind w:left="100" w:leftChars="200" w:hanging="200" w:hangingChars="200"/>
    </w:pPr>
    <w:rPr>
      <w:rFonts w:ascii="宋体" w:hAnsi="宋体"/>
    </w:rPr>
  </w:style>
  <w:style w:type="paragraph" w:styleId="34">
    <w:name w:val="List Continue"/>
    <w:basedOn w:val="1"/>
    <w:autoRedefine/>
    <w:qFormat/>
    <w:uiPriority w:val="0"/>
    <w:pPr>
      <w:spacing w:after="120" w:line="360" w:lineRule="auto"/>
      <w:ind w:left="420" w:leftChars="200" w:firstLine="200" w:firstLineChars="200"/>
    </w:pPr>
    <w:rPr>
      <w:szCs w:val="20"/>
    </w:rPr>
  </w:style>
  <w:style w:type="paragraph" w:styleId="35">
    <w:name w:val="Block Text"/>
    <w:basedOn w:val="1"/>
    <w:autoRedefine/>
    <w:qFormat/>
    <w:uiPriority w:val="0"/>
    <w:pPr>
      <w:snapToGrid w:val="0"/>
      <w:ind w:left="983" w:leftChars="268" w:right="126" w:rightChars="60" w:hanging="420" w:hangingChars="200"/>
    </w:pPr>
    <w:rPr>
      <w:rFonts w:eastAsia="仿宋_GB2312"/>
    </w:rPr>
  </w:style>
  <w:style w:type="paragraph" w:styleId="36">
    <w:name w:val="List Bullet 2"/>
    <w:basedOn w:val="1"/>
    <w:autoRedefine/>
    <w:qFormat/>
    <w:uiPriority w:val="0"/>
    <w:pPr>
      <w:tabs>
        <w:tab w:val="left" w:pos="780"/>
      </w:tabs>
      <w:ind w:left="780" w:leftChars="200" w:hanging="360" w:hangingChars="200"/>
    </w:pPr>
  </w:style>
  <w:style w:type="paragraph" w:styleId="37">
    <w:name w:val="HTML Address"/>
    <w:basedOn w:val="1"/>
    <w:link w:val="119"/>
    <w:autoRedefine/>
    <w:qFormat/>
    <w:uiPriority w:val="0"/>
    <w:pPr>
      <w:spacing w:line="360" w:lineRule="auto"/>
      <w:ind w:firstLine="200" w:firstLineChars="200"/>
    </w:pPr>
    <w:rPr>
      <w:i/>
      <w:iCs/>
      <w:szCs w:val="20"/>
    </w:rPr>
  </w:style>
  <w:style w:type="paragraph" w:styleId="38">
    <w:name w:val="toc 5"/>
    <w:basedOn w:val="1"/>
    <w:next w:val="1"/>
    <w:autoRedefine/>
    <w:qFormat/>
    <w:uiPriority w:val="39"/>
    <w:pPr>
      <w:ind w:left="840"/>
      <w:jc w:val="left"/>
    </w:pPr>
    <w:rPr>
      <w:rFonts w:ascii="Calibri" w:hAnsi="Calibri" w:cs="Calibri"/>
      <w:sz w:val="18"/>
      <w:szCs w:val="18"/>
    </w:rPr>
  </w:style>
  <w:style w:type="paragraph" w:styleId="39">
    <w:name w:val="toc 3"/>
    <w:basedOn w:val="1"/>
    <w:next w:val="1"/>
    <w:autoRedefine/>
    <w:qFormat/>
    <w:uiPriority w:val="39"/>
    <w:pPr>
      <w:spacing w:before="120" w:after="120"/>
      <w:ind w:left="420"/>
      <w:jc w:val="left"/>
    </w:pPr>
    <w:rPr>
      <w:rFonts w:ascii="Calibri" w:hAnsi="Calibri" w:cs="Calibri"/>
      <w:iCs/>
      <w:sz w:val="24"/>
      <w:szCs w:val="20"/>
    </w:rPr>
  </w:style>
  <w:style w:type="paragraph" w:styleId="40">
    <w:name w:val="Plain Text"/>
    <w:basedOn w:val="1"/>
    <w:link w:val="313"/>
    <w:autoRedefine/>
    <w:qFormat/>
    <w:uiPriority w:val="0"/>
    <w:rPr>
      <w:rFonts w:ascii="宋体" w:hAnsi="Courier New"/>
      <w:kern w:val="0"/>
      <w:sz w:val="20"/>
      <w:szCs w:val="21"/>
    </w:rPr>
  </w:style>
  <w:style w:type="paragraph" w:styleId="41">
    <w:name w:val="List Bullet 5"/>
    <w:basedOn w:val="1"/>
    <w:autoRedefine/>
    <w:qFormat/>
    <w:uiPriority w:val="0"/>
    <w:pPr>
      <w:tabs>
        <w:tab w:val="left" w:pos="2040"/>
      </w:tabs>
      <w:ind w:left="2040" w:leftChars="800" w:hanging="360" w:hangingChars="200"/>
    </w:pPr>
  </w:style>
  <w:style w:type="paragraph" w:styleId="42">
    <w:name w:val="List Number 4"/>
    <w:basedOn w:val="1"/>
    <w:autoRedefine/>
    <w:qFormat/>
    <w:uiPriority w:val="0"/>
    <w:pPr>
      <w:tabs>
        <w:tab w:val="left" w:pos="1620"/>
      </w:tabs>
      <w:spacing w:line="360" w:lineRule="auto"/>
      <w:ind w:left="600" w:leftChars="600" w:hanging="200" w:hangingChars="200"/>
    </w:pPr>
    <w:rPr>
      <w:szCs w:val="20"/>
    </w:rPr>
  </w:style>
  <w:style w:type="paragraph" w:styleId="43">
    <w:name w:val="toc 8"/>
    <w:basedOn w:val="1"/>
    <w:next w:val="1"/>
    <w:autoRedefine/>
    <w:qFormat/>
    <w:uiPriority w:val="39"/>
    <w:pPr>
      <w:ind w:left="1470"/>
      <w:jc w:val="left"/>
    </w:pPr>
    <w:rPr>
      <w:rFonts w:ascii="Calibri" w:hAnsi="Calibri" w:cs="Calibri"/>
      <w:sz w:val="18"/>
      <w:szCs w:val="18"/>
    </w:rPr>
  </w:style>
  <w:style w:type="paragraph" w:styleId="44">
    <w:name w:val="Date"/>
    <w:basedOn w:val="1"/>
    <w:next w:val="1"/>
    <w:link w:val="127"/>
    <w:autoRedefine/>
    <w:qFormat/>
    <w:uiPriority w:val="0"/>
    <w:rPr>
      <w:kern w:val="0"/>
      <w:sz w:val="20"/>
    </w:rPr>
  </w:style>
  <w:style w:type="paragraph" w:styleId="45">
    <w:name w:val="Body Text Indent 2"/>
    <w:basedOn w:val="1"/>
    <w:link w:val="129"/>
    <w:autoRedefine/>
    <w:qFormat/>
    <w:uiPriority w:val="0"/>
    <w:pPr>
      <w:spacing w:line="400" w:lineRule="exact"/>
      <w:ind w:firstLine="420" w:firstLineChars="200"/>
    </w:pPr>
    <w:rPr>
      <w:kern w:val="0"/>
      <w:sz w:val="20"/>
    </w:rPr>
  </w:style>
  <w:style w:type="paragraph" w:styleId="46">
    <w:name w:val="endnote text"/>
    <w:basedOn w:val="1"/>
    <w:link w:val="220"/>
    <w:autoRedefine/>
    <w:qFormat/>
    <w:uiPriority w:val="0"/>
    <w:pPr>
      <w:snapToGrid w:val="0"/>
      <w:jc w:val="left"/>
    </w:pPr>
  </w:style>
  <w:style w:type="paragraph" w:styleId="47">
    <w:name w:val="List Continue 5"/>
    <w:basedOn w:val="1"/>
    <w:autoRedefine/>
    <w:qFormat/>
    <w:uiPriority w:val="0"/>
    <w:pPr>
      <w:spacing w:after="120" w:line="360" w:lineRule="auto"/>
      <w:ind w:left="2100" w:leftChars="1000" w:firstLine="200" w:firstLineChars="200"/>
    </w:pPr>
    <w:rPr>
      <w:szCs w:val="20"/>
    </w:rPr>
  </w:style>
  <w:style w:type="paragraph" w:styleId="48">
    <w:name w:val="Balloon Text"/>
    <w:basedOn w:val="1"/>
    <w:link w:val="258"/>
    <w:autoRedefine/>
    <w:qFormat/>
    <w:uiPriority w:val="0"/>
    <w:rPr>
      <w:kern w:val="0"/>
      <w:sz w:val="16"/>
      <w:szCs w:val="16"/>
    </w:rPr>
  </w:style>
  <w:style w:type="paragraph" w:styleId="49">
    <w:name w:val="footer"/>
    <w:basedOn w:val="1"/>
    <w:link w:val="187"/>
    <w:autoRedefine/>
    <w:qFormat/>
    <w:uiPriority w:val="0"/>
    <w:pPr>
      <w:tabs>
        <w:tab w:val="center" w:pos="4153"/>
        <w:tab w:val="right" w:pos="8306"/>
      </w:tabs>
      <w:snapToGrid w:val="0"/>
      <w:jc w:val="left"/>
    </w:pPr>
    <w:rPr>
      <w:sz w:val="18"/>
      <w:szCs w:val="20"/>
    </w:rPr>
  </w:style>
  <w:style w:type="paragraph" w:styleId="50">
    <w:name w:val="header"/>
    <w:basedOn w:val="1"/>
    <w:link w:val="12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208"/>
    <w:autoRedefine/>
    <w:qFormat/>
    <w:uiPriority w:val="0"/>
    <w:pPr>
      <w:spacing w:line="360" w:lineRule="auto"/>
      <w:ind w:left="100" w:leftChars="2100" w:firstLine="200" w:firstLineChars="200"/>
    </w:pPr>
    <w:rPr>
      <w:szCs w:val="20"/>
    </w:rPr>
  </w:style>
  <w:style w:type="paragraph" w:styleId="52">
    <w:name w:val="toc 1"/>
    <w:basedOn w:val="1"/>
    <w:next w:val="1"/>
    <w:autoRedefine/>
    <w:qFormat/>
    <w:uiPriority w:val="39"/>
    <w:pPr>
      <w:spacing w:before="80" w:after="80" w:line="360" w:lineRule="auto"/>
      <w:jc w:val="left"/>
    </w:pPr>
    <w:rPr>
      <w:rFonts w:ascii="Calibri" w:hAnsi="Calibri" w:cs="Calibri"/>
      <w:b/>
      <w:bCs/>
      <w:caps/>
      <w:sz w:val="28"/>
      <w:szCs w:val="20"/>
    </w:rPr>
  </w:style>
  <w:style w:type="paragraph" w:styleId="53">
    <w:name w:val="List Continue 4"/>
    <w:basedOn w:val="1"/>
    <w:autoRedefine/>
    <w:qFormat/>
    <w:uiPriority w:val="0"/>
    <w:pPr>
      <w:spacing w:after="120" w:line="360" w:lineRule="auto"/>
      <w:ind w:left="1680" w:leftChars="800" w:firstLine="200" w:firstLineChars="200"/>
    </w:pPr>
    <w:rPr>
      <w:szCs w:val="20"/>
    </w:rPr>
  </w:style>
  <w:style w:type="paragraph" w:styleId="54">
    <w:name w:val="toc 4"/>
    <w:basedOn w:val="1"/>
    <w:next w:val="1"/>
    <w:autoRedefine/>
    <w:qFormat/>
    <w:uiPriority w:val="39"/>
    <w:pPr>
      <w:ind w:left="630"/>
      <w:jc w:val="left"/>
    </w:pPr>
    <w:rPr>
      <w:rFonts w:ascii="Calibri" w:hAnsi="Calibri" w:cs="Calibri"/>
      <w:sz w:val="18"/>
      <w:szCs w:val="18"/>
    </w:rPr>
  </w:style>
  <w:style w:type="paragraph" w:styleId="55">
    <w:name w:val="List Number 5"/>
    <w:basedOn w:val="1"/>
    <w:autoRedefine/>
    <w:qFormat/>
    <w:uiPriority w:val="0"/>
    <w:pPr>
      <w:tabs>
        <w:tab w:val="left" w:pos="2040"/>
      </w:tabs>
      <w:spacing w:line="360" w:lineRule="auto"/>
      <w:ind w:left="800" w:leftChars="800" w:hanging="200" w:hangingChars="200"/>
    </w:pPr>
    <w:rPr>
      <w:szCs w:val="20"/>
    </w:rPr>
  </w:style>
  <w:style w:type="paragraph" w:styleId="56">
    <w:name w:val="List"/>
    <w:basedOn w:val="1"/>
    <w:autoRedefine/>
    <w:qFormat/>
    <w:uiPriority w:val="0"/>
    <w:pPr>
      <w:ind w:left="420" w:hanging="420"/>
    </w:pPr>
    <w:rPr>
      <w:szCs w:val="20"/>
    </w:rPr>
  </w:style>
  <w:style w:type="paragraph" w:styleId="57">
    <w:name w:val="footnote text"/>
    <w:basedOn w:val="1"/>
    <w:link w:val="267"/>
    <w:qFormat/>
    <w:uiPriority w:val="0"/>
    <w:pPr>
      <w:snapToGrid w:val="0"/>
      <w:jc w:val="left"/>
    </w:pPr>
    <w:rPr>
      <w:sz w:val="18"/>
      <w:szCs w:val="20"/>
    </w:rPr>
  </w:style>
  <w:style w:type="paragraph" w:styleId="58">
    <w:name w:val="toc 6"/>
    <w:basedOn w:val="1"/>
    <w:next w:val="1"/>
    <w:autoRedefine/>
    <w:qFormat/>
    <w:uiPriority w:val="39"/>
    <w:pPr>
      <w:ind w:left="1050"/>
      <w:jc w:val="left"/>
    </w:pPr>
    <w:rPr>
      <w:rFonts w:ascii="Calibri" w:hAnsi="Calibri" w:cs="Calibri"/>
      <w:sz w:val="18"/>
      <w:szCs w:val="18"/>
    </w:rPr>
  </w:style>
  <w:style w:type="paragraph" w:styleId="59">
    <w:name w:val="List 5"/>
    <w:basedOn w:val="1"/>
    <w:autoRedefine/>
    <w:qFormat/>
    <w:uiPriority w:val="0"/>
    <w:pPr>
      <w:spacing w:line="360" w:lineRule="auto"/>
      <w:ind w:left="100" w:leftChars="800" w:hanging="200" w:hangingChars="200"/>
    </w:pPr>
    <w:rPr>
      <w:szCs w:val="20"/>
    </w:rPr>
  </w:style>
  <w:style w:type="paragraph" w:styleId="60">
    <w:name w:val="Body Text Indent 3"/>
    <w:basedOn w:val="1"/>
    <w:link w:val="271"/>
    <w:autoRedefine/>
    <w:qFormat/>
    <w:uiPriority w:val="0"/>
    <w:pPr>
      <w:spacing w:after="120"/>
      <w:ind w:left="420" w:leftChars="200"/>
    </w:pPr>
    <w:rPr>
      <w:kern w:val="0"/>
      <w:sz w:val="16"/>
      <w:szCs w:val="16"/>
    </w:rPr>
  </w:style>
  <w:style w:type="paragraph" w:styleId="61">
    <w:name w:val="table of figures"/>
    <w:basedOn w:val="1"/>
    <w:next w:val="1"/>
    <w:autoRedefine/>
    <w:qFormat/>
    <w:uiPriority w:val="0"/>
    <w:pPr>
      <w:ind w:left="420" w:hanging="420"/>
      <w:jc w:val="left"/>
    </w:pPr>
    <w:rPr>
      <w:rFonts w:ascii="Calibri" w:hAnsi="Calibri" w:cs="Calibri"/>
      <w:smallCaps/>
      <w:sz w:val="20"/>
      <w:szCs w:val="20"/>
    </w:rPr>
  </w:style>
  <w:style w:type="paragraph" w:styleId="62">
    <w:name w:val="toc 2"/>
    <w:basedOn w:val="1"/>
    <w:next w:val="1"/>
    <w:autoRedefine/>
    <w:qFormat/>
    <w:uiPriority w:val="39"/>
    <w:pPr>
      <w:spacing w:before="120" w:after="120" w:line="360" w:lineRule="auto"/>
      <w:ind w:left="210"/>
      <w:jc w:val="left"/>
    </w:pPr>
    <w:rPr>
      <w:rFonts w:ascii="Calibri" w:hAnsi="Calibri" w:cs="Calibri"/>
      <w:smallCaps/>
      <w:sz w:val="24"/>
      <w:szCs w:val="20"/>
    </w:rPr>
  </w:style>
  <w:style w:type="paragraph" w:styleId="63">
    <w:name w:val="toc 9"/>
    <w:basedOn w:val="1"/>
    <w:next w:val="1"/>
    <w:autoRedefine/>
    <w:qFormat/>
    <w:uiPriority w:val="39"/>
    <w:pPr>
      <w:ind w:left="1680"/>
      <w:jc w:val="left"/>
    </w:pPr>
    <w:rPr>
      <w:rFonts w:ascii="Calibri" w:hAnsi="Calibri" w:cs="Calibri"/>
      <w:sz w:val="18"/>
      <w:szCs w:val="18"/>
    </w:rPr>
  </w:style>
  <w:style w:type="paragraph" w:styleId="64">
    <w:name w:val="Body Text 2"/>
    <w:basedOn w:val="1"/>
    <w:link w:val="105"/>
    <w:autoRedefine/>
    <w:qFormat/>
    <w:uiPriority w:val="0"/>
    <w:pPr>
      <w:spacing w:after="120" w:line="480" w:lineRule="auto"/>
    </w:pPr>
    <w:rPr>
      <w:kern w:val="0"/>
      <w:sz w:val="20"/>
    </w:rPr>
  </w:style>
  <w:style w:type="paragraph" w:styleId="65">
    <w:name w:val="List 4"/>
    <w:basedOn w:val="1"/>
    <w:autoRedefine/>
    <w:qFormat/>
    <w:uiPriority w:val="0"/>
    <w:pPr>
      <w:spacing w:line="360" w:lineRule="auto"/>
      <w:ind w:left="100" w:leftChars="600" w:hanging="200" w:hangingChars="200"/>
    </w:pPr>
    <w:rPr>
      <w:szCs w:val="20"/>
    </w:rPr>
  </w:style>
  <w:style w:type="paragraph" w:styleId="66">
    <w:name w:val="List Continue 2"/>
    <w:basedOn w:val="1"/>
    <w:autoRedefine/>
    <w:qFormat/>
    <w:uiPriority w:val="0"/>
    <w:pPr>
      <w:spacing w:after="120" w:line="360" w:lineRule="auto"/>
      <w:ind w:left="840" w:leftChars="400" w:firstLine="200" w:firstLineChars="200"/>
    </w:pPr>
    <w:rPr>
      <w:szCs w:val="20"/>
    </w:rPr>
  </w:style>
  <w:style w:type="paragraph" w:styleId="67">
    <w:name w:val="Message Header"/>
    <w:basedOn w:val="1"/>
    <w:link w:val="199"/>
    <w:autoRedefine/>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rPr>
  </w:style>
  <w:style w:type="paragraph" w:styleId="68">
    <w:name w:val="HTML Preformatted"/>
    <w:basedOn w:val="1"/>
    <w:link w:val="14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69">
    <w:name w:val="Normal (Web)"/>
    <w:basedOn w:val="1"/>
    <w:link w:val="339"/>
    <w:autoRedefine/>
    <w:qFormat/>
    <w:uiPriority w:val="0"/>
    <w:pPr>
      <w:spacing w:before="100" w:beforeAutospacing="1" w:after="100" w:afterAutospacing="1"/>
      <w:jc w:val="left"/>
    </w:pPr>
    <w:rPr>
      <w:sz w:val="24"/>
    </w:rPr>
  </w:style>
  <w:style w:type="paragraph" w:styleId="70">
    <w:name w:val="List Continue 3"/>
    <w:basedOn w:val="1"/>
    <w:autoRedefine/>
    <w:qFormat/>
    <w:uiPriority w:val="0"/>
    <w:pPr>
      <w:spacing w:after="120" w:line="360" w:lineRule="auto"/>
      <w:ind w:left="1260" w:leftChars="600" w:firstLine="200" w:firstLineChars="200"/>
    </w:pPr>
    <w:rPr>
      <w:szCs w:val="20"/>
    </w:rPr>
  </w:style>
  <w:style w:type="paragraph" w:styleId="71">
    <w:name w:val="index 1"/>
    <w:basedOn w:val="1"/>
    <w:next w:val="1"/>
    <w:autoRedefine/>
    <w:qFormat/>
    <w:uiPriority w:val="0"/>
    <w:pPr>
      <w:jc w:val="center"/>
    </w:pPr>
    <w:rPr>
      <w:szCs w:val="21"/>
    </w:rPr>
  </w:style>
  <w:style w:type="paragraph" w:styleId="72">
    <w:name w:val="annotation subject"/>
    <w:basedOn w:val="23"/>
    <w:next w:val="23"/>
    <w:link w:val="331"/>
    <w:autoRedefine/>
    <w:unhideWhenUsed/>
    <w:qFormat/>
    <w:uiPriority w:val="0"/>
    <w:rPr>
      <w:b/>
      <w:bCs/>
      <w:kern w:val="2"/>
      <w:sz w:val="21"/>
    </w:rPr>
  </w:style>
  <w:style w:type="paragraph" w:styleId="73">
    <w:name w:val="Body Text First Indent"/>
    <w:basedOn w:val="28"/>
    <w:link w:val="100"/>
    <w:autoRedefine/>
    <w:qFormat/>
    <w:uiPriority w:val="0"/>
    <w:pPr>
      <w:ind w:firstLine="420" w:firstLineChars="100"/>
    </w:pPr>
  </w:style>
  <w:style w:type="paragraph" w:styleId="74">
    <w:name w:val="Body Text First Indent 2"/>
    <w:basedOn w:val="29"/>
    <w:next w:val="1"/>
    <w:link w:val="118"/>
    <w:autoRedefine/>
    <w:qFormat/>
    <w:uiPriority w:val="0"/>
    <w:pPr>
      <w:ind w:firstLine="420" w:firstLineChars="200"/>
    </w:pPr>
  </w:style>
  <w:style w:type="table" w:styleId="76">
    <w:name w:val="Table Grid"/>
    <w:basedOn w:val="7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8">
    <w:name w:val="Strong"/>
    <w:autoRedefine/>
    <w:qFormat/>
    <w:uiPriority w:val="0"/>
    <w:rPr>
      <w:rFonts w:cs="Times New Roman"/>
      <w:b/>
    </w:rPr>
  </w:style>
  <w:style w:type="character" w:styleId="79">
    <w:name w:val="endnote reference"/>
    <w:autoRedefine/>
    <w:qFormat/>
    <w:uiPriority w:val="0"/>
    <w:rPr>
      <w:vertAlign w:val="superscript"/>
    </w:rPr>
  </w:style>
  <w:style w:type="character" w:styleId="80">
    <w:name w:val="page number"/>
    <w:autoRedefine/>
    <w:qFormat/>
    <w:uiPriority w:val="0"/>
    <w:rPr>
      <w:rFonts w:cs="Times New Roman"/>
    </w:rPr>
  </w:style>
  <w:style w:type="character" w:styleId="81">
    <w:name w:val="FollowedHyperlink"/>
    <w:autoRedefine/>
    <w:qFormat/>
    <w:uiPriority w:val="0"/>
    <w:rPr>
      <w:rFonts w:cs="Times New Roman"/>
      <w:color w:val="800080"/>
      <w:u w:val="single"/>
    </w:rPr>
  </w:style>
  <w:style w:type="character" w:styleId="82">
    <w:name w:val="Emphasis"/>
    <w:autoRedefine/>
    <w:qFormat/>
    <w:locked/>
    <w:uiPriority w:val="0"/>
    <w:rPr>
      <w:color w:val="CC0033"/>
    </w:rPr>
  </w:style>
  <w:style w:type="character" w:styleId="83">
    <w:name w:val="line number"/>
    <w:autoRedefine/>
    <w:qFormat/>
    <w:uiPriority w:val="0"/>
    <w:rPr>
      <w:rFonts w:cs="Times New Roman"/>
    </w:rPr>
  </w:style>
  <w:style w:type="character" w:styleId="84">
    <w:name w:val="HTML Definition"/>
    <w:autoRedefine/>
    <w:qFormat/>
    <w:uiPriority w:val="0"/>
    <w:rPr>
      <w:rFonts w:cs="Times New Roman"/>
      <w:i/>
    </w:rPr>
  </w:style>
  <w:style w:type="character" w:styleId="85">
    <w:name w:val="HTML Typewriter"/>
    <w:autoRedefine/>
    <w:qFormat/>
    <w:uiPriority w:val="0"/>
    <w:rPr>
      <w:rFonts w:ascii="Courier New" w:hAnsi="Courier New" w:cs="Times New Roman"/>
      <w:sz w:val="20"/>
    </w:rPr>
  </w:style>
  <w:style w:type="character" w:styleId="86">
    <w:name w:val="HTML Acronym"/>
    <w:autoRedefine/>
    <w:qFormat/>
    <w:uiPriority w:val="0"/>
    <w:rPr>
      <w:rFonts w:cs="Times New Roman"/>
    </w:rPr>
  </w:style>
  <w:style w:type="character" w:styleId="87">
    <w:name w:val="HTML Variable"/>
    <w:autoRedefine/>
    <w:qFormat/>
    <w:uiPriority w:val="0"/>
    <w:rPr>
      <w:rFonts w:cs="Times New Roman"/>
      <w:i/>
    </w:rPr>
  </w:style>
  <w:style w:type="character" w:styleId="88">
    <w:name w:val="Hyperlink"/>
    <w:autoRedefine/>
    <w:qFormat/>
    <w:uiPriority w:val="99"/>
    <w:rPr>
      <w:rFonts w:cs="Times New Roman"/>
      <w:color w:val="0000FF"/>
      <w:u w:val="single"/>
    </w:rPr>
  </w:style>
  <w:style w:type="character" w:styleId="89">
    <w:name w:val="HTML Code"/>
    <w:autoRedefine/>
    <w:qFormat/>
    <w:uiPriority w:val="0"/>
    <w:rPr>
      <w:rFonts w:ascii="Courier New" w:hAnsi="Courier New" w:cs="Times New Roman"/>
      <w:sz w:val="20"/>
    </w:rPr>
  </w:style>
  <w:style w:type="character" w:styleId="90">
    <w:name w:val="annotation reference"/>
    <w:autoRedefine/>
    <w:qFormat/>
    <w:uiPriority w:val="0"/>
    <w:rPr>
      <w:rFonts w:cs="Times New Roman"/>
      <w:sz w:val="21"/>
    </w:rPr>
  </w:style>
  <w:style w:type="character" w:styleId="91">
    <w:name w:val="HTML Cite"/>
    <w:autoRedefine/>
    <w:qFormat/>
    <w:uiPriority w:val="0"/>
    <w:rPr>
      <w:rFonts w:cs="Times New Roman"/>
      <w:i/>
    </w:rPr>
  </w:style>
  <w:style w:type="character" w:styleId="92">
    <w:name w:val="footnote reference"/>
    <w:autoRedefine/>
    <w:qFormat/>
    <w:uiPriority w:val="0"/>
    <w:rPr>
      <w:rFonts w:cs="Times New Roman"/>
      <w:vertAlign w:val="superscript"/>
    </w:rPr>
  </w:style>
  <w:style w:type="character" w:styleId="93">
    <w:name w:val="HTML Keyboard"/>
    <w:autoRedefine/>
    <w:qFormat/>
    <w:uiPriority w:val="0"/>
    <w:rPr>
      <w:rFonts w:ascii="Courier New" w:hAnsi="Courier New" w:cs="Times New Roman"/>
      <w:sz w:val="20"/>
    </w:rPr>
  </w:style>
  <w:style w:type="character" w:styleId="94">
    <w:name w:val="HTML Sample"/>
    <w:autoRedefine/>
    <w:qFormat/>
    <w:uiPriority w:val="0"/>
    <w:rPr>
      <w:rFonts w:ascii="Courier New" w:hAnsi="Courier New" w:cs="Times New Roman"/>
    </w:rPr>
  </w:style>
  <w:style w:type="paragraph" w:customStyle="1" w:styleId="95">
    <w:name w:val="标4"/>
    <w:basedOn w:val="1"/>
    <w:autoRedefine/>
    <w:qFormat/>
    <w:uiPriority w:val="0"/>
    <w:pPr>
      <w:adjustRightInd w:val="0"/>
      <w:spacing w:before="240" w:after="360" w:line="240" w:lineRule="exact"/>
      <w:outlineLvl w:val="3"/>
    </w:pPr>
    <w:rPr>
      <w:rFonts w:ascii="Arial" w:hAnsi="Arial" w:cs="Arial"/>
      <w:b/>
      <w:bCs/>
      <w:kern w:val="24"/>
    </w:rPr>
  </w:style>
  <w:style w:type="character" w:customStyle="1" w:styleId="96">
    <w:name w:val="样式7 Char"/>
    <w:link w:val="97"/>
    <w:autoRedefine/>
    <w:qFormat/>
    <w:uiPriority w:val="0"/>
    <w:rPr>
      <w:rFonts w:ascii="黑体" w:eastAsia="黑体"/>
      <w:b/>
      <w:kern w:val="2"/>
      <w:sz w:val="21"/>
      <w:szCs w:val="21"/>
    </w:rPr>
  </w:style>
  <w:style w:type="paragraph" w:customStyle="1" w:styleId="97">
    <w:name w:val="样式7"/>
    <w:basedOn w:val="50"/>
    <w:link w:val="96"/>
    <w:autoRedefine/>
    <w:qFormat/>
    <w:uiPriority w:val="0"/>
    <w:pPr>
      <w:pBdr>
        <w:bottom w:val="none" w:color="auto" w:sz="0" w:space="0"/>
      </w:pBdr>
      <w:jc w:val="both"/>
    </w:pPr>
    <w:rPr>
      <w:rFonts w:ascii="黑体" w:eastAsia="黑体"/>
      <w:b/>
      <w:kern w:val="2"/>
      <w:sz w:val="21"/>
      <w:szCs w:val="21"/>
    </w:rPr>
  </w:style>
  <w:style w:type="character" w:customStyle="1" w:styleId="98">
    <w:name w:val="Char Char Char"/>
    <w:autoRedefine/>
    <w:qFormat/>
    <w:uiPriority w:val="99"/>
    <w:rPr>
      <w:rFonts w:ascii="Arial" w:hAnsi="Arial" w:eastAsia="黑体"/>
      <w:b/>
      <w:kern w:val="2"/>
      <w:sz w:val="32"/>
      <w:lang w:val="en-US" w:eastAsia="zh-CN"/>
    </w:rPr>
  </w:style>
  <w:style w:type="character" w:customStyle="1" w:styleId="99">
    <w:name w:val="font31"/>
    <w:autoRedefine/>
    <w:qFormat/>
    <w:uiPriority w:val="0"/>
    <w:rPr>
      <w:rFonts w:hint="default" w:ascii="Tahoma" w:hAnsi="Tahoma" w:cs="Tahoma"/>
      <w:color w:val="000000"/>
      <w:sz w:val="20"/>
      <w:szCs w:val="20"/>
      <w:u w:val="none"/>
    </w:rPr>
  </w:style>
  <w:style w:type="character" w:customStyle="1" w:styleId="100">
    <w:name w:val="正文文本首行缩进 字符"/>
    <w:link w:val="73"/>
    <w:autoRedefine/>
    <w:qFormat/>
    <w:uiPriority w:val="0"/>
    <w:rPr>
      <w:szCs w:val="24"/>
    </w:rPr>
  </w:style>
  <w:style w:type="character" w:customStyle="1" w:styleId="101">
    <w:name w:val="msoins"/>
    <w:basedOn w:val="77"/>
    <w:autoRedefine/>
    <w:qFormat/>
    <w:uiPriority w:val="0"/>
  </w:style>
  <w:style w:type="character" w:customStyle="1" w:styleId="102">
    <w:name w:val="称呼 Char1"/>
    <w:autoRedefine/>
    <w:qFormat/>
    <w:uiPriority w:val="0"/>
    <w:rPr>
      <w:kern w:val="2"/>
      <w:sz w:val="21"/>
      <w:szCs w:val="24"/>
    </w:rPr>
  </w:style>
  <w:style w:type="character" w:customStyle="1" w:styleId="103">
    <w:name w:val="批注文字 字符"/>
    <w:autoRedefine/>
    <w:qFormat/>
    <w:uiPriority w:val="0"/>
    <w:rPr>
      <w:szCs w:val="24"/>
    </w:rPr>
  </w:style>
  <w:style w:type="character" w:customStyle="1" w:styleId="104">
    <w:name w:val="电子邮件签名 Char2"/>
    <w:autoRedefine/>
    <w:qFormat/>
    <w:uiPriority w:val="0"/>
    <w:rPr>
      <w:kern w:val="2"/>
      <w:sz w:val="21"/>
      <w:szCs w:val="24"/>
    </w:rPr>
  </w:style>
  <w:style w:type="character" w:customStyle="1" w:styleId="105">
    <w:name w:val="正文文本 2 字符2"/>
    <w:link w:val="64"/>
    <w:autoRedefine/>
    <w:qFormat/>
    <w:uiPriority w:val="0"/>
    <w:rPr>
      <w:szCs w:val="24"/>
    </w:rPr>
  </w:style>
  <w:style w:type="character" w:customStyle="1" w:styleId="106">
    <w:name w:val="Char Char16"/>
    <w:autoRedefine/>
    <w:qFormat/>
    <w:uiPriority w:val="0"/>
    <w:rPr>
      <w:rFonts w:ascii="Arial" w:hAnsi="Arial" w:eastAsia="宋体" w:cs="Times New Roman"/>
      <w:b/>
      <w:bCs/>
      <w:sz w:val="28"/>
      <w:szCs w:val="28"/>
    </w:rPr>
  </w:style>
  <w:style w:type="character" w:customStyle="1" w:styleId="107">
    <w:name w:val="10.1 Char"/>
    <w:link w:val="108"/>
    <w:autoRedefine/>
    <w:qFormat/>
    <w:locked/>
    <w:uiPriority w:val="0"/>
    <w:rPr>
      <w:rFonts w:ascii="仿宋_GB2312" w:eastAsia="仿宋_GB2312"/>
      <w:b/>
      <w:color w:val="FF0000"/>
      <w:kern w:val="2"/>
      <w:sz w:val="24"/>
    </w:rPr>
  </w:style>
  <w:style w:type="paragraph" w:customStyle="1" w:styleId="108">
    <w:name w:val="10.1"/>
    <w:basedOn w:val="109"/>
    <w:link w:val="107"/>
    <w:autoRedefine/>
    <w:qFormat/>
    <w:uiPriority w:val="0"/>
    <w:rPr>
      <w:b/>
      <w:color w:val="FF0000"/>
    </w:rPr>
  </w:style>
  <w:style w:type="paragraph" w:customStyle="1" w:styleId="109">
    <w:name w:val="6.2"/>
    <w:basedOn w:val="1"/>
    <w:link w:val="114"/>
    <w:autoRedefine/>
    <w:qFormat/>
    <w:uiPriority w:val="0"/>
    <w:pPr>
      <w:spacing w:line="360" w:lineRule="auto"/>
      <w:outlineLvl w:val="1"/>
    </w:pPr>
    <w:rPr>
      <w:rFonts w:ascii="仿宋_GB2312" w:eastAsia="仿宋_GB2312"/>
      <w:sz w:val="24"/>
      <w:szCs w:val="20"/>
    </w:rPr>
  </w:style>
  <w:style w:type="character" w:customStyle="1" w:styleId="110">
    <w:name w:val="font161"/>
    <w:autoRedefine/>
    <w:qFormat/>
    <w:uiPriority w:val="0"/>
    <w:rPr>
      <w:b/>
      <w:sz w:val="32"/>
    </w:rPr>
  </w:style>
  <w:style w:type="character" w:customStyle="1" w:styleId="111">
    <w:name w:val="批注主题 Char1"/>
    <w:autoRedefine/>
    <w:qFormat/>
    <w:uiPriority w:val="0"/>
    <w:rPr>
      <w:b/>
      <w:bCs/>
      <w:kern w:val="2"/>
      <w:sz w:val="21"/>
      <w:szCs w:val="24"/>
    </w:rPr>
  </w:style>
  <w:style w:type="character" w:customStyle="1" w:styleId="112">
    <w:name w:val="正文首行缩进 字符"/>
    <w:autoRedefine/>
    <w:qFormat/>
    <w:uiPriority w:val="0"/>
  </w:style>
  <w:style w:type="character" w:customStyle="1" w:styleId="113">
    <w:name w:val="标题 3 字符2"/>
    <w:link w:val="4"/>
    <w:autoRedefine/>
    <w:qFormat/>
    <w:uiPriority w:val="0"/>
    <w:rPr>
      <w:b/>
      <w:bCs/>
      <w:sz w:val="21"/>
      <w:szCs w:val="32"/>
    </w:rPr>
  </w:style>
  <w:style w:type="character" w:customStyle="1" w:styleId="114">
    <w:name w:val="6.2 Char"/>
    <w:link w:val="109"/>
    <w:autoRedefine/>
    <w:qFormat/>
    <w:locked/>
    <w:uiPriority w:val="0"/>
    <w:rPr>
      <w:rFonts w:ascii="仿宋_GB2312" w:eastAsia="仿宋_GB2312"/>
      <w:kern w:val="2"/>
      <w:sz w:val="24"/>
    </w:rPr>
  </w:style>
  <w:style w:type="character" w:customStyle="1" w:styleId="115">
    <w:name w:val="标题 5 字符"/>
    <w:autoRedefine/>
    <w:qFormat/>
    <w:uiPriority w:val="0"/>
    <w:rPr>
      <w:rFonts w:eastAsia="楷体_GB2312"/>
      <w:kern w:val="2"/>
      <w:sz w:val="28"/>
      <w:szCs w:val="24"/>
    </w:rPr>
  </w:style>
  <w:style w:type="character" w:customStyle="1" w:styleId="116">
    <w:name w:val="Char Char28"/>
    <w:autoRedefine/>
    <w:qFormat/>
    <w:uiPriority w:val="0"/>
    <w:rPr>
      <w:rFonts w:ascii="宋体"/>
      <w:kern w:val="2"/>
      <w:sz w:val="18"/>
      <w:szCs w:val="18"/>
    </w:rPr>
  </w:style>
  <w:style w:type="character" w:customStyle="1" w:styleId="117">
    <w:name w:val="样式 样式 (西文) 仿宋_GB2312 小四 + 加粗"/>
    <w:autoRedefine/>
    <w:qFormat/>
    <w:uiPriority w:val="0"/>
    <w:rPr>
      <w:rFonts w:ascii="Times New Roman" w:hAnsi="Times New Roman" w:eastAsia="宋体"/>
      <w:b/>
      <w:bCs/>
      <w:sz w:val="28"/>
      <w:szCs w:val="24"/>
    </w:rPr>
  </w:style>
  <w:style w:type="character" w:customStyle="1" w:styleId="118">
    <w:name w:val="正文文本首行缩进 2 字符"/>
    <w:link w:val="74"/>
    <w:autoRedefine/>
    <w:qFormat/>
    <w:uiPriority w:val="0"/>
    <w:rPr>
      <w:szCs w:val="24"/>
    </w:rPr>
  </w:style>
  <w:style w:type="character" w:customStyle="1" w:styleId="119">
    <w:name w:val="HTML 地址 字符1"/>
    <w:link w:val="37"/>
    <w:autoRedefine/>
    <w:qFormat/>
    <w:uiPriority w:val="0"/>
    <w:rPr>
      <w:i/>
      <w:iCs/>
      <w:kern w:val="2"/>
      <w:sz w:val="21"/>
    </w:rPr>
  </w:style>
  <w:style w:type="character" w:customStyle="1" w:styleId="120">
    <w:name w:val="页脚 字符"/>
    <w:autoRedefine/>
    <w:qFormat/>
    <w:uiPriority w:val="99"/>
    <w:rPr>
      <w:rFonts w:eastAsia="宋体"/>
      <w:kern w:val="2"/>
      <w:sz w:val="18"/>
      <w:szCs w:val="18"/>
      <w:lang w:val="en-US" w:eastAsia="zh-CN" w:bidi="ar-SA"/>
    </w:rPr>
  </w:style>
  <w:style w:type="character" w:customStyle="1" w:styleId="121">
    <w:name w:val="页眉 字符2"/>
    <w:link w:val="50"/>
    <w:autoRedefine/>
    <w:qFormat/>
    <w:uiPriority w:val="0"/>
    <w:rPr>
      <w:sz w:val="18"/>
      <w:szCs w:val="18"/>
    </w:rPr>
  </w:style>
  <w:style w:type="character" w:customStyle="1" w:styleId="122">
    <w:name w:val="Char Char31"/>
    <w:autoRedefine/>
    <w:qFormat/>
    <w:locked/>
    <w:uiPriority w:val="0"/>
    <w:rPr>
      <w:rFonts w:ascii="宋体"/>
      <w:kern w:val="2"/>
      <w:sz w:val="24"/>
    </w:rPr>
  </w:style>
  <w:style w:type="character" w:customStyle="1" w:styleId="123">
    <w:name w:val="页眉 Char Char"/>
    <w:autoRedefine/>
    <w:qFormat/>
    <w:uiPriority w:val="0"/>
    <w:rPr>
      <w:rFonts w:eastAsia="宋体"/>
      <w:kern w:val="2"/>
      <w:sz w:val="18"/>
      <w:szCs w:val="18"/>
      <w:lang w:val="en-US" w:eastAsia="zh-CN" w:bidi="ar-SA"/>
    </w:rPr>
  </w:style>
  <w:style w:type="character" w:customStyle="1" w:styleId="124">
    <w:name w:val="unnamed11"/>
    <w:autoRedefine/>
    <w:qFormat/>
    <w:uiPriority w:val="0"/>
    <w:rPr>
      <w:sz w:val="18"/>
      <w:szCs w:val="18"/>
      <w:u w:val="none"/>
    </w:rPr>
  </w:style>
  <w:style w:type="character" w:customStyle="1" w:styleId="125">
    <w:name w:val="Char Char11"/>
    <w:autoRedefine/>
    <w:qFormat/>
    <w:uiPriority w:val="0"/>
    <w:rPr>
      <w:rFonts w:ascii="宋体" w:eastAsia="宋体"/>
      <w:kern w:val="2"/>
      <w:sz w:val="24"/>
      <w:lang w:val="en-US" w:eastAsia="zh-CN"/>
    </w:rPr>
  </w:style>
  <w:style w:type="character" w:customStyle="1" w:styleId="126">
    <w:name w:val="尾注文本 Char1"/>
    <w:autoRedefine/>
    <w:qFormat/>
    <w:uiPriority w:val="0"/>
    <w:rPr>
      <w:kern w:val="2"/>
      <w:sz w:val="21"/>
      <w:szCs w:val="24"/>
    </w:rPr>
  </w:style>
  <w:style w:type="character" w:customStyle="1" w:styleId="127">
    <w:name w:val="日期 字符2"/>
    <w:link w:val="44"/>
    <w:autoRedefine/>
    <w:qFormat/>
    <w:uiPriority w:val="0"/>
    <w:rPr>
      <w:szCs w:val="24"/>
    </w:rPr>
  </w:style>
  <w:style w:type="character" w:customStyle="1" w:styleId="128">
    <w:name w:val="正文文本缩进 3 字符1"/>
    <w:autoRedefine/>
    <w:qFormat/>
    <w:uiPriority w:val="0"/>
    <w:rPr>
      <w:sz w:val="16"/>
      <w:szCs w:val="16"/>
    </w:rPr>
  </w:style>
  <w:style w:type="character" w:customStyle="1" w:styleId="129">
    <w:name w:val="正文文本缩进 2 字符2"/>
    <w:link w:val="45"/>
    <w:autoRedefine/>
    <w:qFormat/>
    <w:uiPriority w:val="0"/>
    <w:rPr>
      <w:szCs w:val="24"/>
    </w:rPr>
  </w:style>
  <w:style w:type="character" w:customStyle="1" w:styleId="130">
    <w:name w:val="日期 Char1"/>
    <w:autoRedefine/>
    <w:qFormat/>
    <w:uiPriority w:val="0"/>
    <w:rPr>
      <w:kern w:val="2"/>
      <w:sz w:val="24"/>
    </w:rPr>
  </w:style>
  <w:style w:type="character" w:customStyle="1" w:styleId="131">
    <w:name w:val="tpc_content1"/>
    <w:autoRedefine/>
    <w:qFormat/>
    <w:uiPriority w:val="0"/>
    <w:rPr>
      <w:sz w:val="20"/>
      <w:szCs w:val="20"/>
    </w:rPr>
  </w:style>
  <w:style w:type="character" w:customStyle="1" w:styleId="132">
    <w:name w:val="文档结构图 字符1"/>
    <w:autoRedefine/>
    <w:qFormat/>
    <w:locked/>
    <w:uiPriority w:val="0"/>
    <w:rPr>
      <w:rFonts w:ascii="宋体"/>
      <w:kern w:val="2"/>
      <w:sz w:val="18"/>
    </w:rPr>
  </w:style>
  <w:style w:type="character" w:customStyle="1" w:styleId="133">
    <w:name w:val="Char Char8"/>
    <w:autoRedefine/>
    <w:qFormat/>
    <w:uiPriority w:val="0"/>
    <w:rPr>
      <w:rFonts w:ascii="Times New Roman" w:hAnsi="Times New Roman" w:eastAsia="宋体" w:cs="Times New Roman"/>
      <w:sz w:val="18"/>
      <w:szCs w:val="18"/>
    </w:rPr>
  </w:style>
  <w:style w:type="character" w:customStyle="1" w:styleId="134">
    <w:name w:val="Ò³Ã¼ Char1"/>
    <w:autoRedefine/>
    <w:qFormat/>
    <w:uiPriority w:val="0"/>
    <w:rPr>
      <w:rFonts w:eastAsia="宋体"/>
      <w:kern w:val="2"/>
      <w:sz w:val="18"/>
      <w:lang w:val="en-US" w:eastAsia="zh-CN" w:bidi="ar-SA"/>
    </w:rPr>
  </w:style>
  <w:style w:type="character" w:customStyle="1" w:styleId="135">
    <w:name w:val="信息标题 Char1"/>
    <w:autoRedefine/>
    <w:qFormat/>
    <w:uiPriority w:val="0"/>
    <w:rPr>
      <w:rFonts w:ascii="Cambria" w:hAnsi="Cambria" w:eastAsia="宋体" w:cs="Times New Roman"/>
      <w:kern w:val="2"/>
      <w:sz w:val="24"/>
      <w:szCs w:val="24"/>
      <w:shd w:val="pct20" w:color="auto" w:fill="auto"/>
    </w:rPr>
  </w:style>
  <w:style w:type="character" w:customStyle="1" w:styleId="136">
    <w:name w:val="font41"/>
    <w:autoRedefine/>
    <w:qFormat/>
    <w:uiPriority w:val="0"/>
    <w:rPr>
      <w:rFonts w:hint="eastAsia" w:ascii="宋体" w:hAnsi="宋体" w:eastAsia="宋体"/>
      <w:color w:val="000000"/>
      <w:sz w:val="20"/>
      <w:szCs w:val="20"/>
      <w:u w:val="none"/>
    </w:rPr>
  </w:style>
  <w:style w:type="character" w:customStyle="1" w:styleId="137">
    <w:name w:val="标题 9 字符2"/>
    <w:link w:val="10"/>
    <w:autoRedefine/>
    <w:qFormat/>
    <w:uiPriority w:val="0"/>
    <w:rPr>
      <w:rFonts w:ascii="Cambria" w:hAnsi="Cambria" w:eastAsia="宋体" w:cs="Times New Roman"/>
      <w:szCs w:val="21"/>
    </w:rPr>
  </w:style>
  <w:style w:type="character" w:customStyle="1" w:styleId="138">
    <w:name w:val="font51"/>
    <w:autoRedefine/>
    <w:qFormat/>
    <w:uiPriority w:val="0"/>
    <w:rPr>
      <w:rFonts w:hint="eastAsia" w:ascii="宋体" w:hAnsi="宋体" w:eastAsia="宋体"/>
      <w:color w:val="FF0000"/>
      <w:sz w:val="20"/>
      <w:szCs w:val="20"/>
      <w:u w:val="none"/>
    </w:rPr>
  </w:style>
  <w:style w:type="character" w:customStyle="1" w:styleId="139">
    <w:name w:val="s1"/>
    <w:autoRedefine/>
    <w:qFormat/>
    <w:uiPriority w:val="0"/>
    <w:rPr>
      <w:sz w:val="18"/>
      <w:szCs w:val="18"/>
    </w:rPr>
  </w:style>
  <w:style w:type="character" w:customStyle="1" w:styleId="140">
    <w:name w:val="4.2.1 Char"/>
    <w:link w:val="141"/>
    <w:autoRedefine/>
    <w:qFormat/>
    <w:uiPriority w:val="0"/>
    <w:rPr>
      <w:rFonts w:ascii="仿宋_GB2312" w:eastAsia="仿宋_GB2312"/>
      <w:kern w:val="2"/>
      <w:sz w:val="24"/>
      <w:szCs w:val="24"/>
    </w:rPr>
  </w:style>
  <w:style w:type="paragraph" w:customStyle="1" w:styleId="141">
    <w:name w:val="4.2.1"/>
    <w:basedOn w:val="1"/>
    <w:link w:val="140"/>
    <w:autoRedefine/>
    <w:qFormat/>
    <w:uiPriority w:val="0"/>
    <w:pPr>
      <w:spacing w:line="360" w:lineRule="auto"/>
      <w:outlineLvl w:val="2"/>
    </w:pPr>
    <w:rPr>
      <w:rFonts w:ascii="仿宋_GB2312" w:eastAsia="仿宋_GB2312"/>
      <w:sz w:val="24"/>
    </w:rPr>
  </w:style>
  <w:style w:type="character" w:customStyle="1" w:styleId="142">
    <w:name w:val="标题 2 字符1"/>
    <w:autoRedefine/>
    <w:qFormat/>
    <w:uiPriority w:val="0"/>
    <w:rPr>
      <w:rFonts w:ascii="Cambria" w:hAnsi="Cambria" w:eastAsia="宋体" w:cs="Times New Roman"/>
      <w:b/>
      <w:bCs/>
      <w:sz w:val="32"/>
      <w:szCs w:val="32"/>
    </w:rPr>
  </w:style>
  <w:style w:type="character" w:customStyle="1" w:styleId="143">
    <w:name w:val="Para head"/>
    <w:autoRedefine/>
    <w:qFormat/>
    <w:uiPriority w:val="0"/>
    <w:rPr>
      <w:sz w:val="20"/>
    </w:rPr>
  </w:style>
  <w:style w:type="character" w:customStyle="1" w:styleId="144">
    <w:name w:val="无间隔 字符"/>
    <w:autoRedefine/>
    <w:qFormat/>
    <w:uiPriority w:val="0"/>
    <w:rPr>
      <w:rFonts w:ascii="Calibri" w:hAnsi="Calibri"/>
      <w:sz w:val="22"/>
      <w:szCs w:val="22"/>
      <w:lang w:val="en-US" w:eastAsia="zh-CN" w:bidi="ar-SA"/>
    </w:rPr>
  </w:style>
  <w:style w:type="character" w:customStyle="1" w:styleId="145">
    <w:name w:val="注释标题 字符"/>
    <w:autoRedefine/>
    <w:qFormat/>
    <w:uiPriority w:val="0"/>
    <w:rPr>
      <w:kern w:val="2"/>
      <w:sz w:val="21"/>
    </w:rPr>
  </w:style>
  <w:style w:type="character" w:customStyle="1" w:styleId="146">
    <w:name w:val="正文文本 2 Char1"/>
    <w:autoRedefine/>
    <w:qFormat/>
    <w:uiPriority w:val="0"/>
    <w:rPr>
      <w:kern w:val="2"/>
      <w:sz w:val="21"/>
      <w:szCs w:val="24"/>
    </w:rPr>
  </w:style>
  <w:style w:type="character" w:customStyle="1" w:styleId="147">
    <w:name w:val="Body text + Spacing 0 pt9"/>
    <w:autoRedefine/>
    <w:qFormat/>
    <w:uiPriority w:val="99"/>
    <w:rPr>
      <w:rFonts w:ascii="MingLiU" w:eastAsia="MingLiU" w:cs="MingLiU"/>
      <w:spacing w:val="0"/>
      <w:sz w:val="22"/>
      <w:szCs w:val="22"/>
      <w:u w:val="none"/>
    </w:rPr>
  </w:style>
  <w:style w:type="character" w:customStyle="1" w:styleId="148">
    <w:name w:val="Char Char32"/>
    <w:autoRedefine/>
    <w:qFormat/>
    <w:uiPriority w:val="0"/>
    <w:rPr>
      <w:rFonts w:eastAsia="宋体"/>
      <w:kern w:val="2"/>
      <w:sz w:val="21"/>
      <w:szCs w:val="24"/>
      <w:lang w:val="en-US" w:eastAsia="zh-CN" w:bidi="ar-SA"/>
    </w:rPr>
  </w:style>
  <w:style w:type="character" w:customStyle="1" w:styleId="149">
    <w:name w:val="HTML 预设格式 字符1"/>
    <w:link w:val="68"/>
    <w:autoRedefine/>
    <w:qFormat/>
    <w:uiPriority w:val="0"/>
    <w:rPr>
      <w:rFonts w:ascii="黑体" w:hAnsi="Courier New" w:eastAsia="黑体" w:cs="Courier New"/>
    </w:rPr>
  </w:style>
  <w:style w:type="character" w:customStyle="1" w:styleId="150">
    <w:name w:val="正文文本 字符1"/>
    <w:autoRedefine/>
    <w:qFormat/>
    <w:uiPriority w:val="0"/>
    <w:rPr>
      <w:szCs w:val="24"/>
    </w:rPr>
  </w:style>
  <w:style w:type="character" w:customStyle="1" w:styleId="151">
    <w:name w:val="尾注文本 字符1"/>
    <w:autoRedefine/>
    <w:qFormat/>
    <w:uiPriority w:val="0"/>
    <w:rPr>
      <w:kern w:val="2"/>
      <w:sz w:val="21"/>
      <w:szCs w:val="24"/>
    </w:rPr>
  </w:style>
  <w:style w:type="character" w:customStyle="1" w:styleId="152">
    <w:name w:val="样式6 Char"/>
    <w:link w:val="153"/>
    <w:autoRedefine/>
    <w:qFormat/>
    <w:uiPriority w:val="0"/>
    <w:rPr>
      <w:rFonts w:ascii="黑体" w:hAnsi="宋体" w:eastAsia="黑体"/>
      <w:b/>
      <w:kern w:val="2"/>
      <w:sz w:val="18"/>
      <w:szCs w:val="18"/>
    </w:rPr>
  </w:style>
  <w:style w:type="paragraph" w:customStyle="1" w:styleId="153">
    <w:name w:val="样式6"/>
    <w:basedOn w:val="50"/>
    <w:link w:val="152"/>
    <w:autoRedefine/>
    <w:qFormat/>
    <w:uiPriority w:val="0"/>
    <w:pPr>
      <w:pBdr>
        <w:bottom w:val="none" w:color="auto" w:sz="0" w:space="0"/>
      </w:pBdr>
      <w:jc w:val="both"/>
    </w:pPr>
    <w:rPr>
      <w:rFonts w:ascii="黑体" w:hAnsi="宋体" w:eastAsia="黑体"/>
      <w:b/>
      <w:kern w:val="2"/>
    </w:rPr>
  </w:style>
  <w:style w:type="character" w:customStyle="1" w:styleId="154">
    <w:name w:val="Char Char40"/>
    <w:autoRedefine/>
    <w:qFormat/>
    <w:uiPriority w:val="0"/>
    <w:rPr>
      <w:rFonts w:eastAsia="宋体"/>
      <w:b/>
      <w:bCs/>
      <w:kern w:val="44"/>
      <w:sz w:val="44"/>
      <w:szCs w:val="44"/>
      <w:lang w:val="en-US" w:eastAsia="zh-CN" w:bidi="ar-SA"/>
    </w:rPr>
  </w:style>
  <w:style w:type="character" w:customStyle="1" w:styleId="155">
    <w:name w:val="签名 字符"/>
    <w:autoRedefine/>
    <w:qFormat/>
    <w:uiPriority w:val="0"/>
    <w:rPr>
      <w:kern w:val="2"/>
      <w:sz w:val="21"/>
    </w:rPr>
  </w:style>
  <w:style w:type="character" w:customStyle="1" w:styleId="156">
    <w:name w:val="Char Char13"/>
    <w:autoRedefine/>
    <w:qFormat/>
    <w:uiPriority w:val="0"/>
    <w:rPr>
      <w:rFonts w:ascii="Arial" w:hAnsi="Arial" w:eastAsia="黑体" w:cs="Times New Roman"/>
      <w:sz w:val="24"/>
      <w:szCs w:val="20"/>
    </w:rPr>
  </w:style>
  <w:style w:type="character" w:customStyle="1" w:styleId="157">
    <w:name w:val="Char Char161"/>
    <w:autoRedefine/>
    <w:qFormat/>
    <w:uiPriority w:val="0"/>
    <w:rPr>
      <w:rFonts w:ascii="Arial" w:hAnsi="Arial" w:eastAsia="宋体" w:cs="Times New Roman"/>
      <w:b/>
      <w:bCs/>
      <w:sz w:val="28"/>
      <w:szCs w:val="28"/>
    </w:rPr>
  </w:style>
  <w:style w:type="character" w:customStyle="1" w:styleId="158">
    <w:name w:val="页眉 字符1"/>
    <w:autoRedefine/>
    <w:qFormat/>
    <w:uiPriority w:val="99"/>
    <w:rPr>
      <w:sz w:val="18"/>
      <w:szCs w:val="18"/>
    </w:rPr>
  </w:style>
  <w:style w:type="character" w:customStyle="1" w:styleId="159">
    <w:name w:val="样式 宋体 小四 加粗"/>
    <w:autoRedefine/>
    <w:qFormat/>
    <w:uiPriority w:val="0"/>
    <w:rPr>
      <w:rFonts w:ascii="宋体" w:hAnsi="宋体"/>
      <w:b/>
      <w:bCs/>
      <w:sz w:val="28"/>
    </w:rPr>
  </w:style>
  <w:style w:type="character" w:customStyle="1" w:styleId="160">
    <w:name w:val="结束语 字符1"/>
    <w:link w:val="26"/>
    <w:autoRedefine/>
    <w:qFormat/>
    <w:uiPriority w:val="0"/>
    <w:rPr>
      <w:kern w:val="2"/>
      <w:sz w:val="21"/>
    </w:rPr>
  </w:style>
  <w:style w:type="character" w:customStyle="1" w:styleId="161">
    <w:name w:val="标题 2 字符2"/>
    <w:link w:val="3"/>
    <w:autoRedefine/>
    <w:qFormat/>
    <w:uiPriority w:val="0"/>
    <w:rPr>
      <w:rFonts w:ascii="Cambria" w:hAnsi="Cambria" w:eastAsia="宋体" w:cs="Times New Roman"/>
      <w:b/>
      <w:bCs/>
      <w:sz w:val="32"/>
      <w:szCs w:val="32"/>
    </w:rPr>
  </w:style>
  <w:style w:type="character" w:customStyle="1" w:styleId="162">
    <w:name w:val="正文首行缩进 字符1"/>
    <w:autoRedefine/>
    <w:qFormat/>
    <w:uiPriority w:val="99"/>
    <w:rPr>
      <w:szCs w:val="24"/>
    </w:rPr>
  </w:style>
  <w:style w:type="character" w:customStyle="1" w:styleId="163">
    <w:name w:val="Document Map Char1"/>
    <w:autoRedefine/>
    <w:semiHidden/>
    <w:qFormat/>
    <w:uiPriority w:val="0"/>
    <w:rPr>
      <w:sz w:val="16"/>
      <w:szCs w:val="0"/>
    </w:rPr>
  </w:style>
  <w:style w:type="character" w:customStyle="1" w:styleId="164">
    <w:name w:val="Char Char81"/>
    <w:autoRedefine/>
    <w:qFormat/>
    <w:uiPriority w:val="0"/>
    <w:rPr>
      <w:rFonts w:ascii="Times New Roman" w:hAnsi="Times New Roman" w:eastAsia="宋体" w:cs="Times New Roman"/>
      <w:sz w:val="18"/>
      <w:szCs w:val="18"/>
    </w:rPr>
  </w:style>
  <w:style w:type="character" w:customStyle="1" w:styleId="165">
    <w:name w:val="正文文本 3 字符2"/>
    <w:link w:val="25"/>
    <w:autoRedefine/>
    <w:qFormat/>
    <w:locked/>
    <w:uiPriority w:val="0"/>
    <w:rPr>
      <w:rFonts w:ascii="宋体" w:eastAsia="宋体"/>
      <w:kern w:val="2"/>
      <w:sz w:val="24"/>
      <w:lang w:val="en-US" w:eastAsia="zh-CN"/>
    </w:rPr>
  </w:style>
  <w:style w:type="character" w:customStyle="1" w:styleId="166">
    <w:name w:val="style11"/>
    <w:autoRedefine/>
    <w:qFormat/>
    <w:uiPriority w:val="0"/>
    <w:rPr>
      <w:b/>
      <w:bCs/>
      <w:color w:val="000000"/>
      <w:sz w:val="24"/>
      <w:szCs w:val="24"/>
    </w:rPr>
  </w:style>
  <w:style w:type="character" w:customStyle="1" w:styleId="167">
    <w:name w:val="表格内容 Char Char"/>
    <w:link w:val="168"/>
    <w:autoRedefine/>
    <w:qFormat/>
    <w:uiPriority w:val="0"/>
    <w:rPr>
      <w:sz w:val="18"/>
    </w:rPr>
  </w:style>
  <w:style w:type="paragraph" w:customStyle="1" w:styleId="168">
    <w:name w:val="表格内容"/>
    <w:basedOn w:val="1"/>
    <w:next w:val="1"/>
    <w:link w:val="167"/>
    <w:autoRedefine/>
    <w:qFormat/>
    <w:uiPriority w:val="0"/>
    <w:pPr>
      <w:kinsoku w:val="0"/>
      <w:jc w:val="center"/>
    </w:pPr>
    <w:rPr>
      <w:kern w:val="0"/>
      <w:sz w:val="18"/>
      <w:szCs w:val="20"/>
    </w:rPr>
  </w:style>
  <w:style w:type="character" w:customStyle="1" w:styleId="169">
    <w:name w:val="HTML 预设格式 字符"/>
    <w:autoRedefine/>
    <w:qFormat/>
    <w:uiPriority w:val="0"/>
    <w:rPr>
      <w:rFonts w:ascii="黑体" w:hAnsi="Courier New" w:eastAsia="黑体" w:cs="Courier New"/>
    </w:rPr>
  </w:style>
  <w:style w:type="character" w:customStyle="1" w:styleId="170">
    <w:name w:val="Char Char22"/>
    <w:autoRedefine/>
    <w:qFormat/>
    <w:uiPriority w:val="0"/>
    <w:rPr>
      <w:rFonts w:ascii="宋体" w:eastAsia="宋体"/>
      <w:b/>
      <w:bCs/>
      <w:kern w:val="2"/>
      <w:sz w:val="21"/>
      <w:szCs w:val="24"/>
      <w:lang w:val="en-US" w:eastAsia="zh-CN" w:bidi="ar-SA"/>
    </w:rPr>
  </w:style>
  <w:style w:type="character" w:customStyle="1" w:styleId="171">
    <w:name w:val="脚注文本 字符"/>
    <w:autoRedefine/>
    <w:qFormat/>
    <w:uiPriority w:val="0"/>
    <w:rPr>
      <w:rFonts w:ascii="Times New Roman" w:hAnsi="Times New Roman" w:eastAsia="宋体" w:cs="Times New Roman"/>
      <w:kern w:val="0"/>
      <w:sz w:val="18"/>
      <w:szCs w:val="18"/>
    </w:rPr>
  </w:style>
  <w:style w:type="character" w:customStyle="1" w:styleId="172">
    <w:name w:val="Char Char91"/>
    <w:autoRedefine/>
    <w:qFormat/>
    <w:uiPriority w:val="0"/>
    <w:rPr>
      <w:rFonts w:ascii="宋体" w:hAnsi="宋体" w:eastAsia="宋体" w:cs="Times New Roman"/>
      <w:color w:val="FF0000"/>
      <w:sz w:val="24"/>
      <w:szCs w:val="24"/>
    </w:rPr>
  </w:style>
  <w:style w:type="character" w:customStyle="1" w:styleId="173">
    <w:name w:val="HTML 地址 Char2"/>
    <w:autoRedefine/>
    <w:qFormat/>
    <w:uiPriority w:val="0"/>
    <w:rPr>
      <w:i/>
      <w:iCs/>
      <w:kern w:val="2"/>
      <w:sz w:val="21"/>
      <w:szCs w:val="24"/>
    </w:rPr>
  </w:style>
  <w:style w:type="character" w:customStyle="1" w:styleId="174">
    <w:name w:val="Heading 3 - old Char1"/>
    <w:autoRedefine/>
    <w:qFormat/>
    <w:uiPriority w:val="0"/>
    <w:rPr>
      <w:b/>
      <w:bCs/>
      <w:sz w:val="32"/>
      <w:szCs w:val="32"/>
    </w:rPr>
  </w:style>
  <w:style w:type="character" w:customStyle="1" w:styleId="175">
    <w:name w:val="文档结构图 字符2"/>
    <w:link w:val="22"/>
    <w:autoRedefine/>
    <w:qFormat/>
    <w:locked/>
    <w:uiPriority w:val="0"/>
    <w:rPr>
      <w:rFonts w:ascii="宋体"/>
      <w:kern w:val="2"/>
      <w:sz w:val="18"/>
    </w:rPr>
  </w:style>
  <w:style w:type="character" w:customStyle="1" w:styleId="176">
    <w:name w:val="电子邮件签名 字符1"/>
    <w:link w:val="16"/>
    <w:autoRedefine/>
    <w:qFormat/>
    <w:uiPriority w:val="0"/>
    <w:rPr>
      <w:kern w:val="2"/>
      <w:sz w:val="21"/>
    </w:rPr>
  </w:style>
  <w:style w:type="character" w:customStyle="1" w:styleId="177">
    <w:name w:val="结束语 Char2"/>
    <w:autoRedefine/>
    <w:qFormat/>
    <w:uiPriority w:val="0"/>
    <w:rPr>
      <w:kern w:val="2"/>
      <w:sz w:val="21"/>
      <w:szCs w:val="24"/>
    </w:rPr>
  </w:style>
  <w:style w:type="character" w:customStyle="1" w:styleId="178">
    <w:name w:val="font01"/>
    <w:autoRedefine/>
    <w:qFormat/>
    <w:uiPriority w:val="0"/>
    <w:rPr>
      <w:rFonts w:hint="eastAsia" w:ascii="宋体" w:hAnsi="宋体" w:eastAsia="宋体"/>
      <w:color w:val="000000"/>
      <w:sz w:val="24"/>
      <w:szCs w:val="24"/>
      <w:u w:val="none"/>
    </w:rPr>
  </w:style>
  <w:style w:type="character" w:customStyle="1" w:styleId="179">
    <w:name w:val="页眉 字符"/>
    <w:autoRedefine/>
    <w:qFormat/>
    <w:uiPriority w:val="99"/>
    <w:rPr>
      <w:rFonts w:eastAsia="宋体"/>
      <w:kern w:val="2"/>
      <w:sz w:val="18"/>
      <w:szCs w:val="18"/>
      <w:lang w:val="en-US" w:eastAsia="zh-CN" w:bidi="ar-SA"/>
    </w:rPr>
  </w:style>
  <w:style w:type="character" w:customStyle="1" w:styleId="180">
    <w:name w:val="HTML 地址 字符"/>
    <w:autoRedefine/>
    <w:qFormat/>
    <w:uiPriority w:val="0"/>
    <w:rPr>
      <w:i/>
      <w:iCs/>
      <w:kern w:val="2"/>
      <w:sz w:val="21"/>
    </w:rPr>
  </w:style>
  <w:style w:type="character" w:customStyle="1" w:styleId="181">
    <w:name w:val="手改 Char"/>
    <w:autoRedefine/>
    <w:qFormat/>
    <w:uiPriority w:val="0"/>
    <w:rPr>
      <w:rFonts w:eastAsia="宋体"/>
      <w:kern w:val="2"/>
      <w:sz w:val="21"/>
      <w:szCs w:val="24"/>
      <w:lang w:val="en-US" w:eastAsia="zh-CN" w:bidi="ar-SA"/>
    </w:rPr>
  </w:style>
  <w:style w:type="character" w:customStyle="1" w:styleId="182">
    <w:name w:val="正文文本缩进 2 Char1"/>
    <w:autoRedefine/>
    <w:qFormat/>
    <w:uiPriority w:val="0"/>
    <w:rPr>
      <w:kern w:val="2"/>
      <w:sz w:val="21"/>
      <w:szCs w:val="24"/>
    </w:rPr>
  </w:style>
  <w:style w:type="character" w:customStyle="1" w:styleId="183">
    <w:name w:val="正文文本 Char Char"/>
    <w:autoRedefine/>
    <w:qFormat/>
    <w:uiPriority w:val="0"/>
    <w:rPr>
      <w:rFonts w:eastAsia="宋体"/>
      <w:kern w:val="2"/>
      <w:sz w:val="21"/>
      <w:szCs w:val="24"/>
      <w:lang w:val="en-US" w:eastAsia="zh-CN" w:bidi="ar-SA"/>
    </w:rPr>
  </w:style>
  <w:style w:type="character" w:customStyle="1" w:styleId="184">
    <w:name w:val="标题 1 字符1"/>
    <w:autoRedefine/>
    <w:qFormat/>
    <w:uiPriority w:val="0"/>
    <w:rPr>
      <w:b/>
      <w:bCs/>
      <w:kern w:val="44"/>
      <w:sz w:val="44"/>
      <w:szCs w:val="44"/>
    </w:rPr>
  </w:style>
  <w:style w:type="character" w:customStyle="1" w:styleId="185">
    <w:name w:val="页脚 Char1"/>
    <w:autoRedefine/>
    <w:semiHidden/>
    <w:qFormat/>
    <w:uiPriority w:val="99"/>
    <w:rPr>
      <w:rFonts w:ascii="Calibri" w:hAnsi="Calibri" w:eastAsia="宋体" w:cs="Calibri"/>
      <w:sz w:val="18"/>
      <w:szCs w:val="18"/>
    </w:rPr>
  </w:style>
  <w:style w:type="character" w:customStyle="1" w:styleId="186">
    <w:name w:val="正文文本 3 字符1"/>
    <w:autoRedefine/>
    <w:qFormat/>
    <w:locked/>
    <w:uiPriority w:val="0"/>
    <w:rPr>
      <w:rFonts w:ascii="宋体" w:eastAsia="宋体"/>
      <w:kern w:val="2"/>
      <w:sz w:val="24"/>
      <w:lang w:val="en-US" w:eastAsia="zh-CN"/>
    </w:rPr>
  </w:style>
  <w:style w:type="character" w:customStyle="1" w:styleId="187">
    <w:name w:val="页脚 字符2"/>
    <w:link w:val="49"/>
    <w:autoRedefine/>
    <w:qFormat/>
    <w:locked/>
    <w:uiPriority w:val="0"/>
    <w:rPr>
      <w:kern w:val="2"/>
      <w:sz w:val="18"/>
    </w:rPr>
  </w:style>
  <w:style w:type="character" w:customStyle="1" w:styleId="188">
    <w:name w:val="页脚 字符1"/>
    <w:autoRedefine/>
    <w:qFormat/>
    <w:locked/>
    <w:uiPriority w:val="99"/>
    <w:rPr>
      <w:kern w:val="2"/>
      <w:sz w:val="18"/>
    </w:rPr>
  </w:style>
  <w:style w:type="character" w:customStyle="1" w:styleId="189">
    <w:name w:val="font21"/>
    <w:autoRedefine/>
    <w:qFormat/>
    <w:uiPriority w:val="0"/>
    <w:rPr>
      <w:rFonts w:hint="eastAsia" w:ascii="宋体" w:hAnsi="宋体" w:eastAsia="宋体"/>
      <w:color w:val="000000"/>
      <w:sz w:val="24"/>
      <w:szCs w:val="24"/>
      <w:u w:val="none"/>
    </w:rPr>
  </w:style>
  <w:style w:type="character" w:customStyle="1" w:styleId="190">
    <w:name w:val="标题 5 字符2"/>
    <w:link w:val="6"/>
    <w:autoRedefine/>
    <w:qFormat/>
    <w:uiPriority w:val="0"/>
    <w:rPr>
      <w:bCs/>
      <w:sz w:val="21"/>
      <w:szCs w:val="28"/>
    </w:rPr>
  </w:style>
  <w:style w:type="character" w:customStyle="1" w:styleId="191">
    <w:name w:val="Char Char5"/>
    <w:link w:val="192"/>
    <w:autoRedefine/>
    <w:qFormat/>
    <w:uiPriority w:val="0"/>
    <w:rPr>
      <w:kern w:val="2"/>
      <w:sz w:val="21"/>
      <w:szCs w:val="24"/>
    </w:rPr>
  </w:style>
  <w:style w:type="paragraph" w:customStyle="1" w:styleId="192">
    <w:name w:val="Char5"/>
    <w:basedOn w:val="1"/>
    <w:link w:val="191"/>
    <w:autoRedefine/>
    <w:qFormat/>
    <w:uiPriority w:val="0"/>
  </w:style>
  <w:style w:type="character" w:customStyle="1" w:styleId="193">
    <w:name w:val="标题 2 Char Char"/>
    <w:autoRedefine/>
    <w:qFormat/>
    <w:uiPriority w:val="0"/>
    <w:rPr>
      <w:rFonts w:ascii="宋体" w:hAnsi="宋体" w:eastAsia="黑体"/>
      <w:bCs/>
      <w:i/>
      <w:iCs/>
      <w:kern w:val="2"/>
      <w:sz w:val="24"/>
      <w:lang w:bidi="ar-SA"/>
    </w:rPr>
  </w:style>
  <w:style w:type="character" w:customStyle="1" w:styleId="194">
    <w:name w:val="标题 3 字符"/>
    <w:autoRedefine/>
    <w:qFormat/>
    <w:uiPriority w:val="0"/>
    <w:rPr>
      <w:rFonts w:eastAsia="宋体"/>
      <w:b/>
      <w:kern w:val="2"/>
      <w:sz w:val="32"/>
      <w:szCs w:val="24"/>
      <w:lang w:val="en-US" w:eastAsia="zh-CN" w:bidi="ar-SA"/>
    </w:rPr>
  </w:style>
  <w:style w:type="character" w:customStyle="1" w:styleId="195">
    <w:name w:val="Ò³Ã¼ Char Char"/>
    <w:autoRedefine/>
    <w:qFormat/>
    <w:uiPriority w:val="0"/>
    <w:rPr>
      <w:rFonts w:eastAsia="宋体"/>
      <w:kern w:val="2"/>
      <w:sz w:val="18"/>
      <w:szCs w:val="18"/>
      <w:lang w:val="en-US" w:eastAsia="zh-CN" w:bidi="ar-SA"/>
    </w:rPr>
  </w:style>
  <w:style w:type="character" w:customStyle="1" w:styleId="196">
    <w:name w:val="tmpztreemove_arrow"/>
    <w:basedOn w:val="77"/>
    <w:autoRedefine/>
    <w:qFormat/>
    <w:uiPriority w:val="0"/>
  </w:style>
  <w:style w:type="character" w:customStyle="1" w:styleId="197">
    <w:name w:val="font-size"/>
    <w:basedOn w:val="77"/>
    <w:autoRedefine/>
    <w:qFormat/>
    <w:uiPriority w:val="0"/>
  </w:style>
  <w:style w:type="character" w:customStyle="1" w:styleId="198">
    <w:name w:val="k 正文 Char Char"/>
    <w:autoRedefine/>
    <w:qFormat/>
    <w:uiPriority w:val="0"/>
    <w:rPr>
      <w:sz w:val="24"/>
      <w:szCs w:val="24"/>
    </w:rPr>
  </w:style>
  <w:style w:type="character" w:customStyle="1" w:styleId="199">
    <w:name w:val="信息标题 字符1"/>
    <w:link w:val="67"/>
    <w:autoRedefine/>
    <w:qFormat/>
    <w:uiPriority w:val="0"/>
    <w:rPr>
      <w:rFonts w:ascii="Arial" w:hAnsi="Arial"/>
      <w:kern w:val="2"/>
      <w:sz w:val="24"/>
      <w:szCs w:val="24"/>
      <w:shd w:val="pct20" w:color="auto" w:fill="auto"/>
    </w:rPr>
  </w:style>
  <w:style w:type="character" w:customStyle="1" w:styleId="200">
    <w:name w:val="结束语 Char1"/>
    <w:autoRedefine/>
    <w:qFormat/>
    <w:uiPriority w:val="0"/>
    <w:rPr>
      <w:kern w:val="2"/>
      <w:sz w:val="21"/>
      <w:szCs w:val="24"/>
    </w:rPr>
  </w:style>
  <w:style w:type="character" w:customStyle="1" w:styleId="201">
    <w:name w:val="批注框文本 字符"/>
    <w:autoRedefine/>
    <w:qFormat/>
    <w:uiPriority w:val="0"/>
    <w:rPr>
      <w:kern w:val="2"/>
      <w:sz w:val="18"/>
      <w:szCs w:val="18"/>
    </w:rPr>
  </w:style>
  <w:style w:type="character" w:customStyle="1" w:styleId="202">
    <w:name w:val="标题 6 字符2"/>
    <w:link w:val="7"/>
    <w:autoRedefine/>
    <w:qFormat/>
    <w:uiPriority w:val="0"/>
    <w:rPr>
      <w:rFonts w:ascii="Cambria" w:hAnsi="Cambria" w:eastAsia="宋体" w:cs="Times New Roman"/>
      <w:b/>
      <w:bCs/>
      <w:sz w:val="24"/>
      <w:szCs w:val="24"/>
    </w:rPr>
  </w:style>
  <w:style w:type="character" w:customStyle="1" w:styleId="203">
    <w:name w:val="批注文字 字符1"/>
    <w:link w:val="23"/>
    <w:autoRedefine/>
    <w:qFormat/>
    <w:uiPriority w:val="0"/>
    <w:rPr>
      <w:szCs w:val="24"/>
    </w:rPr>
  </w:style>
  <w:style w:type="character" w:customStyle="1" w:styleId="204">
    <w:name w:val="电子邮件签名 Char1"/>
    <w:autoRedefine/>
    <w:qFormat/>
    <w:uiPriority w:val="0"/>
    <w:rPr>
      <w:kern w:val="2"/>
      <w:sz w:val="21"/>
      <w:szCs w:val="24"/>
    </w:rPr>
  </w:style>
  <w:style w:type="character" w:customStyle="1" w:styleId="205">
    <w:name w:val="手改 Char1"/>
    <w:autoRedefine/>
    <w:qFormat/>
    <w:uiPriority w:val="0"/>
    <w:rPr>
      <w:rFonts w:eastAsia="宋体"/>
      <w:kern w:val="2"/>
      <w:sz w:val="21"/>
      <w:szCs w:val="24"/>
      <w:lang w:val="en-US" w:eastAsia="zh-CN" w:bidi="ar-SA"/>
    </w:rPr>
  </w:style>
  <w:style w:type="character" w:customStyle="1" w:styleId="206">
    <w:name w:val="Char Char17"/>
    <w:autoRedefine/>
    <w:qFormat/>
    <w:uiPriority w:val="0"/>
    <w:rPr>
      <w:rFonts w:ascii="Times New Roman" w:hAnsi="Times New Roman" w:eastAsia="宋体" w:cs="Times New Roman"/>
      <w:b/>
      <w:bCs/>
      <w:sz w:val="30"/>
      <w:szCs w:val="32"/>
    </w:rPr>
  </w:style>
  <w:style w:type="character" w:customStyle="1" w:styleId="207">
    <w:name w:val="文档结构图 字符"/>
    <w:autoRedefine/>
    <w:qFormat/>
    <w:uiPriority w:val="0"/>
    <w:rPr>
      <w:rFonts w:ascii="宋体"/>
      <w:kern w:val="2"/>
      <w:sz w:val="18"/>
      <w:szCs w:val="18"/>
    </w:rPr>
  </w:style>
  <w:style w:type="character" w:customStyle="1" w:styleId="208">
    <w:name w:val="签名 字符1"/>
    <w:link w:val="51"/>
    <w:autoRedefine/>
    <w:qFormat/>
    <w:uiPriority w:val="0"/>
    <w:rPr>
      <w:kern w:val="2"/>
      <w:sz w:val="21"/>
    </w:rPr>
  </w:style>
  <w:style w:type="character" w:customStyle="1" w:styleId="209">
    <w:name w:val="正文A Char Char"/>
    <w:link w:val="210"/>
    <w:autoRedefine/>
    <w:qFormat/>
    <w:uiPriority w:val="0"/>
    <w:rPr>
      <w:snapToGrid w:val="0"/>
      <w:sz w:val="24"/>
      <w:lang w:val="en-US" w:eastAsia="zh-CN" w:bidi="ar-SA"/>
    </w:rPr>
  </w:style>
  <w:style w:type="paragraph" w:customStyle="1" w:styleId="210">
    <w:name w:val="正文A"/>
    <w:link w:val="209"/>
    <w:autoRedefine/>
    <w:qFormat/>
    <w:uiPriority w:val="0"/>
    <w:pPr>
      <w:tabs>
        <w:tab w:val="left" w:pos="0"/>
      </w:tabs>
      <w:adjustRightInd w:val="0"/>
      <w:spacing w:line="360" w:lineRule="auto"/>
      <w:ind w:firstLine="200" w:firstLineChars="200"/>
      <w:jc w:val="both"/>
    </w:pPr>
    <w:rPr>
      <w:rFonts w:ascii="Times New Roman" w:hAnsi="Times New Roman" w:eastAsia="宋体" w:cs="Times New Roman"/>
      <w:snapToGrid w:val="0"/>
      <w:sz w:val="24"/>
      <w:lang w:val="en-US" w:eastAsia="zh-CN" w:bidi="ar-SA"/>
    </w:rPr>
  </w:style>
  <w:style w:type="character" w:customStyle="1" w:styleId="211">
    <w:name w:val="Heading 3 - old Char"/>
    <w:autoRedefine/>
    <w:qFormat/>
    <w:uiPriority w:val="0"/>
    <w:rPr>
      <w:rFonts w:eastAsia="宋体"/>
      <w:b/>
      <w:sz w:val="32"/>
      <w:lang w:val="en-US" w:eastAsia="zh-CN" w:bidi="ar-SA"/>
    </w:rPr>
  </w:style>
  <w:style w:type="character" w:customStyle="1" w:styleId="212">
    <w:name w:val="尾注文本 字符"/>
    <w:autoRedefine/>
    <w:qFormat/>
    <w:uiPriority w:val="0"/>
    <w:rPr>
      <w:kern w:val="2"/>
      <w:sz w:val="21"/>
      <w:szCs w:val="24"/>
    </w:rPr>
  </w:style>
  <w:style w:type="character" w:customStyle="1" w:styleId="213">
    <w:name w:val="apple-style-span"/>
    <w:autoRedefine/>
    <w:qFormat/>
    <w:uiPriority w:val="0"/>
    <w:rPr>
      <w:sz w:val="24"/>
      <w:szCs w:val="24"/>
      <w:u w:val="none"/>
      <w:vertAlign w:val="baseline"/>
    </w:rPr>
  </w:style>
  <w:style w:type="character" w:customStyle="1" w:styleId="214">
    <w:name w:val="Plain Text Char1"/>
    <w:autoRedefine/>
    <w:semiHidden/>
    <w:qFormat/>
    <w:uiPriority w:val="0"/>
    <w:rPr>
      <w:rFonts w:ascii="宋体" w:hAnsi="Courier New" w:cs="Courier New"/>
      <w:szCs w:val="21"/>
    </w:rPr>
  </w:style>
  <w:style w:type="character" w:customStyle="1" w:styleId="215">
    <w:name w:val="k 正文 Char"/>
    <w:link w:val="216"/>
    <w:autoRedefine/>
    <w:qFormat/>
    <w:locked/>
    <w:uiPriority w:val="0"/>
    <w:rPr>
      <w:rFonts w:ascii="Calibri" w:hAnsi="Calibri"/>
      <w:sz w:val="24"/>
      <w:szCs w:val="24"/>
    </w:rPr>
  </w:style>
  <w:style w:type="paragraph" w:customStyle="1" w:styleId="216">
    <w:name w:val="k 正文"/>
    <w:basedOn w:val="1"/>
    <w:link w:val="215"/>
    <w:autoRedefine/>
    <w:qFormat/>
    <w:uiPriority w:val="0"/>
    <w:pPr>
      <w:spacing w:line="360" w:lineRule="auto"/>
      <w:ind w:firstLine="200" w:firstLineChars="200"/>
    </w:pPr>
    <w:rPr>
      <w:rFonts w:ascii="Calibri" w:hAnsi="Calibri"/>
      <w:kern w:val="0"/>
      <w:sz w:val="24"/>
    </w:rPr>
  </w:style>
  <w:style w:type="character" w:customStyle="1" w:styleId="217">
    <w:name w:val="日期 字符1"/>
    <w:autoRedefine/>
    <w:qFormat/>
    <w:uiPriority w:val="0"/>
    <w:rPr>
      <w:szCs w:val="24"/>
    </w:rPr>
  </w:style>
  <w:style w:type="character" w:customStyle="1" w:styleId="218">
    <w:name w:val="批注框文本 字符1"/>
    <w:autoRedefine/>
    <w:qFormat/>
    <w:uiPriority w:val="0"/>
    <w:rPr>
      <w:sz w:val="16"/>
      <w:szCs w:val="0"/>
    </w:rPr>
  </w:style>
  <w:style w:type="character" w:customStyle="1" w:styleId="219">
    <w:name w:val="Char Char311"/>
    <w:autoRedefine/>
    <w:qFormat/>
    <w:locked/>
    <w:uiPriority w:val="0"/>
    <w:rPr>
      <w:rFonts w:ascii="宋体"/>
      <w:kern w:val="2"/>
      <w:sz w:val="24"/>
    </w:rPr>
  </w:style>
  <w:style w:type="character" w:customStyle="1" w:styleId="220">
    <w:name w:val="尾注文本 字符2"/>
    <w:link w:val="46"/>
    <w:autoRedefine/>
    <w:qFormat/>
    <w:uiPriority w:val="0"/>
    <w:rPr>
      <w:kern w:val="2"/>
      <w:sz w:val="21"/>
      <w:szCs w:val="24"/>
    </w:rPr>
  </w:style>
  <w:style w:type="character" w:customStyle="1" w:styleId="221">
    <w:name w:val="数字"/>
    <w:autoRedefine/>
    <w:qFormat/>
    <w:uiPriority w:val="0"/>
    <w:rPr>
      <w:rFonts w:eastAsia="黑体"/>
      <w:b/>
      <w:sz w:val="21"/>
    </w:rPr>
  </w:style>
  <w:style w:type="character" w:customStyle="1" w:styleId="222">
    <w:name w:val="页码1"/>
    <w:autoRedefine/>
    <w:qFormat/>
    <w:uiPriority w:val="0"/>
    <w:rPr>
      <w:rFonts w:cs="Times New Roman"/>
    </w:rPr>
  </w:style>
  <w:style w:type="character" w:customStyle="1" w:styleId="223">
    <w:name w:val="Char Char9"/>
    <w:autoRedefine/>
    <w:qFormat/>
    <w:uiPriority w:val="0"/>
    <w:rPr>
      <w:rFonts w:ascii="宋体" w:hAnsi="宋体" w:eastAsia="宋体" w:cs="Times New Roman"/>
      <w:color w:val="FF0000"/>
      <w:sz w:val="24"/>
      <w:szCs w:val="24"/>
    </w:rPr>
  </w:style>
  <w:style w:type="character" w:customStyle="1" w:styleId="224">
    <w:name w:val="标题 6 字符1"/>
    <w:autoRedefine/>
    <w:qFormat/>
    <w:uiPriority w:val="0"/>
    <w:rPr>
      <w:rFonts w:ascii="Cambria" w:hAnsi="Cambria" w:eastAsia="宋体" w:cs="Times New Roman"/>
      <w:b/>
      <w:bCs/>
      <w:sz w:val="24"/>
      <w:szCs w:val="24"/>
    </w:rPr>
  </w:style>
  <w:style w:type="character" w:customStyle="1" w:styleId="225">
    <w:name w:val="文档结构图 Char Char"/>
    <w:autoRedefine/>
    <w:qFormat/>
    <w:uiPriority w:val="0"/>
    <w:rPr>
      <w:rFonts w:ascii="宋体"/>
      <w:kern w:val="2"/>
      <w:sz w:val="18"/>
      <w:szCs w:val="18"/>
    </w:rPr>
  </w:style>
  <w:style w:type="character" w:customStyle="1" w:styleId="226">
    <w:name w:val="Char Char12"/>
    <w:autoRedefine/>
    <w:qFormat/>
    <w:uiPriority w:val="0"/>
    <w:rPr>
      <w:rFonts w:ascii="Arial" w:hAnsi="Arial" w:eastAsia="黑体" w:cs="Times New Roman"/>
      <w:szCs w:val="20"/>
    </w:rPr>
  </w:style>
  <w:style w:type="character" w:customStyle="1" w:styleId="227">
    <w:name w:val="Char Char10"/>
    <w:autoRedefine/>
    <w:qFormat/>
    <w:uiPriority w:val="0"/>
    <w:rPr>
      <w:kern w:val="2"/>
      <w:sz w:val="18"/>
      <w:szCs w:val="18"/>
    </w:rPr>
  </w:style>
  <w:style w:type="character" w:customStyle="1" w:styleId="228">
    <w:name w:val="纯文本 字符"/>
    <w:autoRedefine/>
    <w:qFormat/>
    <w:uiPriority w:val="0"/>
    <w:rPr>
      <w:rFonts w:ascii="宋体" w:hAnsi="Courier New" w:eastAsia="宋体"/>
      <w:kern w:val="2"/>
      <w:sz w:val="21"/>
      <w:lang w:val="en-US" w:eastAsia="zh-CN" w:bidi="ar-SA"/>
    </w:rPr>
  </w:style>
  <w:style w:type="character" w:customStyle="1" w:styleId="229">
    <w:name w:val="标题 4 字符2"/>
    <w:link w:val="5"/>
    <w:autoRedefine/>
    <w:qFormat/>
    <w:uiPriority w:val="0"/>
    <w:rPr>
      <w:rFonts w:ascii="Cambria" w:hAnsi="Cambria"/>
      <w:b/>
      <w:bCs/>
      <w:sz w:val="21"/>
      <w:szCs w:val="28"/>
    </w:rPr>
  </w:style>
  <w:style w:type="character" w:customStyle="1" w:styleId="230">
    <w:name w:val="Body Text 3 Char1"/>
    <w:autoRedefine/>
    <w:semiHidden/>
    <w:qFormat/>
    <w:uiPriority w:val="99"/>
    <w:rPr>
      <w:sz w:val="16"/>
      <w:szCs w:val="16"/>
    </w:rPr>
  </w:style>
  <w:style w:type="character" w:customStyle="1" w:styleId="231">
    <w:name w:val="Char Char20"/>
    <w:autoRedefine/>
    <w:qFormat/>
    <w:uiPriority w:val="0"/>
    <w:rPr>
      <w:rFonts w:eastAsia="宋体"/>
      <w:kern w:val="2"/>
      <w:sz w:val="18"/>
      <w:szCs w:val="18"/>
      <w:lang w:val="en-US" w:eastAsia="zh-CN" w:bidi="ar-SA"/>
    </w:rPr>
  </w:style>
  <w:style w:type="character" w:customStyle="1" w:styleId="232">
    <w:name w:val="button"/>
    <w:basedOn w:val="77"/>
    <w:autoRedefine/>
    <w:qFormat/>
    <w:uiPriority w:val="0"/>
  </w:style>
  <w:style w:type="character" w:customStyle="1" w:styleId="233">
    <w:name w:val="称呼 Char Char"/>
    <w:autoRedefine/>
    <w:qFormat/>
    <w:uiPriority w:val="0"/>
    <w:rPr>
      <w:rFonts w:eastAsia="宋体"/>
      <w:b/>
      <w:kern w:val="2"/>
      <w:sz w:val="24"/>
      <w:lang w:val="en-US" w:eastAsia="zh-CN" w:bidi="ar-SA"/>
    </w:rPr>
  </w:style>
  <w:style w:type="character" w:customStyle="1" w:styleId="234">
    <w:name w:val="标题 8 字符1"/>
    <w:autoRedefine/>
    <w:qFormat/>
    <w:uiPriority w:val="0"/>
    <w:rPr>
      <w:rFonts w:ascii="Cambria" w:hAnsi="Cambria" w:eastAsia="宋体" w:cs="Times New Roman"/>
      <w:sz w:val="24"/>
      <w:szCs w:val="24"/>
    </w:rPr>
  </w:style>
  <w:style w:type="character" w:customStyle="1" w:styleId="235">
    <w:name w:val="HTML 预设格式 Char Char"/>
    <w:autoRedefine/>
    <w:qFormat/>
    <w:uiPriority w:val="0"/>
    <w:rPr>
      <w:rFonts w:ascii="黑体" w:hAnsi="Courier New" w:eastAsia="黑体" w:cs="Courier New"/>
    </w:rPr>
  </w:style>
  <w:style w:type="character" w:customStyle="1" w:styleId="236">
    <w:name w:val="正文文本缩进 3 Char1"/>
    <w:autoRedefine/>
    <w:qFormat/>
    <w:uiPriority w:val="0"/>
    <w:rPr>
      <w:kern w:val="2"/>
      <w:sz w:val="16"/>
      <w:szCs w:val="16"/>
    </w:rPr>
  </w:style>
  <w:style w:type="character" w:customStyle="1" w:styleId="237">
    <w:name w:val="textcontents"/>
    <w:basedOn w:val="77"/>
    <w:autoRedefine/>
    <w:qFormat/>
    <w:uiPriority w:val="0"/>
  </w:style>
  <w:style w:type="character" w:customStyle="1" w:styleId="238">
    <w:name w:val="正文文本缩进 2 字符"/>
    <w:autoRedefine/>
    <w:qFormat/>
    <w:uiPriority w:val="0"/>
    <w:rPr>
      <w:rFonts w:ascii="宋体" w:hAnsi="宋体"/>
      <w:kern w:val="2"/>
      <w:sz w:val="27"/>
      <w:szCs w:val="27"/>
    </w:rPr>
  </w:style>
  <w:style w:type="character" w:customStyle="1" w:styleId="239">
    <w:name w:val="样式 一级目录 + 小二 Char"/>
    <w:link w:val="240"/>
    <w:autoRedefine/>
    <w:qFormat/>
    <w:uiPriority w:val="0"/>
    <w:rPr>
      <w:rFonts w:ascii="黑体" w:eastAsia="黑体"/>
      <w:b/>
      <w:bCs/>
      <w:kern w:val="2"/>
      <w:sz w:val="52"/>
      <w:szCs w:val="24"/>
    </w:rPr>
  </w:style>
  <w:style w:type="paragraph" w:customStyle="1" w:styleId="240">
    <w:name w:val="样式 一级目录 + 小二"/>
    <w:basedOn w:val="1"/>
    <w:link w:val="239"/>
    <w:autoRedefine/>
    <w:qFormat/>
    <w:uiPriority w:val="0"/>
    <w:pPr>
      <w:jc w:val="center"/>
    </w:pPr>
    <w:rPr>
      <w:rFonts w:ascii="黑体" w:eastAsia="黑体"/>
      <w:b/>
      <w:bCs/>
      <w:sz w:val="52"/>
    </w:rPr>
  </w:style>
  <w:style w:type="character" w:customStyle="1" w:styleId="241">
    <w:name w:val="纯文本 字符1"/>
    <w:autoRedefine/>
    <w:qFormat/>
    <w:uiPriority w:val="0"/>
    <w:rPr>
      <w:rFonts w:ascii="宋体" w:hAnsi="Courier New" w:cs="Courier New"/>
      <w:szCs w:val="21"/>
    </w:rPr>
  </w:style>
  <w:style w:type="character" w:customStyle="1" w:styleId="242">
    <w:name w:val="Char Char221"/>
    <w:autoRedefine/>
    <w:qFormat/>
    <w:uiPriority w:val="0"/>
    <w:rPr>
      <w:rFonts w:ascii="宋体" w:eastAsia="宋体"/>
      <w:b/>
      <w:bCs/>
      <w:kern w:val="2"/>
      <w:sz w:val="21"/>
      <w:szCs w:val="24"/>
      <w:lang w:val="en-US" w:eastAsia="zh-CN" w:bidi="ar-SA"/>
    </w:rPr>
  </w:style>
  <w:style w:type="character" w:customStyle="1" w:styleId="243">
    <w:name w:val="Footer Char1"/>
    <w:autoRedefine/>
    <w:semiHidden/>
    <w:qFormat/>
    <w:uiPriority w:val="99"/>
    <w:rPr>
      <w:sz w:val="18"/>
      <w:szCs w:val="18"/>
    </w:rPr>
  </w:style>
  <w:style w:type="character" w:customStyle="1" w:styleId="244">
    <w:name w:val="正文文本 2 字符"/>
    <w:autoRedefine/>
    <w:qFormat/>
    <w:uiPriority w:val="0"/>
    <w:rPr>
      <w:kern w:val="2"/>
      <w:sz w:val="21"/>
      <w:szCs w:val="24"/>
    </w:rPr>
  </w:style>
  <w:style w:type="character" w:customStyle="1" w:styleId="245">
    <w:name w:val="注释标题 Char1"/>
    <w:autoRedefine/>
    <w:qFormat/>
    <w:uiPriority w:val="0"/>
    <w:rPr>
      <w:kern w:val="2"/>
      <w:sz w:val="21"/>
      <w:szCs w:val="24"/>
    </w:rPr>
  </w:style>
  <w:style w:type="character" w:customStyle="1" w:styleId="246">
    <w:name w:val="标题 Char1"/>
    <w:autoRedefine/>
    <w:qFormat/>
    <w:uiPriority w:val="10"/>
    <w:rPr>
      <w:rFonts w:ascii="Cambria" w:hAnsi="Cambria" w:eastAsia="宋体" w:cs="Times New Roman"/>
      <w:b/>
      <w:bCs/>
      <w:sz w:val="32"/>
      <w:szCs w:val="32"/>
    </w:rPr>
  </w:style>
  <w:style w:type="character" w:customStyle="1" w:styleId="247">
    <w:name w:val="标题 7 字符2"/>
    <w:link w:val="8"/>
    <w:autoRedefine/>
    <w:qFormat/>
    <w:locked/>
    <w:uiPriority w:val="0"/>
    <w:rPr>
      <w:rFonts w:eastAsia="宋体"/>
      <w:b/>
      <w:sz w:val="24"/>
      <w:lang w:val="en-US" w:eastAsia="zh-CN"/>
    </w:rPr>
  </w:style>
  <w:style w:type="character" w:customStyle="1" w:styleId="248">
    <w:name w:val="批注主题 Char Char"/>
    <w:autoRedefine/>
    <w:qFormat/>
    <w:uiPriority w:val="0"/>
    <w:rPr>
      <w:rFonts w:ascii="宋体" w:eastAsia="宋体"/>
      <w:b/>
      <w:bCs/>
      <w:kern w:val="2"/>
      <w:sz w:val="21"/>
      <w:szCs w:val="24"/>
      <w:lang w:val="en-US" w:eastAsia="zh-CN" w:bidi="ar-SA"/>
    </w:rPr>
  </w:style>
  <w:style w:type="character" w:customStyle="1" w:styleId="249">
    <w:name w:val="标题 3 字符1"/>
    <w:autoRedefine/>
    <w:qFormat/>
    <w:uiPriority w:val="0"/>
    <w:rPr>
      <w:b/>
      <w:bCs/>
      <w:sz w:val="21"/>
      <w:szCs w:val="32"/>
    </w:rPr>
  </w:style>
  <w:style w:type="character" w:customStyle="1" w:styleId="250">
    <w:name w:val="注释标题 字符1"/>
    <w:link w:val="14"/>
    <w:autoRedefine/>
    <w:qFormat/>
    <w:uiPriority w:val="0"/>
    <w:rPr>
      <w:kern w:val="2"/>
      <w:sz w:val="21"/>
    </w:rPr>
  </w:style>
  <w:style w:type="character" w:customStyle="1" w:styleId="251">
    <w:name w:val="称呼 字符1"/>
    <w:autoRedefine/>
    <w:qFormat/>
    <w:uiPriority w:val="0"/>
    <w:rPr>
      <w:b/>
      <w:kern w:val="2"/>
      <w:sz w:val="24"/>
    </w:rPr>
  </w:style>
  <w:style w:type="character" w:customStyle="1" w:styleId="252">
    <w:name w:val="文档结构图 Char1"/>
    <w:autoRedefine/>
    <w:qFormat/>
    <w:uiPriority w:val="0"/>
    <w:rPr>
      <w:rFonts w:ascii="宋体"/>
      <w:kern w:val="2"/>
      <w:sz w:val="18"/>
      <w:szCs w:val="18"/>
    </w:rPr>
  </w:style>
  <w:style w:type="character" w:customStyle="1" w:styleId="253">
    <w:name w:val="Char Char401"/>
    <w:autoRedefine/>
    <w:qFormat/>
    <w:uiPriority w:val="0"/>
    <w:rPr>
      <w:rFonts w:eastAsia="宋体"/>
      <w:b/>
      <w:bCs/>
      <w:kern w:val="44"/>
      <w:sz w:val="44"/>
      <w:szCs w:val="44"/>
      <w:lang w:val="en-US" w:eastAsia="zh-CN" w:bidi="ar-SA"/>
    </w:rPr>
  </w:style>
  <w:style w:type="character" w:customStyle="1" w:styleId="254">
    <w:name w:val="正文文本缩进 字符2"/>
    <w:link w:val="29"/>
    <w:autoRedefine/>
    <w:qFormat/>
    <w:uiPriority w:val="0"/>
    <w:rPr>
      <w:szCs w:val="24"/>
    </w:rPr>
  </w:style>
  <w:style w:type="character" w:customStyle="1" w:styleId="255">
    <w:name w:val="标题 9 字符1"/>
    <w:autoRedefine/>
    <w:qFormat/>
    <w:uiPriority w:val="0"/>
    <w:rPr>
      <w:rFonts w:ascii="Cambria" w:hAnsi="Cambria" w:eastAsia="宋体" w:cs="Times New Roman"/>
      <w:szCs w:val="21"/>
    </w:rPr>
  </w:style>
  <w:style w:type="character" w:customStyle="1" w:styleId="256">
    <w:name w:val="(C+F2) Char1"/>
    <w:autoRedefine/>
    <w:qFormat/>
    <w:uiPriority w:val="0"/>
    <w:rPr>
      <w:rFonts w:ascii="Cambria" w:hAnsi="Cambria" w:eastAsia="宋体" w:cs="Times New Roman"/>
      <w:b/>
      <w:bCs/>
      <w:sz w:val="32"/>
      <w:szCs w:val="32"/>
    </w:rPr>
  </w:style>
  <w:style w:type="character" w:customStyle="1" w:styleId="257">
    <w:name w:val="正文文本 3 字符"/>
    <w:autoRedefine/>
    <w:qFormat/>
    <w:uiPriority w:val="0"/>
    <w:rPr>
      <w:rFonts w:ascii="宋体"/>
      <w:kern w:val="2"/>
      <w:sz w:val="24"/>
    </w:rPr>
  </w:style>
  <w:style w:type="character" w:customStyle="1" w:styleId="258">
    <w:name w:val="批注框文本 字符2"/>
    <w:link w:val="48"/>
    <w:autoRedefine/>
    <w:qFormat/>
    <w:uiPriority w:val="0"/>
    <w:rPr>
      <w:sz w:val="16"/>
      <w:szCs w:val="0"/>
    </w:rPr>
  </w:style>
  <w:style w:type="character" w:customStyle="1" w:styleId="259">
    <w:name w:val="Char Char281"/>
    <w:autoRedefine/>
    <w:qFormat/>
    <w:uiPriority w:val="0"/>
    <w:rPr>
      <w:rFonts w:ascii="宋体"/>
      <w:kern w:val="2"/>
      <w:sz w:val="18"/>
      <w:szCs w:val="18"/>
    </w:rPr>
  </w:style>
  <w:style w:type="character" w:customStyle="1" w:styleId="260">
    <w:name w:val="标题 5 字符1"/>
    <w:autoRedefine/>
    <w:qFormat/>
    <w:uiPriority w:val="0"/>
    <w:rPr>
      <w:bCs/>
      <w:sz w:val="21"/>
      <w:szCs w:val="28"/>
    </w:rPr>
  </w:style>
  <w:style w:type="character" w:customStyle="1" w:styleId="261">
    <w:name w:val="HTML 地址 Char1"/>
    <w:autoRedefine/>
    <w:qFormat/>
    <w:uiPriority w:val="0"/>
    <w:rPr>
      <w:i/>
      <w:iCs/>
      <w:kern w:val="2"/>
      <w:sz w:val="21"/>
      <w:szCs w:val="24"/>
    </w:rPr>
  </w:style>
  <w:style w:type="character" w:customStyle="1" w:styleId="262">
    <w:name w:val="Char Char171"/>
    <w:autoRedefine/>
    <w:qFormat/>
    <w:uiPriority w:val="0"/>
    <w:rPr>
      <w:rFonts w:ascii="Times New Roman" w:hAnsi="Times New Roman" w:eastAsia="宋体" w:cs="Times New Roman"/>
      <w:b/>
      <w:bCs/>
      <w:sz w:val="30"/>
      <w:szCs w:val="32"/>
    </w:rPr>
  </w:style>
  <w:style w:type="character" w:customStyle="1" w:styleId="263">
    <w:name w:val="Char Char24"/>
    <w:autoRedefine/>
    <w:qFormat/>
    <w:uiPriority w:val="0"/>
    <w:rPr>
      <w:rFonts w:eastAsia="宋体"/>
      <w:b/>
      <w:kern w:val="2"/>
      <w:sz w:val="24"/>
      <w:lang w:val="en-US" w:eastAsia="zh-CN" w:bidi="ar-SA"/>
    </w:rPr>
  </w:style>
  <w:style w:type="character" w:customStyle="1" w:styleId="264">
    <w:name w:val="结束语 字符"/>
    <w:autoRedefine/>
    <w:qFormat/>
    <w:uiPriority w:val="0"/>
    <w:rPr>
      <w:kern w:val="2"/>
      <w:sz w:val="21"/>
    </w:rPr>
  </w:style>
  <w:style w:type="character" w:customStyle="1" w:styleId="265">
    <w:name w:val="样式 (中文) 黑体 三号 (西文)粗体"/>
    <w:autoRedefine/>
    <w:qFormat/>
    <w:uiPriority w:val="0"/>
    <w:rPr>
      <w:rFonts w:eastAsia="黑体"/>
      <w:b/>
      <w:sz w:val="32"/>
    </w:rPr>
  </w:style>
  <w:style w:type="character" w:customStyle="1" w:styleId="266">
    <w:name w:val="Char Char1"/>
    <w:autoRedefine/>
    <w:qFormat/>
    <w:uiPriority w:val="0"/>
    <w:rPr>
      <w:rFonts w:ascii="宋体" w:eastAsia="宋体"/>
      <w:kern w:val="2"/>
      <w:sz w:val="24"/>
      <w:lang w:val="en-US" w:eastAsia="zh-CN"/>
    </w:rPr>
  </w:style>
  <w:style w:type="character" w:customStyle="1" w:styleId="267">
    <w:name w:val="脚注文本 字符2"/>
    <w:link w:val="57"/>
    <w:autoRedefine/>
    <w:qFormat/>
    <w:locked/>
    <w:uiPriority w:val="0"/>
    <w:rPr>
      <w:rFonts w:eastAsia="宋体"/>
      <w:kern w:val="2"/>
      <w:sz w:val="18"/>
      <w:lang w:val="en-US" w:eastAsia="zh-CN"/>
    </w:rPr>
  </w:style>
  <w:style w:type="character" w:customStyle="1" w:styleId="268">
    <w:name w:val="标题 1 字符"/>
    <w:autoRedefine/>
    <w:qFormat/>
    <w:uiPriority w:val="0"/>
    <w:rPr>
      <w:b/>
      <w:bCs/>
      <w:kern w:val="44"/>
      <w:sz w:val="44"/>
      <w:szCs w:val="44"/>
    </w:rPr>
  </w:style>
  <w:style w:type="character" w:customStyle="1" w:styleId="269">
    <w:name w:val="纯文本 Char1"/>
    <w:autoRedefine/>
    <w:qFormat/>
    <w:uiPriority w:val="0"/>
    <w:rPr>
      <w:rFonts w:ascii="宋体" w:hAnsi="Courier New" w:cs="Courier New"/>
      <w:kern w:val="2"/>
      <w:sz w:val="21"/>
      <w:szCs w:val="21"/>
    </w:rPr>
  </w:style>
  <w:style w:type="character" w:customStyle="1" w:styleId="270">
    <w:name w:val="Ò³Ã¼ Char2"/>
    <w:autoRedefine/>
    <w:qFormat/>
    <w:uiPriority w:val="0"/>
    <w:rPr>
      <w:rFonts w:eastAsia="宋体"/>
      <w:kern w:val="2"/>
      <w:sz w:val="18"/>
      <w:szCs w:val="18"/>
      <w:lang w:val="en-US" w:eastAsia="zh-CN" w:bidi="ar-SA"/>
    </w:rPr>
  </w:style>
  <w:style w:type="character" w:customStyle="1" w:styleId="271">
    <w:name w:val="正文文本缩进 3 字符2"/>
    <w:link w:val="60"/>
    <w:autoRedefine/>
    <w:qFormat/>
    <w:uiPriority w:val="0"/>
    <w:rPr>
      <w:sz w:val="16"/>
      <w:szCs w:val="16"/>
    </w:rPr>
  </w:style>
  <w:style w:type="character" w:customStyle="1" w:styleId="272">
    <w:name w:val="CZ正文 Char"/>
    <w:autoRedefine/>
    <w:qFormat/>
    <w:uiPriority w:val="0"/>
    <w:rPr>
      <w:rFonts w:ascii="宋体" w:hAnsi="宋体" w:eastAsia="宋体"/>
      <w:color w:val="000000"/>
      <w:kern w:val="2"/>
      <w:sz w:val="21"/>
      <w:lang w:val="en-US" w:eastAsia="zh-CN"/>
    </w:rPr>
  </w:style>
  <w:style w:type="character" w:customStyle="1" w:styleId="273">
    <w:name w:val="Body text (14)4"/>
    <w:autoRedefine/>
    <w:qFormat/>
    <w:uiPriority w:val="99"/>
    <w:rPr>
      <w:rFonts w:ascii="MingLiU" w:eastAsia="MingLiU" w:cs="MingLiU"/>
      <w:sz w:val="17"/>
      <w:szCs w:val="17"/>
      <w:u w:val="none"/>
    </w:rPr>
  </w:style>
  <w:style w:type="character" w:customStyle="1" w:styleId="274">
    <w:name w:val="正文文本缩进 字符"/>
    <w:autoRedefine/>
    <w:qFormat/>
    <w:uiPriority w:val="0"/>
    <w:rPr>
      <w:kern w:val="2"/>
      <w:sz w:val="21"/>
      <w:szCs w:val="24"/>
    </w:rPr>
  </w:style>
  <w:style w:type="character" w:customStyle="1" w:styleId="275">
    <w:name w:val="apple-converted-space"/>
    <w:basedOn w:val="77"/>
    <w:autoRedefine/>
    <w:qFormat/>
    <w:uiPriority w:val="0"/>
  </w:style>
  <w:style w:type="character" w:customStyle="1" w:styleId="276">
    <w:name w:val="样式 宋体 小四"/>
    <w:autoRedefine/>
    <w:qFormat/>
    <w:uiPriority w:val="0"/>
    <w:rPr>
      <w:rFonts w:ascii="宋体" w:hAnsi="宋体"/>
      <w:sz w:val="28"/>
    </w:rPr>
  </w:style>
  <w:style w:type="character" w:customStyle="1" w:styleId="277">
    <w:name w:val="标题 8 字符2"/>
    <w:link w:val="9"/>
    <w:autoRedefine/>
    <w:qFormat/>
    <w:uiPriority w:val="0"/>
    <w:rPr>
      <w:rFonts w:ascii="Cambria" w:hAnsi="Cambria" w:eastAsia="宋体" w:cs="Times New Roman"/>
      <w:sz w:val="24"/>
      <w:szCs w:val="24"/>
    </w:rPr>
  </w:style>
  <w:style w:type="character" w:customStyle="1" w:styleId="278">
    <w:name w:val="手改 Char Char"/>
    <w:autoRedefine/>
    <w:qFormat/>
    <w:uiPriority w:val="0"/>
    <w:rPr>
      <w:rFonts w:ascii="黑体" w:eastAsia="黑体"/>
      <w:kern w:val="2"/>
      <w:sz w:val="64"/>
      <w:lang w:val="en-US" w:eastAsia="zh-CN" w:bidi="ar-SA"/>
    </w:rPr>
  </w:style>
  <w:style w:type="character" w:customStyle="1" w:styleId="279">
    <w:name w:val="脚注文本 Char1"/>
    <w:autoRedefine/>
    <w:qFormat/>
    <w:uiPriority w:val="0"/>
    <w:rPr>
      <w:kern w:val="2"/>
      <w:sz w:val="18"/>
      <w:szCs w:val="18"/>
    </w:rPr>
  </w:style>
  <w:style w:type="character" w:customStyle="1" w:styleId="280">
    <w:name w:val="页脚 Char Char"/>
    <w:autoRedefine/>
    <w:qFormat/>
    <w:uiPriority w:val="0"/>
    <w:rPr>
      <w:rFonts w:eastAsia="宋体"/>
      <w:kern w:val="2"/>
      <w:sz w:val="18"/>
      <w:szCs w:val="18"/>
      <w:lang w:val="en-US" w:eastAsia="zh-CN" w:bidi="ar-SA"/>
    </w:rPr>
  </w:style>
  <w:style w:type="character" w:customStyle="1" w:styleId="281">
    <w:name w:val="标题 字符2"/>
    <w:link w:val="31"/>
    <w:autoRedefine/>
    <w:qFormat/>
    <w:uiPriority w:val="0"/>
    <w:rPr>
      <w:rFonts w:ascii="Cambria" w:hAnsi="Cambria" w:cs="Times New Roman"/>
      <w:b/>
      <w:bCs/>
      <w:sz w:val="32"/>
      <w:szCs w:val="32"/>
    </w:rPr>
  </w:style>
  <w:style w:type="character" w:customStyle="1" w:styleId="282">
    <w:name w:val="批注主题 字符"/>
    <w:autoRedefine/>
    <w:qFormat/>
    <w:uiPriority w:val="0"/>
    <w:rPr>
      <w:rFonts w:ascii="宋体" w:eastAsia="宋体"/>
      <w:b/>
      <w:bCs/>
      <w:kern w:val="2"/>
      <w:sz w:val="21"/>
      <w:szCs w:val="24"/>
      <w:lang w:val="en-US" w:eastAsia="zh-CN" w:bidi="ar-SA"/>
    </w:rPr>
  </w:style>
  <w:style w:type="character" w:customStyle="1" w:styleId="283">
    <w:name w:val="Char Char101"/>
    <w:autoRedefine/>
    <w:qFormat/>
    <w:uiPriority w:val="0"/>
    <w:rPr>
      <w:rFonts w:ascii="Times New Roman" w:hAnsi="Times New Roman" w:eastAsia="宋体" w:cs="Times New Roman"/>
      <w:szCs w:val="24"/>
    </w:rPr>
  </w:style>
  <w:style w:type="character" w:customStyle="1" w:styleId="284">
    <w:name w:val="标题 8 字符"/>
    <w:autoRedefine/>
    <w:qFormat/>
    <w:uiPriority w:val="0"/>
    <w:rPr>
      <w:rFonts w:ascii="Arial" w:hAnsi="Arial" w:eastAsia="黑体"/>
      <w:sz w:val="24"/>
      <w:szCs w:val="24"/>
    </w:rPr>
  </w:style>
  <w:style w:type="character" w:customStyle="1" w:styleId="285">
    <w:name w:val="标题 字符"/>
    <w:autoRedefine/>
    <w:qFormat/>
    <w:uiPriority w:val="0"/>
    <w:rPr>
      <w:rFonts w:ascii="Arial" w:hAnsi="Arial"/>
      <w:b/>
      <w:sz w:val="32"/>
    </w:rPr>
  </w:style>
  <w:style w:type="character" w:customStyle="1" w:styleId="286">
    <w:name w:val="日期 字符"/>
    <w:autoRedefine/>
    <w:qFormat/>
    <w:uiPriority w:val="0"/>
    <w:rPr>
      <w:kern w:val="2"/>
      <w:sz w:val="24"/>
    </w:rPr>
  </w:style>
  <w:style w:type="character" w:customStyle="1" w:styleId="287">
    <w:name w:val="样式5 Char"/>
    <w:link w:val="288"/>
    <w:autoRedefine/>
    <w:qFormat/>
    <w:uiPriority w:val="0"/>
    <w:rPr>
      <w:rFonts w:ascii="黑体" w:eastAsia="黑体"/>
      <w:b/>
      <w:kern w:val="2"/>
      <w:sz w:val="21"/>
      <w:szCs w:val="21"/>
    </w:rPr>
  </w:style>
  <w:style w:type="paragraph" w:customStyle="1" w:styleId="288">
    <w:name w:val="样式5"/>
    <w:basedOn w:val="50"/>
    <w:link w:val="287"/>
    <w:autoRedefine/>
    <w:qFormat/>
    <w:uiPriority w:val="0"/>
    <w:pPr>
      <w:pBdr>
        <w:bottom w:val="none" w:color="auto" w:sz="0" w:space="0"/>
      </w:pBdr>
      <w:jc w:val="both"/>
    </w:pPr>
    <w:rPr>
      <w:rFonts w:ascii="黑体" w:eastAsia="黑体"/>
      <w:b/>
      <w:kern w:val="2"/>
      <w:sz w:val="21"/>
      <w:szCs w:val="21"/>
    </w:rPr>
  </w:style>
  <w:style w:type="character" w:customStyle="1" w:styleId="289">
    <w:name w:val="123YJ Char Char"/>
    <w:autoRedefine/>
    <w:qFormat/>
    <w:uiPriority w:val="0"/>
    <w:rPr>
      <w:rFonts w:eastAsia="宋体"/>
      <w:kern w:val="2"/>
      <w:sz w:val="18"/>
      <w:szCs w:val="18"/>
      <w:lang w:val="en-US" w:eastAsia="zh-CN" w:bidi="ar-SA"/>
    </w:rPr>
  </w:style>
  <w:style w:type="character" w:customStyle="1" w:styleId="290">
    <w:name w:val="Char Char14"/>
    <w:autoRedefine/>
    <w:qFormat/>
    <w:uiPriority w:val="0"/>
    <w:rPr>
      <w:rFonts w:ascii="Times New Roman" w:hAnsi="Times New Roman" w:eastAsia="宋体" w:cs="Times New Roman"/>
      <w:b/>
      <w:sz w:val="24"/>
      <w:szCs w:val="20"/>
    </w:rPr>
  </w:style>
  <w:style w:type="character" w:customStyle="1" w:styleId="291">
    <w:name w:val="HTML 预设格式 Char1"/>
    <w:autoRedefine/>
    <w:qFormat/>
    <w:uiPriority w:val="0"/>
    <w:rPr>
      <w:rFonts w:ascii="Courier New" w:hAnsi="Courier New" w:cs="Courier New"/>
      <w:kern w:val="2"/>
    </w:rPr>
  </w:style>
  <w:style w:type="character" w:customStyle="1" w:styleId="292">
    <w:name w:val="k 正文 Char Char Char"/>
    <w:autoRedefine/>
    <w:qFormat/>
    <w:uiPriority w:val="0"/>
    <w:rPr>
      <w:rFonts w:ascii="Calibri" w:hAnsi="Calibri" w:eastAsia="宋体"/>
      <w:sz w:val="24"/>
      <w:szCs w:val="24"/>
      <w:lang w:bidi="ar-SA"/>
    </w:rPr>
  </w:style>
  <w:style w:type="character" w:customStyle="1" w:styleId="293">
    <w:name w:val="(C+F2) Char"/>
    <w:autoRedefine/>
    <w:qFormat/>
    <w:uiPriority w:val="0"/>
    <w:rPr>
      <w:rFonts w:ascii="宋体" w:hAnsi="宋体" w:eastAsia="黑体"/>
      <w:bCs/>
      <w:i/>
      <w:iCs/>
      <w:kern w:val="2"/>
      <w:sz w:val="24"/>
      <w:lang w:val="en-US" w:eastAsia="zh-CN" w:bidi="ar-SA"/>
    </w:rPr>
  </w:style>
  <w:style w:type="character" w:customStyle="1" w:styleId="294">
    <w:name w:val="无间隔 字符1"/>
    <w:link w:val="295"/>
    <w:autoRedefine/>
    <w:qFormat/>
    <w:uiPriority w:val="0"/>
    <w:rPr>
      <w:sz w:val="22"/>
      <w:szCs w:val="22"/>
      <w:lang w:val="en-US" w:eastAsia="zh-CN" w:bidi="ar-SA"/>
    </w:rPr>
  </w:style>
  <w:style w:type="paragraph" w:styleId="295">
    <w:name w:val="No Spacing"/>
    <w:link w:val="294"/>
    <w:autoRedefine/>
    <w:qFormat/>
    <w:uiPriority w:val="0"/>
    <w:rPr>
      <w:rFonts w:ascii="Times New Roman" w:hAnsi="Times New Roman" w:eastAsia="宋体" w:cs="Times New Roman"/>
      <w:sz w:val="22"/>
      <w:szCs w:val="22"/>
      <w:lang w:val="en-US" w:eastAsia="zh-CN" w:bidi="ar-SA"/>
    </w:rPr>
  </w:style>
  <w:style w:type="character" w:customStyle="1" w:styleId="296">
    <w:name w:val="样式 宋体 小四1"/>
    <w:autoRedefine/>
    <w:qFormat/>
    <w:uiPriority w:val="0"/>
    <w:rPr>
      <w:rFonts w:ascii="宋体" w:hAnsi="宋体"/>
      <w:sz w:val="28"/>
    </w:rPr>
  </w:style>
  <w:style w:type="character" w:customStyle="1" w:styleId="297">
    <w:name w:val="标题 4 字符1"/>
    <w:autoRedefine/>
    <w:qFormat/>
    <w:uiPriority w:val="0"/>
    <w:rPr>
      <w:rFonts w:ascii="Cambria" w:hAnsi="Cambria"/>
      <w:b/>
      <w:bCs/>
      <w:sz w:val="21"/>
      <w:szCs w:val="28"/>
    </w:rPr>
  </w:style>
  <w:style w:type="character" w:customStyle="1" w:styleId="298">
    <w:name w:val="Char Char321"/>
    <w:basedOn w:val="205"/>
    <w:autoRedefine/>
    <w:qFormat/>
    <w:uiPriority w:val="0"/>
    <w:rPr>
      <w:rFonts w:eastAsia="宋体"/>
      <w:kern w:val="2"/>
      <w:sz w:val="21"/>
      <w:szCs w:val="24"/>
      <w:lang w:val="en-US" w:eastAsia="zh-CN" w:bidi="ar-SA"/>
    </w:rPr>
  </w:style>
  <w:style w:type="character" w:customStyle="1" w:styleId="299">
    <w:name w:val="样式 宋体 小四2"/>
    <w:autoRedefine/>
    <w:qFormat/>
    <w:uiPriority w:val="0"/>
    <w:rPr>
      <w:rFonts w:ascii="宋体" w:hAnsi="宋体"/>
      <w:kern w:val="0"/>
      <w:sz w:val="28"/>
    </w:rPr>
  </w:style>
  <w:style w:type="character" w:customStyle="1" w:styleId="300">
    <w:name w:val="标题 3 Char Char"/>
    <w:autoRedefine/>
    <w:qFormat/>
    <w:uiPriority w:val="0"/>
    <w:rPr>
      <w:rFonts w:eastAsia="宋体"/>
      <w:b/>
      <w:kern w:val="2"/>
      <w:sz w:val="32"/>
      <w:szCs w:val="24"/>
      <w:lang w:val="en-US" w:eastAsia="zh-CN" w:bidi="ar-SA"/>
    </w:rPr>
  </w:style>
  <w:style w:type="character" w:customStyle="1" w:styleId="301">
    <w:name w:val="Char Char51"/>
    <w:link w:val="302"/>
    <w:autoRedefine/>
    <w:qFormat/>
    <w:uiPriority w:val="0"/>
    <w:rPr>
      <w:kern w:val="2"/>
      <w:sz w:val="21"/>
      <w:szCs w:val="24"/>
    </w:rPr>
  </w:style>
  <w:style w:type="paragraph" w:customStyle="1" w:styleId="302">
    <w:name w:val="Char4"/>
    <w:basedOn w:val="1"/>
    <w:link w:val="301"/>
    <w:autoRedefine/>
    <w:qFormat/>
    <w:uiPriority w:val="0"/>
  </w:style>
  <w:style w:type="character" w:customStyle="1" w:styleId="303">
    <w:name w:val="正文文本 字符2"/>
    <w:link w:val="28"/>
    <w:autoRedefine/>
    <w:qFormat/>
    <w:uiPriority w:val="0"/>
    <w:rPr>
      <w:szCs w:val="24"/>
    </w:rPr>
  </w:style>
  <w:style w:type="character" w:customStyle="1" w:styleId="304">
    <w:name w:val="Char Char102"/>
    <w:autoRedefine/>
    <w:qFormat/>
    <w:uiPriority w:val="0"/>
    <w:rPr>
      <w:kern w:val="2"/>
      <w:sz w:val="18"/>
      <w:szCs w:val="18"/>
    </w:rPr>
  </w:style>
  <w:style w:type="character" w:customStyle="1" w:styleId="305">
    <w:name w:val="样式 (西文) 仿宋_GB2312 小四"/>
    <w:autoRedefine/>
    <w:qFormat/>
    <w:uiPriority w:val="0"/>
    <w:rPr>
      <w:rFonts w:ascii="Times New Roman" w:hAnsi="Times New Roman" w:eastAsia="宋体"/>
      <w:sz w:val="24"/>
      <w:szCs w:val="24"/>
    </w:rPr>
  </w:style>
  <w:style w:type="character" w:customStyle="1" w:styleId="306">
    <w:name w:val="称呼 字符"/>
    <w:autoRedefine/>
    <w:qFormat/>
    <w:uiPriority w:val="0"/>
    <w:rPr>
      <w:rFonts w:eastAsia="宋体"/>
      <w:b/>
      <w:kern w:val="2"/>
      <w:sz w:val="24"/>
      <w:lang w:val="en-US" w:eastAsia="zh-CN" w:bidi="ar-SA"/>
    </w:rPr>
  </w:style>
  <w:style w:type="character" w:customStyle="1" w:styleId="307">
    <w:name w:val="Char Char2"/>
    <w:autoRedefine/>
    <w:qFormat/>
    <w:uiPriority w:val="0"/>
    <w:rPr>
      <w:rFonts w:ascii="黑体" w:hAnsi="Courier New" w:eastAsia="黑体" w:cs="Courier New"/>
      <w:lang w:val="en-US" w:eastAsia="zh-CN" w:bidi="ar-SA"/>
    </w:rPr>
  </w:style>
  <w:style w:type="character" w:customStyle="1" w:styleId="308">
    <w:name w:val="正文文本缩进 字符1"/>
    <w:autoRedefine/>
    <w:qFormat/>
    <w:uiPriority w:val="0"/>
    <w:rPr>
      <w:szCs w:val="24"/>
    </w:rPr>
  </w:style>
  <w:style w:type="character" w:customStyle="1" w:styleId="309">
    <w:name w:val="标题 1 字符2"/>
    <w:link w:val="2"/>
    <w:autoRedefine/>
    <w:qFormat/>
    <w:uiPriority w:val="0"/>
    <w:rPr>
      <w:b/>
      <w:bCs/>
      <w:kern w:val="44"/>
      <w:sz w:val="44"/>
      <w:szCs w:val="44"/>
    </w:rPr>
  </w:style>
  <w:style w:type="character" w:customStyle="1" w:styleId="310">
    <w:name w:val="正文文本 2 字符1"/>
    <w:autoRedefine/>
    <w:qFormat/>
    <w:uiPriority w:val="0"/>
    <w:rPr>
      <w:szCs w:val="24"/>
    </w:rPr>
  </w:style>
  <w:style w:type="character" w:customStyle="1" w:styleId="311">
    <w:name w:val="正文 Char"/>
    <w:autoRedefine/>
    <w:qFormat/>
    <w:uiPriority w:val="0"/>
    <w:rPr>
      <w:color w:val="000000"/>
      <w:kern w:val="2"/>
      <w:sz w:val="24"/>
      <w:szCs w:val="24"/>
    </w:rPr>
  </w:style>
  <w:style w:type="character" w:customStyle="1" w:styleId="312">
    <w:name w:val="正文首行缩进 2 Char1"/>
    <w:autoRedefine/>
    <w:qFormat/>
    <w:uiPriority w:val="0"/>
    <w:rPr>
      <w:kern w:val="2"/>
      <w:sz w:val="21"/>
      <w:szCs w:val="24"/>
    </w:rPr>
  </w:style>
  <w:style w:type="character" w:customStyle="1" w:styleId="313">
    <w:name w:val="纯文本 字符2"/>
    <w:link w:val="40"/>
    <w:autoRedefine/>
    <w:qFormat/>
    <w:uiPriority w:val="0"/>
    <w:rPr>
      <w:rFonts w:ascii="宋体" w:hAnsi="Courier New" w:cs="Courier New"/>
      <w:szCs w:val="21"/>
    </w:rPr>
  </w:style>
  <w:style w:type="character" w:customStyle="1" w:styleId="314">
    <w:name w:val="HTML Preformatted Char1"/>
    <w:autoRedefine/>
    <w:semiHidden/>
    <w:qFormat/>
    <w:uiPriority w:val="0"/>
    <w:rPr>
      <w:rFonts w:ascii="Courier New" w:hAnsi="Courier New" w:cs="Courier New"/>
      <w:sz w:val="20"/>
      <w:szCs w:val="20"/>
    </w:rPr>
  </w:style>
  <w:style w:type="character" w:customStyle="1" w:styleId="315">
    <w:name w:val="Body text + SimSun22"/>
    <w:autoRedefine/>
    <w:qFormat/>
    <w:uiPriority w:val="99"/>
    <w:rPr>
      <w:rFonts w:ascii="宋体" w:eastAsia="宋体" w:cs="宋体"/>
      <w:spacing w:val="-10"/>
      <w:sz w:val="23"/>
      <w:szCs w:val="23"/>
      <w:u w:val="none"/>
      <w:lang w:val="en-US" w:eastAsia="en-US"/>
    </w:rPr>
  </w:style>
  <w:style w:type="character" w:customStyle="1" w:styleId="316">
    <w:name w:val="正文首行缩进 2 字符"/>
    <w:autoRedefine/>
    <w:qFormat/>
    <w:uiPriority w:val="0"/>
    <w:rPr>
      <w:szCs w:val="24"/>
    </w:rPr>
  </w:style>
  <w:style w:type="character" w:customStyle="1" w:styleId="317">
    <w:name w:val="Char Char121"/>
    <w:autoRedefine/>
    <w:qFormat/>
    <w:uiPriority w:val="0"/>
    <w:rPr>
      <w:rFonts w:ascii="Arial" w:hAnsi="Arial" w:eastAsia="黑体" w:cs="Times New Roman"/>
      <w:szCs w:val="20"/>
    </w:rPr>
  </w:style>
  <w:style w:type="character" w:customStyle="1" w:styleId="318">
    <w:name w:val="Ò³Ã¼ Char"/>
    <w:autoRedefine/>
    <w:qFormat/>
    <w:uiPriority w:val="0"/>
    <w:rPr>
      <w:rFonts w:eastAsia="宋体"/>
      <w:kern w:val="2"/>
      <w:sz w:val="18"/>
      <w:szCs w:val="18"/>
      <w:lang w:val="en-US" w:eastAsia="zh-CN" w:bidi="ar-SA"/>
    </w:rPr>
  </w:style>
  <w:style w:type="character" w:customStyle="1" w:styleId="319">
    <w:name w:val="Body text (14) + AngsanaUPC2"/>
    <w:autoRedefine/>
    <w:qFormat/>
    <w:uiPriority w:val="99"/>
    <w:rPr>
      <w:rFonts w:ascii="AngsanaUPC" w:eastAsia="AngsanaUPC" w:cs="AngsanaUPC"/>
      <w:spacing w:val="-30"/>
      <w:sz w:val="27"/>
      <w:szCs w:val="27"/>
      <w:u w:val="none"/>
    </w:rPr>
  </w:style>
  <w:style w:type="character" w:customStyle="1" w:styleId="320">
    <w:name w:val="样式 黑体 小二"/>
    <w:autoRedefine/>
    <w:qFormat/>
    <w:uiPriority w:val="0"/>
    <w:rPr>
      <w:rFonts w:ascii="黑体" w:hAnsi="黑体" w:eastAsia="黑体"/>
      <w:sz w:val="36"/>
    </w:rPr>
  </w:style>
  <w:style w:type="character" w:customStyle="1" w:styleId="321">
    <w:name w:val="Char Char131"/>
    <w:autoRedefine/>
    <w:qFormat/>
    <w:uiPriority w:val="0"/>
    <w:rPr>
      <w:rFonts w:ascii="Arial" w:hAnsi="Arial" w:eastAsia="黑体" w:cs="Times New Roman"/>
      <w:sz w:val="24"/>
      <w:szCs w:val="20"/>
    </w:rPr>
  </w:style>
  <w:style w:type="character" w:customStyle="1" w:styleId="322">
    <w:name w:val="电子邮件签名 字符"/>
    <w:autoRedefine/>
    <w:qFormat/>
    <w:uiPriority w:val="0"/>
    <w:rPr>
      <w:kern w:val="2"/>
      <w:sz w:val="21"/>
    </w:rPr>
  </w:style>
  <w:style w:type="character" w:customStyle="1" w:styleId="323">
    <w:name w:val="Char Char21"/>
    <w:autoRedefine/>
    <w:qFormat/>
    <w:locked/>
    <w:uiPriority w:val="0"/>
    <w:rPr>
      <w:rFonts w:ascii="黑体" w:hAnsi="Courier New" w:eastAsia="黑体" w:cs="Courier New"/>
    </w:rPr>
  </w:style>
  <w:style w:type="character" w:customStyle="1" w:styleId="324">
    <w:name w:val="正文文本缩进 2 字符1"/>
    <w:autoRedefine/>
    <w:qFormat/>
    <w:uiPriority w:val="0"/>
    <w:rPr>
      <w:szCs w:val="24"/>
    </w:rPr>
  </w:style>
  <w:style w:type="character" w:customStyle="1" w:styleId="325">
    <w:name w:val="标题 7 字符1"/>
    <w:autoRedefine/>
    <w:qFormat/>
    <w:locked/>
    <w:uiPriority w:val="0"/>
    <w:rPr>
      <w:rFonts w:eastAsia="宋体"/>
      <w:b/>
      <w:sz w:val="24"/>
      <w:lang w:val="en-US" w:eastAsia="zh-CN"/>
    </w:rPr>
  </w:style>
  <w:style w:type="character" w:customStyle="1" w:styleId="326">
    <w:name w:val="Footnote Text Char1"/>
    <w:autoRedefine/>
    <w:semiHidden/>
    <w:qFormat/>
    <w:uiPriority w:val="99"/>
    <w:rPr>
      <w:sz w:val="18"/>
      <w:szCs w:val="18"/>
    </w:rPr>
  </w:style>
  <w:style w:type="character" w:customStyle="1" w:styleId="327">
    <w:name w:val="Char Char241"/>
    <w:autoRedefine/>
    <w:qFormat/>
    <w:uiPriority w:val="0"/>
    <w:rPr>
      <w:rFonts w:eastAsia="宋体"/>
      <w:b/>
      <w:kern w:val="2"/>
      <w:sz w:val="24"/>
      <w:lang w:val="en-US" w:eastAsia="zh-CN" w:bidi="ar-SA"/>
    </w:rPr>
  </w:style>
  <w:style w:type="character" w:customStyle="1" w:styleId="328">
    <w:name w:val="Char Char15"/>
    <w:autoRedefine/>
    <w:qFormat/>
    <w:uiPriority w:val="0"/>
    <w:rPr>
      <w:rFonts w:ascii="Arial" w:hAnsi="Arial" w:eastAsia="黑体" w:cs="Times New Roman"/>
      <w:b/>
      <w:sz w:val="24"/>
      <w:szCs w:val="20"/>
    </w:rPr>
  </w:style>
  <w:style w:type="character" w:customStyle="1" w:styleId="329">
    <w:name w:val="ask-title"/>
    <w:autoRedefine/>
    <w:qFormat/>
    <w:uiPriority w:val="99"/>
  </w:style>
  <w:style w:type="character" w:customStyle="1" w:styleId="330">
    <w:name w:val="Char Char"/>
    <w:autoRedefine/>
    <w:qFormat/>
    <w:uiPriority w:val="0"/>
    <w:rPr>
      <w:rFonts w:ascii="Arial" w:hAnsi="Arial" w:eastAsia="黑体"/>
      <w:b/>
      <w:kern w:val="2"/>
      <w:sz w:val="32"/>
      <w:lang w:val="en-US" w:eastAsia="zh-CN"/>
    </w:rPr>
  </w:style>
  <w:style w:type="character" w:customStyle="1" w:styleId="331">
    <w:name w:val="批注主题 字符2"/>
    <w:link w:val="72"/>
    <w:autoRedefine/>
    <w:qFormat/>
    <w:uiPriority w:val="0"/>
    <w:rPr>
      <w:b/>
      <w:bCs/>
      <w:kern w:val="2"/>
      <w:sz w:val="21"/>
      <w:szCs w:val="24"/>
    </w:rPr>
  </w:style>
  <w:style w:type="character" w:customStyle="1" w:styleId="332">
    <w:name w:val="正文文本缩进 3 字符"/>
    <w:autoRedefine/>
    <w:qFormat/>
    <w:uiPriority w:val="0"/>
    <w:rPr>
      <w:kern w:val="2"/>
      <w:sz w:val="16"/>
      <w:szCs w:val="16"/>
    </w:rPr>
  </w:style>
  <w:style w:type="character" w:customStyle="1" w:styleId="333">
    <w:name w:val="批注主题 字符1"/>
    <w:autoRedefine/>
    <w:qFormat/>
    <w:uiPriority w:val="0"/>
    <w:rPr>
      <w:b/>
      <w:bCs/>
      <w:kern w:val="2"/>
      <w:sz w:val="21"/>
      <w:szCs w:val="24"/>
    </w:rPr>
  </w:style>
  <w:style w:type="character" w:customStyle="1" w:styleId="334">
    <w:name w:val="正文文本缩进 Char1"/>
    <w:autoRedefine/>
    <w:qFormat/>
    <w:uiPriority w:val="0"/>
    <w:rPr>
      <w:kern w:val="2"/>
      <w:sz w:val="21"/>
      <w:szCs w:val="24"/>
    </w:rPr>
  </w:style>
  <w:style w:type="character" w:customStyle="1" w:styleId="335">
    <w:name w:val="font11"/>
    <w:autoRedefine/>
    <w:qFormat/>
    <w:uiPriority w:val="0"/>
    <w:rPr>
      <w:rFonts w:hint="default" w:ascii="Times New Roman" w:hAnsi="Times New Roman" w:cs="Times New Roman"/>
      <w:color w:val="000000"/>
      <w:sz w:val="24"/>
      <w:szCs w:val="24"/>
      <w:u w:val="none"/>
    </w:rPr>
  </w:style>
  <w:style w:type="character" w:customStyle="1" w:styleId="336">
    <w:name w:val="Char Char52"/>
    <w:link w:val="337"/>
    <w:autoRedefine/>
    <w:qFormat/>
    <w:uiPriority w:val="0"/>
    <w:rPr>
      <w:kern w:val="2"/>
      <w:sz w:val="21"/>
    </w:rPr>
  </w:style>
  <w:style w:type="paragraph" w:customStyle="1" w:styleId="337">
    <w:name w:val="Char"/>
    <w:basedOn w:val="1"/>
    <w:link w:val="336"/>
    <w:autoRedefine/>
    <w:qFormat/>
    <w:uiPriority w:val="0"/>
    <w:rPr>
      <w:szCs w:val="20"/>
    </w:rPr>
  </w:style>
  <w:style w:type="character" w:customStyle="1" w:styleId="338">
    <w:name w:val="标题 字符1"/>
    <w:autoRedefine/>
    <w:qFormat/>
    <w:uiPriority w:val="0"/>
    <w:rPr>
      <w:rFonts w:ascii="Cambria" w:hAnsi="Cambria" w:cs="Times New Roman"/>
      <w:b/>
      <w:bCs/>
      <w:sz w:val="32"/>
      <w:szCs w:val="32"/>
    </w:rPr>
  </w:style>
  <w:style w:type="character" w:customStyle="1" w:styleId="339">
    <w:name w:val="普通(网站) 字符"/>
    <w:link w:val="69"/>
    <w:autoRedefine/>
    <w:qFormat/>
    <w:uiPriority w:val="0"/>
    <w:rPr>
      <w:kern w:val="2"/>
      <w:sz w:val="24"/>
      <w:szCs w:val="24"/>
    </w:rPr>
  </w:style>
  <w:style w:type="character" w:customStyle="1" w:styleId="340">
    <w:name w:val="Char Char Char Char Char Char Char Char Char"/>
    <w:autoRedefine/>
    <w:qFormat/>
    <w:uiPriority w:val="0"/>
    <w:rPr>
      <w:rFonts w:eastAsia="宋体"/>
      <w:kern w:val="2"/>
      <w:sz w:val="18"/>
      <w:szCs w:val="18"/>
      <w:lang w:val="en-US" w:eastAsia="zh-CN" w:bidi="ar-SA"/>
    </w:rPr>
  </w:style>
  <w:style w:type="character" w:customStyle="1" w:styleId="341">
    <w:name w:val="标题 2 字符"/>
    <w:autoRedefine/>
    <w:qFormat/>
    <w:uiPriority w:val="0"/>
    <w:rPr>
      <w:rFonts w:ascii="宋体" w:hAnsi="宋体" w:eastAsia="黑体"/>
      <w:bCs/>
      <w:i/>
      <w:iCs/>
      <w:kern w:val="2"/>
      <w:sz w:val="24"/>
      <w:lang w:bidi="ar-SA"/>
    </w:rPr>
  </w:style>
  <w:style w:type="character" w:customStyle="1" w:styleId="342">
    <w:name w:val="目录4 Char Char"/>
    <w:link w:val="343"/>
    <w:autoRedefine/>
    <w:qFormat/>
    <w:uiPriority w:val="0"/>
    <w:rPr>
      <w:rFonts w:ascii="黑体" w:eastAsia="黑体"/>
      <w:kern w:val="2"/>
      <w:sz w:val="24"/>
      <w:szCs w:val="24"/>
    </w:rPr>
  </w:style>
  <w:style w:type="paragraph" w:customStyle="1" w:styleId="343">
    <w:name w:val="目录4"/>
    <w:basedOn w:val="1"/>
    <w:link w:val="342"/>
    <w:autoRedefine/>
    <w:qFormat/>
    <w:uiPriority w:val="0"/>
    <w:pPr>
      <w:spacing w:before="156" w:beforeLines="50" w:after="156" w:afterLines="50" w:line="400" w:lineRule="exact"/>
    </w:pPr>
    <w:rPr>
      <w:rFonts w:ascii="黑体" w:eastAsia="黑体"/>
      <w:sz w:val="24"/>
    </w:rPr>
  </w:style>
  <w:style w:type="character" w:customStyle="1" w:styleId="344">
    <w:name w:val="章标题 Char Char"/>
    <w:link w:val="345"/>
    <w:autoRedefine/>
    <w:qFormat/>
    <w:uiPriority w:val="0"/>
    <w:rPr>
      <w:rFonts w:ascii="黑体" w:eastAsia="黑体"/>
      <w:sz w:val="21"/>
      <w:lang w:val="en-US" w:eastAsia="zh-CN" w:bidi="ar-SA"/>
    </w:rPr>
  </w:style>
  <w:style w:type="paragraph" w:customStyle="1" w:styleId="345">
    <w:name w:val="章标题"/>
    <w:next w:val="346"/>
    <w:link w:val="344"/>
    <w:autoRedefine/>
    <w:qFormat/>
    <w:uiPriority w:val="0"/>
    <w:pPr>
      <w:widowControl w:val="0"/>
      <w:adjustRightInd w:val="0"/>
      <w:spacing w:before="156" w:beforeLines="50" w:after="156" w:afterLines="50" w:line="360" w:lineRule="atLeast"/>
      <w:jc w:val="both"/>
      <w:textAlignment w:val="baseline"/>
      <w:outlineLvl w:val="1"/>
    </w:pPr>
    <w:rPr>
      <w:rFonts w:ascii="黑体" w:hAnsi="Times New Roman" w:eastAsia="黑体" w:cs="Times New Roman"/>
      <w:sz w:val="21"/>
      <w:lang w:val="en-US" w:eastAsia="zh-CN" w:bidi="ar-SA"/>
    </w:rPr>
  </w:style>
  <w:style w:type="paragraph" w:customStyle="1" w:styleId="346">
    <w:name w:val="段"/>
    <w:autoRedefine/>
    <w:qFormat/>
    <w:uiPriority w:val="0"/>
    <w:pPr>
      <w:widowControl w:val="0"/>
      <w:autoSpaceDE w:val="0"/>
      <w:autoSpaceDN w:val="0"/>
      <w:adjustRightInd w:val="0"/>
      <w:spacing w:line="360" w:lineRule="auto"/>
      <w:ind w:firstLine="200" w:firstLineChars="200"/>
      <w:jc w:val="both"/>
      <w:textAlignment w:val="baseline"/>
    </w:pPr>
    <w:rPr>
      <w:rFonts w:ascii="宋体" w:hAnsi="Times New Roman" w:eastAsia="宋体" w:cs="Times New Roman"/>
      <w:sz w:val="24"/>
      <w:lang w:val="en-US" w:eastAsia="zh-CN" w:bidi="ar-SA"/>
    </w:rPr>
  </w:style>
  <w:style w:type="character" w:customStyle="1" w:styleId="347">
    <w:name w:val="Char Char151"/>
    <w:autoRedefine/>
    <w:qFormat/>
    <w:uiPriority w:val="0"/>
    <w:rPr>
      <w:rFonts w:ascii="Arial" w:hAnsi="Arial" w:eastAsia="黑体" w:cs="Times New Roman"/>
      <w:b/>
      <w:sz w:val="24"/>
      <w:szCs w:val="20"/>
    </w:rPr>
  </w:style>
  <w:style w:type="character" w:customStyle="1" w:styleId="348">
    <w:name w:val="Ò³Ã¼ Char Char1"/>
    <w:autoRedefine/>
    <w:qFormat/>
    <w:uiPriority w:val="0"/>
    <w:rPr>
      <w:rFonts w:eastAsia="宋体"/>
      <w:kern w:val="2"/>
      <w:sz w:val="18"/>
      <w:szCs w:val="18"/>
      <w:lang w:val="en-US" w:eastAsia="zh-CN" w:bidi="ar-SA"/>
    </w:rPr>
  </w:style>
  <w:style w:type="character" w:customStyle="1" w:styleId="349">
    <w:name w:val="正文文本 字符"/>
    <w:autoRedefine/>
    <w:qFormat/>
    <w:uiPriority w:val="0"/>
    <w:rPr>
      <w:rFonts w:eastAsia="宋体"/>
      <w:kern w:val="2"/>
      <w:sz w:val="21"/>
      <w:szCs w:val="24"/>
      <w:lang w:val="en-US" w:eastAsia="zh-CN" w:bidi="ar-SA"/>
    </w:rPr>
  </w:style>
  <w:style w:type="character" w:customStyle="1" w:styleId="350">
    <w:name w:val="正文文本 3 Char Char"/>
    <w:autoRedefine/>
    <w:qFormat/>
    <w:uiPriority w:val="0"/>
    <w:rPr>
      <w:rFonts w:ascii="宋体"/>
      <w:kern w:val="2"/>
      <w:sz w:val="24"/>
    </w:rPr>
  </w:style>
  <w:style w:type="character" w:customStyle="1" w:styleId="351">
    <w:name w:val="页眉 Char1"/>
    <w:autoRedefine/>
    <w:semiHidden/>
    <w:qFormat/>
    <w:uiPriority w:val="99"/>
    <w:rPr>
      <w:rFonts w:ascii="Calibri" w:hAnsi="Calibri" w:eastAsia="宋体" w:cs="Calibri"/>
      <w:sz w:val="18"/>
      <w:szCs w:val="18"/>
    </w:rPr>
  </w:style>
  <w:style w:type="character" w:customStyle="1" w:styleId="352">
    <w:name w:val="普通文字 Char Char Char Char Char Char Char Char Char Char Char2"/>
    <w:autoRedefine/>
    <w:qFormat/>
    <w:uiPriority w:val="0"/>
    <w:rPr>
      <w:rFonts w:ascii="宋体" w:hAnsi="Courier New"/>
      <w:color w:val="000000"/>
      <w:kern w:val="2"/>
      <w:sz w:val="21"/>
    </w:rPr>
  </w:style>
  <w:style w:type="character" w:customStyle="1" w:styleId="353">
    <w:name w:val="特点标题 Char1"/>
    <w:autoRedefine/>
    <w:qFormat/>
    <w:uiPriority w:val="0"/>
    <w:rPr>
      <w:kern w:val="2"/>
      <w:sz w:val="21"/>
      <w:szCs w:val="24"/>
    </w:rPr>
  </w:style>
  <w:style w:type="character" w:customStyle="1" w:styleId="354">
    <w:name w:val="标题 7 字符"/>
    <w:autoRedefine/>
    <w:qFormat/>
    <w:uiPriority w:val="0"/>
    <w:rPr>
      <w:b/>
      <w:bCs/>
      <w:sz w:val="24"/>
      <w:szCs w:val="24"/>
    </w:rPr>
  </w:style>
  <w:style w:type="character" w:customStyle="1" w:styleId="355">
    <w:name w:val="正文首行缩进 Char1"/>
    <w:autoRedefine/>
    <w:qFormat/>
    <w:uiPriority w:val="0"/>
    <w:rPr>
      <w:rFonts w:eastAsia="宋体"/>
      <w:kern w:val="2"/>
      <w:sz w:val="21"/>
      <w:szCs w:val="24"/>
      <w:lang w:val="en-US" w:eastAsia="zh-CN" w:bidi="ar-SA"/>
    </w:rPr>
  </w:style>
  <w:style w:type="character" w:customStyle="1" w:styleId="356">
    <w:name w:val="称呼 字符2"/>
    <w:link w:val="24"/>
    <w:autoRedefine/>
    <w:qFormat/>
    <w:uiPriority w:val="0"/>
    <w:rPr>
      <w:b/>
      <w:kern w:val="2"/>
      <w:sz w:val="24"/>
    </w:rPr>
  </w:style>
  <w:style w:type="character" w:customStyle="1" w:styleId="357">
    <w:name w:val="标题 9 字符"/>
    <w:autoRedefine/>
    <w:qFormat/>
    <w:uiPriority w:val="0"/>
    <w:rPr>
      <w:rFonts w:ascii="Arial" w:hAnsi="Arial" w:eastAsia="黑体"/>
      <w:sz w:val="21"/>
      <w:szCs w:val="21"/>
    </w:rPr>
  </w:style>
  <w:style w:type="character" w:customStyle="1" w:styleId="358">
    <w:name w:val="签名 Char1"/>
    <w:autoRedefine/>
    <w:qFormat/>
    <w:uiPriority w:val="0"/>
    <w:rPr>
      <w:kern w:val="2"/>
      <w:sz w:val="21"/>
      <w:szCs w:val="24"/>
    </w:rPr>
  </w:style>
  <w:style w:type="character" w:customStyle="1" w:styleId="359">
    <w:name w:val="普通文字 Char Char Char Char Char Char Char Char Char Char Char1"/>
    <w:autoRedefine/>
    <w:qFormat/>
    <w:uiPriority w:val="0"/>
    <w:rPr>
      <w:rFonts w:ascii="宋体" w:hAnsi="Courier New" w:eastAsia="宋体" w:cs="Times New Roman"/>
      <w:sz w:val="24"/>
      <w:szCs w:val="21"/>
    </w:rPr>
  </w:style>
  <w:style w:type="character" w:customStyle="1" w:styleId="360">
    <w:name w:val="Char Char141"/>
    <w:autoRedefine/>
    <w:qFormat/>
    <w:uiPriority w:val="0"/>
    <w:rPr>
      <w:rFonts w:ascii="Times New Roman" w:hAnsi="Times New Roman" w:eastAsia="宋体" w:cs="Times New Roman"/>
      <w:b/>
      <w:sz w:val="24"/>
      <w:szCs w:val="20"/>
    </w:rPr>
  </w:style>
  <w:style w:type="character" w:customStyle="1" w:styleId="361">
    <w:name w:val="Header Char1"/>
    <w:autoRedefine/>
    <w:semiHidden/>
    <w:qFormat/>
    <w:uiPriority w:val="99"/>
    <w:rPr>
      <w:sz w:val="18"/>
      <w:szCs w:val="18"/>
    </w:rPr>
  </w:style>
  <w:style w:type="character" w:customStyle="1" w:styleId="362">
    <w:name w:val="CZ正文 Char Char"/>
    <w:link w:val="363"/>
    <w:autoRedefine/>
    <w:qFormat/>
    <w:uiPriority w:val="0"/>
    <w:rPr>
      <w:rFonts w:ascii="宋体" w:hAnsi="宋体"/>
      <w:color w:val="000000"/>
      <w:kern w:val="2"/>
      <w:sz w:val="24"/>
      <w:szCs w:val="21"/>
    </w:rPr>
  </w:style>
  <w:style w:type="paragraph" w:customStyle="1" w:styleId="363">
    <w:name w:val="CZ正文"/>
    <w:basedOn w:val="1"/>
    <w:link w:val="362"/>
    <w:autoRedefine/>
    <w:qFormat/>
    <w:uiPriority w:val="0"/>
    <w:pPr>
      <w:adjustRightInd w:val="0"/>
      <w:snapToGrid w:val="0"/>
      <w:spacing w:line="400" w:lineRule="exact"/>
      <w:ind w:firstLine="200" w:firstLineChars="200"/>
    </w:pPr>
    <w:rPr>
      <w:rFonts w:ascii="宋体" w:hAnsi="宋体"/>
      <w:color w:val="000000"/>
      <w:sz w:val="24"/>
      <w:szCs w:val="21"/>
    </w:rPr>
  </w:style>
  <w:style w:type="character" w:customStyle="1" w:styleId="364">
    <w:name w:val="Char Char92"/>
    <w:autoRedefine/>
    <w:qFormat/>
    <w:uiPriority w:val="0"/>
    <w:rPr>
      <w:rFonts w:ascii="宋体" w:eastAsia="宋体"/>
      <w:kern w:val="2"/>
      <w:sz w:val="24"/>
      <w:lang w:val="en-US" w:eastAsia="zh-CN"/>
    </w:rPr>
  </w:style>
  <w:style w:type="character" w:customStyle="1" w:styleId="365">
    <w:name w:val="信息标题 字符"/>
    <w:autoRedefine/>
    <w:qFormat/>
    <w:uiPriority w:val="0"/>
    <w:rPr>
      <w:rFonts w:ascii="Arial" w:hAnsi="Arial"/>
      <w:kern w:val="2"/>
      <w:sz w:val="24"/>
      <w:szCs w:val="24"/>
      <w:shd w:val="pct20" w:color="auto" w:fill="auto"/>
    </w:rPr>
  </w:style>
  <w:style w:type="character" w:customStyle="1" w:styleId="366">
    <w:name w:val="脚注文本 字符1"/>
    <w:autoRedefine/>
    <w:qFormat/>
    <w:locked/>
    <w:uiPriority w:val="0"/>
    <w:rPr>
      <w:rFonts w:eastAsia="宋体"/>
      <w:kern w:val="2"/>
      <w:sz w:val="18"/>
      <w:lang w:val="en-US" w:eastAsia="zh-CN"/>
    </w:rPr>
  </w:style>
  <w:style w:type="character" w:customStyle="1" w:styleId="367">
    <w:name w:val="脚注文本 Char Char"/>
    <w:autoRedefine/>
    <w:qFormat/>
    <w:uiPriority w:val="0"/>
    <w:rPr>
      <w:rFonts w:eastAsia="宋体"/>
      <w:kern w:val="2"/>
      <w:sz w:val="18"/>
      <w:szCs w:val="18"/>
      <w:lang w:val="en-US" w:eastAsia="zh-CN" w:bidi="ar-SA"/>
    </w:rPr>
  </w:style>
  <w:style w:type="character" w:customStyle="1" w:styleId="368">
    <w:name w:val="Char Char211"/>
    <w:autoRedefine/>
    <w:qFormat/>
    <w:locked/>
    <w:uiPriority w:val="0"/>
    <w:rPr>
      <w:rFonts w:ascii="黑体" w:hAnsi="Courier New" w:eastAsia="黑体" w:cs="Courier New"/>
    </w:rPr>
  </w:style>
  <w:style w:type="character" w:customStyle="1" w:styleId="369">
    <w:name w:val="标题 4 字符"/>
    <w:autoRedefine/>
    <w:qFormat/>
    <w:uiPriority w:val="0"/>
    <w:rPr>
      <w:i/>
      <w:sz w:val="21"/>
    </w:rPr>
  </w:style>
  <w:style w:type="character" w:customStyle="1" w:styleId="370">
    <w:name w:val="样式 宋体 小四 加粗1"/>
    <w:autoRedefine/>
    <w:qFormat/>
    <w:uiPriority w:val="0"/>
    <w:rPr>
      <w:rFonts w:ascii="宋体" w:hAnsi="宋体"/>
      <w:b/>
      <w:bCs/>
      <w:sz w:val="28"/>
    </w:rPr>
  </w:style>
  <w:style w:type="character" w:customStyle="1" w:styleId="371">
    <w:name w:val="样式3 Char"/>
    <w:link w:val="372"/>
    <w:autoRedefine/>
    <w:qFormat/>
    <w:uiPriority w:val="0"/>
    <w:rPr>
      <w:rFonts w:ascii="宋体" w:hAnsi="宋体"/>
      <w:b/>
      <w:bCs/>
      <w:kern w:val="2"/>
      <w:sz w:val="28"/>
      <w:szCs w:val="21"/>
    </w:rPr>
  </w:style>
  <w:style w:type="paragraph" w:customStyle="1" w:styleId="372">
    <w:name w:val="样式3"/>
    <w:basedOn w:val="1"/>
    <w:link w:val="371"/>
    <w:autoRedefine/>
    <w:qFormat/>
    <w:uiPriority w:val="0"/>
    <w:pPr>
      <w:tabs>
        <w:tab w:val="left" w:pos="945"/>
      </w:tabs>
      <w:adjustRightInd w:val="0"/>
      <w:snapToGrid w:val="0"/>
      <w:spacing w:before="120" w:after="120" w:line="312" w:lineRule="auto"/>
      <w:ind w:firstLine="567"/>
    </w:pPr>
    <w:rPr>
      <w:rFonts w:ascii="宋体" w:hAnsi="宋体"/>
      <w:b/>
      <w:bCs/>
      <w:sz w:val="28"/>
      <w:szCs w:val="21"/>
    </w:rPr>
  </w:style>
  <w:style w:type="character" w:customStyle="1" w:styleId="373">
    <w:name w:val="标题 6 字符"/>
    <w:autoRedefine/>
    <w:qFormat/>
    <w:uiPriority w:val="0"/>
    <w:rPr>
      <w:rFonts w:ascii="Arial" w:hAnsi="Arial" w:eastAsia="黑体"/>
      <w:b/>
      <w:bCs/>
      <w:sz w:val="24"/>
      <w:szCs w:val="24"/>
    </w:rPr>
  </w:style>
  <w:style w:type="character" w:customStyle="1" w:styleId="374">
    <w:name w:val="标题 Char2"/>
    <w:autoRedefine/>
    <w:qFormat/>
    <w:uiPriority w:val="0"/>
    <w:rPr>
      <w:rFonts w:ascii="Cambria" w:hAnsi="Cambria" w:cs="Times New Roman"/>
      <w:b/>
      <w:bCs/>
      <w:kern w:val="2"/>
      <w:sz w:val="32"/>
      <w:szCs w:val="32"/>
    </w:rPr>
  </w:style>
  <w:style w:type="character" w:customStyle="1" w:styleId="375">
    <w:name w:val="Char Char201"/>
    <w:autoRedefine/>
    <w:qFormat/>
    <w:uiPriority w:val="0"/>
    <w:rPr>
      <w:rFonts w:eastAsia="宋体"/>
      <w:kern w:val="2"/>
      <w:sz w:val="18"/>
      <w:szCs w:val="18"/>
      <w:lang w:val="en-US" w:eastAsia="zh-CN" w:bidi="ar-SA"/>
    </w:rPr>
  </w:style>
  <w:style w:type="paragraph" w:customStyle="1" w:styleId="376">
    <w:name w:val="正文文字 2"/>
    <w:basedOn w:val="1"/>
    <w:autoRedefine/>
    <w:qFormat/>
    <w:uiPriority w:val="0"/>
    <w:pPr>
      <w:spacing w:line="300" w:lineRule="exact"/>
    </w:pPr>
    <w:rPr>
      <w:rFonts w:ascii="宋体" w:hAnsi="宋体" w:cs="宋体"/>
      <w:sz w:val="24"/>
    </w:rPr>
  </w:style>
  <w:style w:type="paragraph" w:customStyle="1" w:styleId="377">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78">
    <w:name w:val="xl33"/>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24"/>
    </w:rPr>
  </w:style>
  <w:style w:type="paragraph" w:customStyle="1" w:styleId="379">
    <w:name w:val="text"/>
    <w:basedOn w:val="1"/>
    <w:autoRedefine/>
    <w:qFormat/>
    <w:uiPriority w:val="0"/>
    <w:pPr>
      <w:widowControl/>
      <w:spacing w:before="100" w:beforeAutospacing="1" w:after="100" w:afterAutospacing="1" w:line="360" w:lineRule="atLeast"/>
      <w:ind w:firstLine="400"/>
      <w:jc w:val="left"/>
    </w:pPr>
    <w:rPr>
      <w:rFonts w:ascii="宋体" w:hAnsi="宋体"/>
      <w:color w:val="000000"/>
      <w:kern w:val="0"/>
      <w:sz w:val="20"/>
      <w:szCs w:val="20"/>
    </w:rPr>
  </w:style>
  <w:style w:type="paragraph" w:customStyle="1" w:styleId="380">
    <w:name w:val="默认段落字体 Para Char"/>
    <w:basedOn w:val="1"/>
    <w:autoRedefine/>
    <w:qFormat/>
    <w:uiPriority w:val="0"/>
    <w:pPr>
      <w:spacing w:line="360" w:lineRule="auto"/>
      <w:ind w:firstLine="200" w:firstLineChars="200"/>
    </w:pPr>
    <w:rPr>
      <w:rFonts w:ascii="宋体" w:hAnsi="宋体" w:cs="宋体"/>
      <w:sz w:val="24"/>
    </w:rPr>
  </w:style>
  <w:style w:type="paragraph" w:customStyle="1" w:styleId="381">
    <w:name w:val="正文文本缩进 21"/>
    <w:basedOn w:val="1"/>
    <w:autoRedefine/>
    <w:qFormat/>
    <w:uiPriority w:val="0"/>
    <w:pPr>
      <w:adjustRightInd w:val="0"/>
      <w:spacing w:line="400" w:lineRule="atLeast"/>
      <w:ind w:firstLine="540"/>
      <w:textAlignment w:val="baseline"/>
    </w:pPr>
    <w:rPr>
      <w:rFonts w:ascii="宋体"/>
      <w:kern w:val="0"/>
      <w:sz w:val="24"/>
      <w:szCs w:val="20"/>
    </w:rPr>
  </w:style>
  <w:style w:type="paragraph" w:customStyle="1" w:styleId="382">
    <w:name w:val="CM45"/>
    <w:basedOn w:val="383"/>
    <w:next w:val="383"/>
    <w:autoRedefine/>
    <w:qFormat/>
    <w:uiPriority w:val="0"/>
    <w:pPr>
      <w:adjustRightInd/>
      <w:spacing w:line="400" w:lineRule="atLeast"/>
    </w:pPr>
    <w:rPr>
      <w:rFonts w:hAnsi="黑体"/>
      <w:kern w:val="2"/>
    </w:rPr>
  </w:style>
  <w:style w:type="paragraph" w:customStyle="1" w:styleId="383">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84">
    <w:name w:val="xl100"/>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color w:val="FF0000"/>
      <w:kern w:val="0"/>
      <w:sz w:val="20"/>
      <w:szCs w:val="20"/>
    </w:rPr>
  </w:style>
  <w:style w:type="paragraph" w:customStyle="1" w:styleId="385">
    <w:name w:val="xl94"/>
    <w:basedOn w:val="1"/>
    <w:autoRedefine/>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386">
    <w:name w:val="ZW"/>
    <w:basedOn w:val="1"/>
    <w:autoRedefine/>
    <w:qFormat/>
    <w:uiPriority w:val="0"/>
    <w:pPr>
      <w:spacing w:line="360" w:lineRule="auto"/>
      <w:ind w:firstLine="200"/>
    </w:pPr>
    <w:rPr>
      <w:rFonts w:ascii="宋体" w:hAnsi="宋体" w:cs="Arial Unicode MS"/>
      <w:kern w:val="1"/>
      <w:sz w:val="24"/>
      <w:lang w:val="zh-TW" w:eastAsia="zh-TW"/>
    </w:rPr>
  </w:style>
  <w:style w:type="paragraph" w:customStyle="1" w:styleId="387">
    <w:name w:val="样式 首行缩进:  2 字符 段前: 0.5 行 段后: 0.5 行"/>
    <w:basedOn w:val="1"/>
    <w:next w:val="1"/>
    <w:autoRedefine/>
    <w:qFormat/>
    <w:uiPriority w:val="0"/>
    <w:pPr>
      <w:adjustRightInd w:val="0"/>
      <w:snapToGrid w:val="0"/>
      <w:spacing w:before="156" w:line="312" w:lineRule="auto"/>
      <w:ind w:firstLine="480" w:firstLineChars="200"/>
    </w:pPr>
    <w:rPr>
      <w:rFonts w:eastAsia="楷体_GB2312"/>
      <w:sz w:val="24"/>
      <w:szCs w:val="20"/>
    </w:rPr>
  </w:style>
  <w:style w:type="paragraph" w:customStyle="1" w:styleId="388">
    <w:name w:val="Char Char Char Char Char Char Char Char Char Char Char Char Char Char Char Char Char Char1 Char Char Char Char"/>
    <w:basedOn w:val="1"/>
    <w:autoRedefine/>
    <w:qFormat/>
    <w:uiPriority w:val="0"/>
  </w:style>
  <w:style w:type="paragraph" w:customStyle="1" w:styleId="389">
    <w:name w:val="Char Char Char1 Char Char Char Char Char Char Char Char Char Char Char Char Char Char Char Char Char Char Char"/>
    <w:basedOn w:val="1"/>
    <w:autoRedefine/>
    <w:qFormat/>
    <w:uiPriority w:val="0"/>
  </w:style>
  <w:style w:type="paragraph" w:customStyle="1" w:styleId="390">
    <w:name w:val="_Style 301"/>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font6"/>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2">
    <w:name w:val="Char Char Char Char Char Char Char Char Char Char Char Char Char Char Char Char Char Char1 Char Char Char Char1"/>
    <w:basedOn w:val="1"/>
    <w:autoRedefine/>
    <w:qFormat/>
    <w:uiPriority w:val="0"/>
  </w:style>
  <w:style w:type="paragraph" w:customStyle="1" w:styleId="393">
    <w:name w:val="Header1"/>
    <w:basedOn w:val="1"/>
    <w:autoRedefine/>
    <w:qFormat/>
    <w:uiPriority w:val="0"/>
    <w:pPr>
      <w:jc w:val="center"/>
    </w:pPr>
    <w:rPr>
      <w:rFonts w:ascii="Times New Roman Bold" w:hAnsi="Times New Roman Bold"/>
      <w:b/>
      <w:smallCaps/>
      <w:kern w:val="0"/>
      <w:sz w:val="36"/>
      <w:szCs w:val="20"/>
    </w:rPr>
  </w:style>
  <w:style w:type="paragraph" w:customStyle="1" w:styleId="394">
    <w:name w:val="Normal_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95">
    <w:name w:val="默认段落字体 Para Char Char Char Char Char Char Char Char Char Char Char Char Char Char Char1 Char"/>
    <w:basedOn w:val="22"/>
    <w:autoRedefine/>
    <w:qFormat/>
    <w:uiPriority w:val="0"/>
    <w:pPr>
      <w:shd w:val="clear" w:color="auto" w:fill="000080"/>
    </w:pPr>
    <w:rPr>
      <w:rFonts w:ascii="Times New Roman"/>
      <w:sz w:val="21"/>
      <w:szCs w:val="24"/>
    </w:rPr>
  </w:style>
  <w:style w:type="paragraph" w:customStyle="1" w:styleId="396">
    <w:name w:val="xl8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0"/>
      <w:szCs w:val="20"/>
    </w:rPr>
  </w:style>
  <w:style w:type="paragraph" w:customStyle="1" w:styleId="397">
    <w:name w:val="Char Char Char Char Char Char Char Char Char Char Char Char Char Char Char Char Char Char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398">
    <w:name w:val="表格文字居中"/>
    <w:basedOn w:val="1"/>
    <w:next w:val="1"/>
    <w:autoRedefine/>
    <w:qFormat/>
    <w:uiPriority w:val="0"/>
    <w:pPr>
      <w:tabs>
        <w:tab w:val="left" w:pos="720"/>
        <w:tab w:val="left" w:pos="900"/>
      </w:tabs>
      <w:adjustRightInd w:val="0"/>
      <w:snapToGrid w:val="0"/>
      <w:spacing w:before="62" w:beforeLines="20" w:after="62" w:afterLines="20" w:line="360" w:lineRule="auto"/>
      <w:jc w:val="center"/>
    </w:pPr>
    <w:rPr>
      <w:rFonts w:ascii="宋体" w:hAnsi="Arial"/>
      <w:kern w:val="0"/>
      <w:sz w:val="18"/>
      <w:szCs w:val="20"/>
    </w:rPr>
  </w:style>
  <w:style w:type="paragraph" w:customStyle="1" w:styleId="399">
    <w:name w:val="二级标题"/>
    <w:basedOn w:val="1"/>
    <w:autoRedefine/>
    <w:qFormat/>
    <w:uiPriority w:val="0"/>
    <w:pPr>
      <w:spacing w:before="156" w:beforeLines="50" w:after="156" w:afterLines="50"/>
    </w:pPr>
    <w:rPr>
      <w:sz w:val="24"/>
    </w:rPr>
  </w:style>
  <w:style w:type="paragraph" w:customStyle="1" w:styleId="400">
    <w:name w:val="aa"/>
    <w:basedOn w:val="1"/>
    <w:autoRedefine/>
    <w:qFormat/>
    <w:uiPriority w:val="0"/>
    <w:pPr>
      <w:spacing w:line="360" w:lineRule="auto"/>
    </w:pPr>
    <w:rPr>
      <w:sz w:val="24"/>
    </w:rPr>
  </w:style>
  <w:style w:type="paragraph" w:customStyle="1" w:styleId="401">
    <w:name w:val="内正文"/>
    <w:basedOn w:val="1"/>
    <w:autoRedefine/>
    <w:qFormat/>
    <w:uiPriority w:val="0"/>
    <w:pPr>
      <w:ind w:firstLine="420"/>
    </w:pPr>
    <w:rPr>
      <w:rFonts w:eastAsia="文鼎CS书宋二"/>
      <w:szCs w:val="20"/>
    </w:rPr>
  </w:style>
  <w:style w:type="paragraph" w:customStyle="1" w:styleId="402">
    <w:name w:val="Char Char Char Char Char Char Char Char Char Char Char Char Char"/>
    <w:basedOn w:val="1"/>
    <w:autoRedefine/>
    <w:qFormat/>
    <w:uiPriority w:val="0"/>
    <w:rPr>
      <w:rFonts w:ascii="仿宋_GB2312" w:eastAsia="仿宋_GB2312"/>
      <w:b/>
      <w:sz w:val="32"/>
      <w:szCs w:val="32"/>
    </w:rPr>
  </w:style>
  <w:style w:type="paragraph" w:customStyle="1" w:styleId="403">
    <w:name w:val="标题 81"/>
    <w:basedOn w:val="1"/>
    <w:autoRedefine/>
    <w:qFormat/>
    <w:uiPriority w:val="1"/>
    <w:pPr>
      <w:ind w:left="543"/>
      <w:jc w:val="left"/>
      <w:outlineLvl w:val="8"/>
    </w:pPr>
    <w:rPr>
      <w:rFonts w:ascii="宋体" w:hAnsi="宋体"/>
      <w:b/>
      <w:bCs/>
      <w:kern w:val="0"/>
      <w:szCs w:val="21"/>
      <w:lang w:eastAsia="en-US"/>
    </w:rPr>
  </w:style>
  <w:style w:type="paragraph" w:customStyle="1" w:styleId="404">
    <w:name w:val="xl9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5">
    <w:name w:val="section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06">
    <w:name w:val="Normal_2"/>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0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08">
    <w:name w:val="一、"/>
    <w:next w:val="73"/>
    <w:autoRedefine/>
    <w:qFormat/>
    <w:uiPriority w:val="0"/>
    <w:pPr>
      <w:tabs>
        <w:tab w:val="left" w:pos="360"/>
        <w:tab w:val="left" w:pos="425"/>
      </w:tabs>
      <w:spacing w:before="240" w:after="240"/>
    </w:pPr>
    <w:rPr>
      <w:rFonts w:ascii="Times New Roman" w:hAnsi="Times New Roman" w:eastAsia="黑体" w:cs="Times New Roman"/>
      <w:sz w:val="28"/>
      <w:lang w:val="en-US" w:eastAsia="zh-CN" w:bidi="ar-SA"/>
    </w:rPr>
  </w:style>
  <w:style w:type="paragraph" w:customStyle="1" w:styleId="409">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410">
    <w:name w:val="k 表中字"/>
    <w:basedOn w:val="216"/>
    <w:next w:val="216"/>
    <w:autoRedefine/>
    <w:qFormat/>
    <w:uiPriority w:val="0"/>
    <w:pPr>
      <w:spacing w:line="240" w:lineRule="auto"/>
      <w:ind w:firstLine="0" w:firstLineChars="0"/>
      <w:jc w:val="center"/>
    </w:pPr>
    <w:rPr>
      <w:rFonts w:ascii="Times New Roman" w:hAnsi="Times New Roman"/>
      <w:kern w:val="2"/>
      <w:sz w:val="21"/>
      <w:szCs w:val="20"/>
    </w:rPr>
  </w:style>
  <w:style w:type="paragraph" w:customStyle="1" w:styleId="411">
    <w:name w:val="xl88"/>
    <w:basedOn w:val="1"/>
    <w:autoRedefine/>
    <w:qFormat/>
    <w:uiPriority w:val="0"/>
    <w:pPr>
      <w:widowControl/>
      <w:pBdr>
        <w:left w:val="single" w:color="auto" w:sz="4" w:space="0"/>
        <w:right w:val="single" w:color="auto" w:sz="4" w:space="0"/>
      </w:pBdr>
      <w:spacing w:before="100" w:beforeAutospacing="1" w:after="100" w:afterAutospacing="1"/>
      <w:jc w:val="left"/>
    </w:pPr>
    <w:rPr>
      <w:kern w:val="0"/>
      <w:sz w:val="20"/>
      <w:szCs w:val="20"/>
    </w:rPr>
  </w:style>
  <w:style w:type="paragraph" w:customStyle="1" w:styleId="412">
    <w:name w:val="修订11"/>
    <w:autoRedefine/>
    <w:qFormat/>
    <w:uiPriority w:val="99"/>
    <w:rPr>
      <w:rFonts w:ascii="Times New Roman" w:hAnsi="Times New Roman" w:eastAsia="宋体" w:cs="Times New Roman"/>
      <w:kern w:val="2"/>
      <w:sz w:val="21"/>
      <w:szCs w:val="24"/>
      <w:lang w:val="en-US" w:eastAsia="zh-CN" w:bidi="ar-SA"/>
    </w:rPr>
  </w:style>
  <w:style w:type="paragraph" w:customStyle="1" w:styleId="413">
    <w:name w:val="表格4"/>
    <w:basedOn w:val="1"/>
    <w:autoRedefine/>
    <w:qFormat/>
    <w:uiPriority w:val="0"/>
    <w:pPr>
      <w:adjustRightInd w:val="0"/>
      <w:spacing w:line="420" w:lineRule="atLeast"/>
      <w:ind w:left="1021"/>
      <w:textAlignment w:val="baseline"/>
    </w:pPr>
    <w:rPr>
      <w:kern w:val="0"/>
      <w:szCs w:val="20"/>
    </w:rPr>
  </w:style>
  <w:style w:type="paragraph" w:customStyle="1" w:styleId="414">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color w:val="FF0000"/>
      <w:kern w:val="0"/>
      <w:sz w:val="20"/>
      <w:szCs w:val="20"/>
    </w:rPr>
  </w:style>
  <w:style w:type="paragraph" w:customStyle="1" w:styleId="415">
    <w:name w:val="CM31"/>
    <w:basedOn w:val="383"/>
    <w:next w:val="383"/>
    <w:autoRedefine/>
    <w:qFormat/>
    <w:uiPriority w:val="0"/>
    <w:pPr>
      <w:adjustRightInd/>
      <w:spacing w:line="400" w:lineRule="atLeast"/>
    </w:pPr>
    <w:rPr>
      <w:rFonts w:hAnsi="黑体"/>
      <w:kern w:val="2"/>
    </w:rPr>
  </w:style>
  <w:style w:type="paragraph" w:customStyle="1" w:styleId="416">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417">
    <w:name w:val="xl96"/>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kern w:val="0"/>
      <w:sz w:val="20"/>
      <w:szCs w:val="20"/>
    </w:rPr>
  </w:style>
  <w:style w:type="paragraph" w:customStyle="1" w:styleId="418">
    <w:name w:val="样式 标题 3 + 段前: 0.3 行 段后: 0.3 行"/>
    <w:basedOn w:val="4"/>
    <w:autoRedefine/>
    <w:qFormat/>
    <w:uiPriority w:val="0"/>
    <w:pPr>
      <w:tabs>
        <w:tab w:val="left" w:pos="3229"/>
      </w:tabs>
      <w:snapToGrid w:val="0"/>
      <w:spacing w:before="93" w:beforeLines="30" w:after="156" w:afterLines="50"/>
    </w:pPr>
    <w:rPr>
      <w:rFonts w:ascii="Arial Narrow" w:hAnsi="Arial Narrow" w:eastAsia="华文细黑" w:cs="宋体"/>
      <w:bCs w:val="0"/>
      <w:kern w:val="2"/>
      <w:sz w:val="24"/>
      <w:szCs w:val="24"/>
    </w:rPr>
  </w:style>
  <w:style w:type="paragraph" w:customStyle="1" w:styleId="419">
    <w:name w:val="正文首行缩进1"/>
    <w:basedOn w:val="28"/>
    <w:autoRedefine/>
    <w:qFormat/>
    <w:uiPriority w:val="0"/>
    <w:pPr>
      <w:ind w:firstLine="420"/>
    </w:pPr>
    <w:rPr>
      <w:kern w:val="2"/>
      <w:sz w:val="21"/>
      <w:szCs w:val="20"/>
    </w:rPr>
  </w:style>
  <w:style w:type="paragraph" w:customStyle="1" w:styleId="420">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21">
    <w:name w:val="五级条标题"/>
    <w:basedOn w:val="422"/>
    <w:next w:val="346"/>
    <w:autoRedefine/>
    <w:qFormat/>
    <w:uiPriority w:val="0"/>
    <w:pPr>
      <w:tabs>
        <w:tab w:val="left" w:pos="360"/>
        <w:tab w:val="left" w:pos="570"/>
        <w:tab w:val="left" w:pos="840"/>
        <w:tab w:val="left" w:pos="1260"/>
        <w:tab w:val="left" w:pos="1680"/>
      </w:tabs>
      <w:ind w:left="1680"/>
      <w:outlineLvl w:val="6"/>
    </w:pPr>
  </w:style>
  <w:style w:type="paragraph" w:customStyle="1" w:styleId="422">
    <w:name w:val="四级条标题"/>
    <w:basedOn w:val="423"/>
    <w:next w:val="346"/>
    <w:autoRedefine/>
    <w:qFormat/>
    <w:uiPriority w:val="0"/>
    <w:pPr>
      <w:tabs>
        <w:tab w:val="left" w:pos="360"/>
        <w:tab w:val="left" w:pos="570"/>
        <w:tab w:val="left" w:pos="840"/>
        <w:tab w:val="left" w:pos="1260"/>
      </w:tabs>
      <w:ind w:left="1260"/>
      <w:outlineLvl w:val="5"/>
    </w:pPr>
  </w:style>
  <w:style w:type="paragraph" w:customStyle="1" w:styleId="423">
    <w:name w:val="三级条标题"/>
    <w:basedOn w:val="424"/>
    <w:next w:val="346"/>
    <w:autoRedefine/>
    <w:qFormat/>
    <w:uiPriority w:val="0"/>
    <w:pPr>
      <w:tabs>
        <w:tab w:val="left" w:pos="360"/>
        <w:tab w:val="left" w:pos="570"/>
        <w:tab w:val="left" w:pos="840"/>
      </w:tabs>
      <w:ind w:left="840" w:hanging="420"/>
      <w:outlineLvl w:val="4"/>
    </w:pPr>
  </w:style>
  <w:style w:type="paragraph" w:customStyle="1" w:styleId="424">
    <w:name w:val="二级条标题"/>
    <w:basedOn w:val="425"/>
    <w:next w:val="346"/>
    <w:autoRedefine/>
    <w:qFormat/>
    <w:uiPriority w:val="0"/>
    <w:pPr>
      <w:tabs>
        <w:tab w:val="left" w:pos="360"/>
        <w:tab w:val="left" w:pos="570"/>
      </w:tabs>
      <w:spacing w:before="156" w:beforeLines="50"/>
      <w:outlineLvl w:val="3"/>
    </w:pPr>
  </w:style>
  <w:style w:type="paragraph" w:customStyle="1" w:styleId="425">
    <w:name w:val="一级条标题"/>
    <w:basedOn w:val="345"/>
    <w:next w:val="346"/>
    <w:autoRedefine/>
    <w:qFormat/>
    <w:uiPriority w:val="0"/>
    <w:pPr>
      <w:tabs>
        <w:tab w:val="left" w:pos="360"/>
        <w:tab w:val="left" w:pos="570"/>
      </w:tabs>
      <w:spacing w:before="0" w:beforeLines="0" w:after="0" w:afterLines="0"/>
      <w:ind w:left="570" w:hanging="570"/>
      <w:outlineLvl w:val="2"/>
    </w:pPr>
    <w:rPr>
      <w:sz w:val="24"/>
    </w:rPr>
  </w:style>
  <w:style w:type="paragraph" w:customStyle="1" w:styleId="426">
    <w:name w:val="章、篇名"/>
    <w:basedOn w:val="1"/>
    <w:next w:val="1"/>
    <w:autoRedefine/>
    <w:qFormat/>
    <w:uiPriority w:val="0"/>
    <w:pPr>
      <w:spacing w:before="480" w:after="360" w:line="560" w:lineRule="exact"/>
      <w:jc w:val="center"/>
    </w:pPr>
    <w:rPr>
      <w:rFonts w:eastAsia="文鼎大标宋简"/>
      <w:b/>
      <w:sz w:val="36"/>
      <w:szCs w:val="20"/>
    </w:rPr>
  </w:style>
  <w:style w:type="paragraph" w:customStyle="1" w:styleId="427">
    <w:name w:val="xl3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428">
    <w:name w:val="reader-word-layer reader-word-s1-1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2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30">
    <w:name w:val="彩色列表 - 强调文字颜色 11"/>
    <w:basedOn w:val="1"/>
    <w:autoRedefine/>
    <w:qFormat/>
    <w:uiPriority w:val="0"/>
    <w:pPr>
      <w:ind w:firstLine="420" w:firstLineChars="200"/>
    </w:pPr>
  </w:style>
  <w:style w:type="paragraph" w:customStyle="1" w:styleId="431">
    <w:name w:val="k 4级"/>
    <w:basedOn w:val="216"/>
    <w:next w:val="216"/>
    <w:autoRedefine/>
    <w:semiHidden/>
    <w:qFormat/>
    <w:uiPriority w:val="0"/>
    <w:pPr>
      <w:spacing w:line="240" w:lineRule="auto"/>
    </w:pPr>
    <w:rPr>
      <w:rFonts w:ascii="Times New Roman" w:hAnsi="Times New Roman"/>
      <w:kern w:val="2"/>
      <w:sz w:val="21"/>
      <w:szCs w:val="20"/>
    </w:rPr>
  </w:style>
  <w:style w:type="paragraph" w:customStyle="1" w:styleId="432">
    <w:name w:val="正文文本 32"/>
    <w:basedOn w:val="29"/>
    <w:autoRedefine/>
    <w:qFormat/>
    <w:uiPriority w:val="0"/>
    <w:pPr>
      <w:autoSpaceDE w:val="0"/>
      <w:autoSpaceDN w:val="0"/>
      <w:adjustRightInd w:val="0"/>
      <w:ind w:left="360" w:leftChars="0"/>
      <w:jc w:val="left"/>
      <w:textAlignment w:val="baseline"/>
    </w:pPr>
    <w:rPr>
      <w:szCs w:val="20"/>
    </w:rPr>
  </w:style>
  <w:style w:type="paragraph" w:customStyle="1" w:styleId="433">
    <w:name w:val="Char Char Char Char Char Char1 Char Char Char Char"/>
    <w:basedOn w:val="1"/>
    <w:autoRedefine/>
    <w:qFormat/>
    <w:uiPriority w:val="0"/>
    <w:rPr>
      <w:rFonts w:ascii="仿宋_GB2312" w:eastAsia="仿宋_GB2312"/>
      <w:b/>
      <w:sz w:val="32"/>
      <w:szCs w:val="32"/>
    </w:rPr>
  </w:style>
  <w:style w:type="paragraph" w:customStyle="1" w:styleId="434">
    <w:name w:val="CM85"/>
    <w:basedOn w:val="383"/>
    <w:next w:val="383"/>
    <w:autoRedefine/>
    <w:qFormat/>
    <w:uiPriority w:val="0"/>
    <w:pPr>
      <w:adjustRightInd/>
      <w:spacing w:line="400" w:lineRule="atLeast"/>
    </w:pPr>
    <w:rPr>
      <w:rFonts w:hAnsi="黑体"/>
      <w:kern w:val="2"/>
    </w:rPr>
  </w:style>
  <w:style w:type="paragraph" w:customStyle="1" w:styleId="43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6">
    <w:name w:val="CM16"/>
    <w:basedOn w:val="383"/>
    <w:next w:val="383"/>
    <w:autoRedefine/>
    <w:qFormat/>
    <w:uiPriority w:val="0"/>
    <w:pPr>
      <w:adjustRightInd/>
      <w:spacing w:line="400" w:lineRule="atLeast"/>
    </w:pPr>
    <w:rPr>
      <w:rFonts w:hAnsi="黑体"/>
      <w:kern w:val="2"/>
    </w:rPr>
  </w:style>
  <w:style w:type="paragraph" w:customStyle="1" w:styleId="437">
    <w:name w:val="reader-word-layer reader-word-s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38">
    <w:name w:val="默认段落字体 Para Char Char Char Char Char Char Char"/>
    <w:basedOn w:val="1"/>
    <w:autoRedefine/>
    <w:qFormat/>
    <w:uiPriority w:val="0"/>
    <w:pPr>
      <w:tabs>
        <w:tab w:val="left" w:pos="4665"/>
        <w:tab w:val="left" w:pos="8970"/>
      </w:tabs>
      <w:ind w:firstLine="400"/>
    </w:pPr>
    <w:rPr>
      <w:rFonts w:ascii="Calibri" w:hAnsi="Calibri"/>
      <w:szCs w:val="22"/>
    </w:rPr>
  </w:style>
  <w:style w:type="paragraph" w:customStyle="1" w:styleId="439">
    <w:name w:val="Char Char Char Char Char Char1 Char Char Char Char1"/>
    <w:basedOn w:val="1"/>
    <w:autoRedefine/>
    <w:qFormat/>
    <w:uiPriority w:val="0"/>
    <w:rPr>
      <w:rFonts w:ascii="仿宋_GB2312" w:eastAsia="仿宋_GB2312"/>
      <w:b/>
      <w:sz w:val="32"/>
      <w:szCs w:val="32"/>
    </w:rPr>
  </w:style>
  <w:style w:type="paragraph" w:customStyle="1" w:styleId="440">
    <w:name w:val="样式"/>
    <w:basedOn w:val="1"/>
    <w:next w:val="40"/>
    <w:autoRedefine/>
    <w:qFormat/>
    <w:uiPriority w:val="0"/>
    <w:rPr>
      <w:rFonts w:ascii="宋体" w:hAnsi="Courier New" w:cs="宋体"/>
      <w:szCs w:val="21"/>
    </w:rPr>
  </w:style>
  <w:style w:type="paragraph" w:customStyle="1" w:styleId="441">
    <w:name w:val="节"/>
    <w:basedOn w:val="40"/>
    <w:autoRedefine/>
    <w:qFormat/>
    <w:uiPriority w:val="0"/>
    <w:pPr>
      <w:adjustRightInd w:val="0"/>
      <w:snapToGrid w:val="0"/>
      <w:spacing w:before="600" w:after="600"/>
      <w:jc w:val="center"/>
      <w:outlineLvl w:val="2"/>
    </w:pPr>
    <w:rPr>
      <w:rFonts w:ascii="黑体" w:eastAsia="黑体"/>
      <w:snapToGrid w:val="0"/>
      <w:w w:val="90"/>
      <w:sz w:val="32"/>
      <w:szCs w:val="20"/>
    </w:rPr>
  </w:style>
  <w:style w:type="paragraph" w:customStyle="1" w:styleId="442">
    <w:name w:val="表1"/>
    <w:basedOn w:val="1"/>
    <w:autoRedefine/>
    <w:qFormat/>
    <w:uiPriority w:val="0"/>
    <w:pPr>
      <w:overflowPunct w:val="0"/>
      <w:autoSpaceDE w:val="0"/>
      <w:autoSpaceDN w:val="0"/>
      <w:adjustRightInd w:val="0"/>
      <w:spacing w:before="200" w:line="320" w:lineRule="atLeast"/>
      <w:textAlignment w:val="baseline"/>
    </w:pPr>
    <w:rPr>
      <w:kern w:val="0"/>
      <w:sz w:val="24"/>
      <w:szCs w:val="20"/>
    </w:rPr>
  </w:style>
  <w:style w:type="paragraph" w:customStyle="1" w:styleId="443">
    <w:name w:val="前言、引言标题"/>
    <w:next w:val="1"/>
    <w:autoRedefine/>
    <w:qFormat/>
    <w:uiPriority w:val="0"/>
    <w:pPr>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paragraph" w:customStyle="1" w:styleId="444">
    <w:name w:val="CM49"/>
    <w:basedOn w:val="383"/>
    <w:next w:val="383"/>
    <w:autoRedefine/>
    <w:qFormat/>
    <w:uiPriority w:val="0"/>
    <w:pPr>
      <w:adjustRightInd/>
      <w:spacing w:line="400" w:lineRule="atLeast"/>
    </w:pPr>
    <w:rPr>
      <w:rFonts w:hAnsi="黑体"/>
      <w:kern w:val="2"/>
    </w:rPr>
  </w:style>
  <w:style w:type="paragraph" w:customStyle="1" w:styleId="445">
    <w:name w:val="Char Char Char Char Char Char"/>
    <w:basedOn w:val="1"/>
    <w:autoRedefine/>
    <w:qFormat/>
    <w:uiPriority w:val="0"/>
    <w:rPr>
      <w:rFonts w:ascii="Calibri" w:hAnsi="Calibri"/>
      <w:szCs w:val="22"/>
    </w:rPr>
  </w:style>
  <w:style w:type="paragraph" w:customStyle="1" w:styleId="446">
    <w:name w:val="Char Char Char Char Char Char1 Char Char Char Char2"/>
    <w:basedOn w:val="1"/>
    <w:autoRedefine/>
    <w:qFormat/>
    <w:uiPriority w:val="0"/>
    <w:rPr>
      <w:rFonts w:ascii="仿宋_GB2312" w:eastAsia="仿宋_GB2312"/>
      <w:b/>
      <w:sz w:val="32"/>
      <w:szCs w:val="32"/>
    </w:rPr>
  </w:style>
  <w:style w:type="paragraph" w:customStyle="1" w:styleId="447">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48">
    <w:name w:val="表格2"/>
    <w:basedOn w:val="1"/>
    <w:autoRedefine/>
    <w:qFormat/>
    <w:uiPriority w:val="0"/>
    <w:pPr>
      <w:adjustRightInd w:val="0"/>
      <w:spacing w:line="420" w:lineRule="atLeast"/>
      <w:ind w:left="284" w:firstLine="454"/>
      <w:textAlignment w:val="baseline"/>
    </w:pPr>
    <w:rPr>
      <w:kern w:val="0"/>
      <w:szCs w:val="20"/>
    </w:rPr>
  </w:style>
  <w:style w:type="paragraph" w:customStyle="1" w:styleId="449">
    <w:name w:val="xl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color w:val="000000"/>
      <w:kern w:val="0"/>
      <w:sz w:val="18"/>
      <w:szCs w:val="18"/>
    </w:rPr>
  </w:style>
  <w:style w:type="paragraph" w:customStyle="1" w:styleId="450">
    <w:name w:val="正文文本 21"/>
    <w:basedOn w:val="1"/>
    <w:autoRedefine/>
    <w:qFormat/>
    <w:uiPriority w:val="0"/>
    <w:pPr>
      <w:widowControl/>
      <w:spacing w:line="360" w:lineRule="auto"/>
      <w:jc w:val="left"/>
    </w:pPr>
    <w:rPr>
      <w:kern w:val="21"/>
      <w:sz w:val="20"/>
      <w:szCs w:val="20"/>
      <w:lang w:eastAsia="en-US"/>
    </w:rPr>
  </w:style>
  <w:style w:type="paragraph" w:customStyle="1" w:styleId="451">
    <w:name w:val="font12"/>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452">
    <w:name w:val="CM86"/>
    <w:basedOn w:val="383"/>
    <w:next w:val="383"/>
    <w:autoRedefine/>
    <w:qFormat/>
    <w:uiPriority w:val="0"/>
    <w:pPr>
      <w:adjustRightInd/>
      <w:spacing w:line="393" w:lineRule="atLeast"/>
    </w:pPr>
    <w:rPr>
      <w:rFonts w:hAnsi="黑体"/>
      <w:kern w:val="2"/>
    </w:rPr>
  </w:style>
  <w:style w:type="paragraph" w:customStyle="1" w:styleId="453">
    <w:name w:val="1 总则"/>
    <w:basedOn w:val="1"/>
    <w:autoRedefine/>
    <w:qFormat/>
    <w:uiPriority w:val="0"/>
    <w:pPr>
      <w:spacing w:before="156" w:beforeLines="50" w:after="156" w:afterLines="50" w:line="400" w:lineRule="exact"/>
    </w:pPr>
    <w:rPr>
      <w:rFonts w:ascii="宋体" w:hAnsi="宋体"/>
      <w:b/>
      <w:bCs/>
      <w:sz w:val="28"/>
    </w:rPr>
  </w:style>
  <w:style w:type="paragraph" w:customStyle="1" w:styleId="454">
    <w:name w:val="Char11"/>
    <w:basedOn w:val="1"/>
    <w:autoRedefine/>
    <w:qFormat/>
    <w:uiPriority w:val="0"/>
  </w:style>
  <w:style w:type="paragraph" w:customStyle="1" w:styleId="455">
    <w:name w:val="font13"/>
    <w:basedOn w:val="1"/>
    <w:autoRedefine/>
    <w:qFormat/>
    <w:uiPriority w:val="0"/>
    <w:pPr>
      <w:widowControl/>
      <w:spacing w:before="100" w:beforeAutospacing="1" w:after="100" w:afterAutospacing="1"/>
      <w:jc w:val="left"/>
    </w:pPr>
    <w:rPr>
      <w:color w:val="000000"/>
      <w:kern w:val="0"/>
      <w:sz w:val="18"/>
      <w:szCs w:val="18"/>
    </w:rPr>
  </w:style>
  <w:style w:type="paragraph" w:customStyle="1" w:styleId="456">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457">
    <w:name w:val="样式 (中文) 黑体 三号 黑色 行距: 最小值 48 磅"/>
    <w:basedOn w:val="1"/>
    <w:autoRedefine/>
    <w:qFormat/>
    <w:uiPriority w:val="0"/>
    <w:pPr>
      <w:spacing w:line="360" w:lineRule="auto"/>
      <w:outlineLvl w:val="0"/>
    </w:pPr>
    <w:rPr>
      <w:rFonts w:ascii="宋体" w:hAnsi="宋体" w:cs="宋体"/>
      <w:b/>
      <w:szCs w:val="21"/>
    </w:rPr>
  </w:style>
  <w:style w:type="paragraph" w:customStyle="1" w:styleId="458">
    <w:name w:val="TOC 标题1"/>
    <w:basedOn w:val="2"/>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459">
    <w:name w:val="reader-word-layer reader-word-s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60">
    <w:name w:val="Char1 Char Char Char Char Char Char"/>
    <w:basedOn w:val="1"/>
    <w:autoRedefine/>
    <w:qFormat/>
    <w:uiPriority w:val="0"/>
    <w:rPr>
      <w:szCs w:val="20"/>
    </w:rPr>
  </w:style>
  <w:style w:type="paragraph" w:customStyle="1" w:styleId="461">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color w:val="FF0000"/>
      <w:kern w:val="0"/>
      <w:sz w:val="20"/>
      <w:szCs w:val="20"/>
    </w:rPr>
  </w:style>
  <w:style w:type="paragraph" w:customStyle="1" w:styleId="462">
    <w:name w:val="样式4"/>
    <w:basedOn w:val="5"/>
    <w:autoRedefine/>
    <w:qFormat/>
    <w:uiPriority w:val="0"/>
    <w:pPr>
      <w:keepLines w:val="0"/>
      <w:tabs>
        <w:tab w:val="left" w:pos="360"/>
        <w:tab w:val="left" w:pos="8740"/>
        <w:tab w:val="left" w:pos="9412"/>
      </w:tabs>
      <w:spacing w:before="0" w:after="0" w:line="180" w:lineRule="auto"/>
      <w:ind w:left="840"/>
      <w:jc w:val="left"/>
    </w:pPr>
    <w:rPr>
      <w:rFonts w:ascii="Arial" w:hAnsi="Arial"/>
      <w:b w:val="0"/>
      <w:bCs w:val="0"/>
      <w:spacing w:val="8"/>
      <w:kern w:val="2"/>
      <w:szCs w:val="20"/>
      <w:shd w:val="clear" w:color="auto" w:fill="FFFFFF"/>
    </w:rPr>
  </w:style>
  <w:style w:type="paragraph" w:customStyle="1" w:styleId="463">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4">
    <w:name w:val="表中"/>
    <w:basedOn w:val="1"/>
    <w:autoRedefine/>
    <w:qFormat/>
    <w:uiPriority w:val="0"/>
    <w:pPr>
      <w:adjustRightInd w:val="0"/>
      <w:spacing w:line="360" w:lineRule="atLeast"/>
      <w:jc w:val="center"/>
      <w:textAlignment w:val="baseline"/>
    </w:pPr>
    <w:rPr>
      <w:kern w:val="0"/>
      <w:szCs w:val="20"/>
    </w:rPr>
  </w:style>
  <w:style w:type="paragraph" w:customStyle="1" w:styleId="465">
    <w:name w:val="表、图签"/>
    <w:basedOn w:val="1"/>
    <w:autoRedefine/>
    <w:qFormat/>
    <w:uiPriority w:val="0"/>
    <w:pPr>
      <w:snapToGrid w:val="0"/>
      <w:spacing w:line="120" w:lineRule="atLeast"/>
    </w:pPr>
    <w:rPr>
      <w:rFonts w:ascii="宋体" w:hAnsi="宋体" w:cs="Arial"/>
      <w:bCs/>
      <w:kern w:val="0"/>
      <w:szCs w:val="21"/>
    </w:rPr>
  </w:style>
  <w:style w:type="paragraph" w:customStyle="1" w:styleId="466">
    <w:name w:val="正文文本 31"/>
    <w:basedOn w:val="29"/>
    <w:autoRedefine/>
    <w:qFormat/>
    <w:uiPriority w:val="0"/>
    <w:pPr>
      <w:autoSpaceDE w:val="0"/>
      <w:autoSpaceDN w:val="0"/>
      <w:adjustRightInd w:val="0"/>
      <w:ind w:left="360" w:leftChars="0"/>
      <w:jc w:val="left"/>
      <w:textAlignment w:val="baseline"/>
    </w:pPr>
    <w:rPr>
      <w:szCs w:val="20"/>
    </w:rPr>
  </w:style>
  <w:style w:type="paragraph" w:customStyle="1" w:styleId="467">
    <w:name w:val="xl98"/>
    <w:basedOn w:val="1"/>
    <w:autoRedefine/>
    <w:qFormat/>
    <w:uiPriority w:val="0"/>
    <w:pPr>
      <w:widowControl/>
      <w:pBdr>
        <w:left w:val="single" w:color="auto" w:sz="4" w:space="0"/>
        <w:bottom w:val="single" w:color="auto" w:sz="8" w:space="0"/>
        <w:right w:val="single" w:color="auto" w:sz="8" w:space="0"/>
      </w:pBdr>
      <w:spacing w:before="100" w:beforeAutospacing="1" w:after="100" w:afterAutospacing="1"/>
      <w:jc w:val="left"/>
    </w:pPr>
    <w:rPr>
      <w:kern w:val="0"/>
      <w:sz w:val="20"/>
      <w:szCs w:val="20"/>
    </w:rPr>
  </w:style>
  <w:style w:type="paragraph" w:customStyle="1" w:styleId="468">
    <w:name w:val="font14"/>
    <w:basedOn w:val="1"/>
    <w:autoRedefine/>
    <w:qFormat/>
    <w:uiPriority w:val="0"/>
    <w:pPr>
      <w:widowControl/>
      <w:spacing w:before="100" w:beforeAutospacing="1" w:after="100" w:afterAutospacing="1"/>
      <w:jc w:val="left"/>
    </w:pPr>
    <w:rPr>
      <w:color w:val="000000"/>
      <w:kern w:val="0"/>
      <w:szCs w:val="21"/>
    </w:rPr>
  </w:style>
  <w:style w:type="paragraph" w:customStyle="1" w:styleId="469">
    <w:name w:val="正文文本首行缩进1"/>
    <w:basedOn w:val="28"/>
    <w:autoRedefine/>
    <w:qFormat/>
    <w:uiPriority w:val="0"/>
    <w:pPr>
      <w:ind w:firstLine="420"/>
    </w:pPr>
    <w:rPr>
      <w:kern w:val="2"/>
      <w:sz w:val="21"/>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471">
    <w:name w:val="格式2"/>
    <w:autoRedefine/>
    <w:qFormat/>
    <w:uiPriority w:val="0"/>
    <w:pPr>
      <w:widowControl w:val="0"/>
      <w:adjustRightInd w:val="0"/>
      <w:snapToGrid w:val="0"/>
      <w:spacing w:before="50" w:line="440" w:lineRule="exact"/>
      <w:jc w:val="both"/>
    </w:pPr>
    <w:rPr>
      <w:rFonts w:ascii="Times New Roman" w:hAnsi="Times New Roman" w:eastAsia="宋体" w:cs="Times New Roman"/>
      <w:snapToGrid w:val="0"/>
      <w:sz w:val="24"/>
      <w:lang w:val="en-US" w:eastAsia="zh-CN" w:bidi="ar-SA"/>
    </w:rPr>
  </w:style>
  <w:style w:type="paragraph" w:customStyle="1" w:styleId="472">
    <w:name w:val="格式10"/>
    <w:basedOn w:val="1"/>
    <w:autoRedefine/>
    <w:qFormat/>
    <w:uiPriority w:val="0"/>
    <w:pPr>
      <w:spacing w:line="360" w:lineRule="exact"/>
      <w:ind w:left="480"/>
    </w:pPr>
    <w:rPr>
      <w:sz w:val="24"/>
    </w:rPr>
  </w:style>
  <w:style w:type="paragraph" w:customStyle="1" w:styleId="473">
    <w:name w:val="1 Char"/>
    <w:basedOn w:val="1"/>
    <w:autoRedefine/>
    <w:qFormat/>
    <w:uiPriority w:val="0"/>
  </w:style>
  <w:style w:type="paragraph" w:customStyle="1" w:styleId="474">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475">
    <w:name w:val="p16"/>
    <w:basedOn w:val="1"/>
    <w:autoRedefine/>
    <w:qFormat/>
    <w:uiPriority w:val="0"/>
    <w:pPr>
      <w:widowControl/>
    </w:pPr>
    <w:rPr>
      <w:rFonts w:ascii="宋体" w:hAnsi="宋体" w:cs="宋体"/>
      <w:kern w:val="0"/>
      <w:szCs w:val="21"/>
    </w:rPr>
  </w:style>
  <w:style w:type="paragraph" w:customStyle="1" w:styleId="476">
    <w:name w:val="reader-word-layer reader-word-s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77">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78">
    <w:name w:val="样式2"/>
    <w:basedOn w:val="4"/>
    <w:autoRedefine/>
    <w:qFormat/>
    <w:uiPriority w:val="0"/>
    <w:pPr>
      <w:tabs>
        <w:tab w:val="left" w:pos="360"/>
      </w:tabs>
      <w:spacing w:before="120" w:after="120"/>
      <w:ind w:left="840"/>
      <w:jc w:val="left"/>
    </w:pPr>
    <w:rPr>
      <w:spacing w:val="8"/>
      <w:kern w:val="2"/>
      <w:sz w:val="24"/>
      <w:szCs w:val="24"/>
    </w:rPr>
  </w:style>
  <w:style w:type="paragraph" w:customStyle="1" w:styleId="47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480">
    <w:name w:val="xl30"/>
    <w:basedOn w:val="1"/>
    <w:autoRedefine/>
    <w:qFormat/>
    <w:uiPriority w:val="0"/>
    <w:pPr>
      <w:widowControl/>
      <w:spacing w:before="100" w:beforeAutospacing="1" w:after="100" w:afterAutospacing="1"/>
      <w:jc w:val="center"/>
    </w:pPr>
    <w:rPr>
      <w:rFonts w:ascii="宋体" w:hAnsi="宋体"/>
      <w:b/>
      <w:bCs/>
      <w:kern w:val="0"/>
      <w:sz w:val="36"/>
      <w:szCs w:val="36"/>
    </w:rPr>
  </w:style>
  <w:style w:type="paragraph" w:customStyle="1" w:styleId="48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alibri" w:hAnsi="Calibri" w:cs="宋体"/>
      <w:kern w:val="0"/>
      <w:sz w:val="20"/>
      <w:szCs w:val="20"/>
    </w:rPr>
  </w:style>
  <w:style w:type="paragraph" w:customStyle="1" w:styleId="482">
    <w:name w:val="样式1"/>
    <w:basedOn w:val="5"/>
    <w:autoRedefine/>
    <w:qFormat/>
    <w:uiPriority w:val="0"/>
    <w:pPr>
      <w:tabs>
        <w:tab w:val="left" w:pos="2356"/>
      </w:tabs>
      <w:spacing w:before="120" w:after="120"/>
      <w:ind w:left="1984" w:hanging="708"/>
    </w:pPr>
    <w:rPr>
      <w:rFonts w:ascii="Times New Roman" w:hAnsi="Arial" w:eastAsia="黑体"/>
      <w:b w:val="0"/>
      <w:bCs w:val="0"/>
      <w:kern w:val="2"/>
      <w:sz w:val="30"/>
      <w:szCs w:val="20"/>
      <w14:shadow w14:blurRad="50800" w14:dist="38100" w14:dir="2700000" w14:sx="100000" w14:sy="100000" w14:kx="0" w14:ky="0" w14:algn="tl">
        <w14:srgbClr w14:val="000000">
          <w14:alpha w14:val="60000"/>
        </w14:srgbClr>
      </w14:shadow>
    </w:rPr>
  </w:style>
  <w:style w:type="paragraph" w:customStyle="1" w:styleId="483">
    <w:name w:val="规范文本"/>
    <w:basedOn w:val="40"/>
    <w:autoRedefine/>
    <w:qFormat/>
    <w:uiPriority w:val="0"/>
    <w:pPr>
      <w:adjustRightInd w:val="0"/>
      <w:snapToGrid w:val="0"/>
      <w:spacing w:line="360" w:lineRule="exact"/>
      <w:ind w:firstLine="420"/>
    </w:pPr>
    <w:rPr>
      <w:snapToGrid w:val="0"/>
      <w:sz w:val="21"/>
      <w:szCs w:val="20"/>
    </w:rPr>
  </w:style>
  <w:style w:type="paragraph" w:customStyle="1" w:styleId="484">
    <w:name w:val="font8"/>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85">
    <w:name w:val="Char Char Char Char Char Char1"/>
    <w:basedOn w:val="1"/>
    <w:autoRedefine/>
    <w:qFormat/>
    <w:uiPriority w:val="0"/>
  </w:style>
  <w:style w:type="paragraph" w:customStyle="1" w:styleId="486">
    <w:name w:val="正文 + 小四正文 + 小四正文 + 小四 Char Char"/>
    <w:basedOn w:val="1"/>
    <w:autoRedefine/>
    <w:qFormat/>
    <w:uiPriority w:val="0"/>
    <w:pPr>
      <w:ind w:firstLine="480" w:firstLineChars="200"/>
    </w:pPr>
    <w:rPr>
      <w:rFonts w:ascii="仿宋_GB2312" w:hAnsi="宋体"/>
      <w:bCs/>
      <w:sz w:val="24"/>
    </w:rPr>
  </w:style>
  <w:style w:type="paragraph" w:customStyle="1" w:styleId="487">
    <w:name w:val="..."/>
    <w:basedOn w:val="383"/>
    <w:next w:val="383"/>
    <w:autoRedefine/>
    <w:qFormat/>
    <w:uiPriority w:val="0"/>
    <w:rPr>
      <w:rFonts w:ascii="宋体" w:eastAsia="宋体" w:cs="Times New Roman"/>
      <w:color w:val="auto"/>
    </w:rPr>
  </w:style>
  <w:style w:type="paragraph" w:customStyle="1" w:styleId="488">
    <w:name w:val="列出段落1"/>
    <w:basedOn w:val="1"/>
    <w:autoRedefine/>
    <w:qFormat/>
    <w:uiPriority w:val="99"/>
    <w:pPr>
      <w:ind w:firstLine="420" w:firstLineChars="200"/>
    </w:pPr>
    <w:rPr>
      <w:rFonts w:ascii="Calibri" w:hAnsi="Calibri" w:cs="Calibri"/>
      <w:szCs w:val="21"/>
    </w:rPr>
  </w:style>
  <w:style w:type="paragraph" w:customStyle="1" w:styleId="489">
    <w:name w:val="Char Char Char Char Char Char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0">
    <w:name w:val="Char Char Char Char Char Char2"/>
    <w:basedOn w:val="1"/>
    <w:autoRedefine/>
    <w:qFormat/>
    <w:uiPriority w:val="0"/>
  </w:style>
  <w:style w:type="paragraph" w:customStyle="1" w:styleId="491">
    <w:name w:val="表头"/>
    <w:basedOn w:val="474"/>
    <w:autoRedefine/>
    <w:qFormat/>
    <w:uiPriority w:val="0"/>
    <w:rPr>
      <w:rFonts w:ascii="黑体" w:eastAsia="黑体"/>
      <w:b/>
    </w:rPr>
  </w:style>
  <w:style w:type="paragraph" w:customStyle="1" w:styleId="492">
    <w:name w:val="注："/>
    <w:next w:val="346"/>
    <w:autoRedefine/>
    <w:qFormat/>
    <w:uiPriority w:val="0"/>
    <w:pPr>
      <w:widowControl w:val="0"/>
      <w:tabs>
        <w:tab w:val="left" w:pos="2100"/>
      </w:tabs>
      <w:autoSpaceDE w:val="0"/>
      <w:autoSpaceDN w:val="0"/>
      <w:adjustRightInd w:val="0"/>
      <w:spacing w:line="360" w:lineRule="atLeast"/>
      <w:ind w:left="840" w:hanging="420"/>
      <w:jc w:val="both"/>
      <w:textAlignment w:val="baseline"/>
    </w:pPr>
    <w:rPr>
      <w:rFonts w:ascii="宋体" w:hAnsi="Times New Roman" w:eastAsia="宋体" w:cs="Times New Roman"/>
      <w:sz w:val="21"/>
      <w:lang w:val="en-US" w:eastAsia="zh-CN" w:bidi="ar-SA"/>
    </w:rPr>
  </w:style>
  <w:style w:type="paragraph" w:customStyle="1" w:styleId="49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4">
    <w:name w:val="Char6"/>
    <w:basedOn w:val="1"/>
    <w:autoRedefine/>
    <w:qFormat/>
    <w:uiPriority w:val="0"/>
    <w:pPr>
      <w:widowControl/>
      <w:spacing w:after="160" w:line="240" w:lineRule="exact"/>
      <w:jc w:val="left"/>
    </w:pPr>
  </w:style>
  <w:style w:type="paragraph" w:customStyle="1" w:styleId="495">
    <w:name w:val="样式 港珠澳正文 + 首行缩进:  2 字符 段前: 1 行 段后: 1 行"/>
    <w:basedOn w:val="1"/>
    <w:autoRedefine/>
    <w:qFormat/>
    <w:uiPriority w:val="0"/>
    <w:pPr>
      <w:spacing w:line="360" w:lineRule="auto"/>
      <w:ind w:firstLine="200" w:firstLineChars="200"/>
      <w:jc w:val="left"/>
    </w:pPr>
    <w:rPr>
      <w:rFonts w:cs="宋体"/>
      <w:color w:val="000000"/>
      <w:sz w:val="24"/>
      <w:szCs w:val="20"/>
    </w:rPr>
  </w:style>
  <w:style w:type="paragraph" w:customStyle="1" w:styleId="49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97">
    <w:name w:val="k 5级"/>
    <w:basedOn w:val="216"/>
    <w:next w:val="216"/>
    <w:autoRedefine/>
    <w:semiHidden/>
    <w:qFormat/>
    <w:uiPriority w:val="0"/>
    <w:pPr>
      <w:spacing w:line="240" w:lineRule="auto"/>
    </w:pPr>
    <w:rPr>
      <w:rFonts w:ascii="Times New Roman" w:hAnsi="Times New Roman"/>
      <w:kern w:val="2"/>
      <w:sz w:val="21"/>
      <w:szCs w:val="20"/>
    </w:rPr>
  </w:style>
  <w:style w:type="paragraph" w:customStyle="1" w:styleId="498">
    <w:name w:val="样式 目录 1 + 段前: 0.4 行 段后: 0.4 行"/>
    <w:basedOn w:val="52"/>
    <w:autoRedefine/>
    <w:qFormat/>
    <w:uiPriority w:val="0"/>
    <w:pPr>
      <w:adjustRightInd w:val="0"/>
      <w:snapToGrid w:val="0"/>
      <w:spacing w:before="312" w:beforeLines="100" w:after="124" w:afterLines="40" w:line="240" w:lineRule="auto"/>
      <w:jc w:val="both"/>
    </w:pPr>
    <w:rPr>
      <w:rFonts w:ascii="Times New Roman" w:hAnsi="Times New Roman" w:eastAsia="楷体_GB2312" w:cs="宋体"/>
      <w:caps w:val="0"/>
      <w:sz w:val="24"/>
    </w:rPr>
  </w:style>
  <w:style w:type="paragraph" w:customStyle="1" w:styleId="499">
    <w:name w:val="xl91"/>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01">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502">
    <w:name w:val="xl74"/>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03">
    <w:name w:val="表格文字"/>
    <w:basedOn w:val="1"/>
    <w:autoRedefine/>
    <w:qFormat/>
    <w:uiPriority w:val="0"/>
    <w:pPr>
      <w:adjustRightInd w:val="0"/>
      <w:spacing w:line="420" w:lineRule="atLeast"/>
      <w:jc w:val="left"/>
      <w:textAlignment w:val="baseline"/>
    </w:pPr>
    <w:rPr>
      <w:kern w:val="0"/>
      <w:szCs w:val="20"/>
    </w:rPr>
  </w:style>
  <w:style w:type="paragraph" w:customStyle="1" w:styleId="50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05">
    <w:name w:val="Char2"/>
    <w:basedOn w:val="1"/>
    <w:autoRedefine/>
    <w:qFormat/>
    <w:uiPriority w:val="0"/>
    <w:rPr>
      <w:rFonts w:ascii="Calibri" w:hAnsi="Calibri"/>
      <w:szCs w:val="22"/>
    </w:rPr>
  </w:style>
  <w:style w:type="paragraph" w:customStyle="1" w:styleId="50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507">
    <w:name w:val="Char Char Char1"/>
    <w:basedOn w:val="1"/>
    <w:autoRedefine/>
    <w:qFormat/>
    <w:uiPriority w:val="0"/>
  </w:style>
  <w:style w:type="paragraph" w:customStyle="1" w:styleId="508">
    <w:name w:val="hcon1"/>
    <w:basedOn w:val="1"/>
    <w:autoRedefine/>
    <w:qFormat/>
    <w:uiPriority w:val="0"/>
    <w:pPr>
      <w:widowControl/>
      <w:spacing w:before="30" w:after="100" w:afterAutospacing="1" w:line="375" w:lineRule="atLeast"/>
      <w:jc w:val="left"/>
    </w:pPr>
    <w:rPr>
      <w:rFonts w:ascii="宋体" w:hAnsi="宋体" w:cs="宋体"/>
      <w:kern w:val="0"/>
      <w:sz w:val="20"/>
      <w:szCs w:val="20"/>
    </w:rPr>
  </w:style>
  <w:style w:type="paragraph" w:customStyle="1" w:styleId="509">
    <w:name w:val="标题头"/>
    <w:basedOn w:val="1"/>
    <w:autoRedefine/>
    <w:qFormat/>
    <w:uiPriority w:val="0"/>
    <w:pPr>
      <w:spacing w:beforeLines="100" w:after="240" w:line="0" w:lineRule="atLeast"/>
      <w:jc w:val="center"/>
      <w:outlineLvl w:val="0"/>
    </w:pPr>
    <w:rPr>
      <w:rFonts w:ascii="方正粗宋简体" w:eastAsia="方正粗宋简体"/>
      <w:sz w:val="32"/>
      <w:szCs w:val="32"/>
    </w:rPr>
  </w:style>
  <w:style w:type="paragraph" w:customStyle="1" w:styleId="510">
    <w:name w:val="标题D"/>
    <w:autoRedefine/>
    <w:qFormat/>
    <w:uiPriority w:val="0"/>
    <w:pPr>
      <w:adjustRightInd w:val="0"/>
      <w:snapToGrid w:val="0"/>
      <w:spacing w:before="240" w:line="360" w:lineRule="auto"/>
      <w:outlineLvl w:val="3"/>
    </w:pPr>
    <w:rPr>
      <w:rFonts w:ascii="Times New Roman" w:hAnsi="Times New Roman" w:eastAsia="宋体" w:cs="Times New Roman"/>
      <w:b/>
      <w:sz w:val="24"/>
      <w:lang w:val="en-US" w:eastAsia="zh-CN" w:bidi="ar-SA"/>
    </w:rPr>
  </w:style>
  <w:style w:type="paragraph" w:customStyle="1" w:styleId="511">
    <w:name w:val="101.01"/>
    <w:basedOn w:val="1"/>
    <w:autoRedefine/>
    <w:qFormat/>
    <w:uiPriority w:val="0"/>
    <w:pPr>
      <w:autoSpaceDE w:val="0"/>
      <w:adjustRightInd w:val="0"/>
      <w:snapToGrid w:val="0"/>
      <w:spacing w:before="156" w:beforeLines="50" w:after="156" w:afterLines="50" w:line="400" w:lineRule="exact"/>
      <w:textAlignment w:val="bottom"/>
    </w:pPr>
    <w:rPr>
      <w:rFonts w:ascii="宋体" w:hAnsi="宋体"/>
      <w:b/>
      <w:color w:val="000000"/>
      <w:sz w:val="28"/>
      <w:szCs w:val="21"/>
    </w:rPr>
  </w:style>
  <w:style w:type="paragraph" w:customStyle="1" w:styleId="512">
    <w:name w:val="Normal_3"/>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1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24"/>
    </w:rPr>
  </w:style>
  <w:style w:type="paragraph" w:customStyle="1" w:styleId="514">
    <w:name w:val="Char Char Char2"/>
    <w:basedOn w:val="1"/>
    <w:autoRedefine/>
    <w:qFormat/>
    <w:uiPriority w:val="0"/>
    <w:rPr>
      <w:rFonts w:ascii="Tahoma" w:hAnsi="Tahoma"/>
      <w:sz w:val="24"/>
      <w:szCs w:val="20"/>
    </w:rPr>
  </w:style>
  <w:style w:type="paragraph" w:customStyle="1" w:styleId="515">
    <w:name w:val="CM148"/>
    <w:basedOn w:val="383"/>
    <w:next w:val="383"/>
    <w:autoRedefine/>
    <w:qFormat/>
    <w:uiPriority w:val="0"/>
    <w:pPr>
      <w:adjustRightInd/>
    </w:pPr>
    <w:rPr>
      <w:rFonts w:hAnsi="黑体"/>
      <w:kern w:val="2"/>
    </w:rPr>
  </w:style>
  <w:style w:type="paragraph" w:customStyle="1" w:styleId="51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17">
    <w:name w:val="表格6"/>
    <w:basedOn w:val="518"/>
    <w:autoRedefine/>
    <w:qFormat/>
    <w:uiPriority w:val="0"/>
    <w:pPr>
      <w:ind w:left="737" w:firstLine="0"/>
    </w:pPr>
  </w:style>
  <w:style w:type="paragraph" w:customStyle="1" w:styleId="518">
    <w:name w:val="表格5"/>
    <w:basedOn w:val="448"/>
    <w:autoRedefine/>
    <w:qFormat/>
    <w:uiPriority w:val="0"/>
    <w:pPr>
      <w:ind w:left="1021" w:hanging="284"/>
    </w:pPr>
    <w:rPr>
      <w:rFonts w:ascii="宋体"/>
    </w:rPr>
  </w:style>
  <w:style w:type="paragraph" w:customStyle="1" w:styleId="519">
    <w:name w:val="表格文字1"/>
    <w:basedOn w:val="503"/>
    <w:autoRedefine/>
    <w:qFormat/>
    <w:uiPriority w:val="0"/>
    <w:pPr>
      <w:spacing w:line="240" w:lineRule="auto"/>
      <w:jc w:val="center"/>
    </w:pPr>
    <w:rPr>
      <w:rFonts w:ascii="Arial" w:hAnsi="Arial" w:cs="Arial"/>
      <w:color w:val="FF0000"/>
      <w:szCs w:val="21"/>
    </w:rPr>
  </w:style>
  <w:style w:type="paragraph" w:customStyle="1" w:styleId="520">
    <w:name w:val="CM22"/>
    <w:basedOn w:val="383"/>
    <w:next w:val="383"/>
    <w:autoRedefine/>
    <w:qFormat/>
    <w:uiPriority w:val="0"/>
    <w:pPr>
      <w:adjustRightInd/>
      <w:spacing w:line="400" w:lineRule="atLeast"/>
    </w:pPr>
    <w:rPr>
      <w:rFonts w:hAnsi="黑体"/>
      <w:kern w:val="2"/>
    </w:rPr>
  </w:style>
  <w:style w:type="paragraph" w:customStyle="1" w:styleId="521">
    <w:name w:val="reader-word-layer reader-word-s1-14"/>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2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23">
    <w:name w:val="正文11"/>
    <w:basedOn w:val="1"/>
    <w:autoRedefine/>
    <w:qFormat/>
    <w:uiPriority w:val="0"/>
    <w:pPr>
      <w:autoSpaceDE w:val="0"/>
      <w:autoSpaceDN w:val="0"/>
      <w:adjustRightInd w:val="0"/>
      <w:spacing w:before="120" w:line="360" w:lineRule="auto"/>
      <w:ind w:left="1366" w:hanging="686"/>
    </w:pPr>
    <w:rPr>
      <w:szCs w:val="20"/>
    </w:rPr>
  </w:style>
  <w:style w:type="paragraph" w:customStyle="1" w:styleId="524">
    <w:name w:val="Char Char Char Char Char Char Char Char Char Char Char Char Char11"/>
    <w:basedOn w:val="1"/>
    <w:autoRedefine/>
    <w:qFormat/>
    <w:uiPriority w:val="0"/>
    <w:rPr>
      <w:rFonts w:ascii="仿宋_GB2312" w:eastAsia="仿宋_GB2312"/>
      <w:b/>
      <w:sz w:val="32"/>
      <w:szCs w:val="32"/>
    </w:rPr>
  </w:style>
  <w:style w:type="paragraph" w:customStyle="1" w:styleId="525">
    <w:name w:val="Char1"/>
    <w:basedOn w:val="1"/>
    <w:autoRedefine/>
    <w:qFormat/>
    <w:uiPriority w:val="0"/>
  </w:style>
  <w:style w:type="paragraph" w:customStyle="1" w:styleId="526">
    <w:name w:val="CM44"/>
    <w:basedOn w:val="383"/>
    <w:next w:val="383"/>
    <w:autoRedefine/>
    <w:qFormat/>
    <w:uiPriority w:val="0"/>
    <w:pPr>
      <w:adjustRightInd/>
      <w:spacing w:line="400" w:lineRule="atLeast"/>
    </w:pPr>
    <w:rPr>
      <w:rFonts w:hAnsi="黑体"/>
      <w:kern w:val="2"/>
    </w:rPr>
  </w:style>
  <w:style w:type="paragraph" w:customStyle="1" w:styleId="527">
    <w:name w:val="格式4"/>
    <w:basedOn w:val="1"/>
    <w:autoRedefine/>
    <w:qFormat/>
    <w:uiPriority w:val="0"/>
    <w:pPr>
      <w:spacing w:line="420" w:lineRule="exact"/>
      <w:ind w:left="990" w:leftChars="300" w:hanging="360" w:hangingChars="150"/>
    </w:pPr>
    <w:rPr>
      <w:rFonts w:ascii="宋体" w:hAnsi="宋体"/>
      <w:color w:val="000000"/>
      <w:sz w:val="24"/>
      <w:szCs w:val="20"/>
    </w:rPr>
  </w:style>
  <w:style w:type="paragraph" w:customStyle="1" w:styleId="52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529">
    <w:name w:val="reader-word-layer reader-word-s1-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30">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31">
    <w:name w:val="默认段落字体 Para Char Char Char Char Char Char Char Char Char Char"/>
    <w:basedOn w:val="1"/>
    <w:autoRedefine/>
    <w:qFormat/>
    <w:uiPriority w:val="0"/>
  </w:style>
  <w:style w:type="paragraph" w:customStyle="1" w:styleId="532">
    <w:name w:val="Char61"/>
    <w:basedOn w:val="1"/>
    <w:autoRedefine/>
    <w:qFormat/>
    <w:uiPriority w:val="0"/>
    <w:pPr>
      <w:widowControl/>
      <w:spacing w:after="160" w:line="240" w:lineRule="exact"/>
      <w:jc w:val="left"/>
    </w:pPr>
  </w:style>
  <w:style w:type="paragraph" w:customStyle="1" w:styleId="533">
    <w:name w:val="k 2级"/>
    <w:basedOn w:val="216"/>
    <w:next w:val="216"/>
    <w:autoRedefine/>
    <w:qFormat/>
    <w:uiPriority w:val="0"/>
    <w:pPr>
      <w:spacing w:line="240" w:lineRule="auto"/>
    </w:pPr>
    <w:rPr>
      <w:rFonts w:ascii="Times New Roman" w:hAnsi="Times New Roman"/>
      <w:kern w:val="2"/>
      <w:sz w:val="21"/>
      <w:szCs w:val="20"/>
    </w:rPr>
  </w:style>
  <w:style w:type="paragraph" w:customStyle="1" w:styleId="534">
    <w:name w:val="修改为"/>
    <w:basedOn w:val="1"/>
    <w:autoRedefine/>
    <w:qFormat/>
    <w:uiPriority w:val="0"/>
    <w:pPr>
      <w:autoSpaceDE w:val="0"/>
      <w:adjustRightInd w:val="0"/>
      <w:snapToGrid w:val="0"/>
      <w:spacing w:line="400" w:lineRule="exact"/>
      <w:textAlignment w:val="bottom"/>
    </w:pPr>
    <w:rPr>
      <w:rFonts w:ascii="宋体" w:hAnsi="宋体"/>
      <w:color w:val="000000"/>
      <w:sz w:val="24"/>
      <w:szCs w:val="21"/>
    </w:rPr>
  </w:style>
  <w:style w:type="paragraph" w:customStyle="1" w:styleId="535">
    <w:name w:val="CM8"/>
    <w:basedOn w:val="383"/>
    <w:next w:val="383"/>
    <w:autoRedefine/>
    <w:qFormat/>
    <w:uiPriority w:val="0"/>
    <w:pPr>
      <w:adjustRightInd/>
      <w:spacing w:line="400" w:lineRule="atLeast"/>
    </w:pPr>
    <w:rPr>
      <w:rFonts w:hAnsi="黑体"/>
      <w:kern w:val="2"/>
    </w:rPr>
  </w:style>
  <w:style w:type="paragraph" w:customStyle="1" w:styleId="536">
    <w:name w:val="font5"/>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537">
    <w:name w:val="样式 宋体 小四 首行缩进:  0.99 厘米 行距: 固定值 30 磅"/>
    <w:basedOn w:val="1"/>
    <w:autoRedefine/>
    <w:qFormat/>
    <w:uiPriority w:val="0"/>
    <w:pPr>
      <w:spacing w:line="600" w:lineRule="exact"/>
      <w:ind w:firstLine="560"/>
    </w:pPr>
    <w:rPr>
      <w:rFonts w:ascii="宋体" w:hAnsi="宋体" w:cs="宋体"/>
      <w:sz w:val="28"/>
      <w:szCs w:val="20"/>
    </w:rPr>
  </w:style>
  <w:style w:type="paragraph" w:customStyle="1" w:styleId="538">
    <w:name w:val="blockquote"/>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539">
    <w:name w:val="样式 标题 2 + 首行缩进:  2 字符 段前: 1 行 段后: 0.5 行"/>
    <w:basedOn w:val="3"/>
    <w:autoRedefine/>
    <w:qFormat/>
    <w:uiPriority w:val="0"/>
    <w:pPr>
      <w:snapToGrid w:val="0"/>
      <w:spacing w:before="312" w:beforeLines="100" w:after="156" w:afterLines="50" w:line="336" w:lineRule="auto"/>
    </w:pPr>
    <w:rPr>
      <w:rFonts w:ascii="Arial" w:hAnsi="Arial" w:eastAsia="黑体" w:cs="宋体"/>
      <w:kern w:val="2"/>
      <w:sz w:val="28"/>
      <w:szCs w:val="20"/>
    </w:rPr>
  </w:style>
  <w:style w:type="paragraph" w:customStyle="1" w:styleId="540">
    <w:name w:val="reader-word-layer reader-word-s1-1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41">
    <w:name w:val="k 1级"/>
    <w:basedOn w:val="216"/>
    <w:next w:val="216"/>
    <w:autoRedefine/>
    <w:qFormat/>
    <w:uiPriority w:val="0"/>
    <w:pPr>
      <w:spacing w:line="240" w:lineRule="auto"/>
    </w:pPr>
    <w:rPr>
      <w:rFonts w:ascii="Times New Roman" w:hAnsi="Times New Roman"/>
      <w:kern w:val="2"/>
      <w:sz w:val="21"/>
      <w:szCs w:val="20"/>
    </w:rPr>
  </w:style>
  <w:style w:type="paragraph" w:customStyle="1" w:styleId="542">
    <w:name w:val="格式３"/>
    <w:basedOn w:val="1"/>
    <w:autoRedefine/>
    <w:qFormat/>
    <w:uiPriority w:val="0"/>
    <w:pPr>
      <w:spacing w:line="420" w:lineRule="exact"/>
      <w:ind w:left="600" w:hanging="600" w:hangingChars="250"/>
    </w:pPr>
    <w:rPr>
      <w:rFonts w:ascii="宋体" w:hAnsi="宋体"/>
      <w:color w:val="000000"/>
      <w:sz w:val="24"/>
      <w:szCs w:val="20"/>
    </w:rPr>
  </w:style>
  <w:style w:type="paragraph" w:customStyle="1" w:styleId="54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宋体"/>
      <w:kern w:val="0"/>
      <w:sz w:val="20"/>
      <w:szCs w:val="20"/>
    </w:rPr>
  </w:style>
  <w:style w:type="paragraph" w:customStyle="1" w:styleId="544">
    <w:name w:val="3"/>
    <w:basedOn w:val="1"/>
    <w:autoRedefine/>
    <w:qFormat/>
    <w:uiPriority w:val="0"/>
    <w:pPr>
      <w:spacing w:before="100" w:line="360" w:lineRule="auto"/>
      <w:ind w:firstLine="454"/>
    </w:pPr>
    <w:rPr>
      <w:rFonts w:ascii="宋体"/>
      <w:b/>
      <w:szCs w:val="20"/>
    </w:rPr>
  </w:style>
  <w:style w:type="paragraph" w:customStyle="1" w:styleId="545">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546">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4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548">
    <w:name w:val=".."/>
    <w:basedOn w:val="383"/>
    <w:next w:val="383"/>
    <w:autoRedefine/>
    <w:qFormat/>
    <w:uiPriority w:val="0"/>
    <w:rPr>
      <w:rFonts w:ascii="宋体" w:eastAsia="宋体" w:cs="Times New Roman"/>
      <w:color w:val="auto"/>
    </w:rPr>
  </w:style>
  <w:style w:type="paragraph" w:customStyle="1" w:styleId="549">
    <w:name w:val="无间隔1"/>
    <w:basedOn w:val="1"/>
    <w:autoRedefine/>
    <w:qFormat/>
    <w:uiPriority w:val="99"/>
    <w:pPr>
      <w:spacing w:beforeLines="50"/>
      <w:jc w:val="center"/>
    </w:pPr>
    <w:rPr>
      <w:rFonts w:eastAsia="仿宋_GB2312"/>
      <w:sz w:val="28"/>
      <w:szCs w:val="28"/>
    </w:rPr>
  </w:style>
  <w:style w:type="paragraph" w:customStyle="1" w:styleId="550">
    <w:name w:val="样式 正文首行缩进 + 首行缩进:  1 字符"/>
    <w:basedOn w:val="73"/>
    <w:autoRedefine/>
    <w:qFormat/>
    <w:uiPriority w:val="0"/>
    <w:pPr>
      <w:adjustRightInd w:val="0"/>
      <w:spacing w:after="0" w:line="360" w:lineRule="auto"/>
      <w:ind w:firstLine="100" w:firstLineChars="200"/>
      <w:textAlignment w:val="baseline"/>
    </w:pPr>
    <w:rPr>
      <w:rFonts w:cs="宋体"/>
      <w:sz w:val="24"/>
      <w:szCs w:val="20"/>
    </w:rPr>
  </w:style>
  <w:style w:type="paragraph" w:customStyle="1" w:styleId="551">
    <w:name w:val="2"/>
    <w:basedOn w:val="1"/>
    <w:autoRedefine/>
    <w:qFormat/>
    <w:uiPriority w:val="0"/>
    <w:pPr>
      <w:adjustRightInd w:val="0"/>
      <w:spacing w:line="420" w:lineRule="atLeast"/>
      <w:ind w:left="1134" w:hanging="227"/>
      <w:textAlignment w:val="baseline"/>
    </w:pPr>
    <w:rPr>
      <w:kern w:val="0"/>
      <w:szCs w:val="20"/>
    </w:rPr>
  </w:style>
  <w:style w:type="paragraph" w:customStyle="1" w:styleId="552">
    <w:name w:val="reader-word-layer reader-word-s1-8"/>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3">
    <w:name w:val="xl9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4">
    <w:name w:val="a6"/>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555">
    <w:name w:val="CM26"/>
    <w:basedOn w:val="383"/>
    <w:next w:val="383"/>
    <w:autoRedefine/>
    <w:qFormat/>
    <w:uiPriority w:val="0"/>
    <w:pPr>
      <w:adjustRightInd/>
      <w:spacing w:line="400" w:lineRule="atLeast"/>
    </w:pPr>
    <w:rPr>
      <w:rFonts w:hAnsi="黑体"/>
      <w:kern w:val="2"/>
    </w:rPr>
  </w:style>
  <w:style w:type="paragraph" w:customStyle="1" w:styleId="556">
    <w:name w:val="TOC 标题11"/>
    <w:basedOn w:val="2"/>
    <w:next w:val="1"/>
    <w:autoRedefine/>
    <w:unhideWhenUsed/>
    <w:qFormat/>
    <w:uiPriority w:val="0"/>
    <w:pPr>
      <w:widowControl/>
      <w:spacing w:before="480" w:line="276" w:lineRule="auto"/>
      <w:jc w:val="left"/>
      <w:outlineLvl w:val="9"/>
    </w:pPr>
    <w:rPr>
      <w:rFonts w:ascii="Cambria" w:hAnsi="Cambria"/>
      <w:color w:val="366091"/>
      <w:kern w:val="0"/>
      <w:sz w:val="28"/>
      <w:szCs w:val="28"/>
    </w:rPr>
  </w:style>
  <w:style w:type="paragraph" w:customStyle="1" w:styleId="557">
    <w:name w:val="xl34"/>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color w:val="000000"/>
      <w:kern w:val="0"/>
      <w:sz w:val="18"/>
      <w:szCs w:val="18"/>
    </w:rPr>
  </w:style>
  <w:style w:type="paragraph" w:customStyle="1" w:styleId="55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559">
    <w:name w:val="CM27"/>
    <w:basedOn w:val="383"/>
    <w:next w:val="383"/>
    <w:autoRedefine/>
    <w:qFormat/>
    <w:uiPriority w:val="0"/>
    <w:pPr>
      <w:adjustRightInd/>
      <w:spacing w:line="400" w:lineRule="atLeast"/>
    </w:pPr>
    <w:rPr>
      <w:rFonts w:hAnsi="黑体"/>
      <w:kern w:val="2"/>
    </w:rPr>
  </w:style>
  <w:style w:type="paragraph" w:customStyle="1" w:styleId="560">
    <w:name w:val="Char Char Char1 Char Char Char Char Char Char Char Char Char Char Char Char Char Char Char Char Char Char Char11"/>
    <w:basedOn w:val="1"/>
    <w:autoRedefine/>
    <w:qFormat/>
    <w:uiPriority w:val="0"/>
    <w:rPr>
      <w:szCs w:val="21"/>
    </w:rPr>
  </w:style>
  <w:style w:type="paragraph" w:customStyle="1" w:styleId="561">
    <w:name w:val="样式 (符号) Times New Roman 小四 非加粗 行距: 1.5 倍行距"/>
    <w:basedOn w:val="1"/>
    <w:next w:val="35"/>
    <w:autoRedefine/>
    <w:qFormat/>
    <w:uiPriority w:val="0"/>
    <w:pPr>
      <w:widowControl/>
      <w:spacing w:line="360" w:lineRule="auto"/>
      <w:ind w:firstLine="480" w:firstLineChars="200"/>
      <w:jc w:val="left"/>
    </w:pPr>
    <w:rPr>
      <w:rFonts w:ascii="楷体_GB2312" w:hAnsi="Calibri" w:eastAsia="楷体_GB2312"/>
      <w:kern w:val="21"/>
      <w:sz w:val="24"/>
      <w:szCs w:val="20"/>
      <w:lang w:eastAsia="en-US"/>
    </w:rPr>
  </w:style>
  <w:style w:type="paragraph" w:customStyle="1" w:styleId="562">
    <w:name w:val="CM6"/>
    <w:basedOn w:val="383"/>
    <w:next w:val="383"/>
    <w:autoRedefine/>
    <w:qFormat/>
    <w:uiPriority w:val="0"/>
    <w:pPr>
      <w:adjustRightInd/>
      <w:spacing w:line="400" w:lineRule="atLeast"/>
    </w:pPr>
    <w:rPr>
      <w:rFonts w:hAnsi="黑体"/>
      <w:kern w:val="2"/>
    </w:rPr>
  </w:style>
  <w:style w:type="paragraph" w:styleId="563">
    <w:name w:val="List Paragraph"/>
    <w:basedOn w:val="1"/>
    <w:autoRedefine/>
    <w:qFormat/>
    <w:uiPriority w:val="34"/>
    <w:pPr>
      <w:ind w:firstLine="420" w:firstLineChars="200"/>
    </w:pPr>
  </w:style>
  <w:style w:type="paragraph" w:customStyle="1" w:styleId="564">
    <w:name w:val="reader-word-layer reader-word-s1-1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566">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67">
    <w:name w:val="font7"/>
    <w:basedOn w:val="1"/>
    <w:autoRedefine/>
    <w:qFormat/>
    <w:uiPriority w:val="0"/>
    <w:pPr>
      <w:widowControl/>
      <w:spacing w:before="100" w:beforeAutospacing="1" w:after="100" w:afterAutospacing="1"/>
      <w:jc w:val="left"/>
    </w:pPr>
    <w:rPr>
      <w:kern w:val="0"/>
      <w:sz w:val="24"/>
    </w:rPr>
  </w:style>
  <w:style w:type="paragraph" w:customStyle="1" w:styleId="568">
    <w:name w:val="图片标题3"/>
    <w:basedOn w:val="1"/>
    <w:autoRedefine/>
    <w:qFormat/>
    <w:uiPriority w:val="0"/>
    <w:pPr>
      <w:shd w:val="clear" w:color="000000" w:fill="FFFFFF"/>
      <w:spacing w:line="240" w:lineRule="atLeast"/>
      <w:jc w:val="left"/>
    </w:pPr>
    <w:rPr>
      <w:rFonts w:ascii="MingLiUfalt" w:hAnsi="MingLiUfalt" w:eastAsia="MingLiU" w:cs="MingLiU"/>
      <w:kern w:val="1"/>
      <w:sz w:val="26"/>
      <w:szCs w:val="26"/>
    </w:rPr>
  </w:style>
  <w:style w:type="paragraph" w:customStyle="1" w:styleId="569">
    <w:name w:val="_Style 2"/>
    <w:basedOn w:val="1"/>
    <w:next w:val="1"/>
    <w:autoRedefine/>
    <w:qFormat/>
    <w:uiPriority w:val="0"/>
    <w:pPr>
      <w:jc w:val="center"/>
      <w:textAlignment w:val="center"/>
    </w:pPr>
  </w:style>
  <w:style w:type="paragraph" w:customStyle="1" w:styleId="570">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571">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572">
    <w:name w:val="格式1"/>
    <w:basedOn w:val="1"/>
    <w:autoRedefine/>
    <w:qFormat/>
    <w:uiPriority w:val="0"/>
    <w:pPr>
      <w:spacing w:before="156" w:beforeLines="50"/>
      <w:jc w:val="center"/>
    </w:pPr>
    <w:rPr>
      <w:rFonts w:ascii="黑体" w:hAnsi="宋体" w:eastAsia="黑体"/>
      <w:b/>
      <w:bCs/>
      <w:color w:val="000000"/>
      <w:sz w:val="32"/>
      <w:szCs w:val="20"/>
    </w:rPr>
  </w:style>
  <w:style w:type="paragraph" w:customStyle="1" w:styleId="573">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574">
    <w:name w:val="Char Char Char Char"/>
    <w:basedOn w:val="1"/>
    <w:autoRedefine/>
    <w:qFormat/>
    <w:uiPriority w:val="0"/>
    <w:pPr>
      <w:widowControl/>
      <w:spacing w:after="160" w:line="240" w:lineRule="exact"/>
      <w:jc w:val="left"/>
    </w:pPr>
    <w:rPr>
      <w:szCs w:val="20"/>
    </w:rPr>
  </w:style>
  <w:style w:type="paragraph" w:customStyle="1" w:styleId="575">
    <w:name w:val="Char12"/>
    <w:basedOn w:val="1"/>
    <w:autoRedefine/>
    <w:qFormat/>
    <w:uiPriority w:val="0"/>
    <w:rPr>
      <w:rFonts w:ascii="Calibri" w:hAnsi="Calibri"/>
      <w:szCs w:val="22"/>
    </w:rPr>
  </w:style>
  <w:style w:type="paragraph" w:customStyle="1" w:styleId="576">
    <w:name w:val="CM83"/>
    <w:basedOn w:val="383"/>
    <w:next w:val="383"/>
    <w:autoRedefine/>
    <w:qFormat/>
    <w:uiPriority w:val="0"/>
    <w:pPr>
      <w:adjustRightInd/>
      <w:spacing w:line="396" w:lineRule="atLeast"/>
    </w:pPr>
    <w:rPr>
      <w:rFonts w:hAnsi="黑体"/>
      <w:kern w:val="2"/>
    </w:rPr>
  </w:style>
  <w:style w:type="paragraph" w:customStyle="1" w:styleId="577">
    <w:name w:val="k 3级"/>
    <w:basedOn w:val="216"/>
    <w:next w:val="216"/>
    <w:autoRedefine/>
    <w:qFormat/>
    <w:uiPriority w:val="0"/>
    <w:pPr>
      <w:spacing w:line="240" w:lineRule="auto"/>
    </w:pPr>
    <w:rPr>
      <w:rFonts w:ascii="Times New Roman" w:hAnsi="Times New Roman"/>
      <w:kern w:val="2"/>
      <w:sz w:val="21"/>
      <w:szCs w:val="20"/>
    </w:rPr>
  </w:style>
  <w:style w:type="paragraph" w:customStyle="1" w:styleId="578">
    <w:name w:val="标题E"/>
    <w:basedOn w:val="1"/>
    <w:autoRedefine/>
    <w:qFormat/>
    <w:uiPriority w:val="0"/>
    <w:pPr>
      <w:widowControl/>
      <w:tabs>
        <w:tab w:val="left" w:pos="0"/>
      </w:tabs>
      <w:adjustRightInd w:val="0"/>
      <w:spacing w:line="360" w:lineRule="auto"/>
      <w:ind w:firstLine="200" w:firstLineChars="200"/>
      <w:jc w:val="left"/>
      <w:outlineLvl w:val="4"/>
    </w:pPr>
    <w:rPr>
      <w:rFonts w:cs="Plotter"/>
      <w:snapToGrid w:val="0"/>
      <w:kern w:val="0"/>
      <w:sz w:val="24"/>
      <w:szCs w:val="20"/>
    </w:rPr>
  </w:style>
  <w:style w:type="paragraph" w:customStyle="1" w:styleId="579">
    <w:name w:val="表格"/>
    <w:basedOn w:val="1"/>
    <w:autoRedefine/>
    <w:qFormat/>
    <w:uiPriority w:val="0"/>
    <w:pPr>
      <w:jc w:val="center"/>
      <w:textAlignment w:val="center"/>
    </w:pPr>
    <w:rPr>
      <w:rFonts w:ascii="华文细黑" w:hAnsi="华文细黑"/>
      <w:kern w:val="0"/>
      <w:szCs w:val="20"/>
    </w:rPr>
  </w:style>
  <w:style w:type="paragraph" w:customStyle="1" w:styleId="580">
    <w:name w:val="CM34"/>
    <w:basedOn w:val="383"/>
    <w:next w:val="383"/>
    <w:autoRedefine/>
    <w:qFormat/>
    <w:uiPriority w:val="0"/>
    <w:pPr>
      <w:adjustRightInd/>
      <w:spacing w:line="400" w:lineRule="atLeast"/>
    </w:pPr>
    <w:rPr>
      <w:rFonts w:hAnsi="黑体"/>
    </w:rPr>
  </w:style>
  <w:style w:type="paragraph" w:customStyle="1" w:styleId="581">
    <w:name w:val="Head 1.2"/>
    <w:basedOn w:val="1"/>
    <w:autoRedefine/>
    <w:qFormat/>
    <w:uiPriority w:val="0"/>
    <w:pPr>
      <w:keepNext/>
      <w:keepLines/>
      <w:spacing w:line="440" w:lineRule="exact"/>
      <w:ind w:left="-17"/>
      <w:jc w:val="center"/>
    </w:pPr>
    <w:rPr>
      <w:rFonts w:ascii="黑体" w:eastAsia="黑体"/>
      <w:sz w:val="44"/>
      <w:szCs w:val="30"/>
    </w:rPr>
  </w:style>
  <w:style w:type="paragraph" w:customStyle="1" w:styleId="582">
    <w:name w:val="CM87"/>
    <w:basedOn w:val="383"/>
    <w:next w:val="383"/>
    <w:autoRedefine/>
    <w:qFormat/>
    <w:uiPriority w:val="0"/>
    <w:pPr>
      <w:adjustRightInd/>
      <w:spacing w:line="400" w:lineRule="atLeast"/>
    </w:pPr>
    <w:rPr>
      <w:rFonts w:hAnsi="黑体"/>
      <w:kern w:val="2"/>
    </w:rPr>
  </w:style>
  <w:style w:type="paragraph" w:customStyle="1" w:styleId="583">
    <w:name w:val="Char Char Char Char Char Char Char Char Char Char Char Char Char Char Char Char Char Char1 Char Char Char Char2"/>
    <w:basedOn w:val="1"/>
    <w:autoRedefine/>
    <w:qFormat/>
    <w:uiPriority w:val="0"/>
    <w:rPr>
      <w:rFonts w:ascii="Calibri" w:hAnsi="Calibri"/>
      <w:szCs w:val="22"/>
    </w:rPr>
  </w:style>
  <w:style w:type="paragraph" w:customStyle="1" w:styleId="584">
    <w:name w:val="CM146"/>
    <w:basedOn w:val="383"/>
    <w:next w:val="383"/>
    <w:autoRedefine/>
    <w:qFormat/>
    <w:uiPriority w:val="0"/>
    <w:pPr>
      <w:adjustRightInd/>
    </w:pPr>
    <w:rPr>
      <w:rFonts w:hAnsi="黑体"/>
    </w:rPr>
  </w:style>
  <w:style w:type="paragraph" w:customStyle="1" w:styleId="585">
    <w:name w:val="1."/>
    <w:basedOn w:val="1"/>
    <w:autoRedefine/>
    <w:qFormat/>
    <w:uiPriority w:val="0"/>
    <w:pPr>
      <w:tabs>
        <w:tab w:val="left" w:pos="360"/>
        <w:tab w:val="left" w:pos="2040"/>
      </w:tabs>
      <w:spacing w:line="360" w:lineRule="auto"/>
      <w:ind w:firstLine="482"/>
    </w:pPr>
    <w:rPr>
      <w:sz w:val="28"/>
      <w:szCs w:val="20"/>
    </w:rPr>
  </w:style>
  <w:style w:type="paragraph" w:customStyle="1" w:styleId="586">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87">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8">
    <w:name w:val="zhw"/>
    <w:basedOn w:val="1"/>
    <w:autoRedefine/>
    <w:qFormat/>
    <w:uiPriority w:val="0"/>
    <w:pPr>
      <w:adjustRightInd w:val="0"/>
      <w:jc w:val="left"/>
      <w:textAlignment w:val="baseline"/>
    </w:pPr>
    <w:rPr>
      <w:rFonts w:ascii="Arial" w:hAnsi="Arial" w:eastAsia="Times New Roman"/>
      <w:sz w:val="24"/>
      <w:szCs w:val="20"/>
    </w:rPr>
  </w:style>
  <w:style w:type="paragraph" w:customStyle="1" w:styleId="589">
    <w:name w:val="CM3"/>
    <w:basedOn w:val="383"/>
    <w:next w:val="383"/>
    <w:autoRedefine/>
    <w:qFormat/>
    <w:uiPriority w:val="0"/>
    <w:pPr>
      <w:adjustRightInd/>
      <w:spacing w:line="400" w:lineRule="atLeast"/>
    </w:pPr>
    <w:rPr>
      <w:rFonts w:hAnsi="黑体"/>
      <w:kern w:val="2"/>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591">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2">
    <w:name w:val="reader-word-layer reader-word-s1-1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93">
    <w:name w:val="xl82"/>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594">
    <w:name w:val="Char Char Char Char1"/>
    <w:basedOn w:val="1"/>
    <w:autoRedefine/>
    <w:qFormat/>
    <w:uiPriority w:val="0"/>
    <w:pPr>
      <w:widowControl/>
      <w:spacing w:after="160" w:line="240" w:lineRule="exact"/>
      <w:jc w:val="left"/>
    </w:pPr>
    <w:rPr>
      <w:szCs w:val="20"/>
    </w:rPr>
  </w:style>
  <w:style w:type="paragraph" w:customStyle="1" w:styleId="595">
    <w:name w:val="正正文"/>
    <w:basedOn w:val="1"/>
    <w:autoRedefine/>
    <w:qFormat/>
    <w:uiPriority w:val="0"/>
    <w:pPr>
      <w:spacing w:line="360" w:lineRule="auto"/>
      <w:ind w:firstLine="480" w:firstLineChars="200"/>
    </w:pPr>
    <w:rPr>
      <w:rFonts w:ascii="宋体" w:hAnsi="宋体"/>
      <w:kern w:val="0"/>
      <w:sz w:val="24"/>
    </w:rPr>
  </w:style>
  <w:style w:type="paragraph" w:customStyle="1" w:styleId="596">
    <w:name w:val="正文文本 22"/>
    <w:basedOn w:val="1"/>
    <w:autoRedefine/>
    <w:qFormat/>
    <w:uiPriority w:val="0"/>
    <w:pPr>
      <w:adjustRightInd w:val="0"/>
      <w:spacing w:line="312" w:lineRule="atLeast"/>
      <w:jc w:val="center"/>
      <w:textAlignment w:val="baseline"/>
    </w:pPr>
    <w:rPr>
      <w:rFonts w:ascii="宋体" w:hAnsi="Garamond"/>
      <w:kern w:val="16"/>
      <w:szCs w:val="20"/>
    </w:rPr>
  </w:style>
  <w:style w:type="paragraph" w:customStyle="1" w:styleId="597">
    <w:name w:val="..1"/>
    <w:basedOn w:val="383"/>
    <w:next w:val="383"/>
    <w:autoRedefine/>
    <w:qFormat/>
    <w:uiPriority w:val="0"/>
    <w:rPr>
      <w:rFonts w:ascii="新宋体" w:eastAsia="新宋体" w:cs="Times New Roman"/>
      <w:color w:val="auto"/>
    </w:rPr>
  </w:style>
  <w:style w:type="paragraph" w:customStyle="1" w:styleId="598">
    <w:name w:val="font17"/>
    <w:basedOn w:val="1"/>
    <w:autoRedefine/>
    <w:qFormat/>
    <w:uiPriority w:val="0"/>
    <w:pPr>
      <w:widowControl/>
      <w:spacing w:before="100" w:beforeAutospacing="1" w:after="100" w:afterAutospacing="1"/>
      <w:jc w:val="left"/>
    </w:pPr>
    <w:rPr>
      <w:color w:val="000000"/>
      <w:kern w:val="0"/>
      <w:sz w:val="20"/>
      <w:szCs w:val="20"/>
    </w:rPr>
  </w:style>
  <w:style w:type="paragraph" w:customStyle="1" w:styleId="599">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0">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1">
    <w:name w:val="xl8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602">
    <w:name w:val="font15"/>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603">
    <w:name w:val="xl97"/>
    <w:basedOn w:val="1"/>
    <w:autoRedefine/>
    <w:qFormat/>
    <w:uiPriority w:val="0"/>
    <w:pPr>
      <w:widowControl/>
      <w:pBdr>
        <w:left w:val="single" w:color="auto" w:sz="4" w:space="0"/>
        <w:right w:val="single" w:color="auto" w:sz="8" w:space="0"/>
      </w:pBdr>
      <w:spacing w:before="100" w:beforeAutospacing="1" w:after="100" w:afterAutospacing="1"/>
      <w:jc w:val="left"/>
    </w:pPr>
    <w:rPr>
      <w:kern w:val="0"/>
      <w:sz w:val="20"/>
      <w:szCs w:val="20"/>
    </w:rPr>
  </w:style>
  <w:style w:type="paragraph" w:customStyle="1" w:styleId="604">
    <w:name w:val="Char Char Char Char Char Char Char Char Char Char Char Char Char Char Char Char Char Char Char2"/>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05">
    <w:name w:val="Table Paragraph"/>
    <w:basedOn w:val="1"/>
    <w:autoRedefine/>
    <w:qFormat/>
    <w:uiPriority w:val="1"/>
    <w:rPr>
      <w:rFonts w:ascii="宋体" w:hAnsi="宋体" w:cs="宋体"/>
      <w:szCs w:val="21"/>
    </w:rPr>
  </w:style>
  <w:style w:type="paragraph" w:customStyle="1" w:styleId="606">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07">
    <w:name w:val="正文文本 311"/>
    <w:basedOn w:val="29"/>
    <w:autoRedefine/>
    <w:qFormat/>
    <w:uiPriority w:val="0"/>
    <w:pPr>
      <w:autoSpaceDE w:val="0"/>
      <w:autoSpaceDN w:val="0"/>
      <w:adjustRightInd w:val="0"/>
      <w:ind w:left="360" w:leftChars="0"/>
      <w:jc w:val="left"/>
      <w:textAlignment w:val="baseline"/>
    </w:pPr>
    <w:rPr>
      <w:rFonts w:ascii="Calibri" w:hAnsi="Calibri"/>
      <w:szCs w:val="20"/>
    </w:rPr>
  </w:style>
  <w:style w:type="paragraph" w:customStyle="1" w:styleId="608">
    <w:name w:val="一级标题"/>
    <w:basedOn w:val="1"/>
    <w:autoRedefine/>
    <w:qFormat/>
    <w:uiPriority w:val="0"/>
    <w:pPr>
      <w:spacing w:before="156" w:beforeLines="50" w:after="156" w:afterLines="50" w:line="360" w:lineRule="auto"/>
      <w:jc w:val="left"/>
    </w:pPr>
    <w:rPr>
      <w:rFonts w:ascii="黑体" w:hAnsi="Arial" w:eastAsia="黑体" w:cs="Arial"/>
      <w:bCs/>
      <w:sz w:val="24"/>
      <w:lang w:val="en-GB"/>
    </w:rPr>
  </w:style>
  <w:style w:type="paragraph" w:customStyle="1" w:styleId="609">
    <w:name w:val="默认段落字体 Para Char Char Char Char"/>
    <w:basedOn w:val="1"/>
    <w:autoRedefine/>
    <w:qFormat/>
    <w:uiPriority w:val="0"/>
  </w:style>
  <w:style w:type="paragraph" w:customStyle="1" w:styleId="610">
    <w:name w:val="Char Char Char Char Char Char Char Char Char Char Char Char Char1"/>
    <w:basedOn w:val="1"/>
    <w:autoRedefine/>
    <w:qFormat/>
    <w:uiPriority w:val="0"/>
    <w:rPr>
      <w:rFonts w:ascii="仿宋_GB2312" w:eastAsia="仿宋_GB2312"/>
      <w:b/>
      <w:sz w:val="32"/>
      <w:szCs w:val="32"/>
    </w:rPr>
  </w:style>
  <w:style w:type="paragraph" w:customStyle="1" w:styleId="611">
    <w:name w:val="p17"/>
    <w:basedOn w:val="1"/>
    <w:autoRedefine/>
    <w:qFormat/>
    <w:uiPriority w:val="0"/>
    <w:pPr>
      <w:widowControl/>
    </w:pPr>
    <w:rPr>
      <w:rFonts w:ascii="宋体" w:hAnsi="宋体" w:cs="宋体"/>
      <w:kern w:val="0"/>
      <w:szCs w:val="21"/>
    </w:rPr>
  </w:style>
  <w:style w:type="paragraph" w:customStyle="1" w:styleId="612">
    <w:name w:val="Normal_1"/>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613">
    <w:name w:val="Char21"/>
    <w:basedOn w:val="1"/>
    <w:autoRedefine/>
    <w:qFormat/>
    <w:uiPriority w:val="0"/>
  </w:style>
  <w:style w:type="paragraph" w:customStyle="1" w:styleId="614">
    <w:name w:val="与专用条款2"/>
    <w:basedOn w:val="1"/>
    <w:autoRedefine/>
    <w:qFormat/>
    <w:uiPriority w:val="0"/>
    <w:pPr>
      <w:spacing w:line="300" w:lineRule="auto"/>
      <w:ind w:left="567"/>
      <w:jc w:val="left"/>
    </w:pPr>
    <w:rPr>
      <w:rFonts w:ascii="Calibri" w:hAnsi="Calibri"/>
      <w:szCs w:val="22"/>
    </w:rPr>
  </w:style>
  <w:style w:type="paragraph" w:customStyle="1" w:styleId="615">
    <w:name w:val="表内文字"/>
    <w:basedOn w:val="1"/>
    <w:autoRedefine/>
    <w:qFormat/>
    <w:uiPriority w:val="0"/>
    <w:pPr>
      <w:snapToGrid w:val="0"/>
    </w:pPr>
    <w:rPr>
      <w:rFonts w:ascii="Tahoma" w:hAnsi="Tahoma" w:cs="Tahoma"/>
      <w:szCs w:val="21"/>
    </w:rPr>
  </w:style>
  <w:style w:type="paragraph" w:customStyle="1" w:styleId="616">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17">
    <w:name w:val="列表段落1"/>
    <w:basedOn w:val="1"/>
    <w:autoRedefine/>
    <w:qFormat/>
    <w:uiPriority w:val="0"/>
    <w:pPr>
      <w:ind w:firstLine="420" w:firstLineChars="200"/>
    </w:pPr>
  </w:style>
  <w:style w:type="paragraph" w:customStyle="1" w:styleId="618">
    <w:name w:val="xl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619">
    <w:name w:val="Char Char Char Char2"/>
    <w:basedOn w:val="1"/>
    <w:autoRedefine/>
    <w:qFormat/>
    <w:uiPriority w:val="0"/>
    <w:rPr>
      <w:szCs w:val="20"/>
    </w:rPr>
  </w:style>
  <w:style w:type="paragraph" w:customStyle="1" w:styleId="620">
    <w:name w:val="CM60"/>
    <w:basedOn w:val="383"/>
    <w:next w:val="383"/>
    <w:autoRedefine/>
    <w:qFormat/>
    <w:uiPriority w:val="0"/>
    <w:pPr>
      <w:adjustRightInd/>
      <w:spacing w:line="400" w:lineRule="atLeast"/>
    </w:pPr>
    <w:rPr>
      <w:rFonts w:hAnsi="黑体"/>
      <w:kern w:val="2"/>
    </w:rPr>
  </w:style>
  <w:style w:type="paragraph" w:customStyle="1" w:styleId="621">
    <w:name w:val="w正文"/>
    <w:basedOn w:val="1"/>
    <w:autoRedefine/>
    <w:qFormat/>
    <w:uiPriority w:val="0"/>
    <w:pPr>
      <w:spacing w:line="360" w:lineRule="auto"/>
      <w:ind w:firstLine="496" w:firstLineChars="200"/>
    </w:pPr>
    <w:rPr>
      <w:spacing w:val="4"/>
      <w:sz w:val="24"/>
      <w:szCs w:val="20"/>
    </w:rPr>
  </w:style>
  <w:style w:type="paragraph" w:customStyle="1" w:styleId="622">
    <w:name w:val="xl8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623">
    <w:name w:val="格式3"/>
    <w:basedOn w:val="1"/>
    <w:autoRedefine/>
    <w:qFormat/>
    <w:uiPriority w:val="0"/>
    <w:pPr>
      <w:tabs>
        <w:tab w:val="left" w:pos="1260"/>
      </w:tabs>
      <w:adjustRightInd w:val="0"/>
      <w:snapToGrid w:val="0"/>
      <w:spacing w:before="46" w:beforeLines="15" w:after="46" w:afterLines="15" w:line="440" w:lineRule="exact"/>
      <w:ind w:left="1260" w:hanging="420"/>
    </w:pPr>
    <w:rPr>
      <w:color w:val="0000FF"/>
      <w:sz w:val="24"/>
      <w:szCs w:val="20"/>
    </w:rPr>
  </w:style>
  <w:style w:type="paragraph" w:customStyle="1" w:styleId="624">
    <w:name w:val="样式 标题 1 + 首行缩进:  2 字符 段前: 1 行 段后: 1 行"/>
    <w:basedOn w:val="2"/>
    <w:autoRedefine/>
    <w:qFormat/>
    <w:uiPriority w:val="0"/>
    <w:pPr>
      <w:snapToGrid w:val="0"/>
      <w:spacing w:before="312" w:beforeLines="100" w:after="312" w:afterLines="100" w:line="336" w:lineRule="auto"/>
      <w:jc w:val="center"/>
    </w:pPr>
    <w:rPr>
      <w:rFonts w:ascii="Arial" w:hAnsi="Arial" w:eastAsia="黑体" w:cs="宋体"/>
      <w:sz w:val="30"/>
      <w:szCs w:val="20"/>
    </w:rPr>
  </w:style>
  <w:style w:type="paragraph" w:customStyle="1" w:styleId="625">
    <w:name w:val="1"/>
    <w:basedOn w:val="1"/>
    <w:next w:val="1"/>
    <w:autoRedefine/>
    <w:qFormat/>
    <w:uiPriority w:val="0"/>
  </w:style>
  <w:style w:type="paragraph" w:customStyle="1" w:styleId="626">
    <w:name w:val="font16"/>
    <w:basedOn w:val="1"/>
    <w:autoRedefine/>
    <w:qFormat/>
    <w:uiPriority w:val="0"/>
    <w:pPr>
      <w:widowControl/>
      <w:spacing w:before="100" w:beforeAutospacing="1" w:after="100" w:afterAutospacing="1"/>
      <w:jc w:val="left"/>
    </w:pPr>
    <w:rPr>
      <w:color w:val="FF0000"/>
      <w:kern w:val="0"/>
      <w:sz w:val="20"/>
      <w:szCs w:val="20"/>
    </w:rPr>
  </w:style>
  <w:style w:type="paragraph" w:customStyle="1" w:styleId="627">
    <w:name w:val="xl46"/>
    <w:basedOn w:val="1"/>
    <w:autoRedefine/>
    <w:qFormat/>
    <w:uiPriority w:val="0"/>
    <w:pPr>
      <w:widowControl/>
      <w:spacing w:before="100" w:beforeAutospacing="1" w:after="100" w:afterAutospacing="1"/>
      <w:jc w:val="right"/>
      <w:textAlignment w:val="center"/>
    </w:pPr>
    <w:rPr>
      <w:rFonts w:ascii="Arial Unicode MS" w:hAnsi="Arial Unicode MS" w:eastAsia="Arial Unicode MS" w:cs="Arial Unicode MS"/>
      <w:kern w:val="0"/>
      <w:sz w:val="20"/>
      <w:szCs w:val="20"/>
    </w:rPr>
  </w:style>
  <w:style w:type="paragraph" w:customStyle="1" w:styleId="628">
    <w:name w:val="k 6级"/>
    <w:basedOn w:val="216"/>
    <w:next w:val="216"/>
    <w:autoRedefine/>
    <w:semiHidden/>
    <w:qFormat/>
    <w:uiPriority w:val="0"/>
    <w:pPr>
      <w:spacing w:line="240" w:lineRule="auto"/>
      <w:outlineLvl w:val="5"/>
    </w:pPr>
    <w:rPr>
      <w:rFonts w:ascii="Times New Roman" w:hAnsi="Times New Roman"/>
      <w:kern w:val="2"/>
      <w:sz w:val="21"/>
      <w:szCs w:val="20"/>
    </w:rPr>
  </w:style>
  <w:style w:type="paragraph" w:customStyle="1" w:styleId="629">
    <w:name w:val="表格3"/>
    <w:basedOn w:val="1"/>
    <w:autoRedefine/>
    <w:qFormat/>
    <w:uiPriority w:val="0"/>
    <w:pPr>
      <w:adjustRightInd w:val="0"/>
      <w:spacing w:line="420" w:lineRule="atLeast"/>
      <w:textAlignment w:val="baseline"/>
    </w:pPr>
    <w:rPr>
      <w:rFonts w:eastAsia="楷体"/>
      <w:kern w:val="0"/>
      <w:szCs w:val="20"/>
    </w:rPr>
  </w:style>
  <w:style w:type="paragraph" w:customStyle="1" w:styleId="630">
    <w:name w:val="正文列表"/>
    <w:autoRedefine/>
    <w:qFormat/>
    <w:uiPriority w:val="0"/>
    <w:pPr>
      <w:widowControl w:val="0"/>
      <w:spacing w:line="360" w:lineRule="auto"/>
      <w:ind w:firstLine="540" w:firstLineChars="225"/>
      <w:jc w:val="both"/>
    </w:pPr>
    <w:rPr>
      <w:rFonts w:ascii="宋体" w:hAnsi="宋体" w:eastAsia="宋体" w:cs="Times New Roman"/>
      <w:color w:val="000000"/>
      <w:kern w:val="2"/>
      <w:sz w:val="24"/>
      <w:szCs w:val="24"/>
      <w:lang w:val="en-US" w:eastAsia="zh-CN" w:bidi="ar-SA"/>
    </w:rPr>
  </w:style>
  <w:style w:type="paragraph" w:customStyle="1" w:styleId="631">
    <w:name w:val="标题一"/>
    <w:basedOn w:val="2"/>
    <w:autoRedefine/>
    <w:qFormat/>
    <w:uiPriority w:val="0"/>
    <w:pPr>
      <w:keepNext w:val="0"/>
      <w:adjustRightInd w:val="0"/>
      <w:snapToGrid w:val="0"/>
      <w:spacing w:before="4992" w:beforeLines="1600" w:line="240" w:lineRule="auto"/>
      <w:jc w:val="center"/>
    </w:pPr>
    <w:rPr>
      <w:rFonts w:ascii="黑体" w:eastAsia="黑体"/>
      <w:b w:val="0"/>
    </w:rPr>
  </w:style>
  <w:style w:type="paragraph" w:customStyle="1" w:styleId="632">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633">
    <w:name w:val="Char Char Char3"/>
    <w:basedOn w:val="1"/>
    <w:autoRedefine/>
    <w:qFormat/>
    <w:uiPriority w:val="0"/>
    <w:rPr>
      <w:rFonts w:ascii="Tahoma" w:hAnsi="Tahoma"/>
      <w:sz w:val="24"/>
      <w:szCs w:val="20"/>
    </w:rPr>
  </w:style>
  <w:style w:type="paragraph" w:customStyle="1" w:styleId="634">
    <w:name w:val="CM36"/>
    <w:basedOn w:val="383"/>
    <w:next w:val="383"/>
    <w:autoRedefine/>
    <w:qFormat/>
    <w:uiPriority w:val="0"/>
    <w:pPr>
      <w:adjustRightInd/>
      <w:spacing w:line="400" w:lineRule="atLeast"/>
    </w:pPr>
    <w:rPr>
      <w:rFonts w:hAnsi="黑体"/>
      <w:kern w:val="2"/>
    </w:rPr>
  </w:style>
  <w:style w:type="paragraph" w:customStyle="1" w:styleId="635">
    <w:name w:val="表格1"/>
    <w:basedOn w:val="1"/>
    <w:autoRedefine/>
    <w:qFormat/>
    <w:uiPriority w:val="0"/>
    <w:pPr>
      <w:adjustRightInd w:val="0"/>
      <w:spacing w:line="420" w:lineRule="atLeast"/>
      <w:ind w:left="284"/>
      <w:textAlignment w:val="baseline"/>
    </w:pPr>
    <w:rPr>
      <w:kern w:val="0"/>
      <w:szCs w:val="20"/>
    </w:rPr>
  </w:style>
  <w:style w:type="paragraph" w:customStyle="1" w:styleId="636">
    <w:name w:val="Char Char Char1 Char Char Char Char Char Char Char Char Char Char Char Char Char Char Char Char Char Char Char1"/>
    <w:basedOn w:val="1"/>
    <w:autoRedefine/>
    <w:qFormat/>
    <w:uiPriority w:val="0"/>
  </w:style>
  <w:style w:type="paragraph" w:customStyle="1" w:styleId="637">
    <w:name w:val="Char3"/>
    <w:basedOn w:val="1"/>
    <w:autoRedefine/>
    <w:qFormat/>
    <w:uiPriority w:val="0"/>
    <w:rPr>
      <w:szCs w:val="20"/>
    </w:rPr>
  </w:style>
  <w:style w:type="paragraph" w:customStyle="1" w:styleId="638">
    <w:name w:val="font10"/>
    <w:basedOn w:val="1"/>
    <w:autoRedefine/>
    <w:qFormat/>
    <w:uiPriority w:val="0"/>
    <w:pPr>
      <w:widowControl/>
      <w:spacing w:before="100" w:beforeAutospacing="1" w:after="100" w:afterAutospacing="1"/>
      <w:jc w:val="left"/>
    </w:pPr>
    <w:rPr>
      <w:color w:val="000000"/>
      <w:kern w:val="0"/>
      <w:szCs w:val="21"/>
    </w:rPr>
  </w:style>
  <w:style w:type="paragraph" w:customStyle="1" w:styleId="639">
    <w:name w:val="无间隔2"/>
    <w:autoRedefine/>
    <w:qFormat/>
    <w:uiPriority w:val="0"/>
    <w:rPr>
      <w:rFonts w:ascii="Times New Roman" w:hAnsi="Times New Roman" w:eastAsia="宋体" w:cs="Times New Roman"/>
      <w:sz w:val="22"/>
      <w:szCs w:val="22"/>
      <w:lang w:val="en-US" w:eastAsia="zh-CN" w:bidi="ar-SA"/>
    </w:rPr>
  </w:style>
  <w:style w:type="paragraph" w:customStyle="1" w:styleId="640">
    <w:name w:val="CM104"/>
    <w:basedOn w:val="383"/>
    <w:next w:val="383"/>
    <w:autoRedefine/>
    <w:qFormat/>
    <w:uiPriority w:val="0"/>
    <w:pPr>
      <w:adjustRightInd/>
      <w:spacing w:line="400" w:lineRule="atLeast"/>
    </w:pPr>
    <w:rPr>
      <w:rFonts w:hAnsi="黑体"/>
      <w:kern w:val="2"/>
    </w:rPr>
  </w:style>
  <w:style w:type="paragraph" w:customStyle="1" w:styleId="641">
    <w:name w:val="...."/>
    <w:basedOn w:val="383"/>
    <w:next w:val="383"/>
    <w:autoRedefine/>
    <w:qFormat/>
    <w:uiPriority w:val="0"/>
    <w:rPr>
      <w:rFonts w:ascii="宋体" w:eastAsia="宋体" w:cs="Times New Roman"/>
      <w:color w:val="auto"/>
    </w:rPr>
  </w:style>
  <w:style w:type="paragraph" w:customStyle="1" w:styleId="642">
    <w:name w:val="CM84"/>
    <w:basedOn w:val="383"/>
    <w:next w:val="383"/>
    <w:autoRedefine/>
    <w:qFormat/>
    <w:uiPriority w:val="0"/>
    <w:pPr>
      <w:adjustRightInd/>
      <w:spacing w:line="396" w:lineRule="atLeast"/>
    </w:pPr>
    <w:rPr>
      <w:rFonts w:hAnsi="黑体"/>
      <w:kern w:val="2"/>
    </w:rPr>
  </w:style>
  <w:style w:type="paragraph" w:customStyle="1" w:styleId="643">
    <w:name w:val="af15hichaf0dbchf15cgrid"/>
    <w:autoRedefine/>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paragraph" w:customStyle="1" w:styleId="644">
    <w:name w:val="k 图表标题"/>
    <w:basedOn w:val="1"/>
    <w:next w:val="1"/>
    <w:autoRedefine/>
    <w:qFormat/>
    <w:uiPriority w:val="0"/>
    <w:pPr>
      <w:spacing w:before="78" w:beforeLines="25" w:after="78" w:afterLines="25" w:line="360" w:lineRule="auto"/>
      <w:ind w:firstLine="200" w:firstLineChars="200"/>
      <w:jc w:val="center"/>
    </w:pPr>
    <w:rPr>
      <w:b/>
      <w:szCs w:val="20"/>
    </w:rPr>
  </w:style>
  <w:style w:type="paragraph" w:customStyle="1" w:styleId="645">
    <w:name w:val="简单回函地址"/>
    <w:basedOn w:val="1"/>
    <w:autoRedefine/>
    <w:qFormat/>
    <w:uiPriority w:val="0"/>
  </w:style>
  <w:style w:type="paragraph" w:customStyle="1" w:styleId="646">
    <w:name w:val="Char62"/>
    <w:basedOn w:val="1"/>
    <w:autoRedefine/>
    <w:qFormat/>
    <w:uiPriority w:val="0"/>
    <w:pPr>
      <w:widowControl/>
      <w:spacing w:after="160" w:line="240" w:lineRule="exact"/>
      <w:jc w:val="left"/>
    </w:pPr>
  </w:style>
  <w:style w:type="paragraph" w:customStyle="1" w:styleId="647">
    <w:name w:val="xl2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Cs w:val="21"/>
    </w:rPr>
  </w:style>
  <w:style w:type="paragraph" w:customStyle="1" w:styleId="648">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649">
    <w:name w:val="表文C"/>
    <w:basedOn w:val="1"/>
    <w:autoRedefine/>
    <w:qFormat/>
    <w:uiPriority w:val="0"/>
    <w:pPr>
      <w:widowControl/>
      <w:tabs>
        <w:tab w:val="left" w:pos="0"/>
      </w:tabs>
      <w:adjustRightInd w:val="0"/>
      <w:snapToGrid w:val="0"/>
      <w:jc w:val="center"/>
    </w:pPr>
    <w:rPr>
      <w:snapToGrid w:val="0"/>
      <w:kern w:val="0"/>
      <w:szCs w:val="20"/>
    </w:rPr>
  </w:style>
  <w:style w:type="table" w:customStyle="1" w:styleId="650">
    <w:name w:val="Table Normal"/>
    <w:autoRedefine/>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651">
    <w:name w:val="网格型1"/>
    <w:basedOn w:val="7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网格型2"/>
    <w:basedOn w:val="75"/>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53">
    <w:name w:val="Other|1"/>
    <w:basedOn w:val="1"/>
    <w:autoRedefine/>
    <w:qFormat/>
    <w:uiPriority w:val="0"/>
    <w:pPr>
      <w:widowControl w:val="0"/>
      <w:shd w:val="clear" w:color="auto" w:fill="auto"/>
    </w:pPr>
    <w:rPr>
      <w:b/>
      <w:bCs/>
      <w:sz w:val="16"/>
      <w:szCs w:val="16"/>
      <w:u w:val="none"/>
      <w:shd w:val="clear" w:color="auto" w:fill="auto"/>
      <w:lang w:val="zh-TW" w:eastAsia="zh-TW" w:bidi="zh-TW"/>
    </w:rPr>
  </w:style>
  <w:style w:type="character" w:customStyle="1" w:styleId="654">
    <w:name w:val="first-child1"/>
    <w:basedOn w:val="77"/>
    <w:qFormat/>
    <w:uiPriority w:val="0"/>
  </w:style>
  <w:style w:type="character" w:customStyle="1" w:styleId="655">
    <w:name w:val="pageall"/>
    <w:basedOn w:val="77"/>
    <w:qFormat/>
    <w:uiPriority w:val="0"/>
  </w:style>
  <w:style w:type="character" w:customStyle="1" w:styleId="656">
    <w:name w:val="curr"/>
    <w:basedOn w:val="77"/>
    <w:qFormat/>
    <w:uiPriority w:val="0"/>
    <w:rPr>
      <w:bdr w:val="single" w:color="FF6000" w:sz="6" w:space="0"/>
      <w:shd w:val="clear" w:fill="FF6000"/>
    </w:rPr>
  </w:style>
  <w:style w:type="character" w:customStyle="1" w:styleId="657">
    <w:name w:val="curr1"/>
    <w:basedOn w:val="77"/>
    <w:qFormat/>
    <w:uiPriority w:val="0"/>
    <w:rPr>
      <w:color w:val="FFFFFF"/>
      <w:bdr w:val="single" w:color="2E82FF" w:sz="6" w:space="0"/>
      <w:shd w:val="clear" w:fill="2E82FF"/>
    </w:rPr>
  </w:style>
  <w:style w:type="character" w:customStyle="1" w:styleId="658">
    <w:name w:val="curr2"/>
    <w:basedOn w:val="77"/>
    <w:qFormat/>
    <w:uiPriority w:val="0"/>
    <w:rPr>
      <w:color w:val="FFFFFF"/>
    </w:rPr>
  </w:style>
  <w:style w:type="character" w:customStyle="1" w:styleId="659">
    <w:name w:val="curr3"/>
    <w:basedOn w:val="77"/>
    <w:qFormat/>
    <w:uiPriority w:val="0"/>
    <w:rPr>
      <w:bdr w:val="single" w:color="1184FF" w:sz="6" w:space="0"/>
      <w:shd w:val="clear" w:fill="1184FF"/>
    </w:rPr>
  </w:style>
  <w:style w:type="character" w:customStyle="1" w:styleId="660">
    <w:name w:val="biddername"/>
    <w:basedOn w:val="77"/>
    <w:qFormat/>
    <w:uiPriority w:val="0"/>
    <w:rPr>
      <w:color w:val="949494"/>
    </w:rPr>
  </w:style>
  <w:style w:type="character" w:customStyle="1" w:styleId="661">
    <w:name w:val="biddername1"/>
    <w:basedOn w:val="77"/>
    <w:qFormat/>
    <w:uiPriority w:val="0"/>
    <w:rPr>
      <w:color w:val="949494"/>
    </w:rPr>
  </w:style>
  <w:style w:type="character" w:customStyle="1" w:styleId="662">
    <w:name w:val="sign"/>
    <w:basedOn w:val="77"/>
    <w:qFormat/>
    <w:uiPriority w:val="0"/>
    <w:rPr>
      <w:color w:val="CC6600"/>
    </w:rPr>
  </w:style>
  <w:style w:type="character" w:customStyle="1" w:styleId="663">
    <w:name w:val="graycolor"/>
    <w:basedOn w:val="77"/>
    <w:qFormat/>
    <w:uiPriority w:val="0"/>
    <w:rPr>
      <w:color w:val="999999"/>
    </w:rPr>
  </w:style>
  <w:style w:type="character" w:customStyle="1" w:styleId="664">
    <w:name w:val="number1"/>
    <w:basedOn w:val="77"/>
    <w:qFormat/>
    <w:uiPriority w:val="0"/>
  </w:style>
  <w:style w:type="character" w:customStyle="1" w:styleId="665">
    <w:name w:val="agencylinenone"/>
    <w:basedOn w:val="77"/>
    <w:qFormat/>
    <w:uiPriority w:val="0"/>
  </w:style>
  <w:style w:type="character" w:customStyle="1" w:styleId="666">
    <w:name w:val="agencylinenone1"/>
    <w:basedOn w:val="77"/>
    <w:qFormat/>
    <w:uiPriority w:val="0"/>
  </w:style>
  <w:style w:type="character" w:customStyle="1" w:styleId="667">
    <w:name w:val="agencylinenone2"/>
    <w:basedOn w:val="77"/>
    <w:qFormat/>
    <w:uiPriority w:val="0"/>
  </w:style>
  <w:style w:type="character" w:customStyle="1" w:styleId="668">
    <w:name w:val="onetleft"/>
    <w:basedOn w:val="77"/>
    <w:qFormat/>
    <w:uiPriority w:val="0"/>
    <w:rPr>
      <w:b/>
      <w:bCs/>
      <w:sz w:val="21"/>
      <w:szCs w:val="21"/>
    </w:rPr>
  </w:style>
  <w:style w:type="character" w:customStyle="1" w:styleId="669">
    <w:name w:val="onetleft1"/>
    <w:basedOn w:val="77"/>
    <w:qFormat/>
    <w:uiPriority w:val="0"/>
    <w:rPr>
      <w:rFonts w:ascii="微软雅黑" w:hAnsi="微软雅黑" w:eastAsia="微软雅黑" w:cs="微软雅黑"/>
      <w:sz w:val="24"/>
      <w:szCs w:val="24"/>
      <w:bdr w:val="single" w:color="496AB4" w:sz="18" w:space="0"/>
    </w:rPr>
  </w:style>
  <w:style w:type="character" w:customStyle="1" w:styleId="670">
    <w:name w:val="onetleft2"/>
    <w:basedOn w:val="77"/>
    <w:qFormat/>
    <w:uiPriority w:val="0"/>
    <w:rPr>
      <w:b/>
      <w:bCs/>
      <w:sz w:val="16"/>
      <w:szCs w:val="16"/>
    </w:rPr>
  </w:style>
  <w:style w:type="character" w:customStyle="1" w:styleId="671">
    <w:name w:val="layui-layer-tabnow"/>
    <w:basedOn w:val="77"/>
    <w:qFormat/>
    <w:uiPriority w:val="0"/>
    <w:rPr>
      <w:bdr w:val="single" w:color="CCCCCC" w:sz="6" w:space="0"/>
      <w:shd w:val="clear" w:fill="FFFFFF"/>
    </w:rPr>
  </w:style>
  <w:style w:type="character" w:customStyle="1" w:styleId="672">
    <w:name w:val="disabled2"/>
    <w:basedOn w:val="77"/>
    <w:qFormat/>
    <w:uiPriority w:val="0"/>
    <w:rPr>
      <w:color w:val="999999"/>
      <w:bdr w:val="single" w:color="999999" w:sz="6" w:space="0"/>
      <w:shd w:val="clear" w:fill="FFFFFF"/>
    </w:rPr>
  </w:style>
  <w:style w:type="character" w:customStyle="1" w:styleId="673">
    <w:name w:val="disabled3"/>
    <w:basedOn w:val="77"/>
    <w:qFormat/>
    <w:uiPriority w:val="0"/>
    <w:rPr>
      <w:color w:val="DFDFDF"/>
      <w:bdr w:val="single" w:color="DFDFDF" w:sz="6" w:space="0"/>
      <w:shd w:val="clear" w:fill="FFFFFF"/>
    </w:rPr>
  </w:style>
  <w:style w:type="character" w:customStyle="1" w:styleId="674">
    <w:name w:val="hover21"/>
    <w:basedOn w:val="77"/>
    <w:qFormat/>
    <w:uiPriority w:val="0"/>
    <w:rPr>
      <w:shd w:val="clear" w:fill="F3F3F3"/>
    </w:rPr>
  </w:style>
  <w:style w:type="character" w:customStyle="1" w:styleId="675">
    <w:name w:val="hover22"/>
    <w:basedOn w:val="77"/>
    <w:qFormat/>
    <w:uiPriority w:val="0"/>
    <w:rPr>
      <w:sz w:val="19"/>
      <w:szCs w:val="19"/>
    </w:rPr>
  </w:style>
  <w:style w:type="character" w:customStyle="1" w:styleId="676">
    <w:name w:val="hover23"/>
    <w:basedOn w:val="77"/>
    <w:qFormat/>
    <w:uiPriority w:val="0"/>
    <w:rPr>
      <w:shd w:val="clear" w:fill="F3F3F3"/>
    </w:rPr>
  </w:style>
  <w:style w:type="character" w:customStyle="1" w:styleId="677">
    <w:name w:val="bold1"/>
    <w:basedOn w:val="77"/>
    <w:qFormat/>
    <w:uiPriority w:val="0"/>
    <w:rPr>
      <w:b/>
      <w:bCs/>
    </w:rPr>
  </w:style>
  <w:style w:type="character" w:customStyle="1" w:styleId="678">
    <w:name w:val="hover24"/>
    <w:basedOn w:val="77"/>
    <w:qFormat/>
    <w:uiPriority w:val="0"/>
    <w:rPr>
      <w:sz w:val="19"/>
      <w:szCs w:val="19"/>
    </w:rPr>
  </w:style>
  <w:style w:type="character" w:customStyle="1" w:styleId="679">
    <w:name w:val="hover25"/>
    <w:basedOn w:val="77"/>
    <w:qFormat/>
    <w:uiPriority w:val="0"/>
    <w:rPr>
      <w:shd w:val="clear" w:fill="F3F3F3"/>
    </w:rPr>
  </w:style>
  <w:style w:type="character" w:customStyle="1" w:styleId="680">
    <w:name w:val="first-child"/>
    <w:basedOn w:val="77"/>
    <w:qFormat/>
    <w:uiPriority w:val="0"/>
  </w:style>
  <w:style w:type="character" w:customStyle="1" w:styleId="681">
    <w:name w:val="number"/>
    <w:basedOn w:val="77"/>
    <w:qFormat/>
    <w:uiPriority w:val="0"/>
  </w:style>
  <w:style w:type="character" w:customStyle="1" w:styleId="682">
    <w:name w:val="onetleft3"/>
    <w:basedOn w:val="77"/>
    <w:qFormat/>
    <w:uiPriority w:val="0"/>
    <w:rPr>
      <w:rFonts w:ascii="微软雅黑" w:hAnsi="微软雅黑" w:eastAsia="微软雅黑" w:cs="微软雅黑"/>
      <w:sz w:val="24"/>
      <w:szCs w:val="24"/>
      <w:bdr w:val="single" w:color="496AB4" w:sz="18" w:space="0"/>
    </w:rPr>
  </w:style>
  <w:style w:type="character" w:customStyle="1" w:styleId="683">
    <w:name w:val="onetleft4"/>
    <w:basedOn w:val="77"/>
    <w:qFormat/>
    <w:uiPriority w:val="0"/>
    <w:rPr>
      <w:b/>
      <w:bCs/>
      <w:sz w:val="16"/>
      <w:szCs w:val="16"/>
    </w:rPr>
  </w:style>
  <w:style w:type="character" w:customStyle="1" w:styleId="684">
    <w:name w:val="l-btn-left"/>
    <w:basedOn w:val="77"/>
    <w:qFormat/>
    <w:uiPriority w:val="0"/>
  </w:style>
  <w:style w:type="character" w:customStyle="1" w:styleId="685">
    <w:name w:val="l-btn-left1"/>
    <w:basedOn w:val="77"/>
    <w:qFormat/>
    <w:uiPriority w:val="0"/>
  </w:style>
  <w:style w:type="character" w:customStyle="1" w:styleId="686">
    <w:name w:val="l-btn-left2"/>
    <w:basedOn w:val="77"/>
    <w:qFormat/>
    <w:uiPriority w:val="0"/>
  </w:style>
  <w:style w:type="character" w:customStyle="1" w:styleId="687">
    <w:name w:val="l-btn-left3"/>
    <w:basedOn w:val="77"/>
    <w:qFormat/>
    <w:uiPriority w:val="0"/>
  </w:style>
  <w:style w:type="character" w:customStyle="1" w:styleId="688">
    <w:name w:val="l-btn-left4"/>
    <w:basedOn w:val="77"/>
    <w:qFormat/>
    <w:uiPriority w:val="0"/>
  </w:style>
  <w:style w:type="character" w:customStyle="1" w:styleId="689">
    <w:name w:val="l-btn-text"/>
    <w:basedOn w:val="77"/>
    <w:qFormat/>
    <w:uiPriority w:val="0"/>
  </w:style>
  <w:style w:type="character" w:customStyle="1" w:styleId="690">
    <w:name w:val="l-btn-text1"/>
    <w:basedOn w:val="77"/>
    <w:qFormat/>
    <w:uiPriority w:val="0"/>
    <w:rPr>
      <w:sz w:val="16"/>
      <w:szCs w:val="16"/>
    </w:rPr>
  </w:style>
  <w:style w:type="character" w:customStyle="1" w:styleId="691">
    <w:name w:val="l-btn-icon-right"/>
    <w:basedOn w:val="77"/>
    <w:qFormat/>
    <w:uiPriority w:val="0"/>
  </w:style>
  <w:style w:type="character" w:customStyle="1" w:styleId="692">
    <w:name w:val="l-btn-empty"/>
    <w:basedOn w:val="77"/>
    <w:qFormat/>
    <w:uiPriority w:val="0"/>
  </w:style>
  <w:style w:type="character" w:customStyle="1" w:styleId="693">
    <w:name w:val="disabled"/>
    <w:basedOn w:val="77"/>
    <w:qFormat/>
    <w:uiPriority w:val="0"/>
    <w:rPr>
      <w:color w:val="DFDFDF"/>
      <w:bdr w:val="single" w:color="DFDFDF" w:sz="6" w:space="0"/>
      <w:shd w:val="clear" w:fill="FFFFFF"/>
    </w:rPr>
  </w:style>
  <w:style w:type="character" w:customStyle="1" w:styleId="694">
    <w:name w:val="disabled1"/>
    <w:basedOn w:val="77"/>
    <w:qFormat/>
    <w:uiPriority w:val="0"/>
    <w:rPr>
      <w:color w:val="999999"/>
      <w:bdr w:val="single" w:color="999999" w:sz="6" w:space="0"/>
      <w:shd w:val="clear" w:fill="FFFFFF"/>
    </w:rPr>
  </w:style>
  <w:style w:type="character" w:customStyle="1" w:styleId="695">
    <w:name w:val="l-btn-text2"/>
    <w:basedOn w:val="77"/>
    <w:qFormat/>
    <w:uiPriority w:val="0"/>
    <w:rPr>
      <w:sz w:val="16"/>
      <w:szCs w:val="16"/>
    </w:rPr>
  </w:style>
  <w:style w:type="character" w:customStyle="1" w:styleId="696">
    <w:name w:val="l-btn-text3"/>
    <w:basedOn w:val="77"/>
    <w:qFormat/>
    <w:uiPriority w:val="0"/>
  </w:style>
  <w:style w:type="character" w:customStyle="1" w:styleId="697">
    <w:name w:val="onetleft5"/>
    <w:basedOn w:val="77"/>
    <w:qFormat/>
    <w:uiPriority w:val="0"/>
    <w:rPr>
      <w:rFonts w:ascii="微软雅黑" w:hAnsi="微软雅黑" w:eastAsia="微软雅黑" w:cs="微软雅黑"/>
      <w:sz w:val="24"/>
      <w:szCs w:val="24"/>
      <w:bdr w:val="single" w:color="496AB4" w:sz="18" w:space="0"/>
    </w:rPr>
  </w:style>
  <w:style w:type="character" w:customStyle="1" w:styleId="698">
    <w:name w:val="l-btn-left5"/>
    <w:basedOn w:val="77"/>
    <w:qFormat/>
    <w:uiPriority w:val="0"/>
  </w:style>
  <w:style w:type="character" w:customStyle="1" w:styleId="699">
    <w:name w:val="l-btn-left6"/>
    <w:basedOn w:val="77"/>
    <w:qFormat/>
    <w:uiPriority w:val="0"/>
  </w:style>
  <w:style w:type="character" w:customStyle="1" w:styleId="700">
    <w:name w:val="hover28"/>
    <w:basedOn w:val="77"/>
    <w:qFormat/>
    <w:uiPriority w:val="0"/>
    <w:rPr>
      <w:shd w:val="clear" w:fill="F3F3F3"/>
    </w:rPr>
  </w:style>
  <w:style w:type="character" w:customStyle="1" w:styleId="701">
    <w:name w:val="hover29"/>
    <w:basedOn w:val="77"/>
    <w:qFormat/>
    <w:uiPriority w:val="0"/>
    <w:rPr>
      <w:sz w:val="19"/>
      <w:szCs w:val="19"/>
    </w:rPr>
  </w:style>
  <w:style w:type="character" w:customStyle="1" w:styleId="702">
    <w:name w:val="hover30"/>
    <w:basedOn w:val="77"/>
    <w:qFormat/>
    <w:uiPriority w:val="0"/>
    <w:rPr>
      <w:shd w:val="clear" w:fill="F3F3F3"/>
    </w:rPr>
  </w:style>
  <w:style w:type="character" w:customStyle="1" w:styleId="703">
    <w:name w:val="hover31"/>
    <w:basedOn w:val="77"/>
    <w:qFormat/>
    <w:uiPriority w:val="0"/>
    <w:rPr>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112</Pages>
  <Words>7943</Words>
  <Characters>8733</Characters>
  <Lines>1191</Lines>
  <Paragraphs>335</Paragraphs>
  <TotalTime>4</TotalTime>
  <ScaleCrop>false</ScaleCrop>
  <LinksUpToDate>false</LinksUpToDate>
  <CharactersWithSpaces>8931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2021-05-09T00:08:00Z</dcterms:created>
  <dc:creator>张家利</dc:creator>
  <cp:lastModifiedBy>关勤勤</cp:lastModifiedBy>
  <cp:lastPrinted>2024-07-19T04:57:00Z</cp:lastPrinted>
  <dcterms:modified xsi:type="dcterms:W3CDTF">2025-04-02T05:12:30Z</dcterms:modified>
  <dc:title>安徽省</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C17113CB5B4E4495A6C26496AF00A4F6_13</vt:lpwstr>
  </property>
  <property fmtid="{D5CDD505-2E9C-101B-9397-08002B2CF9AE}" pid="4" name="commondata">
    <vt:lpwstr>eyJoZGlkIjoiOTc5MDNjMmIyODczM2YwMGZkZTNjYWY1NjIxZTY5YjcifQ==</vt:lpwstr>
  </property>
  <property fmtid="{D5CDD505-2E9C-101B-9397-08002B2CF9AE}" pid="5" name="KSOTemplateDocerSaveRecord">
    <vt:lpwstr>eyJoZGlkIjoiOTc5MDNjMmIyODczM2YwMGZkZTNjYWY1NjIxZTY5YjciLCJ1c2VySWQiOiI1MDM3MjkwOTMifQ==</vt:lpwstr>
  </property>
</Properties>
</file>